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融合门户建设项目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融合门户建设项目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QSZB-Z(F)-E23289(GK) </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val="en-US"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[2023]54967号-001</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融合门户建设项目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w:t>
      </w:r>
      <w:bookmarkStart w:id="114" w:name="_GoBack"/>
      <w:r>
        <w:rPr>
          <w:rFonts w:hint="eastAsia" w:ascii="宋体" w:hAnsi="宋体" w:eastAsia="宋体" w:cs="Times New Roman"/>
          <w:szCs w:val="21"/>
          <w:highlight w:val="none"/>
          <w:lang w:eastAsia="zh-CN"/>
        </w:rPr>
        <w:t xml:space="preserve">E23289(GK) </w:t>
      </w:r>
      <w:bookmarkEnd w:id="114"/>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融合门户建设项目</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600000元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600000元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.合同履约期限：合同签订之日起</w:t>
      </w:r>
      <w:r>
        <w:rPr>
          <w:rFonts w:hint="eastAsia" w:ascii="宋体" w:hAnsi="宋体" w:eastAsia="宋体" w:cs="Times New Roman"/>
          <w:szCs w:val="21"/>
          <w:highlight w:val="none"/>
          <w:lang w:val="en-US" w:eastAsia="zh-CN"/>
        </w:rPr>
        <w:t>60天</w:t>
      </w:r>
      <w:r>
        <w:rPr>
          <w:rFonts w:hint="eastAsia" w:ascii="宋体" w:hAnsi="宋体" w:eastAsia="宋体" w:cs="Times New Roman"/>
          <w:szCs w:val="21"/>
          <w:highlight w:val="none"/>
        </w:rPr>
        <w:t>内完成项目所要求的建设内容的建设工作，并正式上线运行。</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融合门户建设项目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highlight w:val="none"/>
        </w:rPr>
      </w:pPr>
      <w:bookmarkStart w:id="5" w:name="_Toc28359080"/>
      <w:bookmarkStart w:id="6" w:name="_Toc35393622"/>
      <w:bookmarkStart w:id="7" w:name="_Toc35393791"/>
      <w:bookmarkStart w:id="8" w:name="_Toc28359003"/>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rPr>
        <w:t>本项目整体专门面向中小企业采购。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本项目属性为：服务</w:t>
      </w:r>
    </w:p>
    <w:p>
      <w:pPr>
        <w:adjustRightInd w:val="0"/>
        <w:snapToGrid w:val="0"/>
        <w:spacing w:line="288" w:lineRule="auto"/>
        <w:ind w:firstLine="422" w:firstLineChars="200"/>
        <w:jc w:val="left"/>
        <w:rPr>
          <w:rFonts w:ascii="宋体" w:hAnsi="宋体" w:eastAsia="宋体" w:cs="Times New Roman"/>
          <w:bCs/>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bCs/>
          <w:szCs w:val="21"/>
        </w:rPr>
        <w:t>软件和信息技术服务业</w:t>
      </w:r>
    </w:p>
    <w:p>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Times New Roman"/>
          <w:b/>
          <w:bCs/>
          <w:szCs w:val="21"/>
        </w:rPr>
        <w:t>中小企业划型标准：</w:t>
      </w:r>
      <w:r>
        <w:rPr>
          <w:rFonts w:hint="eastAsia" w:ascii="宋体" w:hAnsi="宋体" w:eastAsia="宋体" w:cs="Times New Roman"/>
          <w:bCs/>
          <w:szCs w:val="21"/>
        </w:rPr>
        <w:t>从业人员</w:t>
      </w:r>
      <w:r>
        <w:rPr>
          <w:rFonts w:ascii="宋体" w:hAnsi="宋体" w:eastAsia="宋体" w:cs="Times New Roman"/>
          <w:bCs/>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202</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年09月14日9:00:00（北京时间）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年09月14日9:00:00（北京时间）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07"/>
      <w:bookmarkStart w:id="20" w:name="_Toc35393794"/>
      <w:bookmarkStart w:id="21" w:name="_Toc28359084"/>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35393796"/>
      <w:bookmarkStart w:id="31" w:name="_Toc28359085"/>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项目联系人（询问）：林老师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项目联系方式（询问）：0571-86731500</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w:t>
      </w:r>
      <w:r>
        <w:rPr>
          <w:rFonts w:ascii="宋体" w:hAnsi="宋体" w:eastAsia="宋体" w:cs="Times New Roman"/>
          <w:szCs w:val="21"/>
        </w:rPr>
        <w:t>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刘冰冰、</w:t>
      </w:r>
      <w:r>
        <w:rPr>
          <w:rFonts w:hint="eastAsia" w:ascii="宋体" w:hAnsi="宋体" w:eastAsia="宋体" w:cs="Times New Roman"/>
          <w:bCs/>
          <w:spacing w:val="-6"/>
          <w:szCs w:val="21"/>
          <w:highlight w:val="none"/>
          <w:lang w:eastAsia="zh-CN"/>
        </w:rPr>
        <w:t>阙家珍</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胡沁梦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lang w:val="en-US" w:eastAsia="zh-CN"/>
        </w:rPr>
        <w:t>95763</w:t>
      </w:r>
      <w:r>
        <w:rPr>
          <w:rFonts w:ascii="宋体" w:hAnsi="宋体" w:eastAsia="宋体" w:cs="Times New Roman"/>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标文件第六章“资格文件”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w:t>
            </w:r>
            <w:r>
              <w:rPr>
                <w:rFonts w:ascii="宋体" w:hAnsi="宋体" w:eastAsia="宋体" w:cs="Times New Roman"/>
                <w:color w:val="auto"/>
                <w:szCs w:val="21"/>
                <w:highlight w:val="none"/>
              </w:rPr>
              <w:t>300人以下或营业收入10000万元以下的为中小微型</w:t>
            </w:r>
            <w:r>
              <w:rPr>
                <w:rFonts w:ascii="宋体" w:hAnsi="宋体" w:eastAsia="宋体" w:cs="Times New Roman"/>
                <w:szCs w:val="21"/>
                <w:highlight w:val="none"/>
              </w:rPr>
              <w:t>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2.提交方式：银行汇款转账</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等额）</w:t>
            </w:r>
            <w:r>
              <w:rPr>
                <w:rFonts w:hint="eastAsia" w:ascii="宋体" w:hAnsi="宋体" w:eastAsia="宋体" w:cs="Arial"/>
                <w:color w:val="auto"/>
                <w:kern w:val="0"/>
                <w:szCs w:val="21"/>
                <w:highlight w:val="none"/>
              </w:rPr>
              <w:t>的，</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3</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7</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kern w:val="0"/>
                <w:sz w:val="21"/>
                <w:szCs w:val="21"/>
                <w:highlight w:val="none"/>
                <w:lang w:val="en-US" w:eastAsia="zh-CN" w:bidi="ar"/>
              </w:rPr>
              <w:t>合同签订之日起60天内完成项目所要求的建设内容的建设工作，并正式上线运行。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.交付时提供有关的全套技术文件。</w:t>
            </w:r>
          </w:p>
          <w:p>
            <w:pPr>
              <w:adjustRightInd w:val="0"/>
              <w:snapToGrid w:val="0"/>
              <w:spacing w:line="288" w:lineRule="auto"/>
              <w:rPr>
                <w:rFonts w:hint="eastAsia" w:ascii="宋体" w:hAnsi="宋体" w:eastAsia="宋体" w:cs="宋体"/>
                <w:szCs w:val="21"/>
                <w:u w:val="single"/>
              </w:rPr>
            </w:pPr>
            <w:r>
              <w:rPr>
                <w:rFonts w:ascii="宋体" w:hAnsi="宋体" w:eastAsia="宋体" w:cs="宋体"/>
                <w:szCs w:val="21"/>
              </w:rPr>
              <w:t>2.</w:t>
            </w:r>
            <w:r>
              <w:rPr>
                <w:rFonts w:hint="eastAsia" w:ascii="宋体" w:hAnsi="宋体" w:eastAsia="宋体" w:cs="Times New Roman"/>
                <w:spacing w:val="-6"/>
                <w:szCs w:val="21"/>
              </w:rPr>
              <w:t>供应商应保证所提供的交付物或其中任何一部分均不会侵犯第三方的知识产权。</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6" w:name="_Hlk45005556"/>
    </w:p>
    <w:bookmarkEnd w:id="36"/>
    <w:p>
      <w:pPr>
        <w:adjustRightInd w:val="0"/>
        <w:snapToGrid w:val="0"/>
        <w:spacing w:line="288" w:lineRule="auto"/>
        <w:rPr>
          <w:rFonts w:ascii="宋体" w:hAnsi="宋体" w:eastAsia="宋体" w:cs="宋体"/>
          <w:b/>
          <w:bCs/>
          <w:szCs w:val="21"/>
          <w:highlight w:val="none"/>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highlight w:val="none"/>
        </w:rPr>
        <w:t>需执行的国家相关标准、行业标准、地方标准或者其他标准、规范：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bookmarkEnd w:id="37"/>
    <w:p>
      <w:pPr>
        <w:pageBreakBefore w:val="0"/>
        <w:widowControl w:val="0"/>
        <w:kinsoku/>
        <w:wordWrap/>
        <w:overflowPunct/>
        <w:topLinePunct w:val="0"/>
        <w:bidi w:val="0"/>
        <w:adjustRightInd w:val="0"/>
        <w:snapToGrid w:val="0"/>
        <w:spacing w:line="288" w:lineRule="auto"/>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2.需实现的功能或者目标：</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建设目标</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开放架构、深度融合的思路和“微应用、大平台”的建设模式，将信息技术和智能技术深度融合到教育教学管理服务全过程，对学校智慧校园建设进行统筹规划和顶层设计，消除架构零散、数据缺失、孤岛壁垒等诸多信息化建设问题，不断构建师生、事、物、场景、时间、地点的数据化虚拟空间，逐步实现事物数据化、终端一体化。</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项目的建设，推动信息化与教育教学创新的深度融合，实现信息技术在学校的教学、科研等工作中的广泛应用。致力于建成与学校教育发展需求相适应，符合未来信息化发展水平的信息化学习环境、信息化科研环境、信息化支撑服务体系、信息化公共基础设施，为深化学校综合改革、提升教育治理能力提供特色集成服务与有力支撑保障，为科学管理决策提供数据支撑。</w:t>
      </w:r>
      <w:bookmarkStart w:id="39" w:name="_bookmark26"/>
      <w:bookmarkEnd w:id="39"/>
      <w:bookmarkStart w:id="40" w:name="四、主要技术参数"/>
      <w:bookmarkEnd w:id="40"/>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2.2</w:t>
      </w:r>
      <w:r>
        <w:rPr>
          <w:rFonts w:hint="eastAsia" w:ascii="宋体" w:hAnsi="宋体" w:eastAsia="宋体" w:cs="宋体"/>
          <w:sz w:val="21"/>
          <w:szCs w:val="21"/>
        </w:rPr>
        <w:t>建设</w:t>
      </w:r>
      <w:r>
        <w:rPr>
          <w:rFonts w:hint="eastAsia" w:ascii="宋体" w:hAnsi="宋体" w:eastAsia="宋体" w:cs="宋体"/>
          <w:sz w:val="21"/>
          <w:szCs w:val="21"/>
          <w:lang w:eastAsia="zh-Hans"/>
        </w:rPr>
        <w:t>清单</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286"/>
        <w:gridCol w:w="553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87" w:type="pct"/>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2872" w:type="pct"/>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描述</w:t>
            </w:r>
          </w:p>
        </w:tc>
        <w:tc>
          <w:tcPr>
            <w:tcW w:w="528" w:type="pct"/>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87"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融合服务门户</w:t>
            </w:r>
          </w:p>
        </w:tc>
        <w:tc>
          <w:tcPr>
            <w:tcW w:w="2872" w:type="pct"/>
          </w:tcPr>
          <w:p>
            <w:pPr>
              <w:pageBreakBefore w:val="0"/>
              <w:widowControl w:val="0"/>
              <w:kinsoku/>
              <w:wordWrap/>
              <w:overflowPunct/>
              <w:topLinePunct w:val="0"/>
              <w:bidi w:val="0"/>
              <w:spacing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提供完整的融合门户产品体系，包括：门户前端展示框架、统一提醒中心、统一待办中心、统一应用中心、统一公告中心、统一日程中心和统一个人数据中心、融合门户管理后台、门户开放平台能力等内容。需要同时支持PC端和学校指定的移动端环境。</w:t>
            </w:r>
          </w:p>
        </w:tc>
        <w:tc>
          <w:tcPr>
            <w:tcW w:w="528"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87"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门户系统集成</w:t>
            </w:r>
          </w:p>
        </w:tc>
        <w:tc>
          <w:tcPr>
            <w:tcW w:w="2872" w:type="pct"/>
          </w:tcPr>
          <w:p>
            <w:pPr>
              <w:pageBreakBefore w:val="0"/>
              <w:widowControl w:val="0"/>
              <w:kinsoku/>
              <w:wordWrap/>
              <w:overflowPunct/>
              <w:topLinePunct w:val="0"/>
              <w:bidi w:val="0"/>
              <w:spacing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按照学校要求，完成学校现有第三方系统接入融门户，并通过数据接口与学校的数据平台进行数据共享。</w:t>
            </w:r>
          </w:p>
        </w:tc>
        <w:tc>
          <w:tcPr>
            <w:tcW w:w="528"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87"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数据可视化平台</w:t>
            </w:r>
          </w:p>
        </w:tc>
        <w:tc>
          <w:tcPr>
            <w:tcW w:w="2872" w:type="pct"/>
          </w:tcPr>
          <w:p>
            <w:pPr>
              <w:pageBreakBefore w:val="0"/>
              <w:widowControl w:val="0"/>
              <w:kinsoku/>
              <w:wordWrap/>
              <w:overflowPunct/>
              <w:topLinePunct w:val="0"/>
              <w:bidi w:val="0"/>
              <w:spacing w:line="288" w:lineRule="auto"/>
              <w:ind w:left="0" w:right="0"/>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可对数据进行可视化编辑，并具备模板中心，可按照学校要求定制开发数据可视化，用于门户数据展现</w:t>
            </w:r>
          </w:p>
        </w:tc>
        <w:tc>
          <w:tcPr>
            <w:tcW w:w="528" w:type="pct"/>
            <w:vAlign w:val="center"/>
          </w:tcPr>
          <w:p>
            <w:pPr>
              <w:pageBreakBefore w:val="0"/>
              <w:widowControl w:val="0"/>
              <w:kinsoku/>
              <w:wordWrap/>
              <w:overflowPunct/>
              <w:topLinePunct w:val="0"/>
              <w:bidi w:val="0"/>
              <w:spacing w:line="288" w:lineRule="auto"/>
              <w:ind w:left="0" w:right="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rPr>
              <w:t>1</w:t>
            </w:r>
            <w:r>
              <w:rPr>
                <w:rFonts w:hint="eastAsia" w:ascii="宋体" w:hAnsi="宋体" w:eastAsia="宋体" w:cs="宋体"/>
                <w:sz w:val="21"/>
                <w:szCs w:val="21"/>
                <w:lang w:eastAsia="zh-Hans"/>
              </w:rPr>
              <w:t>套</w:t>
            </w:r>
          </w:p>
        </w:tc>
      </w:tr>
    </w:tbl>
    <w:p>
      <w:pPr>
        <w:pageBreakBefore w:val="0"/>
        <w:widowControl w:val="0"/>
        <w:kinsoku/>
        <w:wordWrap/>
        <w:overflowPunct/>
        <w:topLinePunct w:val="0"/>
        <w:bidi w:val="0"/>
        <w:spacing w:line="288" w:lineRule="auto"/>
        <w:ind w:left="0" w:right="0"/>
        <w:textAlignment w:val="auto"/>
        <w:rPr>
          <w:rFonts w:hint="eastAsia" w:ascii="宋体" w:hAnsi="宋体" w:eastAsia="宋体" w:cs="宋体"/>
          <w:sz w:val="21"/>
          <w:szCs w:val="21"/>
        </w:rPr>
      </w:pP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3.建设</w:t>
      </w:r>
      <w:r>
        <w:rPr>
          <w:rFonts w:hint="eastAsia" w:ascii="宋体" w:hAnsi="宋体" w:eastAsia="宋体" w:cs="宋体"/>
          <w:sz w:val="21"/>
          <w:szCs w:val="21"/>
        </w:rPr>
        <w:t>内容</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3.1融合服务门户</w:t>
      </w:r>
    </w:p>
    <w:p>
      <w:pPr>
        <w:pStyle w:val="106"/>
        <w:pageBreakBefore w:val="0"/>
        <w:widowControl w:val="0"/>
        <w:kinsoku/>
        <w:wordWrap/>
        <w:overflowPunct/>
        <w:topLinePunct w:val="0"/>
        <w:bidi w:val="0"/>
        <w:spacing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面向学生、教师、校友、管理者等各类角色，与采购人统一身份认证与授权平台、网上办事大厅、数据管理与交换平台等实现集成，提供一站式的信息服务。实现统一平台运维和应用管理，统一后台管理，各类信息统一发送，PC、手机及 PAD 等多终端同步展现。以师生信息服务为中心，提供全生命周期、多终端、一体化的信息化服务，构建一体化校园信息服务平台。实现一站式信息发布、一站式消息发布、一站式日程服务、一站式应用管理等功能。以信息门户为展现形式，打造统一信息内容，PC、APP、微信等多终端、全平台信息展示与应用的服务平台。</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3.1.1</w:t>
      </w:r>
      <w:r>
        <w:rPr>
          <w:rFonts w:hint="eastAsia" w:ascii="宋体" w:hAnsi="宋体" w:eastAsia="宋体" w:cs="宋体"/>
          <w:sz w:val="21"/>
          <w:szCs w:val="21"/>
        </w:rPr>
        <w:t>功能性要求</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3.1.1.1</w:t>
      </w:r>
      <w:r>
        <w:rPr>
          <w:rFonts w:hint="eastAsia" w:ascii="宋体" w:hAnsi="宋体" w:eastAsia="宋体" w:cs="宋体"/>
          <w:sz w:val="21"/>
          <w:szCs w:val="21"/>
        </w:rPr>
        <w:t>统一提醒中心</w:t>
      </w:r>
    </w:p>
    <w:p>
      <w:pPr>
        <w:pStyle w:val="106"/>
        <w:pageBreakBefore w:val="0"/>
        <w:widowControl w:val="0"/>
        <w:numPr>
          <w:ilvl w:val="0"/>
          <w:numId w:val="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提供面向不同身份、不同院系／部门的校内通知统一的提醒中心能力。实现针对用户个人的个性化的通知／消息发送。</w:t>
      </w:r>
    </w:p>
    <w:p>
      <w:pPr>
        <w:pStyle w:val="106"/>
        <w:pageBreakBefore w:val="0"/>
        <w:widowControl w:val="0"/>
        <w:numPr>
          <w:ilvl w:val="0"/>
          <w:numId w:val="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支持通知发送者查看已阅读人员名单和未阅读人员名单，方便发通知者通过其它方式（电话、私信）来再次通知到未读人员。</w:t>
      </w:r>
    </w:p>
    <w:p>
      <w:pPr>
        <w:pStyle w:val="106"/>
        <w:pageBreakBefore w:val="0"/>
        <w:widowControl w:val="0"/>
        <w:numPr>
          <w:ilvl w:val="0"/>
          <w:numId w:val="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支持多种提醒渠道，包括但不限于短信、电子邮件、企微、钉钉、站内消息等。并提供无代码配置方式。</w:t>
      </w:r>
    </w:p>
    <w:p>
      <w:pPr>
        <w:pStyle w:val="106"/>
        <w:pageBreakBefore w:val="0"/>
        <w:widowControl w:val="0"/>
        <w:numPr>
          <w:ilvl w:val="0"/>
          <w:numId w:val="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灵活的消息推送引擎，可以快速对接数据源，消息源支持列表模式，并可以动态无代码集成第三方推送源，可以定义多种推送策略，可以进行数据SQL脚本查询验证。配置推送规则和推送任务，指定推送渠道（短信、企微、钉钉、电子邮件等）实现快速推送能力。</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3.1.1.2</w:t>
      </w:r>
      <w:r>
        <w:rPr>
          <w:rFonts w:hint="eastAsia" w:ascii="宋体" w:hAnsi="宋体" w:eastAsia="宋体" w:cs="宋体"/>
          <w:sz w:val="21"/>
          <w:szCs w:val="21"/>
        </w:rPr>
        <w:t>统一待办中心</w:t>
      </w:r>
    </w:p>
    <w:p>
      <w:pPr>
        <w:pStyle w:val="106"/>
        <w:pageBreakBefore w:val="0"/>
        <w:widowControl w:val="0"/>
        <w:kinsoku/>
        <w:wordWrap/>
        <w:overflowPunct/>
        <w:topLinePunct w:val="0"/>
        <w:bidi w:val="0"/>
        <w:spacing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待办中心是融合服务门户快速快速办事入口，应提供多种类型任务的聚合和办理入口，其主要功能应包括：</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待办任务：门户支持第三方系统或流程服务的需要把当前需要用户待办理／待填写／待审批的工作节点，以待办任务的方式列出。用户（包括员工及各种管理岗位、审批领导）不必了解当前任务来自后台哪个模块，只需要以统一的方式完成该任务展现出来的具体内容流程即可；待办任务需要和第三方系统实时联动。</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办理中任务：第三方系统或流程服务的办理者（包括申请者、审核者）都可以在这个模块中找到并跟踪自己申请或审批流程的实际进展情况；</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已办任务：用户可以找到所有自己曾经办理过的流程及其具体内容；</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提供推或拉的方式集成第三方系统：门户提供被动推的方式和主动拉的方式集成第三方系统，实现学校第三方业务系统的待办任务在门户中聚合。</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投标人需要有丰富的第三方待办任务集成经验和实施案例，</w:t>
      </w:r>
      <w:r>
        <w:rPr>
          <w:rFonts w:hint="eastAsia" w:ascii="宋体" w:hAnsi="宋体" w:eastAsia="宋体" w:cs="宋体"/>
          <w:spacing w:val="-7"/>
          <w:sz w:val="21"/>
          <w:szCs w:val="21"/>
          <w:highlight w:val="none"/>
          <w:lang w:val="en-US" w:eastAsia="zh-CN"/>
        </w:rPr>
        <w:t>该功能</w:t>
      </w:r>
      <w:r>
        <w:rPr>
          <w:rFonts w:hint="eastAsia" w:ascii="宋体" w:hAnsi="宋体" w:cs="宋体"/>
          <w:spacing w:val="-7"/>
          <w:sz w:val="21"/>
          <w:szCs w:val="21"/>
          <w:highlight w:val="none"/>
          <w:lang w:val="en-US" w:eastAsia="zh-Hans"/>
        </w:rPr>
        <w:t>须</w:t>
      </w:r>
      <w:r>
        <w:rPr>
          <w:rFonts w:hint="eastAsia" w:ascii="宋体" w:hAnsi="宋体" w:eastAsia="宋体" w:cs="宋体"/>
          <w:spacing w:val="-7"/>
          <w:sz w:val="21"/>
          <w:szCs w:val="21"/>
          <w:highlight w:val="none"/>
        </w:rPr>
        <w:t>提供</w:t>
      </w:r>
      <w:r>
        <w:rPr>
          <w:rFonts w:hint="eastAsia" w:ascii="宋体" w:hAnsi="宋体" w:eastAsia="宋体" w:cs="宋体"/>
          <w:spacing w:val="-7"/>
          <w:sz w:val="21"/>
          <w:szCs w:val="21"/>
          <w:highlight w:val="none"/>
          <w:lang w:val="en-US" w:eastAsia="zh-CN"/>
        </w:rPr>
        <w:t>至少一个以往合作单位</w:t>
      </w:r>
      <w:r>
        <w:rPr>
          <w:rFonts w:hint="eastAsia" w:ascii="宋体" w:hAnsi="宋体" w:eastAsia="宋体" w:cs="宋体"/>
          <w:spacing w:val="-7"/>
          <w:sz w:val="21"/>
          <w:szCs w:val="21"/>
          <w:highlight w:val="none"/>
        </w:rPr>
        <w:t>超过20个待办任务集成</w:t>
      </w:r>
      <w:r>
        <w:rPr>
          <w:rFonts w:hint="eastAsia" w:ascii="宋体" w:hAnsi="宋体" w:eastAsia="宋体" w:cs="宋体"/>
          <w:spacing w:val="-7"/>
          <w:sz w:val="21"/>
          <w:szCs w:val="21"/>
          <w:highlight w:val="none"/>
          <w:lang w:val="en-US" w:eastAsia="zh-CN"/>
        </w:rPr>
        <w:t>的</w:t>
      </w:r>
      <w:r>
        <w:rPr>
          <w:rFonts w:hint="eastAsia" w:ascii="宋体" w:hAnsi="宋体" w:eastAsia="宋体" w:cs="宋体"/>
          <w:spacing w:val="-7"/>
          <w:sz w:val="21"/>
          <w:szCs w:val="21"/>
          <w:highlight w:val="none"/>
        </w:rPr>
        <w:t>实际案例。</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3.1.1.3</w:t>
      </w:r>
      <w:r>
        <w:rPr>
          <w:rFonts w:hint="eastAsia" w:ascii="宋体" w:hAnsi="宋体" w:eastAsia="宋体" w:cs="宋体"/>
          <w:sz w:val="21"/>
          <w:szCs w:val="21"/>
        </w:rPr>
        <w:t>统一应用中心</w:t>
      </w:r>
    </w:p>
    <w:p>
      <w:pPr>
        <w:pStyle w:val="106"/>
        <w:pageBreakBefore w:val="0"/>
        <w:widowControl w:val="0"/>
        <w:kinsoku/>
        <w:wordWrap/>
        <w:overflowPunct/>
        <w:topLinePunct w:val="0"/>
        <w:bidi w:val="0"/>
        <w:spacing w:line="28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融合门户应用中心应提供多种业务类型应用的上架和管理能力，包括但不限于系统型应用、流程型应用、功能型应用、查询型应用、办事指南型应用。主要要求描述如下：</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应用上架：应用上架过程中支持应用名称、应用介绍、应用图标、应用类型、使用用户、投放终端（安卓手机、苹果手机、安卓PAD、苹果PAD、企业微信、电脑端等）等功能，由学校管理人员自定义，充分尊重学校自主管理权。应用中心的应用上架需要支持按照学院授权进行应用上架或下架。需要支持学校访问授权体系，可以分单位、岗位、人员进行访问授权控制；</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推荐应用：学校管理员将测试通过、已经上架的应用，推荐到用户的手机端桌面，管理员可以将应用进行排序，将热门与重点应用放置在前面，便于学校推广新业务应用；师生使用时，可以按照使用量人次、点击量进行排序。</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应用聚合：提供提供多种应用聚合方式，实现学校相关联应用或业务场景整合。包括：服务类别、服务主题、服务专题、服务对象等形式。</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应用反馈：应用中心提供应用评价、应用打分、应用使用情况分析等反馈报告，方便学校快速的监控、分析和管理各类一个用。应用情况分析应包括每个时间段应用的使用次数、用户数等，在门户管理后台提供可视化图表展现。</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流程应用集成：</w:t>
      </w:r>
      <w:r>
        <w:rPr>
          <w:rFonts w:hint="eastAsia" w:ascii="宋体" w:hAnsi="宋体" w:eastAsia="宋体" w:cs="宋体"/>
          <w:spacing w:val="-7"/>
          <w:sz w:val="21"/>
          <w:szCs w:val="21"/>
          <w:lang w:val="en-US" w:eastAsia="zh-CN"/>
        </w:rPr>
        <w:t>投标人</w:t>
      </w:r>
      <w:r>
        <w:rPr>
          <w:rFonts w:hint="eastAsia" w:ascii="宋体" w:hAnsi="宋体" w:eastAsia="宋体" w:cs="宋体"/>
          <w:spacing w:val="-7"/>
          <w:sz w:val="21"/>
          <w:szCs w:val="21"/>
        </w:rPr>
        <w:t>应提供自动集成学校办事大厅流程应用，即办事大厅流程应用可以在动在融合门户上架，并实现权限身份体系的贯通。</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应用的自动安装和升级：</w:t>
      </w:r>
      <w:r>
        <w:rPr>
          <w:rFonts w:hint="eastAsia" w:ascii="宋体" w:hAnsi="宋体" w:eastAsia="宋体" w:cs="宋体"/>
          <w:spacing w:val="-7"/>
          <w:sz w:val="21"/>
          <w:szCs w:val="21"/>
          <w:lang w:val="en-US" w:eastAsia="zh-CN"/>
        </w:rPr>
        <w:t>投标人</w:t>
      </w:r>
      <w:r>
        <w:rPr>
          <w:rFonts w:hint="eastAsia" w:ascii="宋体" w:hAnsi="宋体" w:eastAsia="宋体" w:cs="宋体"/>
          <w:spacing w:val="-7"/>
          <w:sz w:val="21"/>
          <w:szCs w:val="21"/>
        </w:rPr>
        <w:t>应提供应用的自动安装和升级方案，方便第三方系统应用注册，需要支持应用开发版本迭代和跟踪，支持单应用多入口编排能力。</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cs="宋体"/>
          <w:spacing w:val="-7"/>
          <w:sz w:val="21"/>
          <w:szCs w:val="21"/>
          <w:lang w:val="en-US" w:eastAsia="zh-CN"/>
        </w:rPr>
        <w:t>接入应用</w:t>
      </w:r>
      <w:r>
        <w:rPr>
          <w:rFonts w:hint="eastAsia" w:ascii="宋体" w:hAnsi="宋体" w:eastAsia="宋体" w:cs="宋体"/>
          <w:spacing w:val="-7"/>
          <w:sz w:val="21"/>
          <w:szCs w:val="21"/>
        </w:rPr>
        <w:t>支持一人多身份应用聚合展示，所有应用须支持多身份的聚合</w:t>
      </w:r>
      <w:r>
        <w:rPr>
          <w:rFonts w:hint="eastAsia" w:ascii="宋体" w:hAnsi="宋体" w:cs="宋体"/>
          <w:spacing w:val="-7"/>
          <w:sz w:val="21"/>
          <w:szCs w:val="21"/>
          <w:lang w:val="en-US" w:eastAsia="zh-CN"/>
        </w:rPr>
        <w:t>能力。</w:t>
      </w:r>
    </w:p>
    <w:p>
      <w:pPr>
        <w:pStyle w:val="106"/>
        <w:pageBreakBefore w:val="0"/>
        <w:widowControl w:val="0"/>
        <w:numPr>
          <w:ilvl w:val="0"/>
          <w:numId w:val="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应用中心需要支持应用开发版本迭代和跟踪，支持单应用多入口编排能力</w:t>
      </w:r>
      <w:r>
        <w:rPr>
          <w:rFonts w:hint="eastAsia" w:ascii="宋体" w:hAnsi="宋体" w:cs="宋体"/>
          <w:spacing w:val="-7"/>
          <w:sz w:val="21"/>
          <w:szCs w:val="21"/>
          <w:lang w:eastAsia="zh-CN"/>
        </w:rPr>
        <w:t>。</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3.1.1.4</w:t>
      </w:r>
      <w:r>
        <w:rPr>
          <w:rFonts w:hint="eastAsia" w:ascii="宋体" w:hAnsi="宋体" w:eastAsia="宋体" w:cs="宋体"/>
          <w:sz w:val="21"/>
          <w:szCs w:val="21"/>
        </w:rPr>
        <w:t>统一公告中心</w:t>
      </w:r>
    </w:p>
    <w:p>
      <w:pPr>
        <w:pStyle w:val="106"/>
        <w:pageBreakBefore w:val="0"/>
        <w:widowControl w:val="0"/>
        <w:kinsoku/>
        <w:wordWrap/>
        <w:overflowPunct/>
        <w:topLinePunct w:val="0"/>
        <w:bidi w:val="0"/>
        <w:spacing w:line="288" w:lineRule="auto"/>
        <w:ind w:left="0" w:right="0" w:firstLine="42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统一公告中心需要提供完善的公告发布能力和管理能力，并能支持多种形式的第三方公告的集成。具体功能描述如下：</w:t>
      </w:r>
    </w:p>
    <w:p>
      <w:pPr>
        <w:pStyle w:val="106"/>
        <w:pageBreakBefore w:val="0"/>
        <w:widowControl w:val="0"/>
        <w:numPr>
          <w:ilvl w:val="0"/>
          <w:numId w:val="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公告展示：公告展示是通过列表、分页以及栏目等方式，进行公告的展示，既包含列表形式，也可以看到公告的详情信息。</w:t>
      </w:r>
    </w:p>
    <w:p>
      <w:pPr>
        <w:pStyle w:val="106"/>
        <w:pageBreakBefore w:val="0"/>
        <w:widowControl w:val="0"/>
        <w:numPr>
          <w:ilvl w:val="0"/>
          <w:numId w:val="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公告管理：公告管理包含了公告拟稿、审核、发布等功能，以及置顶、删除等功能。实现了完整的公告管理体系，形成全生命周期的管理。</w:t>
      </w:r>
    </w:p>
    <w:p>
      <w:pPr>
        <w:pStyle w:val="106"/>
        <w:pageBreakBefore w:val="0"/>
        <w:widowControl w:val="0"/>
        <w:numPr>
          <w:ilvl w:val="0"/>
          <w:numId w:val="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公告组管理：对公告组的分类管理，可以定义不同层级的公告组，便于按照学校应用场景进行不同类型公告的管理和使用。</w:t>
      </w:r>
    </w:p>
    <w:p>
      <w:pPr>
        <w:pStyle w:val="106"/>
        <w:pageBreakBefore w:val="0"/>
        <w:widowControl w:val="0"/>
        <w:numPr>
          <w:ilvl w:val="0"/>
          <w:numId w:val="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公告授权：公告的授权，即包含公告的管理权限，也包含分级的拟稿、审核发布权限，还包含公告的阅读权限的配置。</w:t>
      </w:r>
    </w:p>
    <w:p>
      <w:pPr>
        <w:pStyle w:val="106"/>
        <w:pageBreakBefore w:val="0"/>
        <w:widowControl w:val="0"/>
        <w:numPr>
          <w:ilvl w:val="0"/>
          <w:numId w:val="6"/>
        </w:numPr>
        <w:kinsoku/>
        <w:wordWrap/>
        <w:overflowPunct/>
        <w:topLinePunct w:val="0"/>
        <w:bidi w:val="0"/>
        <w:spacing w:line="288" w:lineRule="auto"/>
        <w:ind w:left="0" w:right="0" w:firstLine="392" w:firstLineChars="200"/>
        <w:jc w:val="both"/>
        <w:textAlignment w:val="auto"/>
        <w:rPr>
          <w:rFonts w:hint="eastAsia" w:ascii="宋体" w:hAnsi="宋体" w:eastAsia="宋体" w:cs="宋体"/>
          <w:sz w:val="21"/>
          <w:szCs w:val="21"/>
        </w:rPr>
      </w:pPr>
      <w:r>
        <w:rPr>
          <w:rFonts w:hint="eastAsia" w:ascii="宋体" w:hAnsi="宋体" w:eastAsia="宋体" w:cs="宋体"/>
          <w:spacing w:val="-7"/>
          <w:sz w:val="21"/>
          <w:szCs w:val="21"/>
        </w:rPr>
        <w:t>公告统计：既可以按照发布的角度，按照发布部门、发布时间、发布公告组进行统计，也可以按照用户阅读和使用的情况，进行使用者的访问统计。</w:t>
      </w:r>
    </w:p>
    <w:p>
      <w:pPr>
        <w:pStyle w:val="106"/>
        <w:pageBreakBefore w:val="0"/>
        <w:widowControl w:val="0"/>
        <w:numPr>
          <w:ilvl w:val="0"/>
          <w:numId w:val="4"/>
        </w:numPr>
        <w:kinsoku/>
        <w:wordWrap/>
        <w:overflowPunct/>
        <w:topLinePunct w:val="0"/>
        <w:bidi w:val="0"/>
        <w:spacing w:line="288" w:lineRule="auto"/>
        <w:ind w:left="0" w:right="0" w:firstLine="392" w:firstLineChars="200"/>
        <w:jc w:val="both"/>
        <w:textAlignment w:val="auto"/>
        <w:rPr>
          <w:rFonts w:hint="eastAsia" w:ascii="宋体" w:hAnsi="宋体" w:eastAsia="宋体" w:cs="宋体"/>
          <w:sz w:val="21"/>
          <w:szCs w:val="21"/>
        </w:rPr>
      </w:pPr>
      <w:r>
        <w:rPr>
          <w:rFonts w:hint="eastAsia" w:ascii="宋体" w:hAnsi="宋体" w:eastAsia="宋体" w:cs="宋体"/>
          <w:spacing w:val="-7"/>
          <w:sz w:val="21"/>
          <w:szCs w:val="21"/>
        </w:rPr>
        <w:t>提供推或拉的方式集成第三方系统：门户提供被动推的方式和主动拉的方式集成第三方系统，实现学校第三方业务系统的新闻公告在门户中聚合。主动拉的方式应支持多种协议格式，包括GraphQL、Restful、RSS、WebService等。</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3.1.1.5</w:t>
      </w:r>
      <w:r>
        <w:rPr>
          <w:rFonts w:hint="eastAsia" w:ascii="宋体" w:hAnsi="宋体" w:eastAsia="宋体" w:cs="宋体"/>
          <w:sz w:val="21"/>
          <w:szCs w:val="21"/>
        </w:rPr>
        <w:t>统一日程中心</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实现符合互联网业界主流标准的统一日程服务，能够为师生提供标准的个人日程服务，支持包括 web 门户界面、移动设备及其他标准化的日程软件工具的对接。提供相关接口，支持与各类信息系统的对接，确保日程服务的开放性；</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提供校级日程管理能力，可以授权校办或其它办公室维护领导的日程。</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提供部门日程管理能力，可以授权二级单位维护本部门的日程。</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支持教师或学生在门户自主创建日程，设置日程起止时间、主题、备注等，系统自动根据用户设置的时间长度在日程表中进行标注。系统可以自动对用户填写的日程时间进行提醒；</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支持公共日程对接：用户可以订阅公共日历，并在门户中展示。</w:t>
      </w:r>
    </w:p>
    <w:p>
      <w:pPr>
        <w:pStyle w:val="106"/>
        <w:pageBreakBefore w:val="0"/>
        <w:widowControl w:val="0"/>
        <w:numPr>
          <w:ilvl w:val="0"/>
          <w:numId w:val="7"/>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提供推或拉的方式集成第三方系统日程，包括但不限于课表所涉及本科生系统和研究生系统，领导日程所涉及的办公系统等。</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3.1.1.6</w:t>
      </w:r>
      <w:r>
        <w:rPr>
          <w:rFonts w:hint="eastAsia" w:ascii="宋体" w:hAnsi="宋体" w:eastAsia="宋体" w:cs="宋体"/>
          <w:sz w:val="21"/>
          <w:szCs w:val="21"/>
        </w:rPr>
        <w:t>浙财智慧大脑</w:t>
      </w:r>
    </w:p>
    <w:p>
      <w:pPr>
        <w:pStyle w:val="106"/>
        <w:pageBreakBefore w:val="0"/>
        <w:widowControl w:val="0"/>
        <w:numPr>
          <w:ilvl w:val="0"/>
          <w:numId w:val="8"/>
        </w:numPr>
        <w:kinsoku/>
        <w:wordWrap/>
        <w:overflowPunct/>
        <w:topLinePunct w:val="0"/>
        <w:bidi w:val="0"/>
        <w:spacing w:line="288" w:lineRule="auto"/>
        <w:ind w:left="0" w:right="0" w:firstLine="420" w:firstLineChars="200"/>
        <w:jc w:val="both"/>
        <w:textAlignment w:val="auto"/>
        <w:rPr>
          <w:rFonts w:hint="eastAsia" w:ascii="宋体" w:hAnsi="宋体" w:eastAsia="宋体" w:cs="宋体"/>
          <w:spacing w:val="-7"/>
          <w:sz w:val="21"/>
          <w:szCs w:val="21"/>
        </w:rPr>
      </w:pPr>
      <w:r>
        <w:rPr>
          <w:rFonts w:hint="eastAsia" w:ascii="宋体" w:hAnsi="宋体" w:eastAsia="宋体" w:cs="宋体"/>
          <w:sz w:val="21"/>
          <w:szCs w:val="21"/>
        </w:rPr>
        <w:t>提供本科生、研究生、专任教师、普通教师、部门领导、校级领导领域业务指标分析、界面图表抽象设计、数据接口开发、可视化展示开发等</w:t>
      </w:r>
      <w:r>
        <w:rPr>
          <w:rFonts w:hint="eastAsia" w:ascii="宋体" w:hAnsi="宋体" w:eastAsia="宋体" w:cs="宋体"/>
          <w:spacing w:val="-7"/>
          <w:sz w:val="21"/>
          <w:szCs w:val="21"/>
        </w:rPr>
        <w:t>。</w:t>
      </w:r>
    </w:p>
    <w:p>
      <w:pPr>
        <w:pStyle w:val="106"/>
        <w:pageBreakBefore w:val="0"/>
        <w:widowControl w:val="0"/>
        <w:numPr>
          <w:ilvl w:val="0"/>
          <w:numId w:val="8"/>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rPr>
        <w:t>提</w:t>
      </w:r>
      <w:r>
        <w:rPr>
          <w:rFonts w:hint="eastAsia" w:ascii="宋体" w:hAnsi="宋体" w:eastAsia="宋体" w:cs="宋体"/>
          <w:spacing w:val="-7"/>
          <w:sz w:val="21"/>
          <w:szCs w:val="21"/>
          <w:highlight w:val="none"/>
        </w:rPr>
        <w:t>供在校生分析、教职工分析、人才培养分析、科学研究分析，包括关键指标预警、历年趋势分析、横向部门对比、领导驾驶舱展示等。</w:t>
      </w:r>
    </w:p>
    <w:p>
      <w:pPr>
        <w:pStyle w:val="106"/>
        <w:pageBreakBefore w:val="0"/>
        <w:widowControl w:val="0"/>
        <w:numPr>
          <w:ilvl w:val="0"/>
          <w:numId w:val="8"/>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highlight w:val="none"/>
        </w:rPr>
      </w:pPr>
      <w:r>
        <w:rPr>
          <w:rFonts w:hint="eastAsia" w:ascii="宋体" w:hAnsi="宋体" w:cs="宋体"/>
          <w:spacing w:val="-7"/>
          <w:sz w:val="21"/>
          <w:szCs w:val="21"/>
          <w:highlight w:val="none"/>
          <w:lang w:val="en-US" w:eastAsia="zh-CN"/>
        </w:rPr>
        <w:t>根据学校实际要求，</w:t>
      </w:r>
      <w:r>
        <w:rPr>
          <w:rFonts w:hint="eastAsia" w:ascii="宋体" w:hAnsi="宋体" w:eastAsia="宋体" w:cs="宋体"/>
          <w:sz w:val="21"/>
          <w:szCs w:val="21"/>
          <w:highlight w:val="none"/>
        </w:rPr>
        <w:t>提供不少于20个指标数据卡片预制，指标数据卡片在数据工作台中按照人员身份进行授权展示，并提供数据下钻能力，根据数据场景提供二级或三级数据下钻支持。</w:t>
      </w:r>
    </w:p>
    <w:p>
      <w:pPr>
        <w:pStyle w:val="106"/>
        <w:pageBreakBefore w:val="0"/>
        <w:widowControl w:val="0"/>
        <w:numPr>
          <w:ilvl w:val="0"/>
          <w:numId w:val="8"/>
        </w:numPr>
        <w:kinsoku/>
        <w:wordWrap/>
        <w:overflowPunct/>
        <w:topLinePunct w:val="0"/>
        <w:bidi w:val="0"/>
        <w:spacing w:line="288" w:lineRule="auto"/>
        <w:ind w:left="0" w:right="0" w:firstLine="420" w:firstLineChars="200"/>
        <w:jc w:val="both"/>
        <w:textAlignment w:val="auto"/>
        <w:rPr>
          <w:rFonts w:hint="eastAsia" w:ascii="宋体" w:hAnsi="宋体" w:eastAsia="宋体" w:cs="宋体"/>
          <w:spacing w:val="-7"/>
          <w:sz w:val="21"/>
          <w:szCs w:val="21"/>
          <w:highlight w:val="none"/>
        </w:rPr>
      </w:pPr>
      <w:r>
        <w:rPr>
          <w:rFonts w:hint="eastAsia" w:ascii="宋体" w:hAnsi="宋体" w:eastAsia="宋体" w:cs="宋体"/>
          <w:sz w:val="21"/>
          <w:szCs w:val="21"/>
          <w:highlight w:val="none"/>
        </w:rPr>
        <w:t>支持门户的最终用户（学校领导、部门领导、学校师生）户从指标卡片库中选择相关的指标卡片在数据工作台展示。支持拖拉拽等友好方式选择指标卡</w:t>
      </w:r>
      <w:r>
        <w:rPr>
          <w:rFonts w:hint="eastAsia" w:ascii="宋体" w:hAnsi="宋体" w:eastAsia="宋体" w:cs="宋体"/>
          <w:spacing w:val="-7"/>
          <w:sz w:val="21"/>
          <w:szCs w:val="21"/>
          <w:highlight w:val="none"/>
        </w:rPr>
        <w:t>片。</w:t>
      </w:r>
    </w:p>
    <w:p>
      <w:pPr>
        <w:pStyle w:val="106"/>
        <w:pageBreakBefore w:val="0"/>
        <w:widowControl w:val="0"/>
        <w:numPr>
          <w:ilvl w:val="0"/>
          <w:numId w:val="8"/>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支持学校信息化工作人员无代码自定义数据指标卡片，并发布到门户数据指标卡片库中，在授权范围内的用户可以选择展示。</w:t>
      </w:r>
    </w:p>
    <w:p>
      <w:pPr>
        <w:pStyle w:val="106"/>
        <w:pageBreakBefore w:val="0"/>
        <w:widowControl w:val="0"/>
        <w:numPr>
          <w:ilvl w:val="0"/>
          <w:numId w:val="8"/>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highlight w:val="none"/>
        </w:rPr>
        <w:t>投标人需要提供可视化图表编排能力支持学校进行图表制作和展示，图表需要包括：表格、柱状图、折线图、饼图、气泡图、</w:t>
      </w:r>
      <w:r>
        <w:rPr>
          <w:rFonts w:hint="eastAsia" w:ascii="宋体" w:hAnsi="宋体" w:eastAsia="宋体" w:cs="宋体"/>
          <w:spacing w:val="-7"/>
          <w:sz w:val="21"/>
          <w:szCs w:val="21"/>
        </w:rPr>
        <w:t>树形图、仪表盘、漏斗图、雷达图、文字云、热力图、日历图、地图等可视化图表。</w:t>
      </w:r>
    </w:p>
    <w:p>
      <w:pPr>
        <w:pStyle w:val="106"/>
        <w:pageBreakBefore w:val="0"/>
        <w:widowControl w:val="0"/>
        <w:numPr>
          <w:ilvl w:val="0"/>
          <w:numId w:val="8"/>
        </w:numPr>
        <w:kinsoku/>
        <w:wordWrap/>
        <w:overflowPunct/>
        <w:topLinePunct w:val="0"/>
        <w:bidi w:val="0"/>
        <w:spacing w:line="288" w:lineRule="auto"/>
        <w:ind w:left="0" w:right="0" w:firstLine="420" w:firstLineChars="200"/>
        <w:jc w:val="both"/>
        <w:textAlignment w:val="auto"/>
        <w:rPr>
          <w:rFonts w:hint="eastAsia" w:ascii="宋体" w:hAnsi="宋体" w:eastAsia="宋体" w:cs="宋体"/>
          <w:spacing w:val="-7"/>
          <w:sz w:val="21"/>
          <w:szCs w:val="21"/>
        </w:rPr>
      </w:pPr>
      <w:r>
        <w:rPr>
          <w:rFonts w:hint="eastAsia" w:ascii="宋体" w:hAnsi="宋体" w:eastAsia="宋体" w:cs="宋体"/>
          <w:sz w:val="21"/>
          <w:szCs w:val="21"/>
        </w:rPr>
        <w:t>根据学校实际情况，以卡片式的方式呈现全校教职工数量、编制、年龄、性别、职务、学历等整体概况，全日制本科、硕士、博士学生数量、不同层次年级的学生数量、留学生的整体概况，人才培养与科学研究的相关内容，包括并且不限于以上专题内容。</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3.1.1.7</w:t>
      </w:r>
      <w:r>
        <w:rPr>
          <w:rFonts w:hint="eastAsia" w:ascii="宋体" w:hAnsi="宋体" w:eastAsia="宋体" w:cs="宋体"/>
          <w:sz w:val="21"/>
          <w:szCs w:val="21"/>
        </w:rPr>
        <w:t>门户个人中心</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在门户个人中心需要支持学生和教职工个人数据的展示，展示内容需要包括以下内容：</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教职工：个人信息、通讯信息、学历学位、工作经历、职务职级、我的教学、我的科研、我的成果、我的财务、我的资产、我的出差、我的图书、校园卡、校园网等数据。</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学生：个人信息、学籍信息、联系方式、家庭信息、学习经历、我的课程、我的成绩、我的奖励、我的财务、我的资助、勤工助学、我的实践、我的图书、校园卡、校园网等。</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sz w:val="21"/>
          <w:szCs w:val="21"/>
        </w:rPr>
      </w:pPr>
      <w:r>
        <w:rPr>
          <w:rFonts w:hint="eastAsia" w:cs="宋体"/>
          <w:sz w:val="21"/>
          <w:szCs w:val="21"/>
          <w:lang w:val="en-US" w:eastAsia="zh-CN"/>
        </w:rPr>
        <w:t>3.1.1.8</w:t>
      </w:r>
      <w:r>
        <w:rPr>
          <w:rFonts w:hint="eastAsia" w:ascii="宋体" w:hAnsi="宋体" w:eastAsia="宋体" w:cs="宋体"/>
          <w:sz w:val="21"/>
          <w:szCs w:val="21"/>
        </w:rPr>
        <w:t>门户后台管理</w:t>
      </w:r>
    </w:p>
    <w:p>
      <w:pPr>
        <w:pStyle w:val="106"/>
        <w:pageBreakBefore w:val="0"/>
        <w:widowControl w:val="0"/>
        <w:numPr>
          <w:ilvl w:val="0"/>
          <w:numId w:val="9"/>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提供多套主题模板选择，支持上架独立设计全新主题。支持门户皮肤、背景等常用属性的定义。</w:t>
      </w:r>
    </w:p>
    <w:p>
      <w:pPr>
        <w:pStyle w:val="106"/>
        <w:pageBreakBefore w:val="0"/>
        <w:widowControl w:val="0"/>
        <w:numPr>
          <w:ilvl w:val="0"/>
          <w:numId w:val="9"/>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提供融合门户关键业务数据核心数据看板。提供门户访问PV和UV统计。</w:t>
      </w:r>
    </w:p>
    <w:p>
      <w:pPr>
        <w:pStyle w:val="106"/>
        <w:pageBreakBefore w:val="0"/>
        <w:widowControl w:val="0"/>
        <w:numPr>
          <w:ilvl w:val="0"/>
          <w:numId w:val="9"/>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提供整合的门户后台管理功能，即前端的提醒中心、公告中心、待办中心、日程中心和应用中心的后台管理功能统一在一个管理框架下；</w:t>
      </w:r>
    </w:p>
    <w:p>
      <w:pPr>
        <w:pStyle w:val="106"/>
        <w:pageBreakBefore w:val="0"/>
        <w:widowControl w:val="0"/>
        <w:numPr>
          <w:ilvl w:val="0"/>
          <w:numId w:val="9"/>
        </w:numPr>
        <w:kinsoku/>
        <w:wordWrap/>
        <w:overflowPunct/>
        <w:topLinePunct w:val="0"/>
        <w:bidi w:val="0"/>
        <w:spacing w:line="288" w:lineRule="auto"/>
        <w:ind w:left="0" w:right="0" w:firstLine="392" w:firstLineChars="200"/>
        <w:jc w:val="both"/>
        <w:textAlignment w:val="auto"/>
        <w:rPr>
          <w:rFonts w:hint="eastAsia" w:ascii="宋体" w:hAnsi="宋体" w:eastAsia="宋体" w:cs="宋体"/>
          <w:sz w:val="21"/>
          <w:szCs w:val="21"/>
        </w:rPr>
      </w:pPr>
      <w:r>
        <w:rPr>
          <w:rFonts w:hint="eastAsia" w:ascii="宋体" w:hAnsi="宋体" w:eastAsia="宋体" w:cs="宋体"/>
          <w:spacing w:val="-7"/>
          <w:sz w:val="21"/>
          <w:szCs w:val="21"/>
          <w:lang w:val="en-US" w:eastAsia="zh-CN"/>
        </w:rPr>
        <w:t>投标人</w:t>
      </w:r>
      <w:r>
        <w:rPr>
          <w:rFonts w:hint="eastAsia" w:ascii="宋体" w:hAnsi="宋体" w:eastAsia="宋体" w:cs="宋体"/>
          <w:spacing w:val="-7"/>
          <w:sz w:val="21"/>
          <w:szCs w:val="21"/>
        </w:rPr>
        <w:t>应在投标方案</w:t>
      </w:r>
      <w:r>
        <w:rPr>
          <w:rFonts w:hint="eastAsia" w:ascii="宋体" w:hAnsi="宋体" w:eastAsia="宋体" w:cs="宋体"/>
          <w:spacing w:val="-7"/>
          <w:sz w:val="21"/>
          <w:szCs w:val="21"/>
          <w:lang w:eastAsia="zh-Hans"/>
        </w:rPr>
        <w:t>中</w:t>
      </w:r>
      <w:r>
        <w:rPr>
          <w:rFonts w:hint="eastAsia" w:ascii="宋体" w:hAnsi="宋体" w:eastAsia="宋体" w:cs="宋体"/>
          <w:spacing w:val="-7"/>
          <w:sz w:val="21"/>
          <w:szCs w:val="21"/>
        </w:rPr>
        <w:t>提供设计效果图。</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3.1.2</w:t>
      </w:r>
      <w:r>
        <w:rPr>
          <w:rFonts w:hint="eastAsia" w:ascii="宋体" w:hAnsi="宋体" w:eastAsia="宋体" w:cs="宋体"/>
          <w:sz w:val="21"/>
          <w:szCs w:val="21"/>
        </w:rPr>
        <w:t>门户开放能力要求</w:t>
      </w:r>
    </w:p>
    <w:p>
      <w:pPr>
        <w:pStyle w:val="106"/>
        <w:pageBreakBefore w:val="0"/>
        <w:widowControl w:val="0"/>
        <w:kinsoku/>
        <w:wordWrap/>
        <w:overflowPunct/>
        <w:topLinePunct w:val="0"/>
        <w:bidi w:val="0"/>
        <w:spacing w:line="28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系统提供在线开放能力文档和word版本开放文档，包括但不限于统一提醒中心、统一待办中心、统一应用中心、统一公告中心、统一日程中心的集成场景、集成步骤、接口说明文档、常见问题等。</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3.1.3</w:t>
      </w:r>
      <w:r>
        <w:rPr>
          <w:rFonts w:hint="eastAsia" w:ascii="宋体" w:hAnsi="宋体" w:eastAsia="宋体" w:cs="宋体"/>
          <w:sz w:val="21"/>
          <w:szCs w:val="21"/>
        </w:rPr>
        <w:t>多身份体系要求</w:t>
      </w:r>
    </w:p>
    <w:p>
      <w:pPr>
        <w:pStyle w:val="106"/>
        <w:pageBreakBefore w:val="0"/>
        <w:widowControl w:val="0"/>
        <w:numPr>
          <w:ilvl w:val="0"/>
          <w:numId w:val="10"/>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bookmarkStart w:id="41" w:name="_Toc127871800"/>
      <w:r>
        <w:rPr>
          <w:rFonts w:hint="eastAsia" w:ascii="宋体" w:hAnsi="宋体" w:eastAsia="宋体" w:cs="宋体"/>
          <w:spacing w:val="-7"/>
          <w:sz w:val="21"/>
          <w:szCs w:val="21"/>
        </w:rPr>
        <w:t>一人多身份</w:t>
      </w:r>
      <w:bookmarkEnd w:id="41"/>
      <w:r>
        <w:rPr>
          <w:rFonts w:hint="eastAsia" w:ascii="宋体" w:hAnsi="宋体" w:eastAsia="宋体" w:cs="宋体"/>
          <w:spacing w:val="-7"/>
          <w:sz w:val="21"/>
          <w:szCs w:val="21"/>
        </w:rPr>
        <w:t>聚合要求</w:t>
      </w:r>
      <w:bookmarkStart w:id="42" w:name="_Hlk127263646"/>
      <w:r>
        <w:rPr>
          <w:rFonts w:hint="eastAsia" w:ascii="宋体" w:hAnsi="宋体" w:eastAsia="宋体" w:cs="宋体"/>
          <w:spacing w:val="-7"/>
          <w:sz w:val="21"/>
          <w:szCs w:val="21"/>
        </w:rPr>
        <w:t>：本次门户平台需要满足学校一人多身份场景的需要，即一个人在学校多身份同时生效的场景下，无需进行身份绑定、身份切换，在门户聚合一个人的所有信息。</w:t>
      </w:r>
    </w:p>
    <w:bookmarkEnd w:id="42"/>
    <w:p>
      <w:pPr>
        <w:pStyle w:val="106"/>
        <w:pageBreakBefore w:val="0"/>
        <w:widowControl w:val="0"/>
        <w:numPr>
          <w:ilvl w:val="0"/>
          <w:numId w:val="10"/>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bookmarkStart w:id="43" w:name="_Hlk127263695"/>
      <w:r>
        <w:rPr>
          <w:rFonts w:hint="eastAsia" w:ascii="宋体" w:hAnsi="宋体" w:eastAsia="宋体" w:cs="宋体"/>
          <w:spacing w:val="-7"/>
          <w:sz w:val="21"/>
          <w:szCs w:val="21"/>
        </w:rPr>
        <w:t>兼容单身份要求：为了保障学校已有系统信息能够聚合到门户上，需要门户的相关组件能够在聚合待办、提醒等信息时，能够兼容传统一个人单身份的的需要，即需要配置接入策略是单身份还是一人多身份模式。</w:t>
      </w:r>
      <w:bookmarkEnd w:id="43"/>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3.1.4</w:t>
      </w:r>
      <w:r>
        <w:rPr>
          <w:rFonts w:hint="eastAsia" w:ascii="宋体" w:hAnsi="宋体" w:eastAsia="宋体" w:cs="宋体"/>
          <w:sz w:val="21"/>
          <w:szCs w:val="21"/>
        </w:rPr>
        <w:t>总体技术要求</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采用开放式统一架构，具有良好的开放性、扩展性、安全性、稳定性、实用性以及先进性；</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具备成熟的门户平台开发框架，并能够结合学校的实际，进行二次开发实现特殊需求。支持开放式的开发，能实现与其他异构系统的集成；</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提供移动化解决方案，并能够结合学校实际需求进行开发，该平台具有应用开发、信息采集与抓取、通过接口或 HTML5 页面接入应用等能力，同时也能接入其他第三方应用与服务；</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支持容器化部署，可以快速部署和升级应用程序，同时也可以快速地扩展和伸缩应用程序，实现门户集群高可用性。并且可以通过容器编排工具来进行容器编排和负载均衡，以实现高效的应用程序部署和扩展。</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容器化集群部署环境中，容器化应用程序需要可以被监控、管理和度量。可以使用容器编排工具提供的命令行工具来检查容器的健康状态、性能数据和流量数据。</w:t>
      </w:r>
      <w:r>
        <w:rPr>
          <w:rFonts w:hint="eastAsia" w:ascii="宋体" w:hAnsi="宋体" w:cs="宋体"/>
          <w:spacing w:val="-7"/>
          <w:sz w:val="21"/>
          <w:szCs w:val="21"/>
          <w:lang w:val="en-US" w:eastAsia="zh-CN"/>
        </w:rPr>
        <w:t>监控能力包括：资源使用情况监控，集群组件健康状态、业务容器健康状态、代理服务状态、监控程序自身的状态、证书有效期、数据库运行状态、数据同步状态、数据库连接池使用情况、数据库的数据量、门户总访问量、门户失败访问量、按时间段请求统计。并可以设置相关报警阈值。</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系统能够提供完整的接口规范以及针对第三方系统的集成API能，集成API需要支持GraphQl、Restful、Web Service等规范，同时需要支持动态弹性查询能力</w:t>
      </w:r>
      <w:r>
        <w:rPr>
          <w:rFonts w:hint="eastAsia" w:ascii="宋体" w:hAnsi="宋体" w:cs="宋体"/>
          <w:spacing w:val="-7"/>
          <w:sz w:val="21"/>
          <w:szCs w:val="21"/>
          <w:lang w:eastAsia="zh-CN"/>
        </w:rPr>
        <w:t>，标准接口根据指定查询属性字段返回不同的数据，而无需更改后端接口代码的能力。</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平台本身需要基于 B/S 架构，系统应采用 B/S 结构实现，采用标准的纯 HTML 的方式进行交互， 支持多种浏览器，包括但不限于 IE7 以上、Firefox、Chrome、Safari、360 浏览器等；</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门户网站需实现与统一身份认证平台的集成；</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具备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屏蔽非授权访问和恶意访问。同时要求保证内部信息传输的安全；</w:t>
      </w:r>
    </w:p>
    <w:p>
      <w:pPr>
        <w:pStyle w:val="106"/>
        <w:pageBreakBefore w:val="0"/>
        <w:widowControl w:val="0"/>
        <w:numPr>
          <w:ilvl w:val="0"/>
          <w:numId w:val="11"/>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门户与学校现有数据</w:t>
      </w:r>
      <w:r>
        <w:rPr>
          <w:rFonts w:hint="eastAsia" w:ascii="宋体" w:hAnsi="宋体" w:eastAsia="宋体" w:cs="宋体"/>
          <w:spacing w:val="-7"/>
          <w:sz w:val="21"/>
          <w:szCs w:val="21"/>
          <w:lang w:eastAsia="zh-Hans"/>
        </w:rPr>
        <w:t>中心</w:t>
      </w:r>
      <w:r>
        <w:rPr>
          <w:rFonts w:hint="eastAsia" w:ascii="宋体" w:hAnsi="宋体" w:eastAsia="宋体" w:cs="宋体"/>
          <w:spacing w:val="-7"/>
          <w:sz w:val="21"/>
          <w:szCs w:val="21"/>
        </w:rPr>
        <w:t>深入对接，无缝对接，所用相关数据通过数据平台交换。</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3.1.5</w:t>
      </w:r>
      <w:r>
        <w:rPr>
          <w:rFonts w:hint="eastAsia" w:ascii="宋体" w:hAnsi="宋体" w:eastAsia="宋体" w:cs="宋体"/>
          <w:sz w:val="21"/>
          <w:szCs w:val="21"/>
        </w:rPr>
        <w:t>多终端支持要求</w:t>
      </w:r>
    </w:p>
    <w:p>
      <w:pPr>
        <w:pStyle w:val="106"/>
        <w:pageBreakBefore w:val="0"/>
        <w:widowControl w:val="0"/>
        <w:numPr>
          <w:ilvl w:val="0"/>
          <w:numId w:val="12"/>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融合服务门户需要同时支持桌面电脑和移动终端，其中移动终端形态包括企业微信、企业号、微信服务号、微信小程序等。</w:t>
      </w:r>
    </w:p>
    <w:p>
      <w:pPr>
        <w:pStyle w:val="106"/>
        <w:pageBreakBefore w:val="0"/>
        <w:widowControl w:val="0"/>
        <w:numPr>
          <w:ilvl w:val="0"/>
          <w:numId w:val="12"/>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融合门户桌面终端和移动终端相关管理需要在统一的融合门户管理后台完成。</w:t>
      </w:r>
    </w:p>
    <w:p>
      <w:pPr>
        <w:pStyle w:val="106"/>
        <w:pageBreakBefore w:val="0"/>
        <w:widowControl w:val="0"/>
        <w:numPr>
          <w:ilvl w:val="0"/>
          <w:numId w:val="12"/>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融合门户应用中心应用需要支持多端投放，管理人员可以指定应用的投放终端。</w:t>
      </w:r>
    </w:p>
    <w:p>
      <w:pPr>
        <w:pStyle w:val="106"/>
        <w:pageBreakBefore w:val="0"/>
        <w:widowControl w:val="0"/>
        <w:numPr>
          <w:ilvl w:val="0"/>
          <w:numId w:val="12"/>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投标人需要在响应文件中提供PC端和移动端设计效果图。</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3.1.6</w:t>
      </w:r>
      <w:r>
        <w:rPr>
          <w:rFonts w:hint="eastAsia" w:ascii="宋体" w:hAnsi="宋体" w:eastAsia="宋体" w:cs="宋体"/>
          <w:sz w:val="21"/>
          <w:szCs w:val="21"/>
        </w:rPr>
        <w:t>完整性和兼容性</w:t>
      </w:r>
    </w:p>
    <w:p>
      <w:pPr>
        <w:pStyle w:val="106"/>
        <w:pageBreakBefore w:val="0"/>
        <w:widowControl w:val="0"/>
        <w:numPr>
          <w:ilvl w:val="0"/>
          <w:numId w:val="1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后台内容管理和前台页面呈现是解耦的，可支持各种呈现样式；</w:t>
      </w:r>
    </w:p>
    <w:p>
      <w:pPr>
        <w:pStyle w:val="106"/>
        <w:pageBreakBefore w:val="0"/>
        <w:widowControl w:val="0"/>
        <w:numPr>
          <w:ilvl w:val="0"/>
          <w:numId w:val="1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标准化集成： 支持 JSON/XML/RSS/PDF/CSV/XLS 等主流数据格式和 HTTP Restful/Web Service/XML-RPC 主流数据调用服务和协议；</w:t>
      </w:r>
    </w:p>
    <w:p>
      <w:pPr>
        <w:pStyle w:val="106"/>
        <w:pageBreakBefore w:val="0"/>
        <w:widowControl w:val="0"/>
        <w:numPr>
          <w:ilvl w:val="0"/>
          <w:numId w:val="13"/>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内置完善的多语言界面与内容支持。</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3.1.7</w:t>
      </w:r>
      <w:r>
        <w:rPr>
          <w:rFonts w:hint="eastAsia" w:ascii="宋体" w:hAnsi="宋体" w:eastAsia="宋体" w:cs="宋体"/>
          <w:sz w:val="21"/>
          <w:szCs w:val="21"/>
        </w:rPr>
        <w:t>响应式web 技术</w:t>
      </w:r>
    </w:p>
    <w:p>
      <w:pPr>
        <w:pStyle w:val="106"/>
        <w:pageBreakBefore w:val="0"/>
        <w:widowControl w:val="0"/>
        <w:numPr>
          <w:ilvl w:val="0"/>
          <w:numId w:val="1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框架内置支持响应式 web 技术。所有页面元素在用户使用场景变化：包括终端设备变化、浏览器窗口大小变化时，进行响应式的界面元素重排至所设定的合理布局；</w:t>
      </w:r>
    </w:p>
    <w:p>
      <w:pPr>
        <w:pStyle w:val="106"/>
        <w:pageBreakBefore w:val="0"/>
        <w:widowControl w:val="0"/>
        <w:numPr>
          <w:ilvl w:val="0"/>
          <w:numId w:val="1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兼容各种主流浏览器，包括主流移动端浏览器，可以自动适应；</w:t>
      </w:r>
    </w:p>
    <w:p>
      <w:pPr>
        <w:pStyle w:val="106"/>
        <w:pageBreakBefore w:val="0"/>
        <w:widowControl w:val="0"/>
        <w:numPr>
          <w:ilvl w:val="0"/>
          <w:numId w:val="14"/>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响应式的界面主题可以被灵活替换，在风格变换的同时提供同样的响应能力。至少提供 2套支持响应式的门户主题。</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3.1.8</w:t>
      </w:r>
      <w:r>
        <w:rPr>
          <w:rFonts w:hint="eastAsia" w:ascii="宋体" w:hAnsi="宋体" w:eastAsia="宋体" w:cs="宋体"/>
          <w:sz w:val="21"/>
          <w:szCs w:val="21"/>
        </w:rPr>
        <w:t>性能要求</w:t>
      </w:r>
    </w:p>
    <w:p>
      <w:pPr>
        <w:pStyle w:val="106"/>
        <w:pageBreakBefore w:val="0"/>
        <w:widowControl w:val="0"/>
        <w:numPr>
          <w:ilvl w:val="0"/>
          <w:numId w:val="1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系统能够达到同时在线用户数 3 万以上，登录系统平均时间不大于 3 秒，在峰值时间段不大于 5 秒。系统处理业务平均响应速度不大于 3 秒；</w:t>
      </w:r>
    </w:p>
    <w:p>
      <w:pPr>
        <w:pStyle w:val="106"/>
        <w:pageBreakBefore w:val="0"/>
        <w:widowControl w:val="0"/>
        <w:numPr>
          <w:ilvl w:val="0"/>
          <w:numId w:val="1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系统具备高可扩展性，能够在不降低性能的情况下扩展用户容量；</w:t>
      </w:r>
    </w:p>
    <w:p>
      <w:pPr>
        <w:pStyle w:val="106"/>
        <w:pageBreakBefore w:val="0"/>
        <w:widowControl w:val="0"/>
        <w:numPr>
          <w:ilvl w:val="0"/>
          <w:numId w:val="15"/>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系统具备分布式架构，自动实现负载均衡。</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3.1.9</w:t>
      </w:r>
      <w:r>
        <w:rPr>
          <w:rFonts w:hint="eastAsia" w:ascii="宋体" w:hAnsi="宋体" w:eastAsia="宋体" w:cs="宋体"/>
          <w:sz w:val="21"/>
          <w:szCs w:val="21"/>
        </w:rPr>
        <w:t>安全要求</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采用主流认证模型，用户使用登录某个（或多个）使用统一认证的应用系统（称其为第三方的应用系统）时，用户的密码及相关加密内容，不会经过第三方的应用系统。密码只会传输给中心认证服务；</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认证过程采用工业级加密技术；</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用户认证信息（密码）采用单向加密技术加密后存储在中心服务器中。即使是中心的管理员也无法从中获取用户密码的明文；</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采取有针对性的架构和措施保障系统及数据的安全，有效防止出现大范围的数据泄漏、数据丢失等安全事件；</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系统具备高可扩展性，能够在不降低性能的情况下扩展用户容量；</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系统具备先进的分布式架构，具备高冗余度设计，实现高可靠性；</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用户身份数据实现分布式存储，支持多级数据备份，支持无缝的操作数据备份与恢复；</w:t>
      </w:r>
    </w:p>
    <w:p>
      <w:pPr>
        <w:pStyle w:val="106"/>
        <w:pageBreakBefore w:val="0"/>
        <w:widowControl w:val="0"/>
        <w:numPr>
          <w:ilvl w:val="0"/>
          <w:numId w:val="16"/>
        </w:numPr>
        <w:kinsoku/>
        <w:wordWrap/>
        <w:overflowPunct/>
        <w:topLinePunct w:val="0"/>
        <w:bidi w:val="0"/>
        <w:spacing w:line="288" w:lineRule="auto"/>
        <w:ind w:left="0" w:right="0" w:firstLine="392" w:firstLineChars="200"/>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提供完整的系统运行日志，支持系统运行情况的审计。</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bCs w:val="0"/>
          <w:kern w:val="0"/>
          <w:sz w:val="21"/>
          <w:szCs w:val="21"/>
          <w:lang w:val="en-US" w:eastAsia="zh-CN"/>
        </w:rPr>
        <w:t>3.2</w:t>
      </w:r>
      <w:r>
        <w:rPr>
          <w:rFonts w:hint="eastAsia" w:ascii="宋体" w:hAnsi="宋体" w:eastAsia="宋体" w:cs="宋体"/>
          <w:bCs w:val="0"/>
          <w:kern w:val="0"/>
          <w:sz w:val="21"/>
          <w:szCs w:val="21"/>
        </w:rPr>
        <w:t>门户</w:t>
      </w:r>
      <w:r>
        <w:rPr>
          <w:rFonts w:hint="eastAsia" w:ascii="宋体" w:hAnsi="宋体" w:eastAsia="宋体" w:cs="宋体"/>
          <w:sz w:val="21"/>
          <w:szCs w:val="21"/>
        </w:rPr>
        <w:t>系统集成</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3.2.1</w:t>
      </w:r>
      <w:r>
        <w:rPr>
          <w:rFonts w:hint="eastAsia" w:ascii="宋体" w:hAnsi="宋体" w:eastAsia="宋体" w:cs="宋体"/>
          <w:sz w:val="21"/>
          <w:szCs w:val="21"/>
        </w:rPr>
        <w:t>应用</w:t>
      </w:r>
      <w:r>
        <w:rPr>
          <w:rFonts w:hint="eastAsia" w:ascii="宋体" w:hAnsi="宋体" w:eastAsia="宋体" w:cs="宋体"/>
          <w:sz w:val="21"/>
          <w:szCs w:val="21"/>
          <w:lang w:val="en-US" w:eastAsia="zh-CN"/>
        </w:rPr>
        <w:t>接入</w:t>
      </w:r>
      <w:r>
        <w:rPr>
          <w:rFonts w:hint="eastAsia" w:ascii="宋体" w:hAnsi="宋体" w:eastAsia="宋体" w:cs="宋体"/>
          <w:sz w:val="21"/>
          <w:szCs w:val="21"/>
        </w:rPr>
        <w:t>集成</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融合门户建设中，需要按照学校要求完成第三方系统接入或数据迁移。</w:t>
      </w:r>
      <w:r>
        <w:rPr>
          <w:rFonts w:hint="eastAsia" w:ascii="宋体" w:hAnsi="宋体" w:eastAsia="宋体" w:cs="宋体"/>
          <w:spacing w:val="-7"/>
          <w:sz w:val="21"/>
          <w:szCs w:val="21"/>
          <w:lang w:val="en-US" w:eastAsia="zh-CN"/>
        </w:rPr>
        <w:t>中标人</w:t>
      </w:r>
      <w:r>
        <w:rPr>
          <w:rFonts w:hint="eastAsia" w:ascii="宋体" w:hAnsi="宋体" w:eastAsia="宋体" w:cs="宋体"/>
          <w:sz w:val="21"/>
          <w:szCs w:val="21"/>
        </w:rPr>
        <w:t>需要为第三方应用系统接入门户提供完整的技术文档支持和技术咨询支持。需要接入门户的第三方应用系统包括：</w:t>
      </w:r>
    </w:p>
    <w:tbl>
      <w:tblPr>
        <w:tblStyle w:val="2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337"/>
        <w:gridCol w:w="1054"/>
        <w:gridCol w:w="1231"/>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第三方系统或模块</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接入</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迁移</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服务门户：通知</w:t>
            </w:r>
            <w:r>
              <w:rPr>
                <w:rFonts w:hint="eastAsia" w:ascii="宋体" w:hAnsi="宋体" w:eastAsia="宋体" w:cs="宋体"/>
                <w:sz w:val="21"/>
                <w:szCs w:val="21"/>
                <w:lang w:val="en-US" w:eastAsia="zh-Hans"/>
              </w:rPr>
              <w:t>公告</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讲座信息</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一周会议</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学校发文</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规章制度</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今日值班</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办公电话</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学校邮箱</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9</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学校校历</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10</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教师个人档案</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网上</w:t>
            </w:r>
            <w:r>
              <w:rPr>
                <w:rFonts w:hint="eastAsia" w:ascii="宋体" w:hAnsi="宋体" w:eastAsia="宋体" w:cs="宋体"/>
                <w:sz w:val="21"/>
                <w:szCs w:val="21"/>
              </w:rPr>
              <w:t>服务大厅</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统一通讯平台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彩云云库</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网络课堂</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网站群管理平台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雨课堂</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中国大学MOOC</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18</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数据</w:t>
            </w:r>
            <w:r>
              <w:rPr>
                <w:rFonts w:hint="eastAsia" w:ascii="宋体" w:hAnsi="宋体" w:eastAsia="宋体" w:cs="宋体"/>
                <w:sz w:val="21"/>
                <w:szCs w:val="21"/>
                <w:lang w:val="en-US" w:eastAsia="zh-Hans"/>
              </w:rPr>
              <w:t>中台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19</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一张表平台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20</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校园软件正版化与</w:t>
            </w:r>
            <w:r>
              <w:rPr>
                <w:rFonts w:hint="eastAsia" w:ascii="宋体" w:hAnsi="宋体" w:eastAsia="宋体" w:cs="宋体"/>
                <w:sz w:val="21"/>
                <w:szCs w:val="21"/>
              </w:rPr>
              <w:t>与服务平台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OA系统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会议签到系统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智慧党建</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财务系统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人事系统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教务系统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毕业论文系统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28</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浙财学堂</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29</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开放式虚拟仿真平台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30</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录播课堂</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第二课堂实践教学数字化平台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评教管理信息系统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电子成绩单</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教室人数监控系统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教学质量工程管理</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研究生系统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科研系统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38</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周转房管理系统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39</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资产管理系统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40</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政府采购云平台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实验室管理系统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学工系统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迎新系统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招生系统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就业管理系统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心理教育管理系统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上课啦</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48</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default" w:ascii="宋体" w:hAnsi="宋体" w:eastAsia="宋体" w:cs="宋体"/>
                <w:sz w:val="21"/>
                <w:szCs w:val="21"/>
              </w:rPr>
            </w:pPr>
            <w:r>
              <w:rPr>
                <w:rFonts w:hint="eastAsia" w:ascii="宋体" w:hAnsi="宋体" w:eastAsia="宋体" w:cs="宋体"/>
                <w:sz w:val="21"/>
                <w:szCs w:val="21"/>
                <w:lang w:val="en-US" w:eastAsia="zh-Hans"/>
              </w:rPr>
              <w:t>智慧思政</w:t>
            </w:r>
            <w:r>
              <w:rPr>
                <w:rFonts w:hint="default" w:ascii="宋体" w:hAnsi="宋体" w:eastAsia="宋体" w:cs="宋体"/>
                <w:sz w:val="21"/>
                <w:szCs w:val="21"/>
                <w:lang w:eastAsia="zh-Hans"/>
              </w:rPr>
              <w:t>（</w:t>
            </w:r>
            <w:r>
              <w:rPr>
                <w:rFonts w:hint="eastAsia" w:ascii="宋体" w:hAnsi="宋体" w:eastAsia="宋体" w:cs="宋体"/>
                <w:sz w:val="21"/>
                <w:szCs w:val="21"/>
              </w:rPr>
              <w:t>学业预警</w:t>
            </w:r>
            <w:r>
              <w:rPr>
                <w:rFonts w:hint="default" w:ascii="宋体" w:hAnsi="宋体" w:eastAsia="宋体" w:cs="宋体"/>
                <w:sz w:val="21"/>
                <w:szCs w:val="21"/>
              </w:rPr>
              <w:t>）</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49</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运动啦</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50</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能源监管平台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51</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出国管理平台</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52</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国际化工作系统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53</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智慧体育</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54</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体质健康信息系统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55</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课外锻炼管理系统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56</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图书馆系统</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是</w:t>
            </w: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57</w:t>
            </w:r>
          </w:p>
        </w:tc>
        <w:tc>
          <w:tcPr>
            <w:tcW w:w="2255"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其他</w:t>
            </w:r>
          </w:p>
        </w:tc>
        <w:tc>
          <w:tcPr>
            <w:tcW w:w="548"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640"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c>
          <w:tcPr>
            <w:tcW w:w="1166" w:type="pct"/>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right="0" w:firstLine="0"/>
              <w:textAlignment w:val="auto"/>
              <w:rPr>
                <w:rFonts w:hint="eastAsia" w:ascii="宋体" w:hAnsi="宋体" w:eastAsia="宋体" w:cs="宋体"/>
                <w:sz w:val="21"/>
                <w:szCs w:val="21"/>
              </w:rPr>
            </w:pPr>
          </w:p>
        </w:tc>
      </w:tr>
    </w:tbl>
    <w:p>
      <w:pPr>
        <w:pageBreakBefore w:val="0"/>
        <w:widowControl w:val="0"/>
        <w:kinsoku/>
        <w:wordWrap/>
        <w:overflowPunct/>
        <w:topLinePunct w:val="0"/>
        <w:bidi w:val="0"/>
        <w:spacing w:line="288" w:lineRule="auto"/>
        <w:ind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Hans"/>
        </w:rPr>
        <w:t>具体第三方系统的接入</w:t>
      </w:r>
      <w:r>
        <w:rPr>
          <w:rFonts w:hint="eastAsia" w:ascii="宋体" w:hAnsi="宋体" w:eastAsia="宋体" w:cs="宋体"/>
          <w:sz w:val="21"/>
          <w:szCs w:val="21"/>
          <w:lang w:eastAsia="zh-Hans"/>
        </w:rPr>
        <w:t>根据学校实际需求调整</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接入应用数量不超过</w:t>
      </w:r>
      <w:r>
        <w:rPr>
          <w:rFonts w:hint="default" w:ascii="宋体" w:hAnsi="宋体" w:eastAsia="宋体" w:cs="宋体"/>
          <w:sz w:val="21"/>
          <w:szCs w:val="21"/>
          <w:lang w:eastAsia="zh-Hans"/>
        </w:rPr>
        <w:t>57</w:t>
      </w:r>
      <w:r>
        <w:rPr>
          <w:rFonts w:hint="eastAsia" w:ascii="宋体" w:hAnsi="宋体" w:eastAsia="宋体" w:cs="宋体"/>
          <w:sz w:val="21"/>
          <w:szCs w:val="21"/>
          <w:lang w:val="en-US" w:eastAsia="zh-Hans"/>
        </w:rPr>
        <w:t>个</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由此产生的第三方费用由中标</w:t>
      </w:r>
      <w:r>
        <w:rPr>
          <w:rFonts w:hint="eastAsia" w:ascii="宋体" w:hAnsi="宋体" w:eastAsia="宋体" w:cs="宋体"/>
          <w:sz w:val="21"/>
          <w:szCs w:val="21"/>
          <w:lang w:val="en-US" w:eastAsia="zh-CN"/>
        </w:rPr>
        <w:t>人</w:t>
      </w:r>
      <w:r>
        <w:rPr>
          <w:rFonts w:hint="eastAsia" w:ascii="宋体" w:hAnsi="宋体" w:eastAsia="宋体" w:cs="宋体"/>
          <w:sz w:val="21"/>
          <w:szCs w:val="21"/>
          <w:lang w:val="en-US" w:eastAsia="zh-Hans"/>
        </w:rPr>
        <w:t>承担</w:t>
      </w:r>
      <w:r>
        <w:rPr>
          <w:rFonts w:hint="eastAsia" w:ascii="宋体" w:hAnsi="宋体" w:eastAsia="宋体" w:cs="宋体"/>
          <w:sz w:val="21"/>
          <w:szCs w:val="21"/>
          <w:lang w:val="en-US" w:eastAsia="zh-CN"/>
        </w:rPr>
        <w:t>，所有费用均包含在投标总价内。</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3.2.2</w:t>
      </w:r>
      <w:r>
        <w:rPr>
          <w:rFonts w:hint="eastAsia" w:ascii="宋体" w:hAnsi="宋体" w:eastAsia="宋体" w:cs="宋体"/>
          <w:sz w:val="21"/>
          <w:szCs w:val="21"/>
        </w:rPr>
        <w:t>移动应用接入要求</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学校拥有一批移动端服务应用，</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需要和第三方开发商积极配合，完成以下应用接入门户，并且能控制只在移动端展示入口。</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557"/>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第三方</w:t>
            </w:r>
            <w:r>
              <w:rPr>
                <w:rFonts w:hint="eastAsia" w:ascii="宋体" w:hAnsi="宋体" w:eastAsia="宋体" w:cs="宋体"/>
                <w:sz w:val="21"/>
                <w:szCs w:val="21"/>
                <w:lang w:val="en-US" w:eastAsia="zh-Hans"/>
              </w:rPr>
              <w:t>移动应用</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我的日程</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图书借阅</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校历查询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校园地图</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开票信息</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外来人员进校</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失物招领</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校园相册</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9</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跳蚤市场</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10</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问卷调查</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11</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我的课表</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12</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成绩查询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13</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蹭课助手</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14</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空教室查询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15</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心理健康教育</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16</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空闲机房推荐</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17</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通讯录</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18</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工资查询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19</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校车查询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20</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科研查询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21</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资产查询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22</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值班表</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23</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周会表</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24</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中层值班</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25</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考试查询</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26</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我的会议</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27</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个人档案</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28</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听评课</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29</w:t>
            </w:r>
          </w:p>
        </w:tc>
        <w:tc>
          <w:tcPr>
            <w:tcW w:w="2885"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其他</w:t>
            </w:r>
          </w:p>
        </w:tc>
        <w:tc>
          <w:tcPr>
            <w:tcW w:w="1666" w:type="pct"/>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sz w:val="21"/>
                <w:szCs w:val="21"/>
              </w:rPr>
            </w:pPr>
          </w:p>
        </w:tc>
      </w:tr>
    </w:tbl>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Hans"/>
        </w:rPr>
        <w:t>具体移动应用接入</w:t>
      </w:r>
      <w:r>
        <w:rPr>
          <w:rFonts w:hint="eastAsia" w:ascii="宋体" w:hAnsi="宋体" w:eastAsia="宋体" w:cs="宋体"/>
          <w:sz w:val="21"/>
          <w:szCs w:val="21"/>
          <w:lang w:eastAsia="zh-Hans"/>
        </w:rPr>
        <w:t>根据学校实际需求调整</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接入应用数量不超过</w:t>
      </w:r>
      <w:r>
        <w:rPr>
          <w:rFonts w:hint="default" w:ascii="宋体" w:hAnsi="宋体" w:eastAsia="宋体" w:cs="宋体"/>
          <w:sz w:val="21"/>
          <w:szCs w:val="21"/>
          <w:lang w:val="en-US" w:eastAsia="zh-Hans"/>
        </w:rPr>
        <w:t>30</w:t>
      </w:r>
      <w:r>
        <w:rPr>
          <w:rFonts w:hint="eastAsia" w:ascii="宋体" w:hAnsi="宋体" w:eastAsia="宋体" w:cs="宋体"/>
          <w:sz w:val="21"/>
          <w:szCs w:val="21"/>
          <w:lang w:val="en-US" w:eastAsia="zh-Hans"/>
        </w:rPr>
        <w:t>个</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由此产生的第三方费用由中标</w:t>
      </w:r>
      <w:r>
        <w:rPr>
          <w:rFonts w:hint="eastAsia" w:ascii="宋体" w:hAnsi="宋体" w:eastAsia="宋体" w:cs="宋体"/>
          <w:sz w:val="21"/>
          <w:szCs w:val="21"/>
          <w:lang w:val="en-US" w:eastAsia="zh-CN"/>
        </w:rPr>
        <w:t>人</w:t>
      </w:r>
      <w:r>
        <w:rPr>
          <w:rFonts w:hint="eastAsia" w:ascii="宋体" w:hAnsi="宋体" w:eastAsia="宋体" w:cs="宋体"/>
          <w:sz w:val="21"/>
          <w:szCs w:val="21"/>
          <w:lang w:val="en-US" w:eastAsia="zh-Hans"/>
        </w:rPr>
        <w:t>承担</w:t>
      </w:r>
      <w:r>
        <w:rPr>
          <w:rFonts w:hint="eastAsia" w:ascii="宋体" w:hAnsi="宋体" w:eastAsia="宋体" w:cs="宋体"/>
          <w:sz w:val="21"/>
          <w:szCs w:val="21"/>
          <w:lang w:val="en-US" w:eastAsia="zh-CN"/>
        </w:rPr>
        <w:t>，所有费用均包含在投标总价内。</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3.2.3</w:t>
      </w:r>
      <w:r>
        <w:rPr>
          <w:rFonts w:hint="eastAsia" w:ascii="宋体" w:hAnsi="宋体" w:eastAsia="宋体" w:cs="宋体"/>
          <w:sz w:val="21"/>
          <w:szCs w:val="21"/>
        </w:rPr>
        <w:t>办事大厅应用接入要求</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学校办事大厅是学校核心校级办事应用，融合门户的设计风格需要和办事大厅相互协调，并能将办事大厅办事流程自动注入到融合门户的应用中心。注入到应用中心办事流程，要保持流程节点和流程特性不发生变化，并能完整继承办事大厅的人员身份体系和授权、图标、标签、里程碑等。</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3.2.4</w:t>
      </w:r>
      <w:r>
        <w:rPr>
          <w:rFonts w:hint="eastAsia" w:ascii="宋体" w:hAnsi="宋体" w:eastAsia="宋体" w:cs="宋体"/>
          <w:sz w:val="21"/>
          <w:szCs w:val="21"/>
        </w:rPr>
        <w:t>提醒</w:t>
      </w:r>
      <w:r>
        <w:rPr>
          <w:rFonts w:hint="eastAsia" w:ascii="宋体" w:hAnsi="宋体" w:eastAsia="宋体" w:cs="宋体"/>
          <w:sz w:val="21"/>
          <w:szCs w:val="21"/>
          <w:lang w:val="en-US" w:eastAsia="zh-CN"/>
        </w:rPr>
        <w:t>接入</w:t>
      </w:r>
      <w:r>
        <w:rPr>
          <w:rFonts w:hint="eastAsia" w:ascii="宋体" w:hAnsi="宋体" w:eastAsia="宋体" w:cs="宋体"/>
          <w:sz w:val="21"/>
          <w:szCs w:val="21"/>
        </w:rPr>
        <w:t>集成</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统一提醒中心需要提供严格的接入授权和合理的接入安全控制，中标</w:t>
      </w:r>
      <w:r>
        <w:rPr>
          <w:rFonts w:hint="eastAsia" w:ascii="宋体" w:hAnsi="宋体" w:eastAsia="宋体" w:cs="宋体"/>
          <w:sz w:val="21"/>
          <w:szCs w:val="21"/>
          <w:lang w:val="en-US" w:eastAsia="zh-CN"/>
        </w:rPr>
        <w:t>人</w:t>
      </w:r>
      <w:r>
        <w:rPr>
          <w:rFonts w:hint="eastAsia" w:ascii="宋体" w:hAnsi="宋体" w:eastAsia="宋体" w:cs="宋体"/>
          <w:sz w:val="21"/>
          <w:szCs w:val="21"/>
        </w:rPr>
        <w:t>需要和学校第三方</w:t>
      </w:r>
      <w:r>
        <w:rPr>
          <w:rFonts w:hint="eastAsia" w:ascii="宋体" w:hAnsi="宋体" w:eastAsia="宋体" w:cs="宋体"/>
          <w:sz w:val="21"/>
          <w:szCs w:val="21"/>
          <w:lang w:val="en-US" w:eastAsia="zh-CN"/>
        </w:rPr>
        <w:t>开发商</w:t>
      </w:r>
      <w:r>
        <w:rPr>
          <w:rFonts w:hint="eastAsia" w:ascii="宋体" w:hAnsi="宋体" w:eastAsia="宋体" w:cs="宋体"/>
          <w:sz w:val="21"/>
          <w:szCs w:val="21"/>
        </w:rPr>
        <w:t>积极配合，完成以下第三方系统在提醒中心接入，实现第三方系统提醒在统一提醒中心进行消息提醒。</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557"/>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pPr>
              <w:keepNext w:val="0"/>
              <w:keepLines w:val="0"/>
              <w:pageBreakBefore w:val="0"/>
              <w:widowControl w:val="0"/>
              <w:kinsoku/>
              <w:wordWrap/>
              <w:overflowPunct/>
              <w:topLinePunct w:val="0"/>
              <w:bidi w:val="0"/>
              <w:adjustRightInd/>
              <w:snapToGrid/>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第三方系统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教务系统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研究生系统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学工系统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科研系统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办公系统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人事系统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财务系统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办事大厅</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9</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数据智能门户</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bl>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须对接消息</w:t>
      </w:r>
      <w:r>
        <w:rPr>
          <w:rFonts w:hint="eastAsia" w:ascii="宋体" w:hAnsi="宋体" w:eastAsia="宋体" w:cs="宋体"/>
          <w:sz w:val="21"/>
          <w:szCs w:val="21"/>
          <w:lang w:eastAsia="zh-Hans"/>
        </w:rPr>
        <w:t>提醒</w:t>
      </w:r>
      <w:r>
        <w:rPr>
          <w:rFonts w:hint="eastAsia" w:ascii="宋体" w:hAnsi="宋体" w:eastAsia="宋体" w:cs="宋体"/>
          <w:sz w:val="21"/>
          <w:szCs w:val="21"/>
          <w:lang w:val="en-US" w:eastAsia="zh-Hans"/>
        </w:rPr>
        <w:t>的第三方系统</w:t>
      </w:r>
      <w:r>
        <w:rPr>
          <w:rFonts w:hint="eastAsia" w:ascii="宋体" w:hAnsi="宋体" w:eastAsia="宋体" w:cs="宋体"/>
          <w:sz w:val="21"/>
          <w:szCs w:val="21"/>
          <w:lang w:val="en-US" w:eastAsia="zh-CN"/>
        </w:rPr>
        <w:t>不超过1</w:t>
      </w:r>
      <w:r>
        <w:rPr>
          <w:rFonts w:hint="default" w:ascii="宋体" w:hAnsi="宋体" w:eastAsia="宋体" w:cs="宋体"/>
          <w:sz w:val="21"/>
          <w:szCs w:val="21"/>
          <w:lang w:eastAsia="zh-CN"/>
        </w:rPr>
        <w:t>5</w:t>
      </w:r>
      <w:r>
        <w:rPr>
          <w:rFonts w:hint="eastAsia" w:ascii="宋体" w:hAnsi="宋体" w:eastAsia="宋体" w:cs="宋体"/>
          <w:sz w:val="21"/>
          <w:szCs w:val="21"/>
          <w:lang w:val="en-US" w:eastAsia="zh-CN"/>
        </w:rPr>
        <w:t>个，</w:t>
      </w:r>
      <w:r>
        <w:rPr>
          <w:rFonts w:hint="eastAsia" w:ascii="宋体" w:hAnsi="宋体" w:eastAsia="宋体" w:cs="宋体"/>
          <w:sz w:val="21"/>
          <w:szCs w:val="21"/>
          <w:lang w:val="en-US" w:eastAsia="zh-Hans"/>
        </w:rPr>
        <w:t>由此产生的第三方对接</w:t>
      </w:r>
      <w:r>
        <w:rPr>
          <w:rFonts w:hint="eastAsia" w:ascii="宋体" w:hAnsi="宋体" w:eastAsia="宋体" w:cs="宋体"/>
          <w:sz w:val="21"/>
          <w:szCs w:val="21"/>
          <w:lang w:val="en-US" w:eastAsia="zh-CN"/>
        </w:rPr>
        <w:t>费用由中标人承担，所有费用均包含在投标总价内。</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3.2.5</w:t>
      </w:r>
      <w:r>
        <w:rPr>
          <w:rFonts w:hint="eastAsia" w:ascii="宋体" w:hAnsi="宋体" w:eastAsia="宋体" w:cs="宋体"/>
          <w:sz w:val="21"/>
          <w:szCs w:val="21"/>
        </w:rPr>
        <w:t>待办接入集成</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统一待办中心需要提供严格的接入授权和合理的接入安全控制，</w:t>
      </w:r>
      <w:r>
        <w:rPr>
          <w:rFonts w:hint="eastAsia" w:ascii="宋体" w:hAnsi="宋体" w:eastAsia="宋体" w:cs="宋体"/>
          <w:spacing w:val="-7"/>
          <w:sz w:val="21"/>
          <w:szCs w:val="21"/>
          <w:lang w:val="en-US" w:eastAsia="zh-CN"/>
        </w:rPr>
        <w:t>中标人</w:t>
      </w:r>
      <w:r>
        <w:rPr>
          <w:rFonts w:hint="eastAsia" w:ascii="宋体" w:hAnsi="宋体" w:eastAsia="宋体" w:cs="宋体"/>
          <w:sz w:val="21"/>
          <w:szCs w:val="21"/>
        </w:rPr>
        <w:t>需要和</w:t>
      </w:r>
      <w:r>
        <w:rPr>
          <w:rFonts w:hint="eastAsia" w:ascii="宋体" w:hAnsi="宋体" w:eastAsia="宋体" w:cs="宋体"/>
          <w:sz w:val="21"/>
          <w:szCs w:val="21"/>
          <w:lang w:val="en-US" w:eastAsia="zh-CN"/>
        </w:rPr>
        <w:t>学校</w:t>
      </w:r>
      <w:r>
        <w:rPr>
          <w:rFonts w:hint="eastAsia" w:ascii="宋体" w:hAnsi="宋体" w:eastAsia="宋体" w:cs="宋体"/>
          <w:sz w:val="21"/>
          <w:szCs w:val="21"/>
        </w:rPr>
        <w:t>第三方</w:t>
      </w:r>
      <w:r>
        <w:rPr>
          <w:rFonts w:hint="eastAsia" w:ascii="宋体" w:hAnsi="宋体" w:eastAsia="宋体" w:cs="宋体"/>
          <w:sz w:val="21"/>
          <w:szCs w:val="21"/>
          <w:lang w:val="en-US" w:eastAsia="zh-CN"/>
        </w:rPr>
        <w:t>开发商</w:t>
      </w:r>
      <w:r>
        <w:rPr>
          <w:rFonts w:hint="eastAsia" w:ascii="宋体" w:hAnsi="宋体" w:eastAsia="宋体" w:cs="宋体"/>
          <w:sz w:val="21"/>
          <w:szCs w:val="21"/>
        </w:rPr>
        <w:t>积极配合，完成以下第三方系统在待办中心接入，实现第三方系统任务在融合门户统一待办中心集中展示和处理。待办中心接入应包括：待办、进行中、已办等。</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557"/>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 w:type="pct"/>
          </w:tcPr>
          <w:p>
            <w:pPr>
              <w:keepNext w:val="0"/>
              <w:keepLines w:val="0"/>
              <w:pageBreakBefore w:val="0"/>
              <w:widowControl w:val="0"/>
              <w:kinsoku/>
              <w:wordWrap/>
              <w:overflowPunct/>
              <w:topLinePunct w:val="0"/>
              <w:bidi w:val="0"/>
              <w:adjustRightInd/>
              <w:snapToGrid/>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第三方系统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教务系统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研究生系统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学工系统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科研系统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办公系统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人事系统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财务系统</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办事大厅</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9</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数据智能门户</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10</w:t>
            </w:r>
          </w:p>
        </w:tc>
        <w:tc>
          <w:tcPr>
            <w:tcW w:w="2885"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1666" w:type="pct"/>
          </w:tcPr>
          <w:p>
            <w:pPr>
              <w:keepNext w:val="0"/>
              <w:keepLines w:val="0"/>
              <w:pageBreakBefore w:val="0"/>
              <w:widowControl w:val="0"/>
              <w:kinsoku/>
              <w:wordWrap/>
              <w:overflowPunct/>
              <w:topLinePunct w:val="0"/>
              <w:bidi w:val="0"/>
              <w:adjustRightInd/>
              <w:snapToGrid/>
              <w:spacing w:line="288" w:lineRule="auto"/>
              <w:ind w:left="0" w:right="0" w:firstLine="0"/>
              <w:textAlignment w:val="auto"/>
              <w:rPr>
                <w:rFonts w:hint="eastAsia" w:ascii="宋体" w:hAnsi="宋体" w:eastAsia="宋体" w:cs="宋体"/>
                <w:sz w:val="21"/>
                <w:szCs w:val="21"/>
              </w:rPr>
            </w:pPr>
          </w:p>
        </w:tc>
      </w:tr>
    </w:tbl>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须对接统一</w:t>
      </w:r>
      <w:r>
        <w:rPr>
          <w:rFonts w:hint="eastAsia" w:ascii="宋体" w:hAnsi="宋体" w:eastAsia="宋体" w:cs="宋体"/>
          <w:sz w:val="21"/>
          <w:szCs w:val="21"/>
          <w:lang w:eastAsia="zh-Hans"/>
        </w:rPr>
        <w:t>待办</w:t>
      </w:r>
      <w:r>
        <w:rPr>
          <w:rFonts w:hint="eastAsia" w:ascii="宋体" w:hAnsi="宋体" w:eastAsia="宋体" w:cs="宋体"/>
          <w:sz w:val="21"/>
          <w:szCs w:val="21"/>
          <w:lang w:val="en-US" w:eastAsia="zh-Hans"/>
        </w:rPr>
        <w:t>中心的第三方</w:t>
      </w:r>
      <w:r>
        <w:rPr>
          <w:rFonts w:hint="eastAsia" w:ascii="宋体" w:hAnsi="宋体" w:eastAsia="宋体" w:cs="宋体"/>
          <w:sz w:val="21"/>
          <w:szCs w:val="21"/>
          <w:lang w:val="en-US" w:eastAsia="zh-CN"/>
        </w:rPr>
        <w:t>系统总数不超过1</w:t>
      </w:r>
      <w:r>
        <w:rPr>
          <w:rFonts w:hint="default" w:ascii="宋体" w:hAnsi="宋体" w:eastAsia="宋体" w:cs="宋体"/>
          <w:sz w:val="21"/>
          <w:szCs w:val="21"/>
          <w:lang w:eastAsia="zh-CN"/>
        </w:rPr>
        <w:t>5</w:t>
      </w:r>
      <w:r>
        <w:rPr>
          <w:rFonts w:hint="eastAsia" w:ascii="宋体" w:hAnsi="宋体" w:eastAsia="宋体" w:cs="宋体"/>
          <w:sz w:val="21"/>
          <w:szCs w:val="21"/>
          <w:lang w:val="en-US" w:eastAsia="zh-CN"/>
        </w:rPr>
        <w:t>个</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由此产生的第三方对接</w:t>
      </w:r>
      <w:r>
        <w:rPr>
          <w:rFonts w:hint="eastAsia" w:ascii="宋体" w:hAnsi="宋体" w:eastAsia="宋体" w:cs="宋体"/>
          <w:sz w:val="21"/>
          <w:szCs w:val="21"/>
          <w:lang w:val="en-US" w:eastAsia="zh-CN"/>
        </w:rPr>
        <w:t>费用由中标人承担，所有费用均包含在投标总价内</w:t>
      </w:r>
      <w:r>
        <w:rPr>
          <w:rFonts w:hint="eastAsia" w:ascii="宋体" w:hAnsi="宋体" w:eastAsia="宋体" w:cs="宋体"/>
          <w:sz w:val="21"/>
          <w:szCs w:val="21"/>
          <w:lang w:eastAsia="zh-Hans"/>
        </w:rPr>
        <w:t>。</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3.2.6</w:t>
      </w:r>
      <w:r>
        <w:rPr>
          <w:rFonts w:hint="eastAsia" w:ascii="宋体" w:hAnsi="宋体" w:eastAsia="宋体" w:cs="宋体"/>
          <w:sz w:val="21"/>
          <w:szCs w:val="21"/>
        </w:rPr>
        <w:t>历史数据迁移要求</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学校原门户平台中相关历史数据</w:t>
      </w:r>
      <w:r>
        <w:rPr>
          <w:rFonts w:hint="eastAsia" w:ascii="宋体" w:hAnsi="宋体" w:eastAsia="宋体" w:cs="宋体"/>
          <w:sz w:val="21"/>
          <w:szCs w:val="21"/>
          <w:lang w:val="en-US" w:eastAsia="zh-CN"/>
        </w:rPr>
        <w:t>须</w:t>
      </w:r>
      <w:r>
        <w:rPr>
          <w:rFonts w:hint="eastAsia" w:ascii="宋体" w:hAnsi="宋体" w:eastAsia="宋体" w:cs="宋体"/>
          <w:sz w:val="21"/>
          <w:szCs w:val="21"/>
        </w:rPr>
        <w:t>整体迁移到新版门户中，</w:t>
      </w:r>
      <w:r>
        <w:rPr>
          <w:rFonts w:hint="eastAsia" w:ascii="宋体" w:hAnsi="宋体" w:eastAsia="宋体" w:cs="宋体"/>
          <w:spacing w:val="-7"/>
          <w:sz w:val="21"/>
          <w:szCs w:val="21"/>
          <w:lang w:val="en-US" w:eastAsia="zh-CN"/>
        </w:rPr>
        <w:t>中标人</w:t>
      </w:r>
      <w:r>
        <w:rPr>
          <w:rFonts w:hint="eastAsia" w:ascii="宋体" w:hAnsi="宋体" w:eastAsia="宋体" w:cs="宋体"/>
          <w:sz w:val="21"/>
          <w:szCs w:val="21"/>
        </w:rPr>
        <w:t>在实施过程中，需要充分考虑到原门户的数据结构，确保平滑迁移和关键数据完整性和正确性。</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3.2.7</w:t>
      </w:r>
      <w:r>
        <w:rPr>
          <w:rFonts w:hint="eastAsia" w:ascii="宋体" w:hAnsi="宋体" w:eastAsia="宋体" w:cs="宋体"/>
          <w:sz w:val="21"/>
          <w:szCs w:val="21"/>
        </w:rPr>
        <w:t>统一身份认证集成要求</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按照学校统一身份认证文档要求，接入学校统一身份认证体系。</w:t>
      </w:r>
    </w:p>
    <w:p>
      <w:pPr>
        <w:pStyle w:val="5"/>
        <w:numPr>
          <w:ilvl w:val="0"/>
          <w:numId w:val="0"/>
        </w:numPr>
        <w:spacing w:before="0" w:line="288" w:lineRule="auto"/>
        <w:ind w:leftChars="0" w:right="955" w:rightChars="0"/>
        <w:rPr>
          <w:rFonts w:hint="eastAsia" w:cs="宋体"/>
          <w:sz w:val="21"/>
          <w:szCs w:val="21"/>
          <w:lang w:val="en-US" w:eastAsia="zh-CN"/>
        </w:rPr>
      </w:pPr>
      <w:r>
        <w:rPr>
          <w:rFonts w:hint="eastAsia" w:cs="宋体"/>
          <w:sz w:val="21"/>
          <w:szCs w:val="21"/>
          <w:lang w:val="en-US" w:eastAsia="zh-CN"/>
        </w:rPr>
        <w:t>3.2.8第三方集成费用</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门户平</w:t>
      </w:r>
      <w:r>
        <w:rPr>
          <w:rFonts w:hint="eastAsia" w:ascii="宋体" w:hAnsi="宋体" w:eastAsia="宋体" w:cs="宋体"/>
          <w:sz w:val="21"/>
          <w:szCs w:val="21"/>
          <w:highlight w:val="none"/>
          <w:lang w:val="en-US" w:eastAsia="zh-CN"/>
        </w:rPr>
        <w:t>台需要集成大量第三方平台和应用，中间存在某些系统已经不在服务期内或系统需要做比较大的改动才可以顺利接入。整个项目预算8万元集成费用，</w:t>
      </w:r>
      <w:r>
        <w:rPr>
          <w:rFonts w:hint="eastAsia" w:ascii="宋体" w:hAnsi="宋体" w:eastAsia="宋体" w:cs="黑体"/>
          <w:szCs w:val="21"/>
          <w:highlight w:val="none"/>
        </w:rPr>
        <w:t>投</w:t>
      </w:r>
      <w:r>
        <w:rPr>
          <w:rFonts w:hint="eastAsia" w:ascii="宋体" w:hAnsi="宋体" w:eastAsia="宋体" w:cs="黑体"/>
          <w:szCs w:val="21"/>
          <w:highlight w:val="none"/>
          <w:lang w:val="en-US" w:eastAsia="zh-CN"/>
        </w:rPr>
        <w:t>标人投</w:t>
      </w:r>
      <w:r>
        <w:rPr>
          <w:rFonts w:hint="eastAsia" w:ascii="宋体" w:hAnsi="宋体" w:eastAsia="宋体" w:cs="黑体"/>
          <w:szCs w:val="21"/>
          <w:highlight w:val="none"/>
        </w:rPr>
        <w:t>标报价需包含质保期内项目实施的一切费用</w:t>
      </w:r>
      <w:r>
        <w:rPr>
          <w:rFonts w:hint="eastAsia" w:ascii="宋体" w:hAnsi="宋体" w:eastAsia="宋体" w:cs="宋体"/>
          <w:sz w:val="21"/>
          <w:szCs w:val="21"/>
          <w:highlight w:val="none"/>
          <w:lang w:val="en-US" w:eastAsia="zh-CN"/>
        </w:rPr>
        <w:t>。</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highlight w:val="none"/>
        </w:rPr>
      </w:pPr>
      <w:r>
        <w:rPr>
          <w:rFonts w:hint="eastAsia" w:ascii="宋体" w:hAnsi="宋体" w:eastAsia="宋体" w:cs="宋体"/>
          <w:bCs w:val="0"/>
          <w:kern w:val="0"/>
          <w:sz w:val="21"/>
          <w:szCs w:val="21"/>
          <w:highlight w:val="none"/>
          <w:lang w:val="en-US" w:eastAsia="zh-CN"/>
        </w:rPr>
        <w:t>3.3数据</w:t>
      </w:r>
      <w:r>
        <w:rPr>
          <w:rFonts w:hint="eastAsia" w:ascii="宋体" w:hAnsi="宋体" w:eastAsia="宋体" w:cs="宋体"/>
          <w:sz w:val="21"/>
          <w:szCs w:val="21"/>
          <w:highlight w:val="none"/>
        </w:rPr>
        <w:t>可视化平台</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数据可视化平台为</w:t>
      </w:r>
      <w:r>
        <w:rPr>
          <w:rFonts w:hint="eastAsia" w:ascii="宋体" w:hAnsi="宋体" w:eastAsia="宋体" w:cs="宋体"/>
          <w:sz w:val="21"/>
          <w:szCs w:val="21"/>
        </w:rPr>
        <w:t>用户提供可视化编排、数据管理和后台管理界面，提供相对固定的可视化应用。可视化编排是用户主要操作界面，集页面编排、权限设置、发布等功能，为用户提供一个无代码数据可视化开发平台。基于B/S架构，用户无需安装，浏览器直接打开使用，提供各类数据图表、交互组件、图文资源和丰富的可视化业务模型库和模板库，用户一键拖拽使用。</w:t>
      </w:r>
    </w:p>
    <w:p>
      <w:pPr>
        <w:pageBreakBefore w:val="0"/>
        <w:widowControl w:val="0"/>
        <w:kinsoku/>
        <w:wordWrap/>
        <w:overflowPunct/>
        <w:topLinePunct w:val="0"/>
        <w:bidi w:val="0"/>
        <w:spacing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应用数据可视化平台，当前主要是支撑门户上浙财智慧大脑的数据可视化应用展现，未来可以扩展到其他业务场景的数据可视化服务。</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ascii="宋体" w:hAnsi="宋体" w:eastAsia="宋体" w:cs="宋体"/>
          <w:sz w:val="21"/>
          <w:szCs w:val="21"/>
          <w:lang w:val="en-US" w:eastAsia="zh-CN"/>
        </w:rPr>
        <w:t>3.3.1</w:t>
      </w:r>
      <w:r>
        <w:rPr>
          <w:rFonts w:hint="eastAsia" w:ascii="宋体" w:hAnsi="宋体" w:eastAsia="宋体" w:cs="宋体"/>
          <w:sz w:val="21"/>
          <w:szCs w:val="21"/>
        </w:rPr>
        <w:t>数据可视化编辑</w:t>
      </w:r>
    </w:p>
    <w:p>
      <w:pPr>
        <w:pStyle w:val="5"/>
        <w:numPr>
          <w:ilvl w:val="0"/>
          <w:numId w:val="0"/>
        </w:numPr>
        <w:spacing w:before="0" w:line="288" w:lineRule="auto"/>
        <w:ind w:leftChars="0" w:right="955" w:rightChars="0"/>
        <w:rPr>
          <w:rFonts w:hint="eastAsia"/>
          <w:sz w:val="21"/>
          <w:szCs w:val="21"/>
        </w:rPr>
      </w:pPr>
      <w:r>
        <w:rPr>
          <w:rFonts w:hint="eastAsia"/>
          <w:sz w:val="21"/>
          <w:szCs w:val="21"/>
          <w:lang w:val="en-US" w:eastAsia="zh-CN"/>
        </w:rPr>
        <w:t>3.3.1.1</w:t>
      </w:r>
      <w:r>
        <w:rPr>
          <w:rFonts w:hint="eastAsia"/>
          <w:sz w:val="21"/>
          <w:szCs w:val="21"/>
        </w:rPr>
        <w:t>架构</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支持系统采用B/S结构架构，支持多终端（PC/移动），支持多操作系统（windows/mac/linux, ios/安卓）。</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3.3.1.2</w:t>
      </w:r>
      <w:r>
        <w:rPr>
          <w:rFonts w:hint="eastAsia" w:ascii="宋体" w:hAnsi="宋体" w:eastAsia="宋体" w:cs="宋体"/>
          <w:sz w:val="21"/>
          <w:szCs w:val="21"/>
        </w:rPr>
        <w:t>图表</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平台提供40种可视化图表，包括：表格、柱状图、折线图、饼图、气泡图、树形图、仪表盘、漏斗图、雷达图、文字云、热力图、日历图、地图等可视化图表</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3.3.1.3</w:t>
      </w:r>
      <w:r>
        <w:rPr>
          <w:rFonts w:hint="eastAsia" w:ascii="宋体" w:hAnsi="宋体" w:eastAsia="宋体" w:cs="宋体"/>
          <w:sz w:val="21"/>
          <w:szCs w:val="21"/>
        </w:rPr>
        <w:t>页面</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页面尺寸支持移动端、电脑端、大屏端或自定义设置，可创作多个页面，一键更换页面背景色、底纹，自定义水印（包括读者昵称水印、作者昵称水印）及尾注。</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3.3.1.4</w:t>
      </w:r>
      <w:r>
        <w:rPr>
          <w:rFonts w:hint="eastAsia" w:ascii="宋体" w:hAnsi="宋体" w:eastAsia="宋体" w:cs="宋体"/>
          <w:sz w:val="21"/>
          <w:szCs w:val="21"/>
        </w:rPr>
        <w:t>组件</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w:t>
      </w:r>
      <w:r>
        <w:rPr>
          <w:rFonts w:hint="eastAsia" w:ascii="宋体" w:hAnsi="宋体" w:eastAsia="宋体" w:cs="宋体"/>
          <w:sz w:val="21"/>
          <w:szCs w:val="21"/>
        </w:rPr>
        <w:t>20种组件，通过使用组件，实现数据联动筛选、页面切换和跳转、菜单、导航、搜索等用户交互效果，主要包括（时间、文件、网页、页面轮播、动态文本、拨打电话、Tab选项卡、单容器、音频、视频、附件，日期、日期范围、下拉、横向切换、横向导航、纵向切换、纵向导航、搜索、书签搜索、选择器、级联选择器和树状筛选、菜单组件）</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3.3.1.5</w:t>
      </w:r>
      <w:r>
        <w:rPr>
          <w:rFonts w:hint="eastAsia" w:ascii="宋体" w:hAnsi="宋体" w:eastAsia="宋体" w:cs="宋体"/>
          <w:sz w:val="21"/>
          <w:szCs w:val="21"/>
        </w:rPr>
        <w:t>主题</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支持一键更换主题配色和主题字体，一键替换对象类型（文本、图片、形状、图表、图标等），一键更改对象样式；</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支持多对象（文本、图片、形状、图表、图标）的分层管理、组合管理、锁定管理、超链接管理。</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3.3.1.6</w:t>
      </w:r>
      <w:r>
        <w:rPr>
          <w:rFonts w:hint="eastAsia" w:ascii="宋体" w:hAnsi="宋体" w:eastAsia="宋体" w:cs="宋体"/>
          <w:sz w:val="21"/>
          <w:szCs w:val="21"/>
        </w:rPr>
        <w:t>多人协作</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支持多人协作编辑功能，编辑状态支持远程多人在同一界面协同编辑，编辑结束后，权限返回初始协同者，查阅状态支持用户公开批示或@指定人在页面内定位批示。</w:t>
      </w:r>
    </w:p>
    <w:p>
      <w:pPr>
        <w:pStyle w:val="5"/>
        <w:pageBreakBefore w:val="0"/>
        <w:widowControl w:val="0"/>
        <w:numPr>
          <w:ilvl w:val="0"/>
          <w:numId w:val="0"/>
        </w:numPr>
        <w:kinsoku/>
        <w:wordWrap/>
        <w:overflowPunct/>
        <w:topLinePunct w:val="0"/>
        <w:bidi w:val="0"/>
        <w:spacing w:before="0" w:line="288" w:lineRule="auto"/>
        <w:ind w:right="0" w:rightChars="0"/>
        <w:textAlignment w:val="auto"/>
        <w:rPr>
          <w:rFonts w:hint="eastAsia" w:ascii="宋体" w:hAnsi="宋体" w:eastAsia="宋体" w:cs="宋体"/>
          <w:color w:val="000000"/>
          <w:sz w:val="21"/>
          <w:szCs w:val="21"/>
        </w:rPr>
      </w:pPr>
      <w:r>
        <w:rPr>
          <w:rFonts w:hint="eastAsia"/>
          <w:sz w:val="21"/>
          <w:szCs w:val="21"/>
          <w:lang w:val="en-US" w:eastAsia="zh-CN"/>
        </w:rPr>
        <w:t>3.3.1.7</w:t>
      </w:r>
      <w:r>
        <w:rPr>
          <w:rFonts w:hint="eastAsia" w:ascii="宋体" w:hAnsi="宋体" w:eastAsia="宋体" w:cs="宋体"/>
          <w:sz w:val="21"/>
          <w:szCs w:val="21"/>
        </w:rPr>
        <w:t>数据</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平台图表数据来源支持手工数据填报、excel方式、数据库表方式、API方式。</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3.3.2</w:t>
      </w:r>
      <w:r>
        <w:rPr>
          <w:rFonts w:hint="eastAsia" w:ascii="宋体" w:hAnsi="宋体" w:eastAsia="宋体" w:cs="宋体"/>
          <w:sz w:val="21"/>
          <w:szCs w:val="21"/>
        </w:rPr>
        <w:t>安全机制</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支持8项数据安全机制：密码与身份权限、组群权限、阅读时限、读者和作者水印、私密沟通、与后台关停、操作行为审计、阅读行为审计。</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3.3.3</w:t>
      </w:r>
      <w:r>
        <w:rPr>
          <w:rFonts w:hint="eastAsia" w:ascii="宋体" w:hAnsi="宋体" w:eastAsia="宋体" w:cs="宋体"/>
          <w:sz w:val="21"/>
          <w:szCs w:val="21"/>
        </w:rPr>
        <w:t>模板中心</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通过平台模板快速创建可视化页面，支持新建空白页面、显示目录页或隐藏目录页，可以应用模板中心的模板，一键拖拉拽快速生产图表和内容，再根据图表连接到自身的业务数据。平台包含内容素材库（大标题、节标题、正文、时间轴、关系图、数据呈现）、模板库、样式库、业务模型库、主题颜色和主题字体库；</w:t>
      </w:r>
    </w:p>
    <w:p>
      <w:pPr>
        <w:pStyle w:val="5"/>
        <w:numPr>
          <w:ilvl w:val="0"/>
          <w:numId w:val="0"/>
        </w:numPr>
        <w:spacing w:before="0" w:line="288" w:lineRule="auto"/>
        <w:ind w:leftChars="0" w:right="955" w:rightChars="0"/>
        <w:rPr>
          <w:rFonts w:hint="eastAsia" w:ascii="宋体" w:hAnsi="宋体" w:eastAsia="宋体" w:cs="宋体"/>
          <w:sz w:val="21"/>
          <w:szCs w:val="21"/>
        </w:rPr>
      </w:pPr>
      <w:r>
        <w:rPr>
          <w:rFonts w:hint="eastAsia" w:cs="宋体"/>
          <w:sz w:val="21"/>
          <w:szCs w:val="21"/>
          <w:lang w:val="en-US" w:eastAsia="zh-CN"/>
        </w:rPr>
        <w:t>3.3.4</w:t>
      </w:r>
      <w:r>
        <w:rPr>
          <w:rFonts w:hint="eastAsia" w:ascii="宋体" w:hAnsi="宋体" w:eastAsia="宋体" w:cs="宋体"/>
          <w:sz w:val="21"/>
          <w:szCs w:val="21"/>
        </w:rPr>
        <w:t>数据管理</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支持离散数据导入、数据库表导入以及API导入方式。</w:t>
      </w:r>
    </w:p>
    <w:p>
      <w:pPr>
        <w:pStyle w:val="115"/>
        <w:pageBreakBefore w:val="0"/>
        <w:widowControl w:val="0"/>
        <w:kinsoku/>
        <w:wordWrap/>
        <w:overflowPunct/>
        <w:topLinePunct w:val="0"/>
        <w:bidi w:val="0"/>
        <w:spacing w:line="288" w:lineRule="auto"/>
        <w:ind w:left="0" w:right="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用户可对数据表进行数据预览，关联简报和更新历史查看，支持数据表导出到Excel文件。为数据源为Excel的数据表提供编辑功能，为数据源为数据库的数据表提供数据库设置、同步设置、立即同步和编辑功能。</w:t>
      </w:r>
    </w:p>
    <w:p>
      <w:pPr>
        <w:pStyle w:val="115"/>
        <w:pageBreakBefore w:val="0"/>
        <w:widowControl w:val="0"/>
        <w:kinsoku/>
        <w:wordWrap/>
        <w:overflowPunct/>
        <w:topLinePunct w:val="0"/>
        <w:bidi w:val="0"/>
        <w:spacing w:line="288" w:lineRule="auto"/>
        <w:ind w:left="0" w:right="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支持数据表字段的格式转换以及字段名称重命名功能。</w:t>
      </w:r>
    </w:p>
    <w:p>
      <w:pPr>
        <w:pStyle w:val="115"/>
        <w:pageBreakBefore w:val="0"/>
        <w:widowControl w:val="0"/>
        <w:kinsoku/>
        <w:wordWrap/>
        <w:overflowPunct/>
        <w:topLinePunct w:val="0"/>
        <w:bidi w:val="0"/>
        <w:spacing w:line="288" w:lineRule="auto"/>
        <w:ind w:left="0" w:right="0"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支持新建数据表分类、重命名分类、删除分类、移动文件夹中数据表。</w:t>
      </w:r>
    </w:p>
    <w:p>
      <w:pPr>
        <w:pStyle w:val="5"/>
        <w:numPr>
          <w:ilvl w:val="0"/>
          <w:numId w:val="0"/>
        </w:numPr>
        <w:spacing w:before="0" w:line="288" w:lineRule="auto"/>
        <w:ind w:leftChars="0" w:right="955" w:rightChars="0"/>
        <w:rPr>
          <w:rFonts w:hint="eastAsia" w:ascii="宋体" w:hAnsi="宋体" w:eastAsia="宋体" w:cs="宋体"/>
          <w:b/>
          <w:bCs/>
          <w:sz w:val="21"/>
          <w:szCs w:val="21"/>
        </w:rPr>
      </w:pPr>
      <w:r>
        <w:rPr>
          <w:rFonts w:hint="eastAsia" w:cs="宋体"/>
          <w:b/>
          <w:bCs/>
          <w:sz w:val="21"/>
          <w:szCs w:val="21"/>
          <w:lang w:val="en-US" w:eastAsia="zh-CN"/>
        </w:rPr>
        <w:t>3.3.5</w:t>
      </w:r>
      <w:r>
        <w:rPr>
          <w:rFonts w:hint="eastAsia" w:ascii="宋体" w:hAnsi="宋体" w:eastAsia="宋体" w:cs="宋体"/>
          <w:b/>
          <w:bCs/>
          <w:sz w:val="21"/>
          <w:szCs w:val="21"/>
        </w:rPr>
        <w:t>系统设置</w:t>
      </w:r>
    </w:p>
    <w:p>
      <w:pPr>
        <w:pageBreakBefore w:val="0"/>
        <w:widowControl w:val="0"/>
        <w:kinsoku/>
        <w:wordWrap/>
        <w:overflowPunct/>
        <w:topLinePunct w:val="0"/>
        <w:bidi w:val="0"/>
        <w:spacing w:line="288" w:lineRule="auto"/>
        <w:ind w:left="0" w:right="0" w:firstLine="420"/>
        <w:textAlignment w:val="auto"/>
        <w:rPr>
          <w:rFonts w:hint="eastAsia" w:ascii="宋体" w:hAnsi="宋体" w:eastAsia="宋体" w:cs="宋体"/>
          <w:sz w:val="21"/>
          <w:szCs w:val="21"/>
        </w:rPr>
      </w:pPr>
      <w:r>
        <w:rPr>
          <w:rFonts w:hint="eastAsia" w:ascii="宋体" w:hAnsi="宋体" w:eastAsia="宋体" w:cs="宋体"/>
          <w:bCs/>
          <w:sz w:val="21"/>
          <w:szCs w:val="21"/>
        </w:rPr>
        <w:t>支持后台管理功能，为管理员提供收藏管理、</w:t>
      </w:r>
      <w:r>
        <w:rPr>
          <w:rFonts w:hint="eastAsia" w:ascii="宋体" w:hAnsi="宋体" w:eastAsia="宋体" w:cs="宋体"/>
          <w:sz w:val="21"/>
          <w:szCs w:val="21"/>
        </w:rPr>
        <w:t>系统通讯录、主题管理、资源管理、系统设置、用户日志、系统日志、系统配置、简报配置功能。</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项目实施要求</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bookmarkStart w:id="44" w:name="_Toc303"/>
      <w:bookmarkStart w:id="45" w:name="_Toc14064"/>
      <w:bookmarkStart w:id="46" w:name="_Toc25206"/>
      <w:bookmarkStart w:id="47" w:name="_Toc8484"/>
      <w:bookmarkStart w:id="48" w:name="_Toc18834"/>
      <w:bookmarkStart w:id="49" w:name="_Toc31516"/>
      <w:bookmarkStart w:id="50" w:name="_Toc22221"/>
      <w:bookmarkStart w:id="51" w:name="_Toc22963"/>
      <w:bookmarkStart w:id="52" w:name="_Toc40867139"/>
      <w:r>
        <w:rPr>
          <w:rFonts w:hint="eastAsia" w:cs="宋体"/>
          <w:sz w:val="21"/>
          <w:szCs w:val="21"/>
          <w:lang w:val="en-US" w:eastAsia="zh-CN"/>
        </w:rPr>
        <w:t>4.1</w:t>
      </w:r>
      <w:r>
        <w:rPr>
          <w:rFonts w:hint="eastAsia" w:ascii="宋体" w:hAnsi="宋体" w:eastAsia="宋体" w:cs="宋体"/>
          <w:sz w:val="21"/>
          <w:szCs w:val="21"/>
        </w:rPr>
        <w:t>项目实施计划要求</w:t>
      </w:r>
      <w:bookmarkEnd w:id="44"/>
      <w:bookmarkEnd w:id="45"/>
      <w:bookmarkEnd w:id="46"/>
      <w:bookmarkEnd w:id="47"/>
      <w:bookmarkEnd w:id="48"/>
      <w:bookmarkEnd w:id="49"/>
      <w:bookmarkEnd w:id="50"/>
      <w:bookmarkEnd w:id="51"/>
    </w:p>
    <w:p>
      <w:pPr>
        <w:pStyle w:val="105"/>
        <w:pageBreakBefore w:val="0"/>
        <w:widowControl w:val="0"/>
        <w:kinsoku/>
        <w:wordWrap/>
        <w:overflowPunct/>
        <w:topLinePunct w:val="0"/>
        <w:bidi w:val="0"/>
        <w:spacing w:line="288" w:lineRule="auto"/>
        <w:ind w:left="0" w:right="0" w:firstLine="392"/>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项目实施时制定项目实施计划，要求合同签订之日起</w:t>
      </w:r>
      <w:r>
        <w:rPr>
          <w:rFonts w:hint="eastAsia" w:ascii="宋体" w:hAnsi="宋体" w:cs="宋体"/>
          <w:spacing w:val="-7"/>
          <w:sz w:val="21"/>
          <w:szCs w:val="21"/>
          <w:lang w:val="en-US" w:eastAsia="zh-CN"/>
        </w:rPr>
        <w:t>60天</w:t>
      </w:r>
      <w:r>
        <w:rPr>
          <w:rFonts w:hint="eastAsia" w:ascii="宋体" w:hAnsi="宋体" w:eastAsia="宋体" w:cs="宋体"/>
          <w:spacing w:val="-7"/>
          <w:sz w:val="21"/>
          <w:szCs w:val="21"/>
        </w:rPr>
        <w:t>内完成项目所要求的建设内容的建设工作，并正式上线运行，系统稳定持续运行一个月后，</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可以申请项目验收工作，在分阶段实施计划的基础上，进一步明确和细化每个阶段的工作范围、内容、人力投入、过程、责任、交付成果等。</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bookmarkStart w:id="53" w:name="_Toc19263"/>
      <w:bookmarkStart w:id="54" w:name="_Toc27225"/>
      <w:bookmarkStart w:id="55" w:name="_Toc16922"/>
      <w:bookmarkStart w:id="56" w:name="_Toc8400"/>
      <w:bookmarkStart w:id="57" w:name="_Toc2420"/>
      <w:bookmarkStart w:id="58" w:name="_Toc17906"/>
      <w:bookmarkStart w:id="59" w:name="_Toc4089"/>
      <w:bookmarkStart w:id="60" w:name="_Toc6542"/>
      <w:bookmarkStart w:id="61" w:name="_Toc9704"/>
      <w:r>
        <w:rPr>
          <w:rFonts w:hint="eastAsia" w:cs="宋体"/>
          <w:sz w:val="21"/>
          <w:szCs w:val="21"/>
          <w:lang w:val="en-US" w:eastAsia="zh-CN"/>
        </w:rPr>
        <w:t>4.2</w:t>
      </w:r>
      <w:r>
        <w:rPr>
          <w:rFonts w:hint="eastAsia" w:ascii="宋体" w:hAnsi="宋体" w:eastAsia="宋体" w:cs="宋体"/>
          <w:sz w:val="21"/>
          <w:szCs w:val="21"/>
        </w:rPr>
        <w:t>项目实施服务</w:t>
      </w:r>
      <w:bookmarkEnd w:id="52"/>
      <w:r>
        <w:rPr>
          <w:rFonts w:hint="eastAsia" w:ascii="宋体" w:hAnsi="宋体" w:eastAsia="宋体" w:cs="宋体"/>
          <w:sz w:val="21"/>
          <w:szCs w:val="21"/>
        </w:rPr>
        <w:t>要求</w:t>
      </w:r>
      <w:bookmarkEnd w:id="53"/>
      <w:bookmarkEnd w:id="54"/>
      <w:bookmarkEnd w:id="55"/>
      <w:bookmarkEnd w:id="56"/>
      <w:bookmarkEnd w:id="57"/>
      <w:bookmarkEnd w:id="58"/>
      <w:bookmarkEnd w:id="59"/>
      <w:bookmarkEnd w:id="60"/>
      <w:bookmarkEnd w:id="61"/>
    </w:p>
    <w:p>
      <w:pPr>
        <w:pStyle w:val="105"/>
        <w:pageBreakBefore w:val="0"/>
        <w:widowControl w:val="0"/>
        <w:kinsoku/>
        <w:wordWrap/>
        <w:overflowPunct/>
        <w:topLinePunct w:val="0"/>
        <w:bidi w:val="0"/>
        <w:spacing w:line="288" w:lineRule="auto"/>
        <w:ind w:left="0" w:right="0" w:firstLine="392"/>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项目负责人需具备较强的技术能力及良好的沟通协调能力，至少</w:t>
      </w:r>
      <w:bookmarkStart w:id="62" w:name="OLE_LINK2"/>
      <w:bookmarkStart w:id="63" w:name="OLE_LINK1"/>
      <w:r>
        <w:rPr>
          <w:rFonts w:hint="eastAsia" w:ascii="宋体" w:hAnsi="宋体" w:eastAsia="宋体" w:cs="宋体"/>
          <w:spacing w:val="-7"/>
          <w:sz w:val="21"/>
          <w:szCs w:val="21"/>
        </w:rPr>
        <w:t>担任过3个类似项目负责人的经验</w:t>
      </w:r>
      <w:bookmarkEnd w:id="62"/>
      <w:bookmarkEnd w:id="63"/>
      <w:r>
        <w:rPr>
          <w:rFonts w:hint="eastAsia" w:ascii="宋体" w:hAnsi="宋体" w:eastAsia="宋体" w:cs="宋体"/>
          <w:spacing w:val="-7"/>
          <w:sz w:val="21"/>
          <w:szCs w:val="21"/>
        </w:rPr>
        <w:t>，需提供相关证明材料；</w:t>
      </w:r>
    </w:p>
    <w:p>
      <w:pPr>
        <w:pStyle w:val="105"/>
        <w:pageBreakBefore w:val="0"/>
        <w:widowControl w:val="0"/>
        <w:kinsoku/>
        <w:wordWrap/>
        <w:overflowPunct/>
        <w:topLinePunct w:val="0"/>
        <w:bidi w:val="0"/>
        <w:spacing w:line="288" w:lineRule="auto"/>
        <w:ind w:left="0" w:right="0" w:firstLine="392"/>
        <w:textAlignment w:val="auto"/>
        <w:rPr>
          <w:rFonts w:hint="eastAsia" w:cs="宋体"/>
          <w:b w:val="0"/>
          <w:bCs w:val="0"/>
          <w:sz w:val="21"/>
          <w:szCs w:val="21"/>
          <w:lang w:val="en-US" w:eastAsia="zh-CN"/>
        </w:rPr>
      </w:pPr>
      <w:bookmarkStart w:id="64" w:name="_Toc1457"/>
      <w:bookmarkStart w:id="65" w:name="_Toc15687"/>
      <w:bookmarkStart w:id="66" w:name="_Toc22099"/>
      <w:bookmarkStart w:id="67" w:name="_Toc26712"/>
      <w:bookmarkStart w:id="68" w:name="_Toc12245"/>
      <w:bookmarkStart w:id="69" w:name="_Toc1778"/>
      <w:bookmarkStart w:id="70" w:name="_Toc13307"/>
      <w:bookmarkStart w:id="71" w:name="_Toc3760"/>
      <w:bookmarkStart w:id="72" w:name="_Toc25"/>
      <w:bookmarkStart w:id="73" w:name="_Toc25337988"/>
      <w:bookmarkStart w:id="74" w:name="_Toc25678492"/>
      <w:bookmarkStart w:id="75" w:name="_Toc40867140"/>
      <w:r>
        <w:rPr>
          <w:rFonts w:hint="eastAsia" w:cs="宋体"/>
          <w:b w:val="0"/>
          <w:bCs w:val="0"/>
          <w:sz w:val="21"/>
          <w:szCs w:val="21"/>
          <w:lang w:val="en-US" w:eastAsia="zh-CN"/>
        </w:rPr>
        <w:t>项目实施期间，中标人需提供不少于1人的技术工程师负责本项目驻场实施工作，直至项目验收完成。</w:t>
      </w:r>
    </w:p>
    <w:p>
      <w:pPr>
        <w:pStyle w:val="113"/>
        <w:keepNext w:val="0"/>
        <w:keepLines w:val="0"/>
        <w:pageBreakBefore w:val="0"/>
        <w:numPr>
          <w:ilvl w:val="0"/>
          <w:numId w:val="0"/>
        </w:numPr>
        <w:kinsoku/>
        <w:wordWrap/>
        <w:overflowPunct/>
        <w:topLinePunct w:val="0"/>
        <w:bidi w:val="0"/>
        <w:spacing w:before="0" w:beforeLines="0" w:line="288" w:lineRule="auto"/>
        <w:ind w:right="0" w:rightChars="0"/>
        <w:rPr>
          <w:rFonts w:hint="eastAsia" w:ascii="宋体" w:hAnsi="宋体" w:eastAsia="宋体" w:cs="宋体"/>
          <w:sz w:val="21"/>
          <w:szCs w:val="21"/>
        </w:rPr>
      </w:pPr>
      <w:r>
        <w:rPr>
          <w:rFonts w:hint="eastAsia" w:cs="宋体"/>
          <w:sz w:val="21"/>
          <w:szCs w:val="21"/>
          <w:lang w:val="en-US" w:eastAsia="zh-CN"/>
        </w:rPr>
        <w:t>4.3</w:t>
      </w:r>
      <w:r>
        <w:rPr>
          <w:rFonts w:hint="eastAsia" w:ascii="宋体" w:hAnsi="宋体" w:eastAsia="宋体" w:cs="宋体"/>
          <w:sz w:val="21"/>
          <w:szCs w:val="21"/>
        </w:rPr>
        <w:t>验收方法及标准要求</w:t>
      </w:r>
      <w:bookmarkEnd w:id="64"/>
      <w:bookmarkEnd w:id="65"/>
      <w:bookmarkEnd w:id="66"/>
      <w:bookmarkEnd w:id="67"/>
      <w:bookmarkEnd w:id="68"/>
      <w:bookmarkEnd w:id="69"/>
      <w:bookmarkEnd w:id="70"/>
      <w:bookmarkEnd w:id="71"/>
      <w:bookmarkEnd w:id="72"/>
    </w:p>
    <w:p>
      <w:pPr>
        <w:pStyle w:val="105"/>
        <w:pageBreakBefore w:val="0"/>
        <w:widowControl w:val="0"/>
        <w:numPr>
          <w:ilvl w:val="0"/>
          <w:numId w:val="17"/>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本项目采用现场运行、测试验收方式验收。</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完成的开发项目达到的质量标准需符合国家、地方及相关政府管理部门和行业与本项目有关的各项技术标准、规范要求，并满足采购人实际需求，前述标准、规范等不一致的，以要求高（严格）的为准。</w:t>
      </w:r>
    </w:p>
    <w:p>
      <w:pPr>
        <w:pStyle w:val="105"/>
        <w:pageBreakBefore w:val="0"/>
        <w:widowControl w:val="0"/>
        <w:numPr>
          <w:ilvl w:val="0"/>
          <w:numId w:val="17"/>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本项目连续2次验收未获通过，采购人有权解除合同并按照合同约定的违约条款处理。</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4.4</w:t>
      </w:r>
      <w:r>
        <w:rPr>
          <w:rFonts w:hint="eastAsia" w:ascii="宋体" w:hAnsi="宋体" w:eastAsia="宋体" w:cs="宋体"/>
          <w:sz w:val="21"/>
          <w:szCs w:val="21"/>
        </w:rPr>
        <w:t>验收</w:t>
      </w:r>
    </w:p>
    <w:p>
      <w:pPr>
        <w:pStyle w:val="105"/>
        <w:pageBreakBefore w:val="0"/>
        <w:widowControl w:val="0"/>
        <w:numPr>
          <w:ilvl w:val="0"/>
          <w:numId w:val="18"/>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在开发的各里程碑过程中须按照软件开发规范提供相关的成果，包括并不限于：软件需求说明书（经</w:t>
      </w:r>
      <w:r>
        <w:rPr>
          <w:rFonts w:hint="eastAsia" w:ascii="宋体" w:hAnsi="宋体" w:eastAsia="宋体" w:cs="宋体"/>
          <w:spacing w:val="-7"/>
          <w:sz w:val="21"/>
          <w:szCs w:val="21"/>
          <w:lang w:val="en-US" w:eastAsia="zh-CN"/>
        </w:rPr>
        <w:t>采购人</w:t>
      </w:r>
      <w:r>
        <w:rPr>
          <w:rFonts w:hint="eastAsia" w:ascii="宋体" w:hAnsi="宋体" w:eastAsia="宋体" w:cs="宋体"/>
          <w:spacing w:val="-7"/>
          <w:sz w:val="21"/>
          <w:szCs w:val="21"/>
        </w:rPr>
        <w:t>认可的）、软件设计说明书（概要和详细）、数据库说明书、接口文档、软件测试报告、试运行报告、使用手册、安装部署手册、成果光盘等资料及过程成果。本次独立开发的软件业务成果所有权归双方共有。</w:t>
      </w:r>
    </w:p>
    <w:p>
      <w:pPr>
        <w:pStyle w:val="105"/>
        <w:pageBreakBefore w:val="0"/>
        <w:widowControl w:val="0"/>
        <w:numPr>
          <w:ilvl w:val="0"/>
          <w:numId w:val="18"/>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项目竣工时，除提交第1条所述相关文档、成果外，还须提供完整的的平台安装、部署、测试环境、应用环境等相关文档；所有提供的源代码、数据字典、代码表等原始资料须是注释清晰的、可读、可利用、可供二次开发的。当软件发生升级、调整时，须提供更新的版本。</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bookmarkStart w:id="76" w:name="_Toc15322"/>
      <w:bookmarkStart w:id="77" w:name="_Toc18400"/>
      <w:bookmarkStart w:id="78" w:name="_Toc23854"/>
      <w:bookmarkStart w:id="79" w:name="_Toc3226"/>
      <w:bookmarkStart w:id="80" w:name="_Toc26069"/>
      <w:bookmarkStart w:id="81" w:name="_Toc20014"/>
      <w:bookmarkStart w:id="82" w:name="_Toc16398"/>
      <w:bookmarkStart w:id="83" w:name="_Toc27855"/>
      <w:bookmarkStart w:id="84" w:name="_Toc30482"/>
      <w:r>
        <w:rPr>
          <w:rFonts w:hint="eastAsia" w:cs="宋体"/>
          <w:sz w:val="21"/>
          <w:szCs w:val="21"/>
          <w:lang w:val="en-US" w:eastAsia="zh-CN"/>
        </w:rPr>
        <w:t>4.5</w:t>
      </w:r>
      <w:r>
        <w:rPr>
          <w:rFonts w:hint="eastAsia" w:ascii="宋体" w:hAnsi="宋体" w:eastAsia="宋体" w:cs="宋体"/>
          <w:sz w:val="21"/>
          <w:szCs w:val="21"/>
        </w:rPr>
        <w:t>成果和知识产权</w:t>
      </w:r>
      <w:bookmarkEnd w:id="76"/>
      <w:bookmarkEnd w:id="77"/>
      <w:bookmarkEnd w:id="78"/>
      <w:bookmarkEnd w:id="79"/>
      <w:bookmarkEnd w:id="80"/>
      <w:bookmarkEnd w:id="81"/>
      <w:bookmarkEnd w:id="82"/>
      <w:bookmarkEnd w:id="83"/>
      <w:bookmarkEnd w:id="84"/>
    </w:p>
    <w:p>
      <w:pPr>
        <w:pStyle w:val="105"/>
        <w:pageBreakBefore w:val="0"/>
        <w:widowControl w:val="0"/>
        <w:kinsoku/>
        <w:wordWrap/>
        <w:overflowPunct/>
        <w:topLinePunct w:val="0"/>
        <w:bidi w:val="0"/>
        <w:spacing w:line="288" w:lineRule="auto"/>
        <w:ind w:left="0" w:right="0" w:firstLine="392"/>
        <w:textAlignment w:val="auto"/>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需确保其完成本合同要求所利用、提交的所有数据、文件、资料及为完成项目而实施的其它工作没有侵犯任何人的专利权、商标权及其他知识产权。</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保证采购人均不会因其履行合同义务而引起的在专利权、商标权以及其他知识产权方面，发生针对采购人的任何第三方的索赔。如有发生，</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将负责处理并承担由此引起的法律责任以及包括律师费用在内的一切费用及损害赔偿。</w:t>
      </w:r>
    </w:p>
    <w:p>
      <w:pPr>
        <w:pStyle w:val="105"/>
        <w:pageBreakBefore w:val="0"/>
        <w:widowControl w:val="0"/>
        <w:kinsoku/>
        <w:wordWrap/>
        <w:overflowPunct/>
        <w:topLinePunct w:val="0"/>
        <w:bidi w:val="0"/>
        <w:spacing w:line="288" w:lineRule="auto"/>
        <w:ind w:left="0" w:right="0" w:firstLine="392"/>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在本期项目的开发过程中和交付使用后，要求将各个阶段产生的全面、规范的成果和文档资料交付给学校，而且需要提供明确的交付清单。同时，成果和文档资料需符合软件工程的相关要求。要交付的成果和文档资料需要包括以下部分：</w:t>
      </w:r>
    </w:p>
    <w:p>
      <w:pPr>
        <w:pStyle w:val="105"/>
        <w:pageBreakBefore w:val="0"/>
        <w:widowControl w:val="0"/>
        <w:numPr>
          <w:ilvl w:val="0"/>
          <w:numId w:val="19"/>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可运行的系统。</w:t>
      </w:r>
    </w:p>
    <w:p>
      <w:pPr>
        <w:pStyle w:val="105"/>
        <w:pageBreakBefore w:val="0"/>
        <w:widowControl w:val="0"/>
        <w:numPr>
          <w:ilvl w:val="0"/>
          <w:numId w:val="19"/>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技术文档：包括项目开发中的各种技术文档，如开发环境配置说明、软件工具清单、需求分析说明、变更说明、系统设计说明、用户手册、测试用例、测试结果、系统维护说明、系统培训资料以及有关系统接口的技术说明等。</w:t>
      </w:r>
    </w:p>
    <w:p>
      <w:pPr>
        <w:pStyle w:val="105"/>
        <w:pageBreakBefore w:val="0"/>
        <w:widowControl w:val="0"/>
        <w:numPr>
          <w:ilvl w:val="0"/>
          <w:numId w:val="19"/>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管理文档：包括项目开发中的一些工作文档，如，计划、报告、讨论纲要、会议记录等。</w:t>
      </w: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bookmarkStart w:id="85" w:name="_Toc18173"/>
      <w:bookmarkStart w:id="86" w:name="_Toc11214"/>
      <w:bookmarkStart w:id="87" w:name="_Toc4106"/>
      <w:bookmarkStart w:id="88" w:name="_Toc2365"/>
      <w:bookmarkStart w:id="89" w:name="_Toc32685"/>
      <w:bookmarkStart w:id="90" w:name="_Toc29851"/>
      <w:bookmarkStart w:id="91" w:name="_Toc9400"/>
      <w:bookmarkStart w:id="92" w:name="_Toc29812"/>
      <w:bookmarkStart w:id="93" w:name="_Toc31277"/>
      <w:r>
        <w:rPr>
          <w:rFonts w:hint="eastAsia" w:cs="宋体"/>
          <w:sz w:val="21"/>
          <w:szCs w:val="21"/>
          <w:lang w:val="en-US" w:eastAsia="zh-CN"/>
        </w:rPr>
        <w:t>4.6</w:t>
      </w:r>
      <w:r>
        <w:rPr>
          <w:rFonts w:hint="eastAsia" w:ascii="宋体" w:hAnsi="宋体" w:eastAsia="宋体" w:cs="宋体"/>
          <w:sz w:val="21"/>
          <w:szCs w:val="21"/>
        </w:rPr>
        <w:t>培训</w:t>
      </w:r>
      <w:bookmarkEnd w:id="73"/>
      <w:bookmarkEnd w:id="74"/>
      <w:bookmarkEnd w:id="75"/>
      <w:bookmarkStart w:id="94" w:name="_Toc25678493"/>
      <w:r>
        <w:rPr>
          <w:rFonts w:hint="eastAsia" w:ascii="宋体" w:hAnsi="宋体" w:eastAsia="宋体" w:cs="宋体"/>
          <w:sz w:val="21"/>
          <w:szCs w:val="21"/>
        </w:rPr>
        <w:t>服务要求</w:t>
      </w:r>
      <w:bookmarkEnd w:id="85"/>
      <w:bookmarkEnd w:id="86"/>
      <w:bookmarkEnd w:id="87"/>
      <w:bookmarkEnd w:id="88"/>
      <w:bookmarkEnd w:id="89"/>
      <w:bookmarkEnd w:id="90"/>
      <w:bookmarkEnd w:id="91"/>
      <w:bookmarkEnd w:id="92"/>
      <w:bookmarkEnd w:id="93"/>
    </w:p>
    <w:p>
      <w:pPr>
        <w:pStyle w:val="105"/>
        <w:pageBreakBefore w:val="0"/>
        <w:widowControl w:val="0"/>
        <w:kinsoku/>
        <w:wordWrap/>
        <w:overflowPunct/>
        <w:topLinePunct w:val="0"/>
        <w:bidi w:val="0"/>
        <w:spacing w:line="288" w:lineRule="auto"/>
        <w:ind w:left="0" w:right="0" w:firstLine="392"/>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通过培训会、实际操作和实际工作的参与，使得学校的管理员可以熟悉掌握并独立开发维护流程，具体培训内容如下：</w:t>
      </w:r>
    </w:p>
    <w:p>
      <w:pPr>
        <w:pStyle w:val="105"/>
        <w:pageBreakBefore w:val="0"/>
        <w:widowControl w:val="0"/>
        <w:numPr>
          <w:ilvl w:val="0"/>
          <w:numId w:val="20"/>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产品的使用方法及涉及的相关知识培训；</w:t>
      </w:r>
    </w:p>
    <w:p>
      <w:pPr>
        <w:pStyle w:val="105"/>
        <w:pageBreakBefore w:val="0"/>
        <w:widowControl w:val="0"/>
        <w:numPr>
          <w:ilvl w:val="0"/>
          <w:numId w:val="20"/>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流程开发培训：通过开发培训，使得学校人员对流程开发整个过程有个清晰的认识，可以独立开发简单的流程，并可以进行测试、发布、管理。</w:t>
      </w:r>
    </w:p>
    <w:p>
      <w:pPr>
        <w:pStyle w:val="105"/>
        <w:pageBreakBefore w:val="0"/>
        <w:widowControl w:val="0"/>
        <w:numPr>
          <w:ilvl w:val="0"/>
          <w:numId w:val="20"/>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系统运维培训：通过系统运维培训，可以对系统的部署架构有一定的了解，能掌握系统部署安装的整个过程，并可以处理系统遇到的简单故障，使学校人员具有简单故障处理能力。</w:t>
      </w:r>
    </w:p>
    <w:p>
      <w:pPr>
        <w:pStyle w:val="105"/>
        <w:pageBreakBefore w:val="0"/>
        <w:widowControl w:val="0"/>
        <w:numPr>
          <w:ilvl w:val="0"/>
          <w:numId w:val="20"/>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z w:val="21"/>
          <w:szCs w:val="21"/>
        </w:rPr>
      </w:pPr>
      <w:r>
        <w:rPr>
          <w:rFonts w:hint="eastAsia" w:ascii="宋体" w:hAnsi="宋体" w:eastAsia="宋体" w:cs="宋体"/>
          <w:spacing w:val="-7"/>
          <w:sz w:val="21"/>
          <w:szCs w:val="21"/>
        </w:rPr>
        <w:t>平台管理培训：通过平台管理培训，使得学校人员了解熟悉平台，能监控平台运行的整体情况，对流程可以进行干预，掌握如何分析流程执行效率</w:t>
      </w:r>
      <w:bookmarkEnd w:id="94"/>
      <w:r>
        <w:rPr>
          <w:rFonts w:hint="eastAsia" w:ascii="宋体" w:hAnsi="宋体" w:eastAsia="宋体" w:cs="宋体"/>
          <w:spacing w:val="-7"/>
          <w:sz w:val="21"/>
          <w:szCs w:val="21"/>
        </w:rPr>
        <w:t>。</w:t>
      </w:r>
      <w:bookmarkStart w:id="95" w:name="_Toc276583087"/>
      <w:bookmarkEnd w:id="95"/>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cs="宋体"/>
          <w:sz w:val="21"/>
          <w:szCs w:val="21"/>
          <w:lang w:val="en-US" w:eastAsia="zh-CN"/>
        </w:rPr>
        <w:t>4.7</w:t>
      </w:r>
      <w:r>
        <w:rPr>
          <w:rFonts w:hint="eastAsia" w:ascii="宋体" w:hAnsi="宋体" w:eastAsia="宋体" w:cs="宋体"/>
          <w:sz w:val="21"/>
          <w:szCs w:val="21"/>
        </w:rPr>
        <w:t>售后服务要求</w:t>
      </w:r>
    </w:p>
    <w:p>
      <w:pPr>
        <w:pStyle w:val="105"/>
        <w:pageBreakBefore w:val="0"/>
        <w:widowControl w:val="0"/>
        <w:numPr>
          <w:ilvl w:val="0"/>
          <w:numId w:val="21"/>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本次采购项目自验收合格后</w:t>
      </w:r>
      <w:r>
        <w:rPr>
          <w:rFonts w:hint="eastAsia" w:ascii="宋体" w:hAnsi="宋体" w:eastAsia="宋体" w:cs="宋体"/>
          <w:spacing w:val="-7"/>
          <w:sz w:val="21"/>
          <w:szCs w:val="21"/>
          <w:lang w:eastAsia="zh-Hans"/>
        </w:rPr>
        <w:t>，</w:t>
      </w:r>
      <w:r>
        <w:rPr>
          <w:rFonts w:hint="eastAsia" w:ascii="宋体" w:hAnsi="宋体" w:eastAsia="宋体" w:cs="宋体"/>
          <w:spacing w:val="-7"/>
          <w:sz w:val="21"/>
          <w:szCs w:val="21"/>
        </w:rPr>
        <w:t>软件产品提供</w:t>
      </w:r>
      <w:r>
        <w:rPr>
          <w:rFonts w:hint="eastAsia" w:ascii="宋体" w:hAnsi="宋体" w:cs="宋体"/>
          <w:spacing w:val="-7"/>
          <w:sz w:val="21"/>
          <w:szCs w:val="21"/>
          <w:lang w:val="en-US" w:eastAsia="zh-CN"/>
        </w:rPr>
        <w:t>2</w:t>
      </w:r>
      <w:r>
        <w:rPr>
          <w:rFonts w:hint="eastAsia" w:ascii="宋体" w:hAnsi="宋体" w:eastAsia="宋体" w:cs="宋体"/>
          <w:spacing w:val="-7"/>
          <w:sz w:val="21"/>
          <w:szCs w:val="21"/>
        </w:rPr>
        <w:t>年质保期，质保期内升级及维保，质保期自验收合格之日起计算，</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应提供因平台系统及其他设备本身缺陷所导致故障的技术服务和维修。</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应按照本采购项目特点提供长期良好的售后服务，并在</w:t>
      </w:r>
      <w:r>
        <w:rPr>
          <w:rFonts w:hint="eastAsia" w:ascii="宋体" w:hAnsi="宋体" w:eastAsia="宋体" w:cs="宋体"/>
          <w:spacing w:val="-7"/>
          <w:sz w:val="21"/>
          <w:szCs w:val="21"/>
          <w:lang w:val="en-US" w:eastAsia="zh-CN"/>
        </w:rPr>
        <w:t>投标</w:t>
      </w:r>
      <w:r>
        <w:rPr>
          <w:rFonts w:hint="eastAsia" w:ascii="宋体" w:hAnsi="宋体" w:eastAsia="宋体" w:cs="宋体"/>
          <w:spacing w:val="-7"/>
          <w:sz w:val="21"/>
          <w:szCs w:val="21"/>
        </w:rPr>
        <w:t>文件中提供详细具体的售后服务承诺条款及保证。</w:t>
      </w:r>
    </w:p>
    <w:p>
      <w:pPr>
        <w:pStyle w:val="105"/>
        <w:pageBreakBefore w:val="0"/>
        <w:widowControl w:val="0"/>
        <w:numPr>
          <w:ilvl w:val="0"/>
          <w:numId w:val="21"/>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应向采购人提供完善周到的技术服务，提供售后服务质量保障方案，建立完善的售后服务管理体系及拥有专业的维护队伍，保证系统的正常运行措施，质保期内质量保证提供技术支持、保修、系统升级和维护，不得另行收取其他费用，且保修服务方式均为</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上门保修，即由</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到采购人使用现场维修，产生的一切费用均由</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承担。</w:t>
      </w:r>
    </w:p>
    <w:p>
      <w:pPr>
        <w:pStyle w:val="105"/>
        <w:pageBreakBefore w:val="0"/>
        <w:widowControl w:val="0"/>
        <w:numPr>
          <w:ilvl w:val="0"/>
          <w:numId w:val="21"/>
        </w:numPr>
        <w:kinsoku/>
        <w:wordWrap/>
        <w:overflowPunct/>
        <w:topLinePunct w:val="0"/>
        <w:autoSpaceDE/>
        <w:autoSpaceDN/>
        <w:bidi w:val="0"/>
        <w:spacing w:line="288" w:lineRule="auto"/>
        <w:ind w:left="0" w:right="0" w:firstLine="392"/>
        <w:jc w:val="both"/>
        <w:textAlignment w:val="auto"/>
        <w:rPr>
          <w:rFonts w:hint="eastAsia" w:ascii="宋体" w:hAnsi="宋体" w:eastAsia="宋体" w:cs="宋体"/>
          <w:sz w:val="21"/>
          <w:szCs w:val="21"/>
        </w:rPr>
      </w:pP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需提供7×24 小时服务。对于系统在使用过程中出现的问题，在1小时内响应。如遇与所供系统有关的问题无法远程解决的，一般性故障解决问题时间不超过4小时，重大故障4小时内给出解决方案并提供临时应急处置措施，重大故障解决问题时间不超过72小时。因</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工作延误，造成采购人损失的，</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应负赔偿责任，具体赔偿方案在签订合同时订立。在服务期内，</w:t>
      </w:r>
      <w:r>
        <w:rPr>
          <w:rFonts w:hint="eastAsia" w:ascii="宋体" w:hAnsi="宋体" w:eastAsia="宋体" w:cs="宋体"/>
          <w:spacing w:val="-7"/>
          <w:sz w:val="21"/>
          <w:szCs w:val="21"/>
          <w:lang w:val="en-US" w:eastAsia="zh-CN"/>
        </w:rPr>
        <w:t>中标人</w:t>
      </w:r>
      <w:r>
        <w:rPr>
          <w:rFonts w:hint="eastAsia" w:ascii="宋体" w:hAnsi="宋体" w:eastAsia="宋体" w:cs="宋体"/>
          <w:spacing w:val="-7"/>
          <w:sz w:val="21"/>
          <w:szCs w:val="21"/>
        </w:rPr>
        <w:t>对平台出现的技术问题负责处理解决并承担一切费用。</w:t>
      </w:r>
    </w:p>
    <w:p>
      <w:pPr>
        <w:spacing w:line="288" w:lineRule="auto"/>
        <w:rPr>
          <w:rFonts w:hint="eastAsia" w:ascii="宋体" w:hAnsi="宋体" w:eastAsia="宋体" w:cs="宋体"/>
          <w:b/>
          <w:sz w:val="21"/>
          <w:szCs w:val="21"/>
        </w:rPr>
      </w:pPr>
    </w:p>
    <w:p>
      <w:pPr>
        <w:pStyle w:val="113"/>
        <w:keepNext w:val="0"/>
        <w:keepLines w:val="0"/>
        <w:pageBreakBefore w:val="0"/>
        <w:numPr>
          <w:ilvl w:val="0"/>
          <w:numId w:val="0"/>
        </w:numPr>
        <w:kinsoku/>
        <w:wordWrap/>
        <w:overflowPunct/>
        <w:topLinePunct w:val="0"/>
        <w:bidi w:val="0"/>
        <w:spacing w:before="0" w:beforeLines="0" w:line="288" w:lineRule="auto"/>
        <w:ind w:leftChars="0" w:right="0" w:rightChars="0"/>
        <w:rPr>
          <w:rFonts w:hint="eastAsia" w:ascii="宋体" w:hAnsi="宋体" w:eastAsia="宋体" w:cs="宋体"/>
          <w:sz w:val="21"/>
          <w:szCs w:val="21"/>
        </w:rPr>
      </w:pPr>
      <w:r>
        <w:rPr>
          <w:rFonts w:hint="eastAsia" w:ascii="宋体" w:hAnsi="宋体" w:eastAsia="宋体" w:cs="宋体"/>
          <w:sz w:val="21"/>
          <w:szCs w:val="21"/>
        </w:rPr>
        <w:t>演示要求：</w:t>
      </w:r>
    </w:p>
    <w:p>
      <w:pPr>
        <w:adjustRightInd w:val="0"/>
        <w:snapToGrid w:val="0"/>
        <w:spacing w:line="288" w:lineRule="auto"/>
        <w:jc w:val="left"/>
        <w:rPr>
          <w:rFonts w:hint="default" w:ascii="宋体" w:hAnsi="宋体" w:eastAsia="宋体" w:cs="Times New Roman"/>
          <w:spacing w:val="-6"/>
          <w:szCs w:val="21"/>
          <w:lang w:val="en-US"/>
        </w:rPr>
      </w:pPr>
      <w:r>
        <w:rPr>
          <w:rFonts w:hint="eastAsia" w:ascii="宋体" w:hAnsi="宋体" w:eastAsia="宋体" w:cs="Times New Roman"/>
          <w:spacing w:val="-6"/>
          <w:szCs w:val="21"/>
        </w:rPr>
        <w:t>1. 本项目要求</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提供演示内容，演示形式可以以软件demo或类似项目真实软件演示，以PPT或图片形式演示的，演示分为0分。</w:t>
      </w:r>
      <w:r>
        <w:rPr>
          <w:rFonts w:hint="eastAsia" w:ascii="宋体" w:hAnsi="宋体" w:eastAsia="宋体" w:cs="Times New Roman"/>
          <w:spacing w:val="-6"/>
          <w:szCs w:val="21"/>
          <w:lang w:val="en-US" w:eastAsia="zh-CN"/>
        </w:rPr>
        <w:t>如无法提供功能演示或演示不符合采购需求，则视为不满足，其对应内容演示分为0分。</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演示内容：</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（1）门户多身份支持：门户支持一人多身份应用聚合展示，所有应用须支持多身份的聚合，演示访问门户用户单身份（教师）和多身份（学生和教师身份）访问应用中心效果。</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（2）提醒中心：基于提醒中心的推送引擎，消息源支持列表模式，并可以动态无代码集成第三方推送源，可以定义多种推送策略，可以进行数据SQL脚本查询验证。演示将图文消息推送到企业微信终端。</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（3）应用中心：应用中心需要支持应用开发版本迭代和跟踪，支持单应用多入口编排能力，演示单应用多入口自动安装到应用中心，并可以通过应用中心进行查询访问。</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（4）接口动态弹性查询能力：演示标准接口根据指定查询属性字段返回不同的数据，而无需更改后端接口代码的能力。</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（5）数据可视化平台，主要演示编辑者基于模板，一键拖拉拽快速生产图表和内容，再根据图表连接数据。</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（6）数据可视化平台，快速实现一键换色、一键换字体，快速发布的效果。</w:t>
      </w:r>
    </w:p>
    <w:p>
      <w:pPr>
        <w:adjustRightInd w:val="0"/>
        <w:snapToGrid w:val="0"/>
        <w:spacing w:line="288" w:lineRule="auto"/>
        <w:jc w:val="left"/>
        <w:rPr>
          <w:rFonts w:hint="eastAsia" w:ascii="宋体" w:hAnsi="宋体" w:eastAsia="宋体" w:cs="Times New Roman"/>
          <w:spacing w:val="-6"/>
          <w:szCs w:val="21"/>
          <w:lang w:val="en-US"/>
        </w:rPr>
      </w:pPr>
      <w:r>
        <w:rPr>
          <w:rFonts w:hint="eastAsia" w:ascii="宋体" w:hAnsi="宋体" w:eastAsia="宋体" w:cs="Times New Roman"/>
          <w:spacing w:val="-6"/>
          <w:szCs w:val="21"/>
          <w:lang w:val="en-US" w:eastAsia="zh-CN"/>
        </w:rPr>
        <w:t>（7）高可用集群环境能力演示：支持容器化部署，支持多实例运行，现场通过图形界面操作进行集群环境的横向扩容，实现快速增加集群节点。同时，演示如何设定关键指标阈值，自动化扩容集群环境。</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8）集群环境监控能力演示：现场演示集群环境中的监控指标，包括：资源使用情况监控，集群组件健康状态、业务容器健康状态、代理服务状态、监控程序自身的状态、证书有效期、数据库运行状态、数据同步状态、数据库连接池使用情况、数据库的数据量、门户总访问量、门户失败访问量、按时间段请求统计。并可以设置相关报警阈值。</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rPr>
        <w:t>2.1 根据“电子交易/不见面开评标”原则，</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需将以上软件演示及讲解过程录制视频，演示时长不超过15分钟以.mp4格式存储于U盘。</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须自行核验U盘中的视频能正常播放，保证视频无需转码即可直接用主流播放器打开播放。</w:t>
      </w:r>
    </w:p>
    <w:p>
      <w:pPr>
        <w:adjustRightInd w:val="0"/>
        <w:snapToGrid w:val="0"/>
        <w:spacing w:line="288" w:lineRule="auto"/>
        <w:jc w:val="left"/>
        <w:rPr>
          <w:rFonts w:hint="eastAsia" w:ascii="宋体" w:hAnsi="宋体" w:eastAsia="宋体" w:cs="Times New Roman"/>
          <w:spacing w:val="-6"/>
          <w:szCs w:val="21"/>
        </w:rPr>
      </w:pPr>
      <w:r>
        <w:rPr>
          <w:rFonts w:hint="eastAsia" w:ascii="宋体" w:hAnsi="宋体" w:eastAsia="宋体" w:cs="Times New Roman"/>
          <w:spacing w:val="-6"/>
          <w:szCs w:val="21"/>
        </w:rPr>
        <w:t>2.2 演示U盘以邮寄形式在</w:t>
      </w:r>
      <w:r>
        <w:rPr>
          <w:rFonts w:hint="eastAsia" w:ascii="宋体" w:hAnsi="宋体" w:eastAsia="宋体" w:cs="Times New Roman"/>
          <w:spacing w:val="-6"/>
          <w:szCs w:val="21"/>
          <w:lang w:val="en-US" w:eastAsia="zh-CN"/>
        </w:rPr>
        <w:t>投标</w:t>
      </w:r>
      <w:r>
        <w:rPr>
          <w:rFonts w:hint="eastAsia" w:ascii="宋体" w:hAnsi="宋体" w:eastAsia="宋体" w:cs="Times New Roman"/>
          <w:spacing w:val="-6"/>
          <w:szCs w:val="21"/>
        </w:rPr>
        <w:t>文件提交截止时间前递交，演示U盘应当密封包装并在包装上标注演示U盘、项目名称、</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名称并加盖公章。（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jc w:val="left"/>
        <w:rPr>
          <w:rFonts w:hint="eastAsia" w:ascii="宋体" w:hAnsi="宋体" w:eastAsia="宋体" w:cs="Times New Roman"/>
          <w:b/>
          <w:sz w:val="32"/>
          <w:szCs w:val="32"/>
        </w:rPr>
      </w:pPr>
      <w:r>
        <w:rPr>
          <w:rFonts w:hint="eastAsia" w:ascii="宋体" w:hAnsi="宋体" w:eastAsia="宋体" w:cs="Times New Roman"/>
          <w:spacing w:val="-6"/>
          <w:szCs w:val="21"/>
        </w:rPr>
        <w:t>2.3 未按</w:t>
      </w:r>
      <w:r>
        <w:rPr>
          <w:rFonts w:hint="eastAsia" w:ascii="宋体" w:hAnsi="宋体" w:eastAsia="宋体" w:cs="Times New Roman"/>
          <w:spacing w:val="-6"/>
          <w:szCs w:val="21"/>
          <w:lang w:val="en-US" w:eastAsia="zh-CN"/>
        </w:rPr>
        <w:t>招标</w:t>
      </w:r>
      <w:r>
        <w:rPr>
          <w:rFonts w:hint="eastAsia" w:ascii="宋体" w:hAnsi="宋体" w:eastAsia="宋体" w:cs="Times New Roman"/>
          <w:spacing w:val="-6"/>
          <w:szCs w:val="21"/>
        </w:rPr>
        <w:t>文件要求提供演示U盘造成评审专家无法正常评审的风险由</w:t>
      </w:r>
      <w:r>
        <w:rPr>
          <w:rFonts w:hint="eastAsia" w:ascii="宋体" w:hAnsi="宋体" w:eastAsia="宋体" w:cs="Times New Roman"/>
          <w:spacing w:val="-6"/>
          <w:szCs w:val="21"/>
          <w:lang w:val="en-US" w:eastAsia="zh-CN"/>
        </w:rPr>
        <w:t>投标人</w:t>
      </w:r>
      <w:r>
        <w:rPr>
          <w:rFonts w:hint="eastAsia" w:ascii="宋体" w:hAnsi="宋体" w:eastAsia="宋体" w:cs="Times New Roman"/>
          <w:spacing w:val="-6"/>
          <w:szCs w:val="21"/>
        </w:rPr>
        <w:t>自行承担。</w:t>
      </w:r>
      <w:r>
        <w:rPr>
          <w:rFonts w:hint="eastAsia"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浙江财经大学融合门户建设项目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w:t>
            </w:r>
            <w:r>
              <w:rPr>
                <w:rFonts w:hint="eastAsia" w:ascii="宋体" w:hAnsi="宋体" w:eastAsia="宋体"/>
                <w:szCs w:val="21"/>
              </w:rPr>
              <w:t>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jc w:val="left"/>
              <w:rPr>
                <w:rFonts w:ascii="宋体" w:hAnsi="宋体" w:eastAsia="宋体" w:cs="Times New Roman"/>
                <w:spacing w:val="-6"/>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ascii="宋体" w:hAnsi="宋体" w:eastAsia="宋体" w:cs="Times New Roman"/>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属于监狱企业的证明文件（若属于监狱企业）</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9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9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浙江财经大学融合门户建设项目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浙江财经大学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9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9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w:t>
      </w:r>
      <w:r>
        <w:rPr>
          <w:rFonts w:ascii="宋体" w:hAnsi="宋体" w:eastAsia="宋体" w:cs="Times New Roman"/>
          <w:spacing w:val="-6"/>
          <w:szCs w:val="21"/>
          <w:highlight w:val="none"/>
        </w:rPr>
        <w:t>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本项目不允许转包；</w:t>
      </w:r>
    </w:p>
    <w:p>
      <w:pPr>
        <w:adjustRightInd w:val="0"/>
        <w:snapToGrid w:val="0"/>
        <w:spacing w:line="288" w:lineRule="auto"/>
        <w:ind w:firstLine="420" w:firstLineChars="200"/>
        <w:jc w:val="left"/>
        <w:rPr>
          <w:rFonts w:ascii="宋体" w:hAnsi="宋体" w:eastAsia="宋体" w:cs="Times New Roman"/>
          <w:spacing w:val="-6"/>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本项目不允许分包，不适宜分包的理由是</w:t>
      </w:r>
      <w:r>
        <w:rPr>
          <w:rFonts w:hint="eastAsia" w:ascii="宋体" w:hAnsi="宋体" w:eastAsia="宋体"/>
          <w:szCs w:val="21"/>
          <w:highlight w:val="none"/>
          <w:lang w:eastAsia="zh-CN"/>
        </w:rPr>
        <w:t>：</w:t>
      </w:r>
      <w:r>
        <w:rPr>
          <w:rFonts w:hint="eastAsia" w:ascii="宋体" w:hAnsi="宋体" w:eastAsia="宋体"/>
          <w:szCs w:val="21"/>
          <w:highlight w:val="none"/>
          <w:u w:val="single"/>
        </w:rPr>
        <w:t>本项目为服务，服务内容以人员技术开发为主，内容单一，不适宜分包</w:t>
      </w:r>
      <w:r>
        <w:rPr>
          <w:rFonts w:ascii="宋体" w:hAnsi="宋体" w:eastAsia="宋体" w:cs="Times New Roman"/>
          <w:spacing w:val="-6"/>
          <w:szCs w:val="21"/>
          <w:highlight w:val="none"/>
        </w:rPr>
        <w:t>。</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9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9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jc w:val="left"/>
        <w:rPr>
          <w:rFonts w:ascii="宋体" w:hAnsi="宋体" w:eastAsia="宋体" w:cs="宋体"/>
          <w:b/>
          <w:spacing w:val="-6"/>
          <w:kern w:val="0"/>
          <w:szCs w:val="21"/>
        </w:rPr>
      </w:pPr>
      <w:bookmarkStart w:id="99" w:name="_Hlk92273111"/>
      <w:bookmarkStart w:id="10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101" w:name="_Hlk106875293"/>
    </w:p>
    <w:bookmarkEnd w:id="101"/>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w:t>
      </w:r>
      <w:r>
        <w:rPr>
          <w:rFonts w:ascii="宋体" w:hAnsi="宋体" w:eastAsia="宋体" w:cs="Times New Roman"/>
          <w:spacing w:val="-6"/>
          <w:szCs w:val="21"/>
        </w:rPr>
        <w:t>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符合《关于促进残疾人就业政府采购政策的通知》（财库〔2017〕141号）</w:t>
      </w:r>
      <w:r>
        <w:rPr>
          <w:rFonts w:ascii="宋体" w:hAnsi="宋体" w:eastAsia="宋体" w:cs="Times New Roman"/>
          <w:spacing w:val="-6"/>
          <w:szCs w:val="21"/>
          <w:u w:val="single"/>
        </w:rPr>
        <w:t>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9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10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10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w:t>
      </w:r>
      <w:r>
        <w:rPr>
          <w:rFonts w:hint="eastAsia" w:ascii="宋体" w:hAnsi="宋体" w:eastAsia="宋体" w:cs="Times New Roman"/>
          <w:bCs/>
          <w:spacing w:val="-6"/>
          <w:szCs w:val="21"/>
          <w:highlight w:val="none"/>
        </w:rPr>
        <w:t>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102"/>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103" w:name="_Hlk96329183"/>
      <w:r>
        <w:rPr>
          <w:rFonts w:hint="eastAsia" w:ascii="宋体" w:hAnsi="宋体" w:eastAsia="宋体"/>
          <w:spacing w:val="-6"/>
          <w:szCs w:val="21"/>
          <w:highlight w:val="none"/>
        </w:rPr>
        <w:t>加盖公章</w:t>
      </w:r>
      <w:bookmarkEnd w:id="103"/>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104" w:name="_Hlk94018616"/>
      <w:r>
        <w:rPr>
          <w:rFonts w:hint="eastAsia" w:ascii="宋体" w:hAnsi="宋体" w:eastAsia="宋体"/>
          <w:spacing w:val="-6"/>
          <w:szCs w:val="21"/>
        </w:rPr>
        <w:t>▲d.投标人仅递交备份投标文件而未将电子加密投标文件成功上传至政府采购云平台的，投标无效。</w:t>
      </w:r>
    </w:p>
    <w:bookmarkEnd w:id="10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4"/>
          <w:rFonts w:hint="eastAsia" w:ascii="宋体" w:hAnsi="宋体" w:eastAsia="宋体"/>
          <w:b/>
          <w:bCs/>
          <w:szCs w:val="21"/>
        </w:rPr>
        <w:t>https://edu.zcygov.cn/luban/e-biding</w:t>
      </w:r>
      <w:r>
        <w:rPr>
          <w:rStyle w:val="34"/>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rPr>
        <w:t>4.投标文件</w:t>
      </w:r>
      <w:r>
        <w:rPr>
          <w:rFonts w:hint="eastAsia" w:hAnsi="宋体" w:eastAsia="宋体" w:cs="宋体"/>
          <w:sz w:val="21"/>
          <w:szCs w:val="21"/>
          <w:highlight w:val="none"/>
        </w:rPr>
        <w:t>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105"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105"/>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w:t>
      </w:r>
      <w:r>
        <w:rPr>
          <w:rFonts w:hAnsi="宋体" w:eastAsia="宋体"/>
          <w:spacing w:val="-6"/>
          <w:sz w:val="21"/>
          <w:szCs w:val="21"/>
        </w:rPr>
        <w:t>，在原投标有效期满之前，如果出现特殊情况，采购人或采购代理机构以书面形式通知投标人延长投标有效期。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106" w:name="_Hlk94018682"/>
      <w:r>
        <w:rPr>
          <w:rFonts w:hint="eastAsia" w:ascii="宋体" w:hAnsi="宋体" w:eastAsia="宋体" w:cs="宋体"/>
          <w:szCs w:val="21"/>
        </w:rPr>
        <w:t>未响应招标文件“▲”标记条款要求的，投标无效。</w:t>
      </w:r>
    </w:p>
    <w:bookmarkEnd w:id="10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w:t>
      </w:r>
      <w:r>
        <w:rPr>
          <w:rFonts w:hint="eastAsia" w:ascii="宋体" w:hAnsi="宋体" w:eastAsia="宋体" w:cs="Times New Roman"/>
          <w:spacing w:val="-6"/>
          <w:szCs w:val="21"/>
          <w:highlight w:val="none"/>
        </w:rPr>
        <w:t>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10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0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3"/>
        <w:snapToGrid w:val="0"/>
        <w:spacing w:before="0" w:line="288" w:lineRule="auto"/>
        <w:ind w:left="0" w:firstLine="424" w:firstLineChars="201"/>
        <w:rPr>
          <w:rFonts w:ascii="宋体" w:hAnsi="宋体"/>
          <w:szCs w:val="21"/>
        </w:rPr>
      </w:pPr>
      <w:bookmarkStart w:id="108" w:name="_Hlk94018775"/>
      <w:r>
        <w:rPr>
          <w:rFonts w:hint="eastAsia" w:ascii="宋体" w:hAnsi="宋体" w:cs="仿宋_GB2312"/>
          <w:b/>
          <w:szCs w:val="21"/>
        </w:rPr>
        <w:t>（一）</w:t>
      </w:r>
      <w:r>
        <w:rPr>
          <w:rFonts w:ascii="宋体" w:hAnsi="宋体" w:cs="仿宋_GB2312"/>
          <w:b/>
          <w:szCs w:val="21"/>
        </w:rPr>
        <w:t>开标</w:t>
      </w:r>
    </w:p>
    <w:p>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108"/>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10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109"/>
    <w:p>
      <w:pPr>
        <w:adjustRightInd w:val="0"/>
        <w:snapToGrid w:val="0"/>
        <w:spacing w:line="288" w:lineRule="auto"/>
        <w:ind w:firstLine="426" w:firstLineChars="202"/>
        <w:rPr>
          <w:rFonts w:ascii="宋体" w:hAnsi="宋体" w:eastAsia="宋体" w:cs="Arial"/>
          <w:b/>
          <w:kern w:val="0"/>
          <w:szCs w:val="21"/>
        </w:rPr>
      </w:pPr>
      <w:bookmarkStart w:id="11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w:t>
      </w:r>
      <w:r>
        <w:rPr>
          <w:rFonts w:ascii="宋体" w:hAnsi="宋体" w:cs="仿宋"/>
          <w:kern w:val="0"/>
          <w:sz w:val="21"/>
          <w:szCs w:val="21"/>
          <w:highlight w:val="none"/>
        </w:rPr>
        <w:t>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2"/>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评标办法</w:t>
      </w:r>
      <w:r>
        <w:rPr>
          <w:rFonts w:hint="eastAsia" w:ascii="宋体" w:hAnsi="宋体" w:eastAsia="宋体" w:cs="Arial"/>
          <w:kern w:val="0"/>
          <w:szCs w:val="21"/>
          <w:highlight w:val="none"/>
        </w:rPr>
        <w:t>：</w:t>
      </w:r>
      <w:r>
        <w:rPr>
          <w:rFonts w:ascii="宋体" w:hAnsi="宋体" w:eastAsia="宋体" w:cs="Arial"/>
          <w:kern w:val="0"/>
          <w:szCs w:val="21"/>
          <w:highlight w:val="none"/>
        </w:rPr>
        <w:t>本项目评标办法是综合评分法，具体评标内容及评分标准等详见</w:t>
      </w:r>
      <w:r>
        <w:rPr>
          <w:rFonts w:hint="eastAsia" w:ascii="宋体" w:hAnsi="宋体" w:eastAsia="宋体" w:cs="Arial"/>
          <w:kern w:val="0"/>
          <w:szCs w:val="21"/>
          <w:highlight w:val="none"/>
        </w:rPr>
        <w:t>“</w:t>
      </w:r>
      <w:r>
        <w:rPr>
          <w:rFonts w:ascii="宋体" w:hAnsi="宋体" w:eastAsia="宋体" w:cs="Arial"/>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kern w:val="0"/>
          <w:szCs w:val="21"/>
          <w:highlight w:val="none"/>
        </w:rPr>
        <w:t>（中标候选人并列的，采取随机抽取的方式确定）</w:t>
      </w:r>
      <w:r>
        <w:rPr>
          <w:rFonts w:ascii="宋体" w:hAnsi="宋体" w:eastAsia="宋体" w:cs="Arial"/>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110"/>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20</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证书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1.投标人</w:t>
            </w:r>
            <w:r>
              <w:rPr>
                <w:rFonts w:hint="eastAsia" w:ascii="宋体" w:hAnsi="宋体" w:eastAsia="宋体" w:cs="宋体"/>
                <w:szCs w:val="21"/>
              </w:rPr>
              <w:t>具有</w:t>
            </w:r>
            <w:r>
              <w:rPr>
                <w:rFonts w:hint="eastAsia" w:ascii="宋体" w:hAnsi="宋体" w:eastAsia="宋体" w:cs="宋体"/>
                <w:szCs w:val="21"/>
                <w:lang w:val="en-US" w:eastAsia="zh-CN"/>
              </w:rPr>
              <w:t>有效的</w:t>
            </w:r>
            <w:r>
              <w:rPr>
                <w:rFonts w:hint="eastAsia" w:ascii="宋体" w:hAnsi="宋体" w:eastAsia="宋体" w:cs="宋体"/>
                <w:szCs w:val="21"/>
              </w:rPr>
              <w:t>ISO9001质量管理体系认证证书</w:t>
            </w:r>
            <w:r>
              <w:rPr>
                <w:rFonts w:hint="eastAsia" w:ascii="宋体" w:hAnsi="宋体" w:eastAsia="宋体" w:cs="宋体"/>
                <w:szCs w:val="21"/>
                <w:lang w:val="en-US" w:eastAsia="zh-CN"/>
              </w:rPr>
              <w:t>的得2分。需提供证书扫描件，未提供不得分。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2.投标人具有与本项目相关的软件著作权证书的，每提供1份得2分，最高得4分。需提供证书扫描件，未提供不得分。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83</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满足招标文件明</w:t>
            </w:r>
            <w:r>
              <w:rPr>
                <w:rFonts w:hint="eastAsia" w:ascii="宋体" w:hAnsi="宋体" w:eastAsia="宋体" w:cs="宋体"/>
                <w:szCs w:val="21"/>
                <w:highlight w:val="none"/>
              </w:rPr>
              <w:t>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2</w:t>
            </w:r>
            <w:r>
              <w:rPr>
                <w:rFonts w:ascii="宋体" w:hAnsi="宋体" w:eastAsia="宋体" w:cs="宋体"/>
                <w:szCs w:val="21"/>
                <w:highlight w:val="none"/>
              </w:rPr>
              <w:t>项及以上的，视为采购人不能接受的附加条件。</w:t>
            </w:r>
            <w:r>
              <w:rPr>
                <w:rFonts w:hint="eastAsia" w:ascii="宋体" w:hAnsi="宋体" w:eastAsia="宋体" w:cs="宋体"/>
                <w:szCs w:val="21"/>
                <w:highlight w:val="none"/>
                <w:lang w:val="en-US" w:eastAsia="zh-CN"/>
              </w:rPr>
              <w:t xml:space="preserve"> </w:t>
            </w:r>
            <w:r>
              <w:rPr>
                <w:rFonts w:hint="eastAsia" w:ascii="宋体" w:hAnsi="宋体" w:eastAsia="宋体" w:cs="宋体"/>
                <w:szCs w:val="21"/>
              </w:rPr>
              <w:t>（演示技术条款除外）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项目理解</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对本项目建设背景、建设目的的理：</w:t>
            </w:r>
            <w:r>
              <w:rPr>
                <w:rFonts w:hint="eastAsia" w:ascii="宋体" w:hAnsi="宋体" w:eastAsia="宋体" w:cs="宋体"/>
                <w:szCs w:val="21"/>
                <w:highlight w:val="none"/>
              </w:rPr>
              <w:t>对学校信息化</w:t>
            </w:r>
            <w:r>
              <w:rPr>
                <w:rFonts w:hint="eastAsia" w:ascii="宋体" w:hAnsi="宋体" w:eastAsia="宋体" w:cs="宋体"/>
                <w:szCs w:val="21"/>
                <w:highlight w:val="none"/>
                <w:lang w:val="en-US" w:eastAsia="zh-CN"/>
              </w:rPr>
              <w:t>建设</w:t>
            </w:r>
            <w:r>
              <w:rPr>
                <w:rFonts w:hint="eastAsia" w:ascii="宋体" w:hAnsi="宋体" w:eastAsia="宋体" w:cs="宋体"/>
                <w:szCs w:val="21"/>
                <w:highlight w:val="none"/>
              </w:rPr>
              <w:t>和现状认识准确、分析到位</w:t>
            </w:r>
            <w:r>
              <w:rPr>
                <w:rFonts w:hint="eastAsia" w:ascii="宋体" w:hAnsi="宋体" w:eastAsia="宋体" w:cs="宋体"/>
                <w:szCs w:val="21"/>
                <w:highlight w:val="none"/>
                <w:lang w:val="en-US" w:eastAsia="zh-CN"/>
              </w:rPr>
              <w:t>的得5分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略有欠缺或不完整的得3分；理解能力较差的得1分；未提供的不得分。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项目实施方案</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提供系统总体框架的设计方案、项目方案（体系架构、功能模块、实现思路和关键技术，以及对功能设计和实施计划）：提供方案内容详细、完整、具备可行性，完全满足要求的得5分；提供方案内容基本提及要求但未能详细描述的得3分；提供方案内容描述简单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关键技术解决方案</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提供的针对各个需求模块的技术实现方案，对平台功能设计和技术解决措施：提供方案内容详细、完整、具备可行性，完全满足要求的得5分；提供方案内容基本提及要求但未能详细描述的得3分；提供方案内容描述简单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4"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7072" w:type="dxa"/>
            <w:tcBorders>
              <w:top w:val="single" w:color="auto" w:sz="4" w:space="0"/>
              <w:left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w:t>
            </w:r>
          </w:p>
          <w:p>
            <w:pPr>
              <w:adjustRightInd w:val="0"/>
              <w:snapToGrid w:val="0"/>
              <w:spacing w:line="288" w:lineRule="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拟派项目负责人（项目经理）具有2年或以上开发经验，得1分；提供参与同类项目案例，每提供1例得1分，最高得2分，本项共3分。</w:t>
            </w:r>
          </w:p>
          <w:p>
            <w:pPr>
              <w:adjustRightInd w:val="0"/>
              <w:snapToGrid w:val="0"/>
              <w:spacing w:line="288" w:lineRule="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（需提供项目负责人（项目经理）人员社保或者其他在职证明材料和项目负责人的业绩证明材料扫描件，未提供不得分。）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项目团队（除项目负责人</w:t>
            </w:r>
            <w:r>
              <w:rPr>
                <w:rFonts w:hint="eastAsia" w:ascii="宋体" w:hAnsi="宋体" w:eastAsia="宋体" w:cs="宋体"/>
                <w:szCs w:val="21"/>
                <w:lang w:eastAsia="zh-CN"/>
              </w:rPr>
              <w:t>（</w:t>
            </w:r>
            <w:r>
              <w:rPr>
                <w:rFonts w:hint="eastAsia" w:ascii="宋体" w:hAnsi="宋体" w:eastAsia="宋体" w:cs="宋体"/>
                <w:szCs w:val="21"/>
              </w:rPr>
              <w:t>项目经理</w:t>
            </w:r>
            <w:r>
              <w:rPr>
                <w:rFonts w:hint="eastAsia" w:ascii="宋体" w:hAnsi="宋体" w:eastAsia="宋体" w:cs="宋体"/>
                <w:szCs w:val="21"/>
                <w:lang w:eastAsia="zh-CN"/>
              </w:rPr>
              <w:t>）</w:t>
            </w:r>
            <w:r>
              <w:rPr>
                <w:rFonts w:hint="eastAsia" w:ascii="宋体" w:hAnsi="宋体" w:eastAsia="宋体" w:cs="宋体"/>
                <w:szCs w:val="21"/>
              </w:rPr>
              <w:t>外）整体能力情况（各人员经验、学历、技术能力等情况介绍）及人员配置合理性（提供以下人员</w:t>
            </w:r>
            <w:r>
              <w:rPr>
                <w:rFonts w:hint="eastAsia" w:ascii="宋体" w:hAnsi="宋体" w:eastAsia="宋体" w:cs="宋体"/>
                <w:szCs w:val="21"/>
                <w:lang w:val="en-US" w:eastAsia="zh-CN"/>
              </w:rPr>
              <w:t>社保或在职证明，</w:t>
            </w:r>
            <w:r>
              <w:rPr>
                <w:rFonts w:hint="eastAsia" w:ascii="宋体" w:hAnsi="宋体" w:eastAsia="宋体" w:cs="宋体"/>
                <w:szCs w:val="21"/>
              </w:rPr>
              <w:t>否则不得分）：项目团队专业技术能力、类似经验；</w:t>
            </w:r>
          </w:p>
          <w:p>
            <w:pPr>
              <w:adjustRightInd w:val="0"/>
              <w:snapToGrid w:val="0"/>
              <w:spacing w:line="288" w:lineRule="auto"/>
              <w:rPr>
                <w:rFonts w:ascii="宋体" w:hAnsi="宋体" w:eastAsia="宋体" w:cs="宋体"/>
                <w:szCs w:val="21"/>
              </w:rPr>
            </w:pPr>
            <w:r>
              <w:rPr>
                <w:rFonts w:ascii="宋体" w:hAnsi="宋体" w:eastAsia="宋体" w:cs="宋体"/>
                <w:szCs w:val="21"/>
              </w:rPr>
              <w:t>投入人员分工配备完善、类似项目经验丰富得5分；投入人员数量基本满足、分工配备一般、</w:t>
            </w:r>
            <w:r>
              <w:rPr>
                <w:rFonts w:hint="eastAsia" w:ascii="宋体" w:hAnsi="宋体" w:eastAsia="宋体" w:cs="宋体"/>
                <w:szCs w:val="21"/>
              </w:rPr>
              <w:t>缺少</w:t>
            </w:r>
            <w:r>
              <w:rPr>
                <w:rFonts w:ascii="宋体" w:hAnsi="宋体" w:eastAsia="宋体" w:cs="宋体"/>
                <w:szCs w:val="21"/>
              </w:rPr>
              <w:t>类似项目经验或者类似经验较少得</w:t>
            </w:r>
            <w:r>
              <w:rPr>
                <w:rFonts w:hint="eastAsia" w:ascii="宋体" w:hAnsi="宋体" w:eastAsia="宋体" w:cs="宋体"/>
                <w:szCs w:val="21"/>
                <w:lang w:val="en-US" w:eastAsia="zh-CN"/>
              </w:rPr>
              <w:t>3</w:t>
            </w:r>
            <w:r>
              <w:rPr>
                <w:rFonts w:ascii="宋体" w:hAnsi="宋体" w:eastAsia="宋体" w:cs="宋体"/>
                <w:szCs w:val="21"/>
              </w:rPr>
              <w:t>分；投入人员数量</w:t>
            </w:r>
            <w:r>
              <w:rPr>
                <w:rFonts w:hint="eastAsia" w:ascii="宋体" w:hAnsi="宋体" w:eastAsia="宋体" w:cs="宋体"/>
                <w:szCs w:val="21"/>
              </w:rPr>
              <w:t>未明确</w:t>
            </w:r>
            <w:r>
              <w:rPr>
                <w:rFonts w:ascii="宋体" w:hAnsi="宋体" w:eastAsia="宋体" w:cs="宋体"/>
                <w:szCs w:val="21"/>
              </w:rPr>
              <w:t>、分工配备一般、</w:t>
            </w:r>
            <w:r>
              <w:rPr>
                <w:rFonts w:hint="eastAsia" w:ascii="宋体" w:hAnsi="宋体" w:eastAsia="宋体" w:cs="宋体"/>
                <w:szCs w:val="21"/>
              </w:rPr>
              <w:t>缺少</w:t>
            </w:r>
            <w:r>
              <w:rPr>
                <w:rFonts w:ascii="宋体" w:hAnsi="宋体" w:eastAsia="宋体" w:cs="宋体"/>
                <w:szCs w:val="21"/>
              </w:rPr>
              <w:t>类似项目经验或者类似经验较少</w:t>
            </w:r>
            <w:r>
              <w:rPr>
                <w:rFonts w:hint="eastAsia" w:ascii="宋体" w:hAnsi="宋体" w:eastAsia="宋体" w:cs="宋体"/>
                <w:szCs w:val="21"/>
              </w:rPr>
              <w:t>的1分。其余不得分。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lang w:eastAsia="zh-CN"/>
              </w:rPr>
            </w:pPr>
            <w:r>
              <w:rPr>
                <w:rFonts w:ascii="宋体" w:hAnsi="宋体" w:eastAsia="宋体" w:cs="Times New Roman"/>
                <w:szCs w:val="21"/>
              </w:rPr>
              <w:t>安装调试</w:t>
            </w:r>
            <w:r>
              <w:rPr>
                <w:rFonts w:hint="eastAsia" w:ascii="宋体" w:hAnsi="宋体" w:eastAsia="宋体" w:cs="Times New Roman"/>
                <w:szCs w:val="21"/>
              </w:rPr>
              <w:t>方案</w:t>
            </w:r>
            <w:r>
              <w:rPr>
                <w:rFonts w:hint="eastAsia" w:ascii="宋体" w:hAnsi="宋体" w:eastAsia="宋体" w:cs="Times New Roman"/>
                <w:szCs w:val="21"/>
                <w:lang w:eastAsia="zh-CN"/>
              </w:rPr>
              <w:t>：提供产品安装、调试等内容，内容详细、完整，操作性强的得</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分；内容较详细、完整，操作性一般的得</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分；内容简单、</w:t>
            </w:r>
            <w:r>
              <w:rPr>
                <w:rFonts w:hint="eastAsia" w:ascii="宋体" w:hAnsi="宋体" w:eastAsia="宋体" w:cs="Times New Roman"/>
                <w:szCs w:val="21"/>
                <w:lang w:val="en-US" w:eastAsia="zh-CN"/>
              </w:rPr>
              <w:t>操作性较差</w:t>
            </w:r>
            <w:r>
              <w:rPr>
                <w:rFonts w:hint="eastAsia" w:ascii="宋体" w:hAnsi="宋体" w:eastAsia="宋体" w:cs="Times New Roman"/>
                <w:szCs w:val="21"/>
                <w:lang w:eastAsia="zh-CN"/>
              </w:rPr>
              <w:t>的得</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宋体"/>
                <w:b/>
                <w:bCs/>
                <w:szCs w:val="21"/>
              </w:rPr>
              <w:t>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Times New Roman"/>
                <w:szCs w:val="21"/>
                <w:lang w:eastAsia="zh-CN"/>
              </w:rPr>
            </w:pPr>
            <w:r>
              <w:rPr>
                <w:rFonts w:hint="eastAsia" w:ascii="宋体" w:hAnsi="宋体" w:eastAsia="宋体" w:cs="宋体"/>
                <w:szCs w:val="21"/>
              </w:rPr>
              <w:t>培训计划内容、培训范围，实施方案</w:t>
            </w:r>
            <w:r>
              <w:rPr>
                <w:rFonts w:hint="eastAsia" w:ascii="宋体" w:hAnsi="宋体" w:eastAsia="宋体" w:cs="宋体"/>
                <w:szCs w:val="21"/>
                <w:lang w:eastAsia="zh-CN"/>
              </w:rPr>
              <w:t>：内容详细、完整、具有针对性的得</w:t>
            </w:r>
            <w:r>
              <w:rPr>
                <w:rFonts w:hint="eastAsia" w:ascii="宋体" w:hAnsi="宋体" w:eastAsia="宋体" w:cs="宋体"/>
                <w:szCs w:val="21"/>
                <w:lang w:val="en-US" w:eastAsia="zh-CN"/>
              </w:rPr>
              <w:t>4</w:t>
            </w:r>
            <w:r>
              <w:rPr>
                <w:rFonts w:hint="eastAsia" w:ascii="宋体" w:hAnsi="宋体" w:eastAsia="宋体" w:cs="宋体"/>
                <w:szCs w:val="21"/>
                <w:lang w:eastAsia="zh-CN"/>
              </w:rPr>
              <w:t>分；内容</w:t>
            </w:r>
            <w:r>
              <w:rPr>
                <w:rFonts w:hint="eastAsia" w:ascii="宋体" w:hAnsi="宋体" w:eastAsia="宋体" w:cs="宋体"/>
                <w:szCs w:val="21"/>
                <w:lang w:val="en-US" w:eastAsia="zh-CN"/>
              </w:rPr>
              <w:t>略有欠缺或不够完善</w:t>
            </w:r>
            <w:r>
              <w:rPr>
                <w:rFonts w:hint="eastAsia" w:ascii="宋体" w:hAnsi="宋体" w:eastAsia="宋体" w:cs="宋体"/>
                <w:szCs w:val="21"/>
                <w:lang w:eastAsia="zh-CN"/>
              </w:rPr>
              <w:t>的得</w:t>
            </w:r>
            <w:r>
              <w:rPr>
                <w:rFonts w:hint="eastAsia" w:ascii="宋体" w:hAnsi="宋体" w:eastAsia="宋体" w:cs="宋体"/>
                <w:szCs w:val="21"/>
                <w:lang w:val="en-US" w:eastAsia="zh-CN"/>
              </w:rPr>
              <w:t>2</w:t>
            </w:r>
            <w:r>
              <w:rPr>
                <w:rFonts w:hint="eastAsia" w:ascii="宋体" w:hAnsi="宋体" w:eastAsia="宋体" w:cs="宋体"/>
                <w:szCs w:val="21"/>
                <w:lang w:eastAsia="zh-CN"/>
              </w:rPr>
              <w:t>分；内容简单、针对性差的得</w:t>
            </w:r>
            <w:r>
              <w:rPr>
                <w:rFonts w:hint="eastAsia" w:ascii="宋体" w:hAnsi="宋体" w:eastAsia="宋体" w:cs="宋体"/>
                <w:szCs w:val="21"/>
                <w:lang w:val="en-US" w:eastAsia="zh-CN"/>
              </w:rPr>
              <w:t>1</w:t>
            </w:r>
            <w:r>
              <w:rPr>
                <w:rFonts w:hint="eastAsia" w:ascii="宋体" w:hAnsi="宋体" w:eastAsia="宋体" w:cs="宋体"/>
                <w:szCs w:val="21"/>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【主观分】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售后服务方案、售后服务承诺、售后服务保障措施：服务方案内容，包括售后服务的响应程度、服务方案实施内容针对性、可行性强的得</w:t>
            </w:r>
            <w:r>
              <w:rPr>
                <w:rFonts w:hint="eastAsia" w:ascii="宋体" w:hAnsi="宋体" w:eastAsia="宋体" w:cs="宋体"/>
                <w:szCs w:val="21"/>
                <w:lang w:val="en-US" w:eastAsia="zh-CN"/>
              </w:rPr>
              <w:t>4</w:t>
            </w:r>
            <w:r>
              <w:rPr>
                <w:rFonts w:hint="eastAsia" w:ascii="宋体" w:hAnsi="宋体" w:eastAsia="宋体" w:cs="宋体"/>
                <w:szCs w:val="21"/>
                <w:lang w:eastAsia="zh-CN"/>
              </w:rPr>
              <w:t>分；售后服务的响应程度、服务方案实施内容针对性、可行性一般的得</w:t>
            </w:r>
            <w:r>
              <w:rPr>
                <w:rFonts w:hint="eastAsia" w:ascii="宋体" w:hAnsi="宋体" w:eastAsia="宋体" w:cs="宋体"/>
                <w:szCs w:val="21"/>
                <w:lang w:val="en-US" w:eastAsia="zh-CN"/>
              </w:rPr>
              <w:t>2</w:t>
            </w:r>
            <w:r>
              <w:rPr>
                <w:rFonts w:hint="eastAsia" w:ascii="宋体" w:hAnsi="宋体" w:eastAsia="宋体" w:cs="宋体"/>
                <w:szCs w:val="21"/>
                <w:lang w:eastAsia="zh-CN"/>
              </w:rPr>
              <w:t>分；售后服务的响应程度、服务方案实施内容针对性、可行性差的得</w:t>
            </w:r>
            <w:r>
              <w:rPr>
                <w:rFonts w:hint="eastAsia" w:ascii="宋体" w:hAnsi="宋体" w:eastAsia="宋体" w:cs="宋体"/>
                <w:szCs w:val="21"/>
                <w:lang w:val="en-US" w:eastAsia="zh-CN"/>
              </w:rPr>
              <w:t>1</w:t>
            </w:r>
            <w:r>
              <w:rPr>
                <w:rFonts w:hint="eastAsia" w:ascii="宋体" w:hAnsi="宋体" w:eastAsia="宋体" w:cs="宋体"/>
                <w:szCs w:val="21"/>
                <w:lang w:eastAsia="zh-CN"/>
              </w:rPr>
              <w:t>分；</w:t>
            </w:r>
            <w:r>
              <w:rPr>
                <w:rFonts w:hint="eastAsia" w:ascii="宋体" w:hAnsi="宋体" w:eastAsia="宋体" w:cs="宋体"/>
                <w:szCs w:val="21"/>
                <w:lang w:val="en-US" w:eastAsia="zh-CN"/>
              </w:rPr>
              <w:t>未</w:t>
            </w:r>
            <w:r>
              <w:rPr>
                <w:rFonts w:hint="eastAsia" w:ascii="宋体" w:hAnsi="宋体" w:eastAsia="宋体" w:cs="宋体"/>
                <w:szCs w:val="21"/>
                <w:lang w:eastAsia="zh-CN"/>
              </w:rPr>
              <w:t>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保障方案</w:t>
            </w:r>
          </w:p>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【主观分】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val="en-US" w:eastAsia="zh-CN"/>
              </w:rPr>
              <w:t>保证方案内容：</w:t>
            </w:r>
            <w:r>
              <w:rPr>
                <w:rFonts w:hint="eastAsia" w:ascii="宋体" w:hAnsi="宋体" w:eastAsia="宋体" w:cs="宋体"/>
                <w:szCs w:val="21"/>
                <w:lang w:eastAsia="zh-CN"/>
              </w:rPr>
              <w:t>保障服务质量的承诺及措施针对性、可行性强的得</w:t>
            </w:r>
            <w:r>
              <w:rPr>
                <w:rFonts w:hint="eastAsia" w:ascii="宋体" w:hAnsi="宋体" w:eastAsia="宋体" w:cs="宋体"/>
                <w:szCs w:val="21"/>
                <w:lang w:val="en-US" w:eastAsia="zh-CN"/>
              </w:rPr>
              <w:t>4</w:t>
            </w:r>
            <w:r>
              <w:rPr>
                <w:rFonts w:hint="eastAsia" w:ascii="宋体" w:hAnsi="宋体" w:eastAsia="宋体" w:cs="宋体"/>
                <w:szCs w:val="21"/>
                <w:lang w:eastAsia="zh-CN"/>
              </w:rPr>
              <w:t>分；保障服务质量的承诺及措施针对性、可行性一般的得</w:t>
            </w:r>
            <w:r>
              <w:rPr>
                <w:rFonts w:hint="eastAsia" w:ascii="宋体" w:hAnsi="宋体" w:eastAsia="宋体" w:cs="宋体"/>
                <w:szCs w:val="21"/>
                <w:lang w:val="en-US" w:eastAsia="zh-CN"/>
              </w:rPr>
              <w:t>2</w:t>
            </w:r>
            <w:r>
              <w:rPr>
                <w:rFonts w:hint="eastAsia" w:ascii="宋体" w:hAnsi="宋体" w:eastAsia="宋体" w:cs="宋体"/>
                <w:szCs w:val="21"/>
                <w:lang w:eastAsia="zh-CN"/>
              </w:rPr>
              <w:t>分；保障服务质量的承诺及措施针对性、可行性差的得</w:t>
            </w:r>
            <w:r>
              <w:rPr>
                <w:rFonts w:hint="eastAsia" w:ascii="宋体" w:hAnsi="宋体" w:eastAsia="宋体" w:cs="宋体"/>
                <w:szCs w:val="21"/>
                <w:lang w:val="en-US" w:eastAsia="zh-CN"/>
              </w:rPr>
              <w:t>1</w:t>
            </w:r>
            <w:r>
              <w:rPr>
                <w:rFonts w:hint="eastAsia" w:ascii="宋体" w:hAnsi="宋体" w:eastAsia="宋体" w:cs="宋体"/>
                <w:szCs w:val="21"/>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故障应急处理方案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【主观分】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设备出现故障或意外情况导致设备不能正常运行时，投标人针对不同故障级别的响应时间和响应内容；故障解决措施罗列详细具有针对性且响应及时，得</w:t>
            </w:r>
            <w:r>
              <w:rPr>
                <w:rFonts w:hint="eastAsia" w:ascii="宋体" w:hAnsi="宋体" w:eastAsia="宋体" w:cs="宋体"/>
                <w:szCs w:val="21"/>
                <w:lang w:val="en-US" w:eastAsia="zh-CN"/>
              </w:rPr>
              <w:t>4</w:t>
            </w:r>
            <w:r>
              <w:rPr>
                <w:rFonts w:hint="eastAsia" w:ascii="宋体" w:hAnsi="宋体" w:eastAsia="宋体" w:cs="宋体"/>
                <w:szCs w:val="21"/>
                <w:lang w:eastAsia="zh-CN"/>
              </w:rPr>
              <w:t>分；故障解决措施简单但能及时响应的，得</w:t>
            </w:r>
            <w:r>
              <w:rPr>
                <w:rFonts w:hint="eastAsia" w:ascii="宋体" w:hAnsi="宋体" w:eastAsia="宋体" w:cs="宋体"/>
                <w:szCs w:val="21"/>
                <w:lang w:val="en-US" w:eastAsia="zh-CN"/>
              </w:rPr>
              <w:t>2</w:t>
            </w:r>
            <w:r>
              <w:rPr>
                <w:rFonts w:hint="eastAsia" w:ascii="宋体" w:hAnsi="宋体" w:eastAsia="宋体" w:cs="宋体"/>
                <w:szCs w:val="21"/>
                <w:lang w:eastAsia="zh-CN"/>
              </w:rPr>
              <w:t>分；未列举措施但能及时响应的，得</w:t>
            </w:r>
            <w:r>
              <w:rPr>
                <w:rFonts w:hint="eastAsia" w:ascii="宋体" w:hAnsi="宋体" w:eastAsia="宋体" w:cs="宋体"/>
                <w:szCs w:val="21"/>
                <w:lang w:val="en-US" w:eastAsia="zh-CN"/>
              </w:rPr>
              <w:t>1</w:t>
            </w:r>
            <w:r>
              <w:rPr>
                <w:rFonts w:hint="eastAsia" w:ascii="宋体" w:hAnsi="宋体" w:eastAsia="宋体" w:cs="宋体"/>
                <w:szCs w:val="21"/>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16</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客观分】</w:t>
            </w:r>
          </w:p>
          <w:p>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Times New Roman"/>
                <w:spacing w:val="-6"/>
                <w:szCs w:val="21"/>
              </w:rPr>
              <w:t>演示形式可以以软件demo或类似项目真实软件演示，以PPT或图片形式演示的，演示分为0分。</w:t>
            </w:r>
            <w:r>
              <w:rPr>
                <w:rFonts w:hint="eastAsia" w:ascii="宋体" w:hAnsi="宋体" w:eastAsia="宋体" w:cs="Times New Roman"/>
                <w:spacing w:val="-6"/>
                <w:szCs w:val="21"/>
                <w:lang w:val="en-US" w:eastAsia="zh-CN"/>
              </w:rPr>
              <w:t>每项内容满足即得满分，如无法提供功能演示或演示不符合采购需求，则视为不满足，其对应内容演示分为0分。</w:t>
            </w:r>
            <w:r>
              <w:rPr>
                <w:rFonts w:hint="eastAsia" w:ascii="宋体" w:hAnsi="宋体" w:eastAsia="宋体" w:cs="宋体"/>
                <w:kern w:val="0"/>
                <w:sz w:val="21"/>
                <w:szCs w:val="21"/>
                <w:lang w:val="en-US" w:eastAsia="zh-CN" w:bidi="ar"/>
              </w:rPr>
              <w:t>总演示时间不超过15分钟。</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（1）门户多身份支持：门户支持一人多身份应用聚合展示，所有应用须支持多身份的聚合，演示访问门户用户单身份（教师）和多身份（学生和教师身份）访问应用中心效果。（</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（2）提醒中心：基于提醒中心的推送引擎，消息源支持列表模式，并可以动态无代码集成第三方推送源，可以定义多种推送策略，可以进行数据SQL脚本查询验证。演示将图文消息推送到企业微信终端。（</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（3）应用中心：应用中心需要支持应用开发版本迭代和跟踪，支持单应用多入口编排能力</w:t>
            </w:r>
            <w:r>
              <w:rPr>
                <w:rFonts w:hint="eastAsia" w:ascii="宋体" w:hAnsi="宋体" w:eastAsia="宋体" w:cs="宋体"/>
                <w:szCs w:val="21"/>
                <w:lang w:val="en-US" w:eastAsia="zh-CN"/>
              </w:rPr>
              <w:t>,</w:t>
            </w:r>
            <w:r>
              <w:rPr>
                <w:rFonts w:hint="eastAsia" w:ascii="宋体" w:hAnsi="宋体" w:eastAsia="宋体" w:cs="宋体"/>
                <w:szCs w:val="21"/>
                <w:lang w:eastAsia="zh-CN"/>
              </w:rPr>
              <w:t>演示单应用多入口自动安装到应用中心，并可以通过应用中心进行查询访问。（</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（4）接口动态弹性查询能力：演示标准接口根据指定查询属性字段返回不同的数据，而无需更改后端接口代码的能力。（</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（5）数据可视化平台，主要演示编辑者基于模板，一键拖拉拽快速生产图表和内容，再根据图表连接数据。（</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（6）数据可视化平台，快速实现一键换色、一键换字体，快速发布的效果。（</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（7）高可用集群环境能力演示：支持容器化部署，支持多实例运行，现场通过图形界面操作进行集群环境的横向扩容，实现快速增加集群节点。同时，演示如何设定关键指标阈值，自动化扩容集群环境。（</w:t>
            </w:r>
            <w:r>
              <w:rPr>
                <w:rFonts w:hint="eastAsia" w:ascii="宋体" w:hAnsi="宋体" w:eastAsia="宋体" w:cs="宋体"/>
                <w:szCs w:val="21"/>
                <w:lang w:val="en-US" w:eastAsia="zh-CN"/>
              </w:rPr>
              <w:t>2分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8）集群环境监控能力演示：现场演示集群环境中的监控指标，包括：资源使用情况监控，集群组件健康状态、业务容器健康状态、代理服务状态、监控程序自身的状态、证书有效期、数据库运行状态、数据同步状态、数据库连接池使用情况、数据库的数据量、门户总访问量、门户失败访问量、按时间段请求统计。并可以设置相关报警阈值。（</w:t>
            </w:r>
            <w:r>
              <w:rPr>
                <w:rFonts w:hint="eastAsia" w:ascii="宋体" w:hAnsi="宋体" w:eastAsia="宋体" w:cs="宋体"/>
                <w:szCs w:val="21"/>
                <w:lang w:val="en-US" w:eastAsia="zh-CN"/>
              </w:rPr>
              <w:t>2分</w:t>
            </w:r>
            <w:r>
              <w:rPr>
                <w:rFonts w:hint="eastAsia" w:ascii="宋体" w:hAnsi="宋体" w:eastAsia="宋体" w:cs="宋体"/>
                <w:szCs w:val="21"/>
                <w:lang w:eastAsia="zh-CN"/>
              </w:rPr>
              <w:t>）</w:t>
            </w:r>
          </w:p>
        </w:tc>
      </w:tr>
    </w:tbl>
    <w:p>
      <w:pPr>
        <w:adjustRightInd w:val="0"/>
        <w:snapToGrid w:val="0"/>
        <w:spacing w:line="288" w:lineRule="auto"/>
        <w:jc w:val="left"/>
        <w:rPr>
          <w:rFonts w:ascii="宋体" w:hAnsi="宋体" w:eastAsia="宋体" w:cs="Times New Roman"/>
          <w:b/>
          <w:szCs w:val="21"/>
        </w:rPr>
      </w:pPr>
    </w:p>
    <w:p>
      <w:pPr>
        <w:widowControl/>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浙江财经大学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融合门户建设项目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QSZB-Z(F)-E23289(GK) </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融合门户建设项目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QSZB-Z(F)-E23289(GK)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hint="default" w:ascii="宋体" w:hAnsi="宋体" w:eastAsia="宋体" w:cs="宋体"/>
                <w:spacing w:val="-6"/>
                <w:szCs w:val="21"/>
                <w:lang w:val="en-US" w:eastAsia="zh-CN"/>
              </w:rPr>
            </w:pPr>
            <w:r>
              <w:rPr>
                <w:rFonts w:hint="eastAsia" w:ascii="宋体" w:hAnsi="宋体" w:eastAsia="宋体" w:cs="宋体"/>
                <w:spacing w:val="-6"/>
                <w:szCs w:val="21"/>
                <w:lang w:val="en-US" w:eastAsia="zh-CN"/>
              </w:rPr>
              <w:t>服务内容</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w:t>
            </w:r>
            <w:r>
              <w:rPr>
                <w:rFonts w:hint="eastAsia" w:ascii="宋体" w:hAnsi="宋体" w:eastAsia="宋体" w:cs="宋体"/>
                <w:spacing w:val="-6"/>
                <w:szCs w:val="21"/>
                <w:lang w:val="en-US" w:eastAsia="zh-CN"/>
              </w:rPr>
              <w:t>项目实施完成的所有费用</w:t>
            </w:r>
            <w:r>
              <w:rPr>
                <w:rFonts w:hint="eastAsia" w:ascii="宋体" w:hAnsi="宋体" w:eastAsia="宋体" w:cs="宋体"/>
                <w:spacing w:val="-6"/>
                <w:szCs w:val="21"/>
              </w:rPr>
              <w:t>。</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w:t>
      </w:r>
      <w:r>
        <w:rPr>
          <w:rFonts w:hint="eastAsia" w:ascii="宋体" w:hAnsi="宋体" w:eastAsia="宋体" w:cs="宋体"/>
          <w:spacing w:val="-6"/>
          <w:kern w:val="0"/>
          <w:szCs w:val="21"/>
          <w:lang w:val="en-US" w:eastAsia="zh-CN"/>
        </w:rPr>
        <w:t>履约保证金：</w:t>
      </w:r>
      <w:r>
        <w:rPr>
          <w:rFonts w:hint="eastAsia" w:ascii="宋体" w:hAnsi="宋体" w:eastAsia="宋体" w:cs="宋体"/>
          <w:spacing w:val="-6"/>
          <w:kern w:val="0"/>
          <w:szCs w:val="21"/>
        </w:rPr>
        <w:t>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提交方式：银行汇款转账、支票、汇票、本票或金融机构、担保机构出具的保函等非现金形式。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2.付款方式：</w:t>
      </w:r>
      <w:r>
        <w:rPr>
          <w:rFonts w:hint="eastAsia" w:ascii="宋体" w:hAnsi="宋体" w:eastAsia="宋体" w:cs="宋体"/>
          <w:spacing w:val="-6"/>
          <w:kern w:val="0"/>
          <w:szCs w:val="21"/>
        </w:rPr>
        <w:t>合同生效以及具备实施条件后7个工作日内，且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已向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提交银行、保险公司等金融机构出具的预付款保函（等额）的，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支付合同总价的30%；项目履约完成，经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验收合格后，收到发票后7个工作日内，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支付合同总价的70%。</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w:t>
            </w:r>
            <w:r>
              <w:rPr>
                <w:rFonts w:hint="eastAsia" w:ascii="宋体" w:hAnsi="宋体" w:eastAsia="宋体" w:cs="宋体"/>
                <w:szCs w:val="21"/>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w:t>
      </w:r>
      <w:r>
        <w:rPr>
          <w:rFonts w:ascii="宋体" w:hAnsi="宋体" w:eastAsia="宋体" w:cs="宋体"/>
          <w:bCs/>
          <w:spacing w:val="-6"/>
          <w:szCs w:val="21"/>
          <w:highlight w:val="none"/>
        </w:rPr>
        <w:t>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pPr>
        <w:adjustRightInd w:val="0"/>
        <w:snapToGrid w:val="0"/>
        <w:spacing w:line="288" w:lineRule="auto"/>
        <w:ind w:firstLine="398" w:firstLineChars="200"/>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2023年01月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项目理解</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关键技术解决方案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培训</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保障方案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故障应急处理方案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rPr>
          <w:rFonts w:ascii="宋体" w:hAnsi="宋体" w:eastAsia="宋体" w:cs="宋体"/>
          <w:b/>
          <w:spacing w:val="-6"/>
          <w:szCs w:val="21"/>
        </w:rPr>
      </w:pPr>
      <w:r>
        <w:rPr>
          <w:rFonts w:ascii="宋体" w:hAnsi="宋体" w:eastAsia="宋体" w:cs="宋体"/>
          <w:b/>
          <w:spacing w:val="-6"/>
          <w:szCs w:val="21"/>
        </w:rPr>
        <w:t>中小企业</w:t>
      </w:r>
      <w:r>
        <w:rPr>
          <w:rFonts w:hint="eastAsia" w:ascii="宋体" w:hAnsi="宋体" w:eastAsia="宋体" w:cs="Times New Roman"/>
          <w:b/>
          <w:bCs/>
          <w:spacing w:val="-6"/>
          <w:szCs w:val="21"/>
        </w:rPr>
        <w:t>声明</w:t>
      </w:r>
      <w:r>
        <w:rPr>
          <w:rFonts w:ascii="宋体" w:hAnsi="宋体" w:eastAsia="宋体" w:cs="宋体"/>
          <w:b/>
          <w:spacing w:val="-6"/>
          <w:szCs w:val="21"/>
        </w:rPr>
        <w:t>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w:t>
      </w:r>
      <w:r>
        <w:rPr>
          <w:rFonts w:ascii="宋体" w:hAnsi="宋体" w:eastAsia="宋体" w:cs="Times New Roman"/>
          <w:szCs w:val="21"/>
          <w:highlight w:val="none"/>
        </w:rPr>
        <w:t>，根据《政府采购促进中小企业发展管理办法》（财库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szCs w:val="21"/>
          <w:highlight w:val="none"/>
          <w:u w:val="none"/>
          <w:lang w:val="en-US" w:eastAsia="zh-CN"/>
        </w:rPr>
        <w:t>浙江财经大学</w:t>
      </w:r>
      <w:r>
        <w:rPr>
          <w:rFonts w:ascii="宋体" w:hAnsi="宋体" w:eastAsia="宋体" w:cs="Times New Roman"/>
          <w:i w:val="0"/>
          <w:iCs/>
          <w:szCs w:val="21"/>
          <w:highlight w:val="none"/>
          <w:u w:val="none"/>
        </w:rPr>
        <w:t>的</w:t>
      </w:r>
      <w:r>
        <w:rPr>
          <w:rFonts w:hint="eastAsia" w:ascii="宋体" w:hAnsi="宋体" w:eastAsia="宋体" w:cs="Times New Roman"/>
          <w:i w:val="0"/>
          <w:iCs/>
          <w:szCs w:val="21"/>
          <w:highlight w:val="none"/>
          <w:u w:val="none"/>
          <w:lang w:eastAsia="zh-CN"/>
        </w:rPr>
        <w:t>融合门户建设项目</w:t>
      </w:r>
      <w:r>
        <w:rPr>
          <w:rFonts w:ascii="宋体" w:hAnsi="宋体" w:eastAsia="宋体" w:cs="Times New Roman"/>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val="0"/>
          <w:iCs/>
          <w:szCs w:val="21"/>
          <w:highlight w:val="none"/>
          <w:u w:val="none"/>
        </w:rPr>
        <w:t>1</w:t>
      </w:r>
      <w:r>
        <w:rPr>
          <w:rFonts w:ascii="宋体" w:hAnsi="宋体" w:eastAsia="宋体" w:cs="Times New Roman"/>
          <w:i w:val="0"/>
          <w:iCs/>
          <w:szCs w:val="21"/>
          <w:highlight w:val="none"/>
          <w:u w:val="none"/>
        </w:rPr>
        <w:t>.</w:t>
      </w:r>
      <w:r>
        <w:rPr>
          <w:rFonts w:hint="eastAsia" w:ascii="宋体" w:hAnsi="宋体" w:eastAsia="宋体" w:cs="Times New Roman"/>
          <w:i w:val="0"/>
          <w:iCs/>
          <w:szCs w:val="21"/>
          <w:highlight w:val="none"/>
          <w:u w:val="none"/>
          <w:lang w:eastAsia="zh-CN"/>
        </w:rPr>
        <w:t>融合门户建设项目</w:t>
      </w:r>
      <w:r>
        <w:rPr>
          <w:rFonts w:ascii="宋体" w:hAnsi="宋体" w:eastAsia="宋体" w:cs="Times New Roman"/>
          <w:i w:val="0"/>
          <w:iCs/>
          <w:szCs w:val="21"/>
          <w:highlight w:val="none"/>
          <w:u w:val="none"/>
        </w:rPr>
        <w:t>，属于</w:t>
      </w:r>
      <w:r>
        <w:rPr>
          <w:rFonts w:hint="eastAsia" w:ascii="宋体" w:hAnsi="宋体" w:eastAsia="宋体" w:cs="Times New Roman"/>
          <w:i w:val="0"/>
          <w:iCs/>
          <w:szCs w:val="21"/>
          <w:highlight w:val="none"/>
          <w:u w:val="none"/>
        </w:rPr>
        <w:t>软件和信息技术服务业</w:t>
      </w:r>
      <w:r>
        <w:rPr>
          <w:rFonts w:ascii="宋体" w:hAnsi="宋体" w:eastAsia="宋体" w:cs="Times New Roman"/>
          <w:i w:val="0"/>
          <w:iCs/>
          <w:szCs w:val="21"/>
          <w:highlight w:val="none"/>
          <w:u w:val="none"/>
        </w:rPr>
        <w:t>；</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3</w:t>
      </w:r>
      <w:r>
        <w:rPr>
          <w:rFonts w:hint="eastAsia" w:ascii="宋体" w:hAnsi="宋体" w:eastAsia="宋体" w:cs="Times New Roman"/>
          <w:szCs w:val="21"/>
        </w:rPr>
        <w:t>.本项目仅以</w:t>
      </w:r>
      <w:r>
        <w:rPr>
          <w:rFonts w:hint="eastAsia" w:ascii="宋体" w:hAnsi="宋体" w:eastAsia="宋体" w:cs="Times New Roman"/>
          <w:szCs w:val="21"/>
          <w:highlight w:val="none"/>
        </w:rPr>
        <w:t>《中小企业声明函》作为评判供应商是否属于中小企业的唯一依据。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残疾人福利性单位</w:t>
      </w:r>
      <w:r>
        <w:rPr>
          <w:rFonts w:hint="eastAsia" w:ascii="宋体" w:hAnsi="宋体" w:eastAsia="宋体" w:cs="Times New Roman"/>
          <w:b/>
          <w:bCs/>
          <w:spacing w:val="-6"/>
          <w:szCs w:val="21"/>
        </w:rPr>
        <w:t>声明</w:t>
      </w:r>
      <w:r>
        <w:rPr>
          <w:rFonts w:hint="eastAsia" w:ascii="宋体" w:hAnsi="宋体" w:eastAsia="宋体" w:cs="宋体"/>
          <w:b/>
          <w:spacing w:val="-6"/>
          <w:szCs w:val="21"/>
        </w:rPr>
        <w:t>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w:t>
      </w:r>
      <w:r>
        <w:rPr>
          <w:rFonts w:hint="eastAsia" w:ascii="宋体" w:hAnsi="宋体" w:eastAsia="宋体" w:cs="Times New Roman"/>
          <w:spacing w:val="6"/>
          <w:szCs w:val="21"/>
          <w:highlight w:val="none"/>
        </w:rPr>
        <w:t>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浙江财经大学融合门户建设项目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QSZB-Z(F)-E23289(GK)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浙江财经大学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浙江财经大学融合门户建设项目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QSZB-Z(F)-E23289(GK)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融合门户建设项目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QSZB-Z(F)-E23289(GK)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项目理解</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项目实施方案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关键技术解决方案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项目团队</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安装调试</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培训</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售后服务</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保障方案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故障应急处理方案</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融合门户建设项目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QSZB-Z(F)-E23289(GK)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ind w:firstLine="467" w:firstLineChars="236"/>
        <w:rPr>
          <w:rFonts w:ascii="宋体" w:hAnsi="宋体" w:eastAsia="宋体" w:cs="Times New Roman"/>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组成一个联合体，以一个投标人的身份</w:t>
      </w:r>
      <w:r>
        <w:rPr>
          <w:rFonts w:hint="eastAsia" w:ascii="宋体" w:hAnsi="宋体" w:eastAsia="宋体" w:cs="宋体"/>
          <w:kern w:val="0"/>
          <w:szCs w:val="21"/>
        </w:rPr>
        <w:t>参加</w:t>
      </w:r>
      <w:r>
        <w:rPr>
          <w:rFonts w:hint="eastAsia" w:ascii="宋体" w:hAnsi="宋体" w:eastAsia="宋体" w:cs="宋体"/>
          <w:szCs w:val="21"/>
        </w:rPr>
        <w:t>（项目名称）【招标编号：（采购编号）】</w:t>
      </w:r>
      <w:r>
        <w:rPr>
          <w:rFonts w:hint="eastAsia" w:ascii="宋体" w:hAnsi="宋体" w:eastAsia="宋体" w:cs="宋体"/>
          <w:kern w:val="0"/>
          <w:szCs w:val="21"/>
          <w:lang w:val="zh-CN"/>
        </w:rPr>
        <w:t>投标。</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4" w:firstLineChars="202"/>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111"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111"/>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112" w:name="_Hlk101133598"/>
      <w:r>
        <w:rPr>
          <w:rFonts w:hint="eastAsia" w:ascii="宋体" w:hAnsi="宋体" w:eastAsia="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112"/>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w:t>
      </w:r>
      <w:bookmarkStart w:id="113"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113"/>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right="960"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w:t>
      </w:r>
      <w:r>
        <w:rPr>
          <w:rFonts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pPr>
        <w:snapToGrid w:val="0"/>
        <w:spacing w:line="288" w:lineRule="auto"/>
        <w:ind w:firstLine="424" w:firstLineChars="202"/>
        <w:rPr>
          <w:rFonts w:ascii="宋体" w:hAnsi="宋体" w:eastAsia="宋体" w:cs="宋体"/>
          <w:kern w:val="0"/>
          <w:szCs w:val="21"/>
        </w:rPr>
      </w:pPr>
      <w:r>
        <w:rPr>
          <w:rFonts w:hint="eastAsia" w:ascii="宋体" w:hAnsi="宋体" w:eastAsia="宋体" w:cs="宋体"/>
          <w:kern w:val="0"/>
          <w:szCs w:val="21"/>
        </w:rPr>
        <w:t>……</w:t>
      </w:r>
    </w:p>
    <w:p>
      <w:pPr>
        <w:snapToGrid w:val="0"/>
        <w:spacing w:line="288" w:lineRule="auto"/>
        <w:ind w:firstLine="424" w:firstLineChars="202"/>
        <w:rPr>
          <w:rFonts w:ascii="宋体" w:hAnsi="宋体" w:eastAsia="宋体"/>
          <w:szCs w:val="21"/>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B6E2"/>
    <w:multiLevelType w:val="singleLevel"/>
    <w:tmpl w:val="8336B6E2"/>
    <w:lvl w:ilvl="0" w:tentative="0">
      <w:start w:val="1"/>
      <w:numFmt w:val="decimal"/>
      <w:lvlText w:val="(%1)"/>
      <w:lvlJc w:val="left"/>
      <w:pPr>
        <w:ind w:left="425" w:hanging="425"/>
      </w:pPr>
      <w:rPr>
        <w:rFonts w:hint="default"/>
      </w:rPr>
    </w:lvl>
  </w:abstractNum>
  <w:abstractNum w:abstractNumId="1">
    <w:nsid w:val="97DC6CFD"/>
    <w:multiLevelType w:val="singleLevel"/>
    <w:tmpl w:val="97DC6CFD"/>
    <w:lvl w:ilvl="0" w:tentative="0">
      <w:start w:val="1"/>
      <w:numFmt w:val="decimal"/>
      <w:lvlText w:val="(%1)"/>
      <w:lvlJc w:val="left"/>
      <w:pPr>
        <w:ind w:left="425" w:hanging="425"/>
      </w:pPr>
      <w:rPr>
        <w:rFonts w:hint="default"/>
      </w:rPr>
    </w:lvl>
  </w:abstractNum>
  <w:abstractNum w:abstractNumId="2">
    <w:nsid w:val="ABFAEF91"/>
    <w:multiLevelType w:val="singleLevel"/>
    <w:tmpl w:val="ABFAEF91"/>
    <w:lvl w:ilvl="0" w:tentative="0">
      <w:start w:val="1"/>
      <w:numFmt w:val="decimal"/>
      <w:lvlText w:val="(%1)"/>
      <w:lvlJc w:val="left"/>
      <w:pPr>
        <w:ind w:left="425" w:hanging="425"/>
      </w:pPr>
      <w:rPr>
        <w:rFonts w:hint="default"/>
      </w:rPr>
    </w:lvl>
  </w:abstractNum>
  <w:abstractNum w:abstractNumId="3">
    <w:nsid w:val="E915EF7C"/>
    <w:multiLevelType w:val="singleLevel"/>
    <w:tmpl w:val="E915EF7C"/>
    <w:lvl w:ilvl="0" w:tentative="0">
      <w:start w:val="1"/>
      <w:numFmt w:val="decimal"/>
      <w:lvlText w:val="(%1)"/>
      <w:lvlJc w:val="left"/>
      <w:pPr>
        <w:ind w:left="425" w:hanging="425"/>
      </w:pPr>
      <w:rPr>
        <w:rFonts w:hint="default"/>
      </w:rPr>
    </w:lvl>
  </w:abstractNum>
  <w:abstractNum w:abstractNumId="4">
    <w:nsid w:val="EE43D52B"/>
    <w:multiLevelType w:val="singleLevel"/>
    <w:tmpl w:val="EE43D52B"/>
    <w:lvl w:ilvl="0" w:tentative="0">
      <w:start w:val="1"/>
      <w:numFmt w:val="decimal"/>
      <w:lvlText w:val="(%1)"/>
      <w:lvlJc w:val="left"/>
      <w:pPr>
        <w:ind w:left="425" w:hanging="425"/>
      </w:pPr>
      <w:rPr>
        <w:rFonts w:hint="default"/>
      </w:rPr>
    </w:lvl>
  </w:abstractNum>
  <w:abstractNum w:abstractNumId="5">
    <w:nsid w:val="FD95EE4F"/>
    <w:multiLevelType w:val="singleLevel"/>
    <w:tmpl w:val="FD95EE4F"/>
    <w:lvl w:ilvl="0" w:tentative="0">
      <w:start w:val="1"/>
      <w:numFmt w:val="decimal"/>
      <w:lvlText w:val="(%1)"/>
      <w:lvlJc w:val="left"/>
      <w:pPr>
        <w:ind w:left="425" w:hanging="425"/>
      </w:pPr>
      <w:rPr>
        <w:rFonts w:hint="default"/>
      </w:rPr>
    </w:lvl>
  </w:abstractNum>
  <w:abstractNum w:abstractNumId="6">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688030"/>
    <w:multiLevelType w:val="singleLevel"/>
    <w:tmpl w:val="0E688030"/>
    <w:lvl w:ilvl="0" w:tentative="0">
      <w:start w:val="1"/>
      <w:numFmt w:val="decimal"/>
      <w:lvlText w:val="(%1)"/>
      <w:lvlJc w:val="left"/>
      <w:pPr>
        <w:ind w:left="425" w:hanging="425"/>
      </w:pPr>
      <w:rPr>
        <w:rFonts w:hint="default"/>
      </w:rPr>
    </w:lvl>
  </w:abstractNum>
  <w:abstractNum w:abstractNumId="8">
    <w:nsid w:val="12AC4655"/>
    <w:multiLevelType w:val="singleLevel"/>
    <w:tmpl w:val="12AC4655"/>
    <w:lvl w:ilvl="0" w:tentative="0">
      <w:start w:val="1"/>
      <w:numFmt w:val="decimal"/>
      <w:lvlText w:val="(%1)"/>
      <w:lvlJc w:val="left"/>
      <w:pPr>
        <w:ind w:left="425" w:hanging="425"/>
      </w:pPr>
      <w:rPr>
        <w:rFonts w:hint="default"/>
      </w:rPr>
    </w:lvl>
  </w:abstractNum>
  <w:abstractNum w:abstractNumId="9">
    <w:nsid w:val="1543678E"/>
    <w:multiLevelType w:val="multilevel"/>
    <w:tmpl w:val="1543678E"/>
    <w:lvl w:ilvl="0" w:tentative="0">
      <w:start w:val="1"/>
      <w:numFmt w:val="decimal"/>
      <w:pStyle w:val="5"/>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5FDEBE9"/>
    <w:multiLevelType w:val="singleLevel"/>
    <w:tmpl w:val="15FDEBE9"/>
    <w:lvl w:ilvl="0" w:tentative="0">
      <w:start w:val="1"/>
      <w:numFmt w:val="decimal"/>
      <w:lvlText w:val="(%1)"/>
      <w:lvlJc w:val="left"/>
      <w:pPr>
        <w:ind w:left="425" w:hanging="425"/>
      </w:pPr>
      <w:rPr>
        <w:rFonts w:hint="default"/>
      </w:rPr>
    </w:lvl>
  </w:abstractNum>
  <w:abstractNum w:abstractNumId="11">
    <w:nsid w:val="1B1C22FA"/>
    <w:multiLevelType w:val="singleLevel"/>
    <w:tmpl w:val="1B1C22FA"/>
    <w:lvl w:ilvl="0" w:tentative="0">
      <w:start w:val="1"/>
      <w:numFmt w:val="decimal"/>
      <w:lvlText w:val="(%1)"/>
      <w:lvlJc w:val="left"/>
      <w:pPr>
        <w:ind w:left="425" w:hanging="425"/>
      </w:pPr>
      <w:rPr>
        <w:rFonts w:hint="default"/>
      </w:rPr>
    </w:lvl>
  </w:abstractNum>
  <w:abstractNum w:abstractNumId="12">
    <w:nsid w:val="3752701A"/>
    <w:multiLevelType w:val="singleLevel"/>
    <w:tmpl w:val="3752701A"/>
    <w:lvl w:ilvl="0" w:tentative="0">
      <w:start w:val="1"/>
      <w:numFmt w:val="decimal"/>
      <w:lvlText w:val="(%1)"/>
      <w:lvlJc w:val="left"/>
      <w:pPr>
        <w:ind w:left="425" w:hanging="425"/>
      </w:pPr>
      <w:rPr>
        <w:rFonts w:hint="default"/>
      </w:rPr>
    </w:lvl>
  </w:abstractNum>
  <w:abstractNum w:abstractNumId="13">
    <w:nsid w:val="39C156BD"/>
    <w:multiLevelType w:val="singleLevel"/>
    <w:tmpl w:val="39C156BD"/>
    <w:lvl w:ilvl="0" w:tentative="0">
      <w:start w:val="1"/>
      <w:numFmt w:val="decimal"/>
      <w:lvlText w:val="(%1)"/>
      <w:lvlJc w:val="left"/>
      <w:pPr>
        <w:ind w:left="425" w:hanging="425"/>
      </w:pPr>
      <w:rPr>
        <w:rFonts w:hint="default"/>
      </w:rPr>
    </w:lvl>
  </w:abstractNum>
  <w:abstractNum w:abstractNumId="14">
    <w:nsid w:val="45110484"/>
    <w:multiLevelType w:val="singleLevel"/>
    <w:tmpl w:val="45110484"/>
    <w:lvl w:ilvl="0" w:tentative="0">
      <w:start w:val="1"/>
      <w:numFmt w:val="decimal"/>
      <w:lvlText w:val="(%1)"/>
      <w:lvlJc w:val="left"/>
      <w:pPr>
        <w:ind w:left="425" w:hanging="425"/>
      </w:pPr>
      <w:rPr>
        <w:rFonts w:hint="default"/>
      </w:rPr>
    </w:lvl>
  </w:abstractNum>
  <w:abstractNum w:abstractNumId="15">
    <w:nsid w:val="45D1B5BF"/>
    <w:multiLevelType w:val="singleLevel"/>
    <w:tmpl w:val="45D1B5BF"/>
    <w:lvl w:ilvl="0" w:tentative="0">
      <w:start w:val="1"/>
      <w:numFmt w:val="decimal"/>
      <w:lvlText w:val="(%1)"/>
      <w:lvlJc w:val="left"/>
      <w:pPr>
        <w:ind w:left="425" w:hanging="425"/>
      </w:pPr>
      <w:rPr>
        <w:rFonts w:hint="default"/>
      </w:rPr>
    </w:lvl>
  </w:abstractNum>
  <w:abstractNum w:abstractNumId="16">
    <w:nsid w:val="470DDBF8"/>
    <w:multiLevelType w:val="singleLevel"/>
    <w:tmpl w:val="470DDBF8"/>
    <w:lvl w:ilvl="0" w:tentative="0">
      <w:start w:val="1"/>
      <w:numFmt w:val="decimal"/>
      <w:lvlText w:val="(%1)"/>
      <w:lvlJc w:val="left"/>
      <w:pPr>
        <w:ind w:left="425" w:hanging="425"/>
      </w:pPr>
      <w:rPr>
        <w:rFonts w:hint="default"/>
      </w:rPr>
    </w:lvl>
  </w:abstractNum>
  <w:abstractNum w:abstractNumId="17">
    <w:nsid w:val="629A777E"/>
    <w:multiLevelType w:val="singleLevel"/>
    <w:tmpl w:val="629A777E"/>
    <w:lvl w:ilvl="0" w:tentative="0">
      <w:start w:val="1"/>
      <w:numFmt w:val="decimal"/>
      <w:lvlText w:val="(%1)"/>
      <w:lvlJc w:val="left"/>
      <w:pPr>
        <w:ind w:left="425" w:hanging="425"/>
      </w:pPr>
      <w:rPr>
        <w:rFonts w:hint="default"/>
      </w:rPr>
    </w:lvl>
  </w:abstractNum>
  <w:abstractNum w:abstractNumId="18">
    <w:nsid w:val="62FD4D6A"/>
    <w:multiLevelType w:val="singleLevel"/>
    <w:tmpl w:val="62FD4D6A"/>
    <w:lvl w:ilvl="0" w:tentative="0">
      <w:start w:val="1"/>
      <w:numFmt w:val="decimal"/>
      <w:lvlText w:val="(%1)"/>
      <w:lvlJc w:val="left"/>
      <w:pPr>
        <w:ind w:left="425" w:hanging="425"/>
      </w:pPr>
      <w:rPr>
        <w:rFonts w:hint="default"/>
      </w:rPr>
    </w:lvl>
  </w:abstractNum>
  <w:abstractNum w:abstractNumId="19">
    <w:nsid w:val="771B8738"/>
    <w:multiLevelType w:val="singleLevel"/>
    <w:tmpl w:val="771B8738"/>
    <w:lvl w:ilvl="0" w:tentative="0">
      <w:start w:val="1"/>
      <w:numFmt w:val="decimal"/>
      <w:lvlText w:val="(%1)"/>
      <w:lvlJc w:val="left"/>
      <w:pPr>
        <w:ind w:left="425" w:hanging="425"/>
      </w:pPr>
      <w:rPr>
        <w:rFonts w:hint="default"/>
      </w:rPr>
    </w:lvl>
  </w:abstractNum>
  <w:abstractNum w:abstractNumId="20">
    <w:nsid w:val="7B03B897"/>
    <w:multiLevelType w:val="singleLevel"/>
    <w:tmpl w:val="7B03B897"/>
    <w:lvl w:ilvl="0" w:tentative="0">
      <w:start w:val="1"/>
      <w:numFmt w:val="decimal"/>
      <w:lvlText w:val="(%1)"/>
      <w:lvlJc w:val="left"/>
      <w:pPr>
        <w:ind w:left="425" w:hanging="425"/>
      </w:pPr>
      <w:rPr>
        <w:rFonts w:hint="default"/>
      </w:rPr>
    </w:lvl>
  </w:abstractNum>
  <w:num w:numId="1">
    <w:abstractNumId w:val="9"/>
  </w:num>
  <w:num w:numId="2">
    <w:abstractNumId w:val="6"/>
  </w:num>
  <w:num w:numId="3">
    <w:abstractNumId w:val="18"/>
  </w:num>
  <w:num w:numId="4">
    <w:abstractNumId w:val="20"/>
  </w:num>
  <w:num w:numId="5">
    <w:abstractNumId w:val="19"/>
  </w:num>
  <w:num w:numId="6">
    <w:abstractNumId w:val="16"/>
  </w:num>
  <w:num w:numId="7">
    <w:abstractNumId w:val="2"/>
  </w:num>
  <w:num w:numId="8">
    <w:abstractNumId w:val="13"/>
  </w:num>
  <w:num w:numId="9">
    <w:abstractNumId w:val="8"/>
  </w:num>
  <w:num w:numId="10">
    <w:abstractNumId w:val="5"/>
  </w:num>
  <w:num w:numId="11">
    <w:abstractNumId w:val="11"/>
  </w:num>
  <w:num w:numId="12">
    <w:abstractNumId w:val="1"/>
  </w:num>
  <w:num w:numId="13">
    <w:abstractNumId w:val="7"/>
  </w:num>
  <w:num w:numId="14">
    <w:abstractNumId w:val="12"/>
  </w:num>
  <w:num w:numId="15">
    <w:abstractNumId w:val="3"/>
  </w:num>
  <w:num w:numId="16">
    <w:abstractNumId w:val="10"/>
  </w:num>
  <w:num w:numId="17">
    <w:abstractNumId w:val="17"/>
  </w:num>
  <w:num w:numId="18">
    <w:abstractNumId w:val="14"/>
  </w:num>
  <w:num w:numId="19">
    <w:abstractNumId w:val="15"/>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8749A"/>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3E32"/>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AF4AD2"/>
    <w:rsid w:val="01F81427"/>
    <w:rsid w:val="02D87D3D"/>
    <w:rsid w:val="03F708FD"/>
    <w:rsid w:val="03F93561"/>
    <w:rsid w:val="05D34727"/>
    <w:rsid w:val="06226DF7"/>
    <w:rsid w:val="06470369"/>
    <w:rsid w:val="08931933"/>
    <w:rsid w:val="0B4A1776"/>
    <w:rsid w:val="0C786503"/>
    <w:rsid w:val="0D1A04C9"/>
    <w:rsid w:val="0F563256"/>
    <w:rsid w:val="10757130"/>
    <w:rsid w:val="112B34AD"/>
    <w:rsid w:val="11FF5827"/>
    <w:rsid w:val="16712D61"/>
    <w:rsid w:val="18090C43"/>
    <w:rsid w:val="18FB5F15"/>
    <w:rsid w:val="19D16417"/>
    <w:rsid w:val="1B321622"/>
    <w:rsid w:val="1F06666B"/>
    <w:rsid w:val="1F0D1E03"/>
    <w:rsid w:val="1F9C38D3"/>
    <w:rsid w:val="20767551"/>
    <w:rsid w:val="20AB6862"/>
    <w:rsid w:val="21DB64E2"/>
    <w:rsid w:val="221C4C30"/>
    <w:rsid w:val="22A70B6C"/>
    <w:rsid w:val="238149DA"/>
    <w:rsid w:val="23C14303"/>
    <w:rsid w:val="23FF4622"/>
    <w:rsid w:val="27432BC1"/>
    <w:rsid w:val="27F0275A"/>
    <w:rsid w:val="28580092"/>
    <w:rsid w:val="28BC23D4"/>
    <w:rsid w:val="2AA10ED5"/>
    <w:rsid w:val="2ADA0518"/>
    <w:rsid w:val="2C921974"/>
    <w:rsid w:val="2DBE14C9"/>
    <w:rsid w:val="2EB34C1E"/>
    <w:rsid w:val="2F6A64D8"/>
    <w:rsid w:val="30616EA9"/>
    <w:rsid w:val="30CC53C3"/>
    <w:rsid w:val="31A44D82"/>
    <w:rsid w:val="32BE120D"/>
    <w:rsid w:val="330C0EF9"/>
    <w:rsid w:val="33506DE6"/>
    <w:rsid w:val="35053285"/>
    <w:rsid w:val="35A54CED"/>
    <w:rsid w:val="36A77A4F"/>
    <w:rsid w:val="37534CA7"/>
    <w:rsid w:val="37D824F1"/>
    <w:rsid w:val="3B0C4DFA"/>
    <w:rsid w:val="3C4D26C6"/>
    <w:rsid w:val="3D044EFC"/>
    <w:rsid w:val="3E6946AD"/>
    <w:rsid w:val="3EB60CB3"/>
    <w:rsid w:val="3EC436F9"/>
    <w:rsid w:val="3F740895"/>
    <w:rsid w:val="3FB93DC6"/>
    <w:rsid w:val="402A691C"/>
    <w:rsid w:val="41C17634"/>
    <w:rsid w:val="422E66F3"/>
    <w:rsid w:val="4275164D"/>
    <w:rsid w:val="430A3262"/>
    <w:rsid w:val="45BC7F3A"/>
    <w:rsid w:val="46A824B9"/>
    <w:rsid w:val="46BB170B"/>
    <w:rsid w:val="47510906"/>
    <w:rsid w:val="495D70F7"/>
    <w:rsid w:val="4B7D5F80"/>
    <w:rsid w:val="4BF40741"/>
    <w:rsid w:val="4C5E019B"/>
    <w:rsid w:val="4F64249F"/>
    <w:rsid w:val="4F6E1200"/>
    <w:rsid w:val="4FEE189E"/>
    <w:rsid w:val="532F439F"/>
    <w:rsid w:val="53F038EA"/>
    <w:rsid w:val="549143E1"/>
    <w:rsid w:val="554E38BC"/>
    <w:rsid w:val="59AE6B50"/>
    <w:rsid w:val="59BA69E3"/>
    <w:rsid w:val="59C26097"/>
    <w:rsid w:val="5A661DF4"/>
    <w:rsid w:val="5ACF0178"/>
    <w:rsid w:val="5B9A3BF0"/>
    <w:rsid w:val="5BBE4C4C"/>
    <w:rsid w:val="5C3E17F9"/>
    <w:rsid w:val="5CE979A9"/>
    <w:rsid w:val="5D3A6920"/>
    <w:rsid w:val="5D8135CC"/>
    <w:rsid w:val="600446EC"/>
    <w:rsid w:val="600D2EE6"/>
    <w:rsid w:val="621760F6"/>
    <w:rsid w:val="62246B60"/>
    <w:rsid w:val="644F1ACD"/>
    <w:rsid w:val="673F37B3"/>
    <w:rsid w:val="67FF1998"/>
    <w:rsid w:val="680D1D99"/>
    <w:rsid w:val="69431270"/>
    <w:rsid w:val="6A7F4F75"/>
    <w:rsid w:val="6ACA16F9"/>
    <w:rsid w:val="6B16774A"/>
    <w:rsid w:val="6C1437AE"/>
    <w:rsid w:val="6C6B6490"/>
    <w:rsid w:val="6ECE2681"/>
    <w:rsid w:val="72340F9C"/>
    <w:rsid w:val="774152C9"/>
    <w:rsid w:val="790214C8"/>
    <w:rsid w:val="792D68A8"/>
    <w:rsid w:val="793070F8"/>
    <w:rsid w:val="79D825C1"/>
    <w:rsid w:val="7AA74BF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numPr>
        <w:ilvl w:val="0"/>
        <w:numId w:val="1"/>
      </w:numPr>
      <w:autoSpaceDE w:val="0"/>
      <w:autoSpaceDN w:val="0"/>
      <w:spacing w:before="61" w:line="360" w:lineRule="auto"/>
      <w:ind w:right="955"/>
      <w:jc w:val="left"/>
      <w:outlineLvl w:val="3"/>
    </w:pPr>
    <w:rPr>
      <w:rFonts w:ascii="宋体" w:hAnsi="宋体" w:eastAsia="宋体" w:cs="宋体"/>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7"/>
    <w:unhideWhenUsed/>
    <w:qFormat/>
    <w:uiPriority w:val="99"/>
    <w:rPr>
      <w:rFonts w:ascii="宋体"/>
      <w:sz w:val="18"/>
      <w:szCs w:val="18"/>
    </w:rPr>
  </w:style>
  <w:style w:type="paragraph" w:styleId="10">
    <w:name w:val="annotation text"/>
    <w:basedOn w:val="1"/>
    <w:link w:val="85"/>
    <w:unhideWhenUsed/>
    <w:qFormat/>
    <w:uiPriority w:val="99"/>
    <w:pPr>
      <w:jc w:val="left"/>
    </w:pPr>
  </w:style>
  <w:style w:type="paragraph" w:styleId="11">
    <w:name w:val="Body Text"/>
    <w:basedOn w:val="1"/>
    <w:next w:val="12"/>
    <w:link w:val="88"/>
    <w:unhideWhenUsed/>
    <w:qFormat/>
    <w:uiPriority w:val="99"/>
    <w:pPr>
      <w:spacing w:after="120"/>
    </w:pPr>
    <w:rPr>
      <w:rFonts w:ascii="Times New Roman" w:hAnsi="Times New Roman" w:eastAsia="宋体" w:cs="Times New Roman"/>
      <w:sz w:val="28"/>
      <w:szCs w:val="24"/>
    </w:rPr>
  </w:style>
  <w:style w:type="paragraph" w:customStyle="1" w:styleId="12">
    <w:name w:val="Intense Quote"/>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13">
    <w:name w:val="Body Text Indent"/>
    <w:basedOn w:val="1"/>
    <w:next w:val="14"/>
    <w:link w:val="74"/>
    <w:qFormat/>
    <w:uiPriority w:val="0"/>
    <w:pPr>
      <w:spacing w:line="200" w:lineRule="atLeast"/>
      <w:ind w:firstLine="301"/>
    </w:pPr>
    <w:rPr>
      <w:rFonts w:ascii="宋体" w:hAnsi="Courier New"/>
      <w:spacing w:val="-4"/>
      <w:sz w:val="18"/>
    </w:rPr>
  </w:style>
  <w:style w:type="paragraph" w:styleId="14">
    <w:name w:val="envelope return"/>
    <w:basedOn w:val="1"/>
    <w:unhideWhenUsed/>
    <w:qFormat/>
    <w:uiPriority w:val="0"/>
    <w:pPr>
      <w:snapToGrid w:val="0"/>
    </w:pPr>
    <w:rPr>
      <w:rFonts w:ascii="Arial" w:hAnsi="Arial"/>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9"/>
    <w:qFormat/>
    <w:uiPriority w:val="0"/>
    <w:rPr>
      <w:rFonts w:ascii="Times New Roman" w:hAnsi="Times New Roman" w:eastAsia="宋体" w:cs="Times New Roman"/>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0"/>
    <w:unhideWhenUsed/>
    <w:qFormat/>
    <w:uiPriority w:val="99"/>
    <w:rPr>
      <w:b/>
      <w:bCs/>
      <w:sz w:val="28"/>
      <w:szCs w:val="24"/>
    </w:rPr>
  </w:style>
  <w:style w:type="paragraph" w:styleId="25">
    <w:name w:val="Body Text First Indent"/>
    <w:basedOn w:val="11"/>
    <w:next w:val="1"/>
    <w:qFormat/>
    <w:uiPriority w:val="0"/>
    <w:pPr>
      <w:spacing w:after="120" w:afterLines="0"/>
      <w:ind w:firstLine="420"/>
    </w:pPr>
  </w:style>
  <w:style w:type="paragraph" w:styleId="26">
    <w:name w:val="Body Text First Indent 2"/>
    <w:basedOn w:val="13"/>
    <w:next w:val="1"/>
    <w:link w:val="93"/>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9"/>
    <w:link w:val="20"/>
    <w:qFormat/>
    <w:uiPriority w:val="99"/>
    <w:rPr>
      <w:sz w:val="18"/>
      <w:szCs w:val="18"/>
    </w:rPr>
  </w:style>
  <w:style w:type="character" w:customStyle="1" w:styleId="40">
    <w:name w:val="页脚 字符"/>
    <w:basedOn w:val="29"/>
    <w:link w:val="19"/>
    <w:qFormat/>
    <w:uiPriority w:val="99"/>
    <w:rPr>
      <w:sz w:val="18"/>
      <w:szCs w:val="18"/>
    </w:rPr>
  </w:style>
  <w:style w:type="character" w:customStyle="1" w:styleId="41">
    <w:name w:val="标题 1 字符"/>
    <w:basedOn w:val="29"/>
    <w:link w:val="3"/>
    <w:qFormat/>
    <w:uiPriority w:val="9"/>
    <w:rPr>
      <w:rFonts w:ascii="Times New Roman" w:hAnsi="Times New Roman" w:eastAsia="宋体" w:cs="Times New Roman"/>
      <w:b/>
      <w:bCs/>
      <w:kern w:val="44"/>
      <w:sz w:val="44"/>
      <w:szCs w:val="44"/>
    </w:rPr>
  </w:style>
  <w:style w:type="character" w:customStyle="1" w:styleId="42">
    <w:name w:val="标题 2 字符"/>
    <w:basedOn w:val="29"/>
    <w:link w:val="2"/>
    <w:qFormat/>
    <w:uiPriority w:val="9"/>
    <w:rPr>
      <w:rFonts w:ascii="Cambria" w:hAnsi="Cambria" w:eastAsia="宋体" w:cs="Times New Roman"/>
      <w:b/>
      <w:bCs/>
      <w:sz w:val="32"/>
      <w:szCs w:val="32"/>
    </w:rPr>
  </w:style>
  <w:style w:type="character" w:customStyle="1" w:styleId="43">
    <w:name w:val="标题 3 字符"/>
    <w:basedOn w:val="29"/>
    <w:link w:val="4"/>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9"/>
    <w:qFormat/>
    <w:uiPriority w:val="0"/>
  </w:style>
  <w:style w:type="character" w:customStyle="1" w:styleId="50">
    <w:name w:val="正文缩进 字符"/>
    <w:link w:val="7"/>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9"/>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9"/>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9"/>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9"/>
    <w:qFormat/>
    <w:uiPriority w:val="0"/>
  </w:style>
  <w:style w:type="character" w:customStyle="1" w:styleId="66">
    <w:name w:val="jbox-icon"/>
    <w:basedOn w:val="29"/>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9"/>
    <w:qFormat/>
    <w:uiPriority w:val="0"/>
  </w:style>
  <w:style w:type="character" w:customStyle="1" w:styleId="69">
    <w:name w:val="jbox-icon-success"/>
    <w:basedOn w:val="29"/>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9"/>
    <w:qFormat/>
    <w:uiPriority w:val="0"/>
  </w:style>
  <w:style w:type="character" w:customStyle="1" w:styleId="74">
    <w:name w:val="正文文本缩进 字符2"/>
    <w:link w:val="13"/>
    <w:qFormat/>
    <w:uiPriority w:val="0"/>
    <w:rPr>
      <w:rFonts w:ascii="宋体" w:hAnsi="Courier New"/>
      <w:spacing w:val="-4"/>
      <w:sz w:val="18"/>
    </w:rPr>
  </w:style>
  <w:style w:type="character" w:customStyle="1" w:styleId="75">
    <w:name w:val="jbox-icon-error"/>
    <w:basedOn w:val="29"/>
    <w:qFormat/>
    <w:uiPriority w:val="0"/>
  </w:style>
  <w:style w:type="character" w:customStyle="1" w:styleId="76">
    <w:name w:val="正文文本 2 字符"/>
    <w:basedOn w:val="29"/>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批注文字 字符1"/>
    <w:basedOn w:val="29"/>
    <w:link w:val="10"/>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9"/>
    <w:semiHidden/>
    <w:qFormat/>
    <w:uiPriority w:val="99"/>
    <w:rPr>
      <w:rFonts w:ascii="Microsoft YaHei UI" w:eastAsia="Microsoft YaHei UI"/>
      <w:sz w:val="18"/>
      <w:szCs w:val="18"/>
    </w:rPr>
  </w:style>
  <w:style w:type="character" w:customStyle="1" w:styleId="88">
    <w:name w:val="正文文本 字符"/>
    <w:basedOn w:val="29"/>
    <w:link w:val="11"/>
    <w:qFormat/>
    <w:uiPriority w:val="99"/>
    <w:rPr>
      <w:rFonts w:ascii="Times New Roman" w:hAnsi="Times New Roman" w:eastAsia="宋体" w:cs="Times New Roman"/>
      <w:sz w:val="28"/>
      <w:szCs w:val="24"/>
    </w:rPr>
  </w:style>
  <w:style w:type="character" w:customStyle="1" w:styleId="89">
    <w:name w:val="批注框文本 字符"/>
    <w:basedOn w:val="29"/>
    <w:link w:val="18"/>
    <w:qFormat/>
    <w:uiPriority w:val="0"/>
    <w:rPr>
      <w:rFonts w:ascii="Times New Roman" w:hAnsi="Times New Roman" w:eastAsia="宋体" w:cs="Times New Roman"/>
      <w:sz w:val="18"/>
      <w:szCs w:val="18"/>
    </w:rPr>
  </w:style>
  <w:style w:type="character" w:customStyle="1" w:styleId="90">
    <w:name w:val="正文文本缩进 字符3"/>
    <w:basedOn w:val="29"/>
    <w:semiHidden/>
    <w:qFormat/>
    <w:uiPriority w:val="99"/>
  </w:style>
  <w:style w:type="character" w:customStyle="1" w:styleId="91">
    <w:name w:val="日期 字符"/>
    <w:basedOn w:val="29"/>
    <w:link w:val="17"/>
    <w:qFormat/>
    <w:uiPriority w:val="0"/>
    <w:rPr>
      <w:rFonts w:ascii="Times New Roman" w:hAnsi="Times New Roman" w:eastAsia="楷体_GB2312" w:cs="Times New Roman"/>
      <w:sz w:val="32"/>
      <w:szCs w:val="20"/>
    </w:rPr>
  </w:style>
  <w:style w:type="character" w:customStyle="1" w:styleId="92">
    <w:name w:val="纯文本 字符3"/>
    <w:basedOn w:val="29"/>
    <w:semiHidden/>
    <w:qFormat/>
    <w:uiPriority w:val="99"/>
    <w:rPr>
      <w:rFonts w:hAnsi="Courier New" w:cs="Courier New" w:asciiTheme="minorEastAsia"/>
    </w:rPr>
  </w:style>
  <w:style w:type="character" w:customStyle="1" w:styleId="93">
    <w:name w:val="正文文本首行缩进 2 字符"/>
    <w:basedOn w:val="90"/>
    <w:link w:val="26"/>
    <w:qFormat/>
    <w:uiPriority w:val="99"/>
    <w:rPr>
      <w:rFonts w:ascii="宋体" w:hAnsi="Courier New"/>
      <w:spacing w:val="-4"/>
      <w:sz w:val="18"/>
    </w:rPr>
  </w:style>
  <w:style w:type="character" w:customStyle="1" w:styleId="94">
    <w:name w:val="z-窗体底端 字符1"/>
    <w:basedOn w:val="29"/>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2"/>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9"/>
    <w:semiHidden/>
    <w:unhideWhenUsed/>
    <w:qFormat/>
    <w:uiPriority w:val="99"/>
    <w:rPr>
      <w:color w:val="605E5C"/>
      <w:shd w:val="clear" w:color="auto" w:fill="E1DFDD"/>
    </w:rPr>
  </w:style>
  <w:style w:type="character" w:customStyle="1" w:styleId="110">
    <w:name w:val="Unresolved Mention"/>
    <w:basedOn w:val="29"/>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2级大写"/>
    <w:basedOn w:val="1"/>
    <w:next w:val="1"/>
    <w:qFormat/>
    <w:uiPriority w:val="0"/>
    <w:pPr>
      <w:autoSpaceDE w:val="0"/>
      <w:autoSpaceDN w:val="0"/>
      <w:spacing w:before="100" w:beforeLines="100" w:line="360" w:lineRule="auto"/>
      <w:ind w:firstLine="0" w:firstLineChars="0"/>
      <w:jc w:val="both"/>
      <w:textAlignment w:val="bottom"/>
      <w:outlineLvl w:val="1"/>
    </w:pPr>
    <w:rPr>
      <w:rFonts w:hint="eastAsia" w:ascii="宋体" w:hAnsi="宋体" w:eastAsia="宋体" w:cs="Times New Roman"/>
      <w:b/>
      <w:bCs/>
      <w:color w:val="000000"/>
      <w:sz w:val="24"/>
      <w:szCs w:val="24"/>
    </w:rPr>
  </w:style>
  <w:style w:type="paragraph" w:customStyle="1" w:styleId="114">
    <w:name w:val="标准文本"/>
    <w:basedOn w:val="1"/>
    <w:qFormat/>
    <w:uiPriority w:val="0"/>
    <w:pPr>
      <w:spacing w:line="360" w:lineRule="auto"/>
      <w:ind w:firstLine="480" w:firstLineChars="200"/>
    </w:pPr>
    <w:rPr>
      <w:rFonts w:ascii="Arial" w:hAnsi="Arial" w:cs="宋体"/>
      <w:sz w:val="24"/>
    </w:rPr>
  </w:style>
  <w:style w:type="paragraph" w:customStyle="1" w:styleId="115">
    <w:name w:val="首行缩进"/>
    <w:basedOn w:val="1"/>
    <w:qFormat/>
    <w:uiPriority w:val="0"/>
    <w:pPr>
      <w:spacing w:line="360" w:lineRule="auto"/>
      <w:ind w:firstLine="480" w:firstLineChars="200"/>
      <w:jc w:val="left"/>
    </w:pPr>
    <w:rPr>
      <w:rFonts w:ascii="宋体" w:hAnsi="宋体"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48</Pages>
  <Words>4601</Words>
  <Characters>26226</Characters>
  <Lines>218</Lines>
  <Paragraphs>61</Paragraphs>
  <TotalTime>2</TotalTime>
  <ScaleCrop>false</ScaleCrop>
  <LinksUpToDate>false</LinksUpToDate>
  <CharactersWithSpaces>30766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2023-08-24T06:17:49Z</dcterms:modified>
  <cp:revision>991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14CA45E43E374A7086E497F91EF52600_13</vt:lpwstr>
  </property>
</Properties>
</file>