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专业数字化评估排名与综合校情分析开发项目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专业数字化评估排名与综合校情分析开发项目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QSZB-Z(F)-E23290(GK) </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val="en-US"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[2023]54963号-001</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专业数字化评估排名与综合校情分析开发项目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年</w:t>
      </w:r>
      <w:r>
        <w:rPr>
          <w:rFonts w:ascii="宋体" w:hAnsi="宋体" w:eastAsia="宋体" w:cs="Times New Roman"/>
          <w:b/>
          <w:szCs w:val="21"/>
          <w:highlight w:val="none"/>
          <w:u w:val="single"/>
        </w:rPr>
        <w:t>0</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日9:00:00（北京时间）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w:t>
      </w:r>
      <w:bookmarkStart w:id="72" w:name="_GoBack"/>
      <w:r>
        <w:rPr>
          <w:rFonts w:hint="eastAsia" w:ascii="宋体" w:hAnsi="宋体" w:eastAsia="宋体" w:cs="Times New Roman"/>
          <w:szCs w:val="21"/>
          <w:highlight w:val="none"/>
          <w:lang w:eastAsia="zh-CN"/>
        </w:rPr>
        <w:t xml:space="preserve">E23290(GK) </w:t>
      </w:r>
      <w:bookmarkEnd w:id="72"/>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专业数字化评估排名与综合校情分析开发项目</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470000元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470000元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宋体"/>
          <w:szCs w:val="21"/>
          <w:highlight w:val="none"/>
        </w:rPr>
        <w:t>本项目自合同签订之日起</w:t>
      </w:r>
      <w:r>
        <w:rPr>
          <w:rFonts w:hint="eastAsia" w:ascii="宋体" w:hAnsi="宋体" w:eastAsia="宋体" w:cs="宋体"/>
          <w:szCs w:val="21"/>
          <w:highlight w:val="none"/>
          <w:lang w:val="en-US" w:eastAsia="zh-CN"/>
        </w:rPr>
        <w:t>60天</w:t>
      </w:r>
      <w:r>
        <w:rPr>
          <w:rFonts w:hint="eastAsia" w:ascii="宋体" w:hAnsi="宋体" w:eastAsia="宋体" w:cs="宋体"/>
          <w:szCs w:val="21"/>
          <w:highlight w:val="none"/>
        </w:rPr>
        <w:t>内完成项目建设并验收</w:t>
      </w:r>
      <w:r>
        <w:rPr>
          <w:rFonts w:hint="eastAsia" w:ascii="宋体" w:hAnsi="宋体" w:eastAsia="宋体" w:cs="宋体"/>
          <w:szCs w:val="21"/>
          <w:highlight w:val="none"/>
          <w:lang w:eastAsia="zh-CN"/>
        </w:rPr>
        <w:t>。</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专业数字化评估排名与综合校情分析开发项目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yellow"/>
          <w:lang w:val="en-US"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lang w:val="en-US" w:eastAsia="zh-CN"/>
        </w:rPr>
        <w:t>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ascii="宋体" w:hAnsi="宋体" w:eastAsia="宋体" w:cs="Times New Roman"/>
          <w:bCs/>
          <w:szCs w:val="21"/>
          <w:highlight w:val="none"/>
        </w:rPr>
        <w:t>0</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ascii="宋体" w:hAnsi="宋体" w:eastAsia="宋体" w:cs="Times New Roman"/>
          <w:bCs/>
          <w:szCs w:val="21"/>
          <w:highlight w:val="none"/>
        </w:rPr>
        <w:t>0</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07"/>
      <w:bookmarkStart w:id="20" w:name="_Toc35393625"/>
      <w:bookmarkStart w:id="21" w:name="_Toc28359084"/>
      <w:bookmarkStart w:id="22" w:name="_Toc35393794"/>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28359085"/>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项目联系人（询问）：林老师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项目联系方式（询问）：0571-86731500</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质疑联系方式：0571-86732900</w:t>
      </w:r>
    </w:p>
    <w:p>
      <w:pPr>
        <w:pStyle w:val="2"/>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刘冰冰、</w:t>
      </w:r>
      <w:r>
        <w:rPr>
          <w:rFonts w:hint="eastAsia" w:ascii="宋体" w:hAnsi="宋体" w:eastAsia="宋体" w:cs="Times New Roman"/>
          <w:bCs/>
          <w:spacing w:val="-6"/>
          <w:szCs w:val="21"/>
          <w:highlight w:val="none"/>
          <w:lang w:eastAsia="zh-CN"/>
        </w:rPr>
        <w:t>阙家珍</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胡沁梦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若对项目采购电子交易系统操作有疑问，可登录政采云（</w:t>
      </w:r>
      <w:r>
        <w:rPr>
          <w:rFonts w:ascii="宋体" w:hAnsi="宋体" w:eastAsia="宋体" w:cs="Times New Roman"/>
          <w:spacing w:val="-6"/>
          <w:szCs w:val="21"/>
          <w:highlight w:val="none"/>
        </w:rPr>
        <w:t>https://www.zcygov.cn/），点击右侧咨询小采，获取采小蜜智能服务管家帮助，或拨打政采云服务热线</w:t>
      </w:r>
      <w:r>
        <w:rPr>
          <w:rFonts w:hint="eastAsia" w:ascii="宋体" w:hAnsi="宋体" w:eastAsia="宋体" w:cs="Times New Roman"/>
          <w:spacing w:val="-6"/>
          <w:szCs w:val="21"/>
          <w:highlight w:val="none"/>
          <w:lang w:val="en-US" w:eastAsia="zh-CN"/>
        </w:rPr>
        <w:t>95763</w:t>
      </w:r>
      <w:r>
        <w:rPr>
          <w:rFonts w:ascii="宋体" w:hAnsi="宋体" w:eastAsia="宋体" w:cs="Times New Roman"/>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szCs w:val="21"/>
          <w:highlight w:val="none"/>
        </w:rPr>
      </w:pPr>
      <w:r>
        <w:rPr>
          <w:rFonts w:ascii="宋体" w:hAnsi="宋体" w:eastAsia="宋体" w:cs="Times New Roman"/>
          <w:spacing w:val="-6"/>
          <w:szCs w:val="21"/>
          <w:highlight w:val="none"/>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w:t>
            </w:r>
            <w:r>
              <w:rPr>
                <w:rFonts w:ascii="宋体" w:hAnsi="宋体" w:eastAsia="宋体" w:cs="Times New Roman"/>
                <w:color w:val="auto"/>
                <w:szCs w:val="21"/>
                <w:highlight w:val="none"/>
              </w:rPr>
              <w:t>300人以下或营业收入10000万元以下的为中小微型</w:t>
            </w:r>
            <w:r>
              <w:rPr>
                <w:rFonts w:ascii="宋体" w:hAnsi="宋体" w:eastAsia="宋体" w:cs="Times New Roman"/>
                <w:szCs w:val="21"/>
                <w:highlight w:val="none"/>
              </w:rPr>
              <w:t>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szCs w:val="21"/>
                <w:highlight w:val="none"/>
              </w:rPr>
              <w:t>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8"/>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2.提交方式：银行汇款转账、支票、汇票、本票或金融机构、担保机构出具的保函等非现金形式。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等额）</w:t>
            </w:r>
            <w:r>
              <w:rPr>
                <w:rFonts w:hint="eastAsia" w:ascii="宋体" w:hAnsi="宋体" w:eastAsia="宋体" w:cs="Arial"/>
                <w:color w:val="auto"/>
                <w:kern w:val="0"/>
                <w:szCs w:val="21"/>
                <w:highlight w:val="none"/>
              </w:rPr>
              <w:t>的，</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3</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7</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r>
        <w:rPr>
          <w:rFonts w:hint="eastAsia" w:ascii="宋体" w:hAnsi="宋体" w:eastAsia="宋体" w:cs="Times New Roman"/>
          <w:b/>
          <w:szCs w:val="21"/>
          <w:lang w:val="en-US" w:eastAsia="zh-CN"/>
        </w:rPr>
        <w:t>及</w:t>
      </w:r>
      <w:r>
        <w:rPr>
          <w:rFonts w:hint="eastAsia" w:ascii="宋体" w:hAnsi="宋体" w:eastAsia="宋体" w:cs="Times New Roman"/>
          <w:b/>
          <w:szCs w:val="21"/>
        </w:rPr>
        <w:t>技术要求</w:t>
      </w:r>
    </w:p>
    <w:p>
      <w:pPr>
        <w:adjustRightInd w:val="0"/>
        <w:snapToGrid w:val="0"/>
        <w:spacing w:line="288" w:lineRule="auto"/>
        <w:rPr>
          <w:rFonts w:ascii="宋体" w:hAnsi="宋体" w:eastAsia="宋体" w:cs="宋体"/>
          <w:b/>
          <w:bCs/>
          <w:szCs w:val="21"/>
          <w:highlight w:val="none"/>
        </w:rPr>
      </w:pPr>
      <w:bookmarkStart w:id="36"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highlight w:val="none"/>
        </w:rPr>
        <w:t>需执行的国家相关标准、行业标准、地方标准或者其他标准、规范：</w:t>
      </w:r>
      <w:bookmarkStart w:id="37"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7"/>
    </w:p>
    <w:bookmarkEnd w:id="36"/>
    <w:p>
      <w:pPr>
        <w:pageBreakBefore w:val="0"/>
        <w:widowControl w:val="0"/>
        <w:kinsoku/>
        <w:wordWrap/>
        <w:overflowPunct/>
        <w:topLinePunct w:val="0"/>
        <w:bidi w:val="0"/>
        <w:adjustRightInd w:val="0"/>
        <w:snapToGrid w:val="0"/>
        <w:spacing w:line="288" w:lineRule="auto"/>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2.需实现的功能或者目标：</w:t>
      </w:r>
      <w:bookmarkStart w:id="38" w:name="_Toc127871797"/>
    </w:p>
    <w:bookmarkEnd w:id="38"/>
    <w:p>
      <w:pPr>
        <w:pStyle w:val="5"/>
        <w:pageBreakBefore w:val="0"/>
        <w:numPr>
          <w:ilvl w:val="0"/>
          <w:numId w:val="0"/>
        </w:numPr>
        <w:kinsoku/>
        <w:wordWrap/>
        <w:overflowPunct/>
        <w:topLinePunct w:val="0"/>
        <w:autoSpaceDE/>
        <w:autoSpaceDN/>
        <w:bidi w:val="0"/>
        <w:spacing w:before="0" w:after="0" w:line="288" w:lineRule="auto"/>
        <w:rPr>
          <w:rFonts w:hint="eastAsia" w:ascii="宋体" w:hAnsi="宋体" w:eastAsia="宋体" w:cs="宋体"/>
          <w:sz w:val="21"/>
          <w:szCs w:val="21"/>
        </w:rPr>
      </w:pPr>
      <w:bookmarkStart w:id="39" w:name="_Toc140098910"/>
      <w:r>
        <w:rPr>
          <w:rFonts w:hint="eastAsia" w:ascii="宋体" w:hAnsi="宋体" w:eastAsia="宋体" w:cs="宋体"/>
          <w:sz w:val="21"/>
          <w:szCs w:val="21"/>
          <w:lang w:val="en-US" w:eastAsia="zh-CN"/>
        </w:rPr>
        <w:t>2.1</w:t>
      </w:r>
      <w:r>
        <w:rPr>
          <w:rFonts w:hint="eastAsia" w:ascii="宋体" w:hAnsi="宋体" w:eastAsia="宋体" w:cs="宋体"/>
          <w:sz w:val="21"/>
          <w:szCs w:val="21"/>
        </w:rPr>
        <w:t>项目背景</w:t>
      </w:r>
      <w:bookmarkEnd w:id="39"/>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浙江财经大学在信息化建设的数据层面，当前已初步完成了数据中台软件架构体系的构建，同时通过全面数据治理工作的开展，解决了此前学校在数据建设层面的一些突出问题。但是随着数字化改革的深入和学校“十四五”信息化发展规划，特别是针对部门精细化管理、科学化决策的需求，需要基于校级数据中台，构建更多的跨部门、多维度的大数据应用，以更大程度地通过信息化服务便利学校相关部门各项工作的开展。</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国家中长期教育改革和发展规划纲要（2010-2020）》的颁布实施，进一步明确了新时代下要从教育大国向教育强国发展，要从高速增长阶段转向高质量发展阶段，要求加快学校管理信息化进程，促进学校管理标准化、规范化；推进政府教育管理信息化，积累基础资料，掌握总体状况，加强动态监测，提高管理效率；建立高等学校质量年度报告发布制度；完善监测评估体系，定期发布监测评估报告。</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当前学校教务处关于专业评估的相关工作都是线下完成，此方式难以保证数据的准确性，无法提供给校领导进行科学决策，无法满足新时代下教育教学质量管理的要求。希望基于学校数据治理的建设成果，以教育部要求上报的相关管理指标数据为基础，融合学校自身的教学规律，构建学校专业评估专题数据集市，建立专业数字化评估体系，构建常态化的专业数字化评估机制，客观反映及评价专业发展质量。</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同时，针对学校的校情分析，当前校情分析系统的部分指标已不适用学校目前的发展形势，无法为校领导提供科学决策依据，需要在原有指标基础上进行深化增订。</w:t>
      </w:r>
    </w:p>
    <w:p>
      <w:pPr>
        <w:pStyle w:val="5"/>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0" w:name="_Toc140098911"/>
      <w:r>
        <w:rPr>
          <w:rFonts w:hint="eastAsia" w:ascii="宋体" w:hAnsi="宋体" w:eastAsia="宋体" w:cs="宋体"/>
          <w:sz w:val="21"/>
          <w:szCs w:val="21"/>
          <w:lang w:val="en-US" w:eastAsia="zh-CN"/>
        </w:rPr>
        <w:t>2.2</w:t>
      </w:r>
      <w:r>
        <w:rPr>
          <w:rFonts w:hint="eastAsia" w:ascii="宋体" w:hAnsi="宋体" w:eastAsia="宋体" w:cs="宋体"/>
          <w:sz w:val="21"/>
          <w:szCs w:val="21"/>
        </w:rPr>
        <w:t>建设目标</w:t>
      </w:r>
      <w:bookmarkEnd w:id="40"/>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以校级数据中台及数据治理建设成果为基础，通过数据加工处理，构建专业评估专题数据集市，并基于学校现有可视化报表工具，完成专业数字化评估系统建设，构建学校常态化的专业数字化评估机制。通过构建校情综合指标专题数据集市，基于学校现有可视化报表工具，完成校情综合指标看板建设。</w:t>
      </w:r>
    </w:p>
    <w:p>
      <w:pPr>
        <w:pStyle w:val="5"/>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1" w:name="_Toc140098912"/>
      <w:r>
        <w:rPr>
          <w:rFonts w:hint="eastAsia" w:ascii="宋体" w:hAnsi="宋体" w:eastAsia="宋体" w:cs="宋体"/>
          <w:sz w:val="21"/>
          <w:szCs w:val="21"/>
          <w:lang w:val="en-US" w:eastAsia="zh-CN"/>
        </w:rPr>
        <w:t>2.3</w:t>
      </w:r>
      <w:r>
        <w:rPr>
          <w:rFonts w:hint="eastAsia" w:ascii="宋体" w:hAnsi="宋体" w:eastAsia="宋体" w:cs="宋体"/>
          <w:sz w:val="21"/>
          <w:szCs w:val="21"/>
        </w:rPr>
        <w:t>项目建设内容</w:t>
      </w:r>
      <w:bookmarkEnd w:id="41"/>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本项目围绕上述总体建设目标，详细建设需求清单如下：</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82"/>
        <w:gridCol w:w="4955"/>
        <w:gridCol w:w="822"/>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185"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2573" w:type="pct"/>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功能及要求</w:t>
            </w:r>
          </w:p>
        </w:tc>
        <w:tc>
          <w:tcPr>
            <w:tcW w:w="427"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389"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 w:hRule="atLeast"/>
          <w:jc w:val="center"/>
        </w:trPr>
        <w:tc>
          <w:tcPr>
            <w:tcW w:w="424"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85"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专业数字化评估系统开发服务</w:t>
            </w:r>
          </w:p>
        </w:tc>
        <w:tc>
          <w:tcPr>
            <w:tcW w:w="2573" w:type="pct"/>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kern w:val="0"/>
                <w:sz w:val="21"/>
                <w:szCs w:val="21"/>
              </w:rPr>
            </w:pPr>
            <w:r>
              <w:rPr>
                <w:rFonts w:hint="eastAsia" w:ascii="宋体" w:hAnsi="宋体" w:eastAsia="宋体" w:cs="宋体"/>
                <w:kern w:val="0"/>
                <w:sz w:val="21"/>
                <w:szCs w:val="21"/>
              </w:rPr>
              <w:t>基于学校现有可视化报表工具，完成专业评估相关的5大类，共涉及44个数据指标项的可视化呈现，同时具备用户权限体系管理等功能。</w:t>
            </w:r>
          </w:p>
        </w:tc>
        <w:tc>
          <w:tcPr>
            <w:tcW w:w="427"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89"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24"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85"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校情综合指标看板开发服务</w:t>
            </w:r>
          </w:p>
        </w:tc>
        <w:tc>
          <w:tcPr>
            <w:tcW w:w="2573" w:type="pct"/>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kern w:val="0"/>
                <w:sz w:val="21"/>
                <w:szCs w:val="21"/>
              </w:rPr>
            </w:pPr>
            <w:r>
              <w:rPr>
                <w:rFonts w:hint="eastAsia" w:ascii="宋体" w:hAnsi="宋体" w:eastAsia="宋体" w:cs="宋体"/>
                <w:kern w:val="0"/>
                <w:sz w:val="21"/>
                <w:szCs w:val="21"/>
              </w:rPr>
              <w:t>基于学校现有可视化报表工具，完成校情综合指标看板建设，服务学校科学决策。</w:t>
            </w:r>
          </w:p>
        </w:tc>
        <w:tc>
          <w:tcPr>
            <w:tcW w:w="427"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89"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85"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数据加工处理</w:t>
            </w:r>
          </w:p>
        </w:tc>
        <w:tc>
          <w:tcPr>
            <w:tcW w:w="2573" w:type="pct"/>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kern w:val="0"/>
                <w:sz w:val="21"/>
                <w:szCs w:val="21"/>
              </w:rPr>
            </w:pPr>
            <w:r>
              <w:rPr>
                <w:rFonts w:hint="eastAsia" w:ascii="宋体" w:hAnsi="宋体" w:eastAsia="宋体" w:cs="宋体"/>
                <w:kern w:val="0"/>
                <w:sz w:val="21"/>
                <w:szCs w:val="21"/>
              </w:rPr>
              <w:t>通过业务调研，深入沟通与确认相关数据指标的取数逻辑、计算逻辑等，并结合学校数据中台完成基础数据梳理，构建专业评估专题数据集市，支撑专业数字化评估常态化机制的建立。</w:t>
            </w:r>
          </w:p>
        </w:tc>
        <w:tc>
          <w:tcPr>
            <w:tcW w:w="427"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89" w:type="pct"/>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bl>
    <w:p>
      <w:pPr>
        <w:pStyle w:val="5"/>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2" w:name="_Toc140098913"/>
      <w:r>
        <w:rPr>
          <w:rFonts w:hint="eastAsia" w:ascii="宋体" w:hAnsi="宋体" w:eastAsia="宋体" w:cs="宋体"/>
          <w:sz w:val="21"/>
          <w:szCs w:val="21"/>
          <w:lang w:val="en-US" w:eastAsia="zh-CN"/>
        </w:rPr>
        <w:t>2.4</w:t>
      </w:r>
      <w:r>
        <w:rPr>
          <w:rFonts w:hint="eastAsia" w:ascii="宋体" w:hAnsi="宋体" w:eastAsia="宋体" w:cs="宋体"/>
          <w:sz w:val="21"/>
          <w:szCs w:val="21"/>
        </w:rPr>
        <w:t>技术要求</w:t>
      </w:r>
      <w:bookmarkEnd w:id="42"/>
    </w:p>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3" w:name="_Toc140098914"/>
      <w:r>
        <w:rPr>
          <w:rFonts w:hint="eastAsia" w:ascii="宋体" w:hAnsi="宋体" w:eastAsia="宋体" w:cs="宋体"/>
          <w:sz w:val="21"/>
          <w:szCs w:val="21"/>
          <w:lang w:val="en-US" w:eastAsia="zh-CN"/>
        </w:rPr>
        <w:t>2.4.1</w:t>
      </w:r>
      <w:r>
        <w:rPr>
          <w:rFonts w:hint="eastAsia" w:ascii="宋体" w:hAnsi="宋体" w:eastAsia="宋体" w:cs="宋体"/>
          <w:sz w:val="21"/>
          <w:szCs w:val="21"/>
        </w:rPr>
        <w:t>总体技术要求</w:t>
      </w:r>
      <w:bookmarkEnd w:id="43"/>
    </w:p>
    <w:p>
      <w:pPr>
        <w:pageBreakBefore w:val="0"/>
        <w:kinsoku/>
        <w:wordWrap/>
        <w:overflowPunct/>
        <w:topLinePunct w:val="0"/>
        <w:autoSpaceDE/>
        <w:autoSpaceDN/>
        <w:bidi w:val="0"/>
        <w:spacing w:line="288"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1、本项目中要求的数据加工处理需满足采购人当前学校数据中台建设的技术路线和架构，</w:t>
      </w:r>
      <w:r>
        <w:rPr>
          <w:rFonts w:hint="eastAsia" w:ascii="宋体" w:hAnsi="宋体" w:eastAsia="宋体" w:cs="宋体"/>
          <w:bCs/>
          <w:sz w:val="21"/>
          <w:szCs w:val="21"/>
          <w:lang w:val="en-US" w:eastAsia="zh-CN"/>
        </w:rPr>
        <w:t>须</w:t>
      </w:r>
      <w:r>
        <w:rPr>
          <w:rFonts w:hint="eastAsia" w:ascii="宋体" w:hAnsi="宋体" w:eastAsia="宋体" w:cs="宋体"/>
          <w:bCs/>
          <w:sz w:val="21"/>
          <w:szCs w:val="21"/>
        </w:rPr>
        <w:t>复用“浙江财经大学智慧校园数据融合项目”、“浙江财经大学数据中台及分析平台建设项目”和“数据中台数据域数据治理及模块定制项目”的项目成果；</w:t>
      </w:r>
    </w:p>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4" w:name="_Toc140098915"/>
      <w:r>
        <w:rPr>
          <w:rFonts w:hint="eastAsia" w:ascii="宋体" w:hAnsi="宋体" w:eastAsia="宋体" w:cs="宋体"/>
          <w:sz w:val="21"/>
          <w:szCs w:val="21"/>
          <w:lang w:val="en-US" w:eastAsia="zh-CN"/>
        </w:rPr>
        <w:t>2.4.2专</w:t>
      </w:r>
      <w:r>
        <w:rPr>
          <w:rFonts w:hint="eastAsia" w:ascii="宋体" w:hAnsi="宋体" w:eastAsia="宋体" w:cs="宋体"/>
          <w:sz w:val="21"/>
          <w:szCs w:val="21"/>
        </w:rPr>
        <w:t>业数字化评估系统开发服务技术要求</w:t>
      </w:r>
      <w:bookmarkEnd w:id="44"/>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603"/>
        <w:gridCol w:w="1761"/>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8"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32"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914"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功能子模块</w:t>
            </w:r>
          </w:p>
        </w:tc>
        <w:tc>
          <w:tcPr>
            <w:tcW w:w="2774"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1</w:t>
            </w:r>
          </w:p>
        </w:tc>
        <w:tc>
          <w:tcPr>
            <w:tcW w:w="832"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系统首页</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系统首页</w:t>
            </w:r>
          </w:p>
        </w:tc>
        <w:tc>
          <w:tcPr>
            <w:tcW w:w="2774" w:type="pct"/>
            <w:shd w:val="clear" w:color="auto" w:fill="auto"/>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支持展示学校各专业总评分和专业排名概况：</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1、支持用户在首页查看账号信息、退出登录、修改密码；</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2、支持按照不同专业搜索相关专业概况；</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3、支持查看各专业总评分和排名信息（专业名称、所属学院、专业得分、专业排名、专业所属类别）；</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4、支持按专业下钻，可下钻至某个专业查看该专业概况；</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5、支持按学院下钻，可下钻至某个学院查看该学院所有专业概况；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8"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832"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专业数字化评估体系分析呈现</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专业总体概览</w:t>
            </w:r>
          </w:p>
        </w:tc>
        <w:tc>
          <w:tcPr>
            <w:tcW w:w="2774" w:type="pct"/>
            <w:shd w:val="clear" w:color="auto" w:fill="auto"/>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支持展示各专业的五类一级指标的整体评分和各观测点得分：</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1、支持展示专业声誉、专业概况、专业建设、人才培养成效、专业规范五类一级指标的得分和各类别下观测点得分；</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2、支持按时间维度筛选不同时间段的专业分析结果；</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3、支持导出专业分析结果，输出格式为Excel；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专业声誉评估</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支持展示社会声誉指标评估：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1、专业录取投档线：展示专业当年的录取分数线在全校专业中的排名并计算得分；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2、专业排名：展示专业在软科专业排名档次和相应得分；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支持展示专业认同指标评估：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1、专业分流：展示专业当年的第一志愿的录取人数和总人数的比例及得分；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支持展示社会指标评估：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1、毕业一年后就业率：展示专业学生毕业一年后的就业率；</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2、就业专业相关度：呈现专业学生毕业后从事本专业的比例；</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3、毕业生对母校总体满意度：毕业生毕业后对学校整体的满意度；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4、毕业生月收入：展示毕业生毕业三年后的平均月收入薪资和整体行业薪资对比；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专业概况评估</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支持专业规划与发展特色指标评估：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1、专业定位及建设目标：展示专业在本校中的专业定位和学校对于该专业的建设目标；</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2、专业优势及特色：展示专业在本校的优势和特色；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支持师资队伍指标评估：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1、专业师生比：展示专业中老师和学生的比例；</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2、专业负责人：展示专业负责人及其职称；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3、专业教师博士率：展示专业所有教师中获得博士学位老师的比例；</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4、学评教排名：展示专业中教师的学评教排名；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支持学科支撑指标评估：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1、硕士点、博士点比例：展示专业中硕士点和博士点的比例并计算得分；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专业建设评估</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支持教学平台建设指标评估：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1、专业平台：展示国家级和省级一流专业平台建设数量并计算得分；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2、实践平台：展示专业内不同级别的实践基地或教师教育基地数量并计算得分；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支持教学建设指标评估：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1、课程建设：展示专业的不同级别的课程建设和得分；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2、教材建设：展示专业不同级别的教材建设和得分；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3、教改项目：展示专业内不同级别的教改项目数量及明细，并计算得分；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4、教改论文：展示专业内获得不同级别的教改论文数量和明细，并计算得分；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5、教学团队：展示专业内不同级别的教学团队和明细，并计算得分；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6、教研活动：展示专业的教研活动数量和明细，并计算得分；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支持教学获奖指标评估：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1、教学成果奖：展示专业内获得的教学成果奖项数量和明细，并计算得分；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2、教学竞赛奖：展示专业内获得教学竞赛奖项的数量和明细，并计算得分；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3、教材奖：展示专业内获得的教材奖项数量和明细，并计算得分；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4、教学荣誉奖：展示专业获得的教学荣誉和明细，并计算得分；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人才培养成效评估</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支持基础指标评估：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1、毕业论文优秀率：展示专业内优秀毕业论文数量和明细，并计算得分；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2、升学率：展示当年毕业生中升学人数和比例，并计算得分；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支持拔尖指标评估：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1、学科竞赛获奖：展示获得学科竞赛的奖项数量和明细，并计算得分；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2、项目：展示专业一年内获得的项目数量和明细，并计算得分；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3、学生发表论文（一作）：展示专业在当年以学生为第一作者发表的论文数量和明细，并计算得分；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4、专利：展示专业在当年获得专利数量和明细，并计算得分；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专业规范评估</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支持教师规范指标评估：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1、展示本校各专业毕业生对涉及专业课程课堂教学效果、实践教学效果、教学水平等总体满意度；</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2、师德师风：展示专业中发生关于师风师德的事故数量，并计算得分；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3、教学事故：展示专业中发生的教学事故数量，并计算得分；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4、展示教授未为本科生授课未达到48学时发生次数，并计算得分；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5、调课率：展示归属于专业教师当年的调课比例，并计算得分；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6、展示使用规定的马工程教材次数，并计算得分；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7、相同课程不使用同一张考卷：展示教师在同一门课程中采用不同考卷的事故明细，并计算得分；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8、考试成绩优秀率超标：展示超出考试成绩优秀率的班级数量，并计算得分；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支持学生规范指标评估：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1、学生考试作弊：展示专业学生考试作弊的次数和明细，，并计算得分；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2、学业预警比例：展示专业学生的学业预警比例和明细，并计算得分；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3、首次准入流失率：展示专业学生的流失率和明细，并计算得分；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3</w:t>
            </w:r>
          </w:p>
        </w:tc>
        <w:tc>
          <w:tcPr>
            <w:tcW w:w="832"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指标概览</w:t>
            </w:r>
          </w:p>
        </w:tc>
        <w:tc>
          <w:tcPr>
            <w:tcW w:w="91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学院概览</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按学院维度，展示学院下所属专业的每类一级指标的评分、排名和统计分析情况：</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1、支持按时间维度筛选不同时间段的专业分析结果；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2、支持导出专业分析结果，输出格式为Excel；</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3、支持将学院下每个专业的五类一级指标的评分、排名进行横向对比，统计分析展示相关结果；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4、支持按专业筛选学院下属专业的分析结果；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5、支持下钻查看该学院下属专业的指标明细；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专业概览</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按专业维度，展示专业的每类一级指标的整体评分和各观测点得分：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1、支持按时间维度筛选不同时间段的专业分析结果；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2、支持导出专业分析结果，输出格式为Excel；</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3、支持展示专业的五类一级指标概况；</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4、支持下钻查看该专业的下一级指标明细；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指标概览</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展示观测点下所有关联指标的概览：</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1、支持用户搜索相关指标；</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2、支持用户收藏相关指标；</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3、支持查看该观测点下关联的指标列表；</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4、支持下钻查看指标明细；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5、支持导出相关指标的分析结果，输出格式为Excel；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4</w:t>
            </w:r>
          </w:p>
        </w:tc>
        <w:tc>
          <w:tcPr>
            <w:tcW w:w="832"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用户管理</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用户管理</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1、支持对系统用户进行管理，包括但不限于编辑、冻结/解冻、重置密码、删除用户等操作；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2、支持添加和导入系统用户功能；</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3、支持批量删除用户；</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4、支持搜索、筛选展示用户列表；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角色与权限管理</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1、支持系统角色管理，包括但不限于编辑、删除、授权用户角色等操作；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2、支持为用户添加角色，分配系统菜单权限；</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3、支持查看用户角色详情，包括但不限于角色名称、最近更新时间、关联用户、角色权限等；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4、支持搜索、筛选展示角色列表；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2"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1、支持系统权限管理，包括但不限于编辑、新增、删除权限等；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2、支持给角色关联系统的菜单权限；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5</w:t>
            </w:r>
          </w:p>
        </w:tc>
        <w:tc>
          <w:tcPr>
            <w:tcW w:w="832"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UI界面设计</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sz w:val="21"/>
                <w:szCs w:val="21"/>
              </w:rPr>
              <w:t>系统UI界面设计</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专业数字化评估系统的UI界面，需按照学校要求，结合互联网的页面风格，以便捷的操作、美观的页面效果，对整体UI风格进行设计，使得用户查看相关指标分析结果更加直观，更好地服务专业评估科学决策。</w:t>
            </w:r>
          </w:p>
        </w:tc>
      </w:tr>
    </w:tbl>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5" w:name="_Toc140098916"/>
      <w:r>
        <w:rPr>
          <w:rFonts w:hint="eastAsia" w:ascii="宋体" w:hAnsi="宋体" w:eastAsia="宋体" w:cs="宋体"/>
          <w:sz w:val="21"/>
          <w:szCs w:val="21"/>
          <w:lang w:val="en-US" w:eastAsia="zh-CN"/>
        </w:rPr>
        <w:t>2.4.3</w:t>
      </w:r>
      <w:r>
        <w:rPr>
          <w:rFonts w:hint="eastAsia" w:ascii="宋体" w:hAnsi="宋体" w:eastAsia="宋体" w:cs="宋体"/>
          <w:sz w:val="21"/>
          <w:szCs w:val="21"/>
        </w:rPr>
        <w:t>校情综合指标看板开发服务技术要求</w:t>
      </w:r>
      <w:bookmarkEnd w:id="45"/>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604"/>
        <w:gridCol w:w="1760"/>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9"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33"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914"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功能子模块</w:t>
            </w:r>
          </w:p>
        </w:tc>
        <w:tc>
          <w:tcPr>
            <w:tcW w:w="2774"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479"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1</w:t>
            </w:r>
          </w:p>
        </w:tc>
        <w:tc>
          <w:tcPr>
            <w:tcW w:w="833"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系统首页</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系统首页</w:t>
            </w:r>
          </w:p>
        </w:tc>
        <w:tc>
          <w:tcPr>
            <w:tcW w:w="2774" w:type="pct"/>
            <w:shd w:val="clear" w:color="auto" w:fill="auto"/>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支持展示学校总体情况，以5个数据维度呈现学校总体数据情况：</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1、支持用户在首页查看账号信息、退出登录、修改密码；</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2、支持按照不同维度搜索相关数据指标概况；</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3、支持查看学校总体信息情况（包含5个维度：学校简介、在校学生、在校教师、人才培养、科学研究）；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9"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833"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校情综合指标看板</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学校简介</w:t>
            </w:r>
          </w:p>
        </w:tc>
        <w:tc>
          <w:tcPr>
            <w:tcW w:w="2774" w:type="pct"/>
            <w:shd w:val="clear" w:color="auto" w:fill="auto"/>
            <w:vAlign w:val="center"/>
          </w:tcPr>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支持展示学校简介情况，包括但不限于学校校训、历史大事件等内容：</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1、支持展示学校简介情况，以时间线的方式呈现学校重点事件，以及呈现学校校训、学校重点文化照片等内容；</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2、支持数据导出，输出格式为Excel；</w:t>
            </w:r>
          </w:p>
          <w:p>
            <w:pPr>
              <w:pageBreakBefore w:val="0"/>
              <w:kinsoku/>
              <w:wordWrap/>
              <w:overflowPunct/>
              <w:topLinePunct w:val="0"/>
              <w:autoSpaceDE/>
              <w:autoSpaceDN/>
              <w:bidi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3、支持按照时间维度筛选重点事件；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9"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3"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在校学生</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支持展示在校学生专题情况，包括学生基本情况、博士研究生、硕士研究生、本科生等：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1、支持以本科生、硕士研究生、博士研究生三个分类，呈现在校学生的情况，呈现人数、学院、年纪的区别和具体情况；</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2、支持下钻查看学生详细具体信息；</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3、支持数据导出，输出格式为Excel；</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4、支持按照时间维度进行筛选；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5、支持数据搜索、下拉筛选；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3"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在校教师</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支持展示在校教师专题情况，包括教师基本情况、专业教师、高层次人才等：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1、支持展示在校教师的相关情况，包括对专业教师的各种维度的数据进行呈现，以及对高层次人才进行详细数据分类呈现；</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rPr>
              <w:t>支持数据导出，输出格式为Excel</w:t>
            </w:r>
            <w:r>
              <w:rPr>
                <w:rFonts w:hint="eastAsia" w:ascii="宋体" w:hAnsi="宋体" w:eastAsia="宋体" w:cs="宋体"/>
                <w:sz w:val="21"/>
                <w:szCs w:val="21"/>
              </w:rPr>
              <w:t>；</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3、支持打开教师数字名片，查看教师数字档案；</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000000"/>
                <w:sz w:val="21"/>
                <w:szCs w:val="21"/>
              </w:rPr>
              <w:t>支持按照时间维度进行筛选</w:t>
            </w:r>
            <w:r>
              <w:rPr>
                <w:rFonts w:hint="eastAsia" w:ascii="宋体" w:hAnsi="宋体" w:eastAsia="宋体" w:cs="宋体"/>
                <w:sz w:val="21"/>
                <w:szCs w:val="21"/>
              </w:rPr>
              <w:t>；</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5、支持下钻查看数据明细；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color w:val="000000"/>
                <w:sz w:val="21"/>
                <w:szCs w:val="21"/>
              </w:rPr>
              <w:t>支持数据搜索、下拉筛选；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3"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人才培养</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支持展示学校人才培养相关情况，包括学校专业情况，以及其他与人才培养相关的数据情况：</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1、支持展示学校人才培养的重点数据情况；</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2、支持数据导出，输出格式为Excel；</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3、支持按照时间维度进行筛选；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4、支持下钻查看数据明细；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5、支持数据搜索、下拉筛选；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3"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科学研究</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支持展示学校科学研究方面相关情况，包括论文、项目、社科基金、自科基金、出版著作等：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1、支持展示学校在科学研究方面的相关数据情况，包括1A论文、重点项目、国家相关基金、出版著作、科研经费等；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2、支持展示项目详细情况、论文重点信息等内容；</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3、支持数据导出，输出格式为Excel；</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4、支持按照时间维度进行筛选；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5、支持下钻查看数据明细；</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6、支持数据搜索、下拉筛选；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vMerge w:val="restart"/>
            <w:shd w:val="clear" w:color="auto" w:fill="auto"/>
            <w:vAlign w:val="center"/>
          </w:tcPr>
          <w:p>
            <w:pPr>
              <w:pStyle w:val="27"/>
              <w:pageBreakBefore w:val="0"/>
              <w:kinsoku/>
              <w:wordWrap/>
              <w:overflowPunct/>
              <w:topLinePunct w:val="0"/>
              <w:autoSpaceDE/>
              <w:autoSpaceDN/>
              <w:bidi w:val="0"/>
              <w:spacing w:after="0" w:line="288"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833"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用户管理</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用户管理</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1、支持对系统用户进行管理，包括但不限于编辑、冻结/解冻、重置密码、删除用户等操作；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2、支持添加和导入系统用户功能；</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3、支持批量删除用户；</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4、支持搜索、筛选展示用户列表；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3"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restar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角色与权限管理</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1、支持系统角色管理，包括但不限于编辑、删除、授权用户角色等操作；</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2、支持为用户添加角色，分配系统菜单权限；</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3、支持查看用户角色详情，包括但不限于角色名称、最近更新时间、关联用户、角色权限等；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4、支持搜索、筛选展示角色列表；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833" w:type="pct"/>
            <w:vMerge w:val="continue"/>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914" w:type="pct"/>
            <w:vMerge w:val="continue"/>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1、支持系统权限管理，包括但不限于编辑、新增、删除权限等；</w:t>
            </w:r>
          </w:p>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2、支持给角色关联系统的菜单权限；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9"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4</w:t>
            </w:r>
          </w:p>
        </w:tc>
        <w:tc>
          <w:tcPr>
            <w:tcW w:w="833" w:type="pc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UI界面设计</w:t>
            </w:r>
          </w:p>
        </w:tc>
        <w:tc>
          <w:tcPr>
            <w:tcW w:w="914" w:type="pct"/>
            <w:shd w:val="clear" w:color="auto" w:fill="auto"/>
            <w:vAlign w:val="center"/>
          </w:tcPr>
          <w:p>
            <w:pPr>
              <w:pageBreakBefore w:val="0"/>
              <w:kinsoku/>
              <w:wordWrap/>
              <w:overflowPunct/>
              <w:topLinePunct w:val="0"/>
              <w:autoSpaceDE/>
              <w:autoSpaceDN/>
              <w:bidi w:val="0"/>
              <w:spacing w:line="288" w:lineRule="auto"/>
              <w:ind w:left="0" w:leftChars="0"/>
              <w:jc w:val="left"/>
              <w:rPr>
                <w:rFonts w:hint="eastAsia" w:ascii="宋体" w:hAnsi="宋体" w:eastAsia="宋体" w:cs="宋体"/>
                <w:color w:val="000000"/>
                <w:sz w:val="21"/>
                <w:szCs w:val="21"/>
              </w:rPr>
            </w:pPr>
            <w:r>
              <w:rPr>
                <w:rFonts w:hint="eastAsia" w:ascii="宋体" w:hAnsi="宋体" w:eastAsia="宋体" w:cs="宋体"/>
                <w:sz w:val="21"/>
                <w:szCs w:val="21"/>
              </w:rPr>
              <w:t>系统UI界面设计</w:t>
            </w:r>
          </w:p>
        </w:tc>
        <w:tc>
          <w:tcPr>
            <w:tcW w:w="2774" w:type="pct"/>
            <w:shd w:val="clear" w:color="auto" w:fill="auto"/>
            <w:vAlign w:val="center"/>
          </w:tcPr>
          <w:p>
            <w:pPr>
              <w:pageBreakBefore w:val="0"/>
              <w:widowControl/>
              <w:kinsoku/>
              <w:wordWrap/>
              <w:overflowPunct/>
              <w:topLinePunct w:val="0"/>
              <w:autoSpaceDE/>
              <w:autoSpaceDN/>
              <w:bidi w:val="0"/>
              <w:spacing w:line="288" w:lineRule="auto"/>
              <w:ind w:left="0"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校情综合指标看板的UI界面，需按照学校要求，结合互联网的页面风格，以便捷的操作、美观的页面效果，对整体UI风格进行设计，使得用户查看相关指标分析结果更加直观，更好地服务学校科学决策。</w:t>
            </w:r>
          </w:p>
        </w:tc>
      </w:tr>
    </w:tbl>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6" w:name="_Toc140098917"/>
      <w:r>
        <w:rPr>
          <w:rFonts w:hint="eastAsia" w:ascii="宋体" w:hAnsi="宋体" w:eastAsia="宋体" w:cs="宋体"/>
          <w:sz w:val="21"/>
          <w:szCs w:val="21"/>
          <w:lang w:val="en-US" w:eastAsia="zh-CN"/>
        </w:rPr>
        <w:t>2.4.4</w:t>
      </w:r>
      <w:r>
        <w:rPr>
          <w:rFonts w:hint="eastAsia" w:ascii="宋体" w:hAnsi="宋体" w:eastAsia="宋体" w:cs="宋体"/>
          <w:sz w:val="21"/>
          <w:szCs w:val="21"/>
        </w:rPr>
        <w:t>数据加工处理技术要求</w:t>
      </w:r>
      <w:bookmarkEnd w:id="46"/>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895"/>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bookmarkStart w:id="47" w:name="_Toc140098918"/>
            <w:r>
              <w:rPr>
                <w:rFonts w:hint="eastAsia" w:ascii="宋体" w:hAnsi="宋体" w:eastAsia="宋体" w:cs="宋体"/>
                <w:b/>
                <w:bCs/>
                <w:sz w:val="21"/>
                <w:szCs w:val="21"/>
              </w:rPr>
              <w:t>序号</w:t>
            </w:r>
          </w:p>
        </w:tc>
        <w:tc>
          <w:tcPr>
            <w:tcW w:w="984"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模块</w:t>
            </w:r>
          </w:p>
        </w:tc>
        <w:tc>
          <w:tcPr>
            <w:tcW w:w="3537" w:type="pct"/>
            <w:shd w:val="clear" w:color="auto" w:fill="D8D8D8" w:themeFill="background1" w:themeFillShade="D9"/>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1</w:t>
            </w:r>
          </w:p>
        </w:tc>
        <w:tc>
          <w:tcPr>
            <w:tcW w:w="984" w:type="pct"/>
            <w:vMerge w:val="restart"/>
            <w:shd w:val="clear" w:color="auto" w:fill="auto"/>
            <w:vAlign w:val="center"/>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数据加工处理</w:t>
            </w: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 w:val="21"/>
                <w:szCs w:val="21"/>
              </w:rPr>
              <w:t>1、业务调研：</w:t>
            </w:r>
          </w:p>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 w:val="21"/>
                <w:szCs w:val="21"/>
              </w:rPr>
              <w:t>1）与教务处深入调研沟通，确定专业数字化评估业务目标，包括业务痛点、落地思路、分析结果呈现形态等。同时，就专业评估相关数据指标进行沟通与确认，包含5大类，共涉及44个数据指标项，以及指标的取数逻辑、计算逻辑等；</w:t>
            </w:r>
          </w:p>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 w:val="21"/>
                <w:szCs w:val="21"/>
              </w:rPr>
              <w:t>2）与校办深入调研沟通，确定校情综合指标看板业务目标，包括落地思路、分析结果呈现形态等。同时，就校情综合指标相关数据指标进行沟通与确认，包含5个数据维度，以及指标的取数逻辑、计算逻辑等；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numPr>
                <w:ilvl w:val="0"/>
                <w:numId w:val="4"/>
              </w:numPr>
              <w:kinsoku/>
              <w:wordWrap/>
              <w:overflowPunct/>
              <w:topLinePunct w:val="0"/>
              <w:autoSpaceDE/>
              <w:autoSpaceDN/>
              <w:bidi w:val="0"/>
              <w:spacing w:line="288" w:lineRule="auto"/>
              <w:ind w:left="0" w:leftChars="0"/>
              <w:jc w:val="left"/>
              <w:rPr>
                <w:rFonts w:hint="eastAsia"/>
              </w:rPr>
            </w:pPr>
            <w:r>
              <w:rPr>
                <w:rFonts w:hint="eastAsia"/>
              </w:rPr>
              <w:t>支持通过学校已有数据中台对基础的业务数据进行梳理和加工，包含数据清洗、转换与关联计算服务；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numPr>
                <w:ilvl w:val="0"/>
                <w:numId w:val="4"/>
              </w:numPr>
              <w:kinsoku/>
              <w:wordWrap/>
              <w:overflowPunct/>
              <w:topLinePunct w:val="0"/>
              <w:autoSpaceDE/>
              <w:autoSpaceDN/>
              <w:bidi w:val="0"/>
              <w:spacing w:line="288" w:lineRule="auto"/>
              <w:ind w:left="0" w:leftChars="0"/>
              <w:jc w:val="left"/>
              <w:rPr>
                <w:rFonts w:hint="eastAsia"/>
              </w:rPr>
            </w:pPr>
            <w:r>
              <w:rPr>
                <w:rFonts w:hint="eastAsia" w:ascii="宋体" w:hAnsi="宋体" w:eastAsia="宋体" w:cs="宋体"/>
                <w:kern w:val="0"/>
                <w:szCs w:val="21"/>
              </w:rPr>
              <w:t>支持实时数据汇聚，在数据源配置下可配置要采集的源端数据库是否开启实时按钮，在实时数据采集配置中，可创建实时采集任务，在创建实时采集任务时，操作类型支持新增、删除、变更三种变化类型，支持在选择源表时自动创建目标表，实时采集任务配置完成后，要求展示在源表新增、删除、更新数据，目标表可实时新增、删除、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numPr>
                <w:ilvl w:val="0"/>
                <w:numId w:val="4"/>
              </w:numPr>
              <w:kinsoku/>
              <w:wordWrap/>
              <w:overflowPunct/>
              <w:topLinePunct w:val="0"/>
              <w:autoSpaceDE/>
              <w:autoSpaceDN/>
              <w:bidi w:val="0"/>
              <w:spacing w:line="288" w:lineRule="auto"/>
              <w:ind w:left="0" w:leftChars="0"/>
              <w:jc w:val="left"/>
              <w:rPr>
                <w:rFonts w:hint="eastAsia" w:ascii="宋体" w:hAnsi="宋体" w:eastAsia="宋体" w:cs="宋体"/>
                <w:kern w:val="0"/>
                <w:szCs w:val="21"/>
              </w:rPr>
            </w:pPr>
            <w:r>
              <w:rPr>
                <w:rFonts w:hint="eastAsia" w:ascii="宋体" w:hAnsi="宋体" w:eastAsia="宋体" w:cs="宋体"/>
                <w:kern w:val="0"/>
                <w:szCs w:val="21"/>
              </w:rPr>
              <w:t>支持在图形化界面中自定义规则符并实现数据拆分，支持可选不同类型的输入、输出格式，包括但不限于Excel、数据库表；同时可将拆分后的数据与数据表进行关联，满足扩充数据模型结构需求。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numPr>
                <w:ilvl w:val="0"/>
                <w:numId w:val="4"/>
              </w:numPr>
              <w:kinsoku/>
              <w:wordWrap/>
              <w:overflowPunct/>
              <w:topLinePunct w:val="0"/>
              <w:autoSpaceDE/>
              <w:autoSpaceDN/>
              <w:bidi w:val="0"/>
              <w:spacing w:line="288" w:lineRule="auto"/>
              <w:ind w:left="0" w:leftChars="0"/>
              <w:jc w:val="left"/>
              <w:rPr>
                <w:rFonts w:hint="eastAsia" w:ascii="宋体" w:hAnsi="宋体" w:eastAsia="宋体" w:cs="宋体"/>
                <w:kern w:val="0"/>
                <w:szCs w:val="21"/>
              </w:rPr>
            </w:pPr>
            <w:r>
              <w:rPr>
                <w:rFonts w:hint="eastAsia" w:ascii="宋体" w:hAnsi="宋体" w:eastAsia="宋体" w:cs="宋体"/>
                <w:kern w:val="0"/>
                <w:szCs w:val="21"/>
              </w:rPr>
              <w:t>支持离线数据管理，支持创建角色并支持对角色所操作数据表进行权限管理，支持做到针对不同用户进行字段级授权，支持使不同角色分别维护同一张表的不同字段。支持同一张表格内每行数据支持按部门授权维护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、支持将数据发布为通用数据接口提供给专业数字化评估系统、校情综合指标看板或其他应用调用；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ascii="宋体" w:hAnsi="宋体" w:eastAsia="宋体" w:cs="宋体"/>
                <w:kern w:val="0"/>
                <w:szCs w:val="21"/>
              </w:rPr>
              <w:t>7</w:t>
            </w:r>
            <w:r>
              <w:rPr>
                <w:rFonts w:hint="eastAsia" w:ascii="宋体" w:hAnsi="宋体" w:eastAsia="宋体" w:cs="宋体"/>
                <w:kern w:val="0"/>
                <w:szCs w:val="21"/>
              </w:rPr>
              <w:t>、支持基于B/S架构界面化实现数据仓库模型自主设计，能够直接引用标准字段设计模型，全程可视化操作、无需编码，并能够一键生成实体表，在简化运维难度同时保证标准和实体表的一致性。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、数据加工支持可视化的界面操作，可通过简单的勾选完成数据接口的发布；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default" w:ascii="宋体" w:hAnsi="宋体" w:eastAsia="宋体" w:cs="宋体"/>
                <w:kern w:val="0"/>
                <w:sz w:val="21"/>
                <w:szCs w:val="21"/>
                <w:lang w:val="en-US" w:eastAsia="zh-CN"/>
              </w:rPr>
            </w:pPr>
            <w:r>
              <w:rPr>
                <w:rFonts w:ascii="宋体" w:hAnsi="宋体" w:eastAsia="宋体" w:cs="宋体"/>
                <w:kern w:val="0"/>
                <w:szCs w:val="21"/>
              </w:rPr>
              <w:t>9</w:t>
            </w:r>
            <w:r>
              <w:rPr>
                <w:rFonts w:hint="eastAsia" w:ascii="宋体" w:hAnsi="宋体" w:eastAsia="宋体" w:cs="宋体"/>
                <w:kern w:val="0"/>
                <w:szCs w:val="21"/>
              </w:rPr>
              <w:t>、支持在数据接口发布时对数据进行加密操作，保证数据安全；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ascii="宋体" w:hAnsi="宋体" w:eastAsia="宋体" w:cs="宋体"/>
                <w:kern w:val="0"/>
                <w:szCs w:val="21"/>
              </w:rPr>
              <w:t>10</w:t>
            </w:r>
            <w:r>
              <w:rPr>
                <w:rFonts w:hint="eastAsia" w:ascii="宋体" w:hAnsi="宋体" w:eastAsia="宋体" w:cs="宋体"/>
                <w:kern w:val="0"/>
                <w:szCs w:val="21"/>
              </w:rPr>
              <w:t>、支持在数据发布审核阶段按照数据字段颗粒度进行加密和脱敏；其中加密方式包括但不限于AES、MD5、国密算法（SM2、SM3、SM4）等；脱敏方式包括但不限于数字随机、字符仿真、字符随机等。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lang w:val="en-US" w:eastAsia="zh-CN"/>
              </w:rPr>
            </w:pPr>
            <w:r>
              <w:rPr>
                <w:rFonts w:ascii="宋体" w:hAnsi="宋体" w:eastAsia="宋体" w:cs="宋体"/>
                <w:kern w:val="0"/>
                <w:szCs w:val="21"/>
              </w:rPr>
              <w:t>11</w:t>
            </w:r>
            <w:r>
              <w:rPr>
                <w:rFonts w:hint="eastAsia" w:ascii="宋体" w:hAnsi="宋体" w:eastAsia="宋体" w:cs="宋体"/>
                <w:kern w:val="0"/>
                <w:szCs w:val="21"/>
              </w:rPr>
              <w:t>、支持针对用户生成唯一的调用Token，识别用户身份，定向传输数据；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Cs w:val="21"/>
              </w:rPr>
              <w:t>1</w:t>
            </w:r>
            <w:r>
              <w:rPr>
                <w:rFonts w:ascii="宋体" w:hAnsi="宋体" w:eastAsia="宋体" w:cs="宋体"/>
                <w:kern w:val="0"/>
                <w:szCs w:val="21"/>
              </w:rPr>
              <w:t>2</w:t>
            </w:r>
            <w:r>
              <w:rPr>
                <w:rFonts w:hint="eastAsia" w:ascii="宋体" w:hAnsi="宋体" w:eastAsia="宋体" w:cs="宋体"/>
                <w:kern w:val="0"/>
                <w:szCs w:val="21"/>
              </w:rPr>
              <w:t>、支持数据查看，可基于中文语义进行数据查看，需支持的中文语义符包括等于、不等于、有值、无值、开始于文字、结束于文字、不包含文字等。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、支持对专业评估、校情看板相关数据指标进行归档存储，并生成专题数据集市，可持续访问和调用；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hint="eastAsia" w:ascii="宋体" w:hAnsi="宋体" w:eastAsia="宋体" w:cs="宋体"/>
                <w:kern w:val="0"/>
                <w:sz w:val="21"/>
                <w:szCs w:val="21"/>
                <w:lang w:val="en-US" w:eastAsia="zh-CN"/>
              </w:rPr>
            </w:pPr>
            <w:r>
              <w:rPr>
                <w:rFonts w:hint="eastAsia" w:ascii="宋体" w:hAnsi="宋体" w:eastAsia="宋体" w:cs="宋体"/>
                <w:kern w:val="0"/>
                <w:szCs w:val="21"/>
              </w:rPr>
              <w:t>1</w:t>
            </w:r>
            <w:r>
              <w:rPr>
                <w:rFonts w:ascii="宋体" w:hAnsi="宋体" w:eastAsia="宋体" w:cs="宋体"/>
                <w:kern w:val="0"/>
                <w:szCs w:val="21"/>
              </w:rPr>
              <w:t>4</w:t>
            </w:r>
            <w:r>
              <w:rPr>
                <w:rFonts w:hint="eastAsia" w:ascii="宋体" w:hAnsi="宋体" w:eastAsia="宋体" w:cs="宋体"/>
                <w:kern w:val="0"/>
                <w:szCs w:val="21"/>
              </w:rPr>
              <w:t>、支持在API市场中可查看API基础信息、订购调用情况、请求返回参数等，同时支持API申请的发起。支持用户按照调用次数、调用周期申请API的调用权限，超出调用次数和有效日期后，用户无法成功调用此API接口。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shd w:val="clear" w:color="auto" w:fill="auto"/>
            <w:vAlign w:val="center"/>
          </w:tcPr>
          <w:p>
            <w:pPr>
              <w:pStyle w:val="106"/>
              <w:pageBreakBefore w:val="0"/>
              <w:kinsoku/>
              <w:wordWrap/>
              <w:overflowPunct/>
              <w:topLinePunct w:val="0"/>
              <w:autoSpaceDE/>
              <w:autoSpaceDN/>
              <w:bidi w:val="0"/>
              <w:spacing w:line="288" w:lineRule="auto"/>
              <w:ind w:left="0" w:leftChars="0" w:firstLineChars="0"/>
              <w:jc w:val="center"/>
              <w:rPr>
                <w:rFonts w:hint="eastAsia" w:ascii="宋体" w:hAnsi="宋体" w:eastAsia="宋体" w:cs="宋体"/>
                <w:sz w:val="21"/>
                <w:szCs w:val="21"/>
              </w:rPr>
            </w:pPr>
          </w:p>
        </w:tc>
        <w:tc>
          <w:tcPr>
            <w:tcW w:w="984" w:type="pct"/>
            <w:vMerge w:val="continue"/>
            <w:shd w:val="clear" w:color="auto" w:fill="auto"/>
          </w:tcPr>
          <w:p>
            <w:pPr>
              <w:pageBreakBefore w:val="0"/>
              <w:kinsoku/>
              <w:wordWrap/>
              <w:overflowPunct/>
              <w:topLinePunct w:val="0"/>
              <w:autoSpaceDE/>
              <w:autoSpaceDN/>
              <w:bidi w:val="0"/>
              <w:spacing w:line="288" w:lineRule="auto"/>
              <w:ind w:left="0" w:leftChars="0"/>
              <w:jc w:val="center"/>
              <w:rPr>
                <w:rFonts w:hint="eastAsia" w:ascii="宋体" w:hAnsi="宋体" w:eastAsia="宋体" w:cs="宋体"/>
                <w:sz w:val="21"/>
                <w:szCs w:val="21"/>
              </w:rPr>
            </w:pPr>
          </w:p>
        </w:tc>
        <w:tc>
          <w:tcPr>
            <w:tcW w:w="3537" w:type="pct"/>
            <w:shd w:val="clear" w:color="auto" w:fill="auto"/>
          </w:tcPr>
          <w:p>
            <w:pPr>
              <w:pageBreakBefore w:val="0"/>
              <w:kinsoku/>
              <w:wordWrap/>
              <w:overflowPunct/>
              <w:topLinePunct w:val="0"/>
              <w:autoSpaceDE/>
              <w:autoSpaceDN/>
              <w:bidi w:val="0"/>
              <w:spacing w:line="288" w:lineRule="auto"/>
              <w:ind w:left="0" w:leftChars="0"/>
              <w:jc w:val="left"/>
              <w:rPr>
                <w:rFonts w:ascii="宋体" w:hAnsi="宋体" w:eastAsia="宋体" w:cs="宋体"/>
                <w:kern w:val="0"/>
                <w:szCs w:val="21"/>
              </w:rPr>
            </w:pPr>
            <w:r>
              <w:rPr>
                <w:rFonts w:ascii="宋体" w:hAnsi="宋体" w:eastAsia="宋体" w:cs="宋体"/>
                <w:kern w:val="0"/>
                <w:szCs w:val="21"/>
              </w:rPr>
              <w:t>15</w:t>
            </w:r>
            <w:r>
              <w:rPr>
                <w:rFonts w:hint="eastAsia" w:ascii="宋体" w:hAnsi="宋体" w:eastAsia="宋体" w:cs="宋体"/>
                <w:kern w:val="0"/>
                <w:szCs w:val="21"/>
              </w:rPr>
              <w:t>、支持数据接口持久化开发，可持续调用。即在数据指标不变的前提下，可通过调整参数复用数据接口。</w:t>
            </w:r>
          </w:p>
        </w:tc>
      </w:tr>
    </w:tbl>
    <w:p>
      <w:pPr>
        <w:pStyle w:val="5"/>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lang w:val="en-US" w:eastAsia="zh-Hans"/>
        </w:rPr>
        <w:t>集成要求</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88" w:lineRule="auto"/>
        <w:ind w:left="0" w:leftChars="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lang w:val="en-US" w:eastAsia="zh-Hans"/>
        </w:rPr>
        <w:t>根据学校实际需求</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rPr>
        <w:t>实现与</w:t>
      </w:r>
      <w:r>
        <w:rPr>
          <w:rFonts w:hint="eastAsia" w:ascii="宋体" w:hAnsi="宋体" w:eastAsia="宋体" w:cs="宋体"/>
          <w:color w:val="000000"/>
          <w:kern w:val="2"/>
          <w:sz w:val="21"/>
          <w:szCs w:val="21"/>
          <w:highlight w:val="none"/>
          <w:lang w:val="en-US" w:eastAsia="zh-Hans"/>
        </w:rPr>
        <w:t>学校</w:t>
      </w:r>
      <w:r>
        <w:rPr>
          <w:rFonts w:hint="eastAsia" w:ascii="宋体" w:hAnsi="宋体" w:eastAsia="宋体" w:cs="宋体"/>
          <w:color w:val="000000"/>
          <w:kern w:val="2"/>
          <w:sz w:val="21"/>
          <w:szCs w:val="21"/>
          <w:highlight w:val="none"/>
        </w:rPr>
        <w:t>统一身份认证系统</w:t>
      </w:r>
      <w:r>
        <w:rPr>
          <w:rFonts w:hint="eastAsia" w:ascii="宋体" w:hAnsi="宋体" w:eastAsia="宋体" w:cs="宋体"/>
          <w:color w:val="000000"/>
          <w:kern w:val="2"/>
          <w:sz w:val="21"/>
          <w:szCs w:val="21"/>
          <w:highlight w:val="none"/>
          <w:lang w:val="en-US" w:eastAsia="zh-Hans"/>
        </w:rPr>
        <w:t>单点登录对接</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0"/>
          <w:sz w:val="21"/>
          <w:szCs w:val="21"/>
        </w:rPr>
        <w:t>须支持与学校统一身份平台认证授权紧密集成而实现用户在业务流程中的身份、角色和权限匹配。</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88" w:lineRule="auto"/>
        <w:ind w:left="0" w:leftChars="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en-US" w:eastAsia="zh-Hans"/>
        </w:rPr>
        <w:t>实现与学校统一通讯平台</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lang w:val="en-US" w:eastAsia="zh-Hans"/>
        </w:rPr>
        <w:t>统一待办中心</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lang w:val="en-US" w:eastAsia="zh-Hans"/>
        </w:rPr>
        <w:t>统一消息中心的对接与集成</w:t>
      </w:r>
      <w:r>
        <w:rPr>
          <w:rFonts w:hint="eastAsia" w:ascii="宋体" w:hAnsi="宋体" w:eastAsia="宋体" w:cs="宋体"/>
          <w:color w:val="000000"/>
          <w:kern w:val="2"/>
          <w:sz w:val="21"/>
          <w:szCs w:val="21"/>
          <w:highlight w:val="none"/>
          <w:lang w:eastAsia="zh-Hans"/>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88" w:lineRule="auto"/>
        <w:ind w:left="0" w:leftChars="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lang w:val="en-US" w:eastAsia="zh-Hans"/>
        </w:rPr>
        <w:t>提供</w:t>
      </w:r>
      <w:r>
        <w:rPr>
          <w:rFonts w:hint="eastAsia" w:ascii="宋体" w:hAnsi="宋体" w:eastAsia="宋体" w:cs="宋体"/>
          <w:color w:val="000000"/>
          <w:kern w:val="2"/>
          <w:sz w:val="21"/>
          <w:szCs w:val="21"/>
          <w:highlight w:val="none"/>
        </w:rPr>
        <w:t>移动化解决方案，能够结合浙江财经大学实际需求进行开发；</w:t>
      </w:r>
      <w:r>
        <w:rPr>
          <w:rFonts w:hint="eastAsia" w:ascii="宋体" w:hAnsi="宋体" w:eastAsia="宋体" w:cs="宋体"/>
          <w:color w:val="000000"/>
          <w:kern w:val="2"/>
          <w:sz w:val="21"/>
          <w:szCs w:val="21"/>
          <w:highlight w:val="none"/>
          <w:lang w:val="en-US" w:eastAsia="zh-Hans"/>
        </w:rPr>
        <w:t>移动端页面能够以H</w:t>
      </w:r>
      <w:r>
        <w:rPr>
          <w:rFonts w:hint="eastAsia" w:ascii="宋体" w:hAnsi="宋体" w:eastAsia="宋体" w:cs="宋体"/>
          <w:color w:val="000000"/>
          <w:kern w:val="2"/>
          <w:sz w:val="21"/>
          <w:szCs w:val="21"/>
          <w:highlight w:val="none"/>
          <w:lang w:eastAsia="zh-Hans"/>
        </w:rPr>
        <w:t>5、</w:t>
      </w:r>
      <w:r>
        <w:rPr>
          <w:rFonts w:hint="eastAsia" w:ascii="宋体" w:hAnsi="宋体" w:eastAsia="宋体" w:cs="宋体"/>
          <w:color w:val="000000"/>
          <w:kern w:val="2"/>
          <w:sz w:val="21"/>
          <w:szCs w:val="21"/>
          <w:highlight w:val="none"/>
          <w:lang w:val="en-US" w:eastAsia="zh-Hans"/>
        </w:rPr>
        <w:t>微信小程序等方式接入学校“浙财彩微”移动门户</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lang w:val="en-US" w:eastAsia="zh-Hans"/>
        </w:rPr>
        <w:t>实现移动端免登录</w:t>
      </w:r>
      <w:r>
        <w:rPr>
          <w:rFonts w:hint="eastAsia" w:ascii="宋体" w:hAnsi="宋体" w:eastAsia="宋体" w:cs="宋体"/>
          <w:color w:val="000000"/>
          <w:kern w:val="2"/>
          <w:sz w:val="21"/>
          <w:szCs w:val="21"/>
          <w:highlight w:val="none"/>
          <w:lang w:eastAsia="zh-Hans"/>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88" w:lineRule="auto"/>
        <w:ind w:left="0" w:leftChars="0" w:firstLine="420" w:firstLineChars="200"/>
        <w:jc w:val="both"/>
        <w:textAlignment w:val="auto"/>
        <w:rPr>
          <w:rFonts w:hint="eastAsia" w:ascii="宋体" w:hAnsi="宋体" w:eastAsia="宋体" w:cs="宋体"/>
          <w:color w:val="000000"/>
          <w:kern w:val="2"/>
          <w:sz w:val="21"/>
          <w:szCs w:val="21"/>
          <w:highlight w:val="none"/>
          <w:lang w:eastAsia="zh-Hans"/>
        </w:rPr>
      </w:pPr>
      <w:r>
        <w:rPr>
          <w:rFonts w:hint="eastAsia" w:ascii="宋体" w:hAnsi="宋体" w:eastAsia="宋体"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lang w:val="en-US" w:eastAsia="zh-Hans"/>
        </w:rPr>
        <w:t>系统集成过程中产生的相关费用</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lang w:val="en-US" w:eastAsia="zh-Hans"/>
        </w:rPr>
        <w:t>含第三方接口修改</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lang w:val="en-US" w:eastAsia="zh-Hans"/>
        </w:rPr>
        <w:t>对接等费用</w:t>
      </w:r>
      <w:r>
        <w:rPr>
          <w:rFonts w:hint="eastAsia" w:ascii="宋体" w:hAnsi="宋体" w:eastAsia="宋体" w:cs="宋体"/>
          <w:color w:val="000000"/>
          <w:kern w:val="2"/>
          <w:sz w:val="21"/>
          <w:szCs w:val="21"/>
          <w:highlight w:val="none"/>
          <w:lang w:eastAsia="zh-Hans"/>
        </w:rPr>
        <w:t>），</w:t>
      </w:r>
      <w:r>
        <w:rPr>
          <w:rFonts w:hint="eastAsia" w:ascii="宋体" w:hAnsi="宋体" w:eastAsia="宋体" w:cs="宋体"/>
          <w:color w:val="000000"/>
          <w:kern w:val="2"/>
          <w:sz w:val="21"/>
          <w:szCs w:val="21"/>
          <w:highlight w:val="none"/>
          <w:lang w:val="en-US" w:eastAsia="zh-Hans"/>
        </w:rPr>
        <w:t>全部由中标</w:t>
      </w:r>
      <w:r>
        <w:rPr>
          <w:rFonts w:hint="eastAsia" w:ascii="宋体" w:hAnsi="宋体" w:eastAsia="宋体" w:cs="宋体"/>
          <w:color w:val="000000"/>
          <w:kern w:val="2"/>
          <w:sz w:val="21"/>
          <w:szCs w:val="21"/>
          <w:highlight w:val="none"/>
          <w:lang w:val="en-US" w:eastAsia="zh-CN"/>
        </w:rPr>
        <w:t>人</w:t>
      </w:r>
      <w:r>
        <w:rPr>
          <w:rFonts w:hint="eastAsia" w:ascii="宋体" w:hAnsi="宋体" w:eastAsia="宋体" w:cs="宋体"/>
          <w:color w:val="000000"/>
          <w:kern w:val="2"/>
          <w:sz w:val="21"/>
          <w:szCs w:val="21"/>
          <w:highlight w:val="none"/>
          <w:lang w:val="en-US" w:eastAsia="zh-Hans"/>
        </w:rPr>
        <w:t>承担</w:t>
      </w:r>
      <w:r>
        <w:rPr>
          <w:rFonts w:hint="eastAsia" w:ascii="宋体" w:hAnsi="宋体" w:eastAsia="宋体" w:cs="宋体"/>
          <w:color w:val="000000"/>
          <w:kern w:val="2"/>
          <w:sz w:val="21"/>
          <w:szCs w:val="21"/>
          <w:highlight w:val="none"/>
          <w:lang w:eastAsia="zh-Hans"/>
        </w:rPr>
        <w:t>。</w:t>
      </w:r>
    </w:p>
    <w:p>
      <w:pPr>
        <w:pStyle w:val="5"/>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服务要求</w:t>
      </w:r>
      <w:bookmarkEnd w:id="47"/>
    </w:p>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8" w:name="_Toc140098919"/>
      <w:r>
        <w:rPr>
          <w:rFonts w:hint="eastAsia" w:ascii="宋体" w:hAnsi="宋体" w:eastAsia="宋体" w:cs="宋体"/>
          <w:sz w:val="21"/>
          <w:szCs w:val="21"/>
          <w:lang w:val="en-US" w:eastAsia="zh-CN"/>
        </w:rPr>
        <w:t>2.6.1</w:t>
      </w:r>
      <w:r>
        <w:rPr>
          <w:rFonts w:hint="eastAsia" w:ascii="宋体" w:hAnsi="宋体" w:eastAsia="宋体" w:cs="宋体"/>
          <w:sz w:val="21"/>
          <w:szCs w:val="21"/>
        </w:rPr>
        <w:t>交付时间与地点</w:t>
      </w:r>
      <w:bookmarkEnd w:id="48"/>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1、交付时间：本项目自合同签订之日起60天内完成项目建设并验收。</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2、交付地点：采购人指定地点。</w:t>
      </w:r>
    </w:p>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49" w:name="_Toc140098920"/>
      <w:r>
        <w:rPr>
          <w:rFonts w:hint="eastAsia" w:ascii="宋体" w:hAnsi="宋体" w:eastAsia="宋体" w:cs="宋体"/>
          <w:sz w:val="21"/>
          <w:szCs w:val="21"/>
          <w:lang w:val="en-US" w:eastAsia="zh-CN"/>
        </w:rPr>
        <w:t>2.6.2</w:t>
      </w:r>
      <w:r>
        <w:rPr>
          <w:rFonts w:hint="eastAsia" w:ascii="宋体" w:hAnsi="宋体" w:eastAsia="宋体" w:cs="宋体"/>
          <w:sz w:val="21"/>
          <w:szCs w:val="21"/>
        </w:rPr>
        <w:t>现场开发实施要求</w:t>
      </w:r>
      <w:bookmarkEnd w:id="49"/>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为了保证项目开发实施过程顺利有序，投标人必须提供详细严谨的开发实施方案，主要内容应包括以下几个方面：</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1、组织架构与职责</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2、开发实施阶段与过程</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在时间上给出合理的安排，在分阶段实施计划的基础上，进一步明确和细化每个阶段的工作范围、内容、人力投入、过程、责任、交付成果等。</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3、项目人员配置与责任</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为本项目建立专用的技术团队，项目团队人员配置科学合理、分工明确，至少包括项目经理、技术架构负责人、软件开发负责人等角色。</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投标人在项目实施阶段需提供驻场开发实施服务，服务人数应不少于1人，直至项目正式验收完成。</w:t>
      </w:r>
    </w:p>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50" w:name="_Toc140098921"/>
      <w:r>
        <w:rPr>
          <w:rFonts w:hint="eastAsia" w:ascii="宋体" w:hAnsi="宋体" w:eastAsia="宋体" w:cs="宋体"/>
          <w:sz w:val="21"/>
          <w:szCs w:val="21"/>
          <w:lang w:val="en-US" w:eastAsia="zh-CN"/>
        </w:rPr>
        <w:t>2.6.</w:t>
      </w:r>
      <w:r>
        <w:rPr>
          <w:rFonts w:hint="eastAsia" w:ascii="宋体" w:hAnsi="宋体" w:cs="宋体"/>
          <w:sz w:val="21"/>
          <w:szCs w:val="21"/>
          <w:lang w:val="en-US" w:eastAsia="zh-CN"/>
        </w:rPr>
        <w:t>3</w:t>
      </w:r>
      <w:r>
        <w:rPr>
          <w:rFonts w:hint="eastAsia" w:ascii="宋体" w:hAnsi="宋体" w:eastAsia="宋体" w:cs="宋体"/>
          <w:sz w:val="21"/>
          <w:szCs w:val="21"/>
        </w:rPr>
        <w:t>售后服务要求</w:t>
      </w:r>
      <w:bookmarkEnd w:id="50"/>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投标人应制定有针对性的运行保障方案，建立完善的售后服务体系，向对采购</w:t>
      </w:r>
      <w:r>
        <w:rPr>
          <w:rFonts w:hint="eastAsia" w:ascii="宋体" w:hAnsi="宋体" w:eastAsia="宋体" w:cs="宋体"/>
          <w:sz w:val="21"/>
          <w:szCs w:val="21"/>
          <w:lang w:val="en-US" w:eastAsia="zh-CN"/>
        </w:rPr>
        <w:t>人</w:t>
      </w:r>
      <w:r>
        <w:rPr>
          <w:rFonts w:hint="eastAsia" w:ascii="宋体" w:hAnsi="宋体" w:eastAsia="宋体" w:cs="宋体"/>
          <w:sz w:val="21"/>
          <w:szCs w:val="21"/>
        </w:rPr>
        <w:t>提供充分考虑使用者利益的技术支持及售后服务模式。</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投标人应确保本项目中系统的安全稳定运行，并承诺针对软件产品提供</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年</w:t>
      </w:r>
      <w:r>
        <w:rPr>
          <w:rFonts w:hint="eastAsia" w:ascii="宋体" w:hAnsi="宋体" w:eastAsia="宋体" w:cs="宋体"/>
          <w:sz w:val="21"/>
          <w:szCs w:val="21"/>
        </w:rPr>
        <w:t>的售后质保服务，质保期自验收合格之日开始计算，质保期内提供免费的各项售后服务。</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投标人关于售后服务的承诺应具体包括如下几方面：</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1、技术支持</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建立相对稳定、有业务素养的技术支持与服务队伍，提供全面的技术支持服务。投标人需根据这一要求，制定切实可行的技术支持与服务方案，包含但不限于驻场实施服务、试运行的技术支持与服务、系统使用答疑及其他技术协助内容。</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投标人应提供详细的售后技术支持与服务方案，注明技术支持内容、获取方式、驻场人员、人数、工作分工等；</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投标人应供7×24小时技术支持服务，在接到用户方技术支持服务要求时，提供全面的技术咨询服务。</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2、故障响应效率</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系统运行环境出现故障或意外情况导致系统不能正常运行时，投标人应提供故障响应的承诺描述，包括针对不同故障级别的响应时间和响应内容。</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承诺在售后服务期内，出现软件系统故障能及时响应处理和解决，发现问题10分钟电话响应，30分钟内提供应急解决方案。影响系统正常使用的问题在采购人提出后2小时内修复，系统安全漏洞的修复，在采购人提出后24小时内解决。远程技术支持2小时内无法解决问题，在4小时内提供现场支持。</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3、应用软件服务</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方案中应对服务的范围和内容进行详细阐述，并至少包括以下内容：</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缺陷管理：针对本次招标的系统中存在的bug、缺陷，不论在保期内、外，投标人均应持续提供修正与消缺服务。</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应急故障处理：系统运行环境出现故障或意外情况导致系统不能正常运行时，投标人响应的情况描述，包括针对不同故障级别的响应时间和响应内容。</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定期巡检服务：每月对项目相关系统巡检一次。</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安全整改服务：包括对安全厂商、上级部门的漏扫报告进行一对一资深技术分析、处理，对安全问题提供书面的正式回复报告，安全补丁主动更新服务。</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文档服务：整个服务过程均需有完善的文档记录，便于跟踪、分析问题；对各项服务提供详细的书面报告，包括故障处理报告、健康巡检报告、维护总表报告、服务年度报告等。</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运行支持：对系统运行过程中业务部门的问题提供解答和问题解决跟踪，对于关键业务点的上线推广与运行提供现场保障。</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4、服务请求流程</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投标人需对用户支持或维护请求处理的流程进行详细描述。</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5、服务请求方式</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对采购人与投标人联系沟通的方式进行详细描述，以方便学校便利的获取各类即时的和非即时的服务支持。投标人提供的服务请求方式至少应包括：服务热线电话和联系人、联系单位信息、信函/传真、电子邮件、服务网站。</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投标人需设有用户投诉受理电话，对用户的意见作出反应。如果有用户投诉受理电话，请描述以下内容：电话号码（或传真）、投诉中心负责人和受理答复时间。</w:t>
      </w:r>
    </w:p>
    <w:p>
      <w:pPr>
        <w:pStyle w:val="6"/>
        <w:pageBreakBefore w:val="0"/>
        <w:numPr>
          <w:ilvl w:val="0"/>
          <w:numId w:val="0"/>
        </w:numPr>
        <w:kinsoku/>
        <w:wordWrap/>
        <w:overflowPunct/>
        <w:topLinePunct w:val="0"/>
        <w:autoSpaceDE/>
        <w:autoSpaceDN/>
        <w:bidi w:val="0"/>
        <w:spacing w:before="0" w:after="0" w:line="288" w:lineRule="auto"/>
        <w:ind w:leftChars="0"/>
        <w:rPr>
          <w:rFonts w:hint="eastAsia" w:ascii="宋体" w:hAnsi="宋体" w:eastAsia="宋体" w:cs="宋体"/>
          <w:sz w:val="21"/>
          <w:szCs w:val="21"/>
        </w:rPr>
      </w:pPr>
      <w:bookmarkStart w:id="51" w:name="_Toc140098922"/>
      <w:r>
        <w:rPr>
          <w:rFonts w:hint="eastAsia" w:ascii="宋体" w:hAnsi="宋体" w:eastAsia="宋体" w:cs="宋体"/>
          <w:sz w:val="21"/>
          <w:szCs w:val="21"/>
          <w:lang w:val="en-US" w:eastAsia="zh-CN"/>
        </w:rPr>
        <w:t>2.6.</w:t>
      </w:r>
      <w:r>
        <w:rPr>
          <w:rFonts w:hint="eastAsia" w:ascii="宋体" w:hAnsi="宋体" w:cs="宋体"/>
          <w:sz w:val="21"/>
          <w:szCs w:val="21"/>
          <w:lang w:val="en-US" w:eastAsia="zh-CN"/>
        </w:rPr>
        <w:t>4</w:t>
      </w:r>
      <w:r>
        <w:rPr>
          <w:rFonts w:hint="eastAsia" w:ascii="宋体" w:hAnsi="宋体" w:eastAsia="宋体" w:cs="宋体"/>
          <w:sz w:val="21"/>
          <w:szCs w:val="21"/>
        </w:rPr>
        <w:t>培训要求</w:t>
      </w:r>
      <w:bookmarkEnd w:id="51"/>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为了使相关人员掌握本次项目开发的相关系统的使用、维护和管理，达到能独立进行管理、故障处理、日常测试和维护等工作目的，应进行平台的技术培训，以保障平台能够正常、安全、平稳地运行，须提供以下几方面培训的描述：</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1、培训要求</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投标人委派培训人员必须对平台的使用和功能有着丰富的经验和执行力。</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2、培训方式</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包括现场实施应用操作、实际工作的参与和集体培训。</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3、培训时长</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投标人应提供不少</w:t>
      </w:r>
      <w:r>
        <w:rPr>
          <w:rFonts w:hint="eastAsia" w:ascii="宋体" w:hAnsi="宋体" w:eastAsia="宋体" w:cs="宋体"/>
          <w:b/>
          <w:bCs/>
          <w:sz w:val="21"/>
          <w:szCs w:val="21"/>
        </w:rPr>
        <w:t>3天</w:t>
      </w:r>
      <w:r>
        <w:rPr>
          <w:rFonts w:hint="eastAsia" w:ascii="宋体" w:hAnsi="宋体" w:eastAsia="宋体" w:cs="宋体"/>
          <w:sz w:val="21"/>
          <w:szCs w:val="21"/>
        </w:rPr>
        <w:t>的专项培训服务。</w:t>
      </w:r>
    </w:p>
    <w:p>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4、培训内容和有关对象描述</w:t>
      </w:r>
    </w:p>
    <w:p>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进行的培训工作包括培训方案的设计、培训制度的制定、培训实施和培训效果评估，及时监控培训效果，保证培训内容符合学校需要。提供在系统运行（含试运行）的各个阶段相应的培训内容描述，培训阶段安排包括：项目管理人员培训、系统维护人员培训、系统使用人员培训，各阶段描述标题包括：培训内容、参加对象、系统的实际操作。</w:t>
      </w:r>
    </w:p>
    <w:p>
      <w:pPr>
        <w:pStyle w:val="2"/>
        <w:rPr>
          <w:rFonts w:hint="eastAsia"/>
        </w:rPr>
      </w:pPr>
    </w:p>
    <w:p>
      <w:pPr>
        <w:rPr>
          <w:rFonts w:hint="eastAsia" w:ascii="宋体" w:hAnsi="宋体" w:eastAsia="宋体" w:cs="宋体"/>
          <w:b/>
          <w:sz w:val="21"/>
          <w:szCs w:val="21"/>
        </w:rPr>
      </w:pPr>
      <w:r>
        <w:rPr>
          <w:rFonts w:hint="eastAsia" w:ascii="宋体" w:hAnsi="宋体" w:eastAsia="宋体" w:cs="宋体"/>
          <w:b/>
          <w:sz w:val="21"/>
          <w:szCs w:val="21"/>
        </w:rPr>
        <w:t>演示要求：</w:t>
      </w:r>
    </w:p>
    <w:p>
      <w:pPr>
        <w:adjustRightInd w:val="0"/>
        <w:snapToGrid w:val="0"/>
        <w:spacing w:line="288" w:lineRule="auto"/>
        <w:jc w:val="left"/>
        <w:rPr>
          <w:rFonts w:hint="eastAsia" w:ascii="宋体" w:hAnsi="宋体" w:eastAsia="宋体" w:cs="Times New Roman"/>
          <w:spacing w:val="-6"/>
          <w:szCs w:val="21"/>
        </w:rPr>
      </w:pPr>
      <w:r>
        <w:rPr>
          <w:rFonts w:hint="eastAsia" w:ascii="宋体" w:hAnsi="宋体" w:eastAsia="宋体" w:cs="Times New Roman"/>
          <w:spacing w:val="-6"/>
          <w:szCs w:val="21"/>
        </w:rPr>
        <w:t>1. 本项目要求</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提供演示内容，演示形式可以以软件demo或类似项目真实软件演示，以PPT或图片形式演示的，演示分为0分。</w:t>
      </w:r>
    </w:p>
    <w:p>
      <w:pPr>
        <w:adjustRightInd w:val="0"/>
        <w:snapToGrid w:val="0"/>
        <w:spacing w:line="288" w:lineRule="auto"/>
        <w:jc w:val="left"/>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演示内容：</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1）演示数据拆分能力：需支持在图形化界面自定义规则符并实现数据拆分，支持可选不同类型的输入、输出格式，包括但不限于Excel、数据库表；同时可将拆分后的数据与数据表进行关联，满足扩充数据模型结构需求。（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演示数据使用安全能力：支持在数据发布审核阶段按照数据字段颗粒度进行加密和脱敏；其中加密方式包括但不限于AES、MD5、国密算法（SM2、SM3、SM4）等；脱敏方式包括但不限于数字随机、字符仿真、字符随机等。（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（3）演示数据查看能力：支持基于中文语义进行数据查看，需支持的中文语义符包括等于、不等于、有值、无值、开始于文字、结束于文字、不包含文字等。（3分）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4）演示数据开放能力：支持在API市场中可查看API基础信息、订购调用情况、请求返回参数等，同时支持API申请的发起。支持用户按照调用次数、调用周期申请API的调用权限，超出调用次数和有效日期后，用户无法成功调用此API接口。（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5）演示实时数据汇聚能力：在数据源配置下可配置要采集的源端数据库是否开启实时按钮，在实时数据采集配置中，可创建实时采集任务，在创建实时采集任务时，操作类型支持新增、删除、变更三种变化类型，支持在选择源表时自动创建目标表，实时采集任务配置完成后，要求展示在源表新增、删除、更新数据，目标表可实时新增、删除、更新数据。（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6）演示数据模型设计能力：支持基于B/S架构界面化实现数据仓库模型自主设计，能够直接引用标准字段设计模型，全程可视化操作、无需编码，并能够一键生成实体表，在简化运维难度同时保证标准和实体表的一致性。（2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7）演示离线数据管理能力：支持创建角色并支持对角色所操作数据表进行权限管理，支持做到针对不同用户进行字段级授权，支持使不同角色分别维护同一张表的不同字段。支持同一张表格内每行数据支持按部门授权维护与管理。（3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2.1 根据“电子交易/不见面开评标”原则，</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需将以上软件演示及讲解过程录制视频，演示时长不超过15分钟以.mp4格式存储于U盘。</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须自行核验U盘中的视频能正常播放，保证视频无需转码即可直接用主流播放器打开播放。</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2.2 演示U盘以邮寄形式在</w:t>
      </w:r>
      <w:r>
        <w:rPr>
          <w:rFonts w:hint="eastAsia" w:ascii="宋体" w:hAnsi="宋体" w:eastAsia="宋体" w:cs="Times New Roman"/>
          <w:spacing w:val="-6"/>
          <w:szCs w:val="21"/>
          <w:lang w:val="en-US" w:eastAsia="zh-CN"/>
        </w:rPr>
        <w:t>投标</w:t>
      </w:r>
      <w:r>
        <w:rPr>
          <w:rFonts w:hint="eastAsia" w:ascii="宋体" w:hAnsi="宋体" w:eastAsia="宋体" w:cs="Times New Roman"/>
          <w:spacing w:val="-6"/>
          <w:szCs w:val="21"/>
        </w:rPr>
        <w:t>文件提交截止时间前递交，演示U盘应当密封包装并在包装上标注演示U盘、项目名称、</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名称并加盖公章。（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396" w:firstLineChars="200"/>
        <w:jc w:val="left"/>
        <w:rPr>
          <w:rFonts w:hint="eastAsia" w:ascii="宋体" w:hAnsi="宋体" w:eastAsia="宋体" w:cs="Times New Roman"/>
          <w:b/>
          <w:sz w:val="32"/>
          <w:szCs w:val="32"/>
        </w:rPr>
      </w:pPr>
      <w:r>
        <w:rPr>
          <w:rFonts w:hint="eastAsia" w:ascii="宋体" w:hAnsi="宋体" w:eastAsia="宋体" w:cs="Times New Roman"/>
          <w:spacing w:val="-6"/>
          <w:szCs w:val="21"/>
        </w:rPr>
        <w:t>2.3 未按</w:t>
      </w:r>
      <w:r>
        <w:rPr>
          <w:rFonts w:hint="eastAsia" w:ascii="宋体" w:hAnsi="宋体" w:eastAsia="宋体" w:cs="Times New Roman"/>
          <w:spacing w:val="-6"/>
          <w:szCs w:val="21"/>
          <w:lang w:val="en-US" w:eastAsia="zh-CN"/>
        </w:rPr>
        <w:t>招标</w:t>
      </w:r>
      <w:r>
        <w:rPr>
          <w:rFonts w:hint="eastAsia" w:ascii="宋体" w:hAnsi="宋体" w:eastAsia="宋体" w:cs="Times New Roman"/>
          <w:spacing w:val="-6"/>
          <w:szCs w:val="21"/>
        </w:rPr>
        <w:t>文件要求提供演示U盘造成评审专家无法正常评审的风险由</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自行承担。</w:t>
      </w:r>
      <w:r>
        <w:rPr>
          <w:rFonts w:hint="eastAsia"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浙江财经大学专业数字化评估排名与综合校情分析开发项目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w:t>
            </w:r>
            <w:r>
              <w:rPr>
                <w:rFonts w:hint="eastAsia" w:ascii="宋体" w:hAnsi="宋体" w:eastAsia="宋体"/>
                <w:szCs w:val="21"/>
              </w:rPr>
              <w:t>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jc w:val="left"/>
              <w:rPr>
                <w:rFonts w:ascii="宋体" w:hAnsi="宋体" w:eastAsia="宋体" w:cs="Times New Roman"/>
                <w:spacing w:val="-6"/>
                <w:szCs w:val="21"/>
                <w:highlight w:val="none"/>
              </w:rPr>
            </w:pPr>
            <w:r>
              <w:rPr>
                <w:rFonts w:hint="eastAsia" w:ascii="宋体" w:hAnsi="宋体" w:eastAsia="宋体"/>
                <w:szCs w:val="21"/>
                <w:highlight w:val="none"/>
              </w:rPr>
              <w:t>2.本项目不允许分包，不适宜分包的理由是</w:t>
            </w:r>
            <w:r>
              <w:rPr>
                <w:rFonts w:hint="eastAsia" w:ascii="宋体" w:hAnsi="宋体" w:eastAsia="宋体"/>
                <w:szCs w:val="21"/>
                <w:highlight w:val="none"/>
                <w:lang w:eastAsia="zh-CN"/>
              </w:rPr>
              <w:t>：</w:t>
            </w:r>
            <w:r>
              <w:rPr>
                <w:rFonts w:hint="eastAsia" w:ascii="宋体" w:hAnsi="宋体" w:eastAsia="宋体"/>
                <w:szCs w:val="21"/>
                <w:highlight w:val="none"/>
                <w:u w:val="single"/>
              </w:rPr>
              <w:t>本项目为服务，服务内容以人员技术开发为主，内容单一，不适宜分包</w:t>
            </w:r>
            <w:r>
              <w:rPr>
                <w:rFonts w:ascii="宋体" w:hAnsi="宋体" w:eastAsia="宋体" w:cs="Times New Roman"/>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hint="eastAsia" w:ascii="宋体" w:hAnsi="宋体" w:eastAsia="宋体"/>
                <w:bCs/>
                <w:szCs w:val="21"/>
                <w:highlight w:val="yellow"/>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8"/>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5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52"/>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浙江财经大学专业数字化评估排名与综合校情分析开发项目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浙江财经大学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5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53"/>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w:t>
      </w:r>
      <w:r>
        <w:rPr>
          <w:rFonts w:ascii="宋体" w:hAnsi="宋体" w:eastAsia="宋体" w:cs="Times New Roman"/>
          <w:spacing w:val="-6"/>
          <w:szCs w:val="21"/>
          <w:highlight w:val="none"/>
        </w:rPr>
        <w:t>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5" w:firstLineChars="215"/>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本项目不允许转包；</w:t>
      </w:r>
    </w:p>
    <w:p>
      <w:pPr>
        <w:adjustRightInd w:val="0"/>
        <w:snapToGrid w:val="0"/>
        <w:spacing w:line="288" w:lineRule="auto"/>
        <w:jc w:val="left"/>
        <w:rPr>
          <w:rFonts w:hint="eastAsia" w:ascii="宋体" w:hAnsi="宋体" w:eastAsia="宋体"/>
          <w:szCs w:val="21"/>
          <w:highlight w:val="none"/>
        </w:rPr>
      </w:pPr>
      <w:r>
        <w:rPr>
          <w:rFonts w:hint="eastAsia" w:ascii="宋体" w:hAnsi="宋体" w:eastAsia="宋体"/>
          <w:szCs w:val="21"/>
          <w:highlight w:val="none"/>
        </w:rPr>
        <w:t>2.本项目不允许分包，不适宜分包的理由是</w:t>
      </w:r>
      <w:r>
        <w:rPr>
          <w:rFonts w:hint="eastAsia" w:ascii="宋体" w:hAnsi="宋体" w:eastAsia="宋体"/>
          <w:szCs w:val="21"/>
          <w:highlight w:val="none"/>
          <w:lang w:eastAsia="zh-CN"/>
        </w:rPr>
        <w:t>：</w:t>
      </w:r>
      <w:r>
        <w:rPr>
          <w:rFonts w:hint="eastAsia" w:ascii="宋体" w:hAnsi="宋体" w:eastAsia="宋体"/>
          <w:szCs w:val="21"/>
          <w:highlight w:val="none"/>
          <w:u w:val="single"/>
        </w:rPr>
        <w:t>本项目为服务，服务内容以人员技术开发为主，内容单一，不适宜分包</w:t>
      </w:r>
      <w:r>
        <w:rPr>
          <w:rFonts w:hint="eastAsia" w:ascii="宋体" w:hAnsi="宋体" w:eastAsia="宋体"/>
          <w:szCs w:val="21"/>
          <w:highlight w:val="none"/>
        </w:rPr>
        <w:t>。</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54"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54"/>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jc w:val="left"/>
        <w:rPr>
          <w:rFonts w:ascii="宋体" w:hAnsi="宋体" w:eastAsia="宋体" w:cs="宋体"/>
          <w:b/>
          <w:spacing w:val="-6"/>
          <w:kern w:val="0"/>
          <w:szCs w:val="21"/>
        </w:rPr>
      </w:pPr>
      <w:bookmarkStart w:id="55" w:name="_Hlk92273111"/>
      <w:bookmarkStart w:id="5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7" w:name="_Hlk106875293"/>
    </w:p>
    <w:bookmarkEnd w:id="57"/>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w:t>
      </w:r>
      <w:r>
        <w:rPr>
          <w:rFonts w:ascii="宋体" w:hAnsi="宋体" w:eastAsia="宋体" w:cs="Times New Roman"/>
          <w:spacing w:val="-6"/>
          <w:szCs w:val="21"/>
        </w:rPr>
        <w:t>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符合《关于促进残疾人就业政府采购政策的通知》（财库〔2017〕141号）</w:t>
      </w:r>
      <w:r>
        <w:rPr>
          <w:rFonts w:ascii="宋体" w:hAnsi="宋体" w:eastAsia="宋体" w:cs="Times New Roman"/>
          <w:spacing w:val="-6"/>
          <w:szCs w:val="21"/>
          <w:u w:val="single"/>
        </w:rPr>
        <w:t>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55"/>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56"/>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58"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w:t>
      </w:r>
      <w:r>
        <w:rPr>
          <w:rFonts w:hint="eastAsia" w:ascii="宋体" w:hAnsi="宋体" w:eastAsia="宋体" w:cs="Times New Roman"/>
          <w:bCs/>
          <w:spacing w:val="-6"/>
          <w:szCs w:val="21"/>
          <w:highlight w:val="none"/>
        </w:rPr>
        <w:t>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58"/>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59" w:name="_Hlk96329183"/>
      <w:r>
        <w:rPr>
          <w:rFonts w:hint="eastAsia" w:ascii="宋体" w:hAnsi="宋体" w:eastAsia="宋体"/>
          <w:spacing w:val="-6"/>
          <w:szCs w:val="21"/>
          <w:highlight w:val="none"/>
        </w:rPr>
        <w:t>加盖公章</w:t>
      </w:r>
      <w:bookmarkEnd w:id="59"/>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60" w:name="_Hlk94018616"/>
      <w:r>
        <w:rPr>
          <w:rFonts w:hint="eastAsia" w:ascii="宋体" w:hAnsi="宋体" w:eastAsia="宋体"/>
          <w:spacing w:val="-6"/>
          <w:szCs w:val="21"/>
        </w:rPr>
        <w:t>▲d.投标人仅递交备份投标文件而未将电子加密投标文件成功上传至政府采购云平台的，投标无效。</w:t>
      </w:r>
    </w:p>
    <w:bookmarkEnd w:id="60"/>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5"/>
          <w:rFonts w:hint="eastAsia" w:ascii="宋体" w:hAnsi="宋体" w:eastAsia="宋体"/>
          <w:b/>
          <w:bCs/>
          <w:szCs w:val="21"/>
        </w:rPr>
        <w:t>https://edu.zcygov.cn/luban/e-biding</w:t>
      </w:r>
      <w:r>
        <w:rPr>
          <w:rStyle w:val="35"/>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8"/>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rPr>
        <w:t>4.投标文件</w:t>
      </w:r>
      <w:r>
        <w:rPr>
          <w:rFonts w:hint="eastAsia" w:hAnsi="宋体" w:eastAsia="宋体" w:cs="宋体"/>
          <w:sz w:val="21"/>
          <w:szCs w:val="21"/>
          <w:highlight w:val="none"/>
        </w:rPr>
        <w:t>只允许有一个报价，有选择的报价将不予接受。</w:t>
      </w:r>
    </w:p>
    <w:p>
      <w:pPr>
        <w:pStyle w:val="18"/>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61"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61"/>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8"/>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w:t>
      </w:r>
      <w:r>
        <w:rPr>
          <w:rFonts w:hAnsi="宋体" w:eastAsia="宋体"/>
          <w:spacing w:val="-6"/>
          <w:sz w:val="21"/>
          <w:szCs w:val="21"/>
        </w:rPr>
        <w:t>，在原投标有效期满之前，如果出现特殊情况，采购人或采购代理机构以书面形式通知投标人延长投标有效期。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62" w:name="_Hlk94018682"/>
      <w:r>
        <w:rPr>
          <w:rFonts w:hint="eastAsia" w:ascii="宋体" w:hAnsi="宋体" w:eastAsia="宋体" w:cs="宋体"/>
          <w:szCs w:val="21"/>
        </w:rPr>
        <w:t>未响应招标文件“▲”标记条款要求的，投标无效。</w:t>
      </w:r>
    </w:p>
    <w:bookmarkEnd w:id="62"/>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w:t>
      </w:r>
      <w:r>
        <w:rPr>
          <w:rFonts w:hint="eastAsia" w:ascii="宋体" w:hAnsi="宋体" w:eastAsia="宋体" w:cs="Times New Roman"/>
          <w:spacing w:val="-6"/>
          <w:szCs w:val="21"/>
          <w:highlight w:val="none"/>
        </w:rPr>
        <w:t>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63"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63"/>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4"/>
        <w:snapToGrid w:val="0"/>
        <w:spacing w:before="0" w:line="288" w:lineRule="auto"/>
        <w:ind w:left="0" w:firstLine="424" w:firstLineChars="201"/>
        <w:rPr>
          <w:rFonts w:ascii="宋体" w:hAnsi="宋体"/>
          <w:szCs w:val="21"/>
        </w:rPr>
      </w:pPr>
      <w:bookmarkStart w:id="64" w:name="_Hlk94018775"/>
      <w:r>
        <w:rPr>
          <w:rFonts w:hint="eastAsia" w:ascii="宋体" w:hAnsi="宋体" w:cs="仿宋_GB2312"/>
          <w:b/>
          <w:szCs w:val="21"/>
        </w:rPr>
        <w:t>（一）</w:t>
      </w:r>
      <w:r>
        <w:rPr>
          <w:rFonts w:ascii="宋体" w:hAnsi="宋体" w:cs="仿宋_GB2312"/>
          <w:b/>
          <w:szCs w:val="21"/>
        </w:rPr>
        <w:t>开标</w:t>
      </w:r>
    </w:p>
    <w:p>
      <w:pPr>
        <w:pStyle w:val="104"/>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4"/>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3"/>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3"/>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3"/>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3"/>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3"/>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3"/>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3"/>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3"/>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64"/>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65"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65"/>
    <w:p>
      <w:pPr>
        <w:adjustRightInd w:val="0"/>
        <w:snapToGrid w:val="0"/>
        <w:spacing w:line="288" w:lineRule="auto"/>
        <w:ind w:firstLine="426" w:firstLineChars="202"/>
        <w:rPr>
          <w:rFonts w:ascii="宋体" w:hAnsi="宋体" w:eastAsia="宋体" w:cs="Arial"/>
          <w:b/>
          <w:kern w:val="0"/>
          <w:szCs w:val="21"/>
        </w:rPr>
      </w:pPr>
      <w:bookmarkStart w:id="66"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3"/>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3"/>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3"/>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3"/>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3"/>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w:t>
      </w:r>
      <w:r>
        <w:rPr>
          <w:rFonts w:ascii="宋体" w:hAnsi="宋体" w:cs="仿宋"/>
          <w:kern w:val="0"/>
          <w:sz w:val="21"/>
          <w:szCs w:val="21"/>
          <w:highlight w:val="none"/>
        </w:rPr>
        <w:t>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3"/>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3"/>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zb05</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评标办法</w:t>
      </w:r>
      <w:r>
        <w:rPr>
          <w:rFonts w:hint="eastAsia" w:ascii="宋体" w:hAnsi="宋体" w:eastAsia="宋体" w:cs="Arial"/>
          <w:kern w:val="0"/>
          <w:szCs w:val="21"/>
          <w:highlight w:val="none"/>
        </w:rPr>
        <w:t>：</w:t>
      </w:r>
      <w:r>
        <w:rPr>
          <w:rFonts w:ascii="宋体" w:hAnsi="宋体" w:eastAsia="宋体" w:cs="Arial"/>
          <w:kern w:val="0"/>
          <w:szCs w:val="21"/>
          <w:highlight w:val="none"/>
        </w:rPr>
        <w:t>本项目评标办法是综合评分法，具体评标内容及评分标准等详见</w:t>
      </w:r>
      <w:r>
        <w:rPr>
          <w:rFonts w:hint="eastAsia" w:ascii="宋体" w:hAnsi="宋体" w:eastAsia="宋体" w:cs="Arial"/>
          <w:kern w:val="0"/>
          <w:szCs w:val="21"/>
          <w:highlight w:val="none"/>
        </w:rPr>
        <w:t>“</w:t>
      </w:r>
      <w:r>
        <w:rPr>
          <w:rFonts w:ascii="宋体" w:hAnsi="宋体" w:eastAsia="宋体" w:cs="Arial"/>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kern w:val="0"/>
          <w:szCs w:val="21"/>
          <w:highlight w:val="none"/>
        </w:rPr>
        <w:t>（中标候选人并列的，采取随机抽取的方式确定）</w:t>
      </w:r>
      <w:r>
        <w:rPr>
          <w:rFonts w:ascii="宋体" w:hAnsi="宋体" w:eastAsia="宋体" w:cs="Arial"/>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66"/>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15</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15</w:t>
            </w: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20</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 w:val="21"/>
                <w:szCs w:val="21"/>
              </w:rPr>
              <w:t>注：投标文件中需附上述业绩的合同和终验报告（提供阶段性验收报告视为无效业绩）的</w:t>
            </w:r>
            <w:r>
              <w:rPr>
                <w:rFonts w:hint="eastAsia" w:ascii="宋体" w:hAnsi="宋体" w:eastAsia="宋体" w:cs="宋体"/>
                <w:sz w:val="21"/>
                <w:szCs w:val="21"/>
                <w:lang w:val="en-US" w:eastAsia="zh-CN"/>
              </w:rPr>
              <w:t>扫描件</w:t>
            </w:r>
            <w:r>
              <w:rPr>
                <w:rFonts w:hint="eastAsia" w:ascii="宋体" w:hAnsi="宋体" w:eastAsia="宋体" w:cs="宋体"/>
                <w:sz w:val="21"/>
                <w:szCs w:val="21"/>
              </w:rPr>
              <w:t>并加盖投标人公章，合同至少包含合同首页、签字盖章页、采购清单页等。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证书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kern w:val="0"/>
                <w:sz w:val="21"/>
                <w:szCs w:val="21"/>
              </w:rPr>
              <w:t>投标人具有有效的ISO9001质量管理体系认证、ISO27001信息安全管理体系认证证书</w:t>
            </w:r>
            <w:r>
              <w:rPr>
                <w:rFonts w:hint="eastAsia" w:ascii="宋体" w:hAnsi="宋体" w:eastAsia="宋体" w:cs="宋体"/>
                <w:kern w:val="0"/>
                <w:sz w:val="21"/>
                <w:szCs w:val="21"/>
                <w:lang w:eastAsia="zh-CN"/>
              </w:rPr>
              <w:t>、</w:t>
            </w:r>
            <w:r>
              <w:rPr>
                <w:rFonts w:hint="eastAsia" w:ascii="宋体" w:hAnsi="宋体" w:eastAsia="宋体" w:cs="宋体"/>
                <w:kern w:val="0"/>
                <w:szCs w:val="21"/>
              </w:rPr>
              <w:t>ISO20000信息技术服务管理体系认证证书</w:t>
            </w:r>
            <w:r>
              <w:rPr>
                <w:rFonts w:hint="eastAsia" w:ascii="宋体" w:hAnsi="宋体" w:eastAsia="宋体" w:cs="宋体"/>
                <w:kern w:val="0"/>
                <w:sz w:val="21"/>
                <w:szCs w:val="21"/>
              </w:rPr>
              <w:t>，每个证书得1分，最高得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分（投标文件中提供证书</w:t>
            </w:r>
            <w:r>
              <w:rPr>
                <w:rFonts w:hint="eastAsia" w:ascii="宋体" w:hAnsi="宋体" w:eastAsia="宋体" w:cs="宋体"/>
                <w:kern w:val="0"/>
                <w:sz w:val="21"/>
                <w:szCs w:val="21"/>
                <w:lang w:val="en-US" w:eastAsia="zh-CN"/>
              </w:rPr>
              <w:t>扫描件</w:t>
            </w:r>
            <w:r>
              <w:rPr>
                <w:rFonts w:hint="eastAsia" w:ascii="宋体" w:hAnsi="宋体" w:eastAsia="宋体" w:cs="宋体"/>
                <w:kern w:val="0"/>
                <w:sz w:val="21"/>
                <w:szCs w:val="21"/>
              </w:rPr>
              <w:t>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81</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20</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满足招标文件明</w:t>
            </w:r>
            <w:r>
              <w:rPr>
                <w:rFonts w:hint="eastAsia" w:ascii="宋体" w:hAnsi="宋体" w:eastAsia="宋体" w:cs="宋体"/>
                <w:szCs w:val="21"/>
                <w:highlight w:val="none"/>
              </w:rPr>
              <w:t>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总体技术方案</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pageBreakBefore w:val="0"/>
              <w:widowControl/>
              <w:kinsoku/>
              <w:wordWrap/>
              <w:overflowPunct/>
              <w:topLinePunct w:val="0"/>
              <w:autoSpaceDE/>
              <w:autoSpaceDN/>
              <w:bidi w:val="0"/>
              <w:adjustRightInd w:val="0"/>
              <w:snapToGrid w:val="0"/>
              <w:spacing w:line="288" w:lineRule="auto"/>
              <w:ind w:left="0" w:leftChars="0"/>
              <w:rPr>
                <w:rFonts w:hint="default" w:ascii="宋体" w:hAnsi="宋体" w:eastAsia="宋体" w:cs="宋体"/>
                <w:szCs w:val="21"/>
                <w:highlight w:val="none"/>
                <w:lang w:val="en-US" w:eastAsia="zh-CN"/>
              </w:rPr>
            </w:pPr>
            <w:r>
              <w:rPr>
                <w:rFonts w:hint="eastAsia" w:ascii="宋体" w:hAnsi="宋体" w:eastAsia="宋体" w:cs="宋体"/>
                <w:sz w:val="21"/>
                <w:szCs w:val="21"/>
              </w:rPr>
              <w:t>投标人对项目建设目标、内容、技术要求的理解情况</w:t>
            </w:r>
            <w:r>
              <w:rPr>
                <w:rFonts w:hint="eastAsia" w:ascii="宋体" w:hAnsi="宋体" w:eastAsia="宋体" w:cs="宋体"/>
                <w:sz w:val="21"/>
                <w:szCs w:val="21"/>
                <w:lang w:eastAsia="zh-CN"/>
              </w:rPr>
              <w:t>：</w:t>
            </w:r>
            <w:r>
              <w:rPr>
                <w:rFonts w:hint="eastAsia" w:ascii="宋体" w:hAnsi="宋体" w:eastAsia="宋体" w:cs="宋体"/>
                <w:sz w:val="21"/>
                <w:szCs w:val="21"/>
              </w:rPr>
              <w:t>技术方案内容齐全、条理清晰，符合浙江财经大学专业数字化评估体系建设、校情综合指标看板建设的当前和未来的要求</w:t>
            </w:r>
            <w:r>
              <w:rPr>
                <w:rFonts w:hint="eastAsia" w:ascii="宋体" w:hAnsi="宋体" w:eastAsia="宋体" w:cs="宋体"/>
                <w:sz w:val="21"/>
                <w:szCs w:val="21"/>
                <w:lang w:val="en-US" w:eastAsia="zh-CN"/>
              </w:rPr>
              <w:t>的得5</w:t>
            </w:r>
            <w:r>
              <w:rPr>
                <w:rFonts w:hint="eastAsia" w:ascii="宋体" w:hAnsi="宋体" w:eastAsia="宋体" w:cs="宋体"/>
                <w:sz w:val="21"/>
                <w:szCs w:val="21"/>
              </w:rPr>
              <w:t>分；技术方案内容较齐全、条理较清晰</w:t>
            </w:r>
            <w:r>
              <w:rPr>
                <w:rFonts w:hint="eastAsia" w:ascii="宋体" w:hAnsi="宋体" w:eastAsia="宋体" w:cs="宋体"/>
                <w:sz w:val="21"/>
                <w:szCs w:val="21"/>
                <w:lang w:val="en-US" w:eastAsia="zh-CN"/>
              </w:rPr>
              <w:t>的得3分</w:t>
            </w:r>
            <w:r>
              <w:rPr>
                <w:rFonts w:hint="eastAsia" w:ascii="宋体" w:hAnsi="宋体" w:eastAsia="宋体" w:cs="宋体"/>
                <w:sz w:val="21"/>
                <w:szCs w:val="21"/>
              </w:rPr>
              <w:t>；技术方案内容欠缺，条理不太清晰，较差</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项目开发实施方案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widowControl/>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投标人提供的总体项目开发实施方案，提供进度计划，进度阶段的划分以及工作量及工期安排的合理性，符合采购需求</w:t>
            </w:r>
            <w:r>
              <w:rPr>
                <w:rFonts w:hint="eastAsia" w:ascii="宋体" w:hAnsi="宋体" w:eastAsia="宋体" w:cs="宋体"/>
                <w:szCs w:val="21"/>
                <w:lang w:val="en-US" w:eastAsia="zh-CN"/>
              </w:rPr>
              <w:t>情况</w:t>
            </w:r>
            <w:r>
              <w:rPr>
                <w:rFonts w:hint="eastAsia" w:ascii="宋体" w:hAnsi="宋体" w:eastAsia="宋体" w:cs="宋体"/>
                <w:szCs w:val="21"/>
              </w:rPr>
              <w:t>；开发实施方案内容详细完整，进度计划清晰，各阶段内容明确，工作量及工期分配合理，满足采购需求</w:t>
            </w:r>
            <w:r>
              <w:rPr>
                <w:rFonts w:hint="eastAsia" w:ascii="宋体" w:hAnsi="宋体" w:eastAsia="宋体" w:cs="宋体"/>
                <w:szCs w:val="21"/>
                <w:lang w:eastAsia="zh-CN"/>
              </w:rPr>
              <w:t>的</w:t>
            </w:r>
            <w:r>
              <w:rPr>
                <w:rFonts w:hint="eastAsia" w:ascii="宋体" w:hAnsi="宋体" w:eastAsia="宋体" w:cs="宋体"/>
                <w:szCs w:val="21"/>
                <w:lang w:val="en-US" w:eastAsia="zh-CN"/>
              </w:rPr>
              <w:t>得5分</w:t>
            </w:r>
            <w:r>
              <w:rPr>
                <w:rFonts w:hint="eastAsia" w:ascii="宋体" w:hAnsi="宋体" w:eastAsia="宋体" w:cs="宋体"/>
                <w:szCs w:val="21"/>
              </w:rPr>
              <w:t>；实施方案内容描述完整，进度计划较清晰，各阶段内容明确，工作量及工期分配相对合理，基本满足采购需求的得3分；实施方案内容描述简单，工作量及工期内容描述不清的得1分。</w:t>
            </w:r>
          </w:p>
          <w:p>
            <w:pPr>
              <w:pStyle w:val="2"/>
              <w:ind w:left="0" w:leftChars="0" w:firstLine="0" w:firstLineChars="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未提供该项内容的不得分。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提供项目管理方案，包含项目管理规范和手段、项目管理控制、风险管理、质量管理等内容：</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管理目标明确，管理方案规范，风险控制、质量管理内容考虑全面，合理、可行的得5分；管理目标明确，管理方案规范，风险控制、质量管理内容合理、可行，但有部分欠缺的得3分；管理目标未明确，管理方案、风险控制、质量管理内容描述简单，合理性、可行性一般的得1分。</w:t>
            </w:r>
          </w:p>
          <w:p>
            <w:pPr>
              <w:pStyle w:val="2"/>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未提供该项内容的不得分。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项目团队要求</w:t>
            </w:r>
          </w:p>
          <w:p>
            <w:pPr>
              <w:adjustRightInd w:val="0"/>
              <w:snapToGrid w:val="0"/>
              <w:spacing w:line="288" w:lineRule="auto"/>
              <w:jc w:val="center"/>
              <w:rPr>
                <w:rFonts w:hint="default" w:ascii="宋体" w:hAnsi="宋体" w:eastAsia="宋体" w:cs="Times New Roman"/>
                <w:b/>
                <w:bCs/>
                <w:szCs w:val="21"/>
                <w:lang w:val="en-US" w:eastAsia="zh-CN"/>
              </w:rPr>
            </w:pPr>
            <w:r>
              <w:rPr>
                <w:rFonts w:hint="eastAsia" w:ascii="宋体" w:hAnsi="宋体" w:eastAsia="宋体" w:cs="Times New Roman"/>
                <w:b/>
                <w:bCs/>
                <w:szCs w:val="21"/>
              </w:rPr>
              <w:t>（人员不重复评审）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6</w:t>
            </w:r>
          </w:p>
        </w:tc>
        <w:tc>
          <w:tcPr>
            <w:tcW w:w="7072" w:type="dxa"/>
            <w:tcBorders>
              <w:top w:val="single" w:color="auto" w:sz="4" w:space="0"/>
              <w:left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【客观分】</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项目经理要求：</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拟派负责本项目的项目经理具有高级软件工程师证书、高级信息安全管理工程师证书、系统集成项目管理工程师（中级）证书，每提供一份证书扫描件得2分，最高得6分。</w:t>
            </w:r>
          </w:p>
          <w:p>
            <w:pPr>
              <w:adjustRightInd w:val="0"/>
              <w:snapToGrid w:val="0"/>
              <w:spacing w:line="288" w:lineRule="auto"/>
              <w:rPr>
                <w:rFonts w:hint="eastAsia" w:ascii="宋体" w:hAnsi="宋体" w:eastAsia="宋体" w:cs="Times New Roman"/>
                <w:color w:val="auto"/>
                <w:szCs w:val="21"/>
                <w:lang w:val="en-US" w:eastAsia="zh-CN"/>
              </w:rPr>
            </w:pPr>
            <w:r>
              <w:rPr>
                <w:rFonts w:hint="eastAsia" w:ascii="宋体" w:hAnsi="宋体" w:eastAsia="宋体" w:cs="Times New Roman"/>
                <w:szCs w:val="21"/>
              </w:rPr>
              <w:t>注：项目经理仅限1人，须为投标人在职人员。需提供证书扫描件及</w:t>
            </w:r>
            <w:r>
              <w:rPr>
                <w:rFonts w:hint="eastAsia" w:ascii="宋体" w:hAnsi="宋体" w:eastAsia="宋体" w:cs="Times New Roman"/>
                <w:szCs w:val="21"/>
                <w:lang w:val="en-US" w:eastAsia="zh-CN"/>
              </w:rPr>
              <w:t>人员社保或在职证明</w:t>
            </w:r>
            <w:r>
              <w:rPr>
                <w:rFonts w:hint="eastAsia" w:ascii="宋体" w:hAnsi="宋体" w:eastAsia="宋体" w:cs="Times New Roman"/>
                <w:szCs w:val="21"/>
              </w:rPr>
              <w:t>，未提供或两者材料不全的不得分。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6</w:t>
            </w:r>
          </w:p>
        </w:tc>
        <w:tc>
          <w:tcPr>
            <w:tcW w:w="7072" w:type="dxa"/>
            <w:tcBorders>
              <w:top w:val="single" w:color="auto" w:sz="4" w:space="0"/>
              <w:left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【客观分】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技术架构负责人要求：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拟派负责本项目的技术架构负责人具备高级信息安全管理工程师、DCMM注册数据管理师、数据安全师（初级）证书，每提供一份证书扫描件得2分，最高得6分。</w:t>
            </w:r>
          </w:p>
          <w:p>
            <w:pPr>
              <w:adjustRightInd w:val="0"/>
              <w:snapToGrid w:val="0"/>
              <w:spacing w:line="288" w:lineRule="auto"/>
              <w:rPr>
                <w:rFonts w:hint="eastAsia" w:ascii="宋体" w:hAnsi="宋体" w:eastAsia="宋体" w:cs="Times New Roman"/>
                <w:b/>
                <w:bCs/>
                <w:color w:val="auto"/>
                <w:szCs w:val="21"/>
                <w:highlight w:val="none"/>
                <w:lang w:val="en-US" w:eastAsia="zh-CN"/>
              </w:rPr>
            </w:pPr>
            <w:r>
              <w:rPr>
                <w:rFonts w:hint="eastAsia" w:ascii="宋体" w:hAnsi="宋体" w:eastAsia="宋体" w:cs="宋体"/>
                <w:szCs w:val="21"/>
                <w:highlight w:val="none"/>
              </w:rPr>
              <w:t>注：技术架构负责人仅限1人，须为投标人在职人员。</w:t>
            </w:r>
            <w:r>
              <w:rPr>
                <w:rFonts w:hint="eastAsia" w:ascii="宋体" w:hAnsi="宋体" w:eastAsia="宋体" w:cs="Times New Roman"/>
                <w:szCs w:val="21"/>
                <w:highlight w:val="none"/>
              </w:rPr>
              <w:t>需提供证书扫描件及</w:t>
            </w:r>
            <w:r>
              <w:rPr>
                <w:rFonts w:hint="eastAsia" w:ascii="宋体" w:hAnsi="宋体" w:eastAsia="宋体" w:cs="Times New Roman"/>
                <w:szCs w:val="21"/>
                <w:highlight w:val="none"/>
                <w:lang w:val="en-US" w:eastAsia="zh-CN"/>
              </w:rPr>
              <w:t>人员社保或在职证明</w:t>
            </w:r>
            <w:r>
              <w:rPr>
                <w:rFonts w:hint="eastAsia" w:ascii="宋体" w:hAnsi="宋体" w:eastAsia="宋体" w:cs="宋体"/>
                <w:szCs w:val="21"/>
                <w:highlight w:val="none"/>
              </w:rPr>
              <w:t>，未提供或两者材料不全的不得分。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【客观分】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软件开发负责人要求：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拟派负责本项目的软件开发负责人具备高级数据库管理工程师证书、DCMM注册数据管理师证书，每提供一份证书扫描件得2分，最高得4分。</w:t>
            </w:r>
          </w:p>
          <w:p>
            <w:pPr>
              <w:adjustRightInd w:val="0"/>
              <w:snapToGrid w:val="0"/>
              <w:spacing w:line="288" w:lineRule="auto"/>
              <w:rPr>
                <w:rFonts w:hint="eastAsia" w:ascii="宋体" w:hAnsi="宋体" w:eastAsia="宋体" w:cs="Times New Roman"/>
                <w:b/>
                <w:bCs/>
                <w:color w:val="auto"/>
                <w:szCs w:val="21"/>
                <w:highlight w:val="none"/>
                <w:lang w:val="en-US" w:eastAsia="zh-CN"/>
              </w:rPr>
            </w:pPr>
            <w:r>
              <w:rPr>
                <w:rFonts w:hint="eastAsia" w:ascii="宋体" w:hAnsi="宋体" w:eastAsia="宋体" w:cs="宋体"/>
                <w:szCs w:val="21"/>
                <w:highlight w:val="none"/>
              </w:rPr>
              <w:t>注：软件开发负责人仅限1人，须为投标人在职人员。</w:t>
            </w:r>
            <w:r>
              <w:rPr>
                <w:rFonts w:hint="eastAsia" w:ascii="宋体" w:hAnsi="宋体" w:eastAsia="宋体" w:cs="Times New Roman"/>
                <w:szCs w:val="21"/>
                <w:highlight w:val="none"/>
              </w:rPr>
              <w:t>需提供证书扫描件及</w:t>
            </w:r>
            <w:r>
              <w:rPr>
                <w:rFonts w:hint="eastAsia" w:ascii="宋体" w:hAnsi="宋体" w:eastAsia="宋体" w:cs="Times New Roman"/>
                <w:szCs w:val="21"/>
                <w:highlight w:val="none"/>
                <w:lang w:val="en-US" w:eastAsia="zh-CN"/>
              </w:rPr>
              <w:t>人员社保或在职证明</w:t>
            </w:r>
            <w:r>
              <w:rPr>
                <w:rFonts w:hint="eastAsia" w:ascii="宋体" w:hAnsi="宋体" w:eastAsia="宋体" w:cs="宋体"/>
                <w:szCs w:val="21"/>
                <w:highlight w:val="none"/>
              </w:rPr>
              <w:t>，未提供或两者材料不全的不得分。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【主观分】</w:t>
            </w:r>
          </w:p>
          <w:p>
            <w:pPr>
              <w:pageBreakBefore w:val="0"/>
              <w:kinsoku/>
              <w:wordWrap/>
              <w:overflowPunct/>
              <w:topLinePunct w:val="0"/>
              <w:autoSpaceDE/>
              <w:autoSpaceDN/>
              <w:bidi w:val="0"/>
              <w:adjustRightInd w:val="0"/>
              <w:snapToGrid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投标人对所投项目提供的售后服务方案内容的故障响应时间、响应方式、服务流程、服务组织、保障能力及维护期外的服务支持等。</w:t>
            </w:r>
          </w:p>
          <w:p>
            <w:pPr>
              <w:pageBreakBefore w:val="0"/>
              <w:kinsoku/>
              <w:wordWrap/>
              <w:overflowPunct/>
              <w:topLinePunct w:val="0"/>
              <w:autoSpaceDE/>
              <w:autoSpaceDN/>
              <w:bidi w:val="0"/>
              <w:adjustRightInd w:val="0"/>
              <w:snapToGrid w:val="0"/>
              <w:spacing w:line="288" w:lineRule="auto"/>
              <w:ind w:left="0" w:leftChars="0"/>
              <w:rPr>
                <w:rFonts w:hint="default" w:ascii="宋体" w:hAnsi="宋体" w:eastAsia="宋体" w:cs="宋体"/>
                <w:szCs w:val="21"/>
                <w:lang w:val="en-US" w:eastAsia="zh-CN"/>
              </w:rPr>
            </w:pPr>
            <w:r>
              <w:rPr>
                <w:rFonts w:hint="eastAsia" w:ascii="宋体" w:hAnsi="宋体" w:eastAsia="宋体" w:cs="宋体"/>
                <w:sz w:val="21"/>
                <w:szCs w:val="21"/>
              </w:rPr>
              <w:t>方案完善、详细可行得5分；方案较完备、较为可行得3分；方案不完善得1分；未提供得0分。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【主观分】</w:t>
            </w:r>
          </w:p>
          <w:p>
            <w:pPr>
              <w:pageBreakBefore w:val="0"/>
              <w:kinsoku/>
              <w:wordWrap/>
              <w:overflowPunct/>
              <w:topLinePunct w:val="0"/>
              <w:autoSpaceDE/>
              <w:autoSpaceDN/>
              <w:bidi w:val="0"/>
              <w:adjustRightInd w:val="0"/>
              <w:snapToGrid w:val="0"/>
              <w:spacing w:line="288" w:lineRule="auto"/>
              <w:ind w:left="0" w:leftChars="0"/>
              <w:rPr>
                <w:rFonts w:hint="eastAsia" w:ascii="宋体" w:hAnsi="宋体" w:eastAsia="宋体" w:cs="宋体"/>
                <w:sz w:val="21"/>
                <w:szCs w:val="21"/>
              </w:rPr>
            </w:pPr>
            <w:r>
              <w:rPr>
                <w:rFonts w:hint="eastAsia" w:ascii="宋体" w:hAnsi="宋体" w:eastAsia="宋体" w:cs="宋体"/>
                <w:sz w:val="21"/>
                <w:szCs w:val="21"/>
              </w:rPr>
              <w:t>投标人对所投项目提供的培训方案内容的培训方式、培训课程、培训对象、培训时长、培训计划等。</w:t>
            </w:r>
          </w:p>
          <w:p>
            <w:pPr>
              <w:pageBreakBefore w:val="0"/>
              <w:kinsoku/>
              <w:wordWrap/>
              <w:overflowPunct/>
              <w:topLinePunct w:val="0"/>
              <w:autoSpaceDE/>
              <w:autoSpaceDN/>
              <w:bidi w:val="0"/>
              <w:adjustRightInd w:val="0"/>
              <w:snapToGrid w:val="0"/>
              <w:spacing w:line="288" w:lineRule="auto"/>
              <w:ind w:left="0" w:leftChars="0"/>
              <w:rPr>
                <w:rFonts w:hint="eastAsia" w:ascii="宋体" w:hAnsi="宋体" w:eastAsia="宋体" w:cs="宋体"/>
                <w:szCs w:val="21"/>
                <w:lang w:eastAsia="zh-CN"/>
              </w:rPr>
            </w:pPr>
            <w:r>
              <w:rPr>
                <w:rFonts w:hint="eastAsia" w:ascii="宋体" w:hAnsi="宋体" w:eastAsia="宋体" w:cs="宋体"/>
                <w:sz w:val="21"/>
                <w:szCs w:val="21"/>
              </w:rPr>
              <w:t>方案完善、详细可行得5分；方案较完备、较为可行得3分；方案不完善得1分；未提供得0分。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20</w:t>
            </w:r>
          </w:p>
        </w:tc>
        <w:tc>
          <w:tcPr>
            <w:tcW w:w="70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【客观分】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为保障专业数字化评估系统</w:t>
            </w:r>
            <w:r>
              <w:rPr>
                <w:rFonts w:hint="eastAsia" w:ascii="宋体" w:hAnsi="宋体" w:eastAsia="宋体" w:cs="宋体"/>
                <w:szCs w:val="21"/>
              </w:rPr>
              <w:t>和校情综合指标看板</w:t>
            </w:r>
            <w:r>
              <w:rPr>
                <w:rFonts w:hint="eastAsia" w:ascii="宋体" w:hAnsi="宋体" w:eastAsia="宋体" w:cs="宋体"/>
                <w:szCs w:val="21"/>
                <w:lang w:eastAsia="zh-CN"/>
              </w:rPr>
              <w:t>的快速上线，需提供数据加工处理能力，演示时间不超过15分钟，</w:t>
            </w:r>
            <w:r>
              <w:rPr>
                <w:rFonts w:hint="eastAsia" w:ascii="宋体" w:hAnsi="宋体" w:eastAsia="宋体" w:cs="Times New Roman"/>
                <w:spacing w:val="-6"/>
                <w:szCs w:val="21"/>
              </w:rPr>
              <w:t>演示形式可以以软件demo或类似项目真实软件演示，以PPT或图片形式演示的，演示分为0分。</w:t>
            </w:r>
            <w:r>
              <w:rPr>
                <w:rFonts w:hint="eastAsia" w:ascii="宋体" w:hAnsi="宋体" w:eastAsia="宋体" w:cs="宋体"/>
                <w:szCs w:val="21"/>
                <w:lang w:eastAsia="zh-CN"/>
              </w:rPr>
              <w:t>每一项完全满足功能要求的得对应分值；每一项若无法满足功能要求的，则本项不得分，满分20分。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具体演示内容如下：</w:t>
            </w:r>
          </w:p>
          <w:p>
            <w:pPr>
              <w:adjustRightInd w:val="0"/>
              <w:snapToGrid w:val="0"/>
              <w:spacing w:line="288" w:lineRule="auto"/>
              <w:jc w:val="left"/>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1）演示数据拆分能力：需支持在图形化界面自定义规则符并实现数据拆分，支持可选不同类型的输入、输出格式，包括但不限于Excel、数据库表；同时可将拆分后的数据与数据表进行关联，满足扩充数据模型结构需求。</w:t>
            </w:r>
            <w:r>
              <w:rPr>
                <w:rFonts w:hint="eastAsia" w:ascii="宋体" w:hAnsi="宋体" w:eastAsia="宋体" w:cs="宋体"/>
                <w:b/>
                <w:bCs/>
                <w:highlight w:val="none"/>
                <w:lang w:val="en-US" w:eastAsia="zh-CN"/>
              </w:rPr>
              <w:t>（3分）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演示数据使用安全能力：支持在数据发布审核阶段按照数据字段颗粒度进行加密和脱敏；其中加密方式包括但不限于AES、MD5、国密算法（SM2、SM3、SM4）等；脱敏方式包括但不限于数字随机、字符仿真、字符随机等。</w:t>
            </w:r>
            <w:r>
              <w:rPr>
                <w:rFonts w:hint="eastAsia" w:ascii="宋体" w:hAnsi="宋体" w:eastAsia="宋体" w:cs="宋体"/>
                <w:b/>
                <w:bCs/>
                <w:highlight w:val="none"/>
                <w:lang w:val="en-US" w:eastAsia="zh-CN"/>
              </w:rPr>
              <w:t>（3分）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（3）演示数据查看能力：支持基于中文语义进行数据查看，需支持的中文语义符包括等于、不等于、有值、无值、开始于文字、结束于文字、不包含文字等。</w:t>
            </w:r>
            <w:r>
              <w:rPr>
                <w:rFonts w:hint="eastAsia" w:ascii="宋体" w:hAnsi="宋体" w:eastAsia="宋体" w:cs="宋体"/>
                <w:b/>
                <w:bCs/>
                <w:highlight w:val="none"/>
                <w:lang w:val="en-US" w:eastAsia="zh-CN"/>
              </w:rPr>
              <w:t>（3分）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4）演示数据开放能力：支持在API市场中可查看API基础信息、订购调用情况、请求返回参数等，同时支持API申请的发起。支持用户按照调用次数、调用周期申请API的调用权限，超出调用次数和有效日期后，用户无法成功调用此API接口。</w:t>
            </w:r>
            <w:r>
              <w:rPr>
                <w:rFonts w:hint="eastAsia" w:ascii="宋体" w:hAnsi="宋体" w:eastAsia="宋体" w:cs="宋体"/>
                <w:b/>
                <w:bCs/>
                <w:highlight w:val="none"/>
                <w:lang w:val="en-US" w:eastAsia="zh-CN"/>
              </w:rPr>
              <w:t>（3分）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5）演示实时数据汇聚能力：在数据源配置下可配置要采集的源端数据库是否开启实时按钮，在实时数据采集配置中，可创建实时采集任务，在创建实时采集任务时，操作类型支持新增、删除、变更三种变化类型，支持在选择源表时自动创建目标表，实时采集任务配置完成后，要求展示在源表新增、删除、更新数据，目标表可实时新增、删除、更新数据。</w:t>
            </w:r>
            <w:r>
              <w:rPr>
                <w:rFonts w:hint="eastAsia" w:ascii="宋体" w:hAnsi="宋体" w:eastAsia="宋体" w:cs="宋体"/>
                <w:b/>
                <w:bCs/>
                <w:highlight w:val="none"/>
                <w:lang w:val="en-US" w:eastAsia="zh-CN"/>
              </w:rPr>
              <w:t>（3分）</w:t>
            </w:r>
          </w:p>
          <w:p>
            <w:pPr>
              <w:adjustRightInd w:val="0"/>
              <w:snapToGrid w:val="0"/>
              <w:spacing w:line="288"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6）演示数据模型设计能力：支持基于B/S架构界面化实现数据仓库模型自主设计，能够直接引用标准字段设计模型，全程可视化操作、无需编码，并能够一键生成实体表，在简化运维难度同时保证标准和实体表的一致性。</w:t>
            </w:r>
            <w:r>
              <w:rPr>
                <w:rFonts w:hint="eastAsia" w:ascii="宋体" w:hAnsi="宋体" w:eastAsia="宋体" w:cs="宋体"/>
                <w:b/>
                <w:bCs/>
                <w:highlight w:val="none"/>
                <w:lang w:val="en-US" w:eastAsia="zh-CN"/>
              </w:rPr>
              <w:t>（2分）</w:t>
            </w:r>
          </w:p>
          <w:p>
            <w:pPr>
              <w:adjustRightInd w:val="0"/>
              <w:snapToGrid w:val="0"/>
              <w:spacing w:line="288" w:lineRule="auto"/>
              <w:jc w:val="left"/>
              <w:rPr>
                <w:rFonts w:hint="eastAsia" w:ascii="宋体" w:hAnsi="宋体" w:eastAsia="宋体" w:cs="宋体"/>
                <w:szCs w:val="21"/>
                <w:lang w:eastAsia="zh-CN"/>
              </w:rPr>
            </w:pPr>
            <w:r>
              <w:rPr>
                <w:rFonts w:hint="eastAsia" w:ascii="宋体" w:hAnsi="宋体" w:eastAsia="宋体" w:cs="宋体"/>
                <w:highlight w:val="none"/>
                <w:lang w:val="en-US" w:eastAsia="zh-CN"/>
              </w:rPr>
              <w:t>（7）演示离线数据管理能力：支持创建角色并支持对角色所操作数据表进行权限管理，支持做到针对不同用户进行字段级授权，支持使不同角色分别维护同一张表的不同字段。支持同一张表格内每行数据支持按部门授权维护与管理。</w:t>
            </w:r>
            <w:r>
              <w:rPr>
                <w:rFonts w:hint="eastAsia" w:ascii="宋体" w:hAnsi="宋体" w:eastAsia="宋体" w:cs="宋体"/>
                <w:b/>
                <w:bCs/>
                <w:highlight w:val="none"/>
                <w:lang w:val="en-US" w:eastAsia="zh-CN"/>
              </w:rPr>
              <w:t>（3分）</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w:t>
      </w:r>
      <w:r>
        <w:rPr>
          <w:rFonts w:ascii="宋体" w:hAnsi="宋体" w:eastAsia="宋体" w:cs="Times New Roman"/>
          <w:b/>
          <w:szCs w:val="21"/>
          <w:highlight w:val="none"/>
        </w:rPr>
        <w:t>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w:t>
      </w:r>
      <w:r>
        <w:rPr>
          <w:rFonts w:hint="eastAsia" w:ascii="宋体" w:hAnsi="宋体" w:eastAsia="宋体" w:cs="Times New Roman"/>
          <w:spacing w:val="-6"/>
          <w:szCs w:val="21"/>
          <w:u w:val="single"/>
        </w:rPr>
        <w:t>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67" w:name="_Hlk81817373"/>
      <w:bookmarkStart w:id="68"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67"/>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68"/>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浙江财经大学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专业数字化评估排名与综合校情分析开发项目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QSZB-Z(F)-E23290(GK) </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采购计划书：[2023]54963号-001</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专业数字化评估排名与综合校情分析开发项目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QSZB-Z(F)-E23290(GK)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8"/>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hint="default" w:ascii="宋体" w:hAnsi="宋体" w:eastAsia="宋体" w:cs="宋体"/>
                <w:spacing w:val="-6"/>
                <w:szCs w:val="21"/>
                <w:lang w:val="en-US" w:eastAsia="zh-CN"/>
              </w:rPr>
            </w:pPr>
            <w:r>
              <w:rPr>
                <w:rFonts w:hint="eastAsia" w:ascii="宋体" w:hAnsi="宋体" w:eastAsia="宋体" w:cs="宋体"/>
                <w:spacing w:val="-6"/>
                <w:szCs w:val="21"/>
                <w:lang w:val="en-US" w:eastAsia="zh-CN"/>
              </w:rPr>
              <w:t>服务内容</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w:t>
            </w:r>
            <w:r>
              <w:rPr>
                <w:rFonts w:hint="eastAsia" w:ascii="宋体" w:hAnsi="宋体" w:eastAsia="宋体" w:cs="宋体"/>
                <w:spacing w:val="-6"/>
                <w:szCs w:val="21"/>
                <w:lang w:val="en-US" w:eastAsia="zh-CN"/>
              </w:rPr>
              <w:t>项目实施完成的所有费用</w:t>
            </w:r>
            <w:r>
              <w:rPr>
                <w:rFonts w:hint="eastAsia" w:ascii="宋体" w:hAnsi="宋体" w:eastAsia="宋体" w:cs="宋体"/>
                <w:spacing w:val="-6"/>
                <w:szCs w:val="21"/>
              </w:rPr>
              <w:t>。</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w:t>
      </w:r>
      <w:r>
        <w:rPr>
          <w:rFonts w:hint="eastAsia" w:ascii="宋体" w:hAnsi="宋体" w:eastAsia="宋体" w:cs="宋体"/>
          <w:spacing w:val="-6"/>
          <w:kern w:val="0"/>
          <w:szCs w:val="21"/>
          <w:lang w:val="en-US" w:eastAsia="zh-CN"/>
        </w:rPr>
        <w:t>履约保证金：</w:t>
      </w:r>
      <w:r>
        <w:rPr>
          <w:rFonts w:hint="eastAsia" w:ascii="宋体" w:hAnsi="宋体" w:eastAsia="宋体" w:cs="宋体"/>
          <w:spacing w:val="-6"/>
          <w:kern w:val="0"/>
          <w:szCs w:val="21"/>
        </w:rPr>
        <w:t>合同签订后一周内，</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提交方式：银行汇款转账、支票、汇票、本票或金融机构、担保机构出具的保函等非现金形式。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2.付款方式：</w:t>
      </w:r>
      <w:r>
        <w:rPr>
          <w:rFonts w:hint="eastAsia" w:ascii="宋体" w:hAnsi="宋体" w:eastAsia="宋体" w:cs="宋体"/>
          <w:spacing w:val="-6"/>
          <w:kern w:val="0"/>
          <w:szCs w:val="21"/>
        </w:rPr>
        <w:t>合同生效以及具备实施条件后7个工作日内，且</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已向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提交银行、保险公司等金融机构出具的预付款保函（等额）的，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支付合同总价的30%；项目履约完成，经</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验收合格后，收到发票后7个工作日内，</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支付合同总价的70%。</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w:t>
            </w:r>
            <w:r>
              <w:rPr>
                <w:rFonts w:hint="eastAsia" w:ascii="宋体" w:hAnsi="宋体" w:eastAsia="宋体" w:cs="宋体"/>
                <w:szCs w:val="21"/>
                <w:lang w:eastAsia="zh-CN"/>
              </w:rPr>
              <w:t>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w:t>
      </w:r>
      <w:r>
        <w:rPr>
          <w:rFonts w:ascii="宋体" w:hAnsi="宋体" w:eastAsia="宋体" w:cs="宋体"/>
          <w:bCs/>
          <w:spacing w:val="-6"/>
          <w:szCs w:val="21"/>
          <w:highlight w:val="none"/>
        </w:rPr>
        <w:t>具备的一般条件的承诺函</w:t>
      </w:r>
    </w:p>
    <w:p>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▲联合体投标的，联合体各方均应提供资格文件（</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材料</w:t>
      </w:r>
      <w:r>
        <w:rPr>
          <w:rFonts w:ascii="宋体" w:hAnsi="宋体" w:eastAsia="宋体" w:cs="宋体"/>
          <w:b/>
          <w:spacing w:val="-6"/>
          <w:szCs w:val="21"/>
          <w:highlight w:val="none"/>
        </w:rPr>
        <w:t>。</w:t>
      </w:r>
    </w:p>
    <w:p>
      <w:pPr>
        <w:adjustRightInd w:val="0"/>
        <w:snapToGrid w:val="0"/>
        <w:spacing w:line="288" w:lineRule="auto"/>
        <w:ind w:firstLine="398" w:firstLineChars="200"/>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2023年01月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项目理解</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关键技术解决方案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培训</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保障方案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故障应急处理方案</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2</w:t>
      </w:r>
      <w:r>
        <w:rPr>
          <w:rFonts w:hint="eastAsia" w:ascii="宋体" w:hAnsi="宋体" w:eastAsia="宋体" w:cs="Times New Roman"/>
          <w:spacing w:val="-6"/>
          <w:szCs w:val="21"/>
          <w:highlight w:val="none"/>
        </w:rPr>
        <w:t>）中小企业声明函（若属于中小企业）</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3</w:t>
      </w:r>
      <w:r>
        <w:rPr>
          <w:rFonts w:hint="eastAsia" w:ascii="宋体" w:hAnsi="宋体" w:eastAsia="宋体" w:cs="Times New Roman"/>
          <w:spacing w:val="-6"/>
          <w:szCs w:val="21"/>
          <w:highlight w:val="none"/>
        </w:rPr>
        <w:t>）属于监狱企业的证明文件（若属于监狱企业）</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4</w:t>
      </w:r>
      <w:r>
        <w:rPr>
          <w:rFonts w:hint="eastAsia" w:ascii="宋体" w:hAnsi="宋体" w:eastAsia="宋体" w:cs="Times New Roman"/>
          <w:spacing w:val="-6"/>
          <w:szCs w:val="21"/>
          <w:highlight w:val="none"/>
        </w:rPr>
        <w:t>）残疾人福利性单位声明函（若属于残疾人福利性单位）</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numPr>
          <w:ilvl w:val="0"/>
          <w:numId w:val="5"/>
        </w:numPr>
        <w:adjustRightInd w:val="0"/>
        <w:snapToGrid w:val="0"/>
        <w:spacing w:line="288" w:lineRule="auto"/>
        <w:jc w:val="both"/>
        <w:outlineLvl w:val="2"/>
        <w:rPr>
          <w:rFonts w:hint="eastAsia" w:ascii="宋体" w:hAnsi="宋体" w:eastAsia="宋体" w:cs="宋体"/>
          <w:b/>
          <w:spacing w:val="-6"/>
          <w:szCs w:val="21"/>
          <w:lang w:val="en-US" w:eastAsia="zh-CN"/>
        </w:rPr>
      </w:pPr>
      <w:r>
        <w:rPr>
          <w:rFonts w:ascii="宋体" w:hAnsi="宋体" w:eastAsia="宋体" w:cs="宋体"/>
          <w:b/>
          <w:spacing w:val="-6"/>
          <w:szCs w:val="21"/>
        </w:rPr>
        <w:t>落实政府采购政策需满足的资格要求：</w:t>
      </w:r>
      <w:r>
        <w:rPr>
          <w:rFonts w:hint="eastAsia" w:ascii="宋体" w:hAnsi="宋体" w:eastAsia="宋体" w:cs="宋体"/>
          <w:b/>
          <w:spacing w:val="-6"/>
          <w:szCs w:val="21"/>
          <w:lang w:val="en-US" w:eastAsia="zh-CN"/>
        </w:rPr>
        <w:t>无</w:t>
      </w:r>
    </w:p>
    <w:p>
      <w:pPr>
        <w:numPr>
          <w:ilvl w:val="0"/>
          <w:numId w:val="0"/>
        </w:numPr>
        <w:adjustRightInd w:val="0"/>
        <w:snapToGrid w:val="0"/>
        <w:spacing w:line="288" w:lineRule="auto"/>
        <w:jc w:val="both"/>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浙江财经大学专业数字化评估排名与综合校情分析开发项目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QSZB-Z(F)-E23290(GK)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浙江财经大学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浙江财经大学专业数字化评估排名与综合校情分析开发项目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QSZB-Z(F)-E23290(GK)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hint="eastAsia" w:ascii="宋体" w:hAnsi="宋体" w:eastAsia="宋体" w:cs="Times New Roman"/>
          <w:szCs w:val="21"/>
          <w:lang w:eastAsia="zh-CN"/>
        </w:rPr>
      </w:pPr>
      <w:r>
        <w:rPr>
          <w:rFonts w:hint="eastAsia" w:ascii="宋体" w:hAnsi="宋体" w:eastAsia="宋体" w:cs="宋体"/>
          <w:bCs/>
          <w:szCs w:val="21"/>
        </w:rPr>
        <w:t>身份证件</w:t>
      </w:r>
      <w:r>
        <w:rPr>
          <w:rFonts w:hint="eastAsia" w:ascii="宋体" w:hAnsi="宋体" w:eastAsia="宋体" w:cs="宋体"/>
          <w:bCs/>
          <w:szCs w:val="21"/>
          <w:lang w:val="en-US" w:eastAsia="zh-CN"/>
        </w:rPr>
        <w:t>扫描件</w:t>
      </w:r>
    </w:p>
    <w:tbl>
      <w:tblPr>
        <w:tblStyle w:val="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专业数字化评估排名与综合校情分析开发项目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QSZB-Z(F)-E23290(GK)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）技术方案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项目理解</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项目实施方案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关键技术解决方案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项目团队</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安装调试</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培训</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售后服务</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保障方案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故障应急处理方案</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专业数字化评估排名与综合校情分析开发项目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QSZB-Z(F)-E23290(GK)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2</w:t>
      </w:r>
      <w:r>
        <w:rPr>
          <w:rFonts w:hint="eastAsia" w:ascii="宋体" w:hAnsi="宋体" w:eastAsia="宋体" w:cs="宋体"/>
          <w:b/>
          <w:spacing w:val="-6"/>
          <w:szCs w:val="21"/>
          <w:lang w:eastAsia="zh-CN"/>
        </w:rPr>
        <w:t>）</w:t>
      </w:r>
      <w:r>
        <w:rPr>
          <w:rFonts w:ascii="宋体" w:hAnsi="宋体" w:eastAsia="宋体" w:cs="宋体"/>
          <w:b/>
          <w:spacing w:val="-6"/>
          <w:szCs w:val="21"/>
        </w:rPr>
        <w:t>中小企业</w:t>
      </w:r>
      <w:r>
        <w:rPr>
          <w:rFonts w:hint="eastAsia" w:ascii="宋体" w:hAnsi="宋体" w:eastAsia="宋体" w:cs="宋体"/>
          <w:b/>
          <w:spacing w:val="-6"/>
          <w:szCs w:val="21"/>
        </w:rPr>
        <w:t>声明</w:t>
      </w:r>
      <w:r>
        <w:rPr>
          <w:rFonts w:ascii="宋体" w:hAnsi="宋体" w:eastAsia="宋体" w:cs="宋体"/>
          <w:b/>
          <w:spacing w:val="-6"/>
          <w:szCs w:val="21"/>
        </w:rPr>
        <w:t>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w:t>
      </w:r>
      <w:r>
        <w:rPr>
          <w:rFonts w:ascii="宋体" w:hAnsi="宋体" w:eastAsia="宋体" w:cs="Times New Roman"/>
          <w:szCs w:val="21"/>
          <w:highlight w:val="none"/>
        </w:rPr>
        <w:t>，根据《政府采购促进中小企业发展管理办法》（财库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szCs w:val="21"/>
          <w:highlight w:val="none"/>
          <w:u w:val="none"/>
          <w:lang w:val="en-US" w:eastAsia="zh-CN"/>
        </w:rPr>
        <w:t>浙江财经大学</w:t>
      </w:r>
      <w:r>
        <w:rPr>
          <w:rFonts w:ascii="宋体" w:hAnsi="宋体" w:eastAsia="宋体" w:cs="Times New Roman"/>
          <w:i w:val="0"/>
          <w:iCs/>
          <w:szCs w:val="21"/>
          <w:highlight w:val="none"/>
          <w:u w:val="none"/>
        </w:rPr>
        <w:t>的</w:t>
      </w:r>
      <w:r>
        <w:rPr>
          <w:rFonts w:hint="eastAsia" w:ascii="宋体" w:hAnsi="宋体" w:eastAsia="宋体" w:cs="Times New Roman"/>
          <w:i w:val="0"/>
          <w:iCs/>
          <w:szCs w:val="21"/>
          <w:highlight w:val="none"/>
          <w:u w:val="none"/>
          <w:lang w:eastAsia="zh-CN"/>
        </w:rPr>
        <w:t>专业数字化评估排名与综合校情分析开发项目</w:t>
      </w:r>
      <w:r>
        <w:rPr>
          <w:rFonts w:ascii="宋体" w:hAnsi="宋体" w:eastAsia="宋体" w:cs="Times New Roman"/>
          <w:szCs w:val="21"/>
          <w:highlight w:val="none"/>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val="0"/>
          <w:iCs/>
          <w:szCs w:val="21"/>
          <w:highlight w:val="none"/>
          <w:u w:val="none"/>
        </w:rPr>
        <w:t>1</w:t>
      </w:r>
      <w:r>
        <w:rPr>
          <w:rFonts w:ascii="宋体" w:hAnsi="宋体" w:eastAsia="宋体" w:cs="Times New Roman"/>
          <w:i w:val="0"/>
          <w:iCs/>
          <w:szCs w:val="21"/>
          <w:highlight w:val="none"/>
          <w:u w:val="none"/>
        </w:rPr>
        <w:t>.</w:t>
      </w:r>
      <w:r>
        <w:rPr>
          <w:rFonts w:hint="eastAsia" w:ascii="宋体" w:hAnsi="宋体" w:eastAsia="宋体" w:cs="Times New Roman"/>
          <w:i w:val="0"/>
          <w:iCs/>
          <w:szCs w:val="21"/>
          <w:highlight w:val="none"/>
          <w:u w:val="none"/>
          <w:lang w:eastAsia="zh-CN"/>
        </w:rPr>
        <w:t>专业数字化评估排名与综合校情分析开发项目</w:t>
      </w:r>
      <w:r>
        <w:rPr>
          <w:rFonts w:ascii="宋体" w:hAnsi="宋体" w:eastAsia="宋体" w:cs="Times New Roman"/>
          <w:i w:val="0"/>
          <w:iCs/>
          <w:szCs w:val="21"/>
          <w:highlight w:val="none"/>
          <w:u w:val="none"/>
        </w:rPr>
        <w:t>，属于</w:t>
      </w:r>
      <w:r>
        <w:rPr>
          <w:rFonts w:hint="eastAsia" w:ascii="宋体" w:hAnsi="宋体" w:eastAsia="宋体" w:cs="Times New Roman"/>
          <w:i w:val="0"/>
          <w:iCs/>
          <w:szCs w:val="21"/>
          <w:highlight w:val="none"/>
          <w:u w:val="none"/>
        </w:rPr>
        <w:t>软件和信息技术服务业</w:t>
      </w:r>
      <w:r>
        <w:rPr>
          <w:rFonts w:ascii="宋体" w:hAnsi="宋体" w:eastAsia="宋体" w:cs="Times New Roman"/>
          <w:i w:val="0"/>
          <w:iCs/>
          <w:szCs w:val="21"/>
          <w:highlight w:val="none"/>
          <w:u w:val="none"/>
        </w:rPr>
        <w:t>；</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3</w:t>
      </w:r>
      <w:r>
        <w:rPr>
          <w:rFonts w:hint="eastAsia" w:ascii="宋体" w:hAnsi="宋体" w:eastAsia="宋体" w:cs="Times New Roman"/>
          <w:szCs w:val="21"/>
        </w:rPr>
        <w:t>.本项目仅以</w:t>
      </w:r>
      <w:r>
        <w:rPr>
          <w:rFonts w:hint="eastAsia" w:ascii="宋体" w:hAnsi="宋体" w:eastAsia="宋体" w:cs="Times New Roman"/>
          <w:szCs w:val="21"/>
          <w:highlight w:val="none"/>
        </w:rPr>
        <w:t>《中小企业声明函》作为评判供应商是否属于中小企业的唯一依据。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rPr>
        <w:t>残疾人福利性单位</w:t>
      </w:r>
      <w:r>
        <w:rPr>
          <w:rFonts w:hint="eastAsia" w:ascii="宋体" w:hAnsi="宋体" w:eastAsia="宋体" w:cs="Times New Roman"/>
          <w:b/>
          <w:bCs/>
          <w:spacing w:val="-6"/>
          <w:szCs w:val="21"/>
        </w:rPr>
        <w:t>声明</w:t>
      </w:r>
      <w:r>
        <w:rPr>
          <w:rFonts w:hint="eastAsia" w:ascii="宋体" w:hAnsi="宋体" w:eastAsia="宋体" w:cs="宋体"/>
          <w:b/>
          <w:spacing w:val="-6"/>
          <w:szCs w:val="21"/>
        </w:rPr>
        <w:t>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w:t>
      </w:r>
      <w:r>
        <w:rPr>
          <w:rFonts w:hint="eastAsia" w:ascii="宋体" w:hAnsi="宋体" w:eastAsia="宋体" w:cs="Times New Roman"/>
          <w:spacing w:val="6"/>
          <w:szCs w:val="21"/>
          <w:highlight w:val="none"/>
        </w:rPr>
        <w:t>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5"/>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5"/>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5"/>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5"/>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adjustRightInd w:val="0"/>
        <w:snapToGrid w:val="0"/>
        <w:spacing w:line="288" w:lineRule="auto"/>
        <w:ind w:firstLine="469" w:firstLineChars="236"/>
        <w:rPr>
          <w:rFonts w:ascii="宋体" w:hAnsi="宋体" w:eastAsia="宋体" w:cs="Times New Roman"/>
          <w:b/>
          <w:spacing w:val="-6"/>
          <w:szCs w:val="21"/>
        </w:rPr>
      </w:pPr>
    </w:p>
    <w:p>
      <w:pPr>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（联合体所有成员名称）</w:t>
      </w:r>
      <w:r>
        <w:rPr>
          <w:rFonts w:hint="eastAsia" w:ascii="宋体" w:hAnsi="宋体" w:eastAsia="宋体" w:cs="宋体"/>
          <w:kern w:val="0"/>
          <w:szCs w:val="21"/>
        </w:rPr>
        <w:t>自愿</w:t>
      </w:r>
      <w:r>
        <w:rPr>
          <w:rFonts w:hint="eastAsia" w:ascii="宋体" w:hAnsi="宋体" w:eastAsia="宋体" w:cs="宋体"/>
          <w:kern w:val="0"/>
          <w:szCs w:val="21"/>
          <w:lang w:val="zh-CN"/>
        </w:rPr>
        <w:t>组成一个联合体，以一个投标人的身份</w:t>
      </w:r>
      <w:r>
        <w:rPr>
          <w:rFonts w:hint="eastAsia" w:ascii="宋体" w:hAnsi="宋体" w:eastAsia="宋体" w:cs="宋体"/>
          <w:kern w:val="0"/>
          <w:szCs w:val="21"/>
        </w:rPr>
        <w:t>参加</w:t>
      </w:r>
      <w:r>
        <w:rPr>
          <w:rFonts w:hint="eastAsia" w:ascii="宋体" w:hAnsi="宋体" w:eastAsia="宋体" w:cs="宋体"/>
          <w:szCs w:val="21"/>
        </w:rPr>
        <w:t>（项目名称）【招标编号：（采购编号）】</w:t>
      </w:r>
      <w:r>
        <w:rPr>
          <w:rFonts w:hint="eastAsia" w:ascii="宋体" w:hAnsi="宋体" w:eastAsia="宋体" w:cs="宋体"/>
          <w:kern w:val="0"/>
          <w:szCs w:val="21"/>
          <w:lang w:val="zh-CN"/>
        </w:rPr>
        <w:t>投标。</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4" w:firstLineChars="202"/>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69"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69"/>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70" w:name="_Hlk101133598"/>
      <w:r>
        <w:rPr>
          <w:rFonts w:hint="eastAsia" w:ascii="宋体" w:hAnsi="宋体" w:eastAsia="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70"/>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w:t>
      </w:r>
      <w:bookmarkStart w:id="71"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71"/>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right="960"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rPr>
        <w:t>（项目名称）【招标编号：（采购编号）】</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w:t>
      </w:r>
      <w:r>
        <w:rPr>
          <w:rFonts w:ascii="宋体" w:hAnsi="宋体" w:eastAsia="宋体" w:cs="宋体"/>
          <w:kern w:val="0"/>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（分包供应商1名称）</w:t>
      </w:r>
      <w:r>
        <w:rPr>
          <w:rFonts w:hint="eastAsia" w:ascii="宋体" w:hAnsi="宋体" w:eastAsia="宋体" w:cs="宋体"/>
          <w:kern w:val="0"/>
          <w:szCs w:val="21"/>
          <w:lang w:val="zh-CN"/>
        </w:rPr>
        <w:t>，</w:t>
      </w:r>
      <w:r>
        <w:rPr>
          <w:rFonts w:hint="eastAsia" w:ascii="宋体" w:hAnsi="宋体" w:eastAsia="宋体" w:cs="宋体"/>
          <w:kern w:val="0"/>
          <w:szCs w:val="21"/>
          <w:u w:val="single"/>
        </w:rPr>
        <w:t>（分包供应商2名称），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pPr>
        <w:snapToGrid w:val="0"/>
        <w:spacing w:line="288" w:lineRule="auto"/>
        <w:ind w:firstLine="424" w:firstLineChars="202"/>
        <w:rPr>
          <w:rFonts w:ascii="宋体" w:hAnsi="宋体" w:eastAsia="宋体" w:cs="宋体"/>
          <w:kern w:val="0"/>
          <w:szCs w:val="21"/>
        </w:rPr>
      </w:pPr>
      <w:r>
        <w:rPr>
          <w:rFonts w:hint="eastAsia" w:ascii="宋体" w:hAnsi="宋体" w:eastAsia="宋体" w:cs="宋体"/>
          <w:kern w:val="0"/>
          <w:szCs w:val="21"/>
        </w:rPr>
        <w:t>……</w:t>
      </w:r>
    </w:p>
    <w:p>
      <w:pPr>
        <w:snapToGrid w:val="0"/>
        <w:spacing w:line="288" w:lineRule="auto"/>
        <w:ind w:firstLine="424" w:firstLineChars="202"/>
        <w:rPr>
          <w:rFonts w:ascii="宋体" w:hAnsi="宋体" w:eastAsia="宋体"/>
          <w:szCs w:val="21"/>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分包供应商名称(电子签名/公章)：</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A4B01"/>
    <w:multiLevelType w:val="singleLevel"/>
    <w:tmpl w:val="979A4B01"/>
    <w:lvl w:ilvl="0" w:tentative="0">
      <w:start w:val="2"/>
      <w:numFmt w:val="decimal"/>
      <w:suff w:val="nothing"/>
      <w:lvlText w:val="%1、"/>
      <w:lvlJc w:val="left"/>
    </w:lvl>
  </w:abstractNum>
  <w:abstractNum w:abstractNumId="1">
    <w:nsid w:val="9956849E"/>
    <w:multiLevelType w:val="singleLevel"/>
    <w:tmpl w:val="9956849E"/>
    <w:lvl w:ilvl="0" w:tentative="0">
      <w:start w:val="3"/>
      <w:numFmt w:val="decimal"/>
      <w:suff w:val="nothing"/>
      <w:lvlText w:val="（%1）"/>
      <w:lvlJc w:val="left"/>
    </w:lvl>
  </w:abstractNum>
  <w:abstractNum w:abstractNumId="2">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43678E"/>
    <w:multiLevelType w:val="multilevel"/>
    <w:tmpl w:val="1543678E"/>
    <w:lvl w:ilvl="0" w:tentative="0">
      <w:start w:val="1"/>
      <w:numFmt w:val="decimal"/>
      <w:pStyle w:val="8"/>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EF87684"/>
    <w:multiLevelType w:val="multilevel"/>
    <w:tmpl w:val="7EF87684"/>
    <w:lvl w:ilvl="0" w:tentative="0">
      <w:start w:val="1"/>
      <w:numFmt w:val="decimal"/>
      <w:lvlText w:val="%1."/>
      <w:lvlJc w:val="left"/>
      <w:pPr>
        <w:ind w:left="432" w:hanging="432"/>
      </w:pPr>
      <w:rPr>
        <w:rFonts w:hint="default" w:ascii="宋体" w:hAnsi="宋体" w:eastAsia="宋体" w:cs="宋体"/>
        <w:b/>
        <w:bCs/>
        <w:sz w:val="28"/>
        <w:szCs w:val="28"/>
      </w:rPr>
    </w:lvl>
    <w:lvl w:ilvl="1" w:tentative="0">
      <w:start w:val="1"/>
      <w:numFmt w:val="decimal"/>
      <w:lvlText w:val="%1.%2."/>
      <w:lvlJc w:val="left"/>
      <w:pPr>
        <w:ind w:left="575" w:hanging="575"/>
      </w:pPr>
      <w:rPr>
        <w:rFonts w:hint="default" w:ascii="宋体" w:hAnsi="宋体" w:eastAsia="宋体" w:cs="宋体"/>
        <w:b/>
        <w:bCs/>
        <w:sz w:val="28"/>
        <w:szCs w:val="28"/>
      </w:rPr>
    </w:lvl>
    <w:lvl w:ilvl="2" w:tentative="0">
      <w:start w:val="1"/>
      <w:numFmt w:val="decimal"/>
      <w:lvlText w:val="%1.%2.%3."/>
      <w:lvlJc w:val="left"/>
      <w:pPr>
        <w:ind w:left="720" w:hanging="720"/>
      </w:pPr>
      <w:rPr>
        <w:rFonts w:hint="default" w:ascii="宋体" w:hAnsi="宋体" w:eastAsia="宋体" w:cs="宋体"/>
        <w:b/>
        <w:bCs/>
        <w:sz w:val="28"/>
        <w:szCs w:val="28"/>
      </w:rPr>
    </w:lvl>
    <w:lvl w:ilvl="3" w:tentative="0">
      <w:start w:val="1"/>
      <w:numFmt w:val="none"/>
      <w:lvlText w:val=""/>
      <w:lvlJc w:val="left"/>
      <w:pPr>
        <w:ind w:left="864" w:hanging="864"/>
      </w:pPr>
      <w:rPr>
        <w:rFonts w:hint="default" w:ascii="宋体" w:hAnsi="宋体" w:eastAsia="宋体" w:cs="宋体"/>
        <w:b/>
        <w:bCs/>
        <w:sz w:val="28"/>
        <w:szCs w:val="28"/>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3E32"/>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74E1"/>
    <w:rsid w:val="00BC78C9"/>
    <w:rsid w:val="00BD2CA3"/>
    <w:rsid w:val="00BD2EE6"/>
    <w:rsid w:val="00BD38E4"/>
    <w:rsid w:val="00BD4D26"/>
    <w:rsid w:val="00BD5352"/>
    <w:rsid w:val="00BD7446"/>
    <w:rsid w:val="00BE0F12"/>
    <w:rsid w:val="00BE1633"/>
    <w:rsid w:val="00BE1EA8"/>
    <w:rsid w:val="00BE21D5"/>
    <w:rsid w:val="00BE2488"/>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5607FA"/>
    <w:rsid w:val="01F81427"/>
    <w:rsid w:val="03F708FD"/>
    <w:rsid w:val="03F93561"/>
    <w:rsid w:val="05D34727"/>
    <w:rsid w:val="05E31726"/>
    <w:rsid w:val="06226DF7"/>
    <w:rsid w:val="06470369"/>
    <w:rsid w:val="0740562D"/>
    <w:rsid w:val="08931933"/>
    <w:rsid w:val="09C5027A"/>
    <w:rsid w:val="0B4A1776"/>
    <w:rsid w:val="0B820019"/>
    <w:rsid w:val="0C786503"/>
    <w:rsid w:val="0D1A04C9"/>
    <w:rsid w:val="10757130"/>
    <w:rsid w:val="112B34AD"/>
    <w:rsid w:val="11A220AD"/>
    <w:rsid w:val="11FF5827"/>
    <w:rsid w:val="18090C43"/>
    <w:rsid w:val="18FB5F15"/>
    <w:rsid w:val="19D16417"/>
    <w:rsid w:val="1B321622"/>
    <w:rsid w:val="1F9C38D3"/>
    <w:rsid w:val="20767551"/>
    <w:rsid w:val="21DB64E2"/>
    <w:rsid w:val="221C4C30"/>
    <w:rsid w:val="22A70B6C"/>
    <w:rsid w:val="238149DA"/>
    <w:rsid w:val="23C14303"/>
    <w:rsid w:val="23FF4622"/>
    <w:rsid w:val="26215CEE"/>
    <w:rsid w:val="27432BC1"/>
    <w:rsid w:val="27F0275A"/>
    <w:rsid w:val="28580092"/>
    <w:rsid w:val="28BC23D4"/>
    <w:rsid w:val="2AA10ED5"/>
    <w:rsid w:val="2ADA0518"/>
    <w:rsid w:val="2C921974"/>
    <w:rsid w:val="2DBE14C9"/>
    <w:rsid w:val="2F6A64D8"/>
    <w:rsid w:val="30616EA9"/>
    <w:rsid w:val="31A44D82"/>
    <w:rsid w:val="32BE120D"/>
    <w:rsid w:val="330C0EF9"/>
    <w:rsid w:val="33506DE6"/>
    <w:rsid w:val="35053285"/>
    <w:rsid w:val="35A54CED"/>
    <w:rsid w:val="36A77A4F"/>
    <w:rsid w:val="37534CA7"/>
    <w:rsid w:val="37BA7508"/>
    <w:rsid w:val="37D824F1"/>
    <w:rsid w:val="3B0C4DFA"/>
    <w:rsid w:val="3C4D26C6"/>
    <w:rsid w:val="3D044EFC"/>
    <w:rsid w:val="3E6946AD"/>
    <w:rsid w:val="3EB60CB3"/>
    <w:rsid w:val="3EC436F9"/>
    <w:rsid w:val="3F740895"/>
    <w:rsid w:val="3FB93DC6"/>
    <w:rsid w:val="402A691C"/>
    <w:rsid w:val="422E66F3"/>
    <w:rsid w:val="4275164D"/>
    <w:rsid w:val="430A3262"/>
    <w:rsid w:val="46917169"/>
    <w:rsid w:val="46A824B9"/>
    <w:rsid w:val="46BB170B"/>
    <w:rsid w:val="47510906"/>
    <w:rsid w:val="478A3DF3"/>
    <w:rsid w:val="495D70F7"/>
    <w:rsid w:val="4B7D5F80"/>
    <w:rsid w:val="4BF40741"/>
    <w:rsid w:val="4C5E019B"/>
    <w:rsid w:val="4F64249F"/>
    <w:rsid w:val="4F6E1200"/>
    <w:rsid w:val="4FEE189E"/>
    <w:rsid w:val="532F439F"/>
    <w:rsid w:val="53F038EA"/>
    <w:rsid w:val="557A4941"/>
    <w:rsid w:val="59AE6B50"/>
    <w:rsid w:val="59BA69E3"/>
    <w:rsid w:val="5A661DF4"/>
    <w:rsid w:val="5ACF0178"/>
    <w:rsid w:val="5B9A3BF0"/>
    <w:rsid w:val="5C3E17F9"/>
    <w:rsid w:val="5D3A6920"/>
    <w:rsid w:val="5D8135CC"/>
    <w:rsid w:val="5FC54F25"/>
    <w:rsid w:val="600446EC"/>
    <w:rsid w:val="600D2EE6"/>
    <w:rsid w:val="61D42BF8"/>
    <w:rsid w:val="621760F6"/>
    <w:rsid w:val="62246B60"/>
    <w:rsid w:val="63436464"/>
    <w:rsid w:val="639B50A7"/>
    <w:rsid w:val="63C93AB0"/>
    <w:rsid w:val="644F1ACD"/>
    <w:rsid w:val="67FF1998"/>
    <w:rsid w:val="680D1D99"/>
    <w:rsid w:val="69431270"/>
    <w:rsid w:val="6A7F4F75"/>
    <w:rsid w:val="6ACA16F9"/>
    <w:rsid w:val="6B16774A"/>
    <w:rsid w:val="6C6B6490"/>
    <w:rsid w:val="6ECE2681"/>
    <w:rsid w:val="71602A3A"/>
    <w:rsid w:val="72340F9C"/>
    <w:rsid w:val="72F4788A"/>
    <w:rsid w:val="75AD2B4B"/>
    <w:rsid w:val="774152C9"/>
    <w:rsid w:val="792D68A8"/>
    <w:rsid w:val="793070F8"/>
    <w:rsid w:val="79D825C1"/>
    <w:rsid w:val="7AA82654"/>
    <w:rsid w:val="7B5D131E"/>
    <w:rsid w:val="7DB41B16"/>
    <w:rsid w:val="7DEB79E2"/>
    <w:rsid w:val="7DFC5027"/>
    <w:rsid w:val="7E002D54"/>
    <w:rsid w:val="7EAD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5"/>
    <w:next w:val="1"/>
    <w:link w:val="44"/>
    <w:qFormat/>
    <w:uiPriority w:val="9"/>
    <w:pPr>
      <w:keepNext/>
      <w:keepLines/>
      <w:spacing w:before="260" w:after="260" w:line="416" w:lineRule="auto"/>
      <w:outlineLvl w:val="2"/>
    </w:pPr>
    <w:rPr>
      <w:rFonts w:ascii="Times New Roman" w:hAnsi="Times New Roman" w:eastAsia="宋体" w:cs="Times New Roman"/>
      <w:sz w:val="32"/>
      <w:szCs w:val="32"/>
    </w:rPr>
  </w:style>
  <w:style w:type="paragraph" w:styleId="8">
    <w:name w:val="heading 4"/>
    <w:basedOn w:val="1"/>
    <w:next w:val="1"/>
    <w:qFormat/>
    <w:uiPriority w:val="0"/>
    <w:pPr>
      <w:numPr>
        <w:ilvl w:val="0"/>
        <w:numId w:val="1"/>
      </w:numPr>
      <w:autoSpaceDE w:val="0"/>
      <w:autoSpaceDN w:val="0"/>
      <w:spacing w:before="61" w:line="360" w:lineRule="auto"/>
      <w:ind w:right="955"/>
      <w:jc w:val="left"/>
      <w:outlineLvl w:val="3"/>
    </w:pPr>
    <w:rPr>
      <w:rFonts w:ascii="宋体" w:hAnsi="宋体" w:eastAsia="宋体" w:cs="宋体"/>
      <w:b/>
      <w:bCs/>
      <w:kern w:val="0"/>
      <w:sz w:val="28"/>
      <w:szCs w:val="28"/>
    </w:rPr>
  </w:style>
  <w:style w:type="paragraph" w:styleId="9">
    <w:name w:val="heading 6"/>
    <w:basedOn w:val="1"/>
    <w:next w:val="1"/>
    <w:qFormat/>
    <w:uiPriority w:val="0"/>
    <w:pPr>
      <w:numPr>
        <w:ilvl w:val="5"/>
        <w:numId w:val="2"/>
      </w:numPr>
      <w:outlineLvl w:val="5"/>
    </w:pPr>
    <w:rPr>
      <w:rFonts w:ascii="宋体" w:hAnsi="宋体" w:cs="宋体"/>
      <w:b/>
      <w:b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afterLines="0"/>
      <w:ind w:firstLine="420"/>
    </w:pPr>
  </w:style>
  <w:style w:type="paragraph" w:styleId="3">
    <w:name w:val="Body Text"/>
    <w:basedOn w:val="1"/>
    <w:next w:val="4"/>
    <w:link w:val="89"/>
    <w:unhideWhenUsed/>
    <w:qFormat/>
    <w:uiPriority w:val="99"/>
    <w:pPr>
      <w:spacing w:after="120"/>
    </w:pPr>
    <w:rPr>
      <w:rFonts w:ascii="Times New Roman" w:hAnsi="Times New Roman" w:eastAsia="宋体" w:cs="Times New Roman"/>
      <w:sz w:val="28"/>
      <w:szCs w:val="24"/>
    </w:rPr>
  </w:style>
  <w:style w:type="paragraph" w:customStyle="1" w:styleId="4">
    <w:name w:val="Intense Quote"/>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styleId="10">
    <w:name w:val="List Number"/>
    <w:basedOn w:val="1"/>
    <w:qFormat/>
    <w:uiPriority w:val="0"/>
    <w:pPr>
      <w:widowControl/>
      <w:numPr>
        <w:ilvl w:val="0"/>
        <w:numId w:val="3"/>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1">
    <w:name w:val="Normal Indent"/>
    <w:basedOn w:val="1"/>
    <w:link w:val="51"/>
    <w:qFormat/>
    <w:uiPriority w:val="0"/>
    <w:pPr>
      <w:ind w:firstLine="420"/>
    </w:pPr>
    <w:rPr>
      <w:rFonts w:eastAsia="宋体"/>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48"/>
    <w:unhideWhenUsed/>
    <w:qFormat/>
    <w:uiPriority w:val="99"/>
    <w:rPr>
      <w:rFonts w:ascii="宋体"/>
      <w:sz w:val="18"/>
      <w:szCs w:val="18"/>
    </w:rPr>
  </w:style>
  <w:style w:type="paragraph" w:styleId="14">
    <w:name w:val="annotation text"/>
    <w:basedOn w:val="1"/>
    <w:link w:val="86"/>
    <w:unhideWhenUsed/>
    <w:qFormat/>
    <w:uiPriority w:val="99"/>
    <w:pPr>
      <w:jc w:val="left"/>
    </w:pPr>
  </w:style>
  <w:style w:type="paragraph" w:styleId="15">
    <w:name w:val="Body Text Indent"/>
    <w:basedOn w:val="1"/>
    <w:next w:val="16"/>
    <w:link w:val="75"/>
    <w:qFormat/>
    <w:uiPriority w:val="0"/>
    <w:pPr>
      <w:spacing w:line="200" w:lineRule="atLeast"/>
      <w:ind w:firstLine="301"/>
    </w:pPr>
    <w:rPr>
      <w:rFonts w:ascii="宋体" w:hAnsi="Courier New"/>
      <w:spacing w:val="-4"/>
      <w:sz w:val="18"/>
    </w:rPr>
  </w:style>
  <w:style w:type="paragraph" w:styleId="16">
    <w:name w:val="envelope return"/>
    <w:basedOn w:val="1"/>
    <w:unhideWhenUsed/>
    <w:qFormat/>
    <w:uiPriority w:val="0"/>
    <w:pPr>
      <w:snapToGrid w:val="0"/>
    </w:pPr>
    <w:rPr>
      <w:rFonts w:ascii="Arial" w:hAnsi="Arial"/>
    </w:r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19">
    <w:name w:val="Date"/>
    <w:basedOn w:val="1"/>
    <w:next w:val="1"/>
    <w:link w:val="92"/>
    <w:qFormat/>
    <w:uiPriority w:val="0"/>
    <w:pPr>
      <w:ind w:left="2500" w:leftChars="2500"/>
    </w:pPr>
    <w:rPr>
      <w:rFonts w:ascii="Times New Roman" w:hAnsi="Times New Roman" w:eastAsia="楷体_GB2312" w:cs="Times New Roman"/>
      <w:sz w:val="32"/>
      <w:szCs w:val="20"/>
    </w:rPr>
  </w:style>
  <w:style w:type="paragraph" w:styleId="20">
    <w:name w:val="Balloon Text"/>
    <w:basedOn w:val="1"/>
    <w:link w:val="90"/>
    <w:qFormat/>
    <w:uiPriority w:val="0"/>
    <w:rPr>
      <w:rFonts w:ascii="Times New Roman" w:hAnsi="Times New Roman" w:eastAsia="宋体" w:cs="Times New Roman"/>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rPr>
      <w:rFonts w:ascii="Times New Roman" w:hAnsi="Times New Roman" w:eastAsia="宋体" w:cs="Times New Roman"/>
      <w:sz w:val="28"/>
      <w:szCs w:val="24"/>
    </w:rPr>
  </w:style>
  <w:style w:type="paragraph" w:styleId="24">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6">
    <w:name w:val="annotation subject"/>
    <w:basedOn w:val="14"/>
    <w:next w:val="14"/>
    <w:link w:val="61"/>
    <w:unhideWhenUsed/>
    <w:qFormat/>
    <w:uiPriority w:val="99"/>
    <w:rPr>
      <w:b/>
      <w:bCs/>
      <w:sz w:val="28"/>
      <w:szCs w:val="24"/>
    </w:rPr>
  </w:style>
  <w:style w:type="paragraph" w:styleId="27">
    <w:name w:val="Body Text First Indent 2"/>
    <w:basedOn w:val="15"/>
    <w:next w:val="1"/>
    <w:link w:val="94"/>
    <w:unhideWhenUsed/>
    <w:qFormat/>
    <w:uiPriority w:val="99"/>
    <w:pPr>
      <w:ind w:firstLine="42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unhideWhenUsed/>
    <w:qFormat/>
    <w:uiPriority w:val="99"/>
    <w:rPr>
      <w:color w:val="5579A7"/>
      <w:u w:val="none"/>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character" w:customStyle="1" w:styleId="40">
    <w:name w:val="页眉 字符"/>
    <w:basedOn w:val="30"/>
    <w:link w:val="22"/>
    <w:qFormat/>
    <w:uiPriority w:val="99"/>
    <w:rPr>
      <w:sz w:val="18"/>
      <w:szCs w:val="18"/>
    </w:rPr>
  </w:style>
  <w:style w:type="character" w:customStyle="1" w:styleId="41">
    <w:name w:val="页脚 字符"/>
    <w:basedOn w:val="30"/>
    <w:link w:val="21"/>
    <w:qFormat/>
    <w:uiPriority w:val="99"/>
    <w:rPr>
      <w:sz w:val="18"/>
      <w:szCs w:val="18"/>
    </w:rPr>
  </w:style>
  <w:style w:type="character" w:customStyle="1" w:styleId="42">
    <w:name w:val="标题 1 字符"/>
    <w:basedOn w:val="30"/>
    <w:link w:val="5"/>
    <w:qFormat/>
    <w:uiPriority w:val="9"/>
    <w:rPr>
      <w:rFonts w:ascii="Times New Roman" w:hAnsi="Times New Roman" w:eastAsia="宋体" w:cs="Times New Roman"/>
      <w:b/>
      <w:bCs/>
      <w:kern w:val="44"/>
      <w:sz w:val="44"/>
      <w:szCs w:val="44"/>
    </w:rPr>
  </w:style>
  <w:style w:type="character" w:customStyle="1" w:styleId="43">
    <w:name w:val="标题 2 字符"/>
    <w:basedOn w:val="30"/>
    <w:link w:val="6"/>
    <w:qFormat/>
    <w:uiPriority w:val="9"/>
    <w:rPr>
      <w:rFonts w:ascii="Cambria" w:hAnsi="Cambria" w:eastAsia="宋体" w:cs="Times New Roman"/>
      <w:b/>
      <w:bCs/>
      <w:sz w:val="32"/>
      <w:szCs w:val="32"/>
    </w:rPr>
  </w:style>
  <w:style w:type="character" w:customStyle="1" w:styleId="44">
    <w:name w:val="标题 3 字符"/>
    <w:basedOn w:val="30"/>
    <w:link w:val="7"/>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3"/>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30"/>
    <w:qFormat/>
    <w:uiPriority w:val="0"/>
  </w:style>
  <w:style w:type="character" w:customStyle="1" w:styleId="51">
    <w:name w:val="正文缩进 字符"/>
    <w:link w:val="11"/>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30"/>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30"/>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8"/>
    <w:qFormat/>
    <w:uiPriority w:val="99"/>
    <w:rPr>
      <w:rFonts w:ascii="宋体" w:hAnsi="Courier New"/>
      <w:sz w:val="24"/>
      <w:szCs w:val="24"/>
    </w:rPr>
  </w:style>
  <w:style w:type="character" w:customStyle="1" w:styleId="61">
    <w:name w:val="批注主题 字符"/>
    <w:link w:val="26"/>
    <w:qFormat/>
    <w:uiPriority w:val="99"/>
    <w:rPr>
      <w:b/>
      <w:bCs/>
      <w:sz w:val="28"/>
      <w:szCs w:val="24"/>
    </w:rPr>
  </w:style>
  <w:style w:type="character" w:customStyle="1" w:styleId="62">
    <w:name w:val="jbox-icon-loading"/>
    <w:basedOn w:val="30"/>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30"/>
    <w:qFormat/>
    <w:uiPriority w:val="0"/>
  </w:style>
  <w:style w:type="character" w:customStyle="1" w:styleId="67">
    <w:name w:val="jbox-icon"/>
    <w:basedOn w:val="30"/>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30"/>
    <w:qFormat/>
    <w:uiPriority w:val="0"/>
  </w:style>
  <w:style w:type="character" w:customStyle="1" w:styleId="70">
    <w:name w:val="jbox-icon-success"/>
    <w:basedOn w:val="30"/>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30"/>
    <w:qFormat/>
    <w:uiPriority w:val="0"/>
  </w:style>
  <w:style w:type="character" w:customStyle="1" w:styleId="75">
    <w:name w:val="正文文本缩进 字符2"/>
    <w:link w:val="15"/>
    <w:qFormat/>
    <w:uiPriority w:val="0"/>
    <w:rPr>
      <w:rFonts w:ascii="宋体" w:hAnsi="Courier New"/>
      <w:spacing w:val="-4"/>
      <w:sz w:val="18"/>
    </w:rPr>
  </w:style>
  <w:style w:type="character" w:customStyle="1" w:styleId="76">
    <w:name w:val="jbox-icon-error"/>
    <w:basedOn w:val="30"/>
    <w:qFormat/>
    <w:uiPriority w:val="0"/>
  </w:style>
  <w:style w:type="character" w:customStyle="1" w:styleId="77">
    <w:name w:val="正文文本 2 字符"/>
    <w:basedOn w:val="30"/>
    <w:link w:val="24"/>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z-窗体顶端 字符1"/>
    <w:basedOn w:val="30"/>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4">
    <w:name w:val="Default"/>
    <w:next w:val="8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批注文字 字符1"/>
    <w:basedOn w:val="30"/>
    <w:link w:val="14"/>
    <w:semiHidden/>
    <w:qFormat/>
    <w:uiPriority w:val="99"/>
  </w:style>
  <w:style w:type="character" w:customStyle="1" w:styleId="87">
    <w:name w:val="批注主题 字符1"/>
    <w:basedOn w:val="86"/>
    <w:semiHidden/>
    <w:qFormat/>
    <w:uiPriority w:val="99"/>
    <w:rPr>
      <w:b/>
      <w:bCs/>
    </w:rPr>
  </w:style>
  <w:style w:type="character" w:customStyle="1" w:styleId="88">
    <w:name w:val="文档结构图 字符1"/>
    <w:basedOn w:val="30"/>
    <w:semiHidden/>
    <w:qFormat/>
    <w:uiPriority w:val="99"/>
    <w:rPr>
      <w:rFonts w:ascii="Microsoft YaHei UI" w:eastAsia="Microsoft YaHei UI"/>
      <w:sz w:val="18"/>
      <w:szCs w:val="18"/>
    </w:rPr>
  </w:style>
  <w:style w:type="character" w:customStyle="1" w:styleId="89">
    <w:name w:val="正文文本 字符"/>
    <w:basedOn w:val="30"/>
    <w:link w:val="3"/>
    <w:qFormat/>
    <w:uiPriority w:val="99"/>
    <w:rPr>
      <w:rFonts w:ascii="Times New Roman" w:hAnsi="Times New Roman" w:eastAsia="宋体" w:cs="Times New Roman"/>
      <w:sz w:val="28"/>
      <w:szCs w:val="24"/>
    </w:rPr>
  </w:style>
  <w:style w:type="character" w:customStyle="1" w:styleId="90">
    <w:name w:val="批注框文本 字符"/>
    <w:basedOn w:val="30"/>
    <w:link w:val="20"/>
    <w:qFormat/>
    <w:uiPriority w:val="0"/>
    <w:rPr>
      <w:rFonts w:ascii="Times New Roman" w:hAnsi="Times New Roman" w:eastAsia="宋体" w:cs="Times New Roman"/>
      <w:sz w:val="18"/>
      <w:szCs w:val="18"/>
    </w:rPr>
  </w:style>
  <w:style w:type="character" w:customStyle="1" w:styleId="91">
    <w:name w:val="正文文本缩进 字符3"/>
    <w:basedOn w:val="30"/>
    <w:semiHidden/>
    <w:qFormat/>
    <w:uiPriority w:val="99"/>
  </w:style>
  <w:style w:type="character" w:customStyle="1" w:styleId="92">
    <w:name w:val="日期 字符"/>
    <w:basedOn w:val="30"/>
    <w:link w:val="19"/>
    <w:qFormat/>
    <w:uiPriority w:val="0"/>
    <w:rPr>
      <w:rFonts w:ascii="Times New Roman" w:hAnsi="Times New Roman" w:eastAsia="楷体_GB2312" w:cs="Times New Roman"/>
      <w:sz w:val="32"/>
      <w:szCs w:val="20"/>
    </w:rPr>
  </w:style>
  <w:style w:type="character" w:customStyle="1" w:styleId="93">
    <w:name w:val="纯文本 字符3"/>
    <w:basedOn w:val="30"/>
    <w:semiHidden/>
    <w:qFormat/>
    <w:uiPriority w:val="99"/>
    <w:rPr>
      <w:rFonts w:hAnsi="Courier New" w:cs="Courier New" w:asciiTheme="minorEastAsia"/>
    </w:rPr>
  </w:style>
  <w:style w:type="character" w:customStyle="1" w:styleId="94">
    <w:name w:val="正文文本首行缩进 2 字符"/>
    <w:basedOn w:val="91"/>
    <w:link w:val="27"/>
    <w:qFormat/>
    <w:uiPriority w:val="99"/>
    <w:rPr>
      <w:rFonts w:ascii="宋体" w:hAnsi="Courier New"/>
      <w:spacing w:val="-4"/>
      <w:sz w:val="18"/>
    </w:rPr>
  </w:style>
  <w:style w:type="character" w:customStyle="1" w:styleId="95">
    <w:name w:val="z-窗体底端 字符1"/>
    <w:basedOn w:val="30"/>
    <w:semiHidden/>
    <w:qFormat/>
    <w:uiPriority w:val="99"/>
    <w:rPr>
      <w:rFonts w:ascii="Arial" w:hAnsi="Arial" w:cs="Arial"/>
      <w:vanish/>
      <w:sz w:val="16"/>
      <w:szCs w:val="16"/>
    </w:rPr>
  </w:style>
  <w:style w:type="paragraph" w:customStyle="1" w:styleId="96">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7">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9">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0">
    <w:name w:val="Char Char Char Char1"/>
    <w:basedOn w:val="1"/>
    <w:qFormat/>
    <w:uiPriority w:val="0"/>
    <w:rPr>
      <w:rFonts w:ascii="Tahoma" w:hAnsi="Tahoma" w:eastAsia="宋体" w:cs="Times New Roman"/>
      <w:sz w:val="24"/>
      <w:szCs w:val="20"/>
    </w:rPr>
  </w:style>
  <w:style w:type="paragraph" w:customStyle="1" w:styleId="101">
    <w:name w:val="彩色列表 - 强调文字颜色 11"/>
    <w:basedOn w:val="1"/>
    <w:qFormat/>
    <w:uiPriority w:val="34"/>
    <w:pPr>
      <w:ind w:firstLine="420" w:firstLineChars="200"/>
    </w:pPr>
    <w:rPr>
      <w:rFonts w:ascii="Calibri" w:hAnsi="Calibri" w:eastAsia="宋体" w:cs="Times New Roman"/>
    </w:rPr>
  </w:style>
  <w:style w:type="paragraph" w:customStyle="1" w:styleId="102">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3">
    <w:name w:val="正文2"/>
    <w:basedOn w:val="1"/>
    <w:link w:val="112"/>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5">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6">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8">
    <w:name w:val="标题 10"/>
    <w:basedOn w:val="6"/>
    <w:qFormat/>
    <w:uiPriority w:val="0"/>
    <w:pPr>
      <w:jc w:val="center"/>
    </w:pPr>
    <w:rPr>
      <w:kern w:val="0"/>
    </w:rPr>
  </w:style>
  <w:style w:type="character" w:customStyle="1" w:styleId="109">
    <w:name w:val="未处理的提及1"/>
    <w:semiHidden/>
    <w:unhideWhenUsed/>
    <w:qFormat/>
    <w:uiPriority w:val="99"/>
    <w:rPr>
      <w:color w:val="605E5C"/>
      <w:shd w:val="clear" w:color="auto" w:fill="E1DFDD"/>
    </w:rPr>
  </w:style>
  <w:style w:type="character" w:customStyle="1" w:styleId="110">
    <w:name w:val="未处理的提及2"/>
    <w:basedOn w:val="30"/>
    <w:semiHidden/>
    <w:unhideWhenUsed/>
    <w:qFormat/>
    <w:uiPriority w:val="99"/>
    <w:rPr>
      <w:color w:val="605E5C"/>
      <w:shd w:val="clear" w:color="auto" w:fill="E1DFDD"/>
    </w:rPr>
  </w:style>
  <w:style w:type="character" w:customStyle="1" w:styleId="111">
    <w:name w:val="Unresolved Mention"/>
    <w:basedOn w:val="30"/>
    <w:semiHidden/>
    <w:unhideWhenUsed/>
    <w:qFormat/>
    <w:uiPriority w:val="99"/>
    <w:rPr>
      <w:color w:val="605E5C"/>
      <w:shd w:val="clear" w:color="auto" w:fill="E1DFDD"/>
    </w:rPr>
  </w:style>
  <w:style w:type="character" w:customStyle="1" w:styleId="112">
    <w:name w:val="正文2 Char Char"/>
    <w:link w:val="103"/>
    <w:qFormat/>
    <w:uiPriority w:val="0"/>
    <w:rPr>
      <w:kern w:val="2"/>
      <w:sz w:val="24"/>
    </w:rPr>
  </w:style>
  <w:style w:type="table" w:customStyle="1" w:styleId="113">
    <w:name w:val="网格型1"/>
    <w:basedOn w:val="2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2级大写"/>
    <w:basedOn w:val="1"/>
    <w:next w:val="1"/>
    <w:qFormat/>
    <w:uiPriority w:val="0"/>
    <w:pPr>
      <w:autoSpaceDE w:val="0"/>
      <w:autoSpaceDN w:val="0"/>
      <w:spacing w:before="100" w:beforeLines="100" w:line="360" w:lineRule="auto"/>
      <w:ind w:firstLine="0" w:firstLineChars="0"/>
      <w:jc w:val="both"/>
      <w:textAlignment w:val="bottom"/>
      <w:outlineLvl w:val="1"/>
    </w:pPr>
    <w:rPr>
      <w:rFonts w:hint="eastAsia" w:ascii="宋体" w:hAnsi="宋体" w:eastAsia="宋体" w:cs="Times New Roman"/>
      <w:b/>
      <w:bCs/>
      <w:color w:val="000000"/>
      <w:sz w:val="24"/>
      <w:szCs w:val="24"/>
    </w:rPr>
  </w:style>
  <w:style w:type="paragraph" w:customStyle="1" w:styleId="115">
    <w:name w:val="标准文本"/>
    <w:basedOn w:val="1"/>
    <w:qFormat/>
    <w:uiPriority w:val="0"/>
    <w:pPr>
      <w:spacing w:line="360" w:lineRule="auto"/>
      <w:ind w:firstLine="480" w:firstLineChars="200"/>
    </w:pPr>
    <w:rPr>
      <w:rFonts w:ascii="Arial" w:hAnsi="Arial" w:cs="宋体"/>
      <w:sz w:val="24"/>
    </w:rPr>
  </w:style>
  <w:style w:type="paragraph" w:customStyle="1" w:styleId="116">
    <w:name w:val="首行缩进"/>
    <w:basedOn w:val="1"/>
    <w:qFormat/>
    <w:uiPriority w:val="0"/>
    <w:pPr>
      <w:spacing w:line="360" w:lineRule="auto"/>
      <w:ind w:firstLine="480" w:firstLineChars="200"/>
      <w:jc w:val="left"/>
    </w:pPr>
    <w:rPr>
      <w:rFonts w:ascii="宋体" w:hAnsi="宋体" w:eastAsia="宋体" w:cs="Times New Roman"/>
      <w:sz w:val="24"/>
      <w:szCs w:val="20"/>
    </w:rPr>
  </w:style>
  <w:style w:type="paragraph" w:customStyle="1" w:styleId="117">
    <w:name w:val="明显引用1"/>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48</Pages>
  <Words>4601</Words>
  <Characters>26226</Characters>
  <Lines>218</Lines>
  <Paragraphs>61</Paragraphs>
  <TotalTime>7</TotalTime>
  <ScaleCrop>false</ScaleCrop>
  <LinksUpToDate>false</LinksUpToDate>
  <CharactersWithSpaces>30766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2023-08-24T06:47:31Z</dcterms:modified>
  <cp:revision>991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AA67D8FED0B04E35BC0F7A72E3301868_13</vt:lpwstr>
  </property>
</Properties>
</file>