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浙江大学</w:t>
      </w: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深地空间围岩灾变实验装置</w:t>
      </w: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72"/>
          <w:szCs w:val="72"/>
          <w:highlight w:val="none"/>
        </w:rPr>
      </w:pPr>
      <w:r>
        <w:rPr>
          <w:rFonts w:hint="eastAsia" w:ascii="楷体" w:hAnsi="楷体" w:eastAsia="楷体" w:cs="Times New Roman"/>
          <w:b/>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sz w:val="36"/>
          <w:szCs w:val="24"/>
          <w:highlight w:val="none"/>
        </w:rPr>
      </w:pPr>
      <w:r>
        <w:rPr>
          <w:rFonts w:hint="eastAsia" w:ascii="楷体" w:hAnsi="楷体" w:eastAsia="楷体" w:cs="Times New Roman"/>
          <w:b/>
          <w:sz w:val="36"/>
          <w:szCs w:val="24"/>
          <w:highlight w:val="none"/>
        </w:rPr>
        <w:t>（线上电子招投标）</w:t>
      </w: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项目名称：</w:t>
      </w:r>
      <w:r>
        <w:rPr>
          <w:rFonts w:hint="eastAsia" w:ascii="楷体" w:hAnsi="楷体" w:eastAsia="楷体" w:cs="Times New Roman"/>
          <w:b/>
          <w:spacing w:val="-6"/>
          <w:sz w:val="30"/>
          <w:szCs w:val="30"/>
          <w:highlight w:val="none"/>
          <w:lang w:eastAsia="zh-CN"/>
        </w:rPr>
        <w:t>深地空间围岩灾变实验装置</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项目编号：</w:t>
      </w:r>
      <w:bookmarkStart w:id="102" w:name="_GoBack"/>
      <w:bookmarkEnd w:id="102"/>
      <w:r>
        <w:rPr>
          <w:rFonts w:hint="eastAsia" w:ascii="楷体" w:hAnsi="楷体" w:eastAsia="楷体" w:cs="Times New Roman"/>
          <w:b/>
          <w:spacing w:val="-6"/>
          <w:sz w:val="30"/>
          <w:szCs w:val="30"/>
          <w:highlight w:val="none"/>
          <w:lang w:eastAsia="zh-CN"/>
        </w:rPr>
        <w:t>QSZB-Z(H)-A23089(GK)</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采 购 人：</w:t>
      </w:r>
      <w:r>
        <w:rPr>
          <w:rFonts w:hint="eastAsia" w:ascii="楷体" w:hAnsi="楷体" w:eastAsia="楷体" w:cs="Times New Roman"/>
          <w:b/>
          <w:spacing w:val="-6"/>
          <w:sz w:val="30"/>
          <w:szCs w:val="30"/>
          <w:highlight w:val="none"/>
          <w:lang w:eastAsia="zh-CN"/>
        </w:rPr>
        <w:t>浙江大学</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采购代理机构：浙江求是招标代理有限公司</w:t>
      </w:r>
    </w:p>
    <w:p>
      <w:pPr>
        <w:adjustRightInd w:val="0"/>
        <w:snapToGrid w:val="0"/>
        <w:spacing w:line="288" w:lineRule="auto"/>
        <w:rPr>
          <w:rFonts w:hint="eastAsia" w:ascii="楷体" w:hAnsi="楷体" w:eastAsia="楷体" w:cs="Times New Roman"/>
          <w:b/>
          <w:spacing w:val="-6"/>
          <w:sz w:val="30"/>
          <w:szCs w:val="30"/>
          <w:highlight w:val="none"/>
          <w:lang w:val="en-US" w:eastAsia="zh-CN"/>
        </w:rPr>
      </w:pPr>
      <w:r>
        <w:rPr>
          <w:rFonts w:ascii="楷体" w:hAnsi="楷体" w:eastAsia="楷体" w:cs="Times New Roman"/>
          <w:b/>
          <w:spacing w:val="-6"/>
          <w:sz w:val="30"/>
          <w:szCs w:val="30"/>
          <w:highlight w:val="none"/>
        </w:rPr>
        <w:t>采购计划文号：[202</w:t>
      </w:r>
      <w:r>
        <w:rPr>
          <w:rFonts w:hint="eastAsia" w:ascii="楷体" w:hAnsi="楷体" w:eastAsia="楷体" w:cs="Times New Roman"/>
          <w:b/>
          <w:spacing w:val="-6"/>
          <w:sz w:val="30"/>
          <w:szCs w:val="30"/>
          <w:highlight w:val="none"/>
          <w:lang w:val="en-US" w:eastAsia="zh-CN"/>
        </w:rPr>
        <w:t>3</w:t>
      </w:r>
      <w:r>
        <w:rPr>
          <w:rFonts w:ascii="楷体" w:hAnsi="楷体" w:eastAsia="楷体" w:cs="Times New Roman"/>
          <w:b/>
          <w:spacing w:val="-6"/>
          <w:sz w:val="30"/>
          <w:szCs w:val="30"/>
          <w:highlight w:val="none"/>
        </w:rPr>
        <w:t>]</w:t>
      </w:r>
      <w:r>
        <w:rPr>
          <w:rFonts w:hint="eastAsia" w:ascii="楷体" w:hAnsi="楷体" w:eastAsia="楷体" w:cs="Times New Roman"/>
          <w:b/>
          <w:spacing w:val="-6"/>
          <w:sz w:val="30"/>
          <w:szCs w:val="30"/>
          <w:highlight w:val="none"/>
        </w:rPr>
        <w:t>3204</w:t>
      </w:r>
      <w:r>
        <w:rPr>
          <w:rFonts w:hint="eastAsia" w:ascii="楷体" w:hAnsi="楷体" w:eastAsia="楷体" w:cs="Times New Roman"/>
          <w:b/>
          <w:spacing w:val="-6"/>
          <w:sz w:val="30"/>
          <w:szCs w:val="30"/>
          <w:highlight w:val="none"/>
          <w:lang w:val="en-US" w:eastAsia="zh-CN"/>
        </w:rPr>
        <w:t>4</w:t>
      </w:r>
      <w:r>
        <w:rPr>
          <w:rFonts w:ascii="楷体" w:hAnsi="楷体" w:eastAsia="楷体" w:cs="Times New Roman"/>
          <w:b/>
          <w:spacing w:val="-6"/>
          <w:sz w:val="30"/>
          <w:szCs w:val="30"/>
          <w:highlight w:val="none"/>
        </w:rPr>
        <w:t>号</w:t>
      </w:r>
      <w:r>
        <w:rPr>
          <w:rFonts w:hint="eastAsia" w:ascii="楷体" w:hAnsi="楷体" w:eastAsia="楷体" w:cs="Times New Roman"/>
          <w:b/>
          <w:spacing w:val="-6"/>
          <w:sz w:val="30"/>
          <w:szCs w:val="30"/>
          <w:highlight w:val="none"/>
          <w:lang w:eastAsia="zh-CN"/>
        </w:rPr>
        <w:t>、</w:t>
      </w:r>
      <w:r>
        <w:rPr>
          <w:rFonts w:ascii="楷体" w:hAnsi="楷体" w:eastAsia="楷体" w:cs="Times New Roman"/>
          <w:b/>
          <w:spacing w:val="-6"/>
          <w:sz w:val="30"/>
          <w:szCs w:val="30"/>
          <w:highlight w:val="none"/>
        </w:rPr>
        <w:t>[202</w:t>
      </w:r>
      <w:r>
        <w:rPr>
          <w:rFonts w:hint="eastAsia" w:ascii="楷体" w:hAnsi="楷体" w:eastAsia="楷体" w:cs="Times New Roman"/>
          <w:b/>
          <w:spacing w:val="-6"/>
          <w:sz w:val="30"/>
          <w:szCs w:val="30"/>
          <w:highlight w:val="none"/>
          <w:lang w:val="en-US" w:eastAsia="zh-CN"/>
        </w:rPr>
        <w:t>3</w:t>
      </w:r>
      <w:r>
        <w:rPr>
          <w:rFonts w:ascii="楷体" w:hAnsi="楷体" w:eastAsia="楷体" w:cs="Times New Roman"/>
          <w:b/>
          <w:spacing w:val="-6"/>
          <w:sz w:val="30"/>
          <w:szCs w:val="30"/>
          <w:highlight w:val="none"/>
        </w:rPr>
        <w:t>]</w:t>
      </w:r>
      <w:r>
        <w:rPr>
          <w:rFonts w:hint="eastAsia" w:ascii="楷体" w:hAnsi="楷体" w:eastAsia="楷体" w:cs="Times New Roman"/>
          <w:b/>
          <w:spacing w:val="-6"/>
          <w:sz w:val="30"/>
          <w:szCs w:val="30"/>
          <w:highlight w:val="none"/>
        </w:rPr>
        <w:t>3204</w:t>
      </w:r>
      <w:r>
        <w:rPr>
          <w:rFonts w:hint="eastAsia" w:ascii="楷体" w:hAnsi="楷体" w:eastAsia="楷体" w:cs="Times New Roman"/>
          <w:b/>
          <w:spacing w:val="-6"/>
          <w:sz w:val="30"/>
          <w:szCs w:val="30"/>
          <w:highlight w:val="none"/>
          <w:lang w:val="en-US" w:eastAsia="zh-CN"/>
        </w:rPr>
        <w:t>5号</w:t>
      </w:r>
    </w:p>
    <w:p>
      <w:pPr>
        <w:adjustRightInd w:val="0"/>
        <w:snapToGrid w:val="0"/>
        <w:spacing w:line="288" w:lineRule="auto"/>
        <w:rPr>
          <w:rFonts w:ascii="楷体" w:hAnsi="楷体" w:eastAsia="楷体" w:cs="Times New Roman"/>
          <w:b/>
          <w:szCs w:val="21"/>
        </w:rPr>
      </w:pPr>
    </w:p>
    <w:p>
      <w:pPr>
        <w:adjustRightInd w:val="0"/>
        <w:snapToGrid w:val="0"/>
        <w:spacing w:line="288" w:lineRule="auto"/>
        <w:rPr>
          <w:rFonts w:ascii="楷体" w:hAnsi="楷体" w:eastAsia="楷体" w:cs="Times New Roman"/>
          <w:b/>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评标方法及评标标准</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adjustRightInd w:val="0"/>
        <w:snapToGrid w:val="0"/>
        <w:spacing w:line="288" w:lineRule="auto"/>
        <w:jc w:val="left"/>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highlight w:val="none"/>
        </w:rPr>
      </w:pPr>
      <w:r>
        <w:rPr>
          <w:rFonts w:hint="eastAsia" w:ascii="宋体" w:hAnsi="宋体" w:eastAsia="宋体" w:cs="Times New Roman"/>
          <w:b/>
          <w:szCs w:val="21"/>
          <w:u w:val="single"/>
        </w:rPr>
        <w:t xml:space="preserve"> </w:t>
      </w:r>
      <w:r>
        <w:rPr>
          <w:rFonts w:hint="eastAsia" w:ascii="宋体" w:hAnsi="宋体" w:eastAsia="宋体" w:cs="Times New Roman"/>
          <w:b/>
          <w:szCs w:val="21"/>
          <w:u w:val="single"/>
          <w:lang w:eastAsia="zh-CN"/>
        </w:rPr>
        <w:t>深地空间围岩灾变实验装置</w:t>
      </w:r>
      <w:r>
        <w:rPr>
          <w:rFonts w:hint="eastAsia" w:ascii="宋体" w:hAnsi="宋体" w:eastAsia="宋体" w:cs="Times New Roman"/>
          <w:b/>
          <w:szCs w:val="21"/>
          <w:u w:val="single"/>
        </w:rPr>
        <w:t xml:space="preserve"> </w:t>
      </w:r>
      <w:r>
        <w:rPr>
          <w:rFonts w:hint="eastAsia" w:ascii="宋体" w:hAnsi="宋体" w:eastAsia="宋体" w:cs="Times New Roman"/>
          <w:b/>
          <w:szCs w:val="21"/>
        </w:rPr>
        <w:t>招标项目的潜在投标人应在</w:t>
      </w:r>
      <w:r>
        <w:rPr>
          <w:rFonts w:hint="eastAsia" w:ascii="宋体" w:hAnsi="宋体" w:eastAsia="宋体" w:cs="Times New Roman"/>
          <w:b/>
          <w:szCs w:val="21"/>
          <w:u w:val="single"/>
        </w:rPr>
        <w:t xml:space="preserve"> 政府采购云平台（http</w:t>
      </w:r>
      <w:r>
        <w:rPr>
          <w:rFonts w:hint="eastAsia" w:ascii="宋体" w:hAnsi="宋体" w:eastAsia="宋体" w:cs="Times New Roman"/>
          <w:b/>
          <w:szCs w:val="21"/>
          <w:highlight w:val="none"/>
          <w:u w:val="single"/>
        </w:rPr>
        <w:t>s://www.zcygov.cn）</w:t>
      </w:r>
      <w:r>
        <w:rPr>
          <w:rFonts w:hint="eastAsia" w:ascii="宋体" w:hAnsi="宋体" w:eastAsia="宋体" w:cs="Times New Roman"/>
          <w:b/>
          <w:szCs w:val="21"/>
          <w:highlight w:val="none"/>
        </w:rPr>
        <w:t>获取（下载）招标文件，并于</w:t>
      </w:r>
      <w:r>
        <w:rPr>
          <w:rFonts w:hint="eastAsia" w:ascii="宋体" w:hAnsi="宋体" w:eastAsia="宋体" w:cs="Times New Roman"/>
          <w:b/>
          <w:szCs w:val="21"/>
          <w:highlight w:val="none"/>
          <w:u w:val="single"/>
          <w:lang w:eastAsia="zh-CN"/>
        </w:rPr>
        <w:t>2023年6月21日9:00:00（北京时间）</w:t>
      </w:r>
      <w:r>
        <w:rPr>
          <w:rFonts w:hint="eastAsia" w:ascii="宋体" w:hAnsi="宋体" w:eastAsia="宋体" w:cs="Times New Roman"/>
          <w:b/>
          <w:bCs/>
          <w:szCs w:val="21"/>
          <w:highlight w:val="none"/>
        </w:rPr>
        <w:t>前递交（上传）投标</w:t>
      </w:r>
      <w:r>
        <w:rPr>
          <w:rFonts w:ascii="宋体" w:hAnsi="宋体" w:eastAsia="宋体" w:cs="Times New Roman"/>
          <w:b/>
          <w:bCs/>
          <w:szCs w:val="21"/>
          <w:highlight w:val="none"/>
        </w:rPr>
        <w:t>文件</w:t>
      </w:r>
      <w:r>
        <w:rPr>
          <w:rFonts w:hint="eastAsia" w:ascii="宋体" w:hAnsi="宋体" w:eastAsia="宋体" w:cs="Times New Roman"/>
          <w:b/>
          <w:szCs w:val="21"/>
          <w:highlight w:val="none"/>
        </w:rPr>
        <w:t>。</w:t>
      </w:r>
    </w:p>
    <w:p>
      <w:pPr>
        <w:adjustRightInd w:val="0"/>
        <w:snapToGrid w:val="0"/>
        <w:spacing w:line="288" w:lineRule="auto"/>
        <w:rPr>
          <w:rFonts w:ascii="宋体" w:hAnsi="宋体" w:eastAsia="宋体" w:cs="宋体"/>
          <w:b/>
          <w:szCs w:val="21"/>
          <w:highlight w:val="none"/>
        </w:rPr>
      </w:pPr>
      <w:bookmarkStart w:id="0" w:name="_Toc28359002"/>
      <w:bookmarkStart w:id="1" w:name="_Toc35393621"/>
      <w:bookmarkStart w:id="2" w:name="_Toc35393790"/>
      <w:bookmarkStart w:id="3" w:name="_Toc28359079"/>
      <w:bookmarkStart w:id="4" w:name="_Hlk24379207"/>
      <w:r>
        <w:rPr>
          <w:rFonts w:hint="eastAsia" w:ascii="宋体" w:hAnsi="宋体" w:eastAsia="宋体" w:cs="宋体"/>
          <w:b/>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1.项目编号：</w:t>
      </w:r>
      <w:r>
        <w:rPr>
          <w:rFonts w:hint="eastAsia" w:ascii="宋体" w:hAnsi="宋体" w:eastAsia="宋体" w:cs="Times New Roman"/>
          <w:szCs w:val="21"/>
          <w:highlight w:val="none"/>
          <w:lang w:eastAsia="zh-CN"/>
        </w:rPr>
        <w:t>QSZB-Z(H)-A23089(GK)</w:t>
      </w:r>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ascii="宋体" w:hAnsi="宋体" w:eastAsia="宋体" w:cs="Times New Roman"/>
          <w:szCs w:val="21"/>
          <w:highlight w:val="none"/>
        </w:rPr>
        <w:t>2</w:t>
      </w:r>
      <w:r>
        <w:rPr>
          <w:rFonts w:hint="eastAsia" w:ascii="宋体" w:hAnsi="宋体" w:eastAsia="宋体" w:cs="Times New Roman"/>
          <w:szCs w:val="21"/>
          <w:highlight w:val="none"/>
        </w:rPr>
        <w:t>.项目名称：</w:t>
      </w:r>
      <w:r>
        <w:rPr>
          <w:rFonts w:hint="eastAsia" w:ascii="宋体" w:hAnsi="宋体" w:eastAsia="宋体" w:cs="Times New Roman"/>
          <w:szCs w:val="21"/>
          <w:highlight w:val="none"/>
          <w:lang w:eastAsia="zh-CN"/>
        </w:rPr>
        <w:t>深地空间围岩灾变实验装置</w:t>
      </w:r>
    </w:p>
    <w:bookmarkEnd w:id="4"/>
    <w:p>
      <w:pPr>
        <w:adjustRightInd w:val="0"/>
        <w:snapToGrid w:val="0"/>
        <w:spacing w:line="288" w:lineRule="auto"/>
        <w:ind w:firstLine="420" w:firstLineChars="200"/>
        <w:rPr>
          <w:rFonts w:hint="eastAsia" w:ascii="宋体" w:hAnsi="宋体" w:eastAsia="宋体" w:cs="Times New Roman"/>
          <w:szCs w:val="21"/>
          <w:highlight w:val="none"/>
          <w:lang w:val="en-US" w:eastAsia="zh-CN"/>
        </w:rPr>
      </w:pPr>
      <w:r>
        <w:rPr>
          <w:rFonts w:ascii="宋体" w:hAnsi="宋体" w:eastAsia="宋体" w:cs="Times New Roman"/>
          <w:szCs w:val="21"/>
          <w:highlight w:val="none"/>
        </w:rPr>
        <w:t>3</w:t>
      </w:r>
      <w:r>
        <w:rPr>
          <w:rFonts w:hint="eastAsia" w:ascii="宋体" w:hAnsi="宋体" w:eastAsia="宋体" w:cs="Times New Roman"/>
          <w:szCs w:val="21"/>
          <w:highlight w:val="none"/>
        </w:rPr>
        <w:t>.预算金额：2806</w:t>
      </w:r>
      <w:r>
        <w:rPr>
          <w:rFonts w:hint="eastAsia" w:ascii="宋体" w:hAnsi="宋体" w:eastAsia="宋体" w:cs="Times New Roman"/>
          <w:szCs w:val="21"/>
          <w:highlight w:val="none"/>
          <w:lang w:val="en-US" w:eastAsia="zh-CN"/>
        </w:rPr>
        <w:t>万元</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.最高限价：2806</w:t>
      </w:r>
      <w:r>
        <w:rPr>
          <w:rFonts w:hint="eastAsia" w:ascii="宋体" w:hAnsi="宋体" w:eastAsia="宋体" w:cs="Times New Roman"/>
          <w:szCs w:val="21"/>
          <w:highlight w:val="none"/>
          <w:lang w:val="en-US" w:eastAsia="zh-CN"/>
        </w:rPr>
        <w:t>万元</w:t>
      </w:r>
    </w:p>
    <w:p>
      <w:pPr>
        <w:adjustRightInd w:val="0"/>
        <w:snapToGrid w:val="0"/>
        <w:spacing w:line="288" w:lineRule="auto"/>
        <w:ind w:firstLine="420" w:firstLineChars="200"/>
        <w:rPr>
          <w:rFonts w:hint="default" w:ascii="宋体" w:hAnsi="宋体" w:eastAsia="宋体" w:cs="Times New Roman"/>
          <w:szCs w:val="21"/>
          <w:highlight w:val="none"/>
          <w:u w:val="single"/>
          <w:lang w:val="en-US" w:eastAsia="zh-CN"/>
        </w:rPr>
      </w:pPr>
      <w:r>
        <w:rPr>
          <w:rFonts w:ascii="宋体" w:hAnsi="宋体" w:eastAsia="宋体" w:cs="Times New Roman"/>
          <w:szCs w:val="21"/>
          <w:highlight w:val="none"/>
        </w:rPr>
        <w:t>5</w:t>
      </w:r>
      <w:r>
        <w:rPr>
          <w:rFonts w:hint="eastAsia" w:ascii="宋体" w:hAnsi="宋体" w:eastAsia="宋体" w:cs="Times New Roman"/>
          <w:szCs w:val="21"/>
          <w:highlight w:val="none"/>
        </w:rPr>
        <w:t>.合同履约期限：</w:t>
      </w:r>
      <w:r>
        <w:rPr>
          <w:rFonts w:hint="eastAsia" w:ascii="宋体" w:hAnsi="宋体" w:eastAsia="宋体" w:cs="Times New Roman"/>
          <w:szCs w:val="21"/>
          <w:highlight w:val="none"/>
          <w:lang w:val="en-US" w:eastAsia="zh-CN"/>
        </w:rPr>
        <w:t>合同签订后16个月内在需方指定地点进行验收</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w:t>
      </w:r>
      <w:r>
        <w:rPr>
          <w:rFonts w:hint="eastAsia" w:ascii="宋体" w:hAnsi="宋体" w:eastAsia="宋体" w:cs="Times New Roman"/>
          <w:bCs/>
          <w:szCs w:val="21"/>
          <w:highlight w:val="none"/>
          <w:lang w:val="en-US" w:eastAsia="zh-CN"/>
        </w:rPr>
        <w:t>否</w:t>
      </w:r>
      <w:r>
        <w:rPr>
          <w:rFonts w:hint="eastAsia" w:ascii="宋体" w:hAnsi="宋体" w:eastAsia="宋体" w:cs="Times New Roman"/>
          <w:bCs/>
          <w:szCs w:val="21"/>
          <w:highlight w:val="none"/>
        </w:rPr>
        <w:t>）接受联合体投标。</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7</w:t>
      </w:r>
      <w:r>
        <w:rPr>
          <w:rFonts w:hint="eastAsia" w:ascii="宋体" w:hAnsi="宋体" w:eastAsia="宋体" w:cs="Times New Roman"/>
          <w:szCs w:val="21"/>
          <w:highlight w:val="none"/>
        </w:rPr>
        <w:t>.采购需求：</w:t>
      </w:r>
    </w:p>
    <w:tbl>
      <w:tblPr>
        <w:tblStyle w:val="24"/>
        <w:tblW w:w="94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006"/>
        <w:gridCol w:w="708"/>
        <w:gridCol w:w="709"/>
        <w:gridCol w:w="311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名称</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单位</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简要技术需求或服务要求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szCs w:val="21"/>
                <w:highlight w:val="none"/>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1</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Times New Roman"/>
                <w:szCs w:val="21"/>
                <w:highlight w:val="none"/>
                <w:lang w:eastAsia="zh-CN"/>
              </w:rPr>
              <w:t>深地空间围岩灾变实验装置</w:t>
            </w:r>
          </w:p>
        </w:tc>
        <w:tc>
          <w:tcPr>
            <w:tcW w:w="708"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1</w:t>
            </w:r>
          </w:p>
        </w:tc>
        <w:tc>
          <w:tcPr>
            <w:tcW w:w="709"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套</w:t>
            </w:r>
          </w:p>
        </w:tc>
        <w:tc>
          <w:tcPr>
            <w:tcW w:w="3119" w:type="dxa"/>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详见采购需求</w:t>
            </w:r>
          </w:p>
        </w:tc>
        <w:tc>
          <w:tcPr>
            <w:tcW w:w="1276" w:type="dxa"/>
            <w:tcBorders>
              <w:right w:val="single" w:color="auto" w:sz="4" w:space="0"/>
              <w:tl2br w:val="nil"/>
              <w:tr2bl w:val="nil"/>
            </w:tcBorders>
            <w:vAlign w:val="center"/>
          </w:tcPr>
          <w:p>
            <w:pPr>
              <w:adjustRightInd w:val="0"/>
              <w:snapToGrid w:val="0"/>
              <w:spacing w:line="288"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否</w:t>
            </w:r>
          </w:p>
        </w:tc>
      </w:tr>
    </w:tbl>
    <w:p>
      <w:pPr>
        <w:adjustRightInd w:val="0"/>
        <w:snapToGrid w:val="0"/>
        <w:spacing w:line="288" w:lineRule="auto"/>
        <w:rPr>
          <w:rFonts w:ascii="宋体" w:hAnsi="宋体" w:eastAsia="宋体" w:cs="宋体"/>
          <w:b/>
          <w:szCs w:val="21"/>
          <w:highlight w:val="none"/>
        </w:rPr>
      </w:pPr>
      <w:bookmarkStart w:id="5" w:name="_Toc28359003"/>
      <w:bookmarkStart w:id="6" w:name="_Toc35393622"/>
      <w:bookmarkStart w:id="7" w:name="_Toc28359080"/>
      <w:bookmarkStart w:id="8" w:name="_Toc35393791"/>
      <w:r>
        <w:rPr>
          <w:rFonts w:hint="eastAsia" w:ascii="宋体" w:hAnsi="宋体" w:eastAsia="宋体" w:cs="宋体"/>
          <w:b/>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highlight w:val="none"/>
        </w:rPr>
      </w:pPr>
      <w:r>
        <w:rPr>
          <w:rFonts w:hint="eastAsia" w:ascii="宋体" w:hAnsi="宋体" w:eastAsia="宋体" w:cs="Times New Roman"/>
          <w:bCs/>
          <w:szCs w:val="21"/>
          <w:highlight w:val="none"/>
        </w:rPr>
        <w:t>1.满足《中华人民共和国政府采购法》第二十二条规定，未被“信用中国”（www.creditchina.gov.cn）</w:t>
      </w:r>
      <w:r>
        <w:rPr>
          <w:rFonts w:ascii="宋体" w:hAnsi="宋体" w:eastAsia="宋体" w:cs="Times New Roman"/>
          <w:bCs/>
          <w:szCs w:val="21"/>
          <w:highlight w:val="none"/>
        </w:rPr>
        <w:t>、中国政府采购网（www.ccgp.gov.cn）列入失信被执行人、重大税收违法案件当事人名单、政府采购严重违法失信行为记录名单</w:t>
      </w:r>
      <w:r>
        <w:rPr>
          <w:rFonts w:hint="eastAsia" w:ascii="宋体" w:hAnsi="宋体" w:eastAsia="宋体" w:cs="Times New Roman"/>
          <w:bCs/>
          <w:szCs w:val="21"/>
          <w:highlight w:val="none"/>
        </w:rPr>
        <w:t>；</w:t>
      </w:r>
    </w:p>
    <w:p>
      <w:pPr>
        <w:adjustRightInd w:val="0"/>
        <w:snapToGrid w:val="0"/>
        <w:spacing w:line="288" w:lineRule="auto"/>
        <w:ind w:firstLine="420" w:firstLineChars="200"/>
        <w:rPr>
          <w:rFonts w:ascii="宋体" w:hAnsi="宋体" w:eastAsia="宋体" w:cs="Times New Roman"/>
          <w:szCs w:val="21"/>
          <w:highlight w:val="none"/>
        </w:rPr>
      </w:pPr>
      <w:bookmarkStart w:id="9" w:name="_Toc28359004"/>
      <w:bookmarkStart w:id="10" w:name="_Toc28359081"/>
      <w:r>
        <w:rPr>
          <w:rFonts w:hint="eastAsia" w:ascii="宋体" w:hAnsi="宋体" w:eastAsia="宋体" w:cs="Times New Roman"/>
          <w:szCs w:val="21"/>
          <w:highlight w:val="none"/>
        </w:rPr>
        <w:t>2.落实政府采购政策需满足的资格要求：无</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3.本项目的特定资格要求：无</w:t>
      </w:r>
    </w:p>
    <w:p>
      <w:pPr>
        <w:adjustRightInd w:val="0"/>
        <w:snapToGrid w:val="0"/>
        <w:spacing w:line="288" w:lineRule="auto"/>
        <w:rPr>
          <w:rFonts w:ascii="宋体" w:hAnsi="宋体" w:eastAsia="宋体" w:cs="宋体"/>
          <w:b/>
          <w:szCs w:val="21"/>
          <w:highlight w:val="none"/>
        </w:rPr>
      </w:pPr>
      <w:bookmarkStart w:id="11" w:name="_Toc35393792"/>
      <w:bookmarkStart w:id="12" w:name="_Toc35393623"/>
      <w:r>
        <w:rPr>
          <w:rFonts w:hint="eastAsia" w:ascii="宋体" w:hAnsi="宋体" w:eastAsia="宋体" w:cs="宋体"/>
          <w:b/>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highlight w:val="none"/>
        </w:rPr>
      </w:pPr>
      <w:bookmarkStart w:id="13" w:name="_Toc28359082"/>
      <w:bookmarkStart w:id="14" w:name="_Toc28359005"/>
      <w:bookmarkStart w:id="15" w:name="_Toc35393793"/>
      <w:bookmarkStart w:id="16" w:name="_Toc35393624"/>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时间：202</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31</w:t>
      </w:r>
      <w:r>
        <w:rPr>
          <w:rFonts w:hint="eastAsia" w:ascii="宋体" w:hAnsi="宋体" w:eastAsia="宋体" w:cs="Times New Roman"/>
          <w:szCs w:val="21"/>
          <w:highlight w:val="none"/>
        </w:rPr>
        <w:t>日至202</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6</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7</w:t>
      </w:r>
      <w:r>
        <w:rPr>
          <w:rFonts w:hint="eastAsia" w:ascii="宋体" w:hAnsi="宋体" w:eastAsia="宋体" w:cs="Times New Roman"/>
          <w:szCs w:val="21"/>
          <w:highlight w:val="none"/>
        </w:rPr>
        <w:t>日，上午</w:t>
      </w:r>
      <w:r>
        <w:rPr>
          <w:rFonts w:hint="eastAsia" w:ascii="宋体" w:hAnsi="宋体" w:eastAsia="宋体" w:cs="Times New Roman"/>
          <w:bCs/>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2</w:t>
      </w:r>
      <w:r>
        <w:rPr>
          <w:rFonts w:ascii="宋体" w:hAnsi="宋体" w:eastAsia="宋体" w:cs="Times New Roman"/>
          <w:szCs w:val="21"/>
          <w:highlight w:val="none"/>
        </w:rPr>
        <w:t>.</w:t>
      </w:r>
      <w:r>
        <w:rPr>
          <w:rFonts w:hint="eastAsia" w:ascii="宋体" w:hAnsi="宋体" w:eastAsia="宋体" w:cs="Times New Roman"/>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w:t>
      </w:r>
      <w:r>
        <w:rPr>
          <w:rFonts w:ascii="宋体" w:hAnsi="宋体" w:eastAsia="宋体" w:cs="Times New Roman"/>
          <w:szCs w:val="21"/>
          <w:highlight w:val="none"/>
        </w:rPr>
        <w:t>.</w:t>
      </w:r>
      <w:r>
        <w:rPr>
          <w:rFonts w:hint="eastAsia" w:ascii="宋体" w:hAnsi="宋体" w:eastAsia="宋体" w:cs="Times New Roman"/>
          <w:szCs w:val="21"/>
          <w:highlight w:val="none"/>
        </w:rPr>
        <w:t>方式：供应商登录政采云平台（https://www.zcygov.cn）</w:t>
      </w:r>
      <w:r>
        <w:rPr>
          <w:rFonts w:ascii="宋体" w:hAnsi="宋体" w:eastAsia="宋体" w:cs="Times New Roman"/>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4</w:t>
      </w:r>
      <w:r>
        <w:rPr>
          <w:rFonts w:ascii="宋体" w:hAnsi="宋体" w:eastAsia="宋体" w:cs="Times New Roman"/>
          <w:szCs w:val="21"/>
          <w:highlight w:val="none"/>
        </w:rPr>
        <w:t>.</w:t>
      </w:r>
      <w:r>
        <w:rPr>
          <w:rFonts w:hint="eastAsia" w:ascii="宋体" w:hAnsi="宋体" w:eastAsia="宋体" w:cs="Times New Roman"/>
          <w:szCs w:val="21"/>
          <w:highlight w:val="none"/>
        </w:rPr>
        <w:t>售价（元）：0</w:t>
      </w:r>
    </w:p>
    <w:p>
      <w:pPr>
        <w:adjustRightInd w:val="0"/>
        <w:snapToGrid w:val="0"/>
        <w:spacing w:line="288" w:lineRule="auto"/>
        <w:rPr>
          <w:rFonts w:ascii="宋体" w:hAnsi="宋体" w:eastAsia="宋体" w:cs="宋体"/>
          <w:b/>
          <w:szCs w:val="21"/>
          <w:highlight w:val="none"/>
        </w:rPr>
      </w:pPr>
      <w:r>
        <w:rPr>
          <w:rFonts w:hint="eastAsia" w:ascii="宋体" w:hAnsi="宋体" w:eastAsia="宋体" w:cs="宋体"/>
          <w:b/>
          <w:szCs w:val="21"/>
          <w:highlight w:val="none"/>
        </w:rPr>
        <w:t>四、提交（上传）投标文件</w:t>
      </w:r>
      <w:bookmarkEnd w:id="13"/>
      <w:bookmarkEnd w:id="14"/>
      <w:r>
        <w:rPr>
          <w:rFonts w:hint="eastAsia" w:ascii="宋体" w:hAnsi="宋体" w:eastAsia="宋体" w:cs="宋体"/>
          <w:b/>
          <w:szCs w:val="21"/>
          <w:highlight w:val="none"/>
        </w:rPr>
        <w:t>截止时间、开标时间和地点</w:t>
      </w:r>
      <w:bookmarkEnd w:id="15"/>
      <w:bookmarkEnd w:id="16"/>
    </w:p>
    <w:p>
      <w:pPr>
        <w:adjustRightInd w:val="0"/>
        <w:snapToGrid w:val="0"/>
        <w:spacing w:line="288" w:lineRule="auto"/>
        <w:ind w:firstLine="420" w:firstLineChars="200"/>
        <w:rPr>
          <w:rFonts w:hint="eastAsia" w:ascii="宋体" w:hAnsi="宋体" w:eastAsia="宋体" w:cs="Times New Roman"/>
          <w:bCs/>
          <w:szCs w:val="21"/>
          <w:highlight w:val="none"/>
          <w:lang w:eastAsia="zh-CN"/>
        </w:rPr>
      </w:pPr>
      <w:bookmarkStart w:id="17" w:name="_Hlk81212057"/>
      <w:r>
        <w:rPr>
          <w:rFonts w:hint="eastAsia" w:ascii="宋体" w:hAnsi="宋体" w:eastAsia="宋体" w:cs="Times New Roman"/>
          <w:bCs/>
          <w:szCs w:val="21"/>
          <w:highlight w:val="none"/>
        </w:rPr>
        <w:t>提交投标文件截止时间：</w:t>
      </w:r>
      <w:r>
        <w:rPr>
          <w:rFonts w:hint="eastAsia" w:ascii="宋体" w:hAnsi="宋体" w:eastAsia="宋体" w:cs="Times New Roman"/>
          <w:bCs/>
          <w:szCs w:val="21"/>
          <w:highlight w:val="none"/>
          <w:lang w:eastAsia="zh-CN"/>
        </w:rPr>
        <w:t>2023年6月21日9:00:00（北京时间）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投标地点（网址）：</w:t>
      </w:r>
      <w:r>
        <w:rPr>
          <w:rFonts w:hint="eastAsia" w:ascii="宋体" w:hAnsi="宋体" w:eastAsia="宋体" w:cs="Times New Roman"/>
          <w:szCs w:val="21"/>
          <w:highlight w:val="none"/>
        </w:rPr>
        <w:t>政府采购云平台（https://www.zcygov.cn）</w:t>
      </w:r>
    </w:p>
    <w:p>
      <w:pPr>
        <w:adjustRightInd w:val="0"/>
        <w:snapToGrid w:val="0"/>
        <w:spacing w:line="288" w:lineRule="auto"/>
        <w:ind w:firstLine="420" w:firstLineChars="200"/>
        <w:rPr>
          <w:rFonts w:hint="eastAsia" w:ascii="宋体" w:hAnsi="宋体" w:eastAsia="宋体" w:cs="Times New Roman"/>
          <w:bCs/>
          <w:szCs w:val="21"/>
          <w:highlight w:val="none"/>
          <w:lang w:eastAsia="zh-CN"/>
        </w:rPr>
      </w:pPr>
      <w:r>
        <w:rPr>
          <w:rFonts w:ascii="宋体" w:hAnsi="宋体" w:eastAsia="宋体" w:cs="Times New Roman"/>
          <w:bCs/>
          <w:szCs w:val="21"/>
          <w:highlight w:val="none"/>
        </w:rPr>
        <w:t>开标时间：</w:t>
      </w:r>
      <w:r>
        <w:rPr>
          <w:rFonts w:hint="eastAsia" w:ascii="宋体" w:hAnsi="宋体" w:eastAsia="宋体" w:cs="Times New Roman"/>
          <w:bCs/>
          <w:szCs w:val="21"/>
          <w:highlight w:val="none"/>
          <w:lang w:eastAsia="zh-CN"/>
        </w:rPr>
        <w:t>2023年6月21日9:00:00（北京时间）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开标地点（网址）：</w:t>
      </w:r>
      <w:r>
        <w:rPr>
          <w:rFonts w:hint="eastAsia" w:ascii="宋体" w:hAnsi="宋体" w:eastAsia="宋体" w:cs="Times New Roman"/>
          <w:szCs w:val="21"/>
          <w:highlight w:val="none"/>
        </w:rPr>
        <w:t>政府采购云平台（https://www.zcygov.cn）</w:t>
      </w:r>
      <w:bookmarkStart w:id="18" w:name="_Hlk81212131"/>
      <w:r>
        <w:rPr>
          <w:rFonts w:hint="eastAsia" w:ascii="宋体" w:hAnsi="宋体" w:eastAsia="宋体" w:cs="Times New Roman"/>
          <w:szCs w:val="21"/>
          <w:highlight w:val="none"/>
        </w:rPr>
        <w:t>/杭州市西湖区玉古路173号中田大厦</w:t>
      </w:r>
      <w:r>
        <w:rPr>
          <w:rFonts w:hint="eastAsia" w:ascii="宋体" w:hAnsi="宋体" w:eastAsia="宋体" w:cs="Times New Roman"/>
          <w:szCs w:val="21"/>
          <w:highlight w:val="none"/>
          <w:lang w:val="en-US" w:eastAsia="zh-CN"/>
        </w:rPr>
        <w:t>16</w:t>
      </w:r>
      <w:r>
        <w:rPr>
          <w:rFonts w:hint="eastAsia" w:ascii="宋体" w:hAnsi="宋体" w:eastAsia="宋体" w:cs="Times New Roman"/>
          <w:szCs w:val="21"/>
          <w:highlight w:val="none"/>
        </w:rPr>
        <w:t>楼（求是招标会议室</w:t>
      </w:r>
      <w:r>
        <w:rPr>
          <w:rFonts w:hint="eastAsia" w:ascii="宋体" w:hAnsi="宋体" w:eastAsia="宋体" w:cs="Times New Roman"/>
          <w:szCs w:val="21"/>
          <w:highlight w:val="none"/>
          <w:lang w:val="en-US" w:eastAsia="zh-CN"/>
        </w:rPr>
        <w:t>8</w:t>
      </w:r>
      <w:r>
        <w:rPr>
          <w:rFonts w:hint="eastAsia" w:ascii="宋体" w:hAnsi="宋体" w:eastAsia="宋体" w:cs="Times New Roman"/>
          <w:szCs w:val="21"/>
          <w:highlight w:val="none"/>
        </w:rPr>
        <w:t>）</w:t>
      </w:r>
      <w:bookmarkEnd w:id="17"/>
      <w:bookmarkEnd w:id="18"/>
    </w:p>
    <w:p>
      <w:pPr>
        <w:adjustRightInd w:val="0"/>
        <w:snapToGrid w:val="0"/>
        <w:spacing w:line="288" w:lineRule="auto"/>
        <w:rPr>
          <w:rFonts w:ascii="宋体" w:hAnsi="宋体" w:eastAsia="宋体" w:cs="宋体"/>
          <w:b/>
          <w:szCs w:val="21"/>
        </w:rPr>
      </w:pPr>
      <w:bookmarkStart w:id="19" w:name="_Toc35393625"/>
      <w:bookmarkStart w:id="20" w:name="_Toc28359084"/>
      <w:bookmarkStart w:id="21" w:name="_Toc28359007"/>
      <w:bookmarkStart w:id="22" w:name="_Toc35393794"/>
      <w:r>
        <w:rPr>
          <w:rFonts w:hint="eastAsia" w:ascii="宋体" w:hAnsi="宋体" w:eastAsia="宋体" w:cs="宋体"/>
          <w:b/>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自本公告发布之日起5个工作日。</w:t>
      </w:r>
    </w:p>
    <w:p>
      <w:pPr>
        <w:adjustRightInd w:val="0"/>
        <w:snapToGrid w:val="0"/>
        <w:spacing w:line="288" w:lineRule="auto"/>
        <w:rPr>
          <w:rFonts w:ascii="宋体" w:hAnsi="宋体" w:eastAsia="宋体" w:cs="宋体"/>
          <w:b/>
          <w:szCs w:val="21"/>
        </w:rPr>
      </w:pPr>
      <w:bookmarkStart w:id="23" w:name="_Toc35393626"/>
      <w:bookmarkStart w:id="24" w:name="_Toc35393795"/>
      <w:r>
        <w:rPr>
          <w:rFonts w:hint="eastAsia" w:ascii="宋体" w:hAnsi="宋体" w:eastAsia="宋体" w:cs="宋体"/>
          <w:b/>
          <w:szCs w:val="21"/>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rPr>
      </w:pPr>
      <w:bookmarkStart w:id="25" w:name="_Hlk92271231"/>
      <w:r>
        <w:rPr>
          <w:rFonts w:ascii="宋体" w:hAnsi="宋体" w:eastAsia="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cyan"/>
        </w:rPr>
      </w:pPr>
      <w:r>
        <w:rPr>
          <w:rFonts w:ascii="宋体" w:hAnsi="宋体" w:eastAsia="宋体" w:cs="Times New Roman"/>
          <w:szCs w:val="21"/>
        </w:rPr>
        <w:t>4.其他事项：</w:t>
      </w:r>
      <w:bookmarkStart w:id="26" w:name="_Hlk92271331"/>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需要落实的政府采购政策：包括节约资源、保护环境、</w:t>
      </w:r>
      <w:bookmarkStart w:id="27" w:name="_Hlk106877787"/>
      <w:r>
        <w:rPr>
          <w:rFonts w:hint="eastAsia" w:ascii="宋体" w:hAnsi="宋体" w:eastAsia="宋体" w:cs="Times New Roman"/>
          <w:szCs w:val="21"/>
        </w:rPr>
        <w:t>支持科技创新、</w:t>
      </w:r>
      <w:bookmarkEnd w:id="27"/>
      <w:r>
        <w:rPr>
          <w:rFonts w:ascii="宋体" w:hAnsi="宋体" w:eastAsia="宋体" w:cs="Times New Roman"/>
          <w:szCs w:val="21"/>
        </w:rPr>
        <w:t>促进中小企业发展等。详见招标文件的第</w:t>
      </w:r>
      <w:r>
        <w:rPr>
          <w:rFonts w:hint="eastAsia" w:ascii="宋体" w:hAnsi="宋体" w:eastAsia="宋体" w:cs="Times New Roman"/>
          <w:szCs w:val="21"/>
        </w:rPr>
        <w:t>三章-采购项目需要落实的政府采购政策</w:t>
      </w:r>
      <w:r>
        <w:rPr>
          <w:rFonts w:ascii="宋体" w:hAnsi="宋体" w:eastAsia="宋体" w:cs="Times New Roman"/>
          <w:szCs w:val="21"/>
        </w:rPr>
        <w:t>。</w:t>
      </w:r>
    </w:p>
    <w:p>
      <w:pPr>
        <w:adjustRightInd w:val="0"/>
        <w:snapToGrid w:val="0"/>
        <w:spacing w:line="288" w:lineRule="auto"/>
        <w:ind w:firstLine="420" w:firstLineChars="200"/>
        <w:rPr>
          <w:rFonts w:ascii="宋体" w:hAnsi="宋体" w:eastAsia="宋体" w:cs="Times New Roman"/>
          <w:szCs w:val="21"/>
        </w:rPr>
      </w:pPr>
      <w:bookmarkStart w:id="28" w:name="_Hlk92271072"/>
      <w:r>
        <w:rPr>
          <w:rFonts w:hint="eastAsia" w:ascii="宋体" w:hAnsi="宋体" w:eastAsia="宋体" w:cs="Times New Roman"/>
          <w:szCs w:val="21"/>
          <w:lang w:eastAsia="zh-CN"/>
        </w:rPr>
        <w:t>★</w:t>
      </w:r>
      <w:r>
        <w:rPr>
          <w:rFonts w:hint="eastAsia" w:ascii="宋体" w:hAnsi="宋体" w:eastAsia="宋体" w:cs="Times New Roman"/>
          <w:szCs w:val="21"/>
        </w:rPr>
        <w:t>（2）</w:t>
      </w:r>
      <w:r>
        <w:rPr>
          <w:rFonts w:ascii="宋体" w:hAnsi="宋体" w:eastAsia="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szCs w:val="21"/>
        </w:rPr>
      </w:pPr>
      <w:bookmarkStart w:id="29" w:name="_Toc28359008"/>
      <w:bookmarkStart w:id="30" w:name="_Toc28359085"/>
      <w:bookmarkStart w:id="31" w:name="_Toc35393627"/>
      <w:bookmarkStart w:id="32" w:name="_Toc35393796"/>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424" w:firstLineChars="202"/>
        <w:rPr>
          <w:rFonts w:hint="eastAsia" w:ascii="宋体" w:hAnsi="宋体" w:eastAsia="宋体" w:cs="Times New Roman"/>
          <w:szCs w:val="21"/>
          <w:lang w:eastAsia="zh-CN"/>
        </w:rPr>
      </w:pPr>
      <w:r>
        <w:rPr>
          <w:rFonts w:hint="eastAsia" w:ascii="宋体" w:hAnsi="宋体" w:eastAsia="宋体" w:cs="Times New Roman"/>
          <w:szCs w:val="21"/>
        </w:rPr>
        <w:t>名称：</w:t>
      </w:r>
      <w:r>
        <w:rPr>
          <w:rFonts w:hint="eastAsia" w:ascii="宋体" w:hAnsi="宋体" w:eastAsia="宋体" w:cs="Times New Roman"/>
          <w:szCs w:val="21"/>
          <w:lang w:eastAsia="zh-CN"/>
        </w:rPr>
        <w:t>浙江大学</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地址：浙江省杭州市西湖区余杭塘路 866 号浙江天学紫金港校区银泉学生服务中心418-3</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项目联系人（询问）：李老师</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项目联系方式（询问）：18627813596</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质疑联系人：杭老师</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质疑联系方式：0571-88208977</w:t>
      </w:r>
    </w:p>
    <w:p>
      <w:pPr>
        <w:adjustRightInd w:val="0"/>
        <w:snapToGrid w:val="0"/>
        <w:spacing w:line="288" w:lineRule="auto"/>
        <w:ind w:firstLine="424" w:firstLineChars="202"/>
        <w:rPr>
          <w:rFonts w:ascii="宋体" w:hAnsi="宋体" w:eastAsia="宋体" w:cs="Times New Roman"/>
          <w:szCs w:val="21"/>
        </w:rPr>
      </w:pP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2.采购代理机构信息</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名称：浙江求是招标代理有限公司</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地址：杭州市西湖区玉古路173号中田大厦21楼</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rPr>
        <w:t>项目联系人（询问）：</w:t>
      </w:r>
      <w:r>
        <w:rPr>
          <w:rFonts w:hint="eastAsia" w:ascii="宋体" w:hAnsi="宋体" w:eastAsia="宋体" w:cs="Times New Roman"/>
          <w:bCs/>
          <w:spacing w:val="-6"/>
          <w:szCs w:val="21"/>
          <w:highlight w:val="none"/>
          <w:lang w:val="en-US" w:eastAsia="zh-CN"/>
        </w:rPr>
        <w:t>陈宵、叶鲁茂</w:t>
      </w:r>
    </w:p>
    <w:p>
      <w:pPr>
        <w:adjustRightInd w:val="0"/>
        <w:snapToGrid w:val="0"/>
        <w:spacing w:line="288" w:lineRule="auto"/>
        <w:ind w:firstLine="424" w:firstLineChars="202"/>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rPr>
        <w:t>项目联系方式（询问）：0571-8766</w:t>
      </w:r>
      <w:r>
        <w:rPr>
          <w:rFonts w:hint="eastAsia" w:ascii="宋体" w:hAnsi="宋体" w:eastAsia="宋体" w:cs="Times New Roman"/>
          <w:szCs w:val="21"/>
          <w:highlight w:val="none"/>
          <w:lang w:val="en-US" w:eastAsia="zh-CN"/>
        </w:rPr>
        <w:t>119</w:t>
      </w:r>
    </w:p>
    <w:p>
      <w:pPr>
        <w:adjustRightInd w:val="0"/>
        <w:snapToGrid w:val="0"/>
        <w:spacing w:line="288" w:lineRule="auto"/>
        <w:ind w:firstLine="424" w:firstLineChars="202"/>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rPr>
        <w:t>质疑联系人：</w:t>
      </w:r>
      <w:r>
        <w:rPr>
          <w:rFonts w:hint="eastAsia" w:ascii="宋体" w:hAnsi="宋体" w:eastAsia="宋体" w:cs="Times New Roman"/>
          <w:szCs w:val="21"/>
          <w:highlight w:val="none"/>
          <w:lang w:val="en-US" w:eastAsia="zh-CN"/>
        </w:rPr>
        <w:t>刘璐</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质疑联系方式：0571-81110356</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质疑邮箱：</w:t>
      </w:r>
      <w:r>
        <w:rPr>
          <w:rFonts w:ascii="宋体" w:hAnsi="宋体" w:eastAsia="宋体" w:cs="Times New Roman"/>
          <w:szCs w:val="21"/>
          <w:highlight w:val="none"/>
        </w:rPr>
        <w:t>jdkh@qszb.net</w:t>
      </w:r>
    </w:p>
    <w:p>
      <w:pPr>
        <w:adjustRightInd w:val="0"/>
        <w:snapToGrid w:val="0"/>
        <w:spacing w:line="288" w:lineRule="auto"/>
        <w:ind w:firstLine="424" w:firstLineChars="202"/>
        <w:rPr>
          <w:rFonts w:ascii="宋体" w:hAnsi="宋体" w:eastAsia="宋体" w:cs="Times New Roman"/>
          <w:szCs w:val="21"/>
          <w:highlight w:val="none"/>
        </w:rPr>
      </w:pPr>
      <w:bookmarkStart w:id="33" w:name="_Hlk124147873"/>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3.同级政府采购监督管理部门</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名称：浙江省财政厅政府采购监管处、浙江省政府采购行政裁决服务中心（杭州）</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地址：杭州市上城区四季青街道新业路市民之家G03办公室</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传真：/</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联系人：朱女士、王女士</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监督投诉电话：0571-85252453</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政策咨询：何一平、冯华，0571-87058424、87055741</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预算金额未达100万元的采购项目，由采购人处理采购争议。</w:t>
      </w:r>
    </w:p>
    <w:p>
      <w:pPr>
        <w:adjustRightInd w:val="0"/>
        <w:snapToGrid w:val="0"/>
        <w:spacing w:line="288" w:lineRule="auto"/>
        <w:ind w:firstLine="370"/>
        <w:rPr>
          <w:rFonts w:ascii="宋体" w:hAnsi="宋体" w:eastAsia="宋体" w:cs="Times New Roman"/>
          <w:spacing w:val="-6"/>
          <w:szCs w:val="21"/>
          <w:highlight w:val="none"/>
        </w:rPr>
      </w:pP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若对项目采购电子交易系统操作有疑问，可登录政采云（</w:t>
      </w:r>
      <w:r>
        <w:rPr>
          <w:rFonts w:ascii="宋体" w:hAnsi="宋体" w:eastAsia="宋体" w:cs="Times New Roman"/>
          <w:spacing w:val="-6"/>
          <w:szCs w:val="21"/>
          <w:highlight w:val="none"/>
        </w:rPr>
        <w:t>https://www.zcygov.cn/），点击右侧咨询小采，获取采小蜜智能服务管家帮助，或拨打政采云服务热线400-881-7190获取热线服务帮助。</w:t>
      </w:r>
    </w:p>
    <w:p>
      <w:pPr>
        <w:adjustRightInd w:val="0"/>
        <w:snapToGrid w:val="0"/>
        <w:spacing w:line="288" w:lineRule="auto"/>
        <w:ind w:firstLine="396" w:firstLineChars="200"/>
        <w:rPr>
          <w:rFonts w:ascii="宋体" w:hAnsi="宋体" w:eastAsia="宋体" w:cs="Times New Roman"/>
          <w:szCs w:val="21"/>
          <w:highlight w:val="none"/>
        </w:rPr>
      </w:pPr>
      <w:r>
        <w:rPr>
          <w:rFonts w:ascii="宋体" w:hAnsi="宋体" w:eastAsia="宋体" w:cs="Times New Roman"/>
          <w:spacing w:val="-6"/>
          <w:szCs w:val="21"/>
          <w:highlight w:val="none"/>
        </w:rPr>
        <w:t>CA问题联系电话（人工）：汇信CA400-888-4636；天谷CA400-087-8198。</w:t>
      </w:r>
    </w:p>
    <w:bookmarkEnd w:id="33"/>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4"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政府采购支持科技创新</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left"/>
              <w:rPr>
                <w:rFonts w:ascii="宋体" w:hAnsi="宋体" w:eastAsia="宋体" w:cs="宋体"/>
                <w:color w:val="FF0000"/>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提供材料详见招标文件第六章“报价文件”</w:t>
            </w:r>
          </w:p>
          <w:p>
            <w:pPr>
              <w:adjustRightInd w:val="0"/>
              <w:snapToGrid w:val="0"/>
              <w:spacing w:line="288"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本项目属性为：货物</w:t>
            </w:r>
          </w:p>
          <w:p>
            <w:pPr>
              <w:adjustRightInd w:val="0"/>
              <w:snapToGrid w:val="0"/>
              <w:spacing w:line="288" w:lineRule="auto"/>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采购标的对应的中小企业划分标准所属行业：工业</w:t>
            </w:r>
          </w:p>
          <w:p>
            <w:pPr>
              <w:adjustRightInd w:val="0"/>
              <w:snapToGrid w:val="0"/>
              <w:spacing w:line="288" w:lineRule="auto"/>
              <w:jc w:val="left"/>
              <w:rPr>
                <w:rFonts w:ascii="宋体" w:hAnsi="宋体" w:eastAsia="宋体" w:cs="宋体"/>
                <w:b/>
                <w:bCs/>
                <w:color w:val="FF0000"/>
                <w:szCs w:val="21"/>
                <w:highlight w:val="none"/>
              </w:rPr>
            </w:pPr>
            <w:r>
              <w:rPr>
                <w:rFonts w:hint="eastAsia" w:ascii="宋体" w:hAnsi="宋体" w:eastAsia="宋体" w:cs="宋体"/>
                <w:b/>
                <w:bCs/>
                <w:color w:val="auto"/>
                <w:szCs w:val="21"/>
                <w:highlight w:val="none"/>
              </w:rPr>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宋体"/>
                <w:szCs w:val="21"/>
                <w:highlight w:val="none"/>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7</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提供材料详见招标文件第六章“报价文件”</w:t>
            </w:r>
          </w:p>
        </w:tc>
      </w:tr>
      <w:bookmarkEnd w:id="34"/>
    </w:tbl>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bookmarkStart w:id="35" w:name="_Hlk45005608"/>
            <w:r>
              <w:rPr>
                <w:rFonts w:hint="eastAsia" w:ascii="宋体" w:hAnsi="宋体" w:eastAsia="宋体" w:cs="Times New Roman"/>
                <w:b/>
                <w:spacing w:val="-6"/>
                <w:szCs w:val="21"/>
                <w:highlight w:val="none"/>
                <w:lang w:eastAsia="zh-CN"/>
              </w:rPr>
              <w:t>★</w:t>
            </w:r>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pacing w:val="-6"/>
                <w:kern w:val="0"/>
                <w:szCs w:val="21"/>
                <w:highlight w:val="yellow"/>
              </w:rPr>
            </w:pPr>
            <w:r>
              <w:rPr>
                <w:rFonts w:hint="eastAsia" w:ascii="宋体" w:hAnsi="宋体" w:eastAsia="宋体" w:cs="宋体"/>
                <w:spacing w:val="-6"/>
                <w:kern w:val="0"/>
                <w:szCs w:val="21"/>
              </w:rPr>
              <w:t>签订合同时，投标方须交纳履约保证金，金额为中标价（合同总金额）的5%。履约保证金从合同生效之日起至需方验收完成后180天内有效，投标方完成全部合同约定内容，履约期间无违约行为，在需方验收完成后180天内，需方无息退还供方履约保证金。但如果此时存在合同争端并且尚未解决的，则履约保证金有效期应延长到该争端最终解决且索赔处理完毕后终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lang w:eastAsia="zh-CN"/>
              </w:rPr>
              <w:t>★</w:t>
            </w: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1、货款支付方式：</w:t>
            </w:r>
          </w:p>
          <w:p>
            <w:pPr>
              <w:autoSpaceDE w:val="0"/>
              <w:autoSpaceDN w:val="0"/>
              <w:adjustRightInd w:val="0"/>
              <w:snapToGrid w:val="0"/>
              <w:spacing w:line="288" w:lineRule="auto"/>
              <w:jc w:val="left"/>
              <w:rPr>
                <w:rFonts w:hint="eastAsia" w:ascii="宋体" w:hAnsi="宋体" w:eastAsia="宋体" w:cs="宋体"/>
                <w:spacing w:val="-6"/>
                <w:kern w:val="0"/>
                <w:szCs w:val="21"/>
              </w:rPr>
            </w:pPr>
            <w:r>
              <w:rPr>
                <w:rFonts w:hint="eastAsia" w:ascii="宋体" w:hAnsi="宋体" w:eastAsia="宋体" w:cs="宋体"/>
                <w:spacing w:val="-6"/>
                <w:kern w:val="0"/>
                <w:szCs w:val="21"/>
              </w:rPr>
              <w:t>（</w:t>
            </w:r>
            <w:r>
              <w:rPr>
                <w:rFonts w:hint="eastAsia" w:ascii="宋体" w:hAnsi="宋体" w:eastAsia="宋体" w:cs="宋体"/>
                <w:spacing w:val="-6"/>
                <w:kern w:val="0"/>
                <w:szCs w:val="21"/>
                <w:lang w:val="en-US" w:eastAsia="zh-CN"/>
              </w:rPr>
              <w:t>1</w:t>
            </w:r>
            <w:r>
              <w:rPr>
                <w:rFonts w:hint="eastAsia" w:ascii="宋体" w:hAnsi="宋体" w:eastAsia="宋体" w:cs="宋体"/>
                <w:spacing w:val="-6"/>
                <w:kern w:val="0"/>
                <w:szCs w:val="21"/>
              </w:rPr>
              <w:t>）合同签订后30个日历天内，需方支付合同总金额的60%；</w:t>
            </w:r>
          </w:p>
          <w:p>
            <w:pPr>
              <w:autoSpaceDE w:val="0"/>
              <w:autoSpaceDN w:val="0"/>
              <w:adjustRightInd w:val="0"/>
              <w:snapToGrid w:val="0"/>
              <w:spacing w:line="288" w:lineRule="auto"/>
              <w:jc w:val="left"/>
              <w:rPr>
                <w:rFonts w:hint="eastAsia" w:ascii="宋体" w:hAnsi="宋体" w:eastAsia="宋体" w:cs="宋体"/>
                <w:spacing w:val="-6"/>
                <w:kern w:val="0"/>
                <w:szCs w:val="21"/>
              </w:rPr>
            </w:pPr>
            <w:r>
              <w:rPr>
                <w:rFonts w:hint="eastAsia" w:ascii="宋体" w:hAnsi="宋体" w:eastAsia="宋体" w:cs="宋体"/>
                <w:spacing w:val="-6"/>
                <w:kern w:val="0"/>
                <w:szCs w:val="21"/>
              </w:rPr>
              <w:t>（</w:t>
            </w:r>
            <w:r>
              <w:rPr>
                <w:rFonts w:hint="eastAsia" w:ascii="宋体" w:hAnsi="宋体" w:eastAsia="宋体" w:cs="宋体"/>
                <w:spacing w:val="-6"/>
                <w:kern w:val="0"/>
                <w:szCs w:val="21"/>
                <w:lang w:val="en-US" w:eastAsia="zh-CN"/>
              </w:rPr>
              <w:t>2</w:t>
            </w:r>
            <w:r>
              <w:rPr>
                <w:rFonts w:hint="eastAsia" w:ascii="宋体" w:hAnsi="宋体" w:eastAsia="宋体" w:cs="宋体"/>
                <w:spacing w:val="-6"/>
                <w:kern w:val="0"/>
                <w:szCs w:val="21"/>
              </w:rPr>
              <w:t>）投标方完成工程图设计，经需方确认，并通过需方组织的专家评审后，需方支付合同总金额的10%；</w:t>
            </w:r>
          </w:p>
          <w:p>
            <w:pPr>
              <w:autoSpaceDE w:val="0"/>
              <w:autoSpaceDN w:val="0"/>
              <w:adjustRightInd w:val="0"/>
              <w:snapToGrid w:val="0"/>
              <w:spacing w:line="288" w:lineRule="auto"/>
              <w:jc w:val="left"/>
              <w:rPr>
                <w:rFonts w:hint="eastAsia" w:ascii="宋体" w:hAnsi="宋体" w:eastAsia="宋体" w:cs="宋体"/>
                <w:spacing w:val="-6"/>
                <w:kern w:val="0"/>
                <w:szCs w:val="21"/>
              </w:rPr>
            </w:pPr>
            <w:r>
              <w:rPr>
                <w:rFonts w:hint="eastAsia" w:ascii="宋体" w:hAnsi="宋体" w:eastAsia="宋体" w:cs="宋体"/>
                <w:spacing w:val="-6"/>
                <w:kern w:val="0"/>
                <w:szCs w:val="21"/>
              </w:rPr>
              <w:t>（</w:t>
            </w:r>
            <w:r>
              <w:rPr>
                <w:rFonts w:hint="eastAsia" w:ascii="宋体" w:hAnsi="宋体" w:eastAsia="宋体" w:cs="宋体"/>
                <w:spacing w:val="-6"/>
                <w:kern w:val="0"/>
                <w:szCs w:val="21"/>
                <w:lang w:val="en-US" w:eastAsia="zh-CN"/>
              </w:rPr>
              <w:t>3</w:t>
            </w:r>
            <w:r>
              <w:rPr>
                <w:rFonts w:hint="eastAsia" w:ascii="宋体" w:hAnsi="宋体" w:eastAsia="宋体" w:cs="宋体"/>
                <w:spacing w:val="-6"/>
                <w:kern w:val="0"/>
                <w:szCs w:val="21"/>
              </w:rPr>
              <w:t>）出厂验收通过后，经需方确认，需方支付合同总金额的10%；</w:t>
            </w:r>
          </w:p>
          <w:p>
            <w:pPr>
              <w:autoSpaceDE w:val="0"/>
              <w:autoSpaceDN w:val="0"/>
              <w:adjustRightInd w:val="0"/>
              <w:snapToGrid w:val="0"/>
              <w:spacing w:line="288" w:lineRule="auto"/>
              <w:jc w:val="left"/>
              <w:rPr>
                <w:rFonts w:hint="eastAsia" w:ascii="宋体" w:hAnsi="宋体" w:eastAsia="宋体" w:cs="宋体"/>
                <w:spacing w:val="-6"/>
                <w:kern w:val="0"/>
                <w:szCs w:val="21"/>
              </w:rPr>
            </w:pPr>
            <w:r>
              <w:rPr>
                <w:rFonts w:hint="eastAsia" w:ascii="宋体" w:hAnsi="宋体" w:eastAsia="宋体" w:cs="宋体"/>
                <w:spacing w:val="-6"/>
                <w:kern w:val="0"/>
                <w:szCs w:val="21"/>
              </w:rPr>
              <w:t>（</w:t>
            </w:r>
            <w:r>
              <w:rPr>
                <w:rFonts w:hint="eastAsia" w:ascii="宋体" w:hAnsi="宋体" w:eastAsia="宋体" w:cs="宋体"/>
                <w:spacing w:val="-6"/>
                <w:kern w:val="0"/>
                <w:szCs w:val="21"/>
                <w:lang w:val="en-US" w:eastAsia="zh-CN"/>
              </w:rPr>
              <w:t>4</w:t>
            </w:r>
            <w:r>
              <w:rPr>
                <w:rFonts w:hint="eastAsia" w:ascii="宋体" w:hAnsi="宋体" w:eastAsia="宋体" w:cs="宋体"/>
                <w:spacing w:val="-6"/>
                <w:kern w:val="0"/>
                <w:szCs w:val="21"/>
              </w:rPr>
              <w:t>）需方验收通过后，需方支付合同总金额的15%；</w:t>
            </w:r>
          </w:p>
          <w:p>
            <w:pPr>
              <w:autoSpaceDE w:val="0"/>
              <w:autoSpaceDN w:val="0"/>
              <w:adjustRightInd w:val="0"/>
              <w:snapToGrid w:val="0"/>
              <w:spacing w:line="288" w:lineRule="auto"/>
              <w:jc w:val="left"/>
              <w:rPr>
                <w:rFonts w:hint="eastAsia" w:ascii="宋体" w:hAnsi="宋体" w:eastAsia="宋体" w:cs="宋体"/>
                <w:spacing w:val="-6"/>
                <w:kern w:val="0"/>
                <w:szCs w:val="21"/>
              </w:rPr>
            </w:pPr>
            <w:r>
              <w:rPr>
                <w:rFonts w:hint="eastAsia" w:ascii="宋体" w:hAnsi="宋体" w:eastAsia="宋体" w:cs="宋体"/>
                <w:spacing w:val="-6"/>
                <w:kern w:val="0"/>
                <w:szCs w:val="21"/>
              </w:rPr>
              <w:t>（</w:t>
            </w:r>
            <w:r>
              <w:rPr>
                <w:rFonts w:hint="eastAsia" w:ascii="宋体" w:hAnsi="宋体" w:eastAsia="宋体" w:cs="宋体"/>
                <w:spacing w:val="-6"/>
                <w:kern w:val="0"/>
                <w:szCs w:val="21"/>
                <w:lang w:val="en-US" w:eastAsia="zh-CN"/>
              </w:rPr>
              <w:t>5</w:t>
            </w:r>
            <w:r>
              <w:rPr>
                <w:rFonts w:hint="eastAsia" w:ascii="宋体" w:hAnsi="宋体" w:eastAsia="宋体" w:cs="宋体"/>
                <w:spacing w:val="-6"/>
                <w:kern w:val="0"/>
                <w:szCs w:val="21"/>
              </w:rPr>
              <w:t>）教育部组织的工艺验收通过后，需方支付合同总金额的5%；</w:t>
            </w:r>
          </w:p>
          <w:p>
            <w:pPr>
              <w:autoSpaceDE w:val="0"/>
              <w:autoSpaceDN w:val="0"/>
              <w:adjustRightInd w:val="0"/>
              <w:snapToGrid w:val="0"/>
              <w:spacing w:line="288" w:lineRule="auto"/>
              <w:jc w:val="left"/>
              <w:rPr>
                <w:rFonts w:hint="eastAsia" w:ascii="宋体" w:hAnsi="宋体" w:eastAsia="宋体" w:cs="宋体"/>
                <w:spacing w:val="-6"/>
                <w:kern w:val="0"/>
                <w:szCs w:val="21"/>
              </w:rPr>
            </w:pPr>
            <w:r>
              <w:rPr>
                <w:rFonts w:hint="eastAsia" w:ascii="宋体" w:hAnsi="宋体" w:eastAsia="宋体" w:cs="宋体"/>
                <w:spacing w:val="-6"/>
                <w:kern w:val="0"/>
                <w:szCs w:val="21"/>
              </w:rPr>
              <w:t>（</w:t>
            </w:r>
            <w:r>
              <w:rPr>
                <w:rFonts w:hint="eastAsia" w:ascii="宋体" w:hAnsi="宋体" w:eastAsia="宋体" w:cs="宋体"/>
                <w:spacing w:val="-6"/>
                <w:kern w:val="0"/>
                <w:szCs w:val="21"/>
                <w:lang w:val="en-US" w:eastAsia="zh-CN"/>
              </w:rPr>
              <w:t>6</w:t>
            </w:r>
            <w:r>
              <w:rPr>
                <w:rFonts w:hint="eastAsia" w:ascii="宋体" w:hAnsi="宋体" w:eastAsia="宋体" w:cs="宋体"/>
                <w:spacing w:val="-6"/>
                <w:kern w:val="0"/>
                <w:szCs w:val="21"/>
              </w:rPr>
              <w:t>）投标方在收款之前应向需方提供相应金额的符合条件的设备类增值税专用发票，需方凭发票准备付款事宜。如投标方未按约定提供增值税专用发票的，需方有权拒绝付款，直至收到投标方提交的相应增值税专用发票为止，在此情况下，需方不承担逾期付款违约责任。</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2、货款的结算：</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（1）国产设备及境内直接供货的进口设备货款由需方负责支付。</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开票信息：开具增值税专用发票；</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抬头：浙江大学</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纳税人识别号：12100000470095016Q</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地址：杭州市余杭塘路866号，电话88981919</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开户行：农行杭州市浙大支行紫金港支行</w:t>
            </w:r>
          </w:p>
          <w:p>
            <w:pPr>
              <w:autoSpaceDE w:val="0"/>
              <w:autoSpaceDN w:val="0"/>
              <w:adjustRightInd w:val="0"/>
              <w:snapToGrid w:val="0"/>
              <w:spacing w:line="288" w:lineRule="auto"/>
              <w:jc w:val="left"/>
              <w:rPr>
                <w:rFonts w:ascii="宋体" w:hAnsi="宋体" w:eastAsia="宋体" w:cs="宋体"/>
                <w:spacing w:val="-6"/>
                <w:kern w:val="0"/>
                <w:sz w:val="21"/>
                <w:szCs w:val="21"/>
                <w:highlight w:val="none"/>
              </w:rPr>
            </w:pPr>
            <w:r>
              <w:rPr>
                <w:rFonts w:hint="eastAsia" w:ascii="宋体" w:hAnsi="宋体" w:eastAsia="宋体" w:cs="宋体"/>
                <w:spacing w:val="-6"/>
                <w:kern w:val="0"/>
                <w:sz w:val="21"/>
                <w:szCs w:val="21"/>
                <w:highlight w:val="none"/>
              </w:rPr>
              <w:t>账号：19042201040000014</w:t>
            </w:r>
          </w:p>
          <w:p>
            <w:pPr>
              <w:autoSpaceDE w:val="0"/>
              <w:autoSpaceDN w:val="0"/>
              <w:adjustRightInd w:val="0"/>
              <w:snapToGrid w:val="0"/>
              <w:spacing w:line="288" w:lineRule="auto"/>
              <w:jc w:val="left"/>
              <w:rPr>
                <w:rFonts w:ascii="宋体" w:hAnsi="宋体" w:eastAsia="宋体" w:cs="宋体"/>
                <w:spacing w:val="-6"/>
                <w:kern w:val="0"/>
                <w:szCs w:val="21"/>
              </w:rPr>
            </w:pPr>
            <w:r>
              <w:rPr>
                <w:rFonts w:hint="eastAsia" w:ascii="宋体" w:hAnsi="宋体" w:eastAsia="宋体" w:cs="宋体"/>
                <w:spacing w:val="-6"/>
                <w:kern w:val="0"/>
                <w:sz w:val="21"/>
                <w:szCs w:val="21"/>
                <w:highlight w:val="none"/>
              </w:rPr>
              <w:t>行号：103331004223</w:t>
            </w:r>
          </w:p>
        </w:tc>
      </w:tr>
      <w:bookmarkEnd w:id="35"/>
    </w:tbl>
    <w:p>
      <w:pPr>
        <w:adjustRightInd w:val="0"/>
        <w:snapToGrid w:val="0"/>
        <w:spacing w:line="288" w:lineRule="auto"/>
        <w:rPr>
          <w:rFonts w:ascii="宋体" w:hAnsi="宋体" w:eastAsia="宋体" w:cs="Times New Roman"/>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三、服务要求（技术要求里另有注明的以技术要求为准）</w:t>
      </w:r>
    </w:p>
    <w:tbl>
      <w:tblPr>
        <w:tblStyle w:val="24"/>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合同签订后16个月内在需方指定地点进行验收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质保期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需方</w:t>
            </w:r>
            <w:r>
              <w:rPr>
                <w:rFonts w:hint="eastAsia" w:ascii="宋体" w:hAnsi="宋体" w:eastAsia="宋体" w:cs="宋体"/>
                <w:szCs w:val="21"/>
                <w:highlight w:val="none"/>
              </w:rPr>
              <w:t>验收合格后开始计算。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服务标准、期限、效率</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.在质保期内，供应商应对货物出现的质量及安全问题负责处理解决并承担一切费用。</w:t>
            </w:r>
          </w:p>
          <w:p>
            <w:pPr>
              <w:adjustRightInd w:val="0"/>
              <w:snapToGrid w:val="0"/>
              <w:spacing w:line="288" w:lineRule="auto"/>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质保期内出现无法排除的故障，供应商需无条件更换同型号产品。</w:t>
            </w:r>
          </w:p>
          <w:p>
            <w:pPr>
              <w:adjustRightInd w:val="0"/>
              <w:snapToGrid w:val="0"/>
              <w:spacing w:line="288"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质保期满后，供应商继续为采购人服务，仅收取零配件成本费。</w:t>
            </w:r>
          </w:p>
          <w:p>
            <w:pPr>
              <w:adjustRightInd w:val="0"/>
              <w:snapToGrid w:val="0"/>
              <w:spacing w:line="288" w:lineRule="auto"/>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因人为因素出现的故障不在免费保修范围内。</w:t>
            </w:r>
          </w:p>
          <w:p>
            <w:pPr>
              <w:adjustRightInd w:val="0"/>
              <w:snapToGrid w:val="0"/>
              <w:spacing w:line="288" w:lineRule="auto"/>
              <w:rPr>
                <w:rFonts w:ascii="宋体" w:hAnsi="宋体" w:eastAsia="宋体" w:cs="宋体"/>
                <w:szCs w:val="21"/>
                <w:u w:val="single"/>
              </w:rPr>
            </w:pPr>
            <w:r>
              <w:rPr>
                <w:rFonts w:ascii="宋体" w:hAnsi="宋体" w:eastAsia="宋体" w:cs="宋体"/>
                <w:szCs w:val="21"/>
              </w:rPr>
              <w:t>5</w:t>
            </w:r>
            <w:r>
              <w:rPr>
                <w:rFonts w:hint="eastAsia" w:ascii="宋体" w:hAnsi="宋体" w:eastAsia="宋体" w:cs="宋体"/>
                <w:szCs w:val="21"/>
              </w:rPr>
              <w:t>.</w:t>
            </w:r>
            <w:r>
              <w:rPr>
                <w:rFonts w:hint="eastAsia" w:ascii="宋体" w:hAnsi="宋体" w:eastAsia="宋体" w:cs="宋体"/>
                <w:szCs w:val="21"/>
                <w:u w:val="single"/>
              </w:rPr>
              <w:t>如在使用过程中发生质量问题，供应商维修响应时间：</w:t>
            </w:r>
            <w:r>
              <w:rPr>
                <w:rFonts w:hint="eastAsia" w:ascii="宋体" w:hAnsi="宋体" w:eastAsia="宋体" w:cs="宋体"/>
                <w:szCs w:val="21"/>
                <w:u w:val="single"/>
                <w:lang w:val="en-US" w:eastAsia="zh-CN"/>
              </w:rPr>
              <w:t>12</w:t>
            </w:r>
            <w:r>
              <w:rPr>
                <w:rFonts w:hint="eastAsia" w:ascii="宋体" w:hAnsi="宋体" w:eastAsia="宋体" w:cs="宋体"/>
                <w:szCs w:val="21"/>
                <w:u w:val="single"/>
              </w:rPr>
              <w:t>小时以内；</w:t>
            </w:r>
          </w:p>
          <w:p>
            <w:pPr>
              <w:adjustRightInd w:val="0"/>
              <w:snapToGrid w:val="0"/>
              <w:spacing w:line="288" w:lineRule="auto"/>
              <w:rPr>
                <w:rFonts w:ascii="宋体" w:hAnsi="宋体" w:eastAsia="宋体" w:cs="宋体"/>
                <w:szCs w:val="21"/>
                <w:u w:val="single"/>
              </w:rPr>
            </w:pPr>
            <w:r>
              <w:rPr>
                <w:rFonts w:hint="eastAsia" w:ascii="宋体" w:hAnsi="宋体" w:eastAsia="宋体" w:cs="宋体"/>
                <w:szCs w:val="21"/>
                <w:u w:val="single"/>
              </w:rPr>
              <w:t>电话技术支持时间：</w:t>
            </w:r>
            <w:r>
              <w:rPr>
                <w:rFonts w:hint="eastAsia" w:ascii="宋体" w:hAnsi="宋体" w:eastAsia="宋体" w:cs="宋体"/>
                <w:szCs w:val="21"/>
                <w:u w:val="single"/>
                <w:lang w:val="en-US" w:eastAsia="zh-CN"/>
              </w:rPr>
              <w:t>12</w:t>
            </w:r>
            <w:r>
              <w:rPr>
                <w:rFonts w:hint="eastAsia" w:ascii="宋体" w:hAnsi="宋体" w:eastAsia="宋体" w:cs="宋体"/>
                <w:szCs w:val="21"/>
                <w:u w:val="single"/>
              </w:rPr>
              <w:t>小时以内；</w:t>
            </w:r>
          </w:p>
          <w:p>
            <w:pPr>
              <w:adjustRightInd w:val="0"/>
              <w:snapToGrid w:val="0"/>
              <w:spacing w:line="288" w:lineRule="auto"/>
              <w:rPr>
                <w:rFonts w:hint="eastAsia" w:ascii="宋体" w:hAnsi="宋体" w:eastAsia="宋体" w:cs="宋体"/>
                <w:szCs w:val="21"/>
                <w:u w:val="single"/>
                <w:lang w:val="en-US" w:eastAsia="zh-CN"/>
              </w:rPr>
            </w:pPr>
            <w:r>
              <w:rPr>
                <w:rFonts w:hint="eastAsia" w:ascii="宋体" w:hAnsi="宋体" w:eastAsia="宋体" w:cs="宋体"/>
                <w:szCs w:val="21"/>
                <w:u w:val="single"/>
              </w:rPr>
              <w:t>若需上门维修，则在：</w:t>
            </w:r>
            <w:r>
              <w:rPr>
                <w:rFonts w:hint="eastAsia" w:ascii="宋体" w:hAnsi="宋体" w:eastAsia="宋体" w:cs="宋体"/>
                <w:szCs w:val="21"/>
                <w:u w:val="single"/>
                <w:lang w:val="en-US" w:eastAsia="zh-CN"/>
              </w:rPr>
              <w:t>72</w:t>
            </w:r>
            <w:r>
              <w:rPr>
                <w:rFonts w:hint="eastAsia" w:ascii="宋体" w:hAnsi="宋体" w:eastAsia="宋体" w:cs="宋体"/>
                <w:szCs w:val="21"/>
                <w:u w:val="single"/>
              </w:rPr>
              <w:t>小时内到达现场并进行维修；重大问题或其他无法迅速解决的问题应在2周内解决，如不能按期排除故障，则质保期顺延</w:t>
            </w:r>
            <w:r>
              <w:rPr>
                <w:rFonts w:hint="eastAsia" w:ascii="宋体" w:hAnsi="宋体" w:eastAsia="宋体" w:cs="宋体"/>
                <w:szCs w:val="21"/>
                <w:u w:val="singl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1.验收由采购人负责实施；</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2.验收依据：</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2.1合同、招标文件、投标文件；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2.2供应商提供的技术规格、经采购人认可的合同货物的有效检验文件；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2.3供应商投标文件中提供的经采购人认可的合同货物的验收标准（符合中国有关的国家、地方、行业标准）和检测办法及相应检测手段。</w:t>
            </w:r>
          </w:p>
          <w:p>
            <w:pPr>
              <w:adjustRightInd w:val="0"/>
              <w:snapToGrid w:val="0"/>
              <w:spacing w:line="288" w:lineRule="auto"/>
              <w:rPr>
                <w:rFonts w:ascii="宋体" w:hAnsi="宋体" w:eastAsia="宋体" w:cs="宋体"/>
                <w:szCs w:val="21"/>
              </w:rPr>
            </w:pPr>
            <w:r>
              <w:rPr>
                <w:rFonts w:hint="eastAsia" w:ascii="宋体" w:hAnsi="宋体" w:eastAsia="宋体" w:cs="宋体"/>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4.验收合格的条件：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4.1所供货物符合产品标准和合同的要求；</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4.2在进行测试和验收过程中发现的问题已被解决并得到采购人的认可；</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4.3合同中规定的所有货物和材料均已交付；</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4.4所供货物已通过使用单位组织的验收；</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4.5所有相关的技术文件及资料均已提交并得到接受。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1</w:t>
            </w:r>
            <w:r>
              <w:rPr>
                <w:rFonts w:ascii="宋体" w:hAnsi="宋体" w:eastAsia="宋体" w:cs="宋体"/>
                <w:szCs w:val="21"/>
                <w:highlight w:val="none"/>
              </w:rPr>
              <w:t>.</w:t>
            </w:r>
            <w:r>
              <w:rPr>
                <w:rFonts w:hint="eastAsia" w:ascii="宋体" w:hAnsi="宋体" w:eastAsia="宋体" w:cs="宋体"/>
                <w:szCs w:val="21"/>
                <w:highlight w:val="none"/>
              </w:rPr>
              <w:t>供应商应按招标文件规定的货物性能、技术要求、质量标准向采购人提供未经使用的全新产品，符合国家法律规定和技术规格、质量标准的出厂原装合格产品。</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2</w:t>
            </w:r>
            <w:r>
              <w:rPr>
                <w:rFonts w:hint="eastAsia" w:ascii="宋体" w:hAnsi="宋体" w:eastAsia="宋体" w:cs="宋体"/>
                <w:szCs w:val="21"/>
                <w:highlight w:val="none"/>
              </w:rPr>
              <w:t>.技术支持：</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供应商应及时免费提供合同货物软件的升级，免费提供合同货物新功能和应用的资料。</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3</w:t>
            </w:r>
            <w:r>
              <w:rPr>
                <w:rFonts w:hint="eastAsia" w:ascii="宋体" w:hAnsi="宋体" w:eastAsia="宋体" w:cs="宋体"/>
                <w:szCs w:val="21"/>
                <w:highlight w:val="none"/>
              </w:rPr>
              <w:t>.安装调试：</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3</w:t>
            </w:r>
            <w:r>
              <w:rPr>
                <w:rFonts w:hint="eastAsia" w:ascii="宋体" w:hAnsi="宋体" w:eastAsia="宋体" w:cs="宋体"/>
                <w:szCs w:val="21"/>
                <w:highlight w:val="none"/>
              </w:rPr>
              <w:t>.1安装地点：采购人指定地点；</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3</w:t>
            </w:r>
            <w:r>
              <w:rPr>
                <w:rFonts w:hint="eastAsia" w:ascii="宋体" w:hAnsi="宋体" w:eastAsia="宋体" w:cs="宋体"/>
                <w:szCs w:val="21"/>
                <w:highlight w:val="none"/>
              </w:rPr>
              <w:t>.2安装完成时间：接到采购人通知后在规定时间内完成安装和调试，如在规定的时间内由于供应商的原因不能完成安装和调试，供应商应承担由此给采购人造成的损失；</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3</w:t>
            </w:r>
            <w:r>
              <w:rPr>
                <w:rFonts w:hint="eastAsia" w:ascii="宋体" w:hAnsi="宋体" w:eastAsia="宋体" w:cs="宋体"/>
                <w:szCs w:val="21"/>
                <w:highlight w:val="none"/>
              </w:rPr>
              <w:t>.3如供应商委托国内代理（或其他机构）负责安装或配合安装应在签约时指明，但供应商仍要对合同货物及其安装质量负全部责任；</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3</w:t>
            </w:r>
            <w:r>
              <w:rPr>
                <w:rFonts w:hint="eastAsia" w:ascii="宋体" w:hAnsi="宋体" w:eastAsia="宋体" w:cs="宋体"/>
                <w:szCs w:val="21"/>
                <w:highlight w:val="none"/>
              </w:rPr>
              <w:t>.4安装标准：符合我国国家有关技术规范要求和技术标准，所有的软件和硬件必须保证同时安装到位；</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3</w:t>
            </w:r>
            <w:r>
              <w:rPr>
                <w:rFonts w:hint="eastAsia" w:ascii="宋体" w:hAnsi="宋体" w:eastAsia="宋体" w:cs="宋体"/>
                <w:szCs w:val="21"/>
                <w:highlight w:val="none"/>
              </w:rPr>
              <w:t>.5供应商免费提供合同货物的安装服务；</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3</w:t>
            </w:r>
            <w:r>
              <w:rPr>
                <w:rFonts w:hint="eastAsia" w:ascii="宋体" w:hAnsi="宋体" w:eastAsia="宋体" w:cs="宋体"/>
                <w:szCs w:val="21"/>
                <w:highlight w:val="none"/>
              </w:rPr>
              <w:t>.6供应商在投标文件中应提供安装调试计划、对安装场地和环境的要求。</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4</w:t>
            </w:r>
            <w:r>
              <w:rPr>
                <w:rFonts w:hint="eastAsia" w:ascii="宋体" w:hAnsi="宋体" w:eastAsia="宋体" w:cs="宋体"/>
                <w:szCs w:val="21"/>
                <w:highlight w:val="none"/>
              </w:rPr>
              <w:t>.供应商应提供质保期满后主要零部件报价单、质保期满后维护费、软件升级及其相关服务内容；</w:t>
            </w:r>
          </w:p>
          <w:p>
            <w:pPr>
              <w:adjustRightInd w:val="0"/>
              <w:snapToGrid w:val="0"/>
              <w:spacing w:line="288" w:lineRule="auto"/>
              <w:rPr>
                <w:rFonts w:ascii="宋体" w:hAnsi="宋体" w:eastAsia="宋体" w:cs="宋体"/>
                <w:szCs w:val="21"/>
                <w:highlight w:val="none"/>
              </w:rPr>
            </w:pPr>
            <w:r>
              <w:rPr>
                <w:rFonts w:ascii="宋体" w:hAnsi="宋体" w:eastAsia="宋体" w:cs="宋体"/>
                <w:szCs w:val="21"/>
                <w:highlight w:val="none"/>
              </w:rPr>
              <w:t>5</w:t>
            </w:r>
            <w:r>
              <w:rPr>
                <w:rFonts w:hint="eastAsia" w:ascii="宋体" w:hAnsi="宋体" w:eastAsia="宋体" w:cs="宋体"/>
                <w:szCs w:val="21"/>
                <w:highlight w:val="none"/>
              </w:rPr>
              <w:t>.供货时提供有关的全套技术文件。</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6</w:t>
            </w:r>
            <w:r>
              <w:rPr>
                <w:rFonts w:ascii="宋体" w:hAnsi="宋体" w:eastAsia="宋体" w:cs="宋体"/>
                <w:szCs w:val="21"/>
                <w:highlight w:val="none"/>
              </w:rPr>
              <w:t>.</w:t>
            </w:r>
            <w:r>
              <w:rPr>
                <w:rFonts w:hint="eastAsia" w:ascii="宋体" w:hAnsi="宋体" w:eastAsia="宋体" w:cs="Times New Roman"/>
                <w:spacing w:val="-6"/>
                <w:szCs w:val="21"/>
                <w:highlight w:val="none"/>
              </w:rPr>
              <w:t>供应商应保证所提供的货物或其中任何一部分均不会侵犯第三方的知识产权。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培训</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供应商应对采购人的操作人员、维修人员免费进行培训；</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供应商应提供相应的培训计划；</w:t>
            </w:r>
          </w:p>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szCs w:val="21"/>
                <w:highlight w:val="none"/>
              </w:rPr>
              <w:t>上述内容的实现方式、时间、地点、人数应在投标文件中详细说明。</w:t>
            </w:r>
          </w:p>
        </w:tc>
      </w:tr>
    </w:tbl>
    <w:p>
      <w:pPr>
        <w:adjustRightInd w:val="0"/>
        <w:snapToGrid w:val="0"/>
        <w:spacing w:line="288" w:lineRule="auto"/>
        <w:rPr>
          <w:rFonts w:ascii="宋体" w:hAnsi="宋体" w:eastAsia="宋体" w:cs="Times New Roman"/>
          <w:b/>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四、技术要求</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36" w:name="_Toc47175538"/>
      <w:bookmarkStart w:id="37" w:name="_Toc47097556"/>
      <w:bookmarkStart w:id="38" w:name="_Toc497899346"/>
      <w:bookmarkStart w:id="39" w:name="_Hlk45005556"/>
      <w:r>
        <w:rPr>
          <w:rFonts w:hint="eastAsia" w:ascii="宋体" w:hAnsi="宋体" w:eastAsia="宋体" w:cs="宋体"/>
          <w:b/>
          <w:kern w:val="2"/>
          <w:sz w:val="21"/>
          <w:szCs w:val="21"/>
          <w:lang w:val="en-US" w:eastAsia="zh-CN" w:bidi="ar-SA"/>
        </w:rPr>
        <w:t>1.项目概述</w:t>
      </w:r>
      <w:bookmarkEnd w:id="36"/>
      <w:bookmarkEnd w:id="37"/>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40" w:name="_Toc47175539"/>
      <w:bookmarkStart w:id="41" w:name="_Toc47097557"/>
      <w:r>
        <w:rPr>
          <w:rFonts w:hint="eastAsia" w:ascii="宋体" w:hAnsi="宋体" w:eastAsia="宋体" w:cs="宋体"/>
          <w:b/>
          <w:bCs/>
          <w:kern w:val="2"/>
          <w:sz w:val="21"/>
          <w:szCs w:val="21"/>
          <w:lang w:val="en-US" w:eastAsia="zh-CN" w:bidi="ar-SA"/>
        </w:rPr>
        <w:t>1.1 项目基本情况</w:t>
      </w:r>
      <w:bookmarkEnd w:id="40"/>
      <w:bookmarkEnd w:id="41"/>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eastAsia="宋体" w:cs="宋体"/>
          <w:b/>
          <w:color w:val="333333"/>
          <w:kern w:val="0"/>
          <w:sz w:val="21"/>
          <w:szCs w:val="21"/>
          <w:lang w:val="zh-CN"/>
        </w:rPr>
        <w:t>深地空间围岩灾变实验装置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背景：深地空间围岩灾变实验装置属于“十三五”国家重大科技基础设施超重力离心模拟与实验装置（英文简称“CHIEF”）深地工程与环境实验舱中的机载装置，主要用于研究深地采矿、能源储存、CO2封存、油气开采等工程中，因工程活动导致应力/水力场改变而发生的围岩灾变过程，揭示围岩变形破坏机理，提出深地空间安全利用与灾变防控技术，为深地工程建设提供科学保障。本实验装置将用于浙江大学CHIEF超重力离心机主机上开展深地岩体模型加载试验。</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1.2 功能与目标：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本装置用于大尺寸岩体超重力缩尺模型实验，通过再现深地空间围岩原场应力和水力环境（利用超重力再现岩体模型的自重应力场，利用轴压和围压再现岩体模型的外力荷载，孔压模拟水力环境，内压模拟深地空间的内部应力），以开展相关开挖、注采等工程活动下的深地空间围岩灾变实验，探究深地空间围岩灾变机理与相应的防控措施。主要功能模块如下：</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1）加载系统，用于在离心机上向围岩模型室内提供独立、高精度可控的5路液压，包括纵向压力1路，水平方向压力1路，孔压2路，内压1路；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2）模型温控系统：用于围岩模型的温度控制；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3）开挖模拟系统：用于围岩模型内洞室的开挖模拟；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4）监测系统，实现岩石应力场、应变场、变形/破坏场、温度场、流场等相关信号的实时监测和分析；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5）地面相似模型制备系统：实现多种岩体模型材料的拌合、分层分区分块压合/浇筑、3D打印等；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6）地面后处理建模系统：实现岩体模型内部结构面+外部形态结构的三维扫描建模；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7）数值离心试验模拟系统：实现超重力下岩体模型破坏的数字孪生模拟。</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42" w:name="_Toc47175541"/>
      <w:bookmarkStart w:id="43" w:name="_Toc47097559"/>
      <w:r>
        <w:rPr>
          <w:rFonts w:hint="eastAsia" w:ascii="宋体" w:hAnsi="宋体" w:eastAsia="宋体" w:cs="宋体"/>
          <w:b/>
          <w:bCs/>
          <w:kern w:val="2"/>
          <w:sz w:val="21"/>
          <w:szCs w:val="21"/>
          <w:lang w:val="en-US" w:eastAsia="zh-CN" w:bidi="ar-SA"/>
        </w:rPr>
        <w:t>1.3 总体要求</w:t>
      </w:r>
      <w:bookmarkEnd w:id="42"/>
      <w:bookmarkEnd w:id="43"/>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招标文件中技术规格及要求完成装置建设，任务范围包括技术方案设计、详细设计、工程设计、原材料采购、关键部件超重力验证实验、加工制造、出厂测试、包装、保险、运输、装卸、保护、就位、现场安装施工、现场集成装调、性能指标测试及验收、验证实验、技术服务及培训、设备验收后的维护保障等内容，并实现本项目的任务与目标。</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44" w:name="_Toc47097560"/>
      <w:bookmarkStart w:id="45" w:name="_Toc47175542"/>
      <w:r>
        <w:rPr>
          <w:rFonts w:hint="eastAsia" w:ascii="宋体" w:hAnsi="宋体" w:eastAsia="宋体" w:cs="宋体"/>
          <w:b/>
          <w:kern w:val="2"/>
          <w:sz w:val="21"/>
          <w:szCs w:val="21"/>
          <w:lang w:val="en-US" w:eastAsia="zh-CN" w:bidi="ar-SA"/>
        </w:rPr>
        <w:t>2.招标范围及内容</w:t>
      </w:r>
      <w:bookmarkEnd w:id="44"/>
      <w:bookmarkEnd w:id="45"/>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深地空间围岩灾变实验装置主要包括：加载系统1套、模型温控系统1套、开挖模拟系统1套、地面相似模型制备系统1套、监测系统1套，地面后处理建模系统1套、数值离心试验模拟系统1套。</w:t>
      </w:r>
    </w:p>
    <w:bookmarkEnd w:id="38"/>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3.主要性能指标及技术要求</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46" w:name="_Toc47175544"/>
      <w:bookmarkStart w:id="47" w:name="_Toc47097562"/>
      <w:r>
        <w:rPr>
          <w:rFonts w:hint="eastAsia" w:ascii="宋体" w:hAnsi="宋体" w:eastAsia="宋体" w:cs="宋体"/>
          <w:b/>
          <w:bCs/>
          <w:kern w:val="2"/>
          <w:sz w:val="21"/>
          <w:szCs w:val="21"/>
          <w:lang w:val="en-US" w:eastAsia="zh-CN" w:bidi="ar-SA"/>
        </w:rPr>
        <w:t>3.1 主要功能与指标</w:t>
      </w:r>
      <w:bookmarkEnd w:id="46"/>
      <w:bookmarkEnd w:id="47"/>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深地空间围岩灾变实验装置主要功能与指标见表3.1。</w:t>
      </w:r>
    </w:p>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表 3.1 深地空间围岩灾变实验装置主要功能与指标</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772"/>
        <w:gridCol w:w="2463"/>
        <w:gridCol w:w="5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bookmarkStart w:id="48" w:name="_Hlk130563704"/>
            <w:r>
              <w:rPr>
                <w:rFonts w:hint="eastAsia" w:ascii="宋体" w:hAnsi="宋体" w:eastAsia="宋体" w:cs="宋体"/>
                <w:b/>
                <w:sz w:val="21"/>
                <w:szCs w:val="21"/>
              </w:rPr>
              <w:t>编号</w:t>
            </w:r>
          </w:p>
        </w:tc>
        <w:tc>
          <w:tcPr>
            <w:tcW w:w="1680"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指标名称</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680"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最大工作离心加速度★</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sz w:val="21"/>
                <w:szCs w:val="21"/>
              </w:rPr>
            </w:pPr>
            <w:r>
              <w:rPr>
                <w:rFonts w:hint="eastAsia" w:ascii="宋体" w:hAnsi="宋体" w:eastAsia="宋体" w:cs="宋体"/>
                <w:sz w:val="21"/>
                <w:szCs w:val="21"/>
              </w:rPr>
              <w:t>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680"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吊篮内各系统总质量★</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不大于6.3t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680"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吊篮内各系统外形尺寸★</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不大于2m(长)×1.5m(宽) ×2m(高)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401" w:type="pct"/>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加载系统</w:t>
            </w:r>
          </w:p>
        </w:tc>
        <w:tc>
          <w:tcPr>
            <w:tcW w:w="127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4.1水平压力(围压)★</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最高30MPa，精度≤±1%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401"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1279" w:type="pc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4.2纵向压力(轴压)★</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最高30MPa，精度≤±1%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0"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401"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1279" w:type="pct"/>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4.3内压★</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最高100MPa，精度≤±1%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0"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401"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1279" w:type="pct"/>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4.4孔压★</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最高20MPa，精度≤±1%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80" w:type="pc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680" w:type="pct"/>
            <w:gridSpan w:val="2"/>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模型温控系统★</w:t>
            </w:r>
          </w:p>
        </w:tc>
        <w:tc>
          <w:tcPr>
            <w:tcW w:w="2940" w:type="pc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范围：机室温度~95℃，控制波动度≤±1°C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680"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开挖模拟系统★</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卸压控制范围30MPa，精度≤±1%</w:t>
            </w:r>
          </w:p>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溶解开挖速率&gt;10mm/h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0" w:type="pct"/>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401" w:type="pct"/>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监测系统</w:t>
            </w:r>
          </w:p>
        </w:tc>
        <w:tc>
          <w:tcPr>
            <w:tcW w:w="1279" w:type="pc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7.1应力应变监测</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直接测点精度≤±1%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Cs/>
                <w:sz w:val="21"/>
                <w:szCs w:val="21"/>
              </w:rPr>
            </w:pPr>
          </w:p>
        </w:tc>
        <w:tc>
          <w:tcPr>
            <w:tcW w:w="401"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1279" w:type="pct"/>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7.2模型表面监测</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范围0.3平米表面，分辨率≤0.5mm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0"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Cs/>
                <w:sz w:val="21"/>
                <w:szCs w:val="21"/>
              </w:rPr>
            </w:pPr>
          </w:p>
        </w:tc>
        <w:tc>
          <w:tcPr>
            <w:tcW w:w="401"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1279" w:type="pct"/>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7.3孔压监测</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范围0-20MPa，精度≤±1%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380" w:type="pct"/>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Cs/>
                <w:sz w:val="21"/>
                <w:szCs w:val="21"/>
              </w:rPr>
            </w:pPr>
            <w:bookmarkStart w:id="49" w:name="_Hlk129511264"/>
            <w:r>
              <w:rPr>
                <w:rFonts w:hint="eastAsia" w:ascii="宋体" w:hAnsi="宋体" w:eastAsia="宋体" w:cs="宋体"/>
                <w:bCs/>
                <w:sz w:val="21"/>
                <w:szCs w:val="21"/>
              </w:rPr>
              <w:t>8</w:t>
            </w:r>
          </w:p>
        </w:tc>
        <w:tc>
          <w:tcPr>
            <w:tcW w:w="401" w:type="pct"/>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地面相似模型制备系统</w:t>
            </w:r>
          </w:p>
        </w:tc>
        <w:tc>
          <w:tcPr>
            <w:tcW w:w="127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8.1相似岩石材料3d打印设备</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Cs/>
                <w:sz w:val="21"/>
                <w:szCs w:val="21"/>
              </w:rPr>
            </w:pPr>
            <w:r>
              <w:rPr>
                <w:rFonts w:hint="eastAsia" w:ascii="宋体" w:hAnsi="宋体" w:eastAsia="宋体" w:cs="宋体"/>
                <w:bCs/>
                <w:sz w:val="21"/>
                <w:szCs w:val="21"/>
              </w:rPr>
              <w:t>模型尺寸最大1m*1m*1m，3D打印头定位精度</w:t>
            </w:r>
            <w:r>
              <w:rPr>
                <w:rFonts w:hint="eastAsia" w:ascii="宋体" w:hAnsi="宋体" w:eastAsia="宋体" w:cs="宋体"/>
                <w:sz w:val="21"/>
                <w:szCs w:val="21"/>
              </w:rPr>
              <w:t>≤±</w:t>
            </w:r>
            <w:r>
              <w:rPr>
                <w:rFonts w:hint="eastAsia" w:ascii="宋体" w:hAnsi="宋体" w:eastAsia="宋体" w:cs="宋体"/>
                <w:bCs/>
                <w:sz w:val="21"/>
                <w:szCs w:val="21"/>
              </w:rPr>
              <w:t>0.5mm</w:t>
            </w:r>
          </w:p>
        </w:tc>
      </w:tr>
      <w:bookmark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380"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Cs/>
                <w:sz w:val="21"/>
                <w:szCs w:val="21"/>
              </w:rPr>
            </w:pPr>
          </w:p>
        </w:tc>
        <w:tc>
          <w:tcPr>
            <w:tcW w:w="401" w:type="pct"/>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127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8.2盐岩熔铸设备</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bCs/>
                <w:sz w:val="21"/>
                <w:szCs w:val="21"/>
              </w:rPr>
              <w:t>模型尺寸最大</w:t>
            </w:r>
            <w:r>
              <w:rPr>
                <w:rFonts w:hint="eastAsia" w:ascii="宋体" w:hAnsi="宋体" w:eastAsia="宋体" w:cs="宋体"/>
                <w:sz w:val="21"/>
                <w:szCs w:val="21"/>
              </w:rPr>
              <w:t>Ф700mm(直径)×H1000mm(高)</w:t>
            </w:r>
            <w:r>
              <w:rPr>
                <w:rFonts w:hint="eastAsia" w:ascii="宋体" w:hAnsi="宋体" w:eastAsia="宋体" w:cs="宋体"/>
                <w:bCs/>
                <w:sz w:val="21"/>
                <w:szCs w:val="21"/>
              </w:rPr>
              <w:t>，</w:t>
            </w:r>
            <w:r>
              <w:rPr>
                <w:rFonts w:hint="eastAsia" w:ascii="宋体" w:hAnsi="宋体" w:eastAsia="宋体" w:cs="宋体"/>
                <w:sz w:val="21"/>
                <w:szCs w:val="21"/>
              </w:rPr>
              <w:t>温度最高900°C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Cs/>
                <w:sz w:val="21"/>
                <w:szCs w:val="21"/>
                <w:highlight w:val="yellow"/>
              </w:rPr>
            </w:pPr>
            <w:r>
              <w:rPr>
                <w:rFonts w:hint="eastAsia" w:ascii="宋体" w:hAnsi="宋体" w:eastAsia="宋体" w:cs="宋体"/>
                <w:bCs/>
                <w:sz w:val="21"/>
                <w:szCs w:val="21"/>
              </w:rPr>
              <w:t>9</w:t>
            </w:r>
          </w:p>
        </w:tc>
        <w:tc>
          <w:tcPr>
            <w:tcW w:w="1680"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highlight w:val="yellow"/>
              </w:rPr>
            </w:pPr>
            <w:bookmarkStart w:id="50" w:name="_Hlk129511275"/>
            <w:r>
              <w:rPr>
                <w:rFonts w:hint="eastAsia" w:ascii="宋体" w:hAnsi="宋体" w:eastAsia="宋体" w:cs="宋体"/>
                <w:sz w:val="21"/>
                <w:szCs w:val="21"/>
              </w:rPr>
              <w:t>地面后处理建模系统</w:t>
            </w:r>
            <w:bookmarkEnd w:id="50"/>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外形建模精度≤±0.1mm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10</w:t>
            </w:r>
          </w:p>
        </w:tc>
        <w:tc>
          <w:tcPr>
            <w:tcW w:w="1680"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质保期</w:t>
            </w:r>
          </w:p>
        </w:tc>
        <w:tc>
          <w:tcPr>
            <w:tcW w:w="294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Cs/>
                <w:sz w:val="21"/>
                <w:szCs w:val="21"/>
              </w:rPr>
            </w:pPr>
            <w:r>
              <w:rPr>
                <w:rFonts w:hint="eastAsia" w:ascii="宋体" w:hAnsi="宋体" w:eastAsia="宋体" w:cs="宋体"/>
                <w:bCs/>
                <w:sz w:val="21"/>
                <w:szCs w:val="21"/>
              </w:rPr>
              <w:t>需方验收合格后2年</w:t>
            </w:r>
          </w:p>
        </w:tc>
      </w:tr>
      <w:bookmarkEnd w:id="48"/>
    </w:tbl>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注：超重力下工作部件整体外观尺寸指搭载于离心机吊篮内的装置部件及其固定底板的整体尺寸，其中若有高于1.5m部分的尺寸应与模型制备机转臂、销轴及管线接头无冲突。</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br w:type="page"/>
      </w:r>
      <w:r>
        <w:rPr>
          <w:rFonts w:hint="eastAsia" w:ascii="宋体" w:hAnsi="宋体" w:eastAsia="宋体" w:cs="宋体"/>
          <w:b/>
          <w:bCs/>
          <w:kern w:val="2"/>
          <w:sz w:val="21"/>
          <w:szCs w:val="21"/>
          <w:lang w:val="en-US" w:eastAsia="zh-CN" w:bidi="ar-SA"/>
        </w:rPr>
        <w:t>3.2 供货清单</w:t>
      </w:r>
    </w:p>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表 3.2 深地空间围岩灾变实验装置供货清单</w:t>
      </w:r>
    </w:p>
    <w:tbl>
      <w:tblPr>
        <w:tblStyle w:val="24"/>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631"/>
        <w:gridCol w:w="5308"/>
        <w:gridCol w:w="71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部件名称</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主要参数指标</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数量</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钛合金加载仓</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2"/>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最大工作超重力加速度300g</w:t>
            </w:r>
          </w:p>
          <w:p>
            <w:pPr>
              <w:pageBreakBefore w:val="0"/>
              <w:numPr>
                <w:ilvl w:val="0"/>
                <w:numId w:val="2"/>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内腔尺寸满足Ф700mm*1000mm模型及配套加热等设施</w:t>
            </w:r>
          </w:p>
          <w:p>
            <w:pPr>
              <w:pageBreakBefore w:val="0"/>
              <w:numPr>
                <w:ilvl w:val="0"/>
                <w:numId w:val="2"/>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最大轴压60MPa，最大围压60MPa</w:t>
            </w:r>
          </w:p>
          <w:p>
            <w:pPr>
              <w:pageBreakBefore w:val="0"/>
              <w:numPr>
                <w:ilvl w:val="0"/>
                <w:numId w:val="2"/>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钛合金材质</w:t>
            </w:r>
          </w:p>
          <w:p>
            <w:pPr>
              <w:pageBreakBefore w:val="0"/>
              <w:numPr>
                <w:ilvl w:val="0"/>
                <w:numId w:val="2"/>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轴向加载位移大于80mm</w:t>
            </w:r>
          </w:p>
          <w:p>
            <w:pPr>
              <w:pageBreakBefore w:val="0"/>
              <w:numPr>
                <w:ilvl w:val="0"/>
                <w:numId w:val="2"/>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最大径向变形不超过1.5‰</w:t>
            </w:r>
          </w:p>
          <w:p>
            <w:pPr>
              <w:pageBreakBefore w:val="0"/>
              <w:numPr>
                <w:ilvl w:val="0"/>
                <w:numId w:val="2"/>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配置满足试验所需的所有液压与信号接口</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合金钢加载仓</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3"/>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最大工作超重力加速度300g</w:t>
            </w:r>
          </w:p>
          <w:p>
            <w:pPr>
              <w:pageBreakBefore w:val="0"/>
              <w:numPr>
                <w:ilvl w:val="0"/>
                <w:numId w:val="3"/>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内腔尺寸满足不小于Ф450mm*800mm模型及配套加热等设施</w:t>
            </w:r>
          </w:p>
          <w:p>
            <w:pPr>
              <w:pageBreakBefore w:val="0"/>
              <w:numPr>
                <w:ilvl w:val="0"/>
                <w:numId w:val="3"/>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最大轴压60MPa，最大围压60MPa</w:t>
            </w:r>
          </w:p>
          <w:p>
            <w:pPr>
              <w:pageBreakBefore w:val="0"/>
              <w:numPr>
                <w:ilvl w:val="0"/>
                <w:numId w:val="3"/>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合金钢材质</w:t>
            </w:r>
          </w:p>
          <w:p>
            <w:pPr>
              <w:pageBreakBefore w:val="0"/>
              <w:numPr>
                <w:ilvl w:val="0"/>
                <w:numId w:val="3"/>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轴向加载位移大于80mm</w:t>
            </w:r>
          </w:p>
          <w:p>
            <w:pPr>
              <w:pageBreakBefore w:val="0"/>
              <w:numPr>
                <w:ilvl w:val="0"/>
                <w:numId w:val="3"/>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最大径向变形不超过1.5‰</w:t>
            </w:r>
          </w:p>
          <w:p>
            <w:pPr>
              <w:pageBreakBefore w:val="0"/>
              <w:numPr>
                <w:ilvl w:val="0"/>
                <w:numId w:val="3"/>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配置满足试验所需的所有液压与信号接口</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轴压加载装置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最大工作超重力加速度300g</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最大加载压力60MPa</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压力控制精度0.002MPa</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位移测量精度0.5%</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位移测量分辨率0.5μm</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控制方式：压力、位移</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超重力下可0-60Mpa输出</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钛合金材质、轻量化处理</w:t>
            </w:r>
          </w:p>
          <w:p>
            <w:pPr>
              <w:pageBreakBefore w:val="0"/>
              <w:numPr>
                <w:ilvl w:val="0"/>
                <w:numId w:val="4"/>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储液罐体：大于40L，</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充液压力：2MPa，</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输出流量：5L/min，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出油过滤装置，0.05mm，</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液面可视窗口，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回液体可视窗口，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快速插拔自锁接头，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140MPa高压针阀，</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底部带4个360°万向轮可任意方向、位置推动</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围压加载装置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最大加载压力60MPa</w:t>
            </w:r>
          </w:p>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加载泵容积15L</w:t>
            </w:r>
          </w:p>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压力控制精度0.002MPa</w:t>
            </w:r>
          </w:p>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压力分辨率0.001MPa</w:t>
            </w:r>
          </w:p>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控制方式：压力、位移</w:t>
            </w:r>
          </w:p>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钛合金材质、轻量化处理</w:t>
            </w:r>
          </w:p>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超重力下可0-60Mpa输出</w:t>
            </w:r>
          </w:p>
          <w:p>
            <w:pPr>
              <w:pageBreakBefore w:val="0"/>
              <w:numPr>
                <w:ilvl w:val="0"/>
                <w:numId w:val="5"/>
              </w:numPr>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储液罐体：大于100L</w:t>
            </w:r>
          </w:p>
          <w:p>
            <w:pPr>
              <w:pageBreakBefore w:val="0"/>
              <w:kinsoku/>
              <w:wordWrap/>
              <w:overflowPunct/>
              <w:topLinePunct w:val="0"/>
              <w:autoSpaceDE/>
              <w:autoSpaceDN/>
              <w:bidi w:val="0"/>
              <w:adjustRightInd w:val="0"/>
              <w:snapToGrid w:val="0"/>
              <w:spacing w:line="288"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充液压力：2MPa</w:t>
            </w:r>
          </w:p>
          <w:p>
            <w:pPr>
              <w:pageBreakBefore w:val="0"/>
              <w:kinsoku/>
              <w:wordWrap/>
              <w:overflowPunct/>
              <w:topLinePunct w:val="0"/>
              <w:autoSpaceDE/>
              <w:autoSpaceDN/>
              <w:bidi w:val="0"/>
              <w:adjustRightInd w:val="0"/>
              <w:snapToGrid w:val="0"/>
              <w:spacing w:line="288"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输出流量：5L/min</w:t>
            </w:r>
          </w:p>
          <w:p>
            <w:pPr>
              <w:pageBreakBefore w:val="0"/>
              <w:kinsoku/>
              <w:wordWrap/>
              <w:overflowPunct/>
              <w:topLinePunct w:val="0"/>
              <w:autoSpaceDE/>
              <w:autoSpaceDN/>
              <w:bidi w:val="0"/>
              <w:adjustRightInd w:val="0"/>
              <w:snapToGrid w:val="0"/>
              <w:spacing w:line="288"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储油过滤装置</w:t>
            </w:r>
          </w:p>
          <w:p>
            <w:pPr>
              <w:pageBreakBefore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液面可视窗口</w:t>
            </w:r>
          </w:p>
          <w:p>
            <w:pPr>
              <w:pageBreakBefore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回液体可视窗口</w:t>
            </w:r>
          </w:p>
          <w:p>
            <w:pPr>
              <w:pageBreakBefore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快速插拔自锁接头</w:t>
            </w:r>
          </w:p>
          <w:p>
            <w:pPr>
              <w:pageBreakBefore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100MPa高压针阀</w:t>
            </w:r>
          </w:p>
          <w:p>
            <w:pPr>
              <w:pageBreakBefore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底部带4个360°万向轮可任意方向、位置推动</w:t>
            </w:r>
            <w:r>
              <w:rPr>
                <w:rFonts w:hint="eastAsia" w:ascii="宋体" w:hAnsi="宋体" w:eastAsia="宋体" w:cs="宋体"/>
                <w:sz w:val="21"/>
                <w:szCs w:val="21"/>
                <w:lang w:eastAsia="zh-CN"/>
              </w:rPr>
              <w:t>。</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围压液</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2"/>
                <w:sz w:val="21"/>
                <w:szCs w:val="21"/>
                <w:lang w:val="en-US" w:eastAsia="zh-CN" w:bidi="ar-SA"/>
              </w:rPr>
              <w:t>配置密度范围在1-3kg/L并提供配置方法</w:t>
            </w:r>
          </w:p>
          <w:p>
            <w:pPr>
              <w:pageBreakBefore w:val="0"/>
              <w:numPr>
                <w:ilvl w:val="0"/>
                <w:numId w:val="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kern w:val="2"/>
                <w:sz w:val="21"/>
                <w:szCs w:val="21"/>
                <w:lang w:val="en-US" w:eastAsia="zh-CN" w:bidi="ar-SA"/>
              </w:rPr>
              <w:t>无毒、不导电（破乳电压&gt;400V）</w:t>
            </w:r>
          </w:p>
          <w:p>
            <w:pPr>
              <w:pageBreakBefore w:val="0"/>
              <w:numPr>
                <w:ilvl w:val="0"/>
                <w:numId w:val="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密度均匀性不随g值变化而改变</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500L</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孔压加载装置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最大加载压力40MPa</w:t>
            </w:r>
          </w:p>
          <w:p>
            <w:pPr>
              <w:pageBreakBefore w:val="0"/>
              <w:numPr>
                <w:ilvl w:val="0"/>
                <w:numId w:val="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增压比1：1</w:t>
            </w:r>
          </w:p>
          <w:p>
            <w:pPr>
              <w:pageBreakBefore w:val="0"/>
              <w:numPr>
                <w:ilvl w:val="0"/>
                <w:numId w:val="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加载泵容积8L</w:t>
            </w:r>
          </w:p>
          <w:p>
            <w:pPr>
              <w:pageBreakBefore w:val="0"/>
              <w:numPr>
                <w:ilvl w:val="0"/>
                <w:numId w:val="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加载位移250mm</w:t>
            </w:r>
          </w:p>
          <w:p>
            <w:pPr>
              <w:pageBreakBefore w:val="0"/>
              <w:numPr>
                <w:ilvl w:val="0"/>
                <w:numId w:val="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压力控制精度0.002MPa</w:t>
            </w:r>
          </w:p>
          <w:p>
            <w:pPr>
              <w:pageBreakBefore w:val="0"/>
              <w:numPr>
                <w:ilvl w:val="0"/>
                <w:numId w:val="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压力分辨率0.001MPa</w:t>
            </w:r>
          </w:p>
          <w:p>
            <w:pPr>
              <w:pageBreakBefore w:val="0"/>
              <w:numPr>
                <w:ilvl w:val="0"/>
                <w:numId w:val="7"/>
              </w:numPr>
              <w:tabs>
                <w:tab w:val="left" w:pos="464"/>
                <w:tab w:val="left" w:pos="491"/>
                <w:tab w:val="left" w:pos="597"/>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位移测量精度0.5%</w:t>
            </w:r>
          </w:p>
          <w:p>
            <w:pPr>
              <w:pageBreakBefore w:val="0"/>
              <w:numPr>
                <w:ilvl w:val="0"/>
                <w:numId w:val="7"/>
              </w:numPr>
              <w:tabs>
                <w:tab w:val="left" w:pos="451"/>
                <w:tab w:val="left" w:pos="584"/>
                <w:tab w:val="left" w:pos="624"/>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位移测量分辨率0.5μm</w:t>
            </w:r>
          </w:p>
          <w:p>
            <w:pPr>
              <w:pageBreakBefore w:val="0"/>
              <w:numPr>
                <w:ilvl w:val="0"/>
                <w:numId w:val="7"/>
              </w:numPr>
              <w:tabs>
                <w:tab w:val="left" w:pos="451"/>
                <w:tab w:val="left" w:pos="571"/>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控制方式：压力、位移</w:t>
            </w:r>
          </w:p>
          <w:p>
            <w:pPr>
              <w:pageBreakBefore w:val="0"/>
              <w:numPr>
                <w:ilvl w:val="0"/>
                <w:numId w:val="7"/>
              </w:numPr>
              <w:tabs>
                <w:tab w:val="left" w:pos="464"/>
                <w:tab w:val="left" w:pos="624"/>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超重力下可0-20Mpa</w:t>
            </w:r>
          </w:p>
          <w:p>
            <w:pPr>
              <w:pageBreakBefore w:val="0"/>
              <w:numPr>
                <w:ilvl w:val="0"/>
                <w:numId w:val="7"/>
              </w:numPr>
              <w:tabs>
                <w:tab w:val="left" w:pos="437"/>
                <w:tab w:val="left" w:pos="517"/>
                <w:tab w:val="left" w:pos="664"/>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钛合金材质</w:t>
            </w:r>
          </w:p>
          <w:p>
            <w:pPr>
              <w:pageBreakBefore w:val="0"/>
              <w:numPr>
                <w:ilvl w:val="0"/>
                <w:numId w:val="7"/>
              </w:numPr>
              <w:tabs>
                <w:tab w:val="left" w:pos="464"/>
                <w:tab w:val="left" w:pos="544"/>
                <w:tab w:val="left" w:pos="731"/>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模型输入端具备超重力下一次补液功能</w:t>
            </w:r>
          </w:p>
          <w:p>
            <w:pPr>
              <w:pageBreakBefore w:val="0"/>
              <w:numPr>
                <w:ilvl w:val="0"/>
                <w:numId w:val="7"/>
              </w:numPr>
              <w:tabs>
                <w:tab w:val="left" w:pos="451"/>
                <w:tab w:val="left" w:pos="544"/>
                <w:tab w:val="left" w:pos="611"/>
                <w:tab w:val="left" w:pos="651"/>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模型输出端具备超重力下多次排空功能</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内压加载装置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最大加载压力100MPa</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加载泵容积10L</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最大输出流量：5L/min</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压力控制精度0.002MPa</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压力分辨率0.001MPa</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位移测量分辨率0.5μm</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控制方式：压力、位移</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超重力下可0-20Mpa</w:t>
            </w:r>
          </w:p>
          <w:p>
            <w:pPr>
              <w:pageBreakBefore w:val="0"/>
              <w:numPr>
                <w:ilvl w:val="0"/>
                <w:numId w:val="8"/>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钛合金材质、轻量化处理</w:t>
            </w:r>
          </w:p>
          <w:p>
            <w:pPr>
              <w:pageBreakBefore w:val="0"/>
              <w:numPr>
                <w:ilvl w:val="0"/>
                <w:numId w:val="8"/>
              </w:numPr>
              <w:tabs>
                <w:tab w:val="left" w:pos="464"/>
                <w:tab w:val="left" w:pos="491"/>
                <w:tab w:val="left" w:pos="624"/>
              </w:tabs>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具备超重力下一次补液功能</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伺服阀</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最大工作超重力加速度40g，伺服响应速度0.2ms,控制电流±40ma</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伺服控制器</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全数字伺服闭环控制器，16通道双闭环控制，分辨率10000000，闭环周期0.2ms，具备时间同步功能</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数据采集卡</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直流信号采集卡，外部插拔</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数据采集卡</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交流信号采集卡，外部插拔</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加热系统</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9"/>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控制最高温度:95摄氏度</w:t>
            </w:r>
          </w:p>
          <w:p>
            <w:pPr>
              <w:pageBreakBefore w:val="0"/>
              <w:numPr>
                <w:ilvl w:val="0"/>
                <w:numId w:val="9"/>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模型上中下及内部多点测温</w:t>
            </w:r>
          </w:p>
          <w:p>
            <w:pPr>
              <w:pageBreakBefore w:val="0"/>
              <w:numPr>
                <w:ilvl w:val="0"/>
                <w:numId w:val="9"/>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模型上下温度差≤5℃</w:t>
            </w:r>
          </w:p>
          <w:p>
            <w:pPr>
              <w:pageBreakBefore w:val="0"/>
              <w:numPr>
                <w:ilvl w:val="0"/>
                <w:numId w:val="9"/>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采样精度： 0.2FS%（优于全量程的0.2%)</w:t>
            </w:r>
          </w:p>
          <w:p>
            <w:pPr>
              <w:pageBreakBefore w:val="0"/>
              <w:numPr>
                <w:ilvl w:val="0"/>
                <w:numId w:val="9"/>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采样速度：0.1~0.3秒采样所有通道可调</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二维加载及监测辅助模块</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C模型:700mm*(10-100)mm*1000mm,可独立控制轴向和围压，加载过程中互不影响。并支持内置高速相机、普通相机对模型表面进行数字散斑监测。</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卸压开挖装置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压力：最高50MPa，卸载方式：瞬时卸压与逐级卸压，加压介质：液压油或空气，加压方式：同步围压</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模型室拆卸及模型安装辅助装置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组装和拆卸过程实现机械化、自动化，包括模型室的拆装、螺栓紧固/拆卸、模型周围密封件的安装与拆卸</w:t>
            </w:r>
            <w:r>
              <w:rPr>
                <w:rFonts w:hint="eastAsia" w:ascii="宋体" w:hAnsi="宋体" w:eastAsia="宋体" w:cs="宋体"/>
                <w:bCs/>
                <w:sz w:val="21"/>
                <w:szCs w:val="21"/>
              </w:rPr>
              <w:t>螺栓拆装工具：气动扭矩扳手；扳手双关节悬臂：2自由度摆臂；模型仓盖提升：液压；模型仓移动：轨道、液压动力</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加载控制与监测系统软件</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sz w:val="21"/>
                <w:szCs w:val="21"/>
              </w:rPr>
              <w:t>试验操控及监测成像处理软件</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吊篮装配模型</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吊篮内空间1：1模型</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橡胶套制作模具</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A模型:Ф700mm(直径)×H1000mm(高)；</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B模型:500mm*500mm*1000mm</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原岩切割打磨模型服务</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切割、打磨制备用户指定材质（或提供原石）的原岩模型，A B C模型（尺寸参见本表13、18条）各2次</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溶解开挖装置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注水流速：0.01～500ml/min，流量精度：≤1%，可正反循环，工作压力：5MPa</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最高工作温度：100℃，控温精度±1℃</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注油（气）速度：0～500ml/min（可调）</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所需工作钻孔尺寸不大于1cm，探头、内外管柱升降自动调节范围：0～50cm，定位精度：±1mm</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盐水浓度测量范围：380g/L，测量精度：0.1%</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气体质量流量计控制器：流量范围0～1000ml/min,工作压力20MPa</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气水界面测试精度2mm，重复精度≤0.2%，工作压力20MPa</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可模拟溶解开挖模拟实验,含吊篮内集液桶100L</w:t>
            </w:r>
          </w:p>
          <w:p>
            <w:pPr>
              <w:pageBreakBefore w:val="0"/>
              <w:numPr>
                <w:ilvl w:val="0"/>
                <w:numId w:val="10"/>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阀门、管线和管柱等与卤水接触部件全部采用316L不锈钢材料制作，其它可能接触卤水的部件（如试件承台等）采用聚四氟乙烯材料制作。</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21</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超声洞室变形探测装置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扫描洞室尺寸范围5-40cm，耐压20MPa，误差：≤1mm；</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内置式光学洞室损伤变形探测装置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扫描洞室尺寸范围5-40cm，建模分辨率0.2mm</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岩石相似材料3D打印制备装置</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需要从砂，铁粉/铁精粉，重晶石粉，碳酸钙，粘土，滑石粉，铅粉，云母粉，软木屑，膨润土，陶瓷，部分高分子材料，石膏，石蜡，水泥，凡士林，树脂、水等仓储材料中选取不少于7种材料，自动取料、称重、搅拌；制备不少于3种不同混合物，按照制样模块所需的速度向其输送</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2）可批量制备不同配比的样品，并分别输送至制样设备</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3）称重精度，10公斤以下要求千分之一，10-1000公斤千分之五；水的总量精度要求千分之一</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4）耐腐蚀、搅拌混合均匀，无死角</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5）配方管理功能，以便操作人员可以根据需要进行配方的调整和保存，记录每种配比的流动度，强度，凝结时间等信息，可以导出</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6）输送通道和搅拌器具有自清洁功能</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7)称重精度，10公斤以下要求千分之一，10-1000公斤千分之五；水的总量精度要求千分之一</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8)不少于3种相似材料制备成任意三维相似模型（外形尺寸包括ABC三种模型（尺寸参见本表13、18条）以及标准50*100mm及100*200mm，内部结构可能含倾斜地层、褶皱地层、断层、结构面以及洞室）</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9)具备传感器自动布置功能，传感器布置定位精度2mm</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10)具备裂缝/结构面制备功能，裂缝定位精度1mm，开度1mm</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11)具备三维洞室制备功能，洞室界面定位精度1mm</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12)充分结合需方提供的现场条件考虑模型运输过程的便捷性</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13)必要区域应封闭设计以防粉尘，如无法避免扬尘应配备足够的清洁设备</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岩石雕刻机</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11"/>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X、Y、Z轴运动定位精度：0.01mm</w:t>
            </w:r>
          </w:p>
          <w:p>
            <w:pPr>
              <w:pageBreakBefore w:val="0"/>
              <w:numPr>
                <w:ilvl w:val="0"/>
                <w:numId w:val="11"/>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X、Y、Z轴重复定位精度：0.01mm</w:t>
            </w:r>
          </w:p>
          <w:p>
            <w:pPr>
              <w:pageBreakBefore w:val="0"/>
              <w:numPr>
                <w:ilvl w:val="0"/>
                <w:numId w:val="11"/>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X、Y、Z轴最大工作行程：优于300×300×200mm</w:t>
            </w:r>
          </w:p>
          <w:p>
            <w:pPr>
              <w:pageBreakBefore w:val="0"/>
              <w:numPr>
                <w:ilvl w:val="0"/>
                <w:numId w:val="11"/>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支持模型尺寸XYZ：1000*1000*500</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三维扫描仪</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扫描尺寸：10mm-1500mm</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单幅扫描时间：＜2s</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扫描出图速度：＜10s</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点云数据：＞1000万</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扫描精度：0.005mm-0.01mm</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扫描头上每个镜头须配有独立镜头防护罩</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标定镜头的大理石校标板2套</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扫描功能、检测功能需集成在同一软件内</w:t>
            </w:r>
          </w:p>
          <w:p>
            <w:pPr>
              <w:pageBreakBefore w:val="0"/>
              <w:widowControl/>
              <w:numPr>
                <w:ilvl w:val="0"/>
                <w:numId w:val="12"/>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数据格式：支持输出ASC、STL、PLY、X3D格式</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Cs/>
                <w:sz w:val="21"/>
                <w:szCs w:val="21"/>
              </w:rPr>
            </w:pPr>
            <w:r>
              <w:rPr>
                <w:rFonts w:hint="eastAsia" w:ascii="宋体" w:hAnsi="宋体" w:eastAsia="宋体" w:cs="宋体"/>
                <w:sz w:val="21"/>
                <w:szCs w:val="21"/>
              </w:rPr>
              <w:t>10）支持多角度自动转动扫描</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26</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超声裂隙探损仪</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裂缝定位精度1cm</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采样周期（μs)：0.025~409.6多档可选</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声时精度（μs)：0.025</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声时范围（us)：±1677700</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动态范围（dB)：154</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频带宽度（kHz)：1~250</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接收灵敏度（uV)：≤10</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增益精度（dB)：0.5</w:t>
            </w:r>
          </w:p>
          <w:p>
            <w:pPr>
              <w:pageBreakBefore w:val="0"/>
              <w:widowControl/>
              <w:numPr>
                <w:ilvl w:val="0"/>
                <w:numId w:val="13"/>
              </w:numPr>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发射电压（V)：65、125、500、1000四档可调</w:t>
            </w:r>
          </w:p>
          <w:p>
            <w:pPr>
              <w:pageBreakBefore w:val="0"/>
              <w:widowControl/>
              <w:numPr>
                <w:ilvl w:val="0"/>
                <w:numId w:val="13"/>
              </w:numPr>
              <w:tabs>
                <w:tab w:val="left" w:pos="424"/>
                <w:tab w:val="left" w:pos="477"/>
                <w:tab w:val="left" w:pos="651"/>
              </w:tabs>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工作时间（h)：≥5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27</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高精度分布式光纤应变测试系统</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能够对传感光纤任一点的温度、应变信息进行监测分析，进行实时传感监测</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单通道传感长度：100 m</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测试通道数：4</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空间分辨率：最高1mm</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空间分辨率：最高1mm，1mm~1cm多档可选</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应变测量范围：±12000με</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应变重复精度：±2με</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传感器匹配性：无需额外软件或特种光纤，可以兼容各种光纤类型及高密度弱反射光纤光栅串</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实时采集、实时保存、测试曲线直观显示分析</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软件可选择传感光纤段和配制扫描参数</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软件支持原始数据文件保存，也可直接保存文本文件，原始数据经过转化后可保存为txt数据，直接输出应变/温度测试结果</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具有修改光纤传感系数的功能</w:t>
            </w:r>
          </w:p>
          <w:p>
            <w:pPr>
              <w:pageBreakBefore w:val="0"/>
              <w:numPr>
                <w:ilvl w:val="0"/>
                <w:numId w:val="14"/>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软件具备长度补偿功能，长度补偿功能用于因断裂续接等造成传感光纤长度改变时，在使用原有的参考文件下继续进行传感测量</w:t>
            </w:r>
          </w:p>
          <w:p>
            <w:pPr>
              <w:pageBreakBefore w:val="0"/>
              <w:widowControl/>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14）软件具备二维形状传感功能，获得结构空间位置和空间姿态</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28</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16通道高速应变仪</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15"/>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测量点数： 优于16 测点</w:t>
            </w:r>
          </w:p>
          <w:p>
            <w:pPr>
              <w:pageBreakBefore w:val="0"/>
              <w:numPr>
                <w:ilvl w:val="0"/>
                <w:numId w:val="15"/>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采样频率：最高1KHz</w:t>
            </w:r>
          </w:p>
          <w:p>
            <w:pPr>
              <w:pageBreakBefore w:val="0"/>
              <w:numPr>
                <w:ilvl w:val="0"/>
                <w:numId w:val="15"/>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测量误差：系统不确定度±0.3%Red±2με（0.5级）</w:t>
            </w:r>
          </w:p>
          <w:p>
            <w:pPr>
              <w:pageBreakBefore w:val="0"/>
              <w:numPr>
                <w:ilvl w:val="0"/>
                <w:numId w:val="15"/>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时间漂移: 小于 2με/2 小时</w:t>
            </w:r>
          </w:p>
          <w:p>
            <w:pPr>
              <w:pageBreakBefore w:val="0"/>
              <w:numPr>
                <w:ilvl w:val="0"/>
                <w:numId w:val="15"/>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温度漂移: 小于 1μV/℃</w:t>
            </w:r>
          </w:p>
          <w:p>
            <w:pPr>
              <w:pageBreakBefore w:val="0"/>
              <w:numPr>
                <w:ilvl w:val="0"/>
                <w:numId w:val="15"/>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分辨率：1με/0.1με根据量程</w:t>
            </w:r>
          </w:p>
          <w:p>
            <w:pPr>
              <w:pageBreakBefore w:val="0"/>
              <w:numPr>
                <w:ilvl w:val="0"/>
                <w:numId w:val="15"/>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配备应变片数量参见表3.4</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29</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数字散斑高速采集系统</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范围0.5平米，分辨率优于0.5mm，帧率大于3000帧 </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16通道声发射系统</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1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声发射主机及软件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主机本身具备电脑主机功能，可以连接显示器直接使用，需包含高性能CPU、内存、硬盘、互联网接口及Windows 7/10操作系统，可实现远程控制。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软件除了能够提取基本的时域声发射征参量外，还具备谱分析功能，可获得局部功率谱、频率质心、峰值频率等参数（附软件截图）。具备数据前端滤波、图形滤波、事后滤波、时差滤波、波形滤波等滤波功能，声发射参数滤波与波形滤波可独立设置；可实现多种滤波组合，滤波设置参数连续可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软件应针对离心环境定制滤波等降噪算法，确保能在实验中反映主要裂缝发展位置和趋势</w:t>
            </w:r>
            <w:r>
              <w:rPr>
                <w:rFonts w:hint="eastAsia" w:ascii="宋体" w:hAnsi="宋体" w:eastAsia="宋体" w:cs="宋体"/>
                <w:sz w:val="21"/>
                <w:szCs w:val="21"/>
                <w:lang w:eastAsia="zh-CN"/>
              </w:rPr>
              <w:t>。</w:t>
            </w:r>
          </w:p>
          <w:p>
            <w:pPr>
              <w:pageBreakBefore w:val="0"/>
              <w:numPr>
                <w:ilvl w:val="0"/>
                <w:numId w:val="1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声发射通道数不少于16个。</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声发射通道数不少于16个。需满足最大300G离心加速度下正常工作</w:t>
            </w:r>
            <w:r>
              <w:rPr>
                <w:rFonts w:hint="eastAsia" w:ascii="宋体" w:hAnsi="宋体" w:eastAsia="宋体" w:cs="宋体"/>
                <w:sz w:val="21"/>
                <w:szCs w:val="21"/>
                <w:lang w:eastAsia="zh-CN"/>
              </w:rPr>
              <w:t>。</w:t>
            </w:r>
          </w:p>
          <w:p>
            <w:pPr>
              <w:pageBreakBefore w:val="0"/>
              <w:numPr>
                <w:ilvl w:val="0"/>
                <w:numId w:val="1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声波传感器*2</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内置一对纵波探头，两对横波探头，可同时测量横波、纵波波速，耐温不小于95°，耐围压不小于60MPa，可在最大300G加速度下正常运行。</w:t>
            </w:r>
          </w:p>
          <w:p>
            <w:pPr>
              <w:pageBreakBefore w:val="0"/>
              <w:numPr>
                <w:ilvl w:val="0"/>
                <w:numId w:val="1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声发射传感器×16</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700*1000mm模型声发射传感器，耐温不小于95°，耐围压不小于60MPa，可在最大300G加速度下正常运行</w:t>
            </w:r>
            <w:r>
              <w:rPr>
                <w:rFonts w:hint="eastAsia" w:ascii="宋体" w:hAnsi="宋体" w:eastAsia="宋体" w:cs="宋体"/>
                <w:sz w:val="21"/>
                <w:szCs w:val="21"/>
                <w:lang w:eastAsia="zh-CN"/>
              </w:rPr>
              <w:t>。</w:t>
            </w:r>
          </w:p>
          <w:p>
            <w:pPr>
              <w:pageBreakBefore w:val="0"/>
              <w:numPr>
                <w:ilvl w:val="0"/>
                <w:numId w:val="1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前置放大器×16</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有20/40/60dB三种放大倍数可选，频率范围不小于20-1200KHz，可在最大300G加速度下正常运行</w:t>
            </w:r>
            <w:r>
              <w:rPr>
                <w:rFonts w:hint="eastAsia" w:ascii="宋体" w:hAnsi="宋体" w:eastAsia="宋体" w:cs="宋体"/>
                <w:sz w:val="21"/>
                <w:szCs w:val="21"/>
                <w:lang w:eastAsia="zh-CN"/>
              </w:rPr>
              <w:t>。</w:t>
            </w:r>
          </w:p>
          <w:p>
            <w:pPr>
              <w:pageBreakBefore w:val="0"/>
              <w:numPr>
                <w:ilvl w:val="0"/>
                <w:numId w:val="16"/>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必要物理耦合措施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应针对300g离心环境定制确保探头与相似模型、原岩模型物理耦合的措施，声发射信号采集成功率应高于90%</w:t>
            </w:r>
            <w:r>
              <w:rPr>
                <w:rFonts w:hint="eastAsia" w:ascii="宋体" w:hAnsi="宋体" w:eastAsia="宋体" w:cs="宋体"/>
                <w:sz w:val="21"/>
                <w:szCs w:val="21"/>
                <w:lang w:eastAsia="zh-CN"/>
              </w:rPr>
              <w:t>。</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31</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盐岩模型熔铸制备设备</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要求制备外形尺寸包括ABC三种模型尺寸以及标准50*100mm及100*200mm的盐岩模型，要求所制备模型力学性质与原岩单轴强度相差小于10%。</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32</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电阻层析成像探头</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功能：采集ERT所需的各电极电压以及阻抗测量</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33</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薄膜应力计</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1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通道数：16通道（可扩至上千通道）</w:t>
            </w:r>
          </w:p>
          <w:p>
            <w:pPr>
              <w:pageBreakBefore w:val="0"/>
              <w:numPr>
                <w:ilvl w:val="0"/>
                <w:numId w:val="1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采样频率：150HZ/通道</w:t>
            </w:r>
          </w:p>
          <w:p>
            <w:pPr>
              <w:pageBreakBefore w:val="0"/>
              <w:numPr>
                <w:ilvl w:val="0"/>
                <w:numId w:val="1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量程：60MPa</w:t>
            </w:r>
          </w:p>
          <w:p>
            <w:pPr>
              <w:pageBreakBefore w:val="0"/>
              <w:numPr>
                <w:ilvl w:val="0"/>
                <w:numId w:val="1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线性误差：＜±3%</w:t>
            </w:r>
          </w:p>
          <w:p>
            <w:pPr>
              <w:pageBreakBefore w:val="0"/>
              <w:numPr>
                <w:ilvl w:val="0"/>
                <w:numId w:val="1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重复性：＜±2.5%</w:t>
            </w:r>
          </w:p>
          <w:p>
            <w:pPr>
              <w:pageBreakBefore w:val="0"/>
              <w:numPr>
                <w:ilvl w:val="0"/>
                <w:numId w:val="1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滞后性：＜±4.5%</w:t>
            </w:r>
          </w:p>
          <w:p>
            <w:pPr>
              <w:pageBreakBefore w:val="0"/>
              <w:numPr>
                <w:ilvl w:val="0"/>
                <w:numId w:val="17"/>
              </w:numPr>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感应面积：优于直径9.52mm</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液压站（地面）</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总流量400L/min、最大压力28Mpa、单独流量10L/min一路、50L/min二路、100L/min三路，自带冷却系统</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35</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Style w:val="18"/>
              <w:pageBreakBefore w:val="0"/>
              <w:kinsoku/>
              <w:wordWrap/>
              <w:overflowPunct/>
              <w:topLinePunct w:val="0"/>
              <w:autoSpaceDE/>
              <w:autoSpaceDN/>
              <w:bidi w:val="0"/>
              <w:adjustRightInd w:val="0"/>
              <w:snapToGrid w:val="0"/>
              <w:spacing w:before="0" w:after="0" w:line="288" w:lineRule="auto"/>
              <w:ind w:left="0" w:leftChars="0" w:firstLine="0" w:firstLineChars="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数值离心试验模拟系统</w:t>
            </w:r>
          </w:p>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1)数值模型建立指标</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所建立数值模型能够直接体现岩石、岩体等材料的非均匀性特征，能够定量衡量岩体材料的非均匀系数</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具备实现不低于亿级自由度有限元模型的建立及数值计算的能力</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具备由ANSYS、PATRAN等数值软件建模并导入模拟系统进行数值计算的能力</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具备由CT扫描图像直接建立三维数值计算模型的能力</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具备与加载系统、声发射损伤场监测系统数据交互的能力，且数据交互延时小于1分钟</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能够自动实现数值计算模拟所用参数的自动率定</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具备模拟岩体大变形、水力压裂、流固耦合等工况数值计算的能力</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2)数值模型加载条件指标</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能够实现岩石等模型常重力加载的数值模拟</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具备数值离心试验模拟功能，且能够实现不低于500g的超重力加载数值模拟</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能够实现离心加载和位移、应力加载的自由组合</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具备在非规则模型导入过程中能够实现其围压、位移、应力等力学条件的有效导入</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具备在数值模型导入过程中，能够实现力学加载条件如围压、轴压的具体加载步设置且其加载量能够分别进行倍数放大或缩小</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3)破坏处理指标</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能够基于有限单元法，实现单元的破坏处理功能，能够模拟岩石等模型的损伤、破坏及裂缝的出现、发展和贯通过程</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4)后处理指标</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能够给出所设置条件下数值模型的弹性模量场、应力场、位移场、渗流场、声发射场、损伤场等场图信息</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对于声发射场的输出，能够人工选择所显示的声发射场的能量范围，且声发射场能够直观显示不同破坏模式的类型</w:t>
            </w:r>
          </w:p>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具备岩体模型内部渗流场的监测功能</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RFPA或ANSYS或ABAQUS或其他同档次品牌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36</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应力、应变、温度、孔压场反演软件</w:t>
            </w:r>
          </w:p>
        </w:tc>
        <w:tc>
          <w:tcPr>
            <w:tcW w:w="530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根据离散测点的数据，反演全模型的各项监测数据</w:t>
            </w:r>
          </w:p>
        </w:tc>
        <w:tc>
          <w:tcPr>
            <w:tcW w:w="7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tc>
      </w:tr>
    </w:tbl>
    <w:p>
      <w:pPr>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3.3 通用技术要求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（1）投标方应根据技术要求进行设计，提出合理、可靠、安全的技术方案；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sz w:val="21"/>
          <w:szCs w:val="21"/>
        </w:rPr>
        <w:t>（2）主要外购产品应使用具备技术支持条件的品牌</w:t>
      </w:r>
      <w:r>
        <w:rPr>
          <w:rFonts w:hint="eastAsia" w:ascii="宋体" w:hAnsi="宋体" w:eastAsia="宋体" w:cs="宋体"/>
          <w:bCs/>
          <w:sz w:val="21"/>
          <w:szCs w:val="21"/>
        </w:rPr>
        <w:t>，同类型外购件尽量选用同一品牌；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（3）成品部件选型优先考虑可靠性，所有电子设备和易损耗部件全部采用国内外一线厂商生产的成熟产品；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（4）所有系统及部件应满足中华人民共和国国家相关标准；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（5）投标方所提供设备应符合规定的指标和要求，如果投标方不能响应，应在技术参数偏离表中说明偏离情况。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投标方需协助招标方完成到设备使用属地质量技术监督局登记、建档、取得使用证。有关装置和部件严格按照国家和行业相关规范进行设计和制造，对材质严格把控，焊接、开孔处和关键部件连接处逐一拍照、检验、检测和存档，关键部件和材料须按国家相关规范取样检测并形成报告提交需方确认，确保达到质量要求。</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3.4 专业技术要求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搭载在离心机上所有部件的静态承载（如可能存在的控制器、连接管线及接头等）、动态作动（如可能存在的阀组、增压器、油缸、电机、压头等）须经按300g设计并经过验算，最终整套系统需在200g验收条件下工作正常；投标方应开展必要的计算仿真、单体器件测试及各模块的综合性能测试，提交不同关键技术的计算报告和测试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本技术要求针对A、B、C三种模型开展。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 φ700*1000mm圆柱形岩体，内部可能含洞室和结构面；</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 500*500*1000mm立方体，内部可能含洞室和结构面；</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 1000*700*（20~100mm范围可调）薄板，内部可能含裂隙。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3.4.1 超重力液压控制系统技术要求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围压1路，在超重力下施加到模型侧面，范围涵盖0-30MPa，提供密度范围涵盖1-3kg/L可调（至少涵盖1、1.5、2、2.5、3kg/L密度）的围压液及配方，且满足无毒、不导电（破乳电压&gt;400V）、密度均匀性不随g值变化而改变；围压加载泵的体积应适当考虑，满足常重力下将模型压缩不少于5%体应变+超重力下压缩不少于1%体应变；常重力充压时间不长于20分钟。控制精度±0.1MPa；</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2）轴压1路，在超重力下施加到模型顶面</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压力控制模式下：范围0-50MPa,超重力下轴压控制精度±0.1MPa;</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位移控制模式下：有效加载行程不小于6%纵向应变；常重力分辨率优于0.5微米,定位精度优于5微米，重复精度优于2微米；超重力分辨率优于1微米,定位精度优于20微米，重复精度优于5微米；</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孔压加载2路，在超重力下施加到A模型顶面、底面，B模型两个侧面，C模型两个窄侧面或两个顶侧面。两路单独控制，压力范围0~20MPa，控制精度±0.1MPa。能满足模型输入面以外其他面的孔压密封。单次输入输出的孔压液体总量应至少能满足2倍模型孔隙体积（按混凝土孔隙率估算），并预留外接额外水箱的接口和功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内液压加载1路，应能自模型顶部、底部、侧面向模型内部注液，注液压力0-100MPa，且具备压力阻隔功能（将压力限制在模型内部指定区域）；具备针对A模型内洞室的循环加载功能，幅值10MPa；压力控制精度±0.1MPa。</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3.4.2 超重力模型温度控制系统技术要求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需控制模型温度范围满足：以模型顶部为主要控制点，下限为离心机室温度（离心机室温度25-45度），模型温度上限为95℃，控制精度0.2°C，模型上端和下端温差不超过5℃。</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3.4.3 超重力模型开挖模拟系统技术要求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提供3种（溶解，卸压，热敏）在超重力情况下模拟地下洞室开挖的可用、可靠功能模块，并能控制分步开挖速率；其中溶解开挖法应能控制溶解注入、排出管口的高度，范围30cm，精度0.1mm；并与洞室内监测设备兼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热敏法应能通过温度控制模块进行分步模拟开挖。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3.4.4 超重力模型监测系统技术要求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应力+应变场监测:提供A、B模型模型内部直接应变测点+全场应力应变反演，直接监测点精度&lt;0.5%；反演监测点分辨率&lt;1cm；</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表面综合监测:针对C模型表面开展基于光学摄像手段的位移场、渗流场、损伤裂缝监测，常重力下不少于70%区域测量分辨率优于0.02mm；</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洞室内监测:针对A、B模型洞室内表面开展基于光学摄像和超声等手段的洞室的形态、表面应变和损伤监测；其中洞室直径8-40cm、耐压20MPa，需在超重力开挖后监测，洞室表面监测分辨率优于0.1mm；</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流场监测:提供高压孔压测点10个，监测压力精度优于1%；提供可用于地面实验及现场测试的不少于6种常见离子（氯钠钾镁钙硫酸根）的单点在线浓度监测，精度优于3%；</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损伤场监测:提供岩体模型内部损伤事件的声发射监测定位功能，持续采集时间不短于4小时，定位情况应能反映主要断裂面的时空发展趋势；</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温度场监测:提供岩体模型内部不少于10个热电偶测点，测量精度优于1℃,分辨率优于0.1℃；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光纤综合监测:提供可贴附于洞室表面、模型表面、或预埋于模型内部的光纤温度、应变、振动等多信息监测系统；监测精度1%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3.4.5 模型制备系统技术要求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岩体相似模型制备系统:不少于10种固/液原料根据设定好的配方自动化称重配比、搅拌成不少于3种相似材料，制备成任意三维相似模型（外形尺寸包括ABC三种模型尺寸以及标准ф50*100mm及ф100*200mm，内部结构可能含倾斜地层、褶皱地层、断层、结构面以及洞室）；并需充分考虑模型内置传感器以及运输过程的便捷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2）岩盐模型熔铸制备系统：利用高温压条件制备盐岩模型模型，尺寸要求同上，要求所制备模型力学性质与原岩强度接近；</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岩体切割雕刻加工系统：针对原岩、混凝土等材料进行ABC三种外形尺寸、任意形态3D洞室的切割雕刻、粘接固定；所采用的粘接材料硬化后的强度应能达到岩石原岩级别的强度。外形切割精度优于5mm，洞室雕刻精度优于0.01mm。</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3.4.6 地面后处理建模系统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将实验破坏之后的模型（可能碎成多块）进行外形光学扫描、内部超声裂缝探测；并将扫描的模型进行三维拼接、重建、展示；光学外形建模精度优于0.05mm；内部裂缝定位及建模精度优于0.2mm。并配备实现碎块状岩石模型的安全拆/拼装的辅助装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3.4.7地面模型快装系统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包括模型室的拆装、螺栓紧固/拆卸、模型周围密封件的安装与拆卸过程实现机械化、自动化。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3.4.8便捷性要求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应充分考虑制样-传感器布置-运输-安装到装置-安装到离心机的整体流程的便捷性；控制软件应充分考虑控制软件界面的操作便捷性、简洁大方、可扩展/可编辑性。位置控制和力控制之间实现无缝切换；提供用户可自定义反馈方式使用任何计算出来的数值作为反馈值进行控制；提供自定义加载曲线接口。提供用户界面可自定义各通道传感器模拟量输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3.4.9力学计算和超重力测试</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对于离心机吊篮上的所有主体部件必须经过300g下的验算，安全系数不低于2；</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布置在离心机吊篮内的部件应集成固定于便于整体吊运的底板上，整体重心位于底板几何中心处；且该部分质量满足表3.1的要求；</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装置所有管线、接头等不得悬空；走线应合理规划布局提高空间利用率。若有悬空部分，则需测试其150g或等效150g荷载下至少8小时的连续工作性能，校核保证接头及悬空段的稳定工作性能；</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所采用的的增压器/加载泵等辅助加载部件尽量统一规格，出厂验收前经过至少1次成功的150g及以上超重力下1h循环作动运行测试。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3.4.10其他</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装置需要提供装置-&gt;子系统-&gt;设备3级的可拆解的模型文件，文件格式为fbx、obj、stp、igs、glb，模型树状结构命名应用中文或英文描述。</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3.5 需方提供的条件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需方安排专职人员负责和土建、离心机接口等的协调与技术支持。离心机为机载装置提供的水、气、油、电接口条件如下：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装置工作时将安装于模型机或重载机吊篮内。其中，模型机吊篮内可用空间为2m(铅直)×1.5m(切向)×1.5m(顺臂)，本装置最大工作加速度200g。部分重力敏感部件可以安装于旋转中心的下仪器舱内，或安装于转臂内部/顶部，通过螺栓固定。重载机，吊篮可用空间为3m(铅直)×2m(切向)×2m(顺臂)，最大工作加速度300g。</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（1）水路：1进1回，进水最高压力4MPa，流量不低于60L/min；通过旋转接头和内部管路向机载装置输送或回收水，一端接口在旋转接头，另一端接口在转臂端部；进水温度最低要求为5℃；</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（2）气路：1进，进气最高压力3MPa，流量6Nm</w:t>
      </w:r>
      <w:r>
        <w:rPr>
          <w:rFonts w:hint="eastAsia" w:ascii="宋体" w:hAnsi="宋体" w:eastAsia="宋体" w:cs="宋体"/>
          <w:kern w:val="2"/>
          <w:sz w:val="21"/>
          <w:szCs w:val="21"/>
          <w:vertAlign w:val="superscript"/>
          <w:lang w:val="en-US" w:eastAsia="zh-CN" w:bidi="ar-SA"/>
        </w:rPr>
        <w:t>3</w:t>
      </w:r>
      <w:r>
        <w:rPr>
          <w:rFonts w:hint="eastAsia" w:ascii="宋体" w:hAnsi="宋体" w:eastAsia="宋体" w:cs="宋体"/>
          <w:kern w:val="2"/>
          <w:sz w:val="21"/>
          <w:szCs w:val="21"/>
          <w:lang w:val="en-US" w:eastAsia="zh-CN" w:bidi="ar-SA"/>
        </w:rPr>
        <w:t>/min；通过旋转接头和内部管路向机载装置输送压缩空气，进气最低温度要求为3℃；</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（3）油路：2进2回，1路进油最高压力28MPa，1路进油最高压力32MPa，每路流量不低于160L/min；其中压力32MPa的油路在转臂上分6进6回，分油器和控制器由投标方自备在下仪器舱布置；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（4）电路：通过功率环和内部线缆为机载装置供220V和380V强电的能力，一端接口在主机控制室，另一端接口在转臂端部最大供电总功率为100kW。</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3.6 文档要求</w:t>
      </w:r>
    </w:p>
    <w:p>
      <w:pPr>
        <w:pageBreakBefore w:val="0"/>
        <w:kinsoku/>
        <w:wordWrap/>
        <w:overflowPunct/>
        <w:topLinePunct w:val="0"/>
        <w:autoSpaceDE/>
        <w:autoSpaceDN/>
        <w:bidi w:val="0"/>
        <w:adjustRightInd w:val="0"/>
        <w:snapToGrid w:val="0"/>
        <w:spacing w:line="288" w:lineRule="auto"/>
        <w:ind w:left="0" w:leftChars="0" w:firstLine="0" w:firstLineChars="0"/>
        <w:contextualSpacing/>
        <w:jc w:val="center"/>
        <w:textAlignment w:val="auto"/>
        <w:rPr>
          <w:rFonts w:hint="eastAsia" w:ascii="宋体" w:hAnsi="宋体" w:eastAsia="宋体" w:cs="宋体"/>
          <w:bCs/>
          <w:sz w:val="21"/>
          <w:szCs w:val="21"/>
        </w:rPr>
      </w:pPr>
      <w:r>
        <w:rPr>
          <w:rFonts w:hint="eastAsia" w:ascii="宋体" w:hAnsi="宋体" w:eastAsia="宋体" w:cs="宋体"/>
          <w:bCs/>
          <w:sz w:val="21"/>
          <w:szCs w:val="21"/>
        </w:rPr>
        <w:t>表 3.3 文档交付清单</w:t>
      </w:r>
    </w:p>
    <w:tbl>
      <w:tblPr>
        <w:tblStyle w:val="24"/>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文件资料名称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一</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方案评审前（合同签订后</w:t>
            </w:r>
            <w:r>
              <w:rPr>
                <w:rFonts w:hint="eastAsia" w:ascii="宋体" w:hAnsi="宋体" w:eastAsia="宋体" w:cs="宋体"/>
                <w:b/>
                <w:sz w:val="21"/>
                <w:szCs w:val="21"/>
                <w:u w:val="single"/>
              </w:rPr>
              <w:t xml:space="preserve"> 60 </w:t>
            </w:r>
            <w:r>
              <w:rPr>
                <w:rFonts w:hint="eastAsia" w:ascii="宋体" w:hAnsi="宋体" w:eastAsia="宋体" w:cs="宋体"/>
                <w:b/>
                <w:sz w:val="21"/>
                <w:szCs w:val="21"/>
              </w:rPr>
              <w:t>个日历天内）提交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项目实施方案、总体设计方案（含计算分析报告）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进度和质量计划（包括设计、制造和安装调试，分阶段提供）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二</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详细设计评审前（合同签订后</w:t>
            </w:r>
            <w:r>
              <w:rPr>
                <w:rFonts w:hint="eastAsia" w:ascii="宋体" w:hAnsi="宋体" w:eastAsia="宋体" w:cs="宋体"/>
                <w:b/>
                <w:sz w:val="21"/>
                <w:szCs w:val="21"/>
                <w:u w:val="single"/>
              </w:rPr>
              <w:t>120</w:t>
            </w:r>
            <w:r>
              <w:rPr>
                <w:rFonts w:hint="eastAsia" w:ascii="宋体" w:hAnsi="宋体" w:eastAsia="宋体" w:cs="宋体"/>
                <w:b/>
                <w:sz w:val="21"/>
                <w:szCs w:val="21"/>
              </w:rPr>
              <w:t>个日历天内）提交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初步设计报告（含设计图纸）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产品清单、主要外购件清单（含供货周期、品牌及数量）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关键技术测试大纲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三</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工程图设计评审前（合同签订后150个日历天内）提交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关键技术方案可行性分析报告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详细设计报告、全套工程设计图纸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四</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现场安装及调试前</w:t>
            </w:r>
            <w:r>
              <w:rPr>
                <w:rFonts w:hint="eastAsia" w:ascii="宋体" w:hAnsi="宋体" w:eastAsia="宋体" w:cs="宋体"/>
                <w:b/>
                <w:sz w:val="21"/>
                <w:szCs w:val="21"/>
                <w:u w:val="single"/>
              </w:rPr>
              <w:t xml:space="preserve"> 30 </w:t>
            </w:r>
            <w:r>
              <w:rPr>
                <w:rFonts w:hint="eastAsia" w:ascii="宋体" w:hAnsi="宋体" w:eastAsia="宋体" w:cs="宋体"/>
                <w:b/>
                <w:sz w:val="21"/>
                <w:szCs w:val="21"/>
              </w:rPr>
              <w:t>个日历天内提交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出厂验收大纲和超重力验收大纲（含相应验收细则）、现场安装、调试实施方案和性能报告（含3.3节各项测试报告）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五</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设备需方验收前</w:t>
            </w:r>
            <w:r>
              <w:rPr>
                <w:rFonts w:hint="eastAsia" w:ascii="宋体" w:hAnsi="宋体" w:eastAsia="宋体" w:cs="宋体"/>
                <w:b/>
                <w:sz w:val="21"/>
                <w:szCs w:val="21"/>
                <w:u w:val="single"/>
              </w:rPr>
              <w:t xml:space="preserve"> 60 </w:t>
            </w:r>
            <w:r>
              <w:rPr>
                <w:rFonts w:hint="eastAsia" w:ascii="宋体" w:hAnsi="宋体" w:eastAsia="宋体" w:cs="宋体"/>
                <w:b/>
                <w:sz w:val="21"/>
                <w:szCs w:val="21"/>
              </w:rPr>
              <w:t>个日历天提交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sz w:val="21"/>
                <w:szCs w:val="21"/>
              </w:rPr>
              <w:t>装置性能测试和调试总结报告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产品出厂检测报告、合格证明文件资料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设备使用说明书、设备运行操作手册（含安全规范）、设备维护手册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全套竣工图纸电子版及纸质版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软件工程化文档（含软件测试说明书、软件使用说明书等）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产品交付清单（含零部件供应商名录）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文件交付清单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备品备件及易损件清单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外采材料质量证明文件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项目总结报告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六</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设备需方验收后</w:t>
            </w:r>
            <w:r>
              <w:rPr>
                <w:rFonts w:hint="eastAsia" w:ascii="宋体" w:hAnsi="宋体" w:eastAsia="宋体" w:cs="宋体"/>
                <w:b/>
                <w:sz w:val="21"/>
                <w:szCs w:val="21"/>
                <w:u w:val="single"/>
              </w:rPr>
              <w:t xml:space="preserve"> 30 </w:t>
            </w:r>
            <w:r>
              <w:rPr>
                <w:rFonts w:hint="eastAsia" w:ascii="宋体" w:hAnsi="宋体" w:eastAsia="宋体" w:cs="宋体"/>
                <w:b/>
                <w:sz w:val="21"/>
                <w:szCs w:val="21"/>
              </w:rPr>
              <w:t>个日历天内提交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450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pageBreakBefore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验收报告</w:t>
            </w:r>
          </w:p>
        </w:tc>
      </w:tr>
    </w:tbl>
    <w:p>
      <w:pPr>
        <w:pageBreakBefore w:val="0"/>
        <w:widowControl/>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注：文件格式应符合《浙江大学CHIEF档案管理实施细则》要求。</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51" w:name="_Toc47175551"/>
      <w:bookmarkStart w:id="52" w:name="_Toc47097569"/>
      <w:r>
        <w:rPr>
          <w:rFonts w:hint="eastAsia" w:ascii="宋体" w:hAnsi="宋体" w:eastAsia="宋体" w:cs="宋体"/>
          <w:b/>
          <w:kern w:val="2"/>
          <w:sz w:val="21"/>
          <w:szCs w:val="21"/>
          <w:lang w:val="en-US" w:eastAsia="zh-CN" w:bidi="ar-SA"/>
        </w:rPr>
        <w:t>4.实施计划</w:t>
      </w:r>
      <w:bookmarkEnd w:id="51"/>
      <w:bookmarkEnd w:id="52"/>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实施计划包括设计阶段、加工制造阶段和现场安装调试及验收阶段。投标方应在投标文件中根据以下时间节点要求，给出详细的进度安排说明，按照要求提供进度月报、并同时向需方汇报月度进展，并应有专人跟进且根据需方要求驻场。</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53" w:name="_Toc47097570"/>
      <w:bookmarkStart w:id="54" w:name="_Toc47175552"/>
      <w:r>
        <w:rPr>
          <w:rFonts w:hint="eastAsia" w:ascii="宋体" w:hAnsi="宋体" w:eastAsia="宋体" w:cs="宋体"/>
          <w:b/>
          <w:bCs/>
          <w:kern w:val="2"/>
          <w:sz w:val="21"/>
          <w:szCs w:val="21"/>
          <w:lang w:val="en-US" w:eastAsia="zh-CN" w:bidi="ar-SA"/>
        </w:rPr>
        <w:t>4.1 设计阶段：</w:t>
      </w:r>
      <w:bookmarkEnd w:id="53"/>
      <w:bookmarkEnd w:id="54"/>
    </w:p>
    <w:p>
      <w:pPr>
        <w:pStyle w:val="110"/>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（1）在合同签订后</w:t>
      </w:r>
      <w:r>
        <w:rPr>
          <w:rFonts w:hint="eastAsia" w:ascii="宋体" w:hAnsi="宋体" w:eastAsia="宋体" w:cs="宋体"/>
          <w:sz w:val="21"/>
          <w:szCs w:val="21"/>
          <w:u w:val="single"/>
        </w:rPr>
        <w:t>60</w:t>
      </w:r>
      <w:r>
        <w:rPr>
          <w:rFonts w:hint="eastAsia" w:ascii="宋体" w:hAnsi="宋体" w:eastAsia="宋体" w:cs="宋体"/>
          <w:sz w:val="21"/>
          <w:szCs w:val="21"/>
        </w:rPr>
        <w:t>个日历天内投标方完成表3.3中序号1~2的文档，通过需方组织的方案评审后方可进入详细设计阶段；</w:t>
      </w:r>
    </w:p>
    <w:p>
      <w:pPr>
        <w:pStyle w:val="110"/>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（2）在合同签订后</w:t>
      </w:r>
      <w:r>
        <w:rPr>
          <w:rFonts w:hint="eastAsia" w:ascii="宋体" w:hAnsi="宋体" w:eastAsia="宋体" w:cs="宋体"/>
          <w:sz w:val="21"/>
          <w:szCs w:val="21"/>
          <w:u w:val="single"/>
        </w:rPr>
        <w:t>120</w:t>
      </w:r>
      <w:r>
        <w:rPr>
          <w:rFonts w:hint="eastAsia" w:ascii="宋体" w:hAnsi="宋体" w:eastAsia="宋体" w:cs="宋体"/>
          <w:sz w:val="21"/>
          <w:szCs w:val="21"/>
        </w:rPr>
        <w:t>个日历天内投标方完成表3.3中序号3~5的文档并提交需方，经需方确认后方可进入工程图设计阶段；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（3）在合同签订后</w:t>
      </w:r>
      <w:r>
        <w:rPr>
          <w:rFonts w:hint="eastAsia" w:ascii="宋体" w:hAnsi="宋体" w:eastAsia="宋体" w:cs="宋体"/>
          <w:sz w:val="21"/>
          <w:szCs w:val="21"/>
          <w:u w:val="single"/>
        </w:rPr>
        <w:t>150</w:t>
      </w:r>
      <w:r>
        <w:rPr>
          <w:rFonts w:hint="eastAsia" w:ascii="宋体" w:hAnsi="宋体" w:eastAsia="宋体" w:cs="宋体"/>
          <w:sz w:val="21"/>
          <w:szCs w:val="21"/>
        </w:rPr>
        <w:t>个日历天内投标方完成表3.3中序号6~7的文档并提交需方，通过需方组织的评审后方可进入加工制造阶段。</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55" w:name="_Toc47097572"/>
      <w:bookmarkStart w:id="56" w:name="_Toc47175554"/>
      <w:r>
        <w:rPr>
          <w:rFonts w:hint="eastAsia" w:ascii="宋体" w:hAnsi="宋体" w:eastAsia="宋体" w:cs="宋体"/>
          <w:b/>
          <w:bCs/>
          <w:kern w:val="2"/>
          <w:sz w:val="21"/>
          <w:szCs w:val="21"/>
          <w:lang w:val="en-US" w:eastAsia="zh-CN" w:bidi="ar-SA"/>
        </w:rPr>
        <w:t>4.2 加工制造和初步测试阶段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项目实施过程中投标方应按照《实施方案》和《质量计划》的要求对质量控制点严格控制。若加工制造过程中存在变更，须经需方确认后实施。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合同签订后</w:t>
      </w:r>
      <w:r>
        <w:rPr>
          <w:rFonts w:hint="eastAsia" w:ascii="宋体" w:hAnsi="宋体" w:eastAsia="宋体" w:cs="宋体"/>
          <w:sz w:val="21"/>
          <w:szCs w:val="21"/>
          <w:u w:val="single"/>
        </w:rPr>
        <w:t>8</w:t>
      </w:r>
      <w:r>
        <w:rPr>
          <w:rFonts w:hint="eastAsia" w:ascii="宋体" w:hAnsi="宋体" w:eastAsia="宋体" w:cs="宋体"/>
          <w:sz w:val="21"/>
          <w:szCs w:val="21"/>
        </w:rPr>
        <w:t>个月内完成关键部件制造和性能测试；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（2）合同签订后</w:t>
      </w:r>
      <w:r>
        <w:rPr>
          <w:rFonts w:hint="eastAsia" w:ascii="宋体" w:hAnsi="宋体" w:eastAsia="宋体" w:cs="宋体"/>
          <w:sz w:val="21"/>
          <w:szCs w:val="21"/>
          <w:u w:val="single"/>
        </w:rPr>
        <w:t>13</w:t>
      </w:r>
      <w:r>
        <w:rPr>
          <w:rFonts w:hint="eastAsia" w:ascii="宋体" w:hAnsi="宋体" w:eastAsia="宋体" w:cs="宋体"/>
          <w:sz w:val="21"/>
          <w:szCs w:val="21"/>
        </w:rPr>
        <w:t>个月内完成装置整体组装和常重力测试；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（3）装置出厂前，投标方组织需方到加工场地进行出厂验收，并提供出厂验收报告。</w:t>
      </w:r>
    </w:p>
    <w:bookmarkEnd w:id="55"/>
    <w:bookmarkEnd w:id="56"/>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57" w:name="_Toc47097573"/>
      <w:bookmarkStart w:id="58" w:name="_Toc47175555"/>
      <w:r>
        <w:rPr>
          <w:rFonts w:hint="eastAsia" w:ascii="宋体" w:hAnsi="宋体" w:eastAsia="宋体" w:cs="宋体"/>
          <w:b/>
          <w:bCs/>
          <w:kern w:val="2"/>
          <w:sz w:val="21"/>
          <w:szCs w:val="21"/>
          <w:lang w:val="en-US" w:eastAsia="zh-CN" w:bidi="ar-SA"/>
        </w:rPr>
        <w:t>4.3 现场安装调试及验收测试阶段</w:t>
      </w:r>
    </w:p>
    <w:p>
      <w:pPr>
        <w:pageBreakBefore w:val="0"/>
        <w:kinsoku/>
        <w:wordWrap/>
        <w:overflowPunct/>
        <w:topLinePunct w:val="0"/>
        <w:autoSpaceDE/>
        <w:autoSpaceDN/>
        <w:bidi w:val="0"/>
        <w:adjustRightInd w:val="0"/>
        <w:snapToGrid w:val="0"/>
        <w:spacing w:line="288" w:lineRule="auto"/>
        <w:ind w:left="0" w:leftChars="0"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（1）现场安装调试前</w:t>
      </w:r>
      <w:r>
        <w:rPr>
          <w:rFonts w:hint="eastAsia" w:ascii="宋体" w:hAnsi="宋体" w:eastAsia="宋体" w:cs="宋体"/>
          <w:sz w:val="21"/>
          <w:szCs w:val="21"/>
          <w:u w:val="single"/>
        </w:rPr>
        <w:t>30</w:t>
      </w:r>
      <w:r>
        <w:rPr>
          <w:rFonts w:hint="eastAsia" w:ascii="宋体" w:hAnsi="宋体" w:eastAsia="宋体" w:cs="宋体"/>
          <w:sz w:val="21"/>
          <w:szCs w:val="21"/>
        </w:rPr>
        <w:t>个日历天完成表3.3中序号8的文档，并提交需方确认；</w:t>
      </w:r>
    </w:p>
    <w:p>
      <w:pPr>
        <w:pageBreakBefore w:val="0"/>
        <w:kinsoku/>
        <w:wordWrap/>
        <w:overflowPunct/>
        <w:topLinePunct w:val="0"/>
        <w:autoSpaceDE/>
        <w:autoSpaceDN/>
        <w:bidi w:val="0"/>
        <w:adjustRightInd w:val="0"/>
        <w:snapToGrid w:val="0"/>
        <w:spacing w:line="288" w:lineRule="auto"/>
        <w:ind w:left="0" w:leftChars="0" w:firstLine="0" w:firstLineChars="0"/>
        <w:contextualSpacing/>
        <w:textAlignment w:val="auto"/>
        <w:rPr>
          <w:rFonts w:hint="eastAsia" w:ascii="宋体" w:hAnsi="宋体" w:eastAsia="宋体" w:cs="宋体"/>
          <w:sz w:val="21"/>
          <w:szCs w:val="21"/>
        </w:rPr>
      </w:pPr>
      <w:r>
        <w:rPr>
          <w:rFonts w:hint="eastAsia" w:ascii="宋体" w:hAnsi="宋体" w:eastAsia="宋体" w:cs="宋体"/>
          <w:sz w:val="21"/>
          <w:szCs w:val="21"/>
        </w:rPr>
        <w:t>（2）验收前</w:t>
      </w:r>
      <w:r>
        <w:rPr>
          <w:rFonts w:hint="eastAsia" w:ascii="宋体" w:hAnsi="宋体" w:eastAsia="宋体" w:cs="宋体"/>
          <w:sz w:val="21"/>
          <w:szCs w:val="21"/>
          <w:u w:val="single"/>
        </w:rPr>
        <w:t>60</w:t>
      </w:r>
      <w:r>
        <w:rPr>
          <w:rFonts w:hint="eastAsia" w:ascii="宋体" w:hAnsi="宋体" w:eastAsia="宋体" w:cs="宋体"/>
          <w:sz w:val="21"/>
          <w:szCs w:val="21"/>
        </w:rPr>
        <w:t>个日历天内完成表3.3中序号9~18的文档，提交需方确认，并通过需方组织的验收。</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5.产品包装、运输要求</w:t>
      </w:r>
      <w:bookmarkEnd w:id="57"/>
      <w:bookmarkEnd w:id="58"/>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方发货前应根据图纸目录，列出详细的装箱、发运清单。投标方负责将装置所有设备运输至现场并完成现场安装，负责完成装置出厂前的洁净包装和运输及在现场不同作业区域的传输与转运。需方应根据投标方需求提供设备存储场地。投标方应根据现场条件针对设备进行保护，避免设备在存放过程中出现破损、受潮等现象的发生。</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59" w:name="_Toc47175556"/>
      <w:bookmarkStart w:id="60" w:name="_Toc47097574"/>
      <w:r>
        <w:rPr>
          <w:rFonts w:hint="eastAsia" w:ascii="宋体" w:hAnsi="宋体" w:eastAsia="宋体" w:cs="宋体"/>
          <w:b/>
          <w:kern w:val="2"/>
          <w:sz w:val="21"/>
          <w:szCs w:val="21"/>
          <w:lang w:val="en-US" w:eastAsia="zh-CN" w:bidi="ar-SA"/>
        </w:rPr>
        <w:t>6.现场安装调试要求</w:t>
      </w:r>
      <w:bookmarkEnd w:id="59"/>
      <w:bookmarkEnd w:id="60"/>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方派安装队伍到需方现场进行设备安装调试，并对设备开箱、吊装、安装质量、管线接口匹配的正确性负全部责任。投标方按照《现场安装及调试实施方案》负责完成深地空间围岩灾变实验装置出厂前的各项检查，负责完成装置现场安装与调试，负责完成现场的联机调试确保各项技术指标达到设计要求。需方负责提供现场装调的场地。需方在实验场地提供设备安装所需起吊、运输设备，其他安装所需工具由投标方自行解决。投标方负责装置安装期间运维，同时自备安装调试所需的检测及其它专用工具。安装、调试中，由于技术方案不合理而导致的缺货或漏项，由投标方负责免费提供。</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61" w:name="_Toc47175557"/>
      <w:bookmarkStart w:id="62" w:name="_Toc47097575"/>
      <w:r>
        <w:rPr>
          <w:rFonts w:hint="eastAsia" w:ascii="宋体" w:hAnsi="宋体" w:eastAsia="宋体" w:cs="宋体"/>
          <w:b/>
          <w:kern w:val="2"/>
          <w:sz w:val="21"/>
          <w:szCs w:val="21"/>
          <w:lang w:val="en-US" w:eastAsia="zh-CN" w:bidi="ar-SA"/>
        </w:rPr>
        <w:t>7.设备的验收</w:t>
      </w:r>
      <w:bookmarkEnd w:id="61"/>
      <w:bookmarkEnd w:id="62"/>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63" w:name="_Toc47097576"/>
      <w:bookmarkStart w:id="64" w:name="_Toc47175558"/>
      <w:r>
        <w:rPr>
          <w:rFonts w:hint="eastAsia" w:ascii="宋体" w:hAnsi="宋体" w:eastAsia="宋体" w:cs="宋体"/>
          <w:b/>
          <w:bCs/>
          <w:kern w:val="2"/>
          <w:sz w:val="21"/>
          <w:szCs w:val="21"/>
          <w:lang w:val="en-US" w:eastAsia="zh-CN" w:bidi="ar-SA"/>
        </w:rPr>
        <w:t>7.1 验收时间和地点</w:t>
      </w:r>
      <w:bookmarkEnd w:id="63"/>
      <w:bookmarkEnd w:id="64"/>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出厂验收：合同签订后</w:t>
      </w:r>
      <w:r>
        <w:rPr>
          <w:rFonts w:hint="eastAsia" w:ascii="宋体" w:hAnsi="宋体" w:eastAsia="宋体" w:cs="宋体"/>
          <w:sz w:val="21"/>
          <w:szCs w:val="21"/>
          <w:u w:val="single"/>
        </w:rPr>
        <w:t>14</w:t>
      </w:r>
      <w:r>
        <w:rPr>
          <w:rFonts w:hint="eastAsia" w:ascii="宋体" w:hAnsi="宋体" w:eastAsia="宋体" w:cs="宋体"/>
          <w:sz w:val="21"/>
          <w:szCs w:val="21"/>
        </w:rPr>
        <w:t>个月内在投标方设备生产地出厂验收；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需方组织的验收：合同签订后</w:t>
      </w:r>
      <w:r>
        <w:rPr>
          <w:rFonts w:hint="eastAsia" w:ascii="宋体" w:hAnsi="宋体" w:eastAsia="宋体" w:cs="宋体"/>
          <w:sz w:val="21"/>
          <w:szCs w:val="21"/>
          <w:u w:val="single"/>
        </w:rPr>
        <w:t>16</w:t>
      </w:r>
      <w:r>
        <w:rPr>
          <w:rFonts w:hint="eastAsia" w:ascii="宋体" w:hAnsi="宋体" w:eastAsia="宋体" w:cs="宋体"/>
          <w:sz w:val="21"/>
          <w:szCs w:val="21"/>
        </w:rPr>
        <w:t>个月内在需方指定地点进行验收；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教育部组织的工艺验收：在教育部指定的时间和地点工艺验收；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国家发展改革委组织的国家验收：在国家发展改革委指定的时间和地点完成国家验收；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若基建工程或主机建设推迟，则上述时间相应顺延。</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65" w:name="_Toc47175561"/>
      <w:bookmarkStart w:id="66" w:name="_Toc47097579"/>
      <w:r>
        <w:rPr>
          <w:rFonts w:hint="eastAsia" w:ascii="宋体" w:hAnsi="宋体" w:eastAsia="宋体" w:cs="宋体"/>
          <w:b/>
          <w:bCs/>
          <w:kern w:val="2"/>
          <w:sz w:val="21"/>
          <w:szCs w:val="21"/>
          <w:lang w:val="en-US" w:eastAsia="zh-CN" w:bidi="ar-SA"/>
        </w:rPr>
        <w:t xml:space="preserve">7.2 </w:t>
      </w:r>
      <w:bookmarkStart w:id="67" w:name="_Toc47175559"/>
      <w:bookmarkStart w:id="68" w:name="_Toc47097577"/>
      <w:r>
        <w:rPr>
          <w:rFonts w:hint="eastAsia" w:ascii="宋体" w:hAnsi="宋体" w:eastAsia="宋体" w:cs="宋体"/>
          <w:b/>
          <w:bCs/>
          <w:kern w:val="2"/>
          <w:sz w:val="21"/>
          <w:szCs w:val="21"/>
          <w:lang w:val="en-US" w:eastAsia="zh-CN" w:bidi="ar-SA"/>
        </w:rPr>
        <w:t>验收依据</w:t>
      </w:r>
      <w:bookmarkEnd w:id="67"/>
      <w:bookmarkEnd w:id="68"/>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《验收大纲》须经过需方组织的评审并通过后，方可作为验收依据。需方依照《验收大纲》约定的技术和参数进行验收。</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7.3 出厂验收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jc w:val="left"/>
        <w:textAlignment w:val="auto"/>
        <w:rPr>
          <w:rFonts w:hint="eastAsia" w:ascii="宋体" w:hAnsi="宋体" w:eastAsia="宋体" w:cs="宋体"/>
          <w:sz w:val="21"/>
          <w:szCs w:val="21"/>
        </w:rPr>
      </w:pPr>
      <w:r>
        <w:rPr>
          <w:rFonts w:hint="eastAsia" w:ascii="宋体" w:hAnsi="宋体" w:eastAsia="宋体" w:cs="宋体"/>
          <w:sz w:val="21"/>
          <w:szCs w:val="21"/>
        </w:rPr>
        <w:t>（1）在设备加工场地对关键部件的尺寸、功能和接口等进行出厂验收，并对装置整体功能测试，验收合格并经投标方和需方签字形成出厂验收文件后方可发货；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jc w:val="left"/>
        <w:textAlignment w:val="auto"/>
        <w:rPr>
          <w:rFonts w:hint="eastAsia" w:ascii="宋体" w:hAnsi="宋体" w:eastAsia="宋体" w:cs="宋体"/>
          <w:sz w:val="21"/>
          <w:szCs w:val="21"/>
        </w:rPr>
      </w:pPr>
      <w:r>
        <w:rPr>
          <w:rFonts w:hint="eastAsia" w:ascii="宋体" w:hAnsi="宋体" w:eastAsia="宋体" w:cs="宋体"/>
          <w:sz w:val="21"/>
          <w:szCs w:val="21"/>
        </w:rPr>
        <w:t>（2）如需方到投标方设备所在地进行出厂验收，则以上工作可由两方共同进行，并应对需方人员进行操作和维护培训；</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jc w:val="left"/>
        <w:textAlignment w:val="auto"/>
        <w:rPr>
          <w:rFonts w:hint="eastAsia" w:ascii="宋体" w:hAnsi="宋体" w:eastAsia="宋体" w:cs="宋体"/>
          <w:sz w:val="21"/>
          <w:szCs w:val="21"/>
        </w:rPr>
      </w:pPr>
      <w:r>
        <w:rPr>
          <w:rFonts w:hint="eastAsia" w:ascii="宋体" w:hAnsi="宋体" w:eastAsia="宋体" w:cs="宋体"/>
          <w:sz w:val="21"/>
          <w:szCs w:val="21"/>
        </w:rPr>
        <w:t>（3）设备出厂验收合格后，投标方须对设备进行彻底的清洁才能将设备及全套合法资料包装运输至需方指定场地。</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7.4 需方组织的验收</w:t>
      </w:r>
      <w:bookmarkEnd w:id="65"/>
      <w:bookmarkEnd w:id="66"/>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投标方应提供验收大纲，包含对设备技术要求所列条目的测试和检验，验收方案通过需方组织的评审后实行。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（1）资料验收。投标方应检查并确认按合同规定所应提供的资料是否齐全，资料应包括设备的出厂验收结论；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需方按照《验收大纲》相关要求，对装置进行指标和功能测试。验收时，各系统均应在正常运行状态，系统各项技术指标均应达到设计要求，各组件匹配良好，系统运转正常、安全、可靠。测试完成后形成测试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（3）由投标方现场操作、演示技术规格书中规定的各种功能、测量参数、控制参数、精度等内容，均符合要求后，由投标方和需方签字确认；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（4）通过需方组织的验收后，开始计算质保期。</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69" w:name="_Toc47175562"/>
      <w:bookmarkStart w:id="70" w:name="_Toc47097580"/>
      <w:r>
        <w:rPr>
          <w:rFonts w:hint="eastAsia" w:ascii="宋体" w:hAnsi="宋体" w:eastAsia="宋体" w:cs="宋体"/>
          <w:b/>
          <w:bCs/>
          <w:kern w:val="2"/>
          <w:sz w:val="21"/>
          <w:szCs w:val="21"/>
          <w:lang w:val="en-US" w:eastAsia="zh-CN" w:bidi="ar-SA"/>
        </w:rPr>
        <w:t>7.5 教育部组织的工艺验收</w:t>
      </w:r>
      <w:bookmarkEnd w:id="69"/>
      <w:bookmarkEnd w:id="70"/>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投标方协助需方完成教育部组织的验收。</w:t>
      </w:r>
    </w:p>
    <w:p>
      <w:pPr>
        <w:keepNext/>
        <w:keepLines/>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both"/>
        <w:textAlignment w:val="auto"/>
        <w:outlineLvl w:val="1"/>
        <w:rPr>
          <w:rFonts w:hint="eastAsia" w:ascii="宋体" w:hAnsi="宋体" w:eastAsia="宋体" w:cs="宋体"/>
          <w:b/>
          <w:bCs/>
          <w:kern w:val="2"/>
          <w:sz w:val="21"/>
          <w:szCs w:val="21"/>
          <w:lang w:val="en-US" w:eastAsia="zh-CN" w:bidi="ar-SA"/>
        </w:rPr>
      </w:pPr>
      <w:bookmarkStart w:id="71" w:name="_Toc47175563"/>
      <w:bookmarkStart w:id="72" w:name="_Toc47097581"/>
      <w:r>
        <w:rPr>
          <w:rFonts w:hint="eastAsia" w:ascii="宋体" w:hAnsi="宋体" w:eastAsia="宋体" w:cs="宋体"/>
          <w:b/>
          <w:bCs/>
          <w:kern w:val="2"/>
          <w:sz w:val="21"/>
          <w:szCs w:val="21"/>
          <w:lang w:val="en-US" w:eastAsia="zh-CN" w:bidi="ar-SA"/>
        </w:rPr>
        <w:t>7.6 国家发展改革委组织的国家验收</w:t>
      </w:r>
      <w:bookmarkEnd w:id="71"/>
      <w:bookmarkEnd w:id="72"/>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投标方协助需方完成国家发展改革委组织的验收。</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73" w:name="_Toc47097583"/>
      <w:bookmarkStart w:id="74" w:name="_Toc47175565"/>
      <w:r>
        <w:rPr>
          <w:rFonts w:hint="eastAsia" w:ascii="宋体" w:hAnsi="宋体" w:eastAsia="宋体" w:cs="宋体"/>
          <w:b/>
          <w:kern w:val="2"/>
          <w:sz w:val="21"/>
          <w:szCs w:val="21"/>
          <w:lang w:val="en-US" w:eastAsia="zh-CN" w:bidi="ar-SA"/>
        </w:rPr>
        <w:t>8.设备的售后服务</w:t>
      </w:r>
      <w:bookmarkEnd w:id="73"/>
      <w:bookmarkEnd w:id="74"/>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（1）质保期至少为</w:t>
      </w:r>
      <w:r>
        <w:rPr>
          <w:rFonts w:hint="eastAsia" w:ascii="宋体" w:hAnsi="宋体" w:eastAsia="宋体" w:cs="宋体"/>
          <w:sz w:val="21"/>
          <w:szCs w:val="21"/>
          <w:u w:val="single"/>
        </w:rPr>
        <w:t>2</w:t>
      </w:r>
      <w:r>
        <w:rPr>
          <w:rFonts w:hint="eastAsia" w:ascii="宋体" w:hAnsi="宋体" w:eastAsia="宋体" w:cs="宋体"/>
          <w:sz w:val="21"/>
          <w:szCs w:val="21"/>
        </w:rPr>
        <w:t>年。自通过需方组织的验收之日起开始计算质保期。装置终身保修，质保期内，投标方免费维修、保养并负责由此产生的一切费用，质保期内更换的部件的质保期从更换完毕之日重新计算；遇到设备故障时，投标方应在</w:t>
      </w:r>
      <w:r>
        <w:rPr>
          <w:rFonts w:hint="eastAsia" w:ascii="宋体" w:hAnsi="宋体" w:eastAsia="宋体" w:cs="宋体"/>
          <w:sz w:val="21"/>
          <w:szCs w:val="21"/>
          <w:u w:val="single"/>
        </w:rPr>
        <w:t>12</w:t>
      </w:r>
      <w:r>
        <w:rPr>
          <w:rFonts w:hint="eastAsia" w:ascii="宋体" w:hAnsi="宋体" w:eastAsia="宋体" w:cs="宋体"/>
          <w:sz w:val="21"/>
          <w:szCs w:val="21"/>
        </w:rPr>
        <w:t>小时内响应并提供维护服务指导，在</w:t>
      </w:r>
      <w:r>
        <w:rPr>
          <w:rFonts w:hint="eastAsia" w:ascii="宋体" w:hAnsi="宋体" w:eastAsia="宋体" w:cs="宋体"/>
          <w:sz w:val="21"/>
          <w:szCs w:val="21"/>
          <w:u w:val="single"/>
        </w:rPr>
        <w:t>72</w:t>
      </w:r>
      <w:r>
        <w:rPr>
          <w:rFonts w:hint="eastAsia" w:ascii="宋体" w:hAnsi="宋体" w:eastAsia="宋体" w:cs="宋体"/>
          <w:sz w:val="21"/>
          <w:szCs w:val="21"/>
        </w:rPr>
        <w:t>小时内安排相关专业人员到达现场维修。重大问题或其他无法迅速解决的问题应在</w:t>
      </w:r>
      <w:r>
        <w:rPr>
          <w:rFonts w:hint="eastAsia" w:ascii="宋体" w:hAnsi="宋体" w:eastAsia="宋体" w:cs="宋体"/>
          <w:sz w:val="21"/>
          <w:szCs w:val="21"/>
          <w:u w:val="single"/>
        </w:rPr>
        <w:t>2</w:t>
      </w:r>
      <w:r>
        <w:rPr>
          <w:rFonts w:hint="eastAsia" w:ascii="宋体" w:hAnsi="宋体" w:eastAsia="宋体" w:cs="宋体"/>
          <w:sz w:val="21"/>
          <w:szCs w:val="21"/>
        </w:rPr>
        <w:t>周内解决，如不能按期排除故障，则质保期顺延；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投标方应保证其提供的货物是全新的、未使用过的，并在各方面符合合同规定的质量、规格和性能要求。投标方应保证其货物在经过正确安装、合理操作和维护保养的前提下，在货物寿命期内运转良好。在规定的质保期内，投标方应对由于设计、工艺或材料等缺陷而造成的任何缺陷或故障负责。除合同中另有规定外，出现上述情况，投标方应在上述响应时间内，免费负责修理或更换有缺陷的零部件或整机。对造成的损失需方享有索赔的权利；</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（3）需方验收前，发生的任何部件失效，均由投标方免费提供全新部件替换；</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（4）质保期内，发生非消耗性部件失效，由投标方负责免费提供全新部件替换；</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（5）投标方在质保期内至少保证每年回访一次，并形成必要的维修、更新、检查记录；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（6）质保期届满后，投标方应继续为需方提供专业维修服务，由此发生的备品备件费用由需方承担。</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75" w:name="_Toc47175566"/>
      <w:bookmarkStart w:id="76" w:name="_Toc47097584"/>
      <w:r>
        <w:rPr>
          <w:rFonts w:hint="eastAsia" w:ascii="宋体" w:hAnsi="宋体" w:eastAsia="宋体" w:cs="宋体"/>
          <w:b/>
          <w:kern w:val="2"/>
          <w:sz w:val="21"/>
          <w:szCs w:val="21"/>
          <w:lang w:val="en-US" w:eastAsia="zh-CN" w:bidi="ar-SA"/>
        </w:rPr>
        <w:t>9.培训的要求</w:t>
      </w:r>
      <w:bookmarkEnd w:id="75"/>
      <w:bookmarkEnd w:id="76"/>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（1）投标方在投标时应提供较详细的对需方人员的培训计划；</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（2）投标方应在需方组织的验收前完成对需方运行人员的培训，并提供完整的《设备运行操作规程/手册（含安全规范）》；</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投标方应驻派有经验、态度积极的工程师进行培训，培训过程有问题随时解答，确保需方的有关操作人员能独立、熟练、正确操作使用、维护设备，有关的维修人员能独立排除设备的常见故障，中途不得更换工程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（4）投标方对需方人员培训内容包括但不限于设备原理、机械结构及各功能模块介绍、以及设备基本故障诊断排查、易损部件更换、程序设置、工艺操作等，及设备上离心机测试的配合；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（5）现场培训应在需方指定地点进行，培训不得少于10人次，培训期间投标方发生费用由投标方自行解决。</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bookmarkStart w:id="77" w:name="_Toc47175567"/>
      <w:bookmarkStart w:id="78" w:name="_Toc47097585"/>
      <w:r>
        <w:rPr>
          <w:rFonts w:hint="eastAsia" w:ascii="宋体" w:hAnsi="宋体" w:eastAsia="宋体" w:cs="宋体"/>
          <w:b/>
          <w:kern w:val="2"/>
          <w:sz w:val="21"/>
          <w:szCs w:val="21"/>
          <w:lang w:val="en-US" w:eastAsia="zh-CN" w:bidi="ar-SA"/>
        </w:rPr>
        <w:t>10.设备附属件的要求及配件清单、外采材料设备的要求等</w:t>
      </w:r>
      <w:bookmarkEnd w:id="77"/>
      <w:bookmarkEnd w:id="78"/>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质保期内，投标方免费提供机械、接头、密封部件、监测传感器等易损备品备件，并计入投标报价；在符合国家相关规范和行业惯例的备品备件之外，提出额外的备品备件要求如下表。其中不可回收的监测传感器应按照4倍或下表值的较大值配备；其他易损传感器应按照2倍或下表值的较大值配备。</w:t>
      </w:r>
    </w:p>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表3.4备品备件明细表</w:t>
      </w:r>
    </w:p>
    <w:tbl>
      <w:tblPr>
        <w:tblStyle w:val="24"/>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4469"/>
        <w:gridCol w:w="2298"/>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top"/>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序号</w:t>
            </w:r>
          </w:p>
        </w:tc>
        <w:tc>
          <w:tcPr>
            <w:tcW w:w="2349" w:type="pct"/>
            <w:noWrap w:val="0"/>
            <w:vAlign w:val="top"/>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部件名称</w:t>
            </w:r>
          </w:p>
        </w:tc>
        <w:tc>
          <w:tcPr>
            <w:tcW w:w="1208" w:type="pct"/>
            <w:noWrap w:val="0"/>
            <w:vAlign w:val="top"/>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数量</w:t>
            </w:r>
          </w:p>
        </w:tc>
        <w:tc>
          <w:tcPr>
            <w:tcW w:w="977" w:type="pct"/>
            <w:noWrap w:val="0"/>
            <w:vAlign w:val="top"/>
          </w:tcPr>
          <w:p>
            <w:pPr>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压力传感器</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位移传感器</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温度传感器</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50只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应变片</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200片</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高精度孔压传感器</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电阻率测点</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100个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耐高压声发射传感器</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应变砖</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100只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薄膜应力传感器</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增压器活塞</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增压器密封件</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20套</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多信息光纤</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100 m</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密封胶套</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镀银导线0.2mm</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10卷</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高温高压密封连接器</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航空快拉自锁插头</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50个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17</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吊篮内转接高压胶管</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10根</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18</w:t>
            </w:r>
          </w:p>
        </w:tc>
        <w:tc>
          <w:tcPr>
            <w:tcW w:w="2349"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高压针阀</w:t>
            </w:r>
          </w:p>
        </w:tc>
        <w:tc>
          <w:tcPr>
            <w:tcW w:w="1208"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5个</w:t>
            </w:r>
          </w:p>
        </w:tc>
        <w:tc>
          <w:tcPr>
            <w:tcW w:w="977" w:type="pct"/>
            <w:noWrap w:val="0"/>
            <w:vAlign w:val="center"/>
          </w:tcPr>
          <w:p>
            <w:pPr>
              <w:pageBreakBefore w:val="0"/>
              <w:widowControl w:val="0"/>
              <w:tabs>
                <w:tab w:val="left" w:pos="612"/>
              </w:tabs>
              <w:kinsoku/>
              <w:wordWrap/>
              <w:overflowPunct/>
              <w:topLinePunct w:val="0"/>
              <w:autoSpaceDE/>
              <w:autoSpaceDN/>
              <w:bidi w:val="0"/>
              <w:adjustRightInd w:val="0"/>
              <w:snapToGrid w:val="0"/>
              <w:spacing w:before="0" w:beforeLines="0" w:after="0" w:afterLines="0" w:line="288" w:lineRule="auto"/>
              <w:ind w:left="0" w:leftChars="0" w:firstLine="0" w:firstLineChars="0"/>
              <w:jc w:val="center"/>
              <w:textAlignment w:val="auto"/>
              <w:rPr>
                <w:rFonts w:hint="eastAsia" w:ascii="宋体" w:hAnsi="宋体" w:eastAsia="宋体" w:cs="宋体"/>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（2）列出常用备品备件报价清单，质保期后，投标方应以不高于市场价格提供配件；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（3）备品备件应与原设备部件为同档次产品，且能与原设备互换，并具有与原设备相同的材料和质量；备品备件应按要求进行处理和包装，以防止在储藏时变质，并应与设备一起发货；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（4）投标方须在交付资料中提供外采材料的质量证明文件等；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（5）其它未列出的备品备件选项，投标方可列出优惠条款，待中标后视情况在技术协议中由双方共同商定。</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11.知识产权</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本项目所产生的设备研究开发成果及其相关知识产权权利归浙江大学所有。</w:t>
      </w:r>
    </w:p>
    <w:p>
      <w:pPr>
        <w:pageBreakBefore w:val="0"/>
        <w:widowControl w:val="0"/>
        <w:numPr>
          <w:ilvl w:val="0"/>
          <w:numId w:val="0"/>
        </w:numPr>
        <w:kinsoku/>
        <w:wordWrap/>
        <w:overflowPunct/>
        <w:topLinePunct w:val="0"/>
        <w:autoSpaceDE/>
        <w:autoSpaceDN/>
        <w:bidi w:val="0"/>
        <w:adjustRightInd w:val="0"/>
        <w:snapToGrid w:val="0"/>
        <w:spacing w:before="0" w:beforeLines="0" w:after="0" w:afterLines="0" w:line="288" w:lineRule="auto"/>
        <w:ind w:leftChars="0"/>
        <w:jc w:val="both"/>
        <w:textAlignment w:val="auto"/>
        <w:outlineLvl w:val="0"/>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12.招标技术文件资料要求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投标方需要在投标文件中提供以下配套资料：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（1）装置总体设计方案和计算书、设备布置图、工艺流程图；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（2）关键模块或部件设计图纸；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（3）关键设备选型及性能参数；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（4）控制系统软、硬件结构总图和软件模块功能描述；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若必要，投标方可根据自身技术方案特点补充提供其它必要设计</w:t>
      </w:r>
      <w:r>
        <w:rPr>
          <w:rFonts w:hint="eastAsia" w:ascii="宋体" w:hAnsi="宋体" w:eastAsia="宋体" w:cs="宋体"/>
          <w:sz w:val="21"/>
          <w:szCs w:val="21"/>
          <w:lang w:eastAsia="zh-CN"/>
        </w:rPr>
        <w:t>。</w:t>
      </w:r>
    </w:p>
    <w:bookmarkEnd w:id="39"/>
    <w:p>
      <w:pPr>
        <w:adjustRightInd w:val="0"/>
        <w:snapToGrid w:val="0"/>
        <w:spacing w:line="288" w:lineRule="auto"/>
        <w:rPr>
          <w:rFonts w:ascii="宋体" w:hAnsi="宋体" w:eastAsia="宋体" w:cs="Times New Roman"/>
          <w:b/>
          <w:bCs/>
          <w:szCs w:val="21"/>
        </w:rPr>
      </w:pPr>
    </w:p>
    <w:p>
      <w:pPr>
        <w:widowControl/>
        <w:adjustRightInd w:val="0"/>
        <w:snapToGrid w:val="0"/>
        <w:spacing w:line="288" w:lineRule="auto"/>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w:t>
            </w:r>
            <w:r>
              <w:rPr>
                <w:rFonts w:hint="eastAsia" w:ascii="宋体" w:hAnsi="宋体" w:eastAsia="宋体"/>
                <w:szCs w:val="21"/>
                <w:lang w:eastAsia="zh-CN"/>
              </w:rPr>
              <w:t>浙江大学深地空间围岩灾变实验装置</w:t>
            </w:r>
            <w:r>
              <w:rPr>
                <w:rFonts w:hint="eastAsia" w:ascii="宋体" w:hAnsi="宋体" w:eastAsia="宋体"/>
                <w:szCs w:val="21"/>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1</w:t>
            </w:r>
            <w:r>
              <w:rPr>
                <w:rFonts w:ascii="宋体" w:hAnsi="宋体" w:eastAsia="宋体"/>
                <w:szCs w:val="21"/>
              </w:rPr>
              <w:t>.投标人代表是法定代表人</w:t>
            </w:r>
            <w:r>
              <w:rPr>
                <w:rFonts w:hint="eastAsia" w:ascii="宋体" w:hAnsi="宋体" w:eastAsia="宋体"/>
                <w:szCs w:val="21"/>
              </w:rPr>
              <w:t>（单位负责人、自然人本人）的，须提供本人身份证明。</w:t>
            </w:r>
          </w:p>
          <w:p>
            <w:pPr>
              <w:adjustRightInd w:val="0"/>
              <w:snapToGrid w:val="0"/>
              <w:spacing w:line="288" w:lineRule="auto"/>
              <w:rPr>
                <w:rFonts w:ascii="宋体" w:hAnsi="宋体" w:eastAsia="宋体"/>
                <w:szCs w:val="21"/>
              </w:rPr>
            </w:pPr>
            <w:r>
              <w:rPr>
                <w:rFonts w:hint="eastAsia" w:ascii="宋体" w:hAnsi="宋体" w:eastAsia="宋体"/>
                <w:szCs w:val="21"/>
                <w:lang w:eastAsia="zh-CN"/>
              </w:rPr>
              <w:t>★</w:t>
            </w:r>
            <w:r>
              <w:rPr>
                <w:rFonts w:ascii="宋体" w:hAnsi="宋体" w:eastAsia="宋体"/>
                <w:szCs w:val="21"/>
              </w:rPr>
              <w:t>2</w:t>
            </w:r>
            <w:r>
              <w:rPr>
                <w:rFonts w:hint="eastAsia" w:ascii="宋体" w:hAnsi="宋体" w:eastAsia="宋体"/>
                <w:szCs w:val="21"/>
              </w:rPr>
              <w:t>.</w:t>
            </w:r>
            <w:r>
              <w:rPr>
                <w:rFonts w:ascii="宋体" w:hAnsi="宋体" w:eastAsia="宋体"/>
                <w:szCs w:val="21"/>
              </w:rPr>
              <w:t>投标人代表不是法定代表人</w:t>
            </w:r>
            <w:r>
              <w:rPr>
                <w:rFonts w:hint="eastAsia" w:ascii="宋体" w:hAnsi="宋体" w:eastAsia="宋体"/>
                <w:szCs w:val="21"/>
              </w:rPr>
              <w:t>（单位负责人、自然人本人）的</w:t>
            </w:r>
            <w:r>
              <w:rPr>
                <w:rFonts w:ascii="宋体" w:hAnsi="宋体" w:eastAsia="宋体"/>
                <w:szCs w:val="21"/>
              </w:rPr>
              <w:t>，须提供</w:t>
            </w:r>
            <w:r>
              <w:rPr>
                <w:rFonts w:ascii="宋体" w:hAnsi="宋体" w:eastAsia="宋体"/>
                <w:bCs/>
                <w:szCs w:val="21"/>
              </w:rPr>
              <w:t>授权</w:t>
            </w:r>
            <w:r>
              <w:rPr>
                <w:rFonts w:hint="eastAsia" w:ascii="宋体" w:hAnsi="宋体" w:eastAsia="宋体"/>
                <w:bCs/>
                <w:szCs w:val="21"/>
              </w:rPr>
              <w:t>委托</w:t>
            </w:r>
            <w:r>
              <w:rPr>
                <w:rFonts w:ascii="宋体" w:hAnsi="宋体" w:eastAsia="宋体"/>
                <w:bCs/>
                <w:szCs w:val="21"/>
                <w:highlight w:val="none"/>
              </w:rPr>
              <w:t>书</w:t>
            </w:r>
            <w:r>
              <w:rPr>
                <w:rFonts w:hint="eastAsia" w:ascii="宋体" w:hAnsi="宋体" w:eastAsia="宋体"/>
                <w:szCs w:val="21"/>
                <w:highlight w:val="none"/>
              </w:rPr>
              <w:t>（格式详见招标文件第六章）和授权代表社保缴纳证明（</w:t>
            </w:r>
            <w:r>
              <w:rPr>
                <w:rFonts w:ascii="宋体" w:hAnsi="宋体" w:eastAsia="宋体"/>
                <w:szCs w:val="21"/>
                <w:highlight w:val="none"/>
              </w:rPr>
              <w:t>202</w:t>
            </w:r>
            <w:r>
              <w:rPr>
                <w:rFonts w:hint="eastAsia" w:ascii="宋体" w:hAnsi="宋体" w:eastAsia="宋体"/>
                <w:szCs w:val="21"/>
                <w:highlight w:val="none"/>
                <w:lang w:val="en-US" w:eastAsia="zh-CN"/>
              </w:rPr>
              <w:t>2</w:t>
            </w:r>
            <w:r>
              <w:rPr>
                <w:rFonts w:ascii="宋体" w:hAnsi="宋体" w:eastAsia="宋体"/>
                <w:szCs w:val="21"/>
                <w:highlight w:val="none"/>
              </w:rPr>
              <w:t>年12月（含）以后任意一月）</w:t>
            </w:r>
            <w:r>
              <w:rPr>
                <w:rFonts w:hint="eastAsia" w:ascii="宋体" w:hAnsi="宋体" w:eastAsia="宋体"/>
                <w:szCs w:val="21"/>
                <w:highlight w:val="none"/>
              </w:rPr>
              <w:t>；</w:t>
            </w:r>
          </w:p>
          <w:p>
            <w:pPr>
              <w:adjustRightInd w:val="0"/>
              <w:snapToGrid w:val="0"/>
              <w:spacing w:line="288" w:lineRule="auto"/>
              <w:rPr>
                <w:rFonts w:ascii="宋体" w:hAnsi="宋体" w:eastAsia="宋体"/>
                <w:szCs w:val="21"/>
              </w:rPr>
            </w:pPr>
            <w:r>
              <w:rPr>
                <w:rFonts w:hint="eastAsia" w:ascii="宋体" w:hAnsi="宋体" w:eastAsia="宋体"/>
                <w:szCs w:val="21"/>
                <w:lang w:eastAsia="zh-CN"/>
              </w:rPr>
              <w:t>★</w:t>
            </w:r>
            <w:r>
              <w:rPr>
                <w:rFonts w:ascii="宋体" w:hAnsi="宋体" w:eastAsia="宋体"/>
                <w:szCs w:val="21"/>
              </w:rPr>
              <w:t>3.</w:t>
            </w:r>
            <w:r>
              <w:rPr>
                <w:rFonts w:hint="eastAsia" w:ascii="宋体" w:hAnsi="宋体" w:eastAsia="宋体"/>
                <w:szCs w:val="21"/>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收费标准（差额累进）：</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w:t>
                  </w:r>
                  <w:r>
                    <w:rPr>
                      <w:rFonts w:hint="eastAsia" w:ascii="宋体" w:hAnsi="宋体" w:eastAsia="宋体"/>
                      <w:szCs w:val="21"/>
                      <w:highlight w:val="none"/>
                      <w:lang w:val="en-US" w:eastAsia="zh-CN"/>
                    </w:rPr>
                    <w:t>0</w:t>
                  </w:r>
                  <w:r>
                    <w:rPr>
                      <w:rFonts w:hint="eastAsia" w:ascii="宋体" w:hAnsi="宋体" w:eastAsia="宋体"/>
                      <w:szCs w:val="21"/>
                      <w:highlight w:val="none"/>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0.77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Cs w:val="21"/>
                      <w:highlight w:val="none"/>
                    </w:rPr>
                  </w:pPr>
                  <w:r>
                    <w:rPr>
                      <w:rFonts w:hint="eastAsia" w:ascii="宋体" w:hAnsi="宋体" w:eastAsia="宋体"/>
                      <w:szCs w:val="21"/>
                      <w:highlight w:val="none"/>
                    </w:rPr>
                    <w:t>500—1000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rPr>
                    <w:t>0.</w:t>
                  </w:r>
                  <w:r>
                    <w:rPr>
                      <w:rFonts w:hint="eastAsia" w:ascii="宋体" w:hAnsi="宋体" w:eastAsia="宋体"/>
                      <w:szCs w:val="21"/>
                      <w:highlight w:val="none"/>
                      <w:lang w:val="en-US" w:eastAsia="zh-CN"/>
                    </w:rPr>
                    <w:t>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Cs w:val="21"/>
                      <w:highlight w:val="none"/>
                    </w:rPr>
                  </w:pPr>
                  <w:r>
                    <w:rPr>
                      <w:rFonts w:hint="eastAsia" w:ascii="宋体" w:hAnsi="宋体" w:eastAsia="宋体"/>
                      <w:szCs w:val="21"/>
                      <w:highlight w:val="none"/>
                    </w:rPr>
                    <w:t>1000—5000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rPr>
                    <w:t>0.</w:t>
                  </w:r>
                  <w:r>
                    <w:rPr>
                      <w:rFonts w:hint="eastAsia" w:ascii="宋体" w:hAnsi="宋体" w:eastAsia="宋体"/>
                      <w:szCs w:val="21"/>
                      <w:highlight w:val="none"/>
                      <w:lang w:val="en-US" w:eastAsia="zh-CN"/>
                    </w:rPr>
                    <w:t>35</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本项目（</w:t>
            </w:r>
            <w:r>
              <w:rPr>
                <w:rFonts w:hint="eastAsia" w:ascii="宋体" w:hAnsi="宋体" w:eastAsia="宋体"/>
                <w:szCs w:val="21"/>
                <w:lang w:val="en-US" w:eastAsia="zh-CN"/>
              </w:rPr>
              <w:t>否</w:t>
            </w:r>
            <w:r>
              <w:rPr>
                <w:rFonts w:hint="eastAsia" w:ascii="宋体" w:hAnsi="宋体" w:eastAsia="宋体"/>
                <w:szCs w:val="21"/>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本项目不允许转包；</w:t>
            </w:r>
          </w:p>
          <w:p>
            <w:pPr>
              <w:adjustRightInd w:val="0"/>
              <w:snapToGrid w:val="0"/>
              <w:spacing w:line="288" w:lineRule="auto"/>
              <w:jc w:val="left"/>
              <w:rPr>
                <w:rFonts w:hint="eastAsia" w:ascii="宋体" w:hAnsi="宋体" w:eastAsia="宋体" w:cs="Times New Roman"/>
                <w:spacing w:val="-6"/>
                <w:szCs w:val="21"/>
                <w:lang w:val="en-US" w:eastAsia="zh-CN"/>
              </w:rPr>
            </w:pPr>
            <w:r>
              <w:rPr>
                <w:rFonts w:ascii="宋体" w:hAnsi="宋体" w:eastAsia="宋体"/>
                <w:color w:val="auto"/>
                <w:szCs w:val="21"/>
                <w:highlight w:val="none"/>
              </w:rPr>
              <w:t>2.</w:t>
            </w:r>
            <w:r>
              <w:rPr>
                <w:rFonts w:hint="eastAsia" w:ascii="宋体" w:hAnsi="宋体" w:eastAsia="宋体"/>
                <w:color w:val="auto"/>
                <w:szCs w:val="21"/>
                <w:highlight w:val="none"/>
              </w:rPr>
              <w:t>本项目不允许分包</w:t>
            </w:r>
            <w:r>
              <w:rPr>
                <w:rFonts w:hint="eastAsia" w:ascii="宋体" w:hAnsi="宋体" w:eastAsia="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bCs/>
                <w:szCs w:val="21"/>
              </w:rPr>
              <w:t>根据财库[2016]125号《关于在政府采购活动中查询及使用信用记录有关问题的通知》要求，采购代理机构会对投标人信用记录进行查询并甄别。信用</w:t>
            </w:r>
            <w:r>
              <w:rPr>
                <w:rFonts w:hint="eastAsia" w:ascii="宋体" w:hAnsi="宋体" w:eastAsia="宋体"/>
                <w:szCs w:val="21"/>
              </w:rPr>
              <w:t>信息查询的截止时点：投标截止时间；</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）查询渠道：“信用中国”（www.creditchina.gov.cn）、“中国政府采购网”（www.ccgp.gov.cn）；</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bCs/>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资格审查要求的资格证明材料（均需加盖公章）</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1）有效的法人或者其他组织的营业执照等证明文件，自然人的身份证明</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2）符合参加政府采购活动应当具备的一般条件的承诺函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spacing w:val="-6"/>
                <w:szCs w:val="21"/>
              </w:rPr>
            </w:pPr>
            <w:r>
              <w:rPr>
                <w:rFonts w:hint="eastAsia" w:ascii="宋体" w:hAnsi="宋体" w:eastAsia="宋体"/>
                <w:bCs/>
                <w:spacing w:val="-6"/>
                <w:szCs w:val="21"/>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szCs w:val="21"/>
                <w:highlight w:val="yellow"/>
              </w:rPr>
            </w:pPr>
            <w:r>
              <w:rPr>
                <w:rFonts w:hint="eastAsia" w:ascii="宋体" w:hAnsi="宋体" w:eastAsia="宋体"/>
                <w:bCs/>
                <w:spacing w:val="-6"/>
                <w:szCs w:val="21"/>
              </w:rPr>
              <w:t>备份投标文件：密封包装后EMS或顺丰邮寄形式递交一份（邮寄地址：</w:t>
            </w:r>
            <w:r>
              <w:rPr>
                <w:rFonts w:hint="eastAsia" w:ascii="宋体" w:hAnsi="宋体" w:eastAsia="宋体" w:cs="宋体"/>
                <w:bCs/>
                <w:szCs w:val="21"/>
              </w:rPr>
              <w:t>杭州市西湖区玉古</w:t>
            </w:r>
            <w:r>
              <w:rPr>
                <w:rFonts w:hint="eastAsia" w:ascii="宋体" w:hAnsi="宋体" w:eastAsia="宋体" w:cs="宋体"/>
                <w:bCs/>
                <w:szCs w:val="21"/>
                <w:highlight w:val="none"/>
              </w:rPr>
              <w:t>路173号中田大厦21楼H室，浙江求是招标代理有限公司（</w:t>
            </w:r>
            <w:r>
              <w:rPr>
                <w:rFonts w:hint="eastAsia" w:ascii="宋体" w:hAnsi="宋体" w:eastAsia="宋体" w:cs="宋体"/>
                <w:bCs/>
                <w:szCs w:val="21"/>
                <w:highlight w:val="none"/>
                <w:lang w:val="en-US" w:eastAsia="zh-CN"/>
              </w:rPr>
              <w:t>叶鲁茂</w:t>
            </w:r>
            <w:r>
              <w:rPr>
                <w:rFonts w:hint="eastAsia" w:ascii="宋体" w:hAnsi="宋体" w:eastAsia="宋体" w:cs="宋体"/>
                <w:bCs/>
                <w:szCs w:val="21"/>
                <w:highlight w:val="none"/>
              </w:rPr>
              <w:t>）收，电话：0571-8766</w:t>
            </w:r>
            <w:r>
              <w:rPr>
                <w:rFonts w:hint="eastAsia" w:ascii="宋体" w:hAnsi="宋体" w:eastAsia="宋体" w:cs="宋体"/>
                <w:bCs/>
                <w:szCs w:val="21"/>
                <w:highlight w:val="none"/>
                <w:lang w:val="en-US" w:eastAsia="zh-CN"/>
              </w:rPr>
              <w:t>119</w:t>
            </w:r>
            <w:r>
              <w:rPr>
                <w:rFonts w:hint="eastAsia" w:ascii="宋体" w:hAnsi="宋体" w:eastAsia="宋体" w:cs="宋体"/>
                <w:bCs/>
                <w:szCs w:val="21"/>
                <w:highlight w:val="none"/>
              </w:rPr>
              <w:t>，寄出后将（快递单号、项目名称、公司名称、联系方式等相关信息）发至：zb</w:t>
            </w:r>
            <w:r>
              <w:rPr>
                <w:rFonts w:hint="eastAsia" w:ascii="宋体" w:hAnsi="宋体" w:eastAsia="宋体" w:cs="宋体"/>
                <w:bCs/>
                <w:szCs w:val="21"/>
                <w:highlight w:val="none"/>
                <w:lang w:val="en-US" w:eastAsia="zh-CN"/>
              </w:rPr>
              <w:t>01</w:t>
            </w:r>
            <w:r>
              <w:rPr>
                <w:rFonts w:hint="eastAsia" w:ascii="宋体" w:hAnsi="宋体" w:eastAsia="宋体" w:cs="宋体"/>
                <w:bCs/>
                <w:szCs w:val="21"/>
                <w:highlight w:val="none"/>
              </w:rPr>
              <w:t>@qszb.net，以便查收）。</w:t>
            </w:r>
          </w:p>
          <w:p>
            <w:pPr>
              <w:adjustRightInd w:val="0"/>
              <w:snapToGrid w:val="0"/>
              <w:spacing w:line="288" w:lineRule="auto"/>
              <w:ind w:firstLine="422" w:firstLineChars="200"/>
              <w:jc w:val="left"/>
              <w:rPr>
                <w:rFonts w:ascii="宋体" w:hAnsi="宋体" w:eastAsia="宋体"/>
                <w:bCs/>
                <w:spacing w:val="-6"/>
                <w:szCs w:val="21"/>
                <w:highlight w:val="yellow"/>
              </w:rPr>
            </w:pPr>
            <w:r>
              <w:rPr>
                <w:rFonts w:hint="eastAsia" w:ascii="宋体" w:hAnsi="宋体" w:eastAsia="宋体" w:cs="宋体"/>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rPr>
            </w:pPr>
            <w:r>
              <w:rPr>
                <w:rFonts w:hint="eastAsia" w:ascii="宋体" w:hAnsi="宋体" w:eastAsia="宋体"/>
                <w:szCs w:val="21"/>
              </w:rPr>
              <w:t>2.不管是否为进口产品，投标人均应以人民币报价，人民币报价直接作为价格分计算依据；</w:t>
            </w:r>
          </w:p>
          <w:p>
            <w:pPr>
              <w:adjustRightInd w:val="0"/>
              <w:snapToGrid w:val="0"/>
              <w:spacing w:line="288" w:lineRule="auto"/>
              <w:rPr>
                <w:rFonts w:ascii="宋体" w:hAnsi="宋体" w:eastAsia="宋体"/>
                <w:szCs w:val="21"/>
              </w:rPr>
            </w:pPr>
            <w:r>
              <w:rPr>
                <w:rFonts w:hint="eastAsia" w:ascii="宋体" w:hAnsi="宋体" w:eastAsia="宋体"/>
                <w:szCs w:val="21"/>
              </w:rPr>
              <w:t>3.投标报价是履行合同的最终价格，有关本项目实施所涉及的一切费用均计入报价；</w:t>
            </w:r>
          </w:p>
          <w:p>
            <w:pPr>
              <w:adjustRightInd w:val="0"/>
              <w:snapToGrid w:val="0"/>
              <w:spacing w:line="288" w:lineRule="auto"/>
              <w:rPr>
                <w:rFonts w:ascii="宋体" w:hAnsi="宋体" w:eastAsia="宋体"/>
                <w:szCs w:val="21"/>
              </w:rPr>
            </w:pPr>
            <w:r>
              <w:rPr>
                <w:rFonts w:hint="eastAsia" w:ascii="宋体" w:hAnsi="宋体" w:eastAsia="宋体"/>
                <w:szCs w:val="21"/>
              </w:rPr>
              <w:t>4.投标文件只允许有一个报价，有选择的报价将不予接受。</w:t>
            </w:r>
          </w:p>
          <w:p>
            <w:pPr>
              <w:pStyle w:val="13"/>
              <w:adjustRightInd w:val="0"/>
              <w:snapToGrid w:val="0"/>
              <w:spacing w:before="0" w:beforeLines="0" w:after="0" w:afterLines="0" w:line="288" w:lineRule="auto"/>
              <w:jc w:val="left"/>
              <w:rPr>
                <w:rFonts w:hAnsi="宋体" w:eastAsia="宋体" w:cs="宋体"/>
                <w:sz w:val="21"/>
                <w:szCs w:val="21"/>
              </w:rPr>
            </w:pPr>
            <w:r>
              <w:rPr>
                <w:rFonts w:hint="eastAsia" w:hAnsi="宋体" w:eastAsia="宋体" w:cs="宋体"/>
                <w:sz w:val="21"/>
                <w:szCs w:val="21"/>
                <w:highlight w:val="none"/>
                <w:lang w:eastAsia="zh-CN"/>
              </w:rPr>
              <w:t>★</w:t>
            </w: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采购人将以合同形式有偿取得货物或服务，不接受投标人给予的赠品、回扣或者与采购无关的其他商品、服务，不得出现“</w:t>
            </w:r>
            <w:r>
              <w:rPr>
                <w:rFonts w:hAnsi="宋体" w:eastAsia="宋体" w:cs="宋体"/>
                <w:sz w:val="21"/>
                <w:szCs w:val="21"/>
                <w:highlight w:val="none"/>
              </w:rPr>
              <w:t>0元”“免费赠送”等形式的无偿报价，否则视为投标文件含有采购人不能接受的附加条件的，投标无效。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评标方法及评标标准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评标方法及评标标准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评标结果公示媒体：中国政府采购网（http://www.ccgp.gov.cn）、浙江政府采购网（http://zfcg.czt.zj.gov.cn）</w:t>
            </w:r>
            <w:r>
              <w:rPr>
                <w:rFonts w:hint="eastAsia" w:ascii="宋体" w:hAnsi="宋体" w:eastAsia="宋体"/>
                <w:szCs w:val="21"/>
                <w:lang w:eastAsia="zh-CN"/>
              </w:rPr>
              <w:t>、</w:t>
            </w:r>
            <w:r>
              <w:rPr>
                <w:rFonts w:hint="eastAsia" w:ascii="宋体" w:hAnsi="宋体" w:eastAsia="宋体"/>
                <w:szCs w:val="21"/>
              </w:rPr>
              <w:t>浙江大学采购网（http://www.zupc.zju.edu.cn/cms/e?page=cms.index）。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ind w:firstLine="396" w:firstLineChars="200"/>
        <w:jc w:val="left"/>
        <w:rPr>
          <w:rFonts w:ascii="宋体" w:hAnsi="宋体" w:eastAsia="宋体" w:cs="Times New Roman"/>
          <w:spacing w:val="-6"/>
          <w:szCs w:val="21"/>
        </w:rPr>
      </w:pPr>
      <w:bookmarkStart w:id="79" w:name="_Hlk94018326"/>
      <w:r>
        <w:rPr>
          <w:rFonts w:ascii="宋体" w:hAnsi="宋体" w:eastAsia="宋体" w:cs="Times New Roman"/>
          <w:spacing w:val="-6"/>
          <w:szCs w:val="21"/>
        </w:rPr>
        <w:t>投标人应仔细阅读招标文件的所有内容，按照招标文件的要求提交投标文件，并对所提供的全部资料的真实性承担法律责任。</w:t>
      </w:r>
    </w:p>
    <w:bookmarkEnd w:id="79"/>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w:t>
      </w:r>
      <w:r>
        <w:rPr>
          <w:rFonts w:hint="eastAsia" w:ascii="宋体" w:hAnsi="宋体" w:eastAsia="宋体" w:cs="Times New Roman"/>
          <w:spacing w:val="-6"/>
          <w:szCs w:val="21"/>
          <w:lang w:eastAsia="zh-CN"/>
        </w:rPr>
        <w:t>浙江大学深地空间围岩灾变实验装置</w:t>
      </w:r>
      <w:r>
        <w:rPr>
          <w:rFonts w:hint="eastAsia" w:ascii="宋体" w:hAnsi="宋体" w:eastAsia="宋体" w:cs="Times New Roman"/>
          <w:spacing w:val="-6"/>
          <w:szCs w:val="21"/>
        </w:rPr>
        <w:t>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w:t>
      </w:r>
      <w:r>
        <w:rPr>
          <w:rFonts w:hint="eastAsia" w:ascii="宋体" w:hAnsi="宋体" w:eastAsia="宋体" w:cs="Times New Roman"/>
          <w:spacing w:val="-6"/>
          <w:szCs w:val="21"/>
          <w:lang w:eastAsia="zh-CN"/>
        </w:rPr>
        <w:t>浙江大学</w:t>
      </w:r>
      <w:r>
        <w:rPr>
          <w:rFonts w:hint="eastAsia" w:ascii="宋体" w:hAnsi="宋体" w:eastAsia="宋体" w:cs="Times New Roman"/>
          <w:spacing w:val="-6"/>
          <w:szCs w:val="21"/>
        </w:rPr>
        <w:t>；</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adjustRightInd w:val="0"/>
        <w:snapToGrid w:val="0"/>
        <w:spacing w:line="288" w:lineRule="auto"/>
        <w:ind w:firstLine="420" w:firstLineChars="200"/>
        <w:jc w:val="left"/>
        <w:rPr>
          <w:rFonts w:ascii="宋体" w:hAnsi="宋体" w:eastAsia="宋体"/>
          <w:szCs w:val="21"/>
        </w:rPr>
      </w:pPr>
      <w:bookmarkStart w:id="80" w:name="_Hlk96327615"/>
      <w:r>
        <w:rPr>
          <w:rFonts w:ascii="宋体" w:hAnsi="宋体" w:eastAsia="宋体"/>
          <w:szCs w:val="21"/>
        </w:rPr>
        <w:t>“电子签名”系指数据电文中以电子形式所含、所附用于识别签名人身份并表明签名人认可其中内容的数据；</w:t>
      </w:r>
      <w:r>
        <w:rPr>
          <w:rFonts w:hint="eastAsia" w:ascii="宋体" w:hAnsi="宋体" w:eastAsia="宋体"/>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招标文件对投标文件签署、盖章的要求适用于电子签名。</w:t>
      </w:r>
    </w:p>
    <w:bookmarkEnd w:id="80"/>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w:t>
      </w:r>
      <w:r>
        <w:rPr>
          <w:rFonts w:hint="eastAsia" w:ascii="宋体" w:hAnsi="宋体" w:eastAsia="宋体" w:cs="Times New Roman"/>
          <w:spacing w:val="-6"/>
          <w:szCs w:val="21"/>
          <w:lang w:eastAsia="zh-CN"/>
        </w:rPr>
        <w:t>★</w:t>
      </w:r>
      <w:r>
        <w:rPr>
          <w:rFonts w:hint="eastAsia" w:ascii="宋体" w:hAnsi="宋体" w:eastAsia="宋体" w:cs="Times New Roman"/>
          <w:spacing w:val="-6"/>
          <w:szCs w:val="21"/>
        </w:rPr>
        <w:t>”系指实质性要求条款，投标人应当做出实质性响应。</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收费标准（差额累进）：</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w:t>
            </w:r>
            <w:r>
              <w:rPr>
                <w:rFonts w:hint="eastAsia" w:ascii="宋体" w:hAnsi="宋体" w:eastAsia="宋体"/>
                <w:szCs w:val="21"/>
                <w:highlight w:val="none"/>
                <w:lang w:val="en-US" w:eastAsia="zh-CN"/>
              </w:rPr>
              <w:t>0</w:t>
            </w:r>
            <w:r>
              <w:rPr>
                <w:rFonts w:hint="eastAsia" w:ascii="宋体" w:hAnsi="宋体" w:eastAsia="宋体"/>
                <w:szCs w:val="21"/>
                <w:highlight w:val="none"/>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0.77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Cs w:val="21"/>
                <w:highlight w:val="none"/>
              </w:rPr>
            </w:pPr>
            <w:r>
              <w:rPr>
                <w:rFonts w:hint="eastAsia" w:ascii="宋体" w:hAnsi="宋体" w:eastAsia="宋体"/>
                <w:szCs w:val="21"/>
                <w:highlight w:val="none"/>
              </w:rPr>
              <w:t>500—1000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rPr>
              <w:t>0.</w:t>
            </w:r>
            <w:r>
              <w:rPr>
                <w:rFonts w:hint="eastAsia" w:ascii="宋体" w:hAnsi="宋体" w:eastAsia="宋体"/>
                <w:szCs w:val="21"/>
                <w:highlight w:val="none"/>
                <w:lang w:val="en-US" w:eastAsia="zh-CN"/>
              </w:rPr>
              <w:t>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Cs w:val="21"/>
                <w:highlight w:val="none"/>
              </w:rPr>
            </w:pPr>
            <w:r>
              <w:rPr>
                <w:rFonts w:hint="eastAsia" w:ascii="宋体" w:hAnsi="宋体" w:eastAsia="宋体"/>
                <w:szCs w:val="21"/>
                <w:highlight w:val="none"/>
              </w:rPr>
              <w:t>1000—5000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rPr>
              <w:t>0.</w:t>
            </w:r>
            <w:r>
              <w:rPr>
                <w:rFonts w:hint="eastAsia" w:ascii="宋体" w:hAnsi="宋体" w:eastAsia="宋体"/>
                <w:szCs w:val="21"/>
                <w:highlight w:val="none"/>
                <w:lang w:val="en-US" w:eastAsia="zh-CN"/>
              </w:rPr>
              <w:t>35</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eastAsia="zh-CN"/>
        </w:rPr>
        <w:t>★</w:t>
      </w:r>
      <w:r>
        <w:rPr>
          <w:rFonts w:ascii="宋体" w:hAnsi="宋体" w:eastAsia="宋体" w:cs="Times New Roman"/>
          <w:spacing w:val="-6"/>
          <w:szCs w:val="21"/>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eastAsia="zh-CN"/>
        </w:rPr>
        <w:t>★</w:t>
      </w:r>
      <w:r>
        <w:rPr>
          <w:rFonts w:ascii="宋体" w:hAnsi="宋体" w:eastAsia="宋体" w:cs="Times New Roman"/>
          <w:spacing w:val="-6"/>
          <w:szCs w:val="21"/>
        </w:rPr>
        <w:t>2.投标人代表不是法定代表人（单位负责人、自然人本人）的，须提供授权委托书（格式详见招标文件第六章）和授权代表社保缴</w:t>
      </w:r>
      <w:r>
        <w:rPr>
          <w:rFonts w:ascii="宋体" w:hAnsi="宋体" w:eastAsia="宋体" w:cs="Times New Roman"/>
          <w:spacing w:val="-6"/>
          <w:szCs w:val="21"/>
          <w:highlight w:val="none"/>
        </w:rPr>
        <w:t>纳证明（202</w:t>
      </w:r>
      <w:r>
        <w:rPr>
          <w:rFonts w:hint="eastAsia" w:ascii="宋体" w:hAnsi="宋体" w:eastAsia="宋体" w:cs="Times New Roman"/>
          <w:spacing w:val="-6"/>
          <w:szCs w:val="21"/>
          <w:highlight w:val="none"/>
          <w:lang w:val="en-US" w:eastAsia="zh-CN"/>
        </w:rPr>
        <w:t>2</w:t>
      </w:r>
      <w:r>
        <w:rPr>
          <w:rFonts w:ascii="宋体" w:hAnsi="宋体" w:eastAsia="宋体" w:cs="Times New Roman"/>
          <w:spacing w:val="-6"/>
          <w:szCs w:val="21"/>
          <w:highlight w:val="none"/>
        </w:rPr>
        <w:t>年12月（含）以后任意一月）；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eastAsia="zh-CN"/>
        </w:rPr>
        <w:t>★</w:t>
      </w:r>
      <w:r>
        <w:rPr>
          <w:rFonts w:ascii="宋体" w:hAnsi="宋体" w:eastAsia="宋体" w:cs="Times New Roman"/>
          <w:spacing w:val="-6"/>
          <w:szCs w:val="21"/>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（六）联合体投标</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本项目</w:t>
      </w:r>
      <w:r>
        <w:rPr>
          <w:rFonts w:hint="eastAsia" w:ascii="宋体" w:hAnsi="宋体" w:eastAsia="宋体"/>
          <w:szCs w:val="21"/>
          <w:highlight w:val="none"/>
        </w:rPr>
        <w:t>（</w:t>
      </w:r>
      <w:r>
        <w:rPr>
          <w:rFonts w:hint="eastAsia" w:ascii="宋体" w:hAnsi="宋体" w:eastAsia="宋体"/>
          <w:szCs w:val="21"/>
          <w:highlight w:val="none"/>
          <w:lang w:val="en-US" w:eastAsia="zh-CN"/>
        </w:rPr>
        <w:t>否</w:t>
      </w:r>
      <w:r>
        <w:rPr>
          <w:rFonts w:hint="eastAsia" w:ascii="宋体" w:hAnsi="宋体" w:eastAsia="宋体"/>
          <w:szCs w:val="21"/>
          <w:highlight w:val="none"/>
        </w:rPr>
        <w:t>）</w:t>
      </w:r>
      <w:r>
        <w:rPr>
          <w:rFonts w:hint="eastAsia" w:ascii="宋体" w:hAnsi="宋体" w:eastAsia="宋体" w:cs="宋体"/>
          <w:szCs w:val="21"/>
        </w:rPr>
        <w:t>接受联合体投标。</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（七）转包与分包</w:t>
      </w:r>
    </w:p>
    <w:p>
      <w:pPr>
        <w:adjustRightInd w:val="0"/>
        <w:snapToGrid w:val="0"/>
        <w:spacing w:line="288" w:lineRule="auto"/>
        <w:ind w:firstLine="425" w:firstLineChars="215"/>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本项目不允许转包；</w:t>
      </w:r>
    </w:p>
    <w:p>
      <w:pPr>
        <w:adjustRightInd w:val="0"/>
        <w:snapToGrid w:val="0"/>
        <w:spacing w:line="288" w:lineRule="auto"/>
        <w:ind w:firstLine="424" w:firstLineChars="202"/>
        <w:jc w:val="left"/>
        <w:rPr>
          <w:rFonts w:hint="eastAsia" w:ascii="宋体" w:hAnsi="宋体" w:eastAsia="宋体"/>
          <w:color w:val="auto"/>
          <w:szCs w:val="21"/>
          <w:highlight w:val="none"/>
          <w:lang w:eastAsia="zh-CN"/>
        </w:rPr>
      </w:pPr>
      <w:r>
        <w:rPr>
          <w:rFonts w:ascii="宋体" w:hAnsi="宋体" w:eastAsia="宋体"/>
          <w:color w:val="auto"/>
          <w:szCs w:val="21"/>
          <w:highlight w:val="none"/>
        </w:rPr>
        <w:t>2.</w:t>
      </w:r>
      <w:r>
        <w:rPr>
          <w:rFonts w:hint="eastAsia" w:ascii="宋体" w:hAnsi="宋体" w:eastAsia="宋体"/>
          <w:color w:val="auto"/>
          <w:szCs w:val="21"/>
          <w:highlight w:val="none"/>
        </w:rPr>
        <w:t>本项目不允许分包</w:t>
      </w:r>
      <w:r>
        <w:rPr>
          <w:rFonts w:hint="eastAsia" w:ascii="宋体" w:hAnsi="宋体" w:eastAsia="宋体"/>
          <w:color w:val="auto"/>
          <w:szCs w:val="21"/>
          <w:highlight w:val="none"/>
          <w:lang w:eastAsia="zh-CN"/>
        </w:rPr>
        <w:t>。</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（八）质疑和投诉</w:t>
      </w:r>
    </w:p>
    <w:p>
      <w:pPr>
        <w:adjustRightInd w:val="0"/>
        <w:snapToGrid w:val="0"/>
        <w:spacing w:line="288" w:lineRule="auto"/>
        <w:ind w:firstLine="396" w:firstLineChars="200"/>
        <w:jc w:val="left"/>
        <w:rPr>
          <w:rFonts w:ascii="宋体" w:hAnsi="宋体" w:eastAsia="宋体" w:cs="Times New Roman"/>
          <w:spacing w:val="-6"/>
          <w:szCs w:val="21"/>
        </w:rPr>
      </w:pPr>
      <w:bookmarkStart w:id="81" w:name="_Hlk92273406"/>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供应商认为采购文件、采购过程、中标或者成交结果使自己的权益受到损害的，可以在知道或者应知其权益受到损害之日起</w:t>
      </w:r>
      <w:r>
        <w:rPr>
          <w:rFonts w:ascii="宋体" w:hAnsi="宋体" w:eastAsia="宋体" w:cs="Times New Roman"/>
          <w:spacing w:val="-6"/>
          <w:szCs w:val="21"/>
        </w:rPr>
        <w:t>7个工作日内，以书面形式向采购人、采购代理机构提出质疑。</w:t>
      </w:r>
      <w:r>
        <w:rPr>
          <w:rFonts w:hint="eastAsia" w:ascii="宋体" w:hAnsi="宋体" w:eastAsia="宋体" w:cs="Times New Roman"/>
          <w:spacing w:val="-6"/>
          <w:szCs w:val="21"/>
        </w:rPr>
        <w:t>质疑供应商对采购人、采购代理机构的答复不满意，或者采购人、采购代理机构未在规定时间内作出答复的，可以在答复期满后</w:t>
      </w:r>
      <w:r>
        <w:rPr>
          <w:rFonts w:ascii="宋体" w:hAnsi="宋体" w:eastAsia="宋体" w:cs="Times New Roman"/>
          <w:spacing w:val="-6"/>
          <w:szCs w:val="21"/>
        </w:rPr>
        <w:t>15个工作日内向</w:t>
      </w:r>
      <w:r>
        <w:rPr>
          <w:rFonts w:hint="eastAsia" w:ascii="宋体" w:hAnsi="宋体" w:eastAsia="宋体" w:cs="Times New Roman"/>
          <w:spacing w:val="-6"/>
          <w:szCs w:val="21"/>
        </w:rPr>
        <w:t>本级财政部门</w:t>
      </w:r>
      <w:r>
        <w:rPr>
          <w:rFonts w:ascii="宋体" w:hAnsi="宋体" w:eastAsia="宋体" w:cs="Times New Roman"/>
          <w:spacing w:val="-6"/>
          <w:szCs w:val="21"/>
        </w:rPr>
        <w:t>提起投诉。</w:t>
      </w:r>
    </w:p>
    <w:bookmarkEnd w:id="81"/>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3.提出质疑的供应商应当是参与本项目招标活动的投标人。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rPr>
      </w:pPr>
      <w:bookmarkStart w:id="82" w:name="_Hlk92273111"/>
      <w:bookmarkStart w:id="83" w:name="_Hlk94018492"/>
      <w:r>
        <w:rPr>
          <w:rFonts w:ascii="宋体" w:hAnsi="宋体" w:eastAsia="宋体" w:cs="宋体"/>
          <w:b/>
          <w:spacing w:val="-6"/>
          <w:kern w:val="0"/>
          <w:szCs w:val="21"/>
        </w:rPr>
        <w:t>（</w:t>
      </w:r>
      <w:r>
        <w:rPr>
          <w:rFonts w:hint="eastAsia" w:ascii="宋体" w:hAnsi="宋体" w:eastAsia="宋体" w:cs="宋体"/>
          <w:b/>
          <w:spacing w:val="-6"/>
          <w:kern w:val="0"/>
          <w:szCs w:val="21"/>
        </w:rPr>
        <w:t>九</w:t>
      </w:r>
      <w:r>
        <w:rPr>
          <w:rFonts w:ascii="宋体" w:hAnsi="宋体" w:eastAsia="宋体" w:cs="宋体"/>
          <w:b/>
          <w:spacing w:val="-6"/>
          <w:kern w:val="0"/>
          <w:szCs w:val="21"/>
        </w:rPr>
        <w:t>）</w:t>
      </w:r>
      <w:r>
        <w:rPr>
          <w:rFonts w:hint="eastAsia" w:ascii="宋体" w:hAnsi="宋体" w:eastAsia="宋体" w:cs="宋体"/>
          <w:b/>
          <w:spacing w:val="-6"/>
          <w:kern w:val="0"/>
          <w:szCs w:val="21"/>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highlight w:val="none"/>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ascii="宋体" w:hAnsi="宋体" w:eastAsia="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w:t>
      </w:r>
      <w:r>
        <w:rPr>
          <w:rFonts w:ascii="宋体" w:hAnsi="宋体" w:eastAsia="宋体" w:cs="Times New Roman"/>
          <w:spacing w:val="-6"/>
          <w:szCs w:val="21"/>
          <w:highlight w:val="none"/>
        </w:rPr>
        <w:t>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lang w:val="en-US" w:eastAsia="zh-CN"/>
        </w:rPr>
        <w:t>2</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支持科技创新</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84" w:name="_Hlk106875293"/>
    </w:p>
    <w:bookmarkEnd w:id="84"/>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lang w:val="en-US" w:eastAsia="zh-CN"/>
        </w:rPr>
        <w:t>3</w:t>
      </w:r>
      <w:r>
        <w:rPr>
          <w:rFonts w:ascii="宋体" w:hAnsi="宋体" w:eastAsia="宋体" w:cs="Times New Roman"/>
          <w:b/>
          <w:bCs/>
          <w:spacing w:val="-6"/>
          <w:szCs w:val="21"/>
          <w:highlight w:val="none"/>
        </w:rPr>
        <w:t>.支持中小企业发展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highlight w:val="none"/>
        </w:rPr>
        <w:t>中小企业，是指在中华人民共和国境内依法设立，依据</w:t>
      </w:r>
      <w:r>
        <w:rPr>
          <w:rFonts w:ascii="宋体" w:hAnsi="宋体" w:eastAsia="宋体" w:cs="Times New Roman"/>
          <w:spacing w:val="-6"/>
          <w:szCs w:val="21"/>
        </w:rPr>
        <w:t>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对于未预留份额专门面向中小企业的政府采购货物或服务项目，以及预留份额政府采购货物或服务项目中的非预留部分标项，对小型和微型企业的最后报价给予10%的扣除，用扣除后的价格参与评审。</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中小企业享受扶持政策获得政府采购合同的，小微企业不得将合同分包给大中型企业，中型企业不得将合同分包给大型企业。</w:t>
      </w:r>
      <w:bookmarkEnd w:id="82"/>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除财库</w:t>
      </w:r>
      <w:r>
        <w:rPr>
          <w:rFonts w:ascii="宋体" w:hAnsi="宋体" w:eastAsia="宋体" w:cs="Times New Roman"/>
          <w:spacing w:val="-6"/>
          <w:szCs w:val="21"/>
        </w:rPr>
        <w:t>《政府采购促进中小企业发展管理办法》</w:t>
      </w:r>
      <w:r>
        <w:rPr>
          <w:rFonts w:hint="eastAsia" w:ascii="宋体" w:hAnsi="宋体" w:eastAsia="宋体" w:cs="Times New Roman"/>
          <w:spacing w:val="-6"/>
          <w:szCs w:val="21"/>
        </w:rPr>
        <w:t>（财库〔</w:t>
      </w:r>
      <w:r>
        <w:rPr>
          <w:rFonts w:ascii="宋体" w:hAnsi="宋体" w:eastAsia="宋体" w:cs="Times New Roman"/>
          <w:spacing w:val="-6"/>
          <w:szCs w:val="21"/>
        </w:rPr>
        <w:t>2020〕46号</w:t>
      </w:r>
      <w:r>
        <w:rPr>
          <w:rFonts w:hint="eastAsia" w:ascii="宋体" w:hAnsi="宋体" w:eastAsia="宋体" w:cs="Times New Roman"/>
          <w:spacing w:val="-6"/>
          <w:szCs w:val="21"/>
        </w:rPr>
        <w:t>）、</w:t>
      </w:r>
      <w:r>
        <w:rPr>
          <w:rFonts w:ascii="宋体" w:hAnsi="宋体" w:eastAsia="宋体" w:cs="Times New Roman"/>
          <w:spacing w:val="-6"/>
          <w:szCs w:val="21"/>
        </w:rPr>
        <w:t>《关于促进残疾人就业政府采购政策的通知》（财库〔2017〕141号）</w:t>
      </w:r>
      <w:r>
        <w:rPr>
          <w:rFonts w:hint="eastAsia" w:ascii="宋体" w:hAnsi="宋体" w:eastAsia="宋体" w:cs="Times New Roman"/>
          <w:spacing w:val="-6"/>
          <w:szCs w:val="21"/>
        </w:rPr>
        <w:t>、</w:t>
      </w:r>
      <w:r>
        <w:rPr>
          <w:rFonts w:ascii="宋体" w:hAnsi="宋体" w:eastAsia="宋体" w:cs="Times New Roman"/>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rPr>
        <w:t>。</w:t>
      </w:r>
    </w:p>
    <w:bookmarkEnd w:id="83"/>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4.评标方法及评标标准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投标文件编制要求</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rPr>
      </w:pPr>
      <w:bookmarkStart w:id="85" w:name="_Hlk94018532"/>
      <w:r>
        <w:rPr>
          <w:rFonts w:hint="eastAsia" w:ascii="宋体" w:hAnsi="宋体" w:eastAsia="宋体" w:cs="Times New Roman"/>
          <w:spacing w:val="-6"/>
          <w:szCs w:val="21"/>
        </w:rPr>
        <w:t>投标文件（电子加密投标文件）由</w:t>
      </w:r>
      <w:r>
        <w:rPr>
          <w:rFonts w:hint="eastAsia" w:ascii="宋体" w:hAnsi="宋体" w:eastAsia="宋体" w:cs="Times New Roman"/>
          <w:b/>
          <w:spacing w:val="-6"/>
          <w:szCs w:val="21"/>
        </w:rPr>
        <w:t>资格文件、商务和技术文件、报价文件三部分</w:t>
      </w:r>
      <w:r>
        <w:rPr>
          <w:rFonts w:hint="eastAsia" w:ascii="宋体" w:hAnsi="宋体" w:eastAsia="宋体" w:cs="Times New Roman"/>
          <w:bCs/>
          <w:spacing w:val="-6"/>
          <w:szCs w:val="21"/>
        </w:rPr>
        <w:t>组成（格式详见招标文件第六章）。投标人应将投标文件各部分</w:t>
      </w:r>
      <w:r>
        <w:rPr>
          <w:rFonts w:hint="eastAsia" w:ascii="宋体" w:hAnsi="宋体" w:eastAsia="宋体" w:cs="Times New Roman"/>
          <w:b/>
          <w:spacing w:val="-6"/>
          <w:szCs w:val="21"/>
        </w:rPr>
        <w:t>分别上传</w:t>
      </w:r>
      <w:r>
        <w:rPr>
          <w:rFonts w:hint="eastAsia" w:ascii="宋体" w:hAnsi="宋体" w:eastAsia="宋体" w:cs="Times New Roman"/>
          <w:bCs/>
          <w:spacing w:val="-6"/>
          <w:szCs w:val="21"/>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投标文件组成：详见“第六章</w:t>
      </w:r>
      <w:r>
        <w:rPr>
          <w:rFonts w:ascii="宋体" w:hAnsi="宋体" w:eastAsia="宋体" w:cs="Times New Roman"/>
          <w:spacing w:val="-6"/>
          <w:szCs w:val="21"/>
          <w:highlight w:val="none"/>
        </w:rPr>
        <w:t xml:space="preserve">  投标文件格式</w:t>
      </w:r>
      <w:r>
        <w:rPr>
          <w:rFonts w:hint="eastAsia" w:ascii="宋体" w:hAnsi="宋体" w:eastAsia="宋体" w:cs="Times New Roman"/>
          <w:spacing w:val="-6"/>
          <w:szCs w:val="21"/>
          <w:highlight w:val="none"/>
        </w:rPr>
        <w:t>”目录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如供应商提供的产品技术支持材料与采购需求偏离表响应不一致，以产品技术支持材料为准。</w:t>
      </w:r>
    </w:p>
    <w:bookmarkEnd w:id="85"/>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（二）投标文件的签署和份数</w:t>
      </w:r>
    </w:p>
    <w:p>
      <w:pPr>
        <w:adjustRightInd w:val="0"/>
        <w:snapToGrid w:val="0"/>
        <w:spacing w:line="288" w:lineRule="auto"/>
        <w:ind w:firstLine="396" w:firstLineChars="200"/>
        <w:jc w:val="left"/>
        <w:rPr>
          <w:rFonts w:ascii="宋体" w:hAnsi="宋体" w:eastAsia="宋体"/>
          <w:b/>
          <w:bCs/>
          <w:spacing w:val="-6"/>
          <w:szCs w:val="21"/>
        </w:rPr>
      </w:pPr>
      <w:r>
        <w:rPr>
          <w:rFonts w:hint="eastAsia" w:ascii="宋体" w:hAnsi="宋体" w:eastAsia="宋体"/>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2.投标文件须由投标人在规定位置</w:t>
      </w:r>
      <w:bookmarkStart w:id="86" w:name="_Hlk96329183"/>
      <w:r>
        <w:rPr>
          <w:rFonts w:hint="eastAsia" w:ascii="宋体" w:hAnsi="宋体" w:eastAsia="宋体"/>
          <w:spacing w:val="-6"/>
          <w:szCs w:val="21"/>
        </w:rPr>
        <w:t>加盖公章</w:t>
      </w:r>
      <w:bookmarkEnd w:id="86"/>
      <w:r>
        <w:rPr>
          <w:rFonts w:hint="eastAsia" w:ascii="宋体" w:hAnsi="宋体" w:eastAsia="宋体"/>
          <w:spacing w:val="-6"/>
          <w:szCs w:val="21"/>
        </w:rPr>
        <w:t>，投标人应写全称。</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4.投标文件份数：</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highlight w:val="yellow"/>
        </w:rPr>
      </w:pPr>
      <w:r>
        <w:rPr>
          <w:rFonts w:hint="eastAsia" w:ascii="宋体" w:hAnsi="宋体" w:eastAsia="宋体"/>
          <w:b/>
          <w:bCs/>
          <w:spacing w:val="-6"/>
          <w:szCs w:val="21"/>
        </w:rPr>
        <w:t>备份投标</w:t>
      </w:r>
      <w:r>
        <w:rPr>
          <w:rFonts w:hint="eastAsia" w:ascii="宋体" w:hAnsi="宋体" w:eastAsia="宋体"/>
          <w:b/>
          <w:bCs/>
          <w:spacing w:val="-6"/>
          <w:szCs w:val="21"/>
          <w:highlight w:val="none"/>
        </w:rPr>
        <w:t>文件：密封包装后EMS或顺丰邮寄形式递交一份（邮寄地址：</w:t>
      </w:r>
      <w:r>
        <w:rPr>
          <w:rFonts w:hint="eastAsia" w:ascii="宋体" w:hAnsi="宋体" w:eastAsia="宋体" w:cs="宋体"/>
          <w:b/>
          <w:bCs/>
          <w:szCs w:val="21"/>
          <w:highlight w:val="none"/>
        </w:rPr>
        <w:t>杭州市西湖区玉古路173号中田大厦21楼H室，浙江求是招标代理有限公司（</w:t>
      </w:r>
      <w:r>
        <w:rPr>
          <w:rFonts w:hint="eastAsia" w:ascii="宋体" w:hAnsi="宋体" w:eastAsia="宋体" w:cs="宋体"/>
          <w:b/>
          <w:bCs/>
          <w:szCs w:val="21"/>
          <w:highlight w:val="none"/>
          <w:lang w:val="en-US" w:eastAsia="zh-CN"/>
        </w:rPr>
        <w:t>叶鲁茂</w:t>
      </w:r>
      <w:r>
        <w:rPr>
          <w:rFonts w:hint="eastAsia" w:ascii="宋体" w:hAnsi="宋体" w:eastAsia="宋体" w:cs="宋体"/>
          <w:b/>
          <w:bCs/>
          <w:szCs w:val="21"/>
          <w:highlight w:val="none"/>
        </w:rPr>
        <w:t>）收，电话：0571-8766</w:t>
      </w:r>
      <w:r>
        <w:rPr>
          <w:rFonts w:hint="eastAsia" w:ascii="宋体" w:hAnsi="宋体" w:eastAsia="宋体" w:cs="宋体"/>
          <w:b/>
          <w:bCs/>
          <w:szCs w:val="21"/>
          <w:highlight w:val="none"/>
          <w:lang w:val="en-US" w:eastAsia="zh-CN"/>
        </w:rPr>
        <w:t>119</w:t>
      </w:r>
      <w:r>
        <w:rPr>
          <w:rFonts w:hint="eastAsia" w:ascii="宋体" w:hAnsi="宋体" w:eastAsia="宋体" w:cs="宋体"/>
          <w:b/>
          <w:bCs/>
          <w:szCs w:val="21"/>
          <w:highlight w:val="none"/>
        </w:rPr>
        <w:t>，寄出后将（快递单号、项目名称、公司名称、联系方式等相关信息）发至：zb</w:t>
      </w:r>
      <w:r>
        <w:rPr>
          <w:rFonts w:hint="eastAsia" w:ascii="宋体" w:hAnsi="宋体" w:eastAsia="宋体" w:cs="宋体"/>
          <w:b/>
          <w:bCs/>
          <w:szCs w:val="21"/>
          <w:highlight w:val="none"/>
          <w:lang w:val="en-US" w:eastAsia="zh-CN"/>
        </w:rPr>
        <w:t>01</w:t>
      </w:r>
      <w:r>
        <w:rPr>
          <w:rFonts w:hint="eastAsia" w:ascii="宋体" w:hAnsi="宋体" w:eastAsia="宋体" w:cs="宋体"/>
          <w:b/>
          <w:bCs/>
          <w:szCs w:val="21"/>
          <w:highlight w:val="none"/>
        </w:rPr>
        <w:t>@qszb.net，以便查收）。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yellow"/>
        </w:rPr>
      </w:pPr>
      <w:r>
        <w:rPr>
          <w:rFonts w:hint="eastAsia" w:ascii="宋体" w:hAnsi="宋体" w:eastAsia="宋体" w:cs="宋体"/>
          <w:b/>
          <w:szCs w:val="21"/>
        </w:rPr>
        <w:t>特别说明：双休日和法定节假日不收件，投标人自行承担邮寄风险。</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（三）投标文件的上传、递交、修改和撤回</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lang w:eastAsia="zh-CN"/>
        </w:rPr>
        <w:t>★</w:t>
      </w: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w:t>
      </w:r>
      <w:r>
        <w:rPr>
          <w:rFonts w:hint="eastAsia" w:ascii="宋体" w:hAnsi="宋体" w:eastAsia="宋体"/>
          <w:spacing w:val="-6"/>
          <w:szCs w:val="21"/>
          <w:u w:val="single"/>
        </w:rPr>
        <w:t>项目名称、标项、投标人名称</w:t>
      </w:r>
      <w:r>
        <w:rPr>
          <w:rFonts w:hint="eastAsia" w:ascii="宋体" w:hAnsi="宋体" w:eastAsia="宋体"/>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lang w:eastAsia="zh-CN"/>
        </w:rPr>
        <w:t>★</w:t>
      </w: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bookmarkStart w:id="87" w:name="_Hlk94018616"/>
      <w:r>
        <w:rPr>
          <w:rFonts w:hint="eastAsia" w:ascii="宋体" w:hAnsi="宋体" w:eastAsia="宋体"/>
          <w:spacing w:val="-6"/>
          <w:szCs w:val="21"/>
          <w:lang w:eastAsia="zh-CN"/>
        </w:rPr>
        <w:t>★</w:t>
      </w:r>
      <w:r>
        <w:rPr>
          <w:rFonts w:hint="eastAsia" w:ascii="宋体" w:hAnsi="宋体" w:eastAsia="宋体"/>
          <w:spacing w:val="-6"/>
          <w:szCs w:val="21"/>
        </w:rPr>
        <w:t>d.投标人仅递交备份投标文件而未将电子加密投标文件成功上传至政府采购云平台的，投标无效。</w:t>
      </w:r>
    </w:p>
    <w:bookmarkEnd w:id="87"/>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1"/>
          <w:rFonts w:hint="eastAsia" w:ascii="宋体" w:hAnsi="宋体" w:eastAsia="宋体"/>
          <w:b/>
          <w:bCs/>
          <w:szCs w:val="21"/>
        </w:rPr>
        <w:t>https://edu.zcygov.cn/luban/e-biding</w:t>
      </w:r>
      <w:r>
        <w:rPr>
          <w:rStyle w:val="31"/>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b/>
          <w:kern w:val="2"/>
          <w:sz w:val="21"/>
          <w:szCs w:val="21"/>
          <w:lang w:val="zh-CN" w:eastAsia="zh-CN" w:bidi="ar-SA"/>
        </w:rPr>
        <w:t>不管是否为进口产品，投标人均应以人民币报价，人民币报价直接作为价格分计算依据</w:t>
      </w:r>
      <w:r>
        <w:rPr>
          <w:rFonts w:hint="eastAsia" w:ascii="宋体" w:hAnsi="宋体" w:eastAsia="宋体" w:cs="宋体"/>
          <w:szCs w:val="21"/>
        </w:rPr>
        <w:t>；</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3.投标报价是履行合同的最终价格，有关本项目实施所涉及的一切费用均计入报价；</w:t>
      </w:r>
    </w:p>
    <w:p>
      <w:pPr>
        <w:pStyle w:val="13"/>
        <w:adjustRightInd w:val="0"/>
        <w:snapToGrid w:val="0"/>
        <w:spacing w:before="0" w:beforeLines="0" w:after="0" w:afterLines="0" w:line="288" w:lineRule="auto"/>
        <w:ind w:firstLine="420" w:firstLineChars="200"/>
        <w:jc w:val="left"/>
        <w:rPr>
          <w:rFonts w:hAnsi="宋体" w:eastAsia="宋体" w:cs="宋体"/>
          <w:sz w:val="21"/>
          <w:szCs w:val="21"/>
          <w:highlight w:val="none"/>
        </w:rPr>
      </w:pPr>
      <w:r>
        <w:rPr>
          <w:rFonts w:hint="eastAsia" w:hAnsi="宋体" w:eastAsia="宋体" w:cs="宋体"/>
          <w:sz w:val="21"/>
          <w:szCs w:val="21"/>
          <w:highlight w:val="none"/>
        </w:rPr>
        <w:t>4.投标文件只允许有一个报价，有选择的报价将不予接受。</w:t>
      </w:r>
    </w:p>
    <w:p>
      <w:pPr>
        <w:pStyle w:val="13"/>
        <w:adjustRightInd w:val="0"/>
        <w:snapToGrid w:val="0"/>
        <w:spacing w:before="0" w:beforeLines="0" w:after="0" w:afterLines="0" w:line="288" w:lineRule="auto"/>
        <w:ind w:firstLine="420" w:firstLineChars="200"/>
        <w:jc w:val="left"/>
        <w:rPr>
          <w:rFonts w:hAnsi="宋体" w:eastAsia="宋体" w:cs="宋体"/>
          <w:sz w:val="21"/>
          <w:szCs w:val="21"/>
          <w:highlight w:val="none"/>
        </w:rPr>
      </w:pPr>
      <w:bookmarkStart w:id="88" w:name="_Hlk94018664"/>
      <w:r>
        <w:rPr>
          <w:rFonts w:hint="eastAsia" w:hAnsi="宋体" w:eastAsia="宋体" w:cs="宋体"/>
          <w:sz w:val="21"/>
          <w:szCs w:val="21"/>
          <w:highlight w:val="none"/>
          <w:lang w:eastAsia="zh-CN"/>
        </w:rPr>
        <w:t>★</w:t>
      </w: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采购人将以合同形式有偿取得货物或服务，不接受投标人给予的赠品、回扣或者与采购无关的其他商品、服务，不得出现“</w:t>
      </w:r>
      <w:r>
        <w:rPr>
          <w:rFonts w:hAnsi="宋体" w:eastAsia="宋体" w:cs="宋体"/>
          <w:sz w:val="21"/>
          <w:szCs w:val="21"/>
          <w:highlight w:val="none"/>
        </w:rPr>
        <w:t>0元”“免费赠送”等形式的无偿报价，否则视为投标文件含有采购人不能接受的附加条件的，投标无效。</w:t>
      </w:r>
    </w:p>
    <w:bookmarkEnd w:id="88"/>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（六）投标有效期</w:t>
      </w:r>
    </w:p>
    <w:p>
      <w:pPr>
        <w:pStyle w:val="13"/>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lang w:eastAsia="zh-CN"/>
        </w:rPr>
        <w:t>★</w:t>
      </w:r>
      <w:r>
        <w:rPr>
          <w:rFonts w:hint="eastAsia" w:hAnsi="宋体" w:eastAsia="宋体"/>
          <w:spacing w:val="-6"/>
          <w:sz w:val="21"/>
          <w:szCs w:val="21"/>
        </w:rPr>
        <w:t>从提交投标文件的截止之日起</w:t>
      </w:r>
      <w:r>
        <w:rPr>
          <w:rFonts w:hAnsi="宋体" w:eastAsia="宋体"/>
          <w:spacing w:val="-6"/>
          <w:sz w:val="21"/>
          <w:szCs w:val="21"/>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四、资格审查不通过、投标无效的情形</w:t>
      </w:r>
    </w:p>
    <w:p>
      <w:pPr>
        <w:adjustRightInd w:val="0"/>
        <w:snapToGrid w:val="0"/>
        <w:spacing w:line="288" w:lineRule="auto"/>
        <w:ind w:firstLine="420" w:firstLineChars="200"/>
        <w:rPr>
          <w:rFonts w:ascii="宋体" w:hAnsi="宋体" w:eastAsia="宋体" w:cs="宋体"/>
          <w:szCs w:val="21"/>
        </w:rPr>
      </w:pPr>
      <w:bookmarkStart w:id="89" w:name="_Hlk94018682"/>
      <w:r>
        <w:rPr>
          <w:rFonts w:hint="eastAsia" w:ascii="宋体" w:hAnsi="宋体" w:eastAsia="宋体" w:cs="宋体"/>
          <w:szCs w:val="21"/>
        </w:rPr>
        <w:t>未响应招标文件“</w:t>
      </w:r>
      <w:r>
        <w:rPr>
          <w:rFonts w:hint="eastAsia" w:ascii="宋体" w:hAnsi="宋体" w:eastAsia="宋体" w:cs="宋体"/>
          <w:szCs w:val="21"/>
          <w:lang w:eastAsia="zh-CN"/>
        </w:rPr>
        <w:t>★</w:t>
      </w:r>
      <w:r>
        <w:rPr>
          <w:rFonts w:hint="eastAsia" w:ascii="宋体" w:hAnsi="宋体" w:eastAsia="宋体" w:cs="宋体"/>
          <w:szCs w:val="21"/>
        </w:rPr>
        <w:t>”标记条款要求的，投标无效。</w:t>
      </w:r>
    </w:p>
    <w:bookmarkEnd w:id="89"/>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）投标人不具备招标文件中规定的资格要求；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）资格</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在符合</w:t>
      </w:r>
      <w:r>
        <w:rPr>
          <w:rFonts w:ascii="宋体" w:hAnsi="宋体" w:eastAsia="宋体" w:cs="Times New Roman"/>
          <w:b/>
          <w:spacing w:val="-6"/>
          <w:szCs w:val="21"/>
        </w:rPr>
        <w:t>性审查、</w:t>
      </w:r>
      <w:r>
        <w:rPr>
          <w:rFonts w:hint="eastAsia" w:ascii="宋体" w:hAnsi="宋体" w:eastAsia="宋体" w:cs="Times New Roman"/>
          <w:b/>
          <w:spacing w:val="-6"/>
          <w:szCs w:val="21"/>
        </w:rPr>
        <w:t>商务</w:t>
      </w:r>
      <w:r>
        <w:rPr>
          <w:rFonts w:ascii="宋体" w:hAnsi="宋体" w:eastAsia="宋体" w:cs="Times New Roman"/>
          <w:b/>
          <w:spacing w:val="-6"/>
          <w:szCs w:val="21"/>
        </w:rPr>
        <w:t>和技术评审</w:t>
      </w:r>
      <w:r>
        <w:rPr>
          <w:rFonts w:hint="eastAsia" w:ascii="宋体" w:hAnsi="宋体" w:eastAsia="宋体" w:cs="Times New Roman"/>
          <w:b/>
          <w:spacing w:val="-6"/>
          <w:szCs w:val="21"/>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rPr>
        <w:t>3）委托授权代表</w:t>
      </w:r>
      <w:r>
        <w:rPr>
          <w:rFonts w:ascii="宋体" w:hAnsi="宋体" w:eastAsia="宋体" w:cs="Times New Roman"/>
          <w:spacing w:val="-6"/>
          <w:szCs w:val="21"/>
          <w:highlight w:val="none"/>
        </w:rPr>
        <w:t>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（4）未提供或未如实提供采购需求</w:t>
      </w:r>
      <w:r>
        <w:rPr>
          <w:rFonts w:ascii="宋体" w:hAnsi="宋体" w:eastAsia="宋体" w:cs="Times New Roman"/>
          <w:spacing w:val="-6"/>
          <w:szCs w:val="21"/>
          <w:highlight w:val="none"/>
        </w:rPr>
        <w:t>偏离表；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7</w:t>
      </w:r>
      <w:r>
        <w:rPr>
          <w:rFonts w:hint="eastAsia" w:ascii="宋体" w:hAnsi="宋体" w:eastAsia="宋体" w:cs="Times New Roman"/>
          <w:spacing w:val="-6"/>
          <w:szCs w:val="21"/>
          <w:highlight w:val="none"/>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8</w:t>
      </w:r>
      <w:r>
        <w:rPr>
          <w:rFonts w:hint="eastAsia" w:ascii="宋体" w:hAnsi="宋体" w:eastAsia="宋体" w:cs="Times New Roman"/>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内容有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rPr>
      </w:pPr>
      <w:bookmarkStart w:id="90" w:name="_Hlk94018736"/>
      <w:r>
        <w:rPr>
          <w:rFonts w:hint="eastAsia" w:ascii="宋体" w:hAnsi="宋体" w:eastAsia="宋体" w:cs="Times New Roman"/>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90"/>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五、开  标</w:t>
      </w:r>
    </w:p>
    <w:p>
      <w:pPr>
        <w:pStyle w:val="100"/>
        <w:snapToGrid w:val="0"/>
        <w:spacing w:before="0" w:line="288" w:lineRule="auto"/>
        <w:ind w:left="0" w:firstLine="424" w:firstLineChars="201"/>
        <w:rPr>
          <w:rFonts w:ascii="宋体" w:hAnsi="宋体"/>
          <w:szCs w:val="21"/>
        </w:rPr>
      </w:pPr>
      <w:bookmarkStart w:id="91" w:name="_Hlk94018775"/>
      <w:r>
        <w:rPr>
          <w:rFonts w:hint="eastAsia" w:ascii="宋体" w:hAnsi="宋体" w:cs="仿宋_GB2312"/>
          <w:b/>
          <w:szCs w:val="21"/>
        </w:rPr>
        <w:t>（一）</w:t>
      </w:r>
      <w:r>
        <w:rPr>
          <w:rFonts w:ascii="宋体" w:hAnsi="宋体" w:cs="仿宋_GB2312"/>
          <w:b/>
          <w:szCs w:val="21"/>
        </w:rPr>
        <w:t>开标</w:t>
      </w:r>
    </w:p>
    <w:p>
      <w:pPr>
        <w:pStyle w:val="100"/>
        <w:snapToGrid w:val="0"/>
        <w:spacing w:before="0" w:line="288" w:lineRule="auto"/>
        <w:ind w:left="0" w:firstLine="422" w:firstLineChars="201"/>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pPr>
        <w:pStyle w:val="100"/>
        <w:snapToGrid w:val="0"/>
        <w:spacing w:before="0" w:line="288" w:lineRule="auto"/>
        <w:ind w:left="0" w:firstLine="422" w:firstLineChars="201"/>
        <w:rPr>
          <w:rFonts w:ascii="宋体" w:hAnsi="宋体" w:cs="仿宋_GB2312"/>
          <w:szCs w:val="21"/>
        </w:rPr>
      </w:pPr>
      <w:r>
        <w:rPr>
          <w:rFonts w:ascii="宋体" w:hAnsi="宋体" w:cs="仿宋_GB2312"/>
          <w:szCs w:val="21"/>
        </w:rPr>
        <w:t>开标时，电子交易平台按开标时间自动提取所有投标文件。</w:t>
      </w:r>
      <w:r>
        <w:rPr>
          <w:rFonts w:hint="eastAsia" w:ascii="宋体" w:hAnsi="宋体" w:cs="仿宋_GB2312"/>
          <w:szCs w:val="21"/>
        </w:rPr>
        <w:t>采购人或代理</w:t>
      </w:r>
      <w:r>
        <w:rPr>
          <w:rFonts w:ascii="宋体" w:hAnsi="宋体" w:cs="仿宋_GB2312"/>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rPr>
      </w:pPr>
      <w:r>
        <w:rPr>
          <w:rFonts w:hint="eastAsia" w:ascii="宋体" w:hAnsi="宋体" w:eastAsia="宋体" w:cs="仿宋_GB2312"/>
          <w:b/>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（二）</w:t>
      </w:r>
      <w:r>
        <w:rPr>
          <w:rFonts w:ascii="宋体" w:hAnsi="宋体" w:eastAsia="宋体" w:cs="仿宋_GB2312"/>
          <w:b/>
          <w:szCs w:val="21"/>
        </w:rPr>
        <w:t>资格审查</w:t>
      </w:r>
    </w:p>
    <w:p>
      <w:pPr>
        <w:adjustRightInd w:val="0"/>
        <w:snapToGrid w:val="0"/>
        <w:spacing w:line="288" w:lineRule="auto"/>
        <w:ind w:firstLine="422" w:firstLineChars="201"/>
        <w:rPr>
          <w:rFonts w:ascii="宋体" w:hAnsi="宋体" w:eastAsia="宋体" w:cs="仿宋_GB2312"/>
          <w:szCs w:val="21"/>
        </w:rPr>
      </w:pPr>
      <w:r>
        <w:rPr>
          <w:rFonts w:ascii="宋体" w:hAnsi="宋体" w:eastAsia="宋体" w:cs="Arial"/>
          <w:kern w:val="0"/>
          <w:szCs w:val="21"/>
        </w:rPr>
        <w:t>开标后，</w:t>
      </w:r>
      <w:r>
        <w:rPr>
          <w:rFonts w:hint="eastAsia" w:ascii="宋体" w:hAnsi="宋体" w:eastAsia="宋体" w:cs="仿宋_GB2312"/>
          <w:szCs w:val="21"/>
        </w:rPr>
        <w:t>采购人或采购机构依据法律法规和招标文件的规定，对投标人的资格条件进行审查。</w:t>
      </w:r>
    </w:p>
    <w:p>
      <w:pPr>
        <w:pStyle w:val="99"/>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pStyle w:val="99"/>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pStyle w:val="99"/>
        <w:adjustRightInd w:val="0"/>
        <w:snapToGrid w:val="0"/>
        <w:spacing w:before="0"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pStyle w:val="99"/>
        <w:adjustRightInd w:val="0"/>
        <w:snapToGrid w:val="0"/>
        <w:spacing w:before="0"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398" w:firstLineChars="200"/>
        <w:rPr>
          <w:rFonts w:ascii="宋体" w:hAnsi="宋体" w:eastAsia="宋体" w:cs="Times New Roman"/>
          <w:b/>
          <w:bCs/>
          <w:color w:val="FF0000"/>
          <w:spacing w:val="-6"/>
          <w:szCs w:val="21"/>
        </w:rPr>
      </w:pP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bookmarkEnd w:id="91"/>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六、评  标</w:t>
      </w:r>
    </w:p>
    <w:p>
      <w:pPr>
        <w:adjustRightInd w:val="0"/>
        <w:snapToGrid w:val="0"/>
        <w:spacing w:line="288" w:lineRule="auto"/>
        <w:ind w:firstLine="420" w:firstLineChars="200"/>
        <w:rPr>
          <w:rFonts w:ascii="宋体" w:hAnsi="宋体" w:eastAsia="宋体" w:cs="宋体"/>
          <w:kern w:val="0"/>
          <w:szCs w:val="21"/>
        </w:rPr>
      </w:pPr>
      <w:bookmarkStart w:id="92" w:name="_Hlk94018958"/>
      <w:r>
        <w:rPr>
          <w:rFonts w:ascii="宋体" w:hAnsi="宋体" w:eastAsia="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rPr>
      </w:pPr>
      <w:r>
        <w:rPr>
          <w:rFonts w:ascii="宋体" w:hAnsi="宋体" w:eastAsia="宋体" w:cs="宋体"/>
          <w:kern w:val="0"/>
          <w:szCs w:val="21"/>
        </w:rPr>
        <w:t>评标中因评标委员会成员缺席、回避或者健康等特殊原因导致评标委员会组成不符合规定的，依法补足后继续评标。被更换的评标委员会成员所作出的评标意见无效。</w:t>
      </w:r>
    </w:p>
    <w:bookmarkEnd w:id="92"/>
    <w:p>
      <w:pPr>
        <w:adjustRightInd w:val="0"/>
        <w:snapToGrid w:val="0"/>
        <w:spacing w:line="288" w:lineRule="auto"/>
        <w:ind w:firstLine="426" w:firstLineChars="202"/>
        <w:rPr>
          <w:rFonts w:ascii="宋体" w:hAnsi="宋体" w:eastAsia="宋体" w:cs="Arial"/>
          <w:b/>
          <w:kern w:val="0"/>
          <w:szCs w:val="21"/>
        </w:rPr>
      </w:pPr>
      <w:bookmarkStart w:id="93" w:name="_Hlk94019000"/>
      <w:r>
        <w:rPr>
          <w:rFonts w:hint="eastAsia" w:ascii="宋体" w:hAnsi="宋体" w:eastAsia="宋体" w:cs="Arial"/>
          <w:b/>
          <w:kern w:val="0"/>
          <w:szCs w:val="21"/>
        </w:rPr>
        <w:t>（一）</w:t>
      </w:r>
      <w:r>
        <w:rPr>
          <w:rFonts w:ascii="宋体" w:hAnsi="宋体" w:eastAsia="宋体" w:cs="Arial"/>
          <w:b/>
          <w:kern w:val="0"/>
          <w:szCs w:val="21"/>
        </w:rPr>
        <w:t>符合性审查</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评标委员会对符合资格的投标人的投标文件进行符合性审查，以确定其是否满足招标文件的实质性要求。</w:t>
      </w:r>
      <w:r>
        <w:rPr>
          <w:rFonts w:hint="eastAsia" w:ascii="宋体" w:hAnsi="宋体" w:eastAsia="宋体" w:cs="Arial"/>
          <w:kern w:val="0"/>
          <w:szCs w:val="21"/>
        </w:rPr>
        <w:t>不</w:t>
      </w:r>
      <w:r>
        <w:rPr>
          <w:rFonts w:ascii="宋体" w:hAnsi="宋体" w:eastAsia="宋体" w:cs="Arial"/>
          <w:kern w:val="0"/>
          <w:szCs w:val="21"/>
        </w:rPr>
        <w:t>满足招标文件的实质性要求</w:t>
      </w:r>
      <w:r>
        <w:rPr>
          <w:rFonts w:hint="eastAsia" w:ascii="宋体" w:hAnsi="宋体" w:eastAsia="宋体" w:cs="Arial"/>
          <w:kern w:val="0"/>
          <w:szCs w:val="21"/>
        </w:rPr>
        <w:t>的，投标无效。</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（二）比较与评价</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（三）</w:t>
      </w:r>
      <w:r>
        <w:rPr>
          <w:rFonts w:ascii="宋体" w:hAnsi="宋体" w:eastAsia="宋体" w:cs="Arial"/>
          <w:b/>
          <w:kern w:val="0"/>
          <w:szCs w:val="21"/>
        </w:rPr>
        <w:t>汇总商务技术得分</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（四）</w:t>
      </w:r>
      <w:r>
        <w:rPr>
          <w:rFonts w:ascii="宋体" w:hAnsi="宋体" w:eastAsia="宋体" w:cs="Arial"/>
          <w:b/>
          <w:kern w:val="0"/>
          <w:szCs w:val="21"/>
        </w:rPr>
        <w:t>报价评审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rPr>
      </w:pPr>
      <w:r>
        <w:rPr>
          <w:rFonts w:ascii="宋体" w:hAnsi="宋体" w:eastAsia="宋体" w:cs="Arial"/>
          <w:b/>
          <w:kern w:val="0"/>
          <w:szCs w:val="21"/>
        </w:rPr>
        <w:t>投标文件报价出现前后不一致的，按照下列规定修正：</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87号令《政府采购货物和服务招标投标管理办法》第五十一条第二款的规定“投标人的澄清、说明或者补正应当采用书面形式，并加</w:t>
      </w:r>
      <w:r>
        <w:rPr>
          <w:rFonts w:ascii="宋体" w:hAnsi="宋体" w:cs="仿宋"/>
          <w:kern w:val="0"/>
          <w:sz w:val="21"/>
          <w:szCs w:val="21"/>
          <w:highlight w:val="none"/>
        </w:rPr>
        <w:t>盖公章，或者由投标人代表签名。投标人的澄清、说明或者补正不得超出投标文件的范围或者改变投标文件的实质性内容。”经投标人确认后产生约束力。投标人不确认的，其投标无效。</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（五）投标人澄清、说明或者补正</w:t>
      </w:r>
    </w:p>
    <w:p>
      <w:pPr>
        <w:pStyle w:val="99"/>
        <w:adjustRightInd w:val="0"/>
        <w:snapToGrid w:val="0"/>
        <w:spacing w:before="0" w:line="288" w:lineRule="auto"/>
        <w:ind w:firstLine="424" w:firstLineChars="202"/>
        <w:rPr>
          <w:rFonts w:ascii="宋体" w:hAnsi="宋体" w:cs="Arial"/>
          <w:kern w:val="0"/>
          <w:sz w:val="21"/>
          <w:szCs w:val="21"/>
        </w:rPr>
      </w:pPr>
      <w:r>
        <w:rPr>
          <w:rFonts w:hint="eastAsia" w:ascii="宋体" w:hAnsi="宋体" w:cs="Arial"/>
          <w:kern w:val="0"/>
          <w:sz w:val="21"/>
          <w:szCs w:val="21"/>
          <w:highlight w:val="none"/>
        </w:rPr>
        <w:t>对于投标文件中含义不明确、同类问题表述不一致或者有明显文字和</w:t>
      </w:r>
      <w:r>
        <w:rPr>
          <w:rFonts w:hint="eastAsia" w:ascii="宋体" w:hAnsi="宋体" w:cs="Arial"/>
          <w:kern w:val="0"/>
          <w:sz w:val="21"/>
          <w:szCs w:val="21"/>
        </w:rPr>
        <w:t>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投标人的书面澄清、说明或者补正无法通过政府采购云平台上传的，可在规定时间内（不少于半小时）通过指定的电子邮箱（</w:t>
      </w:r>
      <w:r>
        <w:rPr>
          <w:rFonts w:ascii="宋体" w:hAnsi="宋体" w:eastAsia="宋体" w:cs="宋体"/>
          <w:kern w:val="0"/>
          <w:szCs w:val="21"/>
        </w:rPr>
        <w:t>zb**@qszb.net）或传真号码（0571-87666116）提交。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（六）排序与推荐</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评标办法</w:t>
      </w:r>
      <w:r>
        <w:rPr>
          <w:rFonts w:hint="eastAsia" w:ascii="宋体" w:hAnsi="宋体" w:eastAsia="宋体" w:cs="Arial"/>
          <w:kern w:val="0"/>
          <w:szCs w:val="21"/>
        </w:rPr>
        <w:t>：</w:t>
      </w:r>
      <w:r>
        <w:rPr>
          <w:rFonts w:ascii="宋体" w:hAnsi="宋体" w:eastAsia="宋体" w:cs="Arial"/>
          <w:kern w:val="0"/>
          <w:szCs w:val="21"/>
        </w:rPr>
        <w:t>本项目评标办法是综合评分法，具体评标内容及评分标准等详见</w:t>
      </w:r>
      <w:r>
        <w:rPr>
          <w:rFonts w:hint="eastAsia" w:ascii="宋体" w:hAnsi="宋体" w:eastAsia="宋体" w:cs="Arial"/>
          <w:kern w:val="0"/>
          <w:szCs w:val="21"/>
        </w:rPr>
        <w:t>“</w:t>
      </w:r>
      <w:r>
        <w:rPr>
          <w:rFonts w:ascii="宋体" w:hAnsi="宋体" w:eastAsia="宋体" w:cs="Arial"/>
          <w:kern w:val="0"/>
          <w:szCs w:val="21"/>
        </w:rPr>
        <w:t>第四章：评标方法及评标标准”。</w:t>
      </w:r>
    </w:p>
    <w:p>
      <w:pPr>
        <w:adjustRightInd w:val="0"/>
        <w:snapToGrid w:val="0"/>
        <w:spacing w:line="288" w:lineRule="auto"/>
        <w:ind w:firstLine="424" w:firstLineChars="202"/>
        <w:rPr>
          <w:rFonts w:ascii="宋体" w:hAnsi="宋体" w:eastAsia="宋体" w:cs="Times New Roman"/>
          <w:bCs/>
          <w:spacing w:val="-6"/>
          <w:szCs w:val="21"/>
        </w:rPr>
      </w:pPr>
      <w:r>
        <w:rPr>
          <w:rFonts w:ascii="宋体" w:hAnsi="宋体" w:eastAsia="宋体" w:cs="Arial"/>
          <w:kern w:val="0"/>
          <w:szCs w:val="21"/>
          <w:highlight w:val="none"/>
        </w:rPr>
        <w:t>评标结果按评审后得分由高到低顺序排列。得分相同的，按投标报价由低到高顺序排列。</w:t>
      </w:r>
      <w:r>
        <w:rPr>
          <w:rFonts w:hint="eastAsia" w:ascii="宋体" w:hAnsi="宋体" w:eastAsia="宋体" w:cs="Arial"/>
          <w:kern w:val="0"/>
          <w:szCs w:val="21"/>
          <w:highlight w:val="none"/>
        </w:rPr>
        <w:t>得分且报价相同的，按技术得分由高到低顺序排列</w:t>
      </w:r>
      <w:r>
        <w:rPr>
          <w:rFonts w:hint="eastAsia" w:ascii="宋体" w:hAnsi="宋体" w:eastAsia="宋体" w:cs="Arial"/>
          <w:kern w:val="0"/>
          <w:szCs w:val="21"/>
          <w:highlight w:val="none"/>
          <w:lang w:eastAsia="zh-CN"/>
        </w:rPr>
        <w:t>，</w:t>
      </w:r>
      <w:r>
        <w:rPr>
          <w:rFonts w:ascii="宋体" w:hAnsi="宋体" w:eastAsia="宋体" w:cs="Arial"/>
          <w:kern w:val="0"/>
          <w:szCs w:val="21"/>
          <w:highlight w:val="none"/>
        </w:rPr>
        <w:t>得分</w:t>
      </w:r>
      <w:r>
        <w:rPr>
          <w:rFonts w:hint="eastAsia" w:ascii="宋体" w:hAnsi="宋体" w:eastAsia="宋体" w:cs="Arial"/>
          <w:kern w:val="0"/>
          <w:szCs w:val="21"/>
          <w:highlight w:val="none"/>
          <w:lang w:val="en-US" w:eastAsia="zh-CN"/>
        </w:rPr>
        <w:t>相同、技术得分相同</w:t>
      </w:r>
      <w:r>
        <w:rPr>
          <w:rFonts w:ascii="宋体" w:hAnsi="宋体" w:eastAsia="宋体" w:cs="Arial"/>
          <w:kern w:val="0"/>
          <w:szCs w:val="21"/>
          <w:highlight w:val="none"/>
        </w:rPr>
        <w:t>且投标报价相同的并列</w:t>
      </w:r>
      <w:r>
        <w:rPr>
          <w:rFonts w:hint="eastAsia" w:ascii="宋体" w:hAnsi="宋体" w:eastAsia="宋体" w:cs="Arial"/>
          <w:kern w:val="0"/>
          <w:szCs w:val="21"/>
          <w:highlight w:val="none"/>
        </w:rPr>
        <w:t>（中标候选人并列的，采取随机抽取的方式确定）</w:t>
      </w:r>
      <w:r>
        <w:rPr>
          <w:rFonts w:ascii="宋体" w:hAnsi="宋体" w:eastAsia="宋体" w:cs="Arial"/>
          <w:kern w:val="0"/>
          <w:szCs w:val="21"/>
          <w:highlight w:val="none"/>
        </w:rPr>
        <w:t>。投标文件满足招标文件全部实质性要求，且按照评审因素的量化指标评审得</w:t>
      </w:r>
      <w:r>
        <w:rPr>
          <w:rFonts w:ascii="宋体" w:hAnsi="宋体" w:eastAsia="宋体" w:cs="Arial"/>
          <w:kern w:val="0"/>
          <w:szCs w:val="21"/>
        </w:rPr>
        <w:t>分最高的投标人为排名第一的中标候选人</w:t>
      </w:r>
      <w:r>
        <w:rPr>
          <w:rFonts w:hint="eastAsia" w:ascii="宋体" w:hAnsi="宋体" w:eastAsia="宋体" w:cs="Arial"/>
          <w:kern w:val="0"/>
          <w:szCs w:val="21"/>
        </w:rPr>
        <w:t>。</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（七）</w:t>
      </w:r>
      <w:r>
        <w:rPr>
          <w:rFonts w:ascii="宋体" w:hAnsi="宋体" w:eastAsia="宋体" w:cs="Arial"/>
          <w:b/>
          <w:kern w:val="0"/>
          <w:szCs w:val="21"/>
        </w:rPr>
        <w:t>编写评标报告</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评标委员会根据全体评标成员签名的原始评标记录和评标结果编写评标报告。</w:t>
      </w:r>
      <w:r>
        <w:rPr>
          <w:rFonts w:hint="eastAsia" w:ascii="宋体" w:hAnsi="宋体" w:eastAsia="宋体" w:cs="Arial"/>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93"/>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七、中标与合同</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（一）中标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1.采购代理机构自评标结束之日起2个工作日内将评标报告送交采购人。采购人收到评标报告之日起</w:t>
      </w:r>
      <w:r>
        <w:rPr>
          <w:rFonts w:ascii="宋体" w:hAnsi="宋体" w:eastAsia="宋体" w:cs="Times New Roman"/>
          <w:spacing w:val="-6"/>
          <w:szCs w:val="21"/>
        </w:rPr>
        <w:t>5</w:t>
      </w:r>
      <w:r>
        <w:rPr>
          <w:rFonts w:hint="eastAsia" w:ascii="宋体" w:hAnsi="宋体" w:eastAsia="宋体" w:cs="Times New Roman"/>
          <w:spacing w:val="-6"/>
          <w:szCs w:val="21"/>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2.采购代理机构自中标人确定之日起</w:t>
      </w:r>
      <w:r>
        <w:rPr>
          <w:rFonts w:ascii="宋体" w:hAnsi="宋体" w:eastAsia="宋体" w:cs="Times New Roman"/>
          <w:spacing w:val="-6"/>
          <w:szCs w:val="21"/>
        </w:rPr>
        <w:t>2</w:t>
      </w:r>
      <w:r>
        <w:rPr>
          <w:rFonts w:hint="eastAsia" w:ascii="宋体" w:hAnsi="宋体" w:eastAsia="宋体" w:cs="Times New Roman"/>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zCs w:val="21"/>
        </w:rPr>
        <w:t>评标结果公示媒体：</w:t>
      </w:r>
      <w:r>
        <w:rPr>
          <w:rFonts w:hint="eastAsia" w:ascii="宋体" w:hAnsi="宋体" w:eastAsia="宋体"/>
          <w:szCs w:val="21"/>
        </w:rPr>
        <w:t>中国政府采购网（http://www.ccgp.gov.cn）、浙江政府采购网（http://zfcg.czt.zj.gov.cn）</w:t>
      </w:r>
      <w:r>
        <w:rPr>
          <w:rFonts w:hint="eastAsia" w:ascii="宋体" w:hAnsi="宋体" w:eastAsia="宋体"/>
          <w:szCs w:val="21"/>
          <w:lang w:eastAsia="zh-CN"/>
        </w:rPr>
        <w:t>、</w:t>
      </w:r>
      <w:r>
        <w:rPr>
          <w:rFonts w:hint="eastAsia" w:ascii="宋体" w:hAnsi="宋体" w:eastAsia="宋体"/>
          <w:szCs w:val="21"/>
        </w:rPr>
        <w:t>浙江大学采购网（http://www.zupc.zju.edu.cn/cms/e?page=cms.index）</w:t>
      </w:r>
      <w:r>
        <w:rPr>
          <w:rFonts w:hint="eastAsia" w:ascii="宋体" w:hAnsi="宋体" w:eastAsia="宋体" w:cs="Times New Roman"/>
          <w:szCs w:val="21"/>
        </w:rPr>
        <w:t>。</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八、</w:t>
      </w:r>
      <w:r>
        <w:rPr>
          <w:rFonts w:ascii="宋体" w:hAnsi="宋体" w:eastAsia="宋体" w:cs="Times New Roman"/>
          <w:b/>
          <w:spacing w:val="-6"/>
          <w:szCs w:val="21"/>
        </w:rPr>
        <w:t>验</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采购人可以邀请参加本项目的其他投标人或者第三方机构参与验收。参与验收的投标人或者第三方机构的意见作为</w:t>
      </w:r>
      <w:r>
        <w:rPr>
          <w:rFonts w:hint="eastAsia" w:ascii="宋体" w:hAnsi="宋体" w:eastAsia="宋体" w:cs="Helvetica"/>
          <w:kern w:val="0"/>
          <w:szCs w:val="21"/>
        </w:rPr>
        <w:t>验收书的参考资料一并存档。</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spacing w:val="-6"/>
          <w:szCs w:val="21"/>
        </w:rPr>
      </w:pP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九、可中止电子交易活动的情形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评标方法及评标标准</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一、评标方法</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二、评标标准</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072"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w:t>
            </w:r>
            <w:r>
              <w:rPr>
                <w:rFonts w:hint="eastAsia" w:ascii="宋体" w:hAnsi="宋体" w:eastAsia="宋体" w:cs="Times New Roman"/>
                <w:b/>
                <w:bCs/>
                <w:szCs w:val="21"/>
                <w:lang w:val="en-US" w:eastAsia="zh-CN"/>
              </w:rPr>
              <w:t>33</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rPr>
              <w:t>3</w:t>
            </w:r>
            <w:r>
              <w:rPr>
                <w:rFonts w:hint="eastAsia" w:ascii="宋体" w:hAnsi="宋体" w:eastAsia="宋体" w:cs="宋体"/>
                <w:b/>
                <w:bCs/>
                <w:szCs w:val="21"/>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价格分=（评标基准价/投标报价）×3</w:t>
            </w:r>
            <w:r>
              <w:rPr>
                <w:rFonts w:hint="eastAsia" w:ascii="宋体" w:hAnsi="宋体" w:eastAsia="宋体" w:cs="宋体"/>
                <w:szCs w:val="21"/>
                <w:lang w:val="en-US" w:eastAsia="zh-CN"/>
              </w:rPr>
              <w:t>3</w:t>
            </w:r>
            <w:r>
              <w:rPr>
                <w:rFonts w:hint="eastAsia" w:ascii="宋体" w:hAnsi="宋体" w:eastAsia="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商务分</w:t>
            </w:r>
            <w:r>
              <w:rPr>
                <w:rFonts w:hint="eastAsia" w:ascii="宋体" w:hAnsi="宋体" w:eastAsia="宋体" w:cs="Times New Roman"/>
                <w:b/>
                <w:bCs/>
                <w:szCs w:val="21"/>
              </w:rPr>
              <w:t>（</w:t>
            </w:r>
            <w:r>
              <w:rPr>
                <w:rFonts w:hint="eastAsia" w:ascii="宋体" w:hAnsi="宋体" w:eastAsia="宋体" w:cs="Times New Roman"/>
                <w:b/>
                <w:bCs/>
                <w:szCs w:val="21"/>
                <w:lang w:val="en-US" w:eastAsia="zh-CN"/>
              </w:rPr>
              <w:t>10</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default" w:ascii="宋体" w:hAnsi="宋体" w:eastAsia="宋体" w:cs="宋体"/>
                <w:b/>
                <w:bCs/>
                <w:kern w:val="2"/>
                <w:sz w:val="21"/>
                <w:szCs w:val="21"/>
                <w:lang w:val="en-US" w:eastAsia="zh-CN" w:bidi="ar-SA"/>
              </w:rPr>
              <w:t>应标公司的经验和实力情况</w:t>
            </w:r>
          </w:p>
        </w:tc>
        <w:tc>
          <w:tcPr>
            <w:tcW w:w="654"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3</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w:t>
            </w:r>
          </w:p>
          <w:p>
            <w:pPr>
              <w:adjustRightInd w:val="0"/>
              <w:snapToGrid w:val="0"/>
              <w:spacing w:line="288" w:lineRule="auto"/>
              <w:rPr>
                <w:rFonts w:hint="eastAsia" w:ascii="宋体" w:hAnsi="宋体" w:eastAsia="宋体" w:cs="宋体"/>
                <w:szCs w:val="21"/>
                <w:lang w:eastAsia="zh-CN"/>
              </w:rPr>
            </w:pPr>
            <w:r>
              <w:rPr>
                <w:rFonts w:hint="eastAsia" w:ascii="宋体" w:hAnsi="宋体" w:eastAsia="宋体" w:cs="宋体"/>
                <w:szCs w:val="21"/>
              </w:rPr>
              <w:t>应标公司的综合实力、知名度和信誉等情况</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kern w:val="2"/>
                <w:sz w:val="21"/>
                <w:szCs w:val="21"/>
                <w:lang w:val="en-US" w:eastAsia="zh-CN" w:bidi="ar-SA"/>
              </w:rPr>
            </w:pPr>
          </w:p>
        </w:tc>
        <w:tc>
          <w:tcPr>
            <w:tcW w:w="654" w:type="dxa"/>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Cs w:val="21"/>
                <w:lang w:val="en-US" w:eastAsia="zh-CN"/>
              </w:rPr>
              <w:t>4</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【客观分】</w:t>
            </w:r>
          </w:p>
          <w:p>
            <w:pPr>
              <w:adjustRightInd w:val="0"/>
              <w:snapToGrid w:val="0"/>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从事同类项目建设的有关业绩（业绩证明应含主要业绩汇总表、合同复印件加盖印章）：</w:t>
            </w:r>
          </w:p>
          <w:p>
            <w:pPr>
              <w:adjustRightInd w:val="0"/>
              <w:snapToGrid w:val="0"/>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①本次招标项目相关岩石/岩体加载设备五年及以内（以合同签订日期为准）制造业绩证明，每成功完成（验收合格证明）一个项目得1分，同一项目不重复计分，最多可累加至3分；</w:t>
            </w:r>
          </w:p>
          <w:p>
            <w:pPr>
              <w:adjustRightInd w:val="0"/>
              <w:snapToGrid w:val="0"/>
              <w:spacing w:line="288" w:lineRule="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②本次招标项目相关超重力装置（离心加速度50g及以上）五年及以内（以合同签订日期为准）制造业绩证明，每成功完成（验收合格证明或用户证明）一个项目得1分，同一项目不重复计分，最多可累加至1分；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p>
        </w:tc>
        <w:tc>
          <w:tcPr>
            <w:tcW w:w="654" w:type="dxa"/>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Cs w:val="21"/>
                <w:lang w:val="en-US" w:eastAsia="zh-CN"/>
              </w:rPr>
              <w:t>1</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w:t>
            </w:r>
          </w:p>
          <w:p>
            <w:pPr>
              <w:adjustRightInd w:val="0"/>
              <w:snapToGrid w:val="0"/>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投标产品的技术及维修人员国内及周边地区的配备情况。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标书制作</w:t>
            </w: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2</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w:t>
            </w:r>
          </w:p>
          <w:p>
            <w:pPr>
              <w:adjustRightInd w:val="0"/>
              <w:snapToGrid w:val="0"/>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投标文件中所提供资料的完整性及标书文件制作水平。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rPr>
              <w:t>技术</w:t>
            </w:r>
            <w:r>
              <w:rPr>
                <w:rFonts w:ascii="宋体" w:hAnsi="宋体" w:eastAsia="宋体" w:cs="Times New Roman"/>
                <w:b/>
                <w:bCs/>
                <w:szCs w:val="21"/>
              </w:rPr>
              <w:t>分</w:t>
            </w:r>
            <w:r>
              <w:rPr>
                <w:rFonts w:hint="eastAsia" w:ascii="宋体" w:hAnsi="宋体" w:eastAsia="宋体" w:cs="Times New Roman"/>
                <w:b/>
                <w:bCs/>
                <w:szCs w:val="21"/>
              </w:rPr>
              <w:t>（</w:t>
            </w:r>
            <w:r>
              <w:rPr>
                <w:rFonts w:hint="eastAsia" w:ascii="宋体" w:hAnsi="宋体" w:eastAsia="宋体" w:cs="Times New Roman"/>
                <w:b/>
                <w:bCs/>
                <w:szCs w:val="21"/>
                <w:lang w:val="en-US" w:eastAsia="zh-CN"/>
              </w:rPr>
              <w:t>57</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技术方案</w:t>
            </w:r>
          </w:p>
        </w:tc>
        <w:tc>
          <w:tcPr>
            <w:tcW w:w="654" w:type="dxa"/>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2</w:t>
            </w:r>
          </w:p>
        </w:tc>
        <w:tc>
          <w:tcPr>
            <w:tcW w:w="7072" w:type="dxa"/>
            <w:vAlign w:val="center"/>
          </w:tcPr>
          <w:p>
            <w:pPr>
              <w:adjustRightInd w:val="0"/>
              <w:snapToGrid w:val="0"/>
              <w:spacing w:line="288" w:lineRule="auto"/>
              <w:rPr>
                <w:rFonts w:hint="eastAsia" w:ascii="宋体" w:hAnsi="宋体" w:eastAsia="宋体" w:cs="宋体"/>
                <w:szCs w:val="21"/>
                <w:lang w:val="en-US" w:eastAsia="zh-CN"/>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观分】对项目的理解</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utoSpaceDE w:val="0"/>
              <w:autoSpaceDN w:val="0"/>
              <w:adjustRightInd w:val="0"/>
              <w:snapToGrid w:val="0"/>
              <w:spacing w:line="288" w:lineRule="auto"/>
              <w:jc w:val="center"/>
              <w:rPr>
                <w:rFonts w:ascii="宋体" w:hAnsi="宋体" w:eastAsia="宋体" w:cs="宋体"/>
                <w:b/>
                <w:bCs/>
                <w:kern w:val="0"/>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7</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观分】主要性能指标完全响应招标文件</w:t>
            </w:r>
            <w:r>
              <w:rPr>
                <w:rFonts w:hint="eastAsia" w:ascii="宋体" w:hAnsi="宋体" w:eastAsia="宋体" w:cs="宋体"/>
                <w:szCs w:val="21"/>
                <w:lang w:val="en-US" w:eastAsia="zh-CN"/>
              </w:rPr>
              <w:t>采购需求中</w:t>
            </w:r>
            <w:r>
              <w:rPr>
                <w:rFonts w:hint="eastAsia" w:ascii="宋体" w:hAnsi="宋体" w:eastAsia="宋体" w:cs="宋体"/>
                <w:szCs w:val="21"/>
              </w:rPr>
              <w:t>表3.1具体要求得基本分7分，不带“★”的一般技术指标存在一项负偏离减1分，扣完为止</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8</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lang w:eastAsia="zh-CN"/>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观分】产品配置及功能与采购要求</w:t>
            </w:r>
            <w:r>
              <w:rPr>
                <w:rFonts w:hint="eastAsia" w:ascii="宋体" w:hAnsi="宋体" w:eastAsia="宋体" w:cs="宋体"/>
                <w:szCs w:val="21"/>
                <w:lang w:eastAsia="zh-CN"/>
              </w:rPr>
              <w:t>：</w:t>
            </w:r>
            <w:r>
              <w:rPr>
                <w:rFonts w:hint="eastAsia" w:ascii="宋体" w:hAnsi="宋体" w:eastAsia="宋体" w:cs="宋体"/>
                <w:szCs w:val="21"/>
              </w:rPr>
              <w:t>招标文件</w:t>
            </w:r>
            <w:r>
              <w:rPr>
                <w:rFonts w:hint="eastAsia" w:ascii="宋体" w:hAnsi="宋体" w:eastAsia="宋体" w:cs="宋体"/>
                <w:szCs w:val="21"/>
                <w:lang w:val="en-US" w:eastAsia="zh-CN"/>
              </w:rPr>
              <w:t>采购需求中</w:t>
            </w:r>
            <w:r>
              <w:rPr>
                <w:rFonts w:hint="eastAsia" w:ascii="宋体" w:hAnsi="宋体" w:eastAsia="宋体" w:cs="宋体"/>
                <w:szCs w:val="21"/>
              </w:rPr>
              <w:t>供货清单表3.2完全符合得基本分8分，产品配置及功能存在一项负偏离减1分，扣完为止</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bottom w:val="single" w:color="auto" w:sz="4" w:space="0"/>
            </w:tcBorders>
            <w:vAlign w:val="center"/>
          </w:tcPr>
          <w:p>
            <w:pPr>
              <w:adjustRightInd w:val="0"/>
              <w:snapToGrid w:val="0"/>
              <w:spacing w:line="288" w:lineRule="auto"/>
              <w:jc w:val="center"/>
              <w:rPr>
                <w:rFonts w:ascii="宋体" w:hAnsi="宋体" w:eastAsia="宋体" w:cs="Times New Roman"/>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30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观分】产品的先进性及可靠性、实施方案的合理性及规范性：</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w:t>
            </w:r>
            <w:r>
              <w:rPr>
                <w:rFonts w:hint="eastAsia" w:ascii="宋体" w:hAnsi="宋体" w:eastAsia="宋体" w:cs="宋体"/>
                <w:szCs w:val="21"/>
              </w:rPr>
              <w:t>总体设计和加工方案（0-3分）；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w:t>
            </w:r>
            <w:r>
              <w:rPr>
                <w:rFonts w:hint="eastAsia" w:ascii="宋体" w:hAnsi="宋体" w:eastAsia="宋体" w:cs="宋体"/>
                <w:szCs w:val="21"/>
              </w:rPr>
              <w:t>技术参数验证方案（0-2分）；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w:t>
            </w:r>
            <w:r>
              <w:rPr>
                <w:rFonts w:hint="eastAsia" w:ascii="宋体" w:hAnsi="宋体" w:eastAsia="宋体" w:cs="宋体"/>
                <w:szCs w:val="21"/>
              </w:rPr>
              <w:t>3.4.1超重力下液压控制系统方案（0-8分）；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eastAsia="zh-CN"/>
              </w:rPr>
              <w:t>）</w:t>
            </w:r>
            <w:r>
              <w:rPr>
                <w:rFonts w:hint="eastAsia" w:ascii="宋体" w:hAnsi="宋体" w:eastAsia="宋体" w:cs="宋体"/>
                <w:szCs w:val="21"/>
              </w:rPr>
              <w:t>超重力下围压液比重配比方案（0-2分）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eastAsia="zh-CN"/>
              </w:rPr>
              <w:t>）</w:t>
            </w:r>
            <w:r>
              <w:rPr>
                <w:rFonts w:hint="eastAsia" w:ascii="宋体" w:hAnsi="宋体" w:eastAsia="宋体" w:cs="宋体"/>
                <w:szCs w:val="21"/>
              </w:rPr>
              <w:t>3.4.2超重力下温度控制系统方案（0-2分）；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eastAsia="zh-CN"/>
              </w:rPr>
              <w:t>）</w:t>
            </w:r>
            <w:r>
              <w:rPr>
                <w:rFonts w:hint="eastAsia" w:ascii="宋体" w:hAnsi="宋体" w:eastAsia="宋体" w:cs="宋体"/>
                <w:szCs w:val="21"/>
              </w:rPr>
              <w:t>3.4.3超重力下模型开挖模拟系统方案（0-2分）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szCs w:val="21"/>
                <w:lang w:eastAsia="zh-CN"/>
              </w:rPr>
              <w:t>）</w:t>
            </w:r>
            <w:r>
              <w:rPr>
                <w:rFonts w:hint="eastAsia" w:ascii="宋体" w:hAnsi="宋体" w:eastAsia="宋体" w:cs="宋体"/>
                <w:szCs w:val="21"/>
              </w:rPr>
              <w:t>3.4.4超重力下监测系统设计和方案（0-2分）；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szCs w:val="21"/>
                <w:lang w:eastAsia="zh-CN"/>
              </w:rPr>
              <w:t>）</w:t>
            </w:r>
            <w:r>
              <w:rPr>
                <w:rFonts w:hint="eastAsia" w:ascii="宋体" w:hAnsi="宋体" w:eastAsia="宋体" w:cs="宋体"/>
                <w:szCs w:val="21"/>
              </w:rPr>
              <w:t>3.4.5相似模型制备系统系统设计和方案（0-3分）；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（9</w:t>
            </w:r>
            <w:r>
              <w:rPr>
                <w:rFonts w:hint="eastAsia" w:ascii="宋体" w:hAnsi="宋体" w:eastAsia="宋体" w:cs="宋体"/>
                <w:szCs w:val="21"/>
                <w:lang w:eastAsia="zh-CN"/>
              </w:rPr>
              <w:t>）</w:t>
            </w:r>
            <w:r>
              <w:rPr>
                <w:rFonts w:hint="eastAsia" w:ascii="宋体" w:hAnsi="宋体" w:eastAsia="宋体" w:cs="宋体"/>
                <w:szCs w:val="21"/>
              </w:rPr>
              <w:t>3.4.8及便捷性方案、3.4.9力学计算与超重力测试方案（0-3分）；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（10</w:t>
            </w:r>
            <w:r>
              <w:rPr>
                <w:rFonts w:hint="eastAsia" w:ascii="宋体" w:hAnsi="宋体" w:eastAsia="宋体" w:cs="宋体"/>
                <w:szCs w:val="21"/>
                <w:lang w:eastAsia="zh-CN"/>
              </w:rPr>
              <w:t>）</w:t>
            </w:r>
            <w:r>
              <w:rPr>
                <w:rFonts w:hint="eastAsia" w:ascii="宋体" w:hAnsi="宋体" w:eastAsia="宋体" w:cs="宋体"/>
                <w:szCs w:val="21"/>
              </w:rPr>
              <w:t>验收方案和安装调试方案的合理性及可操作性（0-3分）。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服务承诺和优惠</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10</w:t>
            </w:r>
          </w:p>
        </w:tc>
        <w:tc>
          <w:tcPr>
            <w:tcW w:w="7072"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主</w:t>
            </w:r>
            <w:r>
              <w:rPr>
                <w:rFonts w:hint="eastAsia" w:ascii="宋体" w:hAnsi="宋体" w:eastAsia="宋体" w:cs="宋体"/>
                <w:szCs w:val="21"/>
              </w:rPr>
              <w:t>观分】主要包含优惠承诺等方面的因素，所占分值10分；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评审要点为：</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（1）针对售后服务措施（包括能力、故障解决时间、用户技术咨询回复、主动巡检方案等）的完善性、及时性、合理性进行综合评分（0-4分）；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（2）项目实施人员的配置（提供详细人员名单、职称、资格等信息）科学合理性进行综合评分（0-2分）；</w:t>
            </w:r>
          </w:p>
          <w:p>
            <w:pPr>
              <w:adjustRightInd w:val="0"/>
              <w:snapToGrid w:val="0"/>
              <w:spacing w:line="288" w:lineRule="auto"/>
              <w:rPr>
                <w:rFonts w:hint="eastAsia" w:ascii="宋体" w:hAnsi="宋体" w:eastAsia="宋体" w:cs="宋体"/>
                <w:szCs w:val="21"/>
              </w:rPr>
            </w:pPr>
            <w:r>
              <w:rPr>
                <w:rFonts w:hint="eastAsia" w:ascii="宋体" w:hAnsi="宋体" w:eastAsia="宋体" w:cs="宋体"/>
                <w:szCs w:val="21"/>
              </w:rPr>
              <w:t>（3）培训要求完全响应得基本分1分，存在负偏离不得分（0-1分）；</w:t>
            </w:r>
          </w:p>
          <w:p>
            <w:pPr>
              <w:adjustRightInd w:val="0"/>
              <w:snapToGrid w:val="0"/>
              <w:spacing w:line="288" w:lineRule="auto"/>
              <w:rPr>
                <w:rFonts w:ascii="宋体" w:hAnsi="宋体" w:eastAsia="宋体" w:cs="宋体"/>
                <w:szCs w:val="21"/>
              </w:rPr>
            </w:pPr>
            <w:r>
              <w:rPr>
                <w:rFonts w:hint="eastAsia" w:ascii="宋体" w:hAnsi="宋体" w:eastAsia="宋体" w:cs="宋体"/>
                <w:szCs w:val="21"/>
              </w:rPr>
              <w:t>（4）备品备件准备情况及优惠条款承诺进行综合评分（0-3分）。</w:t>
            </w:r>
          </w:p>
        </w:tc>
      </w:tr>
    </w:tbl>
    <w:p>
      <w:pPr>
        <w:adjustRightInd w:val="0"/>
        <w:snapToGrid w:val="0"/>
        <w:spacing w:line="288" w:lineRule="auto"/>
        <w:jc w:val="left"/>
        <w:rPr>
          <w:rFonts w:ascii="宋体" w:hAnsi="宋体" w:eastAsia="宋体" w:cs="Times New Roman"/>
          <w:b/>
          <w:szCs w:val="21"/>
        </w:rPr>
      </w:pPr>
    </w:p>
    <w:p>
      <w:pPr>
        <w:adjustRightInd w:val="0"/>
        <w:snapToGrid w:val="0"/>
        <w:spacing w:line="288" w:lineRule="auto"/>
        <w:jc w:val="left"/>
        <w:rPr>
          <w:rFonts w:ascii="宋体" w:hAnsi="宋体" w:eastAsia="宋体" w:cs="Times New Roman"/>
          <w:b/>
          <w:szCs w:val="21"/>
        </w:rPr>
      </w:pPr>
      <w:r>
        <w:rPr>
          <w:rFonts w:hint="eastAsia" w:ascii="宋体" w:hAnsi="宋体" w:eastAsia="宋体" w:cs="Times New Roman"/>
          <w:b/>
          <w:szCs w:val="21"/>
        </w:rPr>
        <w:t>说明</w:t>
      </w:r>
      <w:r>
        <w:rPr>
          <w:rFonts w:ascii="宋体" w:hAnsi="宋体" w:eastAsia="宋体" w:cs="Times New Roman"/>
          <w:b/>
          <w:szCs w:val="21"/>
        </w:rPr>
        <w:t>：</w:t>
      </w:r>
    </w:p>
    <w:p>
      <w:pPr>
        <w:adjustRightInd w:val="0"/>
        <w:snapToGrid w:val="0"/>
        <w:spacing w:line="288" w:lineRule="auto"/>
        <w:jc w:val="left"/>
        <w:rPr>
          <w:rFonts w:ascii="宋体" w:hAnsi="宋体" w:eastAsia="宋体" w:cs="Times New Roman"/>
          <w:b/>
          <w:sz w:val="21"/>
          <w:szCs w:val="21"/>
          <w:highlight w:val="none"/>
        </w:rPr>
      </w:pPr>
      <w:r>
        <w:rPr>
          <w:rFonts w:ascii="宋体" w:hAnsi="宋体" w:eastAsia="宋体" w:cs="Times New Roman"/>
          <w:b/>
          <w:sz w:val="21"/>
          <w:szCs w:val="21"/>
          <w:highlight w:val="none"/>
        </w:rPr>
        <w:t>1.</w:t>
      </w:r>
      <w:r>
        <w:rPr>
          <w:rFonts w:hint="eastAsia" w:ascii="宋体" w:hAnsi="宋体" w:eastAsia="宋体" w:cs="Times New Roman"/>
          <w:b/>
          <w:sz w:val="21"/>
          <w:szCs w:val="21"/>
          <w:highlight w:val="none"/>
        </w:rPr>
        <w:t>根据《政府采购促进中小企业发展管理办法》（财库〔2020〕46号）、《关于进一步加大政府采购支持中小企业力度的通知》（财库〔</w:t>
      </w:r>
      <w:r>
        <w:rPr>
          <w:rFonts w:ascii="宋体" w:hAnsi="宋体" w:eastAsia="宋体" w:cs="Times New Roman"/>
          <w:b/>
          <w:sz w:val="21"/>
          <w:szCs w:val="21"/>
          <w:highlight w:val="none"/>
        </w:rPr>
        <w:t>2022〕19号）、</w:t>
      </w:r>
      <w:r>
        <w:rPr>
          <w:rFonts w:hint="eastAsia" w:ascii="宋体" w:hAnsi="宋体" w:eastAsia="宋体" w:cs="Times New Roman"/>
          <w:b/>
          <w:sz w:val="21"/>
          <w:szCs w:val="21"/>
          <w:highlight w:val="none"/>
        </w:rPr>
        <w:t>的规定：对符合规定的小微企业报价给予</w:t>
      </w:r>
      <w:r>
        <w:rPr>
          <w:rFonts w:hint="eastAsia" w:ascii="宋体" w:hAnsi="宋体" w:eastAsia="宋体" w:cs="Times New Roman"/>
          <w:b/>
          <w:sz w:val="21"/>
          <w:szCs w:val="21"/>
          <w:highlight w:val="none"/>
          <w:lang w:val="en-US" w:eastAsia="zh-CN"/>
        </w:rPr>
        <w:t>1</w:t>
      </w:r>
      <w:r>
        <w:rPr>
          <w:rFonts w:ascii="宋体" w:hAnsi="宋体" w:eastAsia="宋体" w:cs="Times New Roman"/>
          <w:b/>
          <w:sz w:val="21"/>
          <w:szCs w:val="21"/>
          <w:highlight w:val="none"/>
        </w:rPr>
        <w:t>0</w:t>
      </w:r>
      <w:r>
        <w:rPr>
          <w:rFonts w:hint="eastAsia" w:ascii="宋体" w:hAnsi="宋体" w:eastAsia="宋体" w:cs="Times New Roman"/>
          <w:b/>
          <w:sz w:val="21"/>
          <w:szCs w:val="21"/>
          <w:highlight w:val="none"/>
        </w:rPr>
        <w:t>%的扣除后计算价格得分。</w:t>
      </w:r>
    </w:p>
    <w:p>
      <w:pPr>
        <w:adjustRightInd w:val="0"/>
        <w:snapToGrid w:val="0"/>
        <w:spacing w:line="288" w:lineRule="auto"/>
        <w:rPr>
          <w:rFonts w:ascii="宋体" w:hAnsi="宋体" w:eastAsia="宋体" w:cs="Times New Roman"/>
          <w:b/>
          <w:bCs/>
          <w:spacing w:val="-6"/>
          <w:sz w:val="21"/>
          <w:szCs w:val="21"/>
          <w:highlight w:val="none"/>
        </w:rPr>
      </w:pPr>
      <w:bookmarkStart w:id="94" w:name="_Hlk81817373"/>
      <w:bookmarkStart w:id="95" w:name="_Hlk81817387"/>
      <w:r>
        <w:rPr>
          <w:rFonts w:hint="eastAsia" w:ascii="宋体" w:hAnsi="宋体" w:eastAsia="宋体" w:cs="Times New Roman"/>
          <w:b/>
          <w:bCs/>
          <w:spacing w:val="-6"/>
          <w:sz w:val="21"/>
          <w:szCs w:val="21"/>
          <w:highlight w:val="none"/>
        </w:rPr>
        <w:t>2</w:t>
      </w:r>
      <w:r>
        <w:rPr>
          <w:rFonts w:ascii="宋体" w:hAnsi="宋体" w:eastAsia="宋体" w:cs="Times New Roman"/>
          <w:b/>
          <w:bCs/>
          <w:spacing w:val="-6"/>
          <w:sz w:val="21"/>
          <w:szCs w:val="21"/>
          <w:highlight w:val="none"/>
        </w:rPr>
        <w:t>.</w:t>
      </w:r>
      <w:r>
        <w:rPr>
          <w:rFonts w:hint="eastAsia" w:ascii="宋体" w:hAnsi="宋体" w:eastAsia="宋体" w:cs="Times New Roman"/>
          <w:b/>
          <w:bCs/>
          <w:spacing w:val="-6"/>
          <w:sz w:val="21"/>
          <w:szCs w:val="21"/>
          <w:highlight w:val="none"/>
        </w:rPr>
        <w:t>根据《</w:t>
      </w:r>
      <w:r>
        <w:rPr>
          <w:rFonts w:ascii="宋体" w:hAnsi="宋体" w:eastAsia="宋体" w:cs="Times New Roman"/>
          <w:b/>
          <w:bCs/>
          <w:spacing w:val="-6"/>
          <w:sz w:val="21"/>
          <w:szCs w:val="21"/>
          <w:highlight w:val="none"/>
        </w:rPr>
        <w:t>关于政府采购支持监狱企业发展有关问题的通知</w:t>
      </w:r>
      <w:r>
        <w:rPr>
          <w:rFonts w:hint="eastAsia" w:ascii="宋体" w:hAnsi="宋体" w:eastAsia="宋体" w:cs="Times New Roman"/>
          <w:b/>
          <w:bCs/>
          <w:spacing w:val="-6"/>
          <w:sz w:val="21"/>
          <w:szCs w:val="21"/>
          <w:highlight w:val="none"/>
        </w:rPr>
        <w:t>》（</w:t>
      </w:r>
      <w:r>
        <w:rPr>
          <w:rFonts w:ascii="宋体" w:hAnsi="宋体" w:eastAsia="宋体" w:cs="Times New Roman"/>
          <w:b/>
          <w:bCs/>
          <w:spacing w:val="-6"/>
          <w:sz w:val="21"/>
          <w:szCs w:val="21"/>
          <w:highlight w:val="none"/>
        </w:rPr>
        <w:t>财库[2014]68号</w:t>
      </w:r>
      <w:r>
        <w:rPr>
          <w:rFonts w:hint="eastAsia" w:ascii="宋体" w:hAnsi="宋体" w:eastAsia="宋体" w:cs="Times New Roman"/>
          <w:b/>
          <w:bCs/>
          <w:spacing w:val="-6"/>
          <w:sz w:val="21"/>
          <w:szCs w:val="21"/>
          <w:highlight w:val="none"/>
        </w:rPr>
        <w:t>）的规定，</w:t>
      </w:r>
      <w:r>
        <w:rPr>
          <w:rFonts w:hint="eastAsia" w:ascii="宋体" w:hAnsi="宋体" w:eastAsia="宋体" w:cs="宋体"/>
          <w:color w:val="000000"/>
          <w:kern w:val="0"/>
          <w:sz w:val="21"/>
          <w:szCs w:val="21"/>
          <w:highlight w:val="none"/>
        </w:rPr>
        <w:t>监狱企业参加政府采购活动时，提供由省级以上监狱管理局</w:t>
      </w:r>
      <w:r>
        <w:rPr>
          <w:rFonts w:hint="eastAsia" w:ascii="宋体" w:hAnsi="宋体" w:eastAsia="宋体" w:cs="宋体"/>
          <w:kern w:val="0"/>
          <w:sz w:val="21"/>
          <w:szCs w:val="21"/>
          <w:highlight w:val="none"/>
        </w:rPr>
        <w:t>、戒毒管理局（含新疆生产建设兵团）出具的属于监狱企业的证明文件的，在政府采购活动中，监狱企业视</w:t>
      </w:r>
      <w:r>
        <w:rPr>
          <w:rFonts w:hint="eastAsia" w:ascii="宋体" w:hAnsi="宋体" w:eastAsia="宋体" w:cs="宋体"/>
          <w:color w:val="000000"/>
          <w:kern w:val="0"/>
          <w:sz w:val="21"/>
          <w:szCs w:val="21"/>
          <w:highlight w:val="none"/>
        </w:rPr>
        <w:t>同小型、微型企业，享受预留份额、评审中价格扣除等政府采购促进中小企业发展的政府采购政策。</w:t>
      </w:r>
    </w:p>
    <w:bookmarkEnd w:id="94"/>
    <w:p>
      <w:pPr>
        <w:adjustRightInd w:val="0"/>
        <w:snapToGrid w:val="0"/>
        <w:spacing w:line="288" w:lineRule="auto"/>
        <w:rPr>
          <w:rFonts w:ascii="宋体" w:hAnsi="宋体" w:eastAsia="宋体" w:cs="Times New Roman"/>
          <w:b/>
          <w:bCs/>
          <w:spacing w:val="-6"/>
          <w:sz w:val="21"/>
          <w:szCs w:val="21"/>
          <w:highlight w:val="none"/>
        </w:rPr>
      </w:pPr>
      <w:r>
        <w:rPr>
          <w:rFonts w:hint="eastAsia" w:ascii="宋体" w:hAnsi="宋体" w:eastAsia="宋体" w:cs="Times New Roman"/>
          <w:b/>
          <w:bCs/>
          <w:spacing w:val="-6"/>
          <w:sz w:val="21"/>
          <w:szCs w:val="21"/>
          <w:highlight w:val="none"/>
        </w:rPr>
        <w:t>3</w:t>
      </w:r>
      <w:r>
        <w:rPr>
          <w:rFonts w:ascii="宋体" w:hAnsi="宋体" w:eastAsia="宋体" w:cs="Times New Roman"/>
          <w:b/>
          <w:bCs/>
          <w:spacing w:val="-6"/>
          <w:sz w:val="21"/>
          <w:szCs w:val="21"/>
          <w:highlight w:val="none"/>
        </w:rPr>
        <w:t>.</w:t>
      </w:r>
      <w:r>
        <w:rPr>
          <w:rFonts w:hint="eastAsia" w:ascii="宋体" w:hAnsi="宋体" w:eastAsia="宋体" w:cs="Times New Roman"/>
          <w:b/>
          <w:bCs/>
          <w:spacing w:val="-6"/>
          <w:sz w:val="21"/>
          <w:szCs w:val="21"/>
          <w:highlight w:val="none"/>
        </w:rPr>
        <w:t>根据《关于促进残疾人就业政府采购政策的通知》（财库[2017]141号）的规定，</w:t>
      </w:r>
      <w:r>
        <w:rPr>
          <w:rFonts w:hint="eastAsia" w:ascii="宋体" w:hAnsi="宋体" w:eastAsia="宋体" w:cs="Times New Roman"/>
          <w:color w:val="000000"/>
          <w:sz w:val="21"/>
          <w:szCs w:val="21"/>
          <w:highlight w:val="none"/>
        </w:rPr>
        <w:t>符合条件的残疾人福利性单位在参加政府采购活动时，</w:t>
      </w:r>
      <w:r>
        <w:rPr>
          <w:rFonts w:hint="eastAsia" w:ascii="宋体" w:hAnsi="宋体" w:eastAsia="宋体" w:cs="Times New Roman"/>
          <w:sz w:val="21"/>
          <w:szCs w:val="21"/>
          <w:highlight w:val="none"/>
        </w:rPr>
        <w:t>提供财库</w:t>
      </w:r>
      <w:r>
        <w:rPr>
          <w:rFonts w:ascii="宋体" w:hAnsi="宋体" w:eastAsia="宋体" w:cs="Times New Roman"/>
          <w:sz w:val="21"/>
          <w:szCs w:val="21"/>
          <w:highlight w:val="none"/>
        </w:rPr>
        <w:t>[2017]141号</w:t>
      </w:r>
      <w:r>
        <w:rPr>
          <w:rFonts w:hint="eastAsia" w:ascii="宋体" w:hAnsi="宋体" w:eastAsia="宋体" w:cs="Times New Roman"/>
          <w:sz w:val="21"/>
          <w:szCs w:val="21"/>
          <w:highlight w:val="none"/>
        </w:rPr>
        <w:t>文件</w:t>
      </w:r>
      <w:r>
        <w:rPr>
          <w:rFonts w:hint="eastAsia" w:ascii="宋体" w:hAnsi="宋体" w:eastAsia="宋体" w:cs="Times New Roman"/>
          <w:color w:val="000000"/>
          <w:sz w:val="21"/>
          <w:szCs w:val="21"/>
          <w:highlight w:val="none"/>
        </w:rPr>
        <w:t>规定的《残疾人福利性单位声明函》的，在政府采购活</w:t>
      </w:r>
      <w:r>
        <w:rPr>
          <w:rFonts w:hint="eastAsia" w:ascii="宋体" w:hAnsi="宋体" w:eastAsia="宋体" w:cs="Times New Roman"/>
          <w:sz w:val="21"/>
          <w:szCs w:val="21"/>
          <w:highlight w:val="none"/>
        </w:rPr>
        <w:t>动中，残疾人福利性单位视同小型、微型企业，享受预留份额、评审中价格扣除等促进中小企业发展的政府采购政策。</w:t>
      </w:r>
      <w:r>
        <w:rPr>
          <w:rFonts w:ascii="宋体" w:hAnsi="宋体" w:eastAsia="宋体" w:cs="Times New Roman"/>
          <w:spacing w:val="-6"/>
          <w:sz w:val="21"/>
          <w:szCs w:val="21"/>
          <w:highlight w:val="none"/>
        </w:rPr>
        <w:t>残疾人福利性单位属于小型、微型企业的，不重复享受政策。</w:t>
      </w:r>
      <w:bookmarkEnd w:id="95"/>
    </w:p>
    <w:p>
      <w:pPr>
        <w:widowControl/>
        <w:adjustRightInd w:val="0"/>
        <w:snapToGrid w:val="0"/>
        <w:spacing w:line="288" w:lineRule="auto"/>
        <w:jc w:val="left"/>
        <w:rPr>
          <w:rFonts w:ascii="宋体" w:hAnsi="宋体" w:eastAsia="宋体" w:cs="Times New Roman"/>
          <w:b/>
          <w:bCs/>
          <w:spacing w:val="-6"/>
          <w:szCs w:val="21"/>
        </w:rPr>
      </w:pPr>
      <w:r>
        <w:rPr>
          <w:rFonts w:ascii="宋体" w:hAnsi="宋体" w:eastAsia="宋体" w:cs="Times New Roman"/>
          <w:b/>
          <w:bCs/>
          <w:spacing w:val="-6"/>
          <w:szCs w:val="21"/>
        </w:rPr>
        <w:br w:type="page"/>
      </w: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r>
        <w:rPr>
          <w:rFonts w:hint="eastAsia" w:ascii="宋体" w:hAnsi="宋体" w:eastAsia="宋体" w:cs="宋体"/>
          <w:b/>
          <w:sz w:val="32"/>
          <w:szCs w:val="32"/>
          <w:lang w:eastAsia="zh-CN"/>
        </w:rPr>
        <w:t>（</w:t>
      </w:r>
      <w:r>
        <w:rPr>
          <w:rFonts w:hint="eastAsia" w:ascii="宋体" w:hAnsi="宋体" w:eastAsia="宋体" w:cs="宋体"/>
          <w:b/>
          <w:color w:val="FF0000"/>
          <w:sz w:val="32"/>
          <w:szCs w:val="32"/>
          <w:lang w:val="en-US" w:eastAsia="zh-CN"/>
        </w:rPr>
        <w:t>最后一页《须知》也为合同内容</w:t>
      </w:r>
      <w:r>
        <w:rPr>
          <w:rFonts w:hint="eastAsia" w:ascii="宋体" w:hAnsi="宋体" w:eastAsia="宋体" w:cs="宋体"/>
          <w:b/>
          <w:sz w:val="32"/>
          <w:szCs w:val="32"/>
          <w:lang w:eastAsia="zh-CN"/>
        </w:rPr>
        <w:t>）</w:t>
      </w:r>
    </w:p>
    <w:p>
      <w:pPr>
        <w:adjustRightInd w:val="0"/>
        <w:snapToGrid w:val="0"/>
        <w:spacing w:line="288" w:lineRule="auto"/>
        <w:rPr>
          <w:rFonts w:ascii="宋体" w:hAnsi="宋体" w:eastAsia="宋体" w:cs="宋体"/>
          <w:b/>
          <w:spacing w:val="-6"/>
          <w:szCs w:val="21"/>
        </w:rPr>
      </w:pPr>
    </w:p>
    <w:p>
      <w:pPr>
        <w:spacing w:line="360" w:lineRule="auto"/>
        <w:jc w:val="center"/>
        <w:rPr>
          <w:rFonts w:ascii="楷体_GB2312" w:hAnsi="Times New Roman" w:eastAsia="楷体_GB2312" w:cs="Times New Roman"/>
          <w:b/>
          <w:bCs/>
          <w:spacing w:val="20"/>
          <w:sz w:val="32"/>
          <w:szCs w:val="32"/>
        </w:rPr>
      </w:pPr>
      <w:r>
        <w:rPr>
          <w:rFonts w:hint="eastAsia" w:ascii="楷体_GB2312" w:hAnsi="Times New Roman" w:eastAsia="楷体_GB2312" w:cs="Times New Roman"/>
          <w:b/>
          <w:bCs/>
          <w:spacing w:val="20"/>
          <w:sz w:val="32"/>
          <w:szCs w:val="32"/>
        </w:rPr>
        <w:t>货物集中采购合同</w:t>
      </w:r>
    </w:p>
    <w:p>
      <w:pPr>
        <w:widowControl w:val="0"/>
        <w:spacing w:after="120"/>
        <w:jc w:val="both"/>
        <w:rPr>
          <w:rFonts w:ascii="Times New Roman" w:hAnsi="Times New Roman" w:eastAsia="宋体" w:cs="Times New Roman"/>
          <w:kern w:val="2"/>
          <w:sz w:val="21"/>
          <w:szCs w:val="24"/>
          <w:lang w:val="en-US" w:eastAsia="zh-CN" w:bidi="ar-SA"/>
        </w:rPr>
      </w:pPr>
    </w:p>
    <w:tbl>
      <w:tblPr>
        <w:tblStyle w:val="24"/>
        <w:tblW w:w="0" w:type="auto"/>
        <w:tblInd w:w="0" w:type="dxa"/>
        <w:tblLayout w:type="fixed"/>
        <w:tblCellMar>
          <w:top w:w="0" w:type="dxa"/>
          <w:left w:w="108" w:type="dxa"/>
          <w:bottom w:w="0" w:type="dxa"/>
          <w:right w:w="108" w:type="dxa"/>
        </w:tblCellMar>
      </w:tblPr>
      <w:tblGrid>
        <w:gridCol w:w="4456"/>
        <w:gridCol w:w="4066"/>
      </w:tblGrid>
      <w:tr>
        <w:tblPrEx>
          <w:tblCellMar>
            <w:top w:w="0" w:type="dxa"/>
            <w:left w:w="108" w:type="dxa"/>
            <w:bottom w:w="0" w:type="dxa"/>
            <w:right w:w="108" w:type="dxa"/>
          </w:tblCellMar>
        </w:tblPrEx>
        <w:tc>
          <w:tcPr>
            <w:tcW w:w="4456" w:type="dxa"/>
          </w:tcPr>
          <w:p>
            <w:pPr>
              <w:spacing w:line="520" w:lineRule="exact"/>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lang w:val="zh-CN"/>
              </w:rPr>
              <w:t>供方</w:t>
            </w:r>
            <w:r>
              <w:rPr>
                <w:rFonts w:hint="eastAsia" w:ascii="楷体_GB2312" w:hAnsi="Times New Roman" w:eastAsia="楷体_GB2312" w:cs="Times New Roman"/>
                <w:color w:val="000000"/>
                <w:sz w:val="24"/>
                <w:szCs w:val="24"/>
              </w:rPr>
              <w:t>：</w:t>
            </w:r>
            <w:r>
              <w:rPr>
                <w:rFonts w:hint="eastAsia" w:ascii="楷体_GB2312" w:hAnsi="Times New Roman" w:eastAsia="楷体_GB2312" w:cs="Times New Roman"/>
                <w:color w:val="FF0000"/>
                <w:sz w:val="24"/>
                <w:szCs w:val="24"/>
                <w:lang w:val="en-US" w:eastAsia="zh-CN"/>
              </w:rPr>
              <w:t>按成交公告填写</w:t>
            </w:r>
          </w:p>
        </w:tc>
        <w:tc>
          <w:tcPr>
            <w:tcW w:w="4066" w:type="dxa"/>
          </w:tcPr>
          <w:p>
            <w:pPr>
              <w:spacing w:line="520" w:lineRule="exact"/>
              <w:rPr>
                <w:rFonts w:hint="default"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sz w:val="24"/>
                <w:szCs w:val="24"/>
                <w:lang w:val="zh-CN"/>
              </w:rPr>
              <w:t>合同编号：</w:t>
            </w:r>
            <w:r>
              <w:rPr>
                <w:rFonts w:hint="eastAsia" w:ascii="楷体_GB2312" w:hAnsi="Times New Roman" w:eastAsia="楷体_GB2312" w:cs="Times New Roman"/>
                <w:color w:val="000000"/>
                <w:sz w:val="24"/>
                <w:szCs w:val="24"/>
                <w:lang w:val="en-US" w:eastAsia="zh-CN"/>
              </w:rPr>
              <w:t>采购中心填</w:t>
            </w:r>
          </w:p>
        </w:tc>
      </w:tr>
      <w:tr>
        <w:tblPrEx>
          <w:tblCellMar>
            <w:top w:w="0" w:type="dxa"/>
            <w:left w:w="108" w:type="dxa"/>
            <w:bottom w:w="0" w:type="dxa"/>
            <w:right w:w="108" w:type="dxa"/>
          </w:tblCellMar>
        </w:tblPrEx>
        <w:tc>
          <w:tcPr>
            <w:tcW w:w="4456" w:type="dxa"/>
          </w:tcPr>
          <w:p>
            <w:pPr>
              <w:spacing w:line="520" w:lineRule="exact"/>
              <w:rPr>
                <w:rFonts w:hint="default"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sz w:val="24"/>
                <w:szCs w:val="24"/>
                <w:lang w:val="zh-CN"/>
              </w:rPr>
              <w:t>需方：</w:t>
            </w:r>
            <w:r>
              <w:rPr>
                <w:rFonts w:hint="eastAsia" w:ascii="楷体_GB2312" w:hAnsi="Times New Roman" w:eastAsia="楷体_GB2312" w:cs="Times New Roman"/>
                <w:color w:val="000000"/>
                <w:sz w:val="24"/>
                <w:szCs w:val="24"/>
                <w:lang w:val="en-US" w:eastAsia="zh-CN"/>
              </w:rPr>
              <w:t>浙江大学     学院（</w:t>
            </w:r>
            <w:r>
              <w:rPr>
                <w:rFonts w:hint="eastAsia" w:ascii="楷体_GB2312" w:hAnsi="Times New Roman" w:eastAsia="楷体_GB2312" w:cs="Times New Roman"/>
                <w:color w:val="FF0000"/>
                <w:sz w:val="24"/>
                <w:szCs w:val="24"/>
                <w:lang w:val="en-US" w:eastAsia="zh-CN"/>
              </w:rPr>
              <w:t>院级单位</w:t>
            </w:r>
            <w:r>
              <w:rPr>
                <w:rFonts w:hint="eastAsia" w:ascii="楷体_GB2312" w:hAnsi="Times New Roman" w:eastAsia="楷体_GB2312" w:cs="Times New Roman"/>
                <w:color w:val="000000"/>
                <w:sz w:val="24"/>
                <w:szCs w:val="24"/>
                <w:lang w:val="en-US" w:eastAsia="zh-CN"/>
              </w:rPr>
              <w:t>）</w:t>
            </w:r>
          </w:p>
        </w:tc>
        <w:tc>
          <w:tcPr>
            <w:tcW w:w="4066" w:type="dxa"/>
          </w:tcPr>
          <w:p>
            <w:pPr>
              <w:spacing w:line="520" w:lineRule="exact"/>
              <w:rPr>
                <w:rFonts w:hint="default"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sz w:val="24"/>
                <w:szCs w:val="24"/>
                <w:lang w:val="zh-CN"/>
              </w:rPr>
              <w:t>采购编号：</w:t>
            </w:r>
            <w:r>
              <w:rPr>
                <w:rFonts w:hint="eastAsia" w:ascii="楷体_GB2312" w:hAnsi="Times New Roman" w:eastAsia="楷体_GB2312" w:cs="Times New Roman"/>
                <w:color w:val="FF0000"/>
                <w:sz w:val="24"/>
                <w:szCs w:val="24"/>
                <w:lang w:val="en-US" w:eastAsia="zh-CN"/>
              </w:rPr>
              <w:t>按成交公告填写</w:t>
            </w:r>
          </w:p>
        </w:tc>
      </w:tr>
      <w:tr>
        <w:tblPrEx>
          <w:tblCellMar>
            <w:top w:w="0" w:type="dxa"/>
            <w:left w:w="108" w:type="dxa"/>
            <w:bottom w:w="0" w:type="dxa"/>
            <w:right w:w="108" w:type="dxa"/>
          </w:tblCellMar>
        </w:tblPrEx>
        <w:tc>
          <w:tcPr>
            <w:tcW w:w="4456" w:type="dxa"/>
          </w:tcPr>
          <w:p>
            <w:pPr>
              <w:spacing w:line="520" w:lineRule="exact"/>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lang w:val="zh-CN"/>
              </w:rPr>
              <w:t>采购方：浙江大学采购中心</w:t>
            </w:r>
          </w:p>
        </w:tc>
        <w:tc>
          <w:tcPr>
            <w:tcW w:w="4066" w:type="dxa"/>
          </w:tcPr>
          <w:p>
            <w:pPr>
              <w:spacing w:line="520" w:lineRule="exact"/>
              <w:jc w:val="left"/>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rPr>
              <w:t>采购项目</w:t>
            </w:r>
            <w:r>
              <w:rPr>
                <w:rFonts w:hint="eastAsia" w:ascii="楷体_GB2312" w:hAnsi="Times New Roman" w:eastAsia="楷体_GB2312" w:cs="Times New Roman"/>
                <w:color w:val="000000"/>
                <w:sz w:val="24"/>
                <w:szCs w:val="24"/>
                <w:lang w:val="zh-CN"/>
              </w:rPr>
              <w:t>：</w:t>
            </w:r>
            <w:r>
              <w:rPr>
                <w:rFonts w:hint="eastAsia" w:ascii="楷体_GB2312" w:hAnsi="Times New Roman" w:eastAsia="楷体_GB2312" w:cs="Times New Roman"/>
                <w:color w:val="FF0000"/>
                <w:sz w:val="24"/>
                <w:szCs w:val="24"/>
                <w:lang w:val="en-US" w:eastAsia="zh-CN"/>
              </w:rPr>
              <w:t>按成交公告填写</w:t>
            </w:r>
          </w:p>
        </w:tc>
      </w:tr>
      <w:tr>
        <w:tblPrEx>
          <w:tblCellMar>
            <w:top w:w="0" w:type="dxa"/>
            <w:left w:w="108" w:type="dxa"/>
            <w:bottom w:w="0" w:type="dxa"/>
            <w:right w:w="108" w:type="dxa"/>
          </w:tblCellMar>
        </w:tblPrEx>
        <w:tc>
          <w:tcPr>
            <w:tcW w:w="4456" w:type="dxa"/>
          </w:tcPr>
          <w:p>
            <w:pPr>
              <w:spacing w:line="520" w:lineRule="exact"/>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lang w:val="zh-CN"/>
              </w:rPr>
              <w:t>委托代理机构：</w:t>
            </w:r>
            <w:r>
              <w:rPr>
                <w:rFonts w:hint="eastAsia" w:ascii="楷体_GB2312" w:hAnsi="Times New Roman" w:eastAsia="楷体_GB2312" w:cs="Times New Roman"/>
                <w:color w:val="FF0000"/>
                <w:sz w:val="24"/>
                <w:szCs w:val="24"/>
                <w:lang w:val="zh-CN"/>
              </w:rPr>
              <w:t>（</w:t>
            </w:r>
            <w:r>
              <w:rPr>
                <w:rFonts w:hint="eastAsia" w:ascii="楷体_GB2312" w:hAnsi="Times New Roman" w:eastAsia="楷体_GB2312" w:cs="Times New Roman"/>
                <w:color w:val="FF0000"/>
                <w:sz w:val="24"/>
                <w:szCs w:val="24"/>
              </w:rPr>
              <w:t>如无则不填</w:t>
            </w:r>
            <w:r>
              <w:rPr>
                <w:rFonts w:hint="eastAsia" w:ascii="楷体_GB2312" w:hAnsi="Times New Roman" w:eastAsia="楷体_GB2312" w:cs="Times New Roman"/>
                <w:color w:val="FF0000"/>
                <w:sz w:val="24"/>
                <w:szCs w:val="24"/>
                <w:lang w:val="zh-CN"/>
              </w:rPr>
              <w:t>）</w:t>
            </w:r>
          </w:p>
        </w:tc>
        <w:tc>
          <w:tcPr>
            <w:tcW w:w="4066" w:type="dxa"/>
          </w:tcPr>
          <w:p>
            <w:pPr>
              <w:spacing w:line="520" w:lineRule="exact"/>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sz w:val="24"/>
                <w:szCs w:val="24"/>
              </w:rPr>
              <w:t>采购</w:t>
            </w:r>
            <w:r>
              <w:rPr>
                <w:rFonts w:hint="eastAsia" w:ascii="楷体_GB2312" w:hAnsi="Times New Roman" w:eastAsia="楷体_GB2312" w:cs="Times New Roman"/>
                <w:sz w:val="24"/>
                <w:szCs w:val="24"/>
                <w:lang w:val="zh-CN"/>
              </w:rPr>
              <w:t>标项：</w:t>
            </w:r>
            <w:r>
              <w:rPr>
                <w:rFonts w:hint="eastAsia" w:ascii="楷体_GB2312" w:hAnsi="Times New Roman" w:eastAsia="楷体_GB2312" w:cs="Times New Roman"/>
                <w:color w:val="FF0000"/>
                <w:sz w:val="24"/>
                <w:szCs w:val="24"/>
                <w:lang w:val="zh-CN"/>
              </w:rPr>
              <w:t>（</w:t>
            </w:r>
            <w:r>
              <w:rPr>
                <w:rFonts w:hint="eastAsia" w:ascii="楷体_GB2312" w:hAnsi="Times New Roman" w:eastAsia="楷体_GB2312" w:cs="Times New Roman"/>
                <w:color w:val="FF0000"/>
                <w:sz w:val="24"/>
                <w:szCs w:val="24"/>
              </w:rPr>
              <w:t>如无则不填</w:t>
            </w:r>
            <w:r>
              <w:rPr>
                <w:rFonts w:hint="eastAsia" w:ascii="楷体_GB2312" w:hAnsi="Times New Roman" w:eastAsia="楷体_GB2312" w:cs="Times New Roman"/>
                <w:color w:val="FF0000"/>
                <w:sz w:val="24"/>
                <w:szCs w:val="24"/>
                <w:lang w:val="zh-CN"/>
              </w:rPr>
              <w:t>）</w:t>
            </w:r>
          </w:p>
        </w:tc>
      </w:tr>
      <w:tr>
        <w:tblPrEx>
          <w:tblCellMar>
            <w:top w:w="0" w:type="dxa"/>
            <w:left w:w="108" w:type="dxa"/>
            <w:bottom w:w="0" w:type="dxa"/>
            <w:right w:w="108" w:type="dxa"/>
          </w:tblCellMar>
        </w:tblPrEx>
        <w:tc>
          <w:tcPr>
            <w:tcW w:w="4456" w:type="dxa"/>
          </w:tcPr>
          <w:p>
            <w:pPr>
              <w:spacing w:line="520" w:lineRule="exact"/>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lang w:val="zh-CN"/>
              </w:rPr>
              <w:t>合同签约地：杭州</w:t>
            </w:r>
          </w:p>
        </w:tc>
        <w:tc>
          <w:tcPr>
            <w:tcW w:w="4066" w:type="dxa"/>
          </w:tcPr>
          <w:p>
            <w:pPr>
              <w:spacing w:line="520" w:lineRule="exact"/>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lang w:val="zh-CN"/>
              </w:rPr>
              <w:t>合同打印日期：</w:t>
            </w:r>
          </w:p>
        </w:tc>
      </w:tr>
    </w:tbl>
    <w:p>
      <w:pPr>
        <w:spacing w:line="360" w:lineRule="auto"/>
        <w:ind w:firstLine="840" w:firstLineChars="350"/>
        <w:rPr>
          <w:rFonts w:ascii="楷体_GB2312" w:hAnsi="Times New Roman" w:eastAsia="楷体_GB2312" w:cs="Times New Roman"/>
          <w:color w:val="000000"/>
          <w:sz w:val="24"/>
          <w:szCs w:val="24"/>
          <w:lang w:val="zh-CN"/>
        </w:rPr>
      </w:pPr>
    </w:p>
    <w:p>
      <w:pPr>
        <w:spacing w:line="360" w:lineRule="auto"/>
        <w:ind w:firstLine="840" w:firstLineChars="350"/>
        <w:rPr>
          <w:rFonts w:ascii="Times New Roman" w:hAnsi="Times New Roman" w:eastAsia="宋体" w:cs="Times New Roman"/>
          <w:szCs w:val="24"/>
        </w:rPr>
      </w:pPr>
      <w:r>
        <w:rPr>
          <w:rFonts w:hint="eastAsia" w:ascii="楷体_GB2312" w:hAnsi="Times New Roman" w:eastAsia="楷体_GB2312" w:cs="Times New Roman"/>
          <w:color w:val="000000"/>
          <w:sz w:val="24"/>
          <w:szCs w:val="24"/>
          <w:lang w:val="zh-CN"/>
        </w:rPr>
        <w:t>根据《中华人民共和国民法典》、《中华人民共和国政府采购法》等有关法律法规，遵循平等自愿原则，经双方友好协商一致，达成以下合同条款：</w:t>
      </w:r>
    </w:p>
    <w:p>
      <w:pPr>
        <w:numPr>
          <w:ilvl w:val="0"/>
          <w:numId w:val="19"/>
        </w:numPr>
        <w:spacing w:before="156" w:beforeLines="50" w:line="360" w:lineRule="auto"/>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本次采购涉及的招标文件（或采购文件）、投标文件（或响应文件）及招标（或磋商）现场供方的询标记录（或补充承诺）与本合同具有同等法律效力，如有与</w:t>
      </w:r>
      <w:r>
        <w:rPr>
          <w:rFonts w:hint="eastAsia" w:ascii="楷体_GB2312" w:hAnsi="宋体" w:eastAsia="楷体_GB2312" w:cs="Times New Roman"/>
          <w:bCs/>
          <w:color w:val="000000"/>
          <w:sz w:val="24"/>
          <w:szCs w:val="24"/>
        </w:rPr>
        <w:t>本合同</w:t>
      </w:r>
      <w:r>
        <w:rPr>
          <w:rFonts w:hint="eastAsia" w:ascii="楷体_GB2312" w:hAnsi="Times New Roman" w:eastAsia="楷体_GB2312" w:cs="Times New Roman"/>
          <w:color w:val="000000"/>
          <w:sz w:val="24"/>
          <w:szCs w:val="24"/>
        </w:rPr>
        <w:t>条款有冲突部分则按有利于需方为准。</w:t>
      </w:r>
    </w:p>
    <w:p>
      <w:pPr>
        <w:spacing w:before="156" w:beforeLines="50" w:line="360" w:lineRule="auto"/>
        <w:rPr>
          <w:rFonts w:ascii="楷体_GB2312" w:hAnsi="Times New Roman" w:eastAsia="楷体_GB2312" w:cs="Times New Roman"/>
          <w:b/>
          <w:bCs/>
          <w:color w:val="000000"/>
          <w:sz w:val="24"/>
          <w:szCs w:val="24"/>
        </w:rPr>
      </w:pPr>
      <w:r>
        <w:rPr>
          <w:rFonts w:hint="eastAsia" w:ascii="楷体_GB2312" w:hAnsi="Times New Roman" w:eastAsia="楷体_GB2312" w:cs="Times New Roman"/>
          <w:b/>
          <w:bCs/>
          <w:color w:val="000000"/>
          <w:sz w:val="24"/>
          <w:szCs w:val="24"/>
        </w:rPr>
        <w:t>第二条 货物名称、规格、数量、价格</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8"/>
        <w:gridCol w:w="1659"/>
        <w:gridCol w:w="2076"/>
        <w:gridCol w:w="540"/>
        <w:gridCol w:w="1035"/>
        <w:gridCol w:w="1350"/>
        <w:gridCol w:w="13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序号</w:t>
            </w:r>
          </w:p>
        </w:tc>
        <w:tc>
          <w:tcPr>
            <w:tcW w:w="1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楷体_GB2312" w:hAnsi="Times New Roman" w:eastAsia="楷体_GB2312" w:cs="Times New Roman"/>
                <w:b/>
                <w:bCs/>
                <w:color w:val="000000"/>
                <w:sz w:val="24"/>
                <w:szCs w:val="24"/>
              </w:rPr>
            </w:pPr>
            <w:r>
              <w:rPr>
                <w:rFonts w:hint="eastAsia" w:ascii="楷体_GB2312" w:hAnsi="Times New Roman" w:eastAsia="楷体_GB2312" w:cs="Times New Roman"/>
                <w:b/>
                <w:bCs/>
                <w:color w:val="000000"/>
                <w:sz w:val="24"/>
                <w:szCs w:val="24"/>
                <w:lang w:val="zh-CN"/>
              </w:rPr>
              <w:t>货物名称</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型号规格</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单位</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数量</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单 价</w:t>
            </w:r>
          </w:p>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（元）</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合计金额</w:t>
            </w:r>
          </w:p>
          <w:p>
            <w:pPr>
              <w:spacing w:line="360" w:lineRule="auto"/>
              <w:jc w:val="center"/>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楷体_GB2312" w:hAnsi="Times New Roman" w:eastAsia="楷体_GB2312" w:cs="Times New Roman"/>
                <w:sz w:val="24"/>
                <w:szCs w:val="24"/>
              </w:rPr>
            </w:pPr>
            <w:r>
              <w:rPr>
                <w:rFonts w:hint="eastAsia" w:ascii="楷体_GB2312" w:hAnsi="Times New Roman" w:eastAsia="楷体_GB2312" w:cs="Times New Roman"/>
                <w:sz w:val="24"/>
                <w:szCs w:val="24"/>
              </w:rPr>
              <w:t>1</w:t>
            </w:r>
          </w:p>
        </w:tc>
        <w:tc>
          <w:tcPr>
            <w:tcW w:w="16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楷体_GB2312" w:hAnsi="Times New Roman" w:eastAsia="楷体_GB2312" w:cs="Times New Roman"/>
                <w:sz w:val="24"/>
                <w:szCs w:val="24"/>
              </w:rPr>
            </w:pPr>
          </w:p>
        </w:tc>
        <w:tc>
          <w:tcPr>
            <w:tcW w:w="20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楷体_GB2312" w:hAnsi="Times New Roman" w:eastAsia="楷体_GB2312" w:cs="Times New Roman"/>
                <w:sz w:val="24"/>
                <w:szCs w:val="24"/>
              </w:rPr>
            </w:pPr>
            <w:r>
              <w:rPr>
                <w:rFonts w:hint="eastAsia" w:ascii="楷体_GB2312" w:hAnsi="Times New Roman" w:eastAsia="楷体_GB2312" w:cs="Times New Roman"/>
                <w:sz w:val="24"/>
                <w:szCs w:val="24"/>
              </w:rPr>
              <w:t>详见附件1供应商</w:t>
            </w:r>
          </w:p>
          <w:p>
            <w:pPr>
              <w:spacing w:line="500" w:lineRule="exact"/>
              <w:rPr>
                <w:rFonts w:ascii="楷体_GB2312" w:hAnsi="Times New Roman" w:eastAsia="楷体_GB2312" w:cs="Times New Roman"/>
                <w:sz w:val="24"/>
                <w:szCs w:val="24"/>
              </w:rPr>
            </w:pPr>
            <w:r>
              <w:rPr>
                <w:rFonts w:hint="eastAsia" w:ascii="楷体_GB2312" w:hAnsi="Times New Roman" w:eastAsia="楷体_GB2312" w:cs="Times New Roman"/>
                <w:sz w:val="24"/>
                <w:szCs w:val="24"/>
              </w:rPr>
              <w:t>《报价明细表》</w:t>
            </w:r>
          </w:p>
        </w:tc>
        <w:tc>
          <w:tcPr>
            <w:tcW w:w="5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台套</w:t>
            </w:r>
          </w:p>
        </w:tc>
        <w:tc>
          <w:tcPr>
            <w:tcW w:w="10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color w:val="FF0000"/>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color w:val="FF0000"/>
                <w:sz w:val="24"/>
                <w:szCs w:val="24"/>
              </w:rPr>
            </w:pPr>
            <w:r>
              <w:rPr>
                <w:rFonts w:ascii="楷体_GB2312" w:hAnsi="Times New Roman" w:eastAsia="楷体_GB2312" w:cs="Times New Roman"/>
                <w:color w:val="FF0000"/>
                <w:sz w:val="24"/>
                <w:szCs w:val="24"/>
              </w:rPr>
              <w:t xml:space="preserve"> </w:t>
            </w:r>
          </w:p>
        </w:tc>
        <w:tc>
          <w:tcPr>
            <w:tcW w:w="13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color w:val="FF0000"/>
                <w:sz w:val="24"/>
                <w:szCs w:val="24"/>
              </w:rPr>
            </w:pPr>
            <w:r>
              <w:rPr>
                <w:rFonts w:ascii="楷体_GB2312" w:hAnsi="Times New Roman" w:eastAsia="楷体_GB2312" w:cs="Times New Roman"/>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楷体_GB2312" w:hAnsi="Times New Roman" w:eastAsia="楷体_GB2312" w:cs="Times New Roman"/>
                <w:color w:val="FF0000"/>
                <w:sz w:val="24"/>
                <w:szCs w:val="24"/>
              </w:rPr>
            </w:pPr>
          </w:p>
        </w:tc>
        <w:tc>
          <w:tcPr>
            <w:tcW w:w="165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楷体_GB2312" w:hAnsi="Times New Roman" w:eastAsia="楷体_GB2312" w:cs="Times New Roman"/>
                <w:color w:val="FF0000"/>
                <w:sz w:val="24"/>
                <w:szCs w:val="24"/>
                <w:u w:val="single"/>
              </w:rPr>
            </w:pPr>
            <w:r>
              <w:rPr>
                <w:rFonts w:hint="eastAsia" w:ascii="楷体_GB2312" w:hAnsi="Times New Roman" w:eastAsia="楷体_GB2312" w:cs="Times New Roman"/>
                <w:color w:val="FF0000"/>
                <w:sz w:val="24"/>
                <w:szCs w:val="24"/>
              </w:rPr>
              <w:t>可增加</w:t>
            </w:r>
          </w:p>
        </w:tc>
        <w:tc>
          <w:tcPr>
            <w:tcW w:w="20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楷体_GB2312" w:hAnsi="Times New Roman" w:eastAsia="楷体_GB2312" w:cs="Times New Roman"/>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color w:val="FF000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color w:val="FF0000"/>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color w:val="FF0000"/>
                <w:sz w:val="24"/>
                <w:szCs w:val="24"/>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合 同 总 价</w:t>
            </w:r>
          </w:p>
          <w:p>
            <w:pPr>
              <w:spacing w:line="500" w:lineRule="exact"/>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r>
              <w:rPr>
                <w:rFonts w:hint="eastAsia" w:ascii="楷体_GB2312" w:hAnsi="Times New Roman" w:eastAsia="楷体_GB2312" w:cs="Times New Roman"/>
                <w:color w:val="002060"/>
                <w:sz w:val="24"/>
                <w:szCs w:val="24"/>
              </w:rPr>
              <w:t>人民币</w:t>
            </w:r>
            <w:r>
              <w:rPr>
                <w:rFonts w:hint="eastAsia" w:ascii="楷体_GB2312" w:hAnsi="Times New Roman" w:eastAsia="楷体_GB2312" w:cs="Times New Roman"/>
                <w:sz w:val="24"/>
                <w:szCs w:val="24"/>
              </w:rPr>
              <w:t>，含税）</w:t>
            </w:r>
          </w:p>
        </w:tc>
        <w:tc>
          <w:tcPr>
            <w:tcW w:w="630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r>
              <w:rPr>
                <w:rFonts w:ascii="楷体_GB2312" w:hAnsi="Times New Roman" w:eastAsia="楷体_GB2312" w:cs="Times New Roman"/>
                <w:sz w:val="24"/>
                <w:szCs w:val="24"/>
                <w:u w:val="single"/>
              </w:rPr>
              <w:t xml:space="preserve">                         </w:t>
            </w:r>
          </w:p>
          <w:p>
            <w:pPr>
              <w:spacing w:line="500" w:lineRule="exact"/>
              <w:rPr>
                <w:rFonts w:ascii="楷体_GB2312" w:hAnsi="Times New Roman" w:eastAsia="楷体_GB2312" w:cs="Times New Roman"/>
                <w:sz w:val="24"/>
                <w:szCs w:val="24"/>
              </w:rPr>
            </w:pPr>
            <w:r>
              <w:rPr>
                <w:rFonts w:hint="eastAsia" w:ascii="楷体_GB2312" w:hAnsi="Times New Roman" w:eastAsia="楷体_GB2312" w:cs="Times New Roman"/>
                <w:sz w:val="24"/>
                <w:szCs w:val="24"/>
              </w:rPr>
              <w:t>（</w:t>
            </w:r>
            <w:r>
              <w:rPr>
                <w:rFonts w:hint="eastAsia" w:ascii="楷体_GB2312" w:hAnsi="Times New Roman" w:eastAsia="楷体_GB2312" w:cs="Times New Roman"/>
                <w:color w:val="002060"/>
                <w:sz w:val="24"/>
                <w:szCs w:val="24"/>
              </w:rPr>
              <w:t>人民币</w:t>
            </w:r>
            <w:r>
              <w:rPr>
                <w:rFonts w:hint="eastAsia" w:ascii="楷体_GB2312" w:hAnsi="Times New Roman" w:eastAsia="楷体_GB2312" w:cs="Times New Roman"/>
                <w:sz w:val="24"/>
                <w:szCs w:val="24"/>
              </w:rPr>
              <w:t>：</w:t>
            </w:r>
            <w:r>
              <w:rPr>
                <w:rFonts w:ascii="楷体_GB2312" w:hAnsi="Times New Roman" w:eastAsia="楷体_GB2312" w:cs="Times New Roman"/>
                <w:sz w:val="24"/>
                <w:szCs w:val="24"/>
              </w:rPr>
              <w:t xml:space="preserve">                       </w:t>
            </w:r>
            <w:r>
              <w:rPr>
                <w:rFonts w:hint="eastAsia" w:ascii="楷体_GB2312" w:hAnsi="Times New Roman" w:eastAsia="楷体_GB2312" w:cs="Times New Roman"/>
                <w:sz w:val="24"/>
                <w:szCs w:val="24"/>
              </w:rPr>
              <w:t>）</w:t>
            </w:r>
          </w:p>
        </w:tc>
      </w:tr>
    </w:tbl>
    <w:p>
      <w:pPr>
        <w:autoSpaceDE w:val="0"/>
        <w:autoSpaceDN w:val="0"/>
        <w:adjustRightInd w:val="0"/>
        <w:spacing w:line="360" w:lineRule="auto"/>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 xml:space="preserve">注：1.以上合同总价包括货物运抵需方指定地点并完成安装调试、质保、售后等供方履行完毕本合同所需的一切费用。 </w:t>
      </w:r>
    </w:p>
    <w:p>
      <w:pPr>
        <w:numPr>
          <w:ilvl w:val="0"/>
          <w:numId w:val="20"/>
        </w:numPr>
        <w:autoSpaceDE w:val="0"/>
        <w:autoSpaceDN w:val="0"/>
        <w:adjustRightInd w:val="0"/>
        <w:spacing w:line="360" w:lineRule="auto"/>
        <w:ind w:firstLine="42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可根据采购时的约定修改币种名称和（或）是否含税。</w:t>
      </w:r>
    </w:p>
    <w:p>
      <w:pPr>
        <w:widowControl w:val="0"/>
        <w:spacing w:after="120"/>
        <w:jc w:val="both"/>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szCs w:val="24"/>
        </w:rPr>
      </w:pPr>
    </w:p>
    <w:p>
      <w:pPr>
        <w:autoSpaceDE w:val="0"/>
        <w:autoSpaceDN w:val="0"/>
        <w:adjustRightInd w:val="0"/>
        <w:spacing w:line="360" w:lineRule="auto"/>
        <w:rPr>
          <w:rFonts w:ascii="楷体_GB2312" w:hAnsi="Times New Roman" w:eastAsia="楷体_GB2312" w:cs="Times New Roman"/>
          <w:b/>
          <w:bCs/>
          <w:color w:val="000000"/>
          <w:sz w:val="24"/>
          <w:szCs w:val="24"/>
        </w:rPr>
      </w:pPr>
      <w:r>
        <w:rPr>
          <w:rFonts w:hint="eastAsia" w:ascii="楷体_GB2312" w:hAnsi="Times New Roman" w:eastAsia="楷体_GB2312" w:cs="Times New Roman"/>
          <w:b/>
          <w:bCs/>
          <w:color w:val="000000"/>
          <w:sz w:val="24"/>
          <w:szCs w:val="24"/>
        </w:rPr>
        <w:t>第三条 质量保证</w:t>
      </w:r>
    </w:p>
    <w:p>
      <w:pPr>
        <w:spacing w:line="360" w:lineRule="auto"/>
        <w:ind w:firstLine="480" w:firstLineChars="200"/>
        <w:rPr>
          <w:rFonts w:ascii="楷体_GB2312" w:hAnsi="Times New Roman" w:eastAsia="楷体_GB2312" w:cs="Times New Roman"/>
          <w:bCs/>
          <w:color w:val="000000"/>
          <w:sz w:val="24"/>
          <w:szCs w:val="24"/>
        </w:rPr>
      </w:pPr>
      <w:bookmarkStart w:id="96" w:name="_Hlk103687979"/>
      <w:r>
        <w:rPr>
          <w:rFonts w:hint="eastAsia" w:ascii="楷体_GB2312" w:hAnsi="Times New Roman" w:eastAsia="楷体_GB2312" w:cs="Times New Roman"/>
          <w:bCs/>
          <w:color w:val="000000"/>
          <w:sz w:val="24"/>
          <w:szCs w:val="24"/>
        </w:rPr>
        <w:t>1、质量功能标准需符合厂方提供的技术资料中所规定的质量标准和双方商定的技术指标。</w:t>
      </w:r>
    </w:p>
    <w:p>
      <w:pPr>
        <w:spacing w:line="360" w:lineRule="auto"/>
        <w:ind w:firstLine="480" w:firstLineChars="20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2、供方保证本合同中所供应的国产商品是合同签订后或至多签订前半年内生产的，符合国家法律规定和技术规格、质量标准的出厂原装合格产品；进口商品是获得国家商检局颁布安全许可证的出厂原装合格产品。如发生所供商品与合同（型号、指标、性能等）不符，需方有权拒收或退货，由此产生的一切责任和后果由供方承担。</w:t>
      </w:r>
      <w:bookmarkEnd w:id="96"/>
    </w:p>
    <w:p>
      <w:pPr>
        <w:spacing w:line="360" w:lineRule="auto"/>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lang w:val="zh-CN"/>
        </w:rPr>
        <w:t>第四条 技术性能指标</w:t>
      </w:r>
    </w:p>
    <w:p>
      <w:pPr>
        <w:autoSpaceDE w:val="0"/>
        <w:autoSpaceDN w:val="0"/>
        <w:adjustRightInd w:val="0"/>
        <w:spacing w:line="360" w:lineRule="auto"/>
        <w:ind w:firstLine="480" w:firstLineChars="20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lang w:val="zh-CN"/>
        </w:rPr>
        <w:t>具体指标</w:t>
      </w:r>
      <w:r>
        <w:rPr>
          <w:rFonts w:hint="eastAsia" w:ascii="楷体_GB2312" w:hAnsi="Times New Roman" w:eastAsia="楷体_GB2312" w:cs="Times New Roman"/>
          <w:color w:val="000000"/>
          <w:sz w:val="24"/>
          <w:szCs w:val="24"/>
        </w:rPr>
        <w:t>详见第一条所述之相关文件。</w:t>
      </w:r>
    </w:p>
    <w:p>
      <w:pPr>
        <w:autoSpaceDE w:val="0"/>
        <w:autoSpaceDN w:val="0"/>
        <w:adjustRightInd w:val="0"/>
        <w:spacing w:line="360" w:lineRule="auto"/>
        <w:rPr>
          <w:rFonts w:ascii="楷体_GB2312" w:hAnsi="Times New Roman" w:eastAsia="楷体_GB2312" w:cs="Times New Roman"/>
          <w:b/>
          <w:color w:val="000000"/>
          <w:sz w:val="24"/>
          <w:szCs w:val="24"/>
          <w:lang w:val="zh-CN"/>
        </w:rPr>
      </w:pPr>
      <w:r>
        <w:rPr>
          <w:rFonts w:hint="eastAsia" w:ascii="楷体_GB2312" w:hAnsi="Times New Roman" w:eastAsia="楷体_GB2312" w:cs="Times New Roman"/>
          <w:b/>
          <w:color w:val="000000"/>
          <w:sz w:val="24"/>
          <w:szCs w:val="24"/>
          <w:lang w:val="zh-CN"/>
        </w:rPr>
        <w:t>第五条 交货时间、地点</w:t>
      </w:r>
    </w:p>
    <w:p>
      <w:pPr>
        <w:autoSpaceDE w:val="0"/>
        <w:autoSpaceDN w:val="0"/>
        <w:adjustRightInd w:val="0"/>
        <w:spacing w:line="360" w:lineRule="auto"/>
        <w:ind w:firstLine="480" w:firstLineChars="200"/>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lang w:val="zh-CN"/>
        </w:rPr>
        <w:t>最晚不迟于（</w:t>
      </w:r>
      <w:r>
        <w:rPr>
          <w:rFonts w:hint="eastAsia" w:ascii="Times New Roman" w:hAnsi="Times New Roman" w:eastAsia="宋体" w:cs="Times New Roman"/>
          <w:bCs/>
          <w:color w:val="0000FF"/>
          <w:szCs w:val="21"/>
        </w:rPr>
        <w:sym w:font="Wingdings" w:char="00A8"/>
      </w:r>
      <w:r>
        <w:rPr>
          <w:rFonts w:hint="eastAsia" w:ascii="Times New Roman" w:hAnsi="Times New Roman" w:eastAsia="宋体" w:cs="Times New Roman"/>
          <w:bCs/>
          <w:color w:val="0000FF"/>
          <w:szCs w:val="21"/>
        </w:rPr>
        <w:t>合同签订</w:t>
      </w:r>
      <w:r>
        <w:rPr>
          <w:rFonts w:hint="eastAsia" w:ascii="Times New Roman" w:hAnsi="Times New Roman" w:eastAsia="宋体" w:cs="Times New Roman"/>
          <w:bCs/>
          <w:color w:val="0000FF"/>
          <w:szCs w:val="21"/>
        </w:rPr>
        <w:sym w:font="Wingdings" w:char="00A8"/>
      </w:r>
      <w:r>
        <w:rPr>
          <w:rFonts w:hint="eastAsia" w:ascii="Times New Roman" w:hAnsi="Times New Roman" w:eastAsia="宋体" w:cs="Times New Roman"/>
          <w:bCs/>
          <w:color w:val="0000FF"/>
          <w:szCs w:val="21"/>
        </w:rPr>
        <w:t>取得免表</w:t>
      </w:r>
      <w:r>
        <w:rPr>
          <w:rFonts w:hint="eastAsia" w:ascii="Times New Roman" w:hAnsi="Times New Roman" w:eastAsia="宋体" w:cs="Times New Roman"/>
          <w:bCs/>
          <w:color w:val="0000FF"/>
          <w:szCs w:val="21"/>
        </w:rPr>
        <w:sym w:font="Wingdings" w:char="00A8"/>
      </w:r>
      <w:r>
        <w:rPr>
          <w:rFonts w:hint="eastAsia" w:ascii="Times New Roman" w:hAnsi="Times New Roman" w:eastAsia="宋体" w:cs="Times New Roman"/>
          <w:bCs/>
          <w:color w:val="0000FF"/>
          <w:szCs w:val="21"/>
        </w:rPr>
        <w:t>收到信用证</w:t>
      </w:r>
      <w:r>
        <w:rPr>
          <w:rFonts w:hint="eastAsia" w:ascii="楷体_GB2312" w:hAnsi="Times New Roman" w:eastAsia="楷体_GB2312" w:cs="Times New Roman"/>
          <w:color w:val="000000"/>
          <w:sz w:val="24"/>
          <w:szCs w:val="24"/>
          <w:lang w:val="zh-CN"/>
        </w:rPr>
        <w:t>）后        自然日。</w:t>
      </w:r>
    </w:p>
    <w:p>
      <w:pPr>
        <w:autoSpaceDE w:val="0"/>
        <w:autoSpaceDN w:val="0"/>
        <w:adjustRightInd w:val="0"/>
        <w:spacing w:line="360" w:lineRule="auto"/>
        <w:ind w:firstLine="480" w:firstLineChars="200"/>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lang w:val="zh-CN"/>
        </w:rPr>
        <w:t>货物交付地点（送货前再确认，可经双方同意后变更至校内其他地址）：</w:t>
      </w:r>
    </w:p>
    <w:p>
      <w:pPr>
        <w:autoSpaceDE w:val="0"/>
        <w:autoSpaceDN w:val="0"/>
        <w:adjustRightInd w:val="0"/>
        <w:spacing w:line="360" w:lineRule="auto"/>
        <w:ind w:firstLine="420" w:firstLineChars="200"/>
        <w:rPr>
          <w:rFonts w:ascii="楷体_GB2312" w:hAnsi="Times New Roman" w:eastAsia="楷体_GB2312" w:cs="Times New Roman"/>
          <w:color w:val="000000"/>
          <w:sz w:val="24"/>
          <w:szCs w:val="24"/>
          <w:lang w:val="zh-CN"/>
        </w:rPr>
      </w:pPr>
      <w:r>
        <w:rPr>
          <w:rFonts w:hint="eastAsia" w:ascii="Times New Roman" w:hAnsi="Times New Roman" w:eastAsia="宋体" w:cs="Times New Roman"/>
          <w:bCs/>
          <w:color w:val="0000FF"/>
          <w:szCs w:val="21"/>
        </w:rPr>
        <w:sym w:font="Wingdings" w:char="00A8"/>
      </w:r>
      <w:r>
        <w:rPr>
          <w:rFonts w:hint="eastAsia" w:ascii="楷体_GB2312" w:hAnsi="Times New Roman" w:eastAsia="楷体_GB2312" w:cs="Times New Roman"/>
          <w:color w:val="000000"/>
          <w:sz w:val="24"/>
          <w:szCs w:val="24"/>
          <w:lang w:val="zh-CN"/>
        </w:rPr>
        <w:t>浙江大学              校区              楼               室</w:t>
      </w:r>
    </w:p>
    <w:p>
      <w:pPr>
        <w:autoSpaceDE w:val="0"/>
        <w:autoSpaceDN w:val="0"/>
        <w:adjustRightInd w:val="0"/>
        <w:spacing w:line="360" w:lineRule="auto"/>
        <w:ind w:firstLine="420" w:firstLineChars="200"/>
        <w:rPr>
          <w:rFonts w:ascii="楷体_GB2312" w:hAnsi="Times New Roman" w:eastAsia="楷体_GB2312" w:cs="Times New Roman"/>
          <w:color w:val="000000"/>
          <w:sz w:val="24"/>
          <w:szCs w:val="24"/>
          <w:lang w:val="zh-CN"/>
        </w:rPr>
      </w:pPr>
      <w:r>
        <w:rPr>
          <w:rFonts w:hint="eastAsia" w:ascii="Times New Roman" w:hAnsi="Times New Roman" w:eastAsia="宋体" w:cs="Times New Roman"/>
          <w:bCs/>
          <w:color w:val="0000FF"/>
          <w:szCs w:val="21"/>
        </w:rPr>
        <w:sym w:font="Wingdings" w:char="00A8"/>
      </w:r>
      <w:r>
        <w:rPr>
          <w:rFonts w:hint="eastAsia" w:ascii="楷体_GB2312" w:hAnsi="Times New Roman" w:eastAsia="楷体_GB2312" w:cs="Times New Roman"/>
          <w:color w:val="000000"/>
          <w:sz w:val="24"/>
          <w:szCs w:val="24"/>
          <w:lang w:val="zh-CN"/>
        </w:rPr>
        <w:t xml:space="preserve">                      医院              楼               室</w:t>
      </w:r>
    </w:p>
    <w:p>
      <w:pPr>
        <w:autoSpaceDE w:val="0"/>
        <w:autoSpaceDN w:val="0"/>
        <w:adjustRightInd w:val="0"/>
        <w:spacing w:line="360" w:lineRule="auto"/>
        <w:ind w:firstLine="420" w:firstLineChars="200"/>
        <w:rPr>
          <w:rFonts w:ascii="楷体_GB2312" w:hAnsi="Times New Roman" w:eastAsia="楷体_GB2312" w:cs="Times New Roman"/>
          <w:color w:val="000000"/>
          <w:sz w:val="24"/>
          <w:szCs w:val="24"/>
          <w:lang w:val="zh-CN"/>
        </w:rPr>
      </w:pPr>
      <w:r>
        <w:rPr>
          <w:rFonts w:hint="eastAsia" w:ascii="Times New Roman" w:hAnsi="Times New Roman" w:eastAsia="宋体" w:cs="Times New Roman"/>
          <w:bCs/>
          <w:color w:val="0000FF"/>
          <w:szCs w:val="21"/>
        </w:rPr>
        <w:sym w:font="Wingdings" w:char="00A8"/>
      </w:r>
      <w:r>
        <w:rPr>
          <w:rFonts w:hint="eastAsia" w:ascii="楷体_GB2312" w:hAnsi="Times New Roman" w:eastAsia="楷体_GB2312" w:cs="Times New Roman"/>
          <w:color w:val="000000"/>
          <w:sz w:val="24"/>
          <w:szCs w:val="24"/>
          <w:lang w:val="zh-CN"/>
        </w:rPr>
        <w:t>其他地点（</w:t>
      </w:r>
      <w:r>
        <w:rPr>
          <w:rFonts w:hint="eastAsia" w:ascii="楷体_GB2312" w:hAnsi="Times New Roman" w:eastAsia="楷体_GB2312" w:cs="Times New Roman"/>
          <w:color w:val="000000"/>
          <w:sz w:val="24"/>
          <w:szCs w:val="24"/>
        </w:rPr>
        <w:t>需要</w:t>
      </w:r>
      <w:r>
        <w:rPr>
          <w:rFonts w:hint="eastAsia" w:ascii="楷体_GB2312" w:hAnsi="Times New Roman" w:eastAsia="楷体_GB2312" w:cs="Times New Roman"/>
          <w:color w:val="000000"/>
          <w:sz w:val="24"/>
          <w:szCs w:val="24"/>
          <w:lang w:val="zh-CN"/>
        </w:rPr>
        <w:t>准确到楼宇办公室）：</w:t>
      </w:r>
    </w:p>
    <w:p>
      <w:pPr>
        <w:autoSpaceDE w:val="0"/>
        <w:autoSpaceDN w:val="0"/>
        <w:adjustRightInd w:val="0"/>
        <w:spacing w:line="360" w:lineRule="auto"/>
        <w:ind w:firstLine="480" w:firstLineChars="200"/>
        <w:jc w:val="center"/>
        <w:rPr>
          <w:rFonts w:ascii="楷体_GB2312" w:hAnsi="Times New Roman" w:eastAsia="楷体_GB2312" w:cs="Times New Roman"/>
          <w:color w:val="FF0000"/>
          <w:sz w:val="24"/>
          <w:szCs w:val="24"/>
        </w:rPr>
      </w:pPr>
      <w:r>
        <w:rPr>
          <w:rFonts w:hint="eastAsia" w:ascii="楷体_GB2312" w:hAnsi="Times New Roman" w:eastAsia="楷体_GB2312" w:cs="Times New Roman"/>
          <w:color w:val="FF0000"/>
          <w:sz w:val="24"/>
          <w:szCs w:val="24"/>
        </w:rPr>
        <w:t>请填写详细地址</w:t>
      </w:r>
    </w:p>
    <w:p>
      <w:pPr>
        <w:autoSpaceDE w:val="0"/>
        <w:autoSpaceDN w:val="0"/>
        <w:adjustRightInd w:val="0"/>
        <w:spacing w:line="360" w:lineRule="auto"/>
        <w:ind w:firstLine="480" w:firstLineChars="200"/>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lang w:val="zh-CN"/>
        </w:rPr>
        <w:t>1、供方在合同签订后，按照其与使用单位事先直接联系约定，将所供商品安全运至指定地点，并负责安装调试。</w:t>
      </w:r>
    </w:p>
    <w:p>
      <w:pPr>
        <w:autoSpaceDE w:val="0"/>
        <w:autoSpaceDN w:val="0"/>
        <w:adjustRightInd w:val="0"/>
        <w:spacing w:line="360" w:lineRule="auto"/>
        <w:ind w:firstLine="480" w:firstLineChars="200"/>
        <w:rPr>
          <w:rFonts w:ascii="楷体_GB2312" w:hAnsi="Times New Roman" w:eastAsia="楷体_GB2312" w:cs="Times New Roman"/>
          <w:color w:val="000000"/>
          <w:sz w:val="24"/>
          <w:szCs w:val="24"/>
          <w:lang w:val="zh-CN"/>
        </w:rPr>
      </w:pPr>
      <w:r>
        <w:rPr>
          <w:rFonts w:hint="eastAsia" w:ascii="楷体_GB2312" w:hAnsi="Times New Roman" w:eastAsia="楷体_GB2312" w:cs="Times New Roman"/>
          <w:color w:val="000000"/>
          <w:sz w:val="24"/>
          <w:szCs w:val="24"/>
          <w:lang w:val="zh-CN"/>
        </w:rPr>
        <w:t>2、在所供商品交付使用时，供方必须向使用方提供产品说明书、质量保证书、保修卡等必须具备的相关资料和必备的附件，</w:t>
      </w:r>
      <w:r>
        <w:rPr>
          <w:rFonts w:hint="eastAsia" w:ascii="楷体_GB2312" w:hAnsi="Times New Roman" w:eastAsia="楷体_GB2312" w:cs="Times New Roman"/>
          <w:color w:val="000000"/>
          <w:sz w:val="24"/>
          <w:szCs w:val="24"/>
        </w:rPr>
        <w:t>并对使用单位人员进行培训</w:t>
      </w:r>
      <w:r>
        <w:rPr>
          <w:rFonts w:hint="eastAsia" w:ascii="楷体_GB2312" w:hAnsi="Times New Roman" w:eastAsia="楷体_GB2312" w:cs="Times New Roman"/>
          <w:color w:val="000000"/>
          <w:sz w:val="24"/>
          <w:szCs w:val="24"/>
          <w:lang w:val="zh-CN"/>
        </w:rPr>
        <w:t>。</w:t>
      </w:r>
    </w:p>
    <w:p>
      <w:pPr>
        <w:spacing w:line="360" w:lineRule="auto"/>
        <w:rPr>
          <w:rFonts w:ascii="楷体_GB2312" w:hAnsi="Times New Roman" w:eastAsia="楷体_GB2312" w:cs="Times New Roman"/>
          <w:b/>
          <w:bCs/>
          <w:color w:val="000000"/>
          <w:sz w:val="24"/>
          <w:szCs w:val="24"/>
        </w:rPr>
      </w:pPr>
      <w:r>
        <w:rPr>
          <w:rFonts w:hint="eastAsia" w:ascii="楷体_GB2312" w:hAnsi="Times New Roman" w:eastAsia="楷体_GB2312" w:cs="Times New Roman"/>
          <w:b/>
          <w:bCs/>
          <w:color w:val="000000"/>
          <w:sz w:val="24"/>
          <w:szCs w:val="24"/>
        </w:rPr>
        <w:t>第六条</w:t>
      </w:r>
      <w:r>
        <w:rPr>
          <w:rFonts w:hint="eastAsia" w:ascii="楷体_GB2312" w:hAnsi="Times New Roman" w:eastAsia="楷体_GB2312" w:cs="Times New Roman"/>
          <w:bCs/>
          <w:color w:val="000000"/>
          <w:sz w:val="24"/>
          <w:szCs w:val="24"/>
        </w:rPr>
        <w:t xml:space="preserve"> </w:t>
      </w:r>
      <w:r>
        <w:rPr>
          <w:rFonts w:hint="eastAsia" w:ascii="楷体_GB2312" w:hAnsi="Times New Roman" w:eastAsia="楷体_GB2312" w:cs="Times New Roman"/>
          <w:b/>
          <w:bCs/>
          <w:color w:val="000000"/>
          <w:sz w:val="24"/>
          <w:szCs w:val="24"/>
        </w:rPr>
        <w:t>验收</w:t>
      </w:r>
    </w:p>
    <w:p>
      <w:pPr>
        <w:spacing w:line="360" w:lineRule="auto"/>
        <w:ind w:firstLine="480" w:firstLineChars="20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1</w:t>
      </w:r>
      <w:r>
        <w:rPr>
          <w:rFonts w:ascii="楷体_GB2312" w:hAnsi="Times New Roman" w:eastAsia="楷体_GB2312" w:cs="Times New Roman"/>
          <w:bCs/>
          <w:color w:val="000000"/>
          <w:sz w:val="24"/>
          <w:szCs w:val="24"/>
        </w:rPr>
        <w:t>.</w:t>
      </w:r>
      <w:r>
        <w:rPr>
          <w:rFonts w:hint="eastAsia" w:ascii="楷体_GB2312" w:hAnsi="Times New Roman" w:eastAsia="楷体_GB2312" w:cs="Times New Roman"/>
          <w:bCs/>
          <w:color w:val="000000"/>
          <w:sz w:val="24"/>
          <w:szCs w:val="24"/>
        </w:rPr>
        <w:t>供方将所供商品运至交货地点并安装调试完毕后，由需方负责在</w:t>
      </w:r>
      <w:r>
        <w:rPr>
          <w:rFonts w:hint="eastAsia" w:ascii="楷体_GB2312" w:hAnsi="Times New Roman" w:eastAsia="楷体_GB2312" w:cs="Times New Roman"/>
          <w:bCs/>
          <w:color w:val="FF0000"/>
          <w:sz w:val="24"/>
          <w:szCs w:val="24"/>
        </w:rPr>
        <w:t xml:space="preserve"> 30 日</w:t>
      </w:r>
      <w:r>
        <w:rPr>
          <w:rFonts w:hint="eastAsia" w:ascii="楷体_GB2312" w:hAnsi="Times New Roman" w:eastAsia="楷体_GB2312" w:cs="Times New Roman"/>
          <w:bCs/>
          <w:color w:val="000000"/>
          <w:sz w:val="24"/>
          <w:szCs w:val="24"/>
        </w:rPr>
        <w:t>内按验收标准进行验收。如发现质量问题，双方另行约定再次验收条件及时间。因此导致逾期的，供方按照第九条第2款约定承担逾期违约责任，双方另有约定的除外。</w:t>
      </w:r>
    </w:p>
    <w:p>
      <w:pPr>
        <w:spacing w:line="360" w:lineRule="auto"/>
        <w:ind w:firstLine="480" w:firstLineChars="20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2</w:t>
      </w:r>
      <w:r>
        <w:rPr>
          <w:rFonts w:ascii="楷体_GB2312" w:hAnsi="Times New Roman" w:eastAsia="楷体_GB2312" w:cs="Times New Roman"/>
          <w:bCs/>
          <w:color w:val="000000"/>
          <w:sz w:val="24"/>
          <w:szCs w:val="24"/>
        </w:rPr>
        <w:t>.</w:t>
      </w:r>
      <w:r>
        <w:rPr>
          <w:rFonts w:hint="eastAsia" w:ascii="楷体_GB2312" w:hAnsi="Times New Roman" w:eastAsia="楷体_GB2312" w:cs="Times New Roman"/>
          <w:bCs/>
          <w:color w:val="000000"/>
          <w:sz w:val="24"/>
          <w:szCs w:val="24"/>
        </w:rPr>
        <w:t>验收标准</w:t>
      </w:r>
      <w:r>
        <w:rPr>
          <w:rFonts w:hint="eastAsia" w:ascii="楷体_GB2312" w:hAnsi="Times New Roman" w:eastAsia="楷体_GB2312" w:cs="Times New Roman"/>
          <w:color w:val="000000"/>
          <w:sz w:val="24"/>
          <w:szCs w:val="24"/>
        </w:rPr>
        <w:t>详见第一条所述之相关文件。</w:t>
      </w:r>
    </w:p>
    <w:p>
      <w:pPr>
        <w:spacing w:line="360" w:lineRule="auto"/>
        <w:ind w:firstLine="480" w:firstLineChars="20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3</w:t>
      </w:r>
      <w:r>
        <w:rPr>
          <w:rFonts w:ascii="楷体_GB2312" w:hAnsi="Times New Roman" w:eastAsia="楷体_GB2312" w:cs="Times New Roman"/>
          <w:bCs/>
          <w:color w:val="000000"/>
          <w:sz w:val="24"/>
          <w:szCs w:val="24"/>
        </w:rPr>
        <w:t>.</w:t>
      </w:r>
      <w:r>
        <w:rPr>
          <w:rFonts w:hint="eastAsia" w:ascii="楷体_GB2312" w:hAnsi="Times New Roman" w:eastAsia="楷体_GB2312" w:cs="Times New Roman"/>
          <w:bCs/>
          <w:color w:val="000000"/>
          <w:sz w:val="24"/>
          <w:szCs w:val="24"/>
        </w:rPr>
        <w:t>货物经需方验收合格后，货物所有权及货物毁损灭失的风险始转</w:t>
      </w:r>
      <w:r>
        <w:rPr>
          <w:rFonts w:ascii="楷体_GB2312" w:hAnsi="Times New Roman" w:eastAsia="楷体_GB2312" w:cs="Times New Roman"/>
          <w:bCs/>
          <w:color w:val="000000"/>
          <w:sz w:val="24"/>
          <w:szCs w:val="24"/>
        </w:rPr>
        <w:t>移给</w:t>
      </w:r>
      <w:r>
        <w:rPr>
          <w:rFonts w:hint="eastAsia" w:ascii="楷体_GB2312" w:hAnsi="Times New Roman" w:eastAsia="楷体_GB2312" w:cs="Times New Roman"/>
          <w:bCs/>
          <w:color w:val="000000"/>
          <w:sz w:val="24"/>
          <w:szCs w:val="24"/>
        </w:rPr>
        <w:t>需方。</w:t>
      </w:r>
    </w:p>
    <w:p>
      <w:pPr>
        <w:spacing w:line="360" w:lineRule="auto"/>
        <w:ind w:firstLine="480" w:firstLineChars="20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4.如货物确实</w:t>
      </w:r>
      <w:r>
        <w:rPr>
          <w:rFonts w:ascii="楷体_GB2312" w:hAnsi="Times New Roman" w:eastAsia="楷体_GB2312" w:cs="Times New Roman"/>
          <w:bCs/>
          <w:color w:val="000000"/>
          <w:sz w:val="24"/>
          <w:szCs w:val="24"/>
        </w:rPr>
        <w:t>内在</w:t>
      </w:r>
      <w:r>
        <w:rPr>
          <w:rFonts w:hint="eastAsia" w:ascii="楷体_GB2312" w:hAnsi="Times New Roman" w:eastAsia="楷体_GB2312" w:cs="Times New Roman"/>
          <w:bCs/>
          <w:color w:val="000000"/>
          <w:sz w:val="24"/>
          <w:szCs w:val="24"/>
        </w:rPr>
        <w:t>存在</w:t>
      </w:r>
      <w:r>
        <w:rPr>
          <w:rFonts w:ascii="楷体_GB2312" w:hAnsi="Times New Roman" w:eastAsia="楷体_GB2312" w:cs="Times New Roman"/>
          <w:bCs/>
          <w:color w:val="000000"/>
          <w:sz w:val="24"/>
          <w:szCs w:val="24"/>
        </w:rPr>
        <w:t>质量</w:t>
      </w:r>
      <w:r>
        <w:rPr>
          <w:rFonts w:hint="eastAsia" w:ascii="楷体_GB2312" w:hAnsi="Times New Roman" w:eastAsia="楷体_GB2312" w:cs="Times New Roman"/>
          <w:bCs/>
          <w:color w:val="000000"/>
          <w:sz w:val="24"/>
          <w:szCs w:val="24"/>
        </w:rPr>
        <w:t>瑕疵，即使通过了本条第1款的验收，需方仍有权在</w:t>
      </w:r>
      <w:r>
        <w:rPr>
          <w:rFonts w:ascii="楷体_GB2312" w:hAnsi="Times New Roman" w:eastAsia="楷体_GB2312" w:cs="Times New Roman"/>
          <w:bCs/>
          <w:color w:val="000000"/>
          <w:sz w:val="24"/>
          <w:szCs w:val="24"/>
        </w:rPr>
        <w:t>任何时间包括质保期</w:t>
      </w:r>
      <w:r>
        <w:rPr>
          <w:rFonts w:hint="eastAsia" w:ascii="楷体_GB2312" w:hAnsi="Times New Roman" w:eastAsia="楷体_GB2312" w:cs="Times New Roman"/>
          <w:bCs/>
          <w:color w:val="000000"/>
          <w:sz w:val="24"/>
          <w:szCs w:val="24"/>
        </w:rPr>
        <w:t>内或质保期满</w:t>
      </w:r>
      <w:r>
        <w:rPr>
          <w:rFonts w:ascii="楷体_GB2312" w:hAnsi="Times New Roman" w:eastAsia="楷体_GB2312" w:cs="Times New Roman"/>
          <w:bCs/>
          <w:color w:val="000000"/>
          <w:sz w:val="24"/>
          <w:szCs w:val="24"/>
        </w:rPr>
        <w:t>后</w:t>
      </w:r>
      <w:r>
        <w:rPr>
          <w:rFonts w:hint="eastAsia" w:ascii="楷体_GB2312" w:hAnsi="Times New Roman" w:eastAsia="楷体_GB2312" w:cs="Times New Roman"/>
          <w:bCs/>
          <w:color w:val="000000"/>
          <w:sz w:val="24"/>
          <w:szCs w:val="24"/>
        </w:rPr>
        <w:t>使用寿命期内提出异议，不受30天验收时间的限制，如果查明确实属于内在质量存在问题，供方仍应对此负责。</w:t>
      </w:r>
    </w:p>
    <w:p>
      <w:pPr>
        <w:spacing w:line="360" w:lineRule="auto"/>
        <w:rPr>
          <w:rFonts w:ascii="楷体_GB2312" w:hAnsi="Times New Roman" w:eastAsia="楷体_GB2312" w:cs="Times New Roman"/>
          <w:bCs/>
          <w:color w:val="000000"/>
          <w:sz w:val="24"/>
          <w:szCs w:val="24"/>
        </w:rPr>
      </w:pPr>
      <w:r>
        <w:rPr>
          <w:rFonts w:hint="eastAsia" w:ascii="楷体_GB2312" w:hAnsi="Times New Roman" w:eastAsia="楷体_GB2312" w:cs="Times New Roman"/>
          <w:b/>
          <w:bCs/>
          <w:color w:val="000000"/>
          <w:sz w:val="24"/>
          <w:szCs w:val="24"/>
        </w:rPr>
        <w:t>第七条</w:t>
      </w:r>
      <w:r>
        <w:rPr>
          <w:rFonts w:hint="eastAsia" w:ascii="楷体_GB2312" w:hAnsi="Times New Roman" w:eastAsia="楷体_GB2312" w:cs="Times New Roman"/>
          <w:bCs/>
          <w:color w:val="000000"/>
          <w:sz w:val="24"/>
          <w:szCs w:val="24"/>
        </w:rPr>
        <w:t xml:space="preserve"> </w:t>
      </w:r>
      <w:r>
        <w:rPr>
          <w:rFonts w:hint="eastAsia" w:ascii="楷体_GB2312" w:hAnsi="宋体" w:eastAsia="楷体_GB2312" w:cs="Times New Roman"/>
          <w:b/>
          <w:bCs/>
          <w:color w:val="000000"/>
          <w:sz w:val="24"/>
          <w:szCs w:val="24"/>
        </w:rPr>
        <w:t>保证金及货款</w:t>
      </w:r>
      <w:r>
        <w:rPr>
          <w:rFonts w:hint="eastAsia" w:ascii="楷体_GB2312" w:hAnsi="宋体" w:eastAsia="楷体_GB2312" w:cs="Times New Roman"/>
          <w:color w:val="000000"/>
          <w:sz w:val="24"/>
          <w:szCs w:val="24"/>
        </w:rPr>
        <w:t>（</w:t>
      </w:r>
      <w:r>
        <w:rPr>
          <w:rFonts w:hint="eastAsia" w:ascii="楷体_GB2312" w:hAnsi="宋体" w:eastAsia="楷体_GB2312" w:cs="Times New Roman"/>
          <w:color w:val="0070C0"/>
          <w:sz w:val="24"/>
          <w:szCs w:val="24"/>
        </w:rPr>
        <w:t>按照采购文件中确认的付款条款填写</w:t>
      </w:r>
      <w:r>
        <w:rPr>
          <w:rFonts w:hint="eastAsia" w:ascii="楷体_GB2312" w:hAnsi="宋体" w:eastAsia="楷体_GB2312" w:cs="Times New Roman"/>
          <w:color w:val="000000"/>
          <w:sz w:val="24"/>
          <w:szCs w:val="24"/>
        </w:rPr>
        <w:t>）</w:t>
      </w:r>
    </w:p>
    <w:p>
      <w:pPr>
        <w:autoSpaceDE w:val="0"/>
        <w:autoSpaceDN w:val="0"/>
        <w:adjustRightInd w:val="0"/>
        <w:spacing w:line="360" w:lineRule="auto"/>
        <w:ind w:firstLine="480" w:firstLineChars="200"/>
        <w:rPr>
          <w:rFonts w:hint="eastAsia" w:ascii="楷体_GB2312" w:hAnsi="宋体" w:eastAsia="楷体_GB2312" w:cs="Times New Roman"/>
          <w:color w:val="000000"/>
          <w:sz w:val="24"/>
          <w:szCs w:val="24"/>
        </w:rPr>
      </w:pPr>
      <w:r>
        <w:rPr>
          <w:rFonts w:hint="eastAsia" w:ascii="楷体_GB2312" w:hAnsi="宋体" w:eastAsia="楷体_GB2312" w:cs="Times New Roman"/>
          <w:color w:val="000000"/>
          <w:sz w:val="24"/>
          <w:szCs w:val="24"/>
        </w:rPr>
        <w:t>1.供方应在合同签订时向采购方缴纳履约保证金。本合同履约保证金为合同总价的</w:t>
      </w:r>
      <w:r>
        <w:rPr>
          <w:rFonts w:hint="eastAsia" w:ascii="楷体_GB2312" w:hAnsi="宋体" w:eastAsia="楷体_GB2312" w:cs="Times New Roman"/>
          <w:color w:val="000000"/>
          <w:sz w:val="24"/>
          <w:szCs w:val="24"/>
          <w:lang w:val="en-US" w:eastAsia="zh-CN"/>
        </w:rPr>
        <w:t xml:space="preserve"> </w:t>
      </w:r>
      <w:r>
        <w:rPr>
          <w:rFonts w:hint="eastAsia" w:ascii="楷体_GB2312" w:hAnsi="宋体" w:eastAsia="楷体_GB2312" w:cs="Times New Roman"/>
          <w:color w:val="000000"/>
          <w:sz w:val="24"/>
          <w:szCs w:val="24"/>
          <w:u w:val="single"/>
          <w:lang w:val="en-US" w:eastAsia="zh-CN"/>
        </w:rPr>
        <w:t xml:space="preserve">5 </w:t>
      </w:r>
      <w:r>
        <w:rPr>
          <w:rFonts w:hint="eastAsia" w:ascii="楷体_GB2312" w:hAnsi="宋体" w:eastAsia="楷体_GB2312" w:cs="Times New Roman"/>
          <w:color w:val="000000"/>
          <w:sz w:val="24"/>
          <w:szCs w:val="24"/>
        </w:rPr>
        <w:t>%</w:t>
      </w:r>
      <w:r>
        <w:rPr>
          <w:rFonts w:hint="eastAsia" w:ascii="楷体_GB2312" w:hAnsi="宋体" w:eastAsia="楷体_GB2312" w:cs="Times New Roman"/>
          <w:color w:val="000000"/>
          <w:sz w:val="24"/>
          <w:szCs w:val="24"/>
          <w:lang w:eastAsia="zh-CN"/>
        </w:rPr>
        <w:t>。</w:t>
      </w:r>
      <w:r>
        <w:rPr>
          <w:rFonts w:hint="eastAsia" w:ascii="楷体_GB2312" w:hAnsi="宋体" w:eastAsia="楷体_GB2312" w:cs="Times New Roman"/>
          <w:color w:val="000000"/>
          <w:sz w:val="24"/>
          <w:szCs w:val="24"/>
        </w:rPr>
        <w:t>履约保证金从合同生效之日起至需方验收完成后180天内有效，投标方完成全部合同约定内容，履约期间无违约行为，在需方验收完成后180天内，需方无息退还供方履约保证金。但如果此时存在合同争端并且尚未解决的，则履约保证金有效期应延长到该争端最终解决且索赔处理完毕后终止。</w:t>
      </w:r>
    </w:p>
    <w:p>
      <w:pPr>
        <w:widowControl w:val="0"/>
        <w:autoSpaceDE w:val="0"/>
        <w:autoSpaceDN w:val="0"/>
        <w:adjustRightInd w:val="0"/>
        <w:spacing w:line="360" w:lineRule="auto"/>
        <w:ind w:left="105" w:leftChars="50" w:firstLine="360" w:firstLineChars="150"/>
        <w:jc w:val="both"/>
        <w:textAlignment w:val="baseline"/>
        <w:outlineLvl w:val="2"/>
        <w:rPr>
          <w:rFonts w:ascii="楷体_GB2312" w:hAnsi="宋体" w:eastAsia="楷体_GB2312" w:cs="Times New Roman"/>
          <w:b w:val="0"/>
          <w:color w:val="000000"/>
          <w:kern w:val="2"/>
          <w:sz w:val="24"/>
          <w:szCs w:val="24"/>
          <w:lang w:val="en-US" w:eastAsia="zh-CN" w:bidi="ar-SA"/>
        </w:rPr>
      </w:pPr>
      <w:r>
        <w:rPr>
          <w:rFonts w:hint="eastAsia" w:ascii="楷体_GB2312" w:hAnsi="宋体" w:eastAsia="楷体_GB2312" w:cs="Times New Roman"/>
          <w:b w:val="0"/>
          <w:color w:val="000000"/>
          <w:kern w:val="2"/>
          <w:sz w:val="24"/>
          <w:szCs w:val="24"/>
          <w:lang w:val="en-US" w:eastAsia="zh-CN" w:bidi="ar-SA"/>
        </w:rPr>
        <w:t>2.需方向供方的付款计划安排如下</w:t>
      </w:r>
      <w:r>
        <w:rPr>
          <w:rFonts w:hint="eastAsia" w:ascii="楷体_GB2312" w:hAnsi="宋体" w:eastAsia="楷体_GB2312" w:cs="Times New Roman"/>
          <w:b w:val="0"/>
          <w:color w:val="FF0000"/>
          <w:kern w:val="2"/>
          <w:sz w:val="24"/>
          <w:szCs w:val="24"/>
          <w:lang w:val="en-US" w:eastAsia="zh-CN" w:bidi="ar-SA"/>
        </w:rPr>
        <w:t>（</w:t>
      </w:r>
      <w:r>
        <w:rPr>
          <w:rFonts w:hint="eastAsia" w:ascii="楷体_GB2312" w:hAnsi="宋体" w:eastAsia="楷体_GB2312" w:cs="Times New Roman"/>
          <w:b w:val="0"/>
          <w:color w:val="0070C0"/>
          <w:kern w:val="2"/>
          <w:sz w:val="24"/>
          <w:szCs w:val="24"/>
          <w:lang w:val="en-US" w:eastAsia="zh-CN" w:bidi="ar-SA"/>
        </w:rPr>
        <w:t>确定采购文件时，</w:t>
      </w:r>
      <w:r>
        <w:rPr>
          <w:rFonts w:hint="eastAsia" w:ascii="楷体_GB2312" w:hAnsi="宋体" w:eastAsia="楷体_GB2312" w:cs="Times New Roman"/>
          <w:b w:val="0"/>
          <w:color w:val="FF0000"/>
          <w:kern w:val="2"/>
          <w:sz w:val="24"/>
          <w:szCs w:val="24"/>
          <w:lang w:val="en-US" w:eastAsia="zh-CN" w:bidi="ar-SA"/>
        </w:rPr>
        <w:t>可修改）</w:t>
      </w:r>
      <w:r>
        <w:rPr>
          <w:rFonts w:hint="eastAsia" w:ascii="楷体_GB2312" w:hAnsi="宋体" w:eastAsia="楷体_GB2312" w:cs="Times New Roman"/>
          <w:b w:val="0"/>
          <w:color w:val="000000"/>
          <w:kern w:val="2"/>
          <w:sz w:val="24"/>
          <w:szCs w:val="24"/>
          <w:lang w:val="en-US" w:eastAsia="zh-CN" w:bidi="ar-SA"/>
        </w:rPr>
        <w:t>：</w:t>
      </w:r>
    </w:p>
    <w:p>
      <w:pPr>
        <w:numPr>
          <w:ilvl w:val="0"/>
          <w:numId w:val="21"/>
        </w:numPr>
        <w:spacing w:line="360" w:lineRule="auto"/>
        <w:ind w:left="845" w:hanging="425"/>
        <w:rPr>
          <w:rFonts w:ascii="楷体_GB2312" w:hAnsi="宋体" w:eastAsia="楷体_GB2312" w:cs="Times New Roman"/>
          <w:color w:val="000000"/>
          <w:sz w:val="24"/>
          <w:szCs w:val="24"/>
        </w:rPr>
      </w:pPr>
      <w:r>
        <w:rPr>
          <w:rFonts w:hint="eastAsia" w:ascii="楷体_GB2312" w:hAnsi="宋体" w:eastAsia="楷体_GB2312" w:cs="Times New Roman"/>
          <w:color w:val="000000"/>
          <w:sz w:val="24"/>
          <w:szCs w:val="24"/>
        </w:rPr>
        <w:t>第</w:t>
      </w:r>
      <w:r>
        <w:rPr>
          <w:rFonts w:hint="eastAsia" w:ascii="楷体_GB2312" w:hAnsi="宋体" w:eastAsia="楷体_GB2312" w:cs="Times New Roman"/>
          <w:b w:val="0"/>
          <w:bCs w:val="0"/>
          <w:color w:val="000000"/>
          <w:sz w:val="24"/>
          <w:szCs w:val="24"/>
        </w:rPr>
        <w:t>一</w:t>
      </w:r>
      <w:r>
        <w:rPr>
          <w:rFonts w:hint="eastAsia" w:ascii="楷体_GB2312" w:hAnsi="宋体" w:eastAsia="楷体_GB2312" w:cs="Times New Roman"/>
          <w:color w:val="000000"/>
          <w:sz w:val="24"/>
          <w:szCs w:val="24"/>
        </w:rPr>
        <w:t>期款：</w:t>
      </w:r>
      <w:r>
        <w:rPr>
          <w:rFonts w:hint="eastAsia" w:ascii="楷体_GB2312" w:hAnsi="宋体" w:eastAsia="楷体_GB2312" w:cs="Times New Roman"/>
          <w:color w:val="000000"/>
          <w:sz w:val="24"/>
          <w:szCs w:val="24"/>
          <w:u w:val="single"/>
        </w:rPr>
        <w:t xml:space="preserve"> 合同签订后30个日历天 </w:t>
      </w:r>
      <w:r>
        <w:rPr>
          <w:rFonts w:hint="eastAsia" w:ascii="楷体_GB2312" w:hAnsi="宋体" w:eastAsia="楷体_GB2312" w:cs="Times New Roman"/>
          <w:color w:val="000000"/>
          <w:sz w:val="24"/>
          <w:szCs w:val="24"/>
          <w:u w:val="single"/>
          <w:lang w:val="en-US" w:eastAsia="zh-CN"/>
        </w:rPr>
        <w:t>内</w:t>
      </w:r>
      <w:r>
        <w:rPr>
          <w:rFonts w:hint="eastAsia" w:ascii="楷体_GB2312" w:hAnsi="宋体" w:eastAsia="楷体_GB2312" w:cs="Times New Roman"/>
          <w:color w:val="000000"/>
          <w:sz w:val="24"/>
          <w:szCs w:val="24"/>
        </w:rPr>
        <w:t>，支付至合同金额</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u w:val="single"/>
          <w:lang w:val="en-US" w:eastAsia="zh-CN"/>
        </w:rPr>
        <w:t>60</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rPr>
        <w:t>%；</w:t>
      </w:r>
    </w:p>
    <w:p>
      <w:pPr>
        <w:numPr>
          <w:ilvl w:val="0"/>
          <w:numId w:val="21"/>
        </w:numPr>
        <w:spacing w:line="360" w:lineRule="auto"/>
        <w:ind w:left="845" w:hanging="425"/>
        <w:rPr>
          <w:rFonts w:ascii="楷体_GB2312" w:hAnsi="宋体" w:eastAsia="楷体_GB2312" w:cs="Times New Roman"/>
          <w:color w:val="000000"/>
          <w:sz w:val="24"/>
          <w:szCs w:val="24"/>
        </w:rPr>
      </w:pPr>
      <w:r>
        <w:rPr>
          <w:rFonts w:hint="eastAsia" w:ascii="楷体_GB2312" w:hAnsi="宋体" w:eastAsia="楷体_GB2312" w:cs="Times New Roman"/>
          <w:color w:val="000000"/>
          <w:sz w:val="24"/>
          <w:szCs w:val="24"/>
        </w:rPr>
        <w:t>第</w:t>
      </w:r>
      <w:r>
        <w:rPr>
          <w:rFonts w:hint="eastAsia" w:ascii="楷体_GB2312" w:hAnsi="宋体" w:eastAsia="楷体_GB2312" w:cs="Times New Roman"/>
          <w:b w:val="0"/>
          <w:bCs w:val="0"/>
          <w:color w:val="000000"/>
          <w:sz w:val="24"/>
          <w:szCs w:val="24"/>
          <w:lang w:val="en-US" w:eastAsia="zh-CN"/>
        </w:rPr>
        <w:t>二</w:t>
      </w:r>
      <w:r>
        <w:rPr>
          <w:rFonts w:hint="eastAsia" w:ascii="楷体_GB2312" w:hAnsi="宋体" w:eastAsia="楷体_GB2312" w:cs="Times New Roman"/>
          <w:color w:val="000000"/>
          <w:sz w:val="24"/>
          <w:szCs w:val="24"/>
        </w:rPr>
        <w:t>期款：</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u w:val="single"/>
          <w:lang w:val="en-US" w:eastAsia="zh-CN"/>
        </w:rPr>
        <w:t>供</w:t>
      </w:r>
      <w:r>
        <w:rPr>
          <w:rFonts w:hint="eastAsia" w:ascii="楷体_GB2312" w:hAnsi="宋体" w:eastAsia="楷体_GB2312" w:cs="Times New Roman"/>
          <w:color w:val="000000"/>
          <w:sz w:val="24"/>
          <w:szCs w:val="24"/>
          <w:u w:val="single"/>
        </w:rPr>
        <w:t xml:space="preserve">方完成工程图设计，经需方确认，并通过需方组织的专家评审 </w:t>
      </w:r>
      <w:r>
        <w:rPr>
          <w:rFonts w:hint="eastAsia" w:ascii="楷体_GB2312" w:hAnsi="宋体" w:eastAsia="楷体_GB2312" w:cs="Times New Roman"/>
          <w:color w:val="000000"/>
          <w:sz w:val="24"/>
          <w:szCs w:val="24"/>
        </w:rPr>
        <w:t>后，支付至合同金额</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u w:val="single"/>
          <w:lang w:val="en-US" w:eastAsia="zh-CN"/>
        </w:rPr>
        <w:t>70</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rPr>
        <w:t>%；</w:t>
      </w:r>
    </w:p>
    <w:p>
      <w:pPr>
        <w:numPr>
          <w:ilvl w:val="0"/>
          <w:numId w:val="21"/>
        </w:numPr>
        <w:spacing w:line="360" w:lineRule="auto"/>
        <w:ind w:left="845" w:hanging="425"/>
        <w:rPr>
          <w:rFonts w:ascii="楷体_GB2312" w:hAnsi="宋体" w:eastAsia="楷体_GB2312" w:cs="Times New Roman"/>
          <w:color w:val="000000"/>
          <w:sz w:val="24"/>
          <w:szCs w:val="24"/>
        </w:rPr>
      </w:pPr>
      <w:r>
        <w:rPr>
          <w:rFonts w:hint="eastAsia" w:ascii="楷体_GB2312" w:hAnsi="宋体" w:eastAsia="楷体_GB2312" w:cs="Times New Roman"/>
          <w:color w:val="000000"/>
          <w:sz w:val="24"/>
          <w:szCs w:val="24"/>
        </w:rPr>
        <w:t>第</w:t>
      </w:r>
      <w:r>
        <w:rPr>
          <w:rFonts w:hint="eastAsia" w:ascii="楷体_GB2312" w:hAnsi="宋体" w:eastAsia="楷体_GB2312" w:cs="Times New Roman"/>
          <w:b w:val="0"/>
          <w:bCs w:val="0"/>
          <w:color w:val="000000"/>
          <w:sz w:val="24"/>
          <w:szCs w:val="24"/>
          <w:lang w:val="en-US" w:eastAsia="zh-CN"/>
        </w:rPr>
        <w:t>三</w:t>
      </w:r>
      <w:r>
        <w:rPr>
          <w:rFonts w:hint="eastAsia" w:ascii="楷体_GB2312" w:hAnsi="宋体" w:eastAsia="楷体_GB2312" w:cs="Times New Roman"/>
          <w:color w:val="000000"/>
          <w:sz w:val="24"/>
          <w:szCs w:val="24"/>
        </w:rPr>
        <w:t>期款：</w:t>
      </w:r>
      <w:r>
        <w:rPr>
          <w:rFonts w:hint="eastAsia" w:ascii="楷体_GB2312" w:hAnsi="宋体" w:eastAsia="楷体_GB2312" w:cs="Times New Roman"/>
          <w:color w:val="000000"/>
          <w:sz w:val="24"/>
          <w:szCs w:val="24"/>
          <w:u w:val="single"/>
        </w:rPr>
        <w:t xml:space="preserve"> 出厂验收通过后，经需方确认 </w:t>
      </w:r>
      <w:r>
        <w:rPr>
          <w:rFonts w:hint="eastAsia" w:ascii="楷体_GB2312" w:hAnsi="宋体" w:eastAsia="楷体_GB2312" w:cs="Times New Roman"/>
          <w:color w:val="000000"/>
          <w:sz w:val="24"/>
          <w:szCs w:val="24"/>
        </w:rPr>
        <w:t>后，支付至合同金额</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u w:val="single"/>
          <w:lang w:val="en-US" w:eastAsia="zh-CN"/>
        </w:rPr>
        <w:t>80</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rPr>
        <w:t>%；</w:t>
      </w:r>
    </w:p>
    <w:p>
      <w:pPr>
        <w:numPr>
          <w:ilvl w:val="0"/>
          <w:numId w:val="21"/>
        </w:numPr>
        <w:spacing w:line="360" w:lineRule="auto"/>
        <w:ind w:left="845" w:hanging="425"/>
        <w:rPr>
          <w:rFonts w:ascii="楷体_GB2312" w:hAnsi="宋体" w:eastAsia="楷体_GB2312" w:cs="Times New Roman"/>
          <w:color w:val="000000"/>
          <w:sz w:val="24"/>
          <w:szCs w:val="24"/>
        </w:rPr>
      </w:pPr>
      <w:r>
        <w:rPr>
          <w:rFonts w:hint="eastAsia" w:ascii="楷体_GB2312" w:hAnsi="宋体" w:eastAsia="楷体_GB2312" w:cs="Times New Roman"/>
          <w:color w:val="000000"/>
          <w:sz w:val="24"/>
          <w:szCs w:val="24"/>
        </w:rPr>
        <w:t>第</w:t>
      </w:r>
      <w:r>
        <w:rPr>
          <w:rFonts w:hint="eastAsia" w:ascii="楷体_GB2312" w:hAnsi="宋体" w:eastAsia="楷体_GB2312" w:cs="Times New Roman"/>
          <w:b w:val="0"/>
          <w:bCs w:val="0"/>
          <w:color w:val="000000"/>
          <w:sz w:val="24"/>
          <w:szCs w:val="24"/>
          <w:lang w:val="en-US" w:eastAsia="zh-CN"/>
        </w:rPr>
        <w:t>四</w:t>
      </w:r>
      <w:r>
        <w:rPr>
          <w:rFonts w:hint="eastAsia" w:ascii="楷体_GB2312" w:hAnsi="宋体" w:eastAsia="楷体_GB2312" w:cs="Times New Roman"/>
          <w:color w:val="000000"/>
          <w:sz w:val="24"/>
          <w:szCs w:val="24"/>
        </w:rPr>
        <w:t>期款：</w:t>
      </w:r>
      <w:r>
        <w:rPr>
          <w:rFonts w:hint="eastAsia" w:ascii="楷体_GB2312" w:hAnsi="宋体" w:eastAsia="楷体_GB2312" w:cs="Times New Roman"/>
          <w:color w:val="000000"/>
          <w:sz w:val="24"/>
          <w:szCs w:val="24"/>
          <w:u w:val="single"/>
        </w:rPr>
        <w:t xml:space="preserve"> 需方验收通过 </w:t>
      </w:r>
      <w:r>
        <w:rPr>
          <w:rFonts w:hint="eastAsia" w:ascii="楷体_GB2312" w:hAnsi="宋体" w:eastAsia="楷体_GB2312" w:cs="Times New Roman"/>
          <w:color w:val="000000"/>
          <w:sz w:val="24"/>
          <w:szCs w:val="24"/>
        </w:rPr>
        <w:t>后，支付至合同金额</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u w:val="single"/>
          <w:lang w:val="en-US" w:eastAsia="zh-CN"/>
        </w:rPr>
        <w:t>95</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rPr>
        <w:t>%</w:t>
      </w:r>
    </w:p>
    <w:p>
      <w:pPr>
        <w:numPr>
          <w:ilvl w:val="0"/>
          <w:numId w:val="21"/>
        </w:numPr>
        <w:spacing w:line="360" w:lineRule="auto"/>
        <w:ind w:left="845" w:hanging="425"/>
      </w:pPr>
      <w:r>
        <w:rPr>
          <w:rFonts w:hint="eastAsia" w:ascii="楷体_GB2312" w:hAnsi="宋体" w:eastAsia="楷体_GB2312" w:cs="Times New Roman"/>
          <w:color w:val="000000"/>
          <w:sz w:val="24"/>
          <w:szCs w:val="24"/>
        </w:rPr>
        <w:t>第</w:t>
      </w:r>
      <w:r>
        <w:rPr>
          <w:rFonts w:hint="eastAsia" w:ascii="楷体_GB2312" w:hAnsi="宋体" w:eastAsia="楷体_GB2312" w:cs="Times New Roman"/>
          <w:color w:val="000000"/>
          <w:sz w:val="24"/>
          <w:szCs w:val="24"/>
          <w:lang w:val="en-US" w:eastAsia="zh-CN"/>
        </w:rPr>
        <w:t>五</w:t>
      </w:r>
      <w:r>
        <w:rPr>
          <w:rFonts w:hint="eastAsia" w:ascii="楷体_GB2312" w:hAnsi="宋体" w:eastAsia="楷体_GB2312" w:cs="Times New Roman"/>
          <w:color w:val="000000"/>
          <w:sz w:val="24"/>
          <w:szCs w:val="24"/>
        </w:rPr>
        <w:t>期款：</w:t>
      </w:r>
      <w:r>
        <w:rPr>
          <w:rFonts w:hint="eastAsia" w:ascii="楷体_GB2312" w:hAnsi="宋体" w:eastAsia="楷体_GB2312" w:cs="Times New Roman"/>
          <w:color w:val="000000"/>
          <w:sz w:val="24"/>
          <w:szCs w:val="24"/>
          <w:u w:val="single"/>
        </w:rPr>
        <w:t xml:space="preserve"> 教育部组织的工艺验收通过 </w:t>
      </w:r>
      <w:r>
        <w:rPr>
          <w:rFonts w:hint="eastAsia" w:ascii="楷体_GB2312" w:hAnsi="宋体" w:eastAsia="楷体_GB2312" w:cs="Times New Roman"/>
          <w:color w:val="000000"/>
          <w:sz w:val="24"/>
          <w:szCs w:val="24"/>
        </w:rPr>
        <w:t>后，支付至合同金额</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u w:val="single"/>
          <w:lang w:val="en-US" w:eastAsia="zh-CN"/>
        </w:rPr>
        <w:t>100</w:t>
      </w:r>
      <w:r>
        <w:rPr>
          <w:rFonts w:hint="eastAsia" w:ascii="楷体_GB2312" w:hAnsi="宋体" w:eastAsia="楷体_GB2312" w:cs="Times New Roman"/>
          <w:color w:val="000000"/>
          <w:sz w:val="24"/>
          <w:szCs w:val="24"/>
          <w:u w:val="single"/>
        </w:rPr>
        <w:t xml:space="preserve"> </w:t>
      </w:r>
      <w:r>
        <w:rPr>
          <w:rFonts w:hint="eastAsia" w:ascii="楷体_GB2312" w:hAnsi="宋体" w:eastAsia="楷体_GB2312" w:cs="Times New Roman"/>
          <w:color w:val="00000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firstLine="480" w:firstLineChars="200"/>
        <w:jc w:val="left"/>
        <w:textAlignment w:val="auto"/>
        <w:rPr>
          <w:rFonts w:hint="eastAsia" w:ascii="宋体" w:hAnsi="宋体" w:eastAsia="宋体" w:cs="宋体"/>
          <w:spacing w:val="-6"/>
          <w:kern w:val="0"/>
          <w:szCs w:val="21"/>
        </w:rPr>
      </w:pPr>
      <w:r>
        <w:rPr>
          <w:rFonts w:ascii="楷体_GB2312" w:hAnsi="楷体_GB2312" w:eastAsia="楷体_GB2312" w:cs="楷体_GB2312"/>
          <w:kern w:val="2"/>
          <w:sz w:val="24"/>
          <w:szCs w:val="24"/>
          <w:lang w:val="en-US" w:eastAsia="zh-CN" w:bidi="ar-SA"/>
        </w:rPr>
        <w:t>特殊支付方式：</w:t>
      </w:r>
      <w:r>
        <w:rPr>
          <w:rFonts w:hint="eastAsia" w:ascii="楷体_GB2312" w:hAnsi="宋体" w:eastAsia="楷体_GB2312" w:cs="Times New Roman"/>
          <w:color w:val="000000"/>
          <w:kern w:val="2"/>
          <w:sz w:val="24"/>
          <w:szCs w:val="24"/>
          <w:u w:val="single"/>
          <w:lang w:val="en-US" w:eastAsia="zh-CN" w:bidi="ar-SA"/>
        </w:rPr>
        <w:t xml:space="preserve">                              </w:t>
      </w:r>
    </w:p>
    <w:p>
      <w:pPr>
        <w:autoSpaceDE w:val="0"/>
        <w:autoSpaceDN w:val="0"/>
        <w:adjustRightInd w:val="0"/>
        <w:spacing w:line="360" w:lineRule="auto"/>
        <w:ind w:firstLine="480" w:firstLineChars="200"/>
        <w:rPr>
          <w:rFonts w:ascii="楷体_GB2312" w:hAnsi="楷体_GB2312" w:eastAsia="楷体_GB2312" w:cs="楷体_GB2312"/>
          <w:kern w:val="2"/>
          <w:sz w:val="24"/>
          <w:szCs w:val="24"/>
          <w:lang w:val="en-US" w:eastAsia="zh-CN" w:bidi="ar-SA"/>
        </w:rPr>
      </w:pPr>
      <w:r>
        <w:rPr>
          <w:rFonts w:hint="eastAsia" w:ascii="楷体_GB2312" w:hAnsi="宋体" w:eastAsia="楷体_GB2312" w:cs="Times New Roman"/>
          <w:color w:val="000000"/>
          <w:sz w:val="24"/>
          <w:szCs w:val="24"/>
        </w:rPr>
        <w:t>投标方在收款之前应向需方提供相应金额的符合条件的设备类增值税专用发票，需方凭发票准备付款事宜。如投标方未按约定提供增值税专用发票的，需方有权拒绝付款，直至收到投标方提交的相应增值税专用发票为止，在此情况下，需方不承担逾期付款违约责任。</w:t>
      </w:r>
    </w:p>
    <w:p>
      <w:pPr>
        <w:widowControl w:val="0"/>
        <w:autoSpaceDE w:val="0"/>
        <w:autoSpaceDN w:val="0"/>
        <w:adjustRightInd w:val="0"/>
        <w:spacing w:line="360" w:lineRule="auto"/>
        <w:ind w:left="105" w:leftChars="50" w:firstLine="360" w:firstLineChars="150"/>
        <w:jc w:val="both"/>
        <w:textAlignment w:val="baseline"/>
        <w:outlineLvl w:val="2"/>
        <w:rPr>
          <w:rFonts w:ascii="楷体_GB2312" w:hAnsi="宋体" w:eastAsia="楷体_GB2312" w:cs="Times New Roman"/>
          <w:b w:val="0"/>
          <w:color w:val="000000"/>
          <w:kern w:val="2"/>
          <w:sz w:val="24"/>
          <w:szCs w:val="24"/>
          <w:lang w:val="en-US" w:eastAsia="zh-CN" w:bidi="ar-SA"/>
        </w:rPr>
      </w:pPr>
      <w:r>
        <w:rPr>
          <w:rFonts w:hint="eastAsia" w:ascii="楷体_GB2312" w:hAnsi="宋体" w:eastAsia="楷体_GB2312" w:cs="Times New Roman"/>
          <w:b w:val="0"/>
          <w:color w:val="000000"/>
          <w:kern w:val="2"/>
          <w:sz w:val="24"/>
          <w:szCs w:val="24"/>
          <w:lang w:val="en-US" w:eastAsia="zh-CN" w:bidi="ar-SA"/>
        </w:rPr>
        <w:t>3.</w:t>
      </w:r>
      <w:r>
        <w:rPr>
          <w:rFonts w:hint="eastAsia" w:ascii="楷体_GB2312" w:hAnsi="宋体" w:eastAsia="楷体_GB2312" w:cs="Times New Roman"/>
          <w:b w:val="0"/>
          <w:color w:val="FF0000"/>
          <w:kern w:val="2"/>
          <w:sz w:val="24"/>
          <w:szCs w:val="24"/>
          <w:lang w:val="en-US" w:eastAsia="zh-CN" w:bidi="ar-SA"/>
        </w:rPr>
        <w:t>如含境外供货</w:t>
      </w:r>
      <w:r>
        <w:rPr>
          <w:rFonts w:hint="eastAsia" w:ascii="楷体_GB2312" w:hAnsi="宋体" w:eastAsia="楷体_GB2312" w:cs="Times New Roman"/>
          <w:b w:val="0"/>
          <w:color w:val="000000"/>
          <w:kern w:val="2"/>
          <w:sz w:val="24"/>
          <w:szCs w:val="24"/>
          <w:lang w:val="en-US" w:eastAsia="zh-CN" w:bidi="ar-SA"/>
        </w:rPr>
        <w:t>，由浙江大学采购中心委托外贸代理公司与供方指定的境外公司签订外贸合同，如供方指定的境外公司未能履行所签订外贸合同的条款时，则供方指定的该境外公司名下的所有合同法律后果、责任和风险转由供方承担，供方无条件接受。供方指定的</w:t>
      </w:r>
      <w:r>
        <w:rPr>
          <w:rFonts w:hint="eastAsia" w:ascii="楷体_GB2312" w:hAnsi="宋体" w:eastAsia="楷体_GB2312" w:cs="Times New Roman"/>
          <w:b w:val="0"/>
          <w:color w:val="FF0000"/>
          <w:kern w:val="2"/>
          <w:sz w:val="24"/>
          <w:szCs w:val="24"/>
          <w:lang w:val="en-US" w:eastAsia="zh-CN" w:bidi="ar-SA"/>
        </w:rPr>
        <w:t>境外公司</w:t>
      </w:r>
      <w:r>
        <w:rPr>
          <w:rFonts w:hint="eastAsia" w:ascii="楷体_GB2312" w:hAnsi="宋体" w:eastAsia="楷体_GB2312" w:cs="Times New Roman"/>
          <w:b w:val="0"/>
          <w:color w:val="000000"/>
          <w:kern w:val="2"/>
          <w:sz w:val="24"/>
          <w:szCs w:val="24"/>
          <w:lang w:val="en-US" w:eastAsia="zh-CN" w:bidi="ar-SA"/>
        </w:rPr>
        <w:t>（如需要多家供货请按《报价明细表》中的货物分别列出）</w:t>
      </w:r>
      <w:r>
        <w:rPr>
          <w:rFonts w:hint="eastAsia" w:ascii="楷体_GB2312" w:hAnsi="宋体" w:eastAsia="楷体_GB2312" w:cs="Times New Roman"/>
          <w:b w:val="0"/>
          <w:color w:val="FF0000"/>
          <w:kern w:val="2"/>
          <w:sz w:val="24"/>
          <w:szCs w:val="24"/>
          <w:lang w:val="en-US" w:eastAsia="zh-CN" w:bidi="ar-SA"/>
        </w:rPr>
        <w:t>详细信息如下（</w:t>
      </w:r>
      <w:r>
        <w:rPr>
          <w:rFonts w:hint="eastAsia" w:ascii="楷体_GB2312" w:hAnsi="宋体" w:eastAsia="楷体_GB2312" w:cs="Times New Roman"/>
          <w:b w:val="0"/>
          <w:color w:val="0070C0"/>
          <w:kern w:val="2"/>
          <w:sz w:val="24"/>
          <w:szCs w:val="24"/>
          <w:lang w:val="en-US" w:eastAsia="zh-CN" w:bidi="ar-SA"/>
        </w:rPr>
        <w:t>项目成交后草拟合同时填写</w:t>
      </w:r>
      <w:r>
        <w:rPr>
          <w:rFonts w:hint="eastAsia" w:ascii="楷体_GB2312" w:hAnsi="宋体" w:eastAsia="楷体_GB2312" w:cs="Times New Roman"/>
          <w:b w:val="0"/>
          <w:color w:val="FF0000"/>
          <w:kern w:val="2"/>
          <w:sz w:val="24"/>
          <w:szCs w:val="24"/>
          <w:lang w:val="en-US" w:eastAsia="zh-CN" w:bidi="ar-SA"/>
        </w:rPr>
        <w:t>）</w:t>
      </w:r>
      <w:r>
        <w:rPr>
          <w:rFonts w:hint="eastAsia" w:ascii="楷体_GB2312" w:hAnsi="宋体" w:eastAsia="楷体_GB2312" w:cs="Times New Roman"/>
          <w:b w:val="0"/>
          <w:color w:val="000000"/>
          <w:kern w:val="2"/>
          <w:sz w:val="24"/>
          <w:szCs w:val="24"/>
          <w:lang w:val="en-US" w:eastAsia="zh-CN" w:bidi="ar-SA"/>
        </w:rPr>
        <w:t>：</w:t>
      </w:r>
    </w:p>
    <w:p>
      <w:pPr>
        <w:widowControl w:val="0"/>
        <w:ind w:firstLine="480" w:firstLineChars="200"/>
        <w:jc w:val="both"/>
        <w:rPr>
          <w:rFonts w:ascii="楷体_GB2312" w:hAnsi="宋体" w:eastAsia="楷体_GB2312" w:cs="Times New Roman"/>
          <w:color w:val="000000"/>
          <w:kern w:val="2"/>
          <w:sz w:val="24"/>
          <w:szCs w:val="24"/>
          <w:lang w:val="en-US" w:eastAsia="zh-CN" w:bidi="ar-SA"/>
        </w:rPr>
      </w:pPr>
      <w:r>
        <w:rPr>
          <w:rFonts w:hint="eastAsia" w:ascii="楷体_GB2312" w:hAnsi="宋体" w:eastAsia="楷体_GB2312" w:cs="Times New Roman"/>
          <w:color w:val="000000"/>
          <w:kern w:val="2"/>
          <w:sz w:val="24"/>
          <w:szCs w:val="24"/>
          <w:lang w:val="en-US" w:eastAsia="zh-CN" w:bidi="ar-SA"/>
        </w:rPr>
        <w:t>货物：合同项内所有货物</w:t>
      </w:r>
    </w:p>
    <w:p>
      <w:pPr>
        <w:widowControl w:val="0"/>
        <w:ind w:firstLine="480" w:firstLineChars="200"/>
        <w:jc w:val="both"/>
        <w:rPr>
          <w:rFonts w:ascii="楷体_GB2312" w:hAnsi="宋体" w:eastAsia="楷体_GB2312" w:cs="Times New Roman"/>
          <w:color w:val="000000"/>
          <w:kern w:val="2"/>
          <w:sz w:val="24"/>
          <w:szCs w:val="24"/>
          <w:lang w:val="en-US" w:eastAsia="zh-CN" w:bidi="ar-SA"/>
        </w:rPr>
      </w:pPr>
      <w:r>
        <w:rPr>
          <w:rFonts w:hint="eastAsia" w:ascii="楷体_GB2312" w:hAnsi="宋体" w:eastAsia="楷体_GB2312" w:cs="Times New Roman"/>
          <w:color w:val="000000"/>
          <w:kern w:val="2"/>
          <w:sz w:val="24"/>
          <w:szCs w:val="24"/>
          <w:lang w:val="en-US" w:eastAsia="zh-CN" w:bidi="ar-SA"/>
        </w:rPr>
        <w:t>货物原产地和制造商：</w:t>
      </w:r>
    </w:p>
    <w:p>
      <w:pPr>
        <w:widowControl w:val="0"/>
        <w:ind w:firstLine="480" w:firstLineChars="200"/>
        <w:jc w:val="both"/>
        <w:rPr>
          <w:rFonts w:ascii="楷体_GB2312" w:hAnsi="宋体" w:eastAsia="楷体_GB2312" w:cs="Times New Roman"/>
          <w:color w:val="000000"/>
          <w:kern w:val="2"/>
          <w:sz w:val="24"/>
          <w:szCs w:val="24"/>
          <w:lang w:val="en-US" w:eastAsia="zh-CN" w:bidi="ar-SA"/>
        </w:rPr>
      </w:pPr>
      <w:r>
        <w:rPr>
          <w:rFonts w:hint="eastAsia" w:ascii="楷体_GB2312" w:hAnsi="宋体" w:eastAsia="楷体_GB2312" w:cs="Times New Roman"/>
          <w:color w:val="000000"/>
          <w:kern w:val="2"/>
          <w:sz w:val="24"/>
          <w:szCs w:val="24"/>
          <w:lang w:val="en-US" w:eastAsia="zh-CN" w:bidi="ar-SA"/>
        </w:rPr>
        <w:t>运输方式、装运港和目的港：</w:t>
      </w:r>
    </w:p>
    <w:p>
      <w:pPr>
        <w:widowControl w:val="0"/>
        <w:ind w:firstLine="480" w:firstLineChars="200"/>
        <w:jc w:val="both"/>
        <w:rPr>
          <w:rFonts w:ascii="楷体_GB2312" w:hAnsi="宋体" w:eastAsia="楷体_GB2312" w:cs="Times New Roman"/>
          <w:color w:val="000000"/>
          <w:kern w:val="2"/>
          <w:sz w:val="24"/>
          <w:szCs w:val="24"/>
          <w:lang w:val="en-US" w:eastAsia="zh-CN" w:bidi="ar-SA"/>
        </w:rPr>
      </w:pPr>
      <w:r>
        <w:rPr>
          <w:rFonts w:hint="eastAsia" w:ascii="楷体_GB2312" w:hAnsi="宋体" w:eastAsia="楷体_GB2312" w:cs="Times New Roman"/>
          <w:color w:val="000000"/>
          <w:kern w:val="2"/>
          <w:sz w:val="24"/>
          <w:szCs w:val="24"/>
          <w:lang w:val="en-US" w:eastAsia="zh-CN" w:bidi="ar-SA"/>
        </w:rPr>
        <w:t>境外公司名称：</w:t>
      </w:r>
    </w:p>
    <w:p>
      <w:pPr>
        <w:widowControl w:val="0"/>
        <w:ind w:firstLine="480" w:firstLineChars="200"/>
        <w:jc w:val="both"/>
        <w:rPr>
          <w:rFonts w:ascii="楷体_GB2312" w:hAnsi="宋体" w:eastAsia="楷体_GB2312" w:cs="Times New Roman"/>
          <w:color w:val="000000"/>
          <w:kern w:val="2"/>
          <w:sz w:val="24"/>
          <w:szCs w:val="24"/>
          <w:lang w:val="en-US" w:eastAsia="zh-CN" w:bidi="ar-SA"/>
        </w:rPr>
      </w:pPr>
      <w:r>
        <w:rPr>
          <w:rFonts w:hint="eastAsia" w:ascii="楷体_GB2312" w:hAnsi="宋体" w:eastAsia="楷体_GB2312" w:cs="Times New Roman"/>
          <w:color w:val="000000"/>
          <w:kern w:val="2"/>
          <w:sz w:val="24"/>
          <w:szCs w:val="24"/>
          <w:lang w:val="en-US" w:eastAsia="zh-CN" w:bidi="ar-SA"/>
        </w:rPr>
        <w:t>联系人姓名:</w:t>
      </w:r>
    </w:p>
    <w:p>
      <w:pPr>
        <w:widowControl w:val="0"/>
        <w:ind w:firstLine="480" w:firstLineChars="200"/>
        <w:jc w:val="both"/>
        <w:rPr>
          <w:rFonts w:ascii="楷体_GB2312" w:hAnsi="宋体" w:eastAsia="楷体_GB2312" w:cs="Times New Roman"/>
          <w:color w:val="000000"/>
          <w:kern w:val="2"/>
          <w:sz w:val="24"/>
          <w:szCs w:val="24"/>
          <w:lang w:val="en-US" w:eastAsia="zh-CN" w:bidi="ar-SA"/>
        </w:rPr>
      </w:pPr>
      <w:r>
        <w:rPr>
          <w:rFonts w:hint="eastAsia" w:ascii="楷体_GB2312" w:hAnsi="宋体" w:eastAsia="楷体_GB2312" w:cs="Times New Roman"/>
          <w:color w:val="000000"/>
          <w:kern w:val="2"/>
          <w:sz w:val="24"/>
          <w:szCs w:val="24"/>
          <w:lang w:val="en-US" w:eastAsia="zh-CN" w:bidi="ar-SA"/>
        </w:rPr>
        <w:t>联系人电话:</w:t>
      </w:r>
    </w:p>
    <w:p>
      <w:pPr>
        <w:widowControl w:val="0"/>
        <w:ind w:firstLine="480" w:firstLineChars="200"/>
        <w:jc w:val="both"/>
        <w:rPr>
          <w:rFonts w:ascii="楷体_GB2312" w:hAnsi="宋体" w:eastAsia="楷体_GB2312" w:cs="Times New Roman"/>
          <w:color w:val="000000"/>
          <w:kern w:val="2"/>
          <w:sz w:val="24"/>
          <w:szCs w:val="24"/>
          <w:lang w:val="en-US" w:eastAsia="zh-CN" w:bidi="ar-SA"/>
        </w:rPr>
      </w:pPr>
      <w:r>
        <w:rPr>
          <w:rFonts w:hint="eastAsia" w:ascii="楷体_GB2312" w:hAnsi="宋体" w:eastAsia="楷体_GB2312" w:cs="Times New Roman"/>
          <w:color w:val="000000"/>
          <w:kern w:val="2"/>
          <w:sz w:val="24"/>
          <w:szCs w:val="24"/>
          <w:lang w:val="en-US" w:eastAsia="zh-CN" w:bidi="ar-SA"/>
        </w:rPr>
        <w:t>联系人Email:</w:t>
      </w:r>
    </w:p>
    <w:p>
      <w:pPr>
        <w:widowControl w:val="0"/>
        <w:tabs>
          <w:tab w:val="left" w:pos="709"/>
        </w:tabs>
        <w:autoSpaceDE w:val="0"/>
        <w:autoSpaceDN w:val="0"/>
        <w:adjustRightInd w:val="0"/>
        <w:spacing w:line="360" w:lineRule="auto"/>
        <w:ind w:left="105" w:leftChars="50" w:firstLine="360" w:firstLineChars="150"/>
        <w:jc w:val="both"/>
        <w:textAlignment w:val="baseline"/>
        <w:outlineLvl w:val="2"/>
        <w:rPr>
          <w:rFonts w:ascii="楷体_GB2312" w:hAnsi="宋体" w:eastAsia="楷体_GB2312" w:cs="Times New Roman"/>
          <w:b/>
          <w:color w:val="000000"/>
          <w:kern w:val="0"/>
          <w:sz w:val="24"/>
          <w:szCs w:val="20"/>
          <w:lang w:val="en-US" w:eastAsia="zh-CN" w:bidi="ar-SA"/>
        </w:rPr>
      </w:pPr>
      <w:r>
        <w:rPr>
          <w:rFonts w:hint="eastAsia" w:ascii="楷体_GB2312" w:hAnsi="宋体" w:eastAsia="楷体_GB2312" w:cs="Times New Roman"/>
          <w:b w:val="0"/>
          <w:color w:val="000000"/>
          <w:kern w:val="2"/>
          <w:sz w:val="24"/>
          <w:szCs w:val="24"/>
          <w:lang w:val="en-US" w:eastAsia="zh-CN" w:bidi="ar-SA"/>
        </w:rPr>
        <w:t>需方付款的方式按</w:t>
      </w:r>
      <w:r>
        <w:rPr>
          <w:rFonts w:ascii="楷体_GB2312" w:hAnsi="宋体" w:eastAsia="楷体_GB2312" w:cs="Times New Roman"/>
          <w:b w:val="0"/>
          <w:color w:val="000000"/>
          <w:kern w:val="2"/>
          <w:sz w:val="24"/>
          <w:szCs w:val="24"/>
          <w:lang w:val="en-US" w:eastAsia="zh-CN" w:bidi="ar-SA"/>
        </w:rPr>
        <w:t>浙江大学采购中心</w:t>
      </w:r>
      <w:r>
        <w:rPr>
          <w:rFonts w:hint="eastAsia" w:ascii="楷体_GB2312" w:hAnsi="宋体" w:eastAsia="楷体_GB2312" w:cs="Times New Roman"/>
          <w:b w:val="0"/>
          <w:color w:val="000000"/>
          <w:kern w:val="2"/>
          <w:sz w:val="24"/>
          <w:szCs w:val="24"/>
          <w:lang w:val="en-US" w:eastAsia="zh-CN" w:bidi="ar-SA"/>
        </w:rPr>
        <w:t>与外贸代理公司签订的代理协议</w:t>
      </w:r>
      <w:r>
        <w:rPr>
          <w:rFonts w:ascii="楷体_GB2312" w:hAnsi="宋体" w:eastAsia="楷体_GB2312" w:cs="Times New Roman"/>
          <w:b w:val="0"/>
          <w:color w:val="000000"/>
          <w:kern w:val="2"/>
          <w:sz w:val="24"/>
          <w:szCs w:val="24"/>
          <w:lang w:val="en-US" w:eastAsia="zh-CN" w:bidi="ar-SA"/>
        </w:rPr>
        <w:t>执行</w:t>
      </w:r>
      <w:r>
        <w:rPr>
          <w:rFonts w:hint="eastAsia" w:ascii="楷体_GB2312" w:hAnsi="宋体" w:eastAsia="楷体_GB2312" w:cs="Times New Roman"/>
          <w:b w:val="0"/>
          <w:color w:val="000000"/>
          <w:kern w:val="2"/>
          <w:sz w:val="24"/>
          <w:szCs w:val="24"/>
          <w:lang w:val="en-US" w:eastAsia="zh-CN" w:bidi="ar-SA"/>
        </w:rPr>
        <w:t>。</w:t>
      </w:r>
    </w:p>
    <w:p>
      <w:pPr>
        <w:widowControl w:val="0"/>
        <w:autoSpaceDE w:val="0"/>
        <w:autoSpaceDN w:val="0"/>
        <w:adjustRightInd w:val="0"/>
        <w:spacing w:line="360" w:lineRule="auto"/>
        <w:ind w:left="105" w:leftChars="50" w:firstLine="360" w:firstLineChars="150"/>
        <w:jc w:val="both"/>
        <w:textAlignment w:val="baseline"/>
        <w:outlineLvl w:val="2"/>
        <w:rPr>
          <w:rFonts w:ascii="楷体_GB2312" w:hAnsi="宋体" w:eastAsia="楷体_GB2312" w:cs="Times New Roman"/>
          <w:b w:val="0"/>
          <w:color w:val="000000"/>
          <w:kern w:val="2"/>
          <w:sz w:val="24"/>
          <w:szCs w:val="24"/>
          <w:lang w:val="en-US" w:eastAsia="zh-CN" w:bidi="ar-SA"/>
        </w:rPr>
      </w:pPr>
      <w:r>
        <w:rPr>
          <w:rFonts w:hint="eastAsia" w:ascii="楷体_GB2312" w:hAnsi="宋体" w:eastAsia="楷体_GB2312" w:cs="Times New Roman"/>
          <w:b w:val="0"/>
          <w:bCs/>
          <w:color w:val="000000"/>
          <w:kern w:val="0"/>
          <w:sz w:val="24"/>
          <w:szCs w:val="20"/>
          <w:lang w:val="en-US" w:eastAsia="zh-CN" w:bidi="ar-SA"/>
        </w:rPr>
        <w:t>4.</w:t>
      </w:r>
      <w:r>
        <w:rPr>
          <w:rFonts w:hint="eastAsia" w:ascii="楷体_GB2312" w:hAnsi="宋体" w:eastAsia="楷体_GB2312" w:cs="Times New Roman"/>
          <w:b w:val="0"/>
          <w:color w:val="000000"/>
          <w:kern w:val="2"/>
          <w:sz w:val="24"/>
          <w:szCs w:val="24"/>
          <w:lang w:val="en-US" w:eastAsia="zh-CN" w:bidi="ar-SA"/>
        </w:rPr>
        <w:t>供方须提供增值税专用发票、验收合格报告和原产地证明等材料。因供方未按约及时提供相关材料导致需方迟延付款的，不视为需方逾期付款，供方不得因此向需方主张承担逾期付款违约责任。</w:t>
      </w:r>
    </w:p>
    <w:p>
      <w:pPr>
        <w:autoSpaceDE w:val="0"/>
        <w:autoSpaceDN w:val="0"/>
        <w:adjustRightInd w:val="0"/>
        <w:spacing w:line="360" w:lineRule="auto"/>
        <w:ind w:firstLine="480" w:firstLineChars="200"/>
        <w:rPr>
          <w:rFonts w:ascii="楷体_GB2312" w:hAnsi="宋体" w:eastAsia="楷体_GB2312" w:cs="Times New Roman"/>
          <w:color w:val="000000"/>
          <w:sz w:val="24"/>
          <w:szCs w:val="24"/>
        </w:rPr>
      </w:pPr>
      <w:r>
        <w:rPr>
          <w:rFonts w:hint="eastAsia" w:ascii="楷体_GB2312" w:hAnsi="宋体" w:eastAsia="楷体_GB2312" w:cs="Times New Roman"/>
          <w:color w:val="000000"/>
          <w:sz w:val="24"/>
          <w:szCs w:val="24"/>
        </w:rPr>
        <w:t>5.履约保证金（如有）在货物验收合格后在无质量及服务问题的情况下由供方发起办理无息退还的手续。</w:t>
      </w:r>
    </w:p>
    <w:p>
      <w:pPr>
        <w:tabs>
          <w:tab w:val="left" w:pos="360"/>
        </w:tabs>
        <w:spacing w:line="360" w:lineRule="auto"/>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第八条 质保期及售后服务承诺</w:t>
      </w:r>
    </w:p>
    <w:p>
      <w:pPr>
        <w:widowControl w:val="0"/>
        <w:spacing w:after="120"/>
        <w:ind w:firstLine="480" w:firstLineChars="200"/>
        <w:jc w:val="both"/>
        <w:rPr>
          <w:rFonts w:ascii="楷体_GB2312" w:hAnsi="Times New Roman" w:eastAsia="楷体_GB2312" w:cs="Times New Roman"/>
          <w:color w:val="000000"/>
          <w:kern w:val="2"/>
          <w:sz w:val="24"/>
          <w:szCs w:val="24"/>
          <w:lang w:val="en-US" w:eastAsia="zh-CN" w:bidi="ar-SA"/>
        </w:rPr>
      </w:pPr>
      <w:r>
        <w:rPr>
          <w:rFonts w:hint="eastAsia" w:ascii="楷体_GB2312" w:hAnsi="Times New Roman" w:eastAsia="楷体_GB2312" w:cs="Times New Roman"/>
          <w:color w:val="000000"/>
          <w:kern w:val="2"/>
          <w:sz w:val="24"/>
          <w:szCs w:val="24"/>
          <w:lang w:val="en-US" w:eastAsia="zh-CN" w:bidi="ar-SA"/>
        </w:rPr>
        <w:t>详见第一条所述之相关文件。</w:t>
      </w:r>
    </w:p>
    <w:p>
      <w:pPr>
        <w:spacing w:line="360" w:lineRule="auto"/>
        <w:rPr>
          <w:rFonts w:ascii="楷体_GB2312" w:hAnsi="Times New Roman" w:eastAsia="楷体_GB2312" w:cs="Times New Roman"/>
          <w:b/>
          <w:bCs/>
          <w:color w:val="000000"/>
          <w:sz w:val="24"/>
          <w:szCs w:val="24"/>
        </w:rPr>
      </w:pPr>
      <w:r>
        <w:rPr>
          <w:rFonts w:hint="eastAsia" w:ascii="楷体_GB2312" w:hAnsi="Times New Roman" w:eastAsia="楷体_GB2312" w:cs="Times New Roman"/>
          <w:b/>
          <w:bCs/>
          <w:color w:val="000000"/>
          <w:sz w:val="24"/>
          <w:szCs w:val="24"/>
        </w:rPr>
        <w:t>第九条 违约处理</w:t>
      </w:r>
    </w:p>
    <w:p>
      <w:pPr>
        <w:tabs>
          <w:tab w:val="left" w:pos="360"/>
        </w:tabs>
        <w:spacing w:line="360" w:lineRule="auto"/>
        <w:ind w:firstLine="360" w:firstLineChars="15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1.如供方提供的货物全部或部分验收不合格，需方有权解除本合同，供方应在接到需方的通知后10天内将不合格的货物撤出现场，并向需方支付不合格货物总价的20％作为违约金。</w:t>
      </w:r>
    </w:p>
    <w:p>
      <w:pPr>
        <w:tabs>
          <w:tab w:val="left" w:pos="360"/>
        </w:tabs>
        <w:spacing w:line="360" w:lineRule="auto"/>
        <w:ind w:firstLine="360" w:firstLineChars="15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2.供方逾期供货，自逾期之日起，每天应向需方支付合同总价万分之</w:t>
      </w:r>
      <w:r>
        <w:rPr>
          <w:rFonts w:hint="eastAsia" w:ascii="楷体_GB2312" w:hAnsi="Times New Roman" w:eastAsia="楷体_GB2312" w:cs="Times New Roman"/>
          <w:bCs/>
          <w:color w:val="FF0000"/>
          <w:sz w:val="24"/>
          <w:szCs w:val="24"/>
        </w:rPr>
        <w:t>五</w:t>
      </w:r>
      <w:r>
        <w:rPr>
          <w:rFonts w:hint="eastAsia" w:ascii="楷体_GB2312" w:hAnsi="Times New Roman" w:eastAsia="楷体_GB2312" w:cs="Times New Roman"/>
          <w:bCs/>
          <w:color w:val="000000"/>
          <w:sz w:val="24"/>
          <w:szCs w:val="24"/>
        </w:rPr>
        <w:t>的违约金。如逾期超过30天，需方有权解除本合同，供方还应向需方支付合同总价百分之</w:t>
      </w:r>
      <w:r>
        <w:rPr>
          <w:rFonts w:hint="eastAsia" w:ascii="楷体_GB2312" w:hAnsi="Times New Roman" w:eastAsia="楷体_GB2312" w:cs="Times New Roman"/>
          <w:bCs/>
          <w:color w:val="FF0000"/>
          <w:sz w:val="24"/>
          <w:szCs w:val="24"/>
        </w:rPr>
        <w:t>五</w:t>
      </w:r>
      <w:r>
        <w:rPr>
          <w:rFonts w:hint="eastAsia" w:ascii="楷体_GB2312" w:hAnsi="Times New Roman" w:eastAsia="楷体_GB2312" w:cs="Times New Roman"/>
          <w:bCs/>
          <w:color w:val="000000"/>
          <w:sz w:val="24"/>
          <w:szCs w:val="24"/>
        </w:rPr>
        <w:t>的违约金。</w:t>
      </w:r>
    </w:p>
    <w:p>
      <w:pPr>
        <w:tabs>
          <w:tab w:val="left" w:pos="360"/>
        </w:tabs>
        <w:spacing w:line="360" w:lineRule="auto"/>
        <w:ind w:firstLine="360" w:firstLineChars="15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3.需方逾期付款，自逾期之日起，每天应向供方支付欠付总价万分之</w:t>
      </w:r>
      <w:r>
        <w:rPr>
          <w:rFonts w:hint="eastAsia" w:ascii="楷体_GB2312" w:hAnsi="Times New Roman" w:eastAsia="楷体_GB2312" w:cs="Times New Roman"/>
          <w:bCs/>
          <w:color w:val="FF0000"/>
          <w:sz w:val="24"/>
          <w:szCs w:val="24"/>
        </w:rPr>
        <w:t>五</w:t>
      </w:r>
      <w:r>
        <w:rPr>
          <w:rFonts w:hint="eastAsia" w:ascii="楷体_GB2312" w:hAnsi="Times New Roman" w:eastAsia="楷体_GB2312" w:cs="Times New Roman"/>
          <w:bCs/>
          <w:color w:val="000000"/>
          <w:sz w:val="24"/>
          <w:szCs w:val="24"/>
        </w:rPr>
        <w:t>的违约金。</w:t>
      </w:r>
    </w:p>
    <w:p>
      <w:pPr>
        <w:tabs>
          <w:tab w:val="left" w:pos="360"/>
        </w:tabs>
        <w:spacing w:line="360" w:lineRule="auto"/>
        <w:ind w:firstLine="360" w:firstLineChars="15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4.供方保证其交付的全部货物不会侵犯任何第三方的著作权、商标权、专利权等其他合法权利，否则，供方应承担全部法律责任。如需方因此遭受任何第三方的追索、索赔或诉讼的，则因此加诸于需方的一切责任及全部债务均由供方承担并清偿，供方并愿意赔偿需方因此受到的全部损失。</w:t>
      </w:r>
    </w:p>
    <w:p>
      <w:pPr>
        <w:tabs>
          <w:tab w:val="left" w:pos="360"/>
        </w:tabs>
        <w:spacing w:line="360" w:lineRule="auto"/>
        <w:ind w:firstLine="360" w:firstLineChars="15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5.供方或供方人员违反本合同约定的任何义务的，应承担需方因实现权利所支付的所有费用，包括但不限于调查取证费、鉴定费、公证费、评估费、担保费、律师费、仲裁费/诉讼费、公告费、保全费、执行费、律师代理费、差旅费等。</w:t>
      </w:r>
    </w:p>
    <w:p>
      <w:pPr>
        <w:tabs>
          <w:tab w:val="left" w:pos="360"/>
        </w:tabs>
        <w:spacing w:line="360" w:lineRule="auto"/>
        <w:ind w:firstLine="360" w:firstLineChars="150"/>
        <w:rPr>
          <w:rFonts w:ascii="楷体_GB2312" w:hAnsi="Times New Roman" w:eastAsia="楷体_GB2312" w:cs="Times New Roman"/>
          <w:bCs/>
          <w:color w:val="000000"/>
          <w:sz w:val="24"/>
          <w:szCs w:val="24"/>
        </w:rPr>
      </w:pPr>
      <w:r>
        <w:rPr>
          <w:rFonts w:hint="eastAsia" w:ascii="楷体_GB2312" w:hAnsi="Times New Roman" w:eastAsia="楷体_GB2312" w:cs="Times New Roman"/>
          <w:bCs/>
          <w:color w:val="000000"/>
          <w:sz w:val="24"/>
          <w:szCs w:val="24"/>
        </w:rPr>
        <w:t>6.供方存在违约情形的，需方有权从应付给供方的款项或供方交纳的保证金中直接扣除违约金、赔偿金等供方应付需方的全部费用。如保证金被扣减的，供方应在收到需方通知补足之日起3日内补足。</w:t>
      </w:r>
    </w:p>
    <w:p>
      <w:pPr>
        <w:spacing w:line="360" w:lineRule="auto"/>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第十条 其他约定事项</w:t>
      </w:r>
    </w:p>
    <w:p>
      <w:pPr>
        <w:tabs>
          <w:tab w:val="left" w:pos="360"/>
        </w:tabs>
        <w:spacing w:line="360" w:lineRule="auto"/>
        <w:ind w:firstLine="360" w:firstLineChars="15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1.需方负责</w:t>
      </w:r>
      <w:r>
        <w:rPr>
          <w:rFonts w:ascii="楷体_GB2312" w:hAnsi="Times New Roman" w:eastAsia="楷体_GB2312" w:cs="Times New Roman"/>
          <w:color w:val="000000"/>
          <w:sz w:val="24"/>
          <w:szCs w:val="24"/>
        </w:rPr>
        <w:t>按本合同第一条所述相应文本中的约定</w:t>
      </w:r>
      <w:r>
        <w:rPr>
          <w:rFonts w:hint="eastAsia" w:ascii="楷体_GB2312" w:hAnsi="Times New Roman" w:eastAsia="楷体_GB2312" w:cs="Times New Roman"/>
          <w:color w:val="000000"/>
          <w:sz w:val="24"/>
          <w:szCs w:val="24"/>
        </w:rPr>
        <w:t>提供货物的存放和现场施工条件（电、水、工作时间及工具和材料的存放房间）。</w:t>
      </w:r>
    </w:p>
    <w:p>
      <w:pPr>
        <w:tabs>
          <w:tab w:val="left" w:pos="360"/>
        </w:tabs>
        <w:spacing w:line="360" w:lineRule="auto"/>
        <w:ind w:firstLine="360" w:firstLineChars="15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2.供方应指定专人负责与需方的联络和安装现场协调事宜。</w:t>
      </w:r>
    </w:p>
    <w:p>
      <w:pPr>
        <w:tabs>
          <w:tab w:val="left" w:pos="360"/>
        </w:tabs>
        <w:spacing w:line="360" w:lineRule="auto"/>
        <w:ind w:firstLine="360" w:firstLineChars="150"/>
        <w:rPr>
          <w:rFonts w:ascii="楷体_GB2312" w:hAnsi="Times New Roman" w:eastAsia="楷体_GB2312" w:cs="Times New Roman"/>
          <w:color w:val="000000"/>
          <w:sz w:val="24"/>
          <w:szCs w:val="24"/>
        </w:rPr>
      </w:pPr>
      <w:r>
        <w:rPr>
          <w:rFonts w:ascii="楷体_GB2312" w:hAnsi="Times New Roman" w:eastAsia="楷体_GB2312" w:cs="Times New Roman"/>
          <w:color w:val="000000"/>
          <w:sz w:val="24"/>
          <w:szCs w:val="24"/>
        </w:rPr>
        <w:t>3.</w:t>
      </w:r>
      <w:r>
        <w:rPr>
          <w:rFonts w:hint="eastAsia" w:ascii="楷体_GB2312" w:hAnsi="Times New Roman" w:eastAsia="楷体_GB2312" w:cs="Times New Roman"/>
          <w:color w:val="000000"/>
          <w:sz w:val="24"/>
          <w:szCs w:val="24"/>
        </w:rPr>
        <w:t xml:space="preserve"> 供方应当对在签订、履行本合同过程中知悉或获得的所有有关需方的信息、文件、资料、数据，以及需方提供的数据等信息（即“保密信息”）予以保密，未经需方书面同意，供方不得将保密信息用于本合同以外的目的，并不得将其泄漏给任何第三方。</w:t>
      </w:r>
    </w:p>
    <w:p>
      <w:pPr>
        <w:spacing w:line="360" w:lineRule="auto"/>
        <w:rPr>
          <w:rFonts w:ascii="楷体_GB2312" w:hAnsi="宋体" w:eastAsia="楷体_GB2312" w:cs="Times New Roman"/>
          <w:b/>
          <w:bCs/>
          <w:color w:val="000000"/>
          <w:sz w:val="24"/>
          <w:szCs w:val="24"/>
        </w:rPr>
      </w:pPr>
      <w:r>
        <w:rPr>
          <w:rFonts w:hint="eastAsia" w:ascii="楷体_GB2312" w:hAnsi="宋体" w:eastAsia="楷体_GB2312" w:cs="Times New Roman"/>
          <w:b/>
          <w:bCs/>
          <w:color w:val="000000"/>
          <w:sz w:val="24"/>
          <w:szCs w:val="24"/>
        </w:rPr>
        <w:t>第十一条 争议解决</w:t>
      </w:r>
    </w:p>
    <w:p>
      <w:pPr>
        <w:spacing w:line="360" w:lineRule="auto"/>
        <w:ind w:firstLine="480" w:firstLineChars="20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本合同，在发生所供商品的质量、售后服务等问题时，需方有权直接向供方索赔，签订必要的书面处理协议，如协商不成，双方均同意将本合同引起的争议提交杭州仲裁委员会仲裁解决，仲裁为终局。</w:t>
      </w:r>
    </w:p>
    <w:p>
      <w:pPr>
        <w:spacing w:line="360" w:lineRule="auto"/>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第十</w:t>
      </w:r>
      <w:r>
        <w:rPr>
          <w:rFonts w:hint="eastAsia" w:ascii="楷体_GB2312" w:hAnsi="宋体" w:eastAsia="楷体_GB2312" w:cs="Times New Roman"/>
          <w:b/>
          <w:bCs/>
          <w:color w:val="000000"/>
          <w:sz w:val="24"/>
          <w:szCs w:val="24"/>
        </w:rPr>
        <w:t>二</w:t>
      </w:r>
      <w:r>
        <w:rPr>
          <w:rFonts w:hint="eastAsia" w:ascii="楷体_GB2312" w:hAnsi="Times New Roman" w:eastAsia="楷体_GB2312" w:cs="Times New Roman"/>
          <w:b/>
          <w:color w:val="000000"/>
          <w:sz w:val="24"/>
          <w:szCs w:val="24"/>
        </w:rPr>
        <w:t>条 合同生效</w:t>
      </w:r>
    </w:p>
    <w:p>
      <w:pPr>
        <w:spacing w:line="360" w:lineRule="auto"/>
        <w:ind w:firstLine="360" w:firstLineChars="15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 xml:space="preserve">1.本合同正文及附件共 </w:t>
      </w:r>
      <w:r>
        <w:rPr>
          <w:rFonts w:ascii="楷体_GB2312" w:hAnsi="Times New Roman" w:eastAsia="楷体_GB2312" w:cs="Times New Roman"/>
          <w:color w:val="000000"/>
          <w:sz w:val="24"/>
          <w:szCs w:val="24"/>
        </w:rPr>
        <w:t xml:space="preserve">  </w:t>
      </w:r>
      <w:r>
        <w:rPr>
          <w:rFonts w:hint="eastAsia" w:ascii="楷体_GB2312" w:hAnsi="Times New Roman" w:eastAsia="楷体_GB2312" w:cs="Times New Roman"/>
          <w:color w:val="000000"/>
          <w:sz w:val="24"/>
          <w:szCs w:val="24"/>
        </w:rPr>
        <w:t>页。</w:t>
      </w:r>
    </w:p>
    <w:p>
      <w:pPr>
        <w:spacing w:line="360" w:lineRule="auto"/>
        <w:ind w:firstLine="360" w:firstLineChars="15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2.本合同经供方、需方、采购方签字盖章后生效。</w:t>
      </w:r>
    </w:p>
    <w:p>
      <w:pPr>
        <w:spacing w:line="360" w:lineRule="auto"/>
        <w:ind w:firstLine="360" w:firstLineChars="15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3.本合同一式四份，供方、需方各执壹份、浙江大学采购中心执两份，具有同等法律效力。</w:t>
      </w:r>
    </w:p>
    <w:p>
      <w:pPr>
        <w:spacing w:line="360" w:lineRule="auto"/>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第十三条 合同公示</w:t>
      </w:r>
    </w:p>
    <w:p>
      <w:pPr>
        <w:spacing w:line="360" w:lineRule="auto"/>
        <w:ind w:firstLine="42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双方同意，本合同及其附件，将根据要求进行公示。</w:t>
      </w:r>
    </w:p>
    <w:p>
      <w:pPr>
        <w:widowControl w:val="0"/>
        <w:spacing w:after="120"/>
        <w:jc w:val="center"/>
        <w:rPr>
          <w:rFonts w:ascii="Times New Roman" w:hAnsi="Times New Roman" w:eastAsia="楷体_GB2312" w:cs="Times New Roman"/>
          <w:kern w:val="2"/>
          <w:sz w:val="21"/>
          <w:szCs w:val="24"/>
          <w:lang w:val="en-US" w:eastAsia="zh-CN" w:bidi="ar-SA"/>
        </w:rPr>
      </w:pPr>
      <w:r>
        <w:rPr>
          <w:rFonts w:hint="eastAsia" w:ascii="楷体_GB2312" w:hAnsi="Times New Roman" w:eastAsia="楷体_GB2312" w:cs="Times New Roman"/>
          <w:color w:val="000000"/>
          <w:kern w:val="2"/>
          <w:sz w:val="24"/>
          <w:szCs w:val="24"/>
          <w:lang w:val="en-US" w:eastAsia="zh-CN" w:bidi="ar-SA"/>
        </w:rPr>
        <w:t>--以下无正文，转签章页--</w:t>
      </w:r>
    </w:p>
    <w:p>
      <w:pPr>
        <w:spacing w:line="360" w:lineRule="auto"/>
        <w:ind w:firstLine="360" w:firstLineChars="150"/>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br w:type="page"/>
      </w:r>
      <w:r>
        <w:rPr>
          <w:rFonts w:hint="eastAsia" w:ascii="楷体_GB2312" w:hAnsi="Times New Roman" w:eastAsia="楷体_GB2312" w:cs="Times New Roman"/>
          <w:color w:val="000000"/>
          <w:sz w:val="24"/>
          <w:szCs w:val="24"/>
        </w:rPr>
        <w:t>本页无正文，为《货物采购合同》签署页</w:t>
      </w:r>
    </w:p>
    <w:tbl>
      <w:tblPr>
        <w:tblStyle w:val="24"/>
        <w:tblW w:w="0" w:type="auto"/>
        <w:tblInd w:w="468" w:type="dxa"/>
        <w:tblLayout w:type="fixed"/>
        <w:tblCellMar>
          <w:top w:w="0" w:type="dxa"/>
          <w:left w:w="108" w:type="dxa"/>
          <w:bottom w:w="0" w:type="dxa"/>
          <w:right w:w="108" w:type="dxa"/>
        </w:tblCellMar>
      </w:tblPr>
      <w:tblGrid>
        <w:gridCol w:w="4175"/>
        <w:gridCol w:w="4105"/>
      </w:tblGrid>
      <w:tr>
        <w:tblPrEx>
          <w:tblCellMar>
            <w:top w:w="0" w:type="dxa"/>
            <w:left w:w="108" w:type="dxa"/>
            <w:bottom w:w="0" w:type="dxa"/>
            <w:right w:w="108" w:type="dxa"/>
          </w:tblCellMar>
        </w:tblPrEx>
        <w:trPr>
          <w:trHeight w:val="632" w:hRule="atLeast"/>
        </w:trPr>
        <w:tc>
          <w:tcPr>
            <w:tcW w:w="4175" w:type="dxa"/>
          </w:tcPr>
          <w:p>
            <w:pPr>
              <w:spacing w:line="360" w:lineRule="auto"/>
              <w:rPr>
                <w:rFonts w:ascii="楷体_GB2312" w:hAnsi="Times New Roman" w:eastAsia="楷体_GB2312" w:cs="Times New Roman"/>
                <w:color w:val="002060"/>
                <w:sz w:val="24"/>
                <w:szCs w:val="24"/>
              </w:rPr>
            </w:pPr>
          </w:p>
          <w:p>
            <w:pPr>
              <w:spacing w:line="360" w:lineRule="auto"/>
              <w:rPr>
                <w:rFonts w:ascii="楷体_GB2312" w:hAnsi="Times New Roman" w:eastAsia="楷体_GB2312" w:cs="Times New Roman"/>
                <w:color w:val="002060"/>
                <w:sz w:val="24"/>
                <w:szCs w:val="24"/>
              </w:rPr>
            </w:pPr>
            <w:r>
              <w:rPr>
                <w:rFonts w:hint="eastAsia" w:ascii="楷体_GB2312" w:hAnsi="Times New Roman" w:eastAsia="楷体_GB2312" w:cs="Times New Roman"/>
                <w:color w:val="002060"/>
                <w:sz w:val="24"/>
                <w:szCs w:val="24"/>
              </w:rPr>
              <w:t>需方：（公章）</w:t>
            </w:r>
            <w:r>
              <w:rPr>
                <w:rFonts w:hint="eastAsia" w:ascii="楷体_GB2312" w:hAnsi="Times New Roman" w:eastAsia="楷体_GB2312" w:cs="Times New Roman"/>
                <w:color w:val="002060"/>
                <w:sz w:val="24"/>
                <w:szCs w:val="24"/>
              </w:rPr>
              <w:tab/>
            </w:r>
            <w:r>
              <w:rPr>
                <w:rFonts w:hint="eastAsia" w:ascii="楷体_GB2312" w:hAnsi="Times New Roman" w:eastAsia="楷体_GB2312" w:cs="Times New Roman"/>
                <w:color w:val="002060"/>
                <w:sz w:val="24"/>
                <w:szCs w:val="24"/>
              </w:rPr>
              <w:tab/>
            </w:r>
            <w:r>
              <w:rPr>
                <w:rFonts w:hint="eastAsia" w:ascii="楷体_GB2312" w:hAnsi="Times New Roman" w:eastAsia="楷体_GB2312" w:cs="Times New Roman"/>
                <w:color w:val="002060"/>
                <w:sz w:val="24"/>
                <w:szCs w:val="24"/>
              </w:rPr>
              <w:tab/>
            </w:r>
            <w:r>
              <w:rPr>
                <w:rFonts w:hint="eastAsia" w:ascii="楷体_GB2312" w:hAnsi="Times New Roman" w:eastAsia="楷体_GB2312" w:cs="Times New Roman"/>
                <w:color w:val="002060"/>
                <w:sz w:val="24"/>
                <w:szCs w:val="24"/>
              </w:rPr>
              <w:tab/>
            </w:r>
          </w:p>
          <w:p>
            <w:pPr>
              <w:spacing w:line="360" w:lineRule="auto"/>
              <w:rPr>
                <w:rFonts w:ascii="楷体_GB2312" w:hAnsi="Times New Roman" w:eastAsia="楷体_GB2312" w:cs="Times New Roman"/>
                <w:color w:val="002060"/>
                <w:sz w:val="24"/>
                <w:szCs w:val="24"/>
              </w:rPr>
            </w:pPr>
          </w:p>
        </w:tc>
        <w:tc>
          <w:tcPr>
            <w:tcW w:w="4105" w:type="dxa"/>
          </w:tcPr>
          <w:p>
            <w:pPr>
              <w:spacing w:line="360" w:lineRule="auto"/>
              <w:rPr>
                <w:rFonts w:ascii="楷体_GB2312" w:hAnsi="Times New Roman" w:eastAsia="楷体_GB2312" w:cs="Times New Roman"/>
                <w:color w:val="000000"/>
                <w:sz w:val="24"/>
                <w:szCs w:val="24"/>
              </w:rPr>
            </w:pPr>
          </w:p>
          <w:p>
            <w:pPr>
              <w:spacing w:line="360" w:lineRule="auto"/>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供方：（公章或合同章）</w:t>
            </w:r>
          </w:p>
          <w:p>
            <w:pPr>
              <w:spacing w:line="360" w:lineRule="auto"/>
              <w:rPr>
                <w:rFonts w:ascii="楷体_GB2312" w:hAnsi="Times New Roman" w:eastAsia="楷体_GB2312" w:cs="Times New Roman"/>
                <w:color w:val="000000"/>
                <w:sz w:val="24"/>
                <w:szCs w:val="24"/>
              </w:rPr>
            </w:pPr>
          </w:p>
        </w:tc>
      </w:tr>
      <w:tr>
        <w:tblPrEx>
          <w:tblCellMar>
            <w:top w:w="0" w:type="dxa"/>
            <w:left w:w="108" w:type="dxa"/>
            <w:bottom w:w="0" w:type="dxa"/>
            <w:right w:w="108" w:type="dxa"/>
          </w:tblCellMar>
        </w:tblPrEx>
        <w:tc>
          <w:tcPr>
            <w:tcW w:w="4175" w:type="dxa"/>
          </w:tcPr>
          <w:p>
            <w:pPr>
              <w:spacing w:line="360" w:lineRule="auto"/>
              <w:rPr>
                <w:rFonts w:ascii="楷体_GB2312" w:hAnsi="Times New Roman" w:eastAsia="楷体_GB2312" w:cs="Times New Roman"/>
                <w:color w:val="002060"/>
                <w:sz w:val="24"/>
                <w:szCs w:val="24"/>
              </w:rPr>
            </w:pPr>
            <w:r>
              <w:rPr>
                <w:rFonts w:hint="eastAsia" w:ascii="楷体_GB2312" w:hAnsi="Times New Roman" w:eastAsia="楷体_GB2312" w:cs="Times New Roman"/>
                <w:color w:val="002060"/>
                <w:sz w:val="24"/>
                <w:szCs w:val="24"/>
              </w:rPr>
              <w:t>授权代表：</w:t>
            </w:r>
          </w:p>
        </w:tc>
        <w:tc>
          <w:tcPr>
            <w:tcW w:w="4105" w:type="dxa"/>
          </w:tcPr>
          <w:p>
            <w:pPr>
              <w:spacing w:line="360" w:lineRule="auto"/>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法定代表人或授权代表：</w:t>
            </w:r>
          </w:p>
        </w:tc>
      </w:tr>
      <w:tr>
        <w:tblPrEx>
          <w:tblCellMar>
            <w:top w:w="0" w:type="dxa"/>
            <w:left w:w="108" w:type="dxa"/>
            <w:bottom w:w="0" w:type="dxa"/>
            <w:right w:w="108" w:type="dxa"/>
          </w:tblCellMar>
        </w:tblPrEx>
        <w:tc>
          <w:tcPr>
            <w:tcW w:w="4175" w:type="dxa"/>
          </w:tcPr>
          <w:p>
            <w:pPr>
              <w:spacing w:line="360" w:lineRule="auto"/>
              <w:rPr>
                <w:rFonts w:ascii="楷体_GB2312" w:hAnsi="Times New Roman" w:eastAsia="楷体_GB2312" w:cs="Times New Roman"/>
                <w:color w:val="002060"/>
                <w:sz w:val="24"/>
                <w:szCs w:val="24"/>
              </w:rPr>
            </w:pPr>
            <w:r>
              <w:rPr>
                <w:rFonts w:hint="eastAsia" w:ascii="楷体_GB2312" w:hAnsi="Times New Roman" w:eastAsia="楷体_GB2312" w:cs="Times New Roman"/>
                <w:color w:val="002060"/>
                <w:sz w:val="24"/>
                <w:szCs w:val="24"/>
              </w:rPr>
              <w:t>(签字）</w:t>
            </w:r>
          </w:p>
        </w:tc>
        <w:tc>
          <w:tcPr>
            <w:tcW w:w="4105" w:type="dxa"/>
          </w:tcPr>
          <w:p>
            <w:pPr>
              <w:spacing w:line="360" w:lineRule="auto"/>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（签字）</w:t>
            </w:r>
          </w:p>
        </w:tc>
      </w:tr>
      <w:tr>
        <w:tblPrEx>
          <w:tblCellMar>
            <w:top w:w="0" w:type="dxa"/>
            <w:left w:w="108" w:type="dxa"/>
            <w:bottom w:w="0" w:type="dxa"/>
            <w:right w:w="108" w:type="dxa"/>
          </w:tblCellMar>
        </w:tblPrEx>
        <w:tc>
          <w:tcPr>
            <w:tcW w:w="4175" w:type="dxa"/>
          </w:tcPr>
          <w:p>
            <w:pPr>
              <w:spacing w:line="360" w:lineRule="auto"/>
              <w:rPr>
                <w:rFonts w:ascii="楷体_GB2312" w:hAnsi="Times New Roman" w:eastAsia="楷体_GB2312" w:cs="Times New Roman"/>
                <w:color w:val="002060"/>
                <w:sz w:val="24"/>
                <w:szCs w:val="24"/>
              </w:rPr>
            </w:pPr>
          </w:p>
          <w:p>
            <w:pPr>
              <w:spacing w:line="360" w:lineRule="auto"/>
              <w:rPr>
                <w:rFonts w:ascii="Times New Roman" w:hAnsi="Times New Roman" w:eastAsia="宋体" w:cs="Times New Roman"/>
                <w:color w:val="002060"/>
                <w:szCs w:val="24"/>
              </w:rPr>
            </w:pPr>
            <w:r>
              <w:rPr>
                <w:rFonts w:hint="eastAsia" w:ascii="楷体_GB2312" w:hAnsi="Times New Roman" w:eastAsia="楷体_GB2312" w:cs="Times New Roman"/>
                <w:color w:val="002060"/>
                <w:sz w:val="24"/>
                <w:szCs w:val="24"/>
              </w:rPr>
              <w:t>签字日期：    年     月    日</w:t>
            </w:r>
          </w:p>
        </w:tc>
        <w:tc>
          <w:tcPr>
            <w:tcW w:w="4105" w:type="dxa"/>
          </w:tcPr>
          <w:p>
            <w:pPr>
              <w:spacing w:line="360" w:lineRule="auto"/>
              <w:rPr>
                <w:rFonts w:ascii="楷体_GB2312" w:hAnsi="Times New Roman" w:eastAsia="楷体_GB2312" w:cs="Times New Roman"/>
                <w:color w:val="000000"/>
                <w:sz w:val="24"/>
                <w:szCs w:val="24"/>
              </w:rPr>
            </w:pPr>
          </w:p>
          <w:p>
            <w:pPr>
              <w:spacing w:line="360" w:lineRule="auto"/>
              <w:rPr>
                <w:rFonts w:ascii="楷体_GB2312" w:hAnsi="Times New Roman" w:eastAsia="楷体_GB2312" w:cs="Times New Roman"/>
                <w:color w:val="000000"/>
                <w:sz w:val="24"/>
                <w:szCs w:val="24"/>
              </w:rPr>
            </w:pPr>
            <w:r>
              <w:rPr>
                <w:rFonts w:hint="eastAsia" w:ascii="楷体_GB2312" w:hAnsi="Times New Roman" w:eastAsia="楷体_GB2312" w:cs="Times New Roman"/>
                <w:color w:val="000000"/>
                <w:sz w:val="24"/>
                <w:szCs w:val="24"/>
              </w:rPr>
              <w:t>签字日期：    年     月    日</w:t>
            </w:r>
          </w:p>
        </w:tc>
      </w:tr>
      <w:tr>
        <w:tblPrEx>
          <w:tblCellMar>
            <w:top w:w="0" w:type="dxa"/>
            <w:left w:w="108" w:type="dxa"/>
            <w:bottom w:w="0" w:type="dxa"/>
            <w:right w:w="108" w:type="dxa"/>
          </w:tblCellMar>
        </w:tblPrEx>
        <w:tc>
          <w:tcPr>
            <w:tcW w:w="4175" w:type="dxa"/>
          </w:tcPr>
          <w:p>
            <w:pPr>
              <w:spacing w:line="360" w:lineRule="auto"/>
              <w:rPr>
                <w:rFonts w:ascii="楷体_GB2312" w:hAnsi="Times New Roman" w:eastAsia="楷体_GB2312" w:cs="Times New Roman"/>
                <w:color w:val="000000"/>
                <w:sz w:val="24"/>
                <w:szCs w:val="24"/>
              </w:rPr>
            </w:pPr>
          </w:p>
        </w:tc>
        <w:tc>
          <w:tcPr>
            <w:tcW w:w="4105" w:type="dxa"/>
          </w:tcPr>
          <w:p>
            <w:pPr>
              <w:spacing w:line="360" w:lineRule="auto"/>
              <w:rPr>
                <w:rFonts w:ascii="楷体_GB2312" w:hAnsi="Times New Roman" w:eastAsia="楷体_GB2312" w:cs="Times New Roman"/>
                <w:color w:val="002060"/>
                <w:sz w:val="24"/>
                <w:szCs w:val="24"/>
              </w:rPr>
            </w:pPr>
          </w:p>
          <w:p>
            <w:pPr>
              <w:spacing w:line="360" w:lineRule="auto"/>
              <w:rPr>
                <w:rFonts w:ascii="楷体_GB2312" w:hAnsi="Times New Roman" w:eastAsia="楷体_GB2312" w:cs="Times New Roman"/>
                <w:color w:val="002060"/>
                <w:sz w:val="24"/>
                <w:szCs w:val="24"/>
              </w:rPr>
            </w:pPr>
            <w:r>
              <w:rPr>
                <w:rFonts w:hint="eastAsia" w:ascii="楷体_GB2312" w:hAnsi="Times New Roman" w:eastAsia="楷体_GB2312" w:cs="Times New Roman"/>
                <w:color w:val="002060"/>
                <w:sz w:val="24"/>
                <w:szCs w:val="24"/>
              </w:rPr>
              <w:t>采购方：</w:t>
            </w:r>
          </w:p>
          <w:p>
            <w:pPr>
              <w:spacing w:line="360" w:lineRule="auto"/>
              <w:rPr>
                <w:rFonts w:ascii="楷体_GB2312" w:hAnsi="Times New Roman" w:eastAsia="楷体_GB2312" w:cs="Times New Roman"/>
                <w:color w:val="002060"/>
                <w:sz w:val="24"/>
                <w:szCs w:val="24"/>
              </w:rPr>
            </w:pPr>
            <w:r>
              <w:rPr>
                <w:rFonts w:hint="eastAsia" w:ascii="楷体_GB2312" w:hAnsi="Times New Roman" w:eastAsia="楷体_GB2312" w:cs="Times New Roman"/>
                <w:color w:val="002060"/>
                <w:sz w:val="24"/>
                <w:szCs w:val="24"/>
              </w:rPr>
              <w:t>（浙江大学集中采购合同专用章）</w:t>
            </w:r>
          </w:p>
          <w:p>
            <w:pPr>
              <w:spacing w:line="360" w:lineRule="auto"/>
              <w:rPr>
                <w:rFonts w:ascii="楷体_GB2312" w:hAnsi="Times New Roman" w:eastAsia="楷体_GB2312" w:cs="Times New Roman"/>
                <w:color w:val="002060"/>
                <w:sz w:val="24"/>
                <w:szCs w:val="24"/>
              </w:rPr>
            </w:pPr>
          </w:p>
          <w:p>
            <w:pPr>
              <w:spacing w:line="360" w:lineRule="auto"/>
              <w:rPr>
                <w:rFonts w:ascii="楷体_GB2312" w:hAnsi="Times New Roman" w:eastAsia="楷体_GB2312" w:cs="Times New Roman"/>
                <w:color w:val="002060"/>
                <w:sz w:val="24"/>
                <w:szCs w:val="24"/>
              </w:rPr>
            </w:pPr>
            <w:r>
              <w:rPr>
                <w:rFonts w:hint="eastAsia" w:ascii="楷体_GB2312" w:hAnsi="Times New Roman" w:eastAsia="楷体_GB2312" w:cs="Times New Roman"/>
                <w:color w:val="002060"/>
                <w:sz w:val="24"/>
                <w:szCs w:val="24"/>
              </w:rPr>
              <w:t>授权代表：</w:t>
            </w:r>
          </w:p>
        </w:tc>
      </w:tr>
      <w:tr>
        <w:tblPrEx>
          <w:tblCellMar>
            <w:top w:w="0" w:type="dxa"/>
            <w:left w:w="108" w:type="dxa"/>
            <w:bottom w:w="0" w:type="dxa"/>
            <w:right w:w="108" w:type="dxa"/>
          </w:tblCellMar>
        </w:tblPrEx>
        <w:tc>
          <w:tcPr>
            <w:tcW w:w="4175" w:type="dxa"/>
          </w:tcPr>
          <w:p>
            <w:pPr>
              <w:spacing w:line="360" w:lineRule="auto"/>
              <w:rPr>
                <w:rFonts w:ascii="楷体_GB2312" w:hAnsi="Times New Roman" w:eastAsia="楷体_GB2312" w:cs="Times New Roman"/>
                <w:color w:val="000000"/>
                <w:sz w:val="24"/>
                <w:szCs w:val="24"/>
              </w:rPr>
            </w:pPr>
          </w:p>
        </w:tc>
        <w:tc>
          <w:tcPr>
            <w:tcW w:w="4105" w:type="dxa"/>
          </w:tcPr>
          <w:p>
            <w:pPr>
              <w:spacing w:line="360" w:lineRule="auto"/>
              <w:rPr>
                <w:rFonts w:ascii="楷体_GB2312" w:hAnsi="Times New Roman" w:eastAsia="楷体_GB2312" w:cs="Times New Roman"/>
                <w:color w:val="002060"/>
                <w:sz w:val="24"/>
                <w:szCs w:val="24"/>
              </w:rPr>
            </w:pPr>
            <w:r>
              <w:rPr>
                <w:rFonts w:hint="eastAsia" w:ascii="楷体_GB2312" w:hAnsi="Times New Roman" w:eastAsia="楷体_GB2312" w:cs="Times New Roman"/>
                <w:color w:val="002060"/>
                <w:sz w:val="24"/>
                <w:szCs w:val="24"/>
              </w:rPr>
              <w:t>（签字）</w:t>
            </w:r>
          </w:p>
        </w:tc>
      </w:tr>
      <w:tr>
        <w:tblPrEx>
          <w:tblCellMar>
            <w:top w:w="0" w:type="dxa"/>
            <w:left w:w="108" w:type="dxa"/>
            <w:bottom w:w="0" w:type="dxa"/>
            <w:right w:w="108" w:type="dxa"/>
          </w:tblCellMar>
        </w:tblPrEx>
        <w:tc>
          <w:tcPr>
            <w:tcW w:w="4175" w:type="dxa"/>
          </w:tcPr>
          <w:p>
            <w:pPr>
              <w:spacing w:line="360" w:lineRule="auto"/>
              <w:rPr>
                <w:rFonts w:ascii="Times New Roman" w:hAnsi="Times New Roman" w:eastAsia="宋体" w:cs="Times New Roman"/>
                <w:color w:val="000000"/>
                <w:sz w:val="24"/>
                <w:szCs w:val="24"/>
              </w:rPr>
            </w:pPr>
          </w:p>
        </w:tc>
        <w:tc>
          <w:tcPr>
            <w:tcW w:w="4105" w:type="dxa"/>
          </w:tcPr>
          <w:p>
            <w:pPr>
              <w:spacing w:line="360" w:lineRule="auto"/>
              <w:rPr>
                <w:rFonts w:ascii="Times New Roman" w:hAnsi="Times New Roman" w:eastAsia="宋体" w:cs="Times New Roman"/>
                <w:color w:val="002060"/>
                <w:sz w:val="24"/>
                <w:szCs w:val="24"/>
              </w:rPr>
            </w:pPr>
            <w:r>
              <w:rPr>
                <w:rFonts w:hint="eastAsia" w:ascii="楷体_GB2312" w:hAnsi="Times New Roman" w:eastAsia="楷体_GB2312" w:cs="Times New Roman"/>
                <w:color w:val="002060"/>
                <w:sz w:val="24"/>
                <w:szCs w:val="24"/>
              </w:rPr>
              <w:t xml:space="preserve">签字日期：    年      月     日 </w:t>
            </w:r>
          </w:p>
        </w:tc>
      </w:tr>
    </w:tbl>
    <w:p>
      <w:pPr>
        <w:widowControl w:val="0"/>
        <w:spacing w:after="120"/>
        <w:jc w:val="both"/>
        <w:rPr>
          <w:rFonts w:ascii="Times New Roman" w:hAnsi="Times New Roman" w:eastAsia="宋体" w:cs="Times New Roman"/>
          <w:kern w:val="2"/>
          <w:sz w:val="32"/>
          <w:szCs w:val="32"/>
          <w:lang w:val="en-US" w:eastAsia="zh-CN" w:bidi="ar-SA"/>
        </w:rPr>
      </w:pPr>
    </w:p>
    <w:p>
      <w:pPr>
        <w:rPr>
          <w:rFonts w:ascii="Times New Roman" w:hAnsi="Times New Roman" w:eastAsia="宋体" w:cs="Times New Roman"/>
          <w:szCs w:val="24"/>
        </w:rPr>
      </w:pPr>
    </w:p>
    <w:p>
      <w:pPr>
        <w:ind w:firstLine="320" w:firstLineChars="100"/>
        <w:rPr>
          <w:rFonts w:ascii="Times New Roman" w:hAnsi="Times New Roman" w:eastAsia="宋体" w:cs="Times New Roman"/>
          <w:sz w:val="32"/>
          <w:szCs w:val="32"/>
        </w:rPr>
      </w:pPr>
      <w:r>
        <w:rPr>
          <w:rFonts w:hint="eastAsia" w:ascii="Times New Roman" w:hAnsi="Times New Roman" w:eastAsia="宋体" w:cs="Times New Roman"/>
          <w:sz w:val="32"/>
          <w:szCs w:val="32"/>
        </w:rPr>
        <w:t>开票资料</w:t>
      </w:r>
    </w:p>
    <w:p>
      <w:pPr>
        <w:ind w:firstLine="320" w:firstLineChars="100"/>
        <w:rPr>
          <w:rFonts w:ascii="Times New Roman" w:hAnsi="Times New Roman" w:eastAsia="宋体" w:cs="Times New Roman"/>
          <w:sz w:val="32"/>
          <w:szCs w:val="32"/>
        </w:rPr>
      </w:pPr>
      <w:r>
        <w:rPr>
          <w:rFonts w:hint="eastAsia" w:ascii="Times New Roman" w:hAnsi="Times New Roman" w:eastAsia="宋体" w:cs="Times New Roman"/>
          <w:sz w:val="32"/>
          <w:szCs w:val="32"/>
        </w:rPr>
        <w:t>抬头：浙江大学</w:t>
      </w:r>
    </w:p>
    <w:p>
      <w:pPr>
        <w:ind w:firstLine="320" w:firstLineChars="100"/>
        <w:rPr>
          <w:rFonts w:ascii="Times New Roman" w:hAnsi="Times New Roman" w:eastAsia="宋体" w:cs="Times New Roman"/>
          <w:sz w:val="32"/>
          <w:szCs w:val="32"/>
        </w:rPr>
      </w:pPr>
      <w:r>
        <w:rPr>
          <w:rFonts w:hint="eastAsia" w:ascii="Times New Roman" w:hAnsi="Times New Roman" w:eastAsia="宋体" w:cs="Times New Roman"/>
          <w:sz w:val="32"/>
          <w:szCs w:val="32"/>
        </w:rPr>
        <w:t>纳税人识别号：12100000470095016Q</w:t>
      </w:r>
    </w:p>
    <w:p>
      <w:pPr>
        <w:ind w:firstLine="320" w:firstLineChars="100"/>
        <w:rPr>
          <w:rFonts w:ascii="Times New Roman" w:hAnsi="Times New Roman" w:eastAsia="宋体" w:cs="Times New Roman"/>
          <w:sz w:val="32"/>
          <w:szCs w:val="32"/>
        </w:rPr>
      </w:pPr>
      <w:r>
        <w:rPr>
          <w:rFonts w:hint="eastAsia" w:ascii="Times New Roman" w:hAnsi="Times New Roman" w:eastAsia="宋体" w:cs="Times New Roman"/>
          <w:sz w:val="32"/>
          <w:szCs w:val="32"/>
        </w:rPr>
        <w:t>地址：杭州市余杭塘路866号，电话88981919</w:t>
      </w:r>
    </w:p>
    <w:p>
      <w:pPr>
        <w:ind w:firstLine="320" w:firstLineChars="100"/>
        <w:rPr>
          <w:rFonts w:ascii="Times New Roman" w:hAnsi="Times New Roman" w:eastAsia="宋体" w:cs="Times New Roman"/>
          <w:sz w:val="32"/>
          <w:szCs w:val="32"/>
        </w:rPr>
      </w:pPr>
      <w:r>
        <w:rPr>
          <w:rFonts w:hint="eastAsia" w:ascii="Times New Roman" w:hAnsi="Times New Roman" w:eastAsia="宋体" w:cs="Times New Roman"/>
          <w:sz w:val="32"/>
          <w:szCs w:val="32"/>
        </w:rPr>
        <w:t>开户行：工行杭州市浙大支行</w:t>
      </w:r>
    </w:p>
    <w:p>
      <w:pPr>
        <w:ind w:firstLine="320" w:firstLineChars="100"/>
        <w:rPr>
          <w:rFonts w:ascii="Times New Roman" w:hAnsi="Times New Roman" w:eastAsia="宋体" w:cs="Times New Roman"/>
          <w:sz w:val="32"/>
          <w:szCs w:val="32"/>
        </w:rPr>
      </w:pPr>
      <w:r>
        <w:rPr>
          <w:rFonts w:hint="eastAsia" w:ascii="Times New Roman" w:hAnsi="Times New Roman" w:eastAsia="宋体" w:cs="Times New Roman"/>
          <w:sz w:val="32"/>
          <w:szCs w:val="32"/>
        </w:rPr>
        <w:t>账号：1202024609908808891</w:t>
      </w:r>
    </w:p>
    <w:p>
      <w:pPr>
        <w:widowControl w:val="0"/>
        <w:spacing w:after="120"/>
        <w:jc w:val="both"/>
        <w:rPr>
          <w:rFonts w:ascii="Times New Roman" w:hAnsi="Times New Roman" w:eastAsia="宋体" w:cs="Times New Roman"/>
          <w:kern w:val="2"/>
          <w:sz w:val="32"/>
          <w:szCs w:val="32"/>
          <w:lang w:val="en-US" w:eastAsia="zh-CN" w:bidi="ar-SA"/>
        </w:rPr>
      </w:pPr>
    </w:p>
    <w:p>
      <w:pPr>
        <w:rPr>
          <w:rFonts w:ascii="Times New Roman" w:hAnsi="Times New Roman" w:eastAsia="宋体" w:cs="Times New Roman"/>
          <w:sz w:val="32"/>
          <w:szCs w:val="32"/>
        </w:rPr>
      </w:pPr>
    </w:p>
    <w:p>
      <w:pPr>
        <w:rPr>
          <w:rFonts w:ascii="Times New Roman" w:hAnsi="Times New Roman" w:eastAsia="宋体" w:cs="Times New Roman"/>
          <w:szCs w:val="24"/>
        </w:rPr>
      </w:pPr>
      <w:r>
        <w:rPr>
          <w:rFonts w:ascii="Times New Roman" w:hAnsi="Times New Roman" w:eastAsia="宋体" w:cs="Times New Roman"/>
          <w:sz w:val="32"/>
          <w:szCs w:val="32"/>
        </w:rPr>
        <w:br w:type="page"/>
      </w:r>
    </w:p>
    <w:p>
      <w:pPr>
        <w:rPr>
          <w:rFonts w:ascii="Times New Roman" w:hAnsi="Times New Roman" w:eastAsia="宋体" w:cs="Times New Roman"/>
          <w:szCs w:val="24"/>
        </w:rPr>
      </w:pPr>
      <w:r>
        <w:rPr>
          <w:rFonts w:hint="eastAsia" w:ascii="Times New Roman" w:hAnsi="Times New Roman" w:eastAsia="宋体" w:cs="Times New Roman"/>
          <w:sz w:val="24"/>
          <w:szCs w:val="24"/>
        </w:rPr>
        <w:t>合同需要公示，</w:t>
      </w:r>
      <w:r>
        <w:rPr>
          <w:rFonts w:hint="eastAsia" w:ascii="Times New Roman" w:hAnsi="Times New Roman" w:eastAsia="宋体" w:cs="Times New Roman"/>
          <w:color w:val="0000FF"/>
          <w:sz w:val="24"/>
          <w:szCs w:val="24"/>
        </w:rPr>
        <w:t>此页请单独一页</w:t>
      </w:r>
      <w:r>
        <w:rPr>
          <w:rFonts w:hint="eastAsia" w:ascii="Times New Roman" w:hAnsi="Times New Roman" w:eastAsia="宋体" w:cs="Times New Roman"/>
          <w:sz w:val="24"/>
          <w:szCs w:val="24"/>
        </w:rPr>
        <w:t>，以方便公示时删去。</w:t>
      </w:r>
    </w:p>
    <w:tbl>
      <w:tblPr>
        <w:tblStyle w:val="24"/>
        <w:tblW w:w="0" w:type="auto"/>
        <w:jc w:val="right"/>
        <w:tblLayout w:type="fixed"/>
        <w:tblCellMar>
          <w:top w:w="0" w:type="dxa"/>
          <w:left w:w="108" w:type="dxa"/>
          <w:bottom w:w="0" w:type="dxa"/>
          <w:right w:w="108" w:type="dxa"/>
        </w:tblCellMar>
      </w:tblPr>
      <w:tblGrid>
        <w:gridCol w:w="4185"/>
        <w:gridCol w:w="4156"/>
      </w:tblGrid>
      <w:tr>
        <w:tblPrEx>
          <w:tblCellMar>
            <w:top w:w="0" w:type="dxa"/>
            <w:left w:w="108" w:type="dxa"/>
            <w:bottom w:w="0" w:type="dxa"/>
            <w:right w:w="108" w:type="dxa"/>
          </w:tblCellMar>
        </w:tblPrEx>
        <w:trPr>
          <w:trHeight w:val="397" w:hRule="atLeast"/>
          <w:jc w:val="right"/>
        </w:trPr>
        <w:tc>
          <w:tcPr>
            <w:tcW w:w="83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FF0000"/>
                <w:spacing w:val="-6"/>
                <w:szCs w:val="21"/>
              </w:rPr>
            </w:pPr>
            <w:r>
              <w:rPr>
                <w:rFonts w:hint="eastAsia" w:ascii="宋体" w:hAnsi="宋体" w:eastAsia="宋体" w:cs="Times New Roman"/>
                <w:spacing w:val="-6"/>
                <w:szCs w:val="21"/>
              </w:rPr>
              <w:t>双方信息</w:t>
            </w:r>
          </w:p>
        </w:tc>
      </w:tr>
      <w:tr>
        <w:tblPrEx>
          <w:tblCellMar>
            <w:top w:w="0" w:type="dxa"/>
            <w:left w:w="108" w:type="dxa"/>
            <w:bottom w:w="0" w:type="dxa"/>
            <w:right w:w="108" w:type="dxa"/>
          </w:tblCellMar>
        </w:tblPrEx>
        <w:trPr>
          <w:trHeight w:val="397" w:hRule="atLeast"/>
          <w:jc w:val="right"/>
        </w:trPr>
        <w:tc>
          <w:tcPr>
            <w:tcW w:w="41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需方签字人信息</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姓名:</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工号:</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手机:</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 xml:space="preserve">Email: </w:t>
            </w:r>
          </w:p>
        </w:tc>
        <w:tc>
          <w:tcPr>
            <w:tcW w:w="41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pacing w:val="-6"/>
                <w:szCs w:val="21"/>
              </w:rPr>
            </w:pPr>
            <w:r>
              <w:rPr>
                <w:rFonts w:hint="eastAsia" w:ascii="宋体" w:hAnsi="宋体" w:eastAsia="宋体" w:cs="Times New Roman"/>
                <w:spacing w:val="-6"/>
                <w:szCs w:val="21"/>
              </w:rPr>
              <w:t>供方签字人信息</w:t>
            </w:r>
          </w:p>
          <w:p>
            <w:pPr>
              <w:rPr>
                <w:rFonts w:ascii="宋体" w:hAnsi="宋体" w:eastAsia="宋体" w:cs="Times New Roman"/>
                <w:spacing w:val="-6"/>
                <w:szCs w:val="21"/>
              </w:rPr>
            </w:pPr>
            <w:r>
              <w:rPr>
                <w:rFonts w:hint="eastAsia" w:ascii="宋体" w:hAnsi="宋体" w:eastAsia="宋体" w:cs="Times New Roman"/>
                <w:spacing w:val="-6"/>
                <w:szCs w:val="21"/>
              </w:rPr>
              <w:t>姓名:</w:t>
            </w:r>
          </w:p>
          <w:p>
            <w:pPr>
              <w:rPr>
                <w:rFonts w:ascii="宋体" w:hAnsi="宋体" w:eastAsia="宋体" w:cs="Times New Roman"/>
                <w:spacing w:val="-6"/>
                <w:szCs w:val="21"/>
              </w:rPr>
            </w:pPr>
            <w:r>
              <w:rPr>
                <w:rFonts w:hint="eastAsia" w:ascii="宋体" w:hAnsi="宋体" w:eastAsia="宋体" w:cs="Times New Roman"/>
                <w:spacing w:val="-6"/>
                <w:szCs w:val="21"/>
              </w:rPr>
              <w:t>身份证号:</w:t>
            </w:r>
          </w:p>
          <w:p>
            <w:pPr>
              <w:rPr>
                <w:rFonts w:ascii="宋体" w:hAnsi="宋体" w:eastAsia="宋体" w:cs="Times New Roman"/>
                <w:spacing w:val="-6"/>
                <w:szCs w:val="21"/>
              </w:rPr>
            </w:pPr>
            <w:r>
              <w:rPr>
                <w:rFonts w:hint="eastAsia" w:ascii="宋体" w:hAnsi="宋体" w:eastAsia="宋体" w:cs="Times New Roman"/>
                <w:spacing w:val="-6"/>
                <w:szCs w:val="21"/>
              </w:rPr>
              <w:t>手机:</w:t>
            </w:r>
          </w:p>
          <w:p>
            <w:pPr>
              <w:rPr>
                <w:rFonts w:ascii="宋体" w:hAnsi="宋体" w:eastAsia="宋体" w:cs="Times New Roman"/>
                <w:spacing w:val="-6"/>
                <w:szCs w:val="21"/>
              </w:rPr>
            </w:pPr>
            <w:r>
              <w:rPr>
                <w:rFonts w:hint="eastAsia" w:ascii="宋体" w:hAnsi="宋体" w:eastAsia="宋体" w:cs="Times New Roman"/>
                <w:spacing w:val="-6"/>
                <w:szCs w:val="21"/>
              </w:rPr>
              <w:t>Email:</w:t>
            </w:r>
            <w:r>
              <w:rPr>
                <w:rFonts w:hint="eastAsia" w:ascii="宋体" w:hAnsi="宋体" w:eastAsia="宋体" w:cs="Times New Roman"/>
                <w:spacing w:val="-6"/>
                <w:szCs w:val="21"/>
              </w:rPr>
              <w:tab/>
            </w:r>
          </w:p>
        </w:tc>
      </w:tr>
      <w:tr>
        <w:tblPrEx>
          <w:tblCellMar>
            <w:top w:w="0" w:type="dxa"/>
            <w:left w:w="108" w:type="dxa"/>
            <w:bottom w:w="0" w:type="dxa"/>
            <w:right w:w="108" w:type="dxa"/>
          </w:tblCellMar>
        </w:tblPrEx>
        <w:trPr>
          <w:trHeight w:val="397" w:hRule="atLeast"/>
          <w:jc w:val="right"/>
        </w:trPr>
        <w:tc>
          <w:tcPr>
            <w:tcW w:w="41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需方联系人信息（如与签字人相同，可不填）</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姓名:</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工号或学号:</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手机:</w:t>
            </w:r>
          </w:p>
          <w:p>
            <w:pPr>
              <w:rPr>
                <w:rFonts w:ascii="宋体" w:hAnsi="宋体" w:eastAsia="宋体" w:cs="Times New Roman"/>
                <w:color w:val="002060"/>
                <w:spacing w:val="-6"/>
                <w:szCs w:val="21"/>
              </w:rPr>
            </w:pPr>
            <w:r>
              <w:rPr>
                <w:rFonts w:hint="eastAsia" w:ascii="宋体" w:hAnsi="宋体" w:eastAsia="宋体" w:cs="Times New Roman"/>
                <w:color w:val="002060"/>
                <w:spacing w:val="-6"/>
                <w:szCs w:val="21"/>
              </w:rPr>
              <w:t>Email:</w:t>
            </w:r>
          </w:p>
        </w:tc>
        <w:tc>
          <w:tcPr>
            <w:tcW w:w="415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pacing w:val="-6"/>
                <w:szCs w:val="21"/>
              </w:rPr>
            </w:pPr>
            <w:r>
              <w:rPr>
                <w:rFonts w:hint="eastAsia" w:ascii="宋体" w:hAnsi="宋体" w:eastAsia="宋体" w:cs="Times New Roman"/>
                <w:spacing w:val="-6"/>
                <w:szCs w:val="21"/>
              </w:rPr>
              <w:t>供方联系人信息（如与签字人相同，可不填）</w:t>
            </w:r>
          </w:p>
          <w:p>
            <w:pPr>
              <w:rPr>
                <w:rFonts w:ascii="宋体" w:hAnsi="宋体" w:eastAsia="宋体" w:cs="Times New Roman"/>
                <w:spacing w:val="-6"/>
                <w:szCs w:val="21"/>
              </w:rPr>
            </w:pPr>
            <w:r>
              <w:rPr>
                <w:rFonts w:hint="eastAsia" w:ascii="宋体" w:hAnsi="宋体" w:eastAsia="宋体" w:cs="Times New Roman"/>
                <w:spacing w:val="-6"/>
                <w:szCs w:val="21"/>
              </w:rPr>
              <w:t>姓名:</w:t>
            </w:r>
          </w:p>
          <w:p>
            <w:pPr>
              <w:rPr>
                <w:rFonts w:ascii="宋体" w:hAnsi="宋体" w:eastAsia="宋体" w:cs="Times New Roman"/>
                <w:spacing w:val="-6"/>
                <w:szCs w:val="21"/>
              </w:rPr>
            </w:pPr>
            <w:r>
              <w:rPr>
                <w:rFonts w:hint="eastAsia" w:ascii="宋体" w:hAnsi="宋体" w:eastAsia="宋体" w:cs="Times New Roman"/>
                <w:spacing w:val="-6"/>
                <w:szCs w:val="21"/>
              </w:rPr>
              <w:t>身份证号:</w:t>
            </w:r>
          </w:p>
          <w:p>
            <w:pPr>
              <w:rPr>
                <w:rFonts w:ascii="宋体" w:hAnsi="宋体" w:eastAsia="宋体" w:cs="Times New Roman"/>
                <w:spacing w:val="-6"/>
                <w:szCs w:val="21"/>
              </w:rPr>
            </w:pPr>
            <w:r>
              <w:rPr>
                <w:rFonts w:hint="eastAsia" w:ascii="宋体" w:hAnsi="宋体" w:eastAsia="宋体" w:cs="Times New Roman"/>
                <w:spacing w:val="-6"/>
                <w:szCs w:val="21"/>
              </w:rPr>
              <w:t>手机:</w:t>
            </w:r>
          </w:p>
          <w:p>
            <w:pPr>
              <w:rPr>
                <w:rFonts w:ascii="宋体" w:hAnsi="宋体" w:eastAsia="宋体" w:cs="Times New Roman"/>
                <w:spacing w:val="-6"/>
                <w:szCs w:val="21"/>
              </w:rPr>
            </w:pPr>
            <w:r>
              <w:rPr>
                <w:rFonts w:hint="eastAsia" w:ascii="宋体" w:hAnsi="宋体" w:eastAsia="宋体" w:cs="Times New Roman"/>
                <w:spacing w:val="-6"/>
                <w:szCs w:val="21"/>
              </w:rPr>
              <w:t>Email:</w:t>
            </w:r>
            <w:r>
              <w:rPr>
                <w:rFonts w:hint="eastAsia" w:ascii="宋体" w:hAnsi="宋体" w:eastAsia="宋体" w:cs="Times New Roman"/>
                <w:spacing w:val="-6"/>
                <w:szCs w:val="21"/>
              </w:rPr>
              <w:tab/>
            </w:r>
          </w:p>
        </w:tc>
      </w:tr>
    </w:tbl>
    <w:p>
      <w:pPr>
        <w:spacing w:line="288" w:lineRule="auto"/>
        <w:rPr>
          <w:rFonts w:hint="eastAsia" w:ascii="宋体" w:hAnsi="宋体" w:eastAsia="宋体" w:cs="Times New Roman"/>
          <w:spacing w:val="-6"/>
          <w:szCs w:val="21"/>
          <w:lang w:val="en-US" w:eastAsia="zh-CN"/>
        </w:rPr>
      </w:pPr>
      <w:r>
        <w:rPr>
          <w:rFonts w:hint="eastAsia" w:ascii="宋体" w:hAnsi="宋体" w:eastAsia="宋体" w:cs="Times New Roman"/>
          <w:spacing w:val="-6"/>
          <w:szCs w:val="21"/>
        </w:rPr>
        <w:t>注：</w:t>
      </w:r>
      <w:r>
        <w:rPr>
          <w:rFonts w:hint="eastAsia" w:ascii="宋体" w:hAnsi="宋体" w:eastAsia="宋体" w:cs="Times New Roman"/>
          <w:spacing w:val="-6"/>
          <w:szCs w:val="21"/>
          <w:lang w:val="en-US" w:eastAsia="zh-CN"/>
        </w:rPr>
        <w:t xml:space="preserve">1. </w:t>
      </w:r>
      <w:r>
        <w:rPr>
          <w:rFonts w:hint="eastAsia" w:ascii="宋体" w:hAnsi="宋体" w:eastAsia="宋体" w:cs="Times New Roman"/>
          <w:spacing w:val="-6"/>
          <w:szCs w:val="21"/>
        </w:rPr>
        <w:t>上表内容，请</w:t>
      </w:r>
      <w:r>
        <w:rPr>
          <w:rFonts w:hint="eastAsia" w:ascii="宋体" w:hAnsi="宋体" w:eastAsia="宋体" w:cs="Times New Roman"/>
          <w:color w:val="FF0000"/>
          <w:spacing w:val="-6"/>
          <w:szCs w:val="21"/>
        </w:rPr>
        <w:t>打印前输入</w:t>
      </w:r>
      <w:r>
        <w:rPr>
          <w:rFonts w:hint="eastAsia" w:ascii="宋体" w:hAnsi="宋体" w:eastAsia="宋体" w:cs="Times New Roman"/>
          <w:spacing w:val="-6"/>
          <w:szCs w:val="21"/>
        </w:rPr>
        <w:t>完整，不要手写</w:t>
      </w:r>
      <w:r>
        <w:rPr>
          <w:rFonts w:hint="eastAsia" w:ascii="宋体" w:hAnsi="宋体" w:eastAsia="宋体" w:cs="Times New Roman"/>
          <w:spacing w:val="-6"/>
          <w:szCs w:val="21"/>
          <w:lang w:val="en-US" w:eastAsia="zh-CN"/>
        </w:rPr>
        <w:t>；</w:t>
      </w:r>
    </w:p>
    <w:p>
      <w:pPr>
        <w:numPr>
          <w:ilvl w:val="0"/>
          <w:numId w:val="22"/>
        </w:numPr>
        <w:spacing w:line="288" w:lineRule="auto"/>
        <w:ind w:firstLine="396" w:firstLineChars="200"/>
        <w:rPr>
          <w:rFonts w:hint="eastAsia" w:ascii="宋体" w:hAnsi="宋体" w:eastAsia="宋体" w:cs="Times New Roman"/>
          <w:color w:val="FF0000"/>
          <w:spacing w:val="-6"/>
          <w:szCs w:val="21"/>
          <w:lang w:eastAsia="zh-CN"/>
        </w:rPr>
      </w:pPr>
      <w:r>
        <w:rPr>
          <w:rFonts w:hint="eastAsia" w:ascii="宋体" w:hAnsi="宋体" w:eastAsia="宋体" w:cs="Times New Roman"/>
          <w:spacing w:val="-6"/>
          <w:szCs w:val="21"/>
        </w:rPr>
        <w:t>需方签字人，应为</w:t>
      </w:r>
      <w:r>
        <w:rPr>
          <w:rFonts w:hint="eastAsia" w:ascii="宋体" w:hAnsi="宋体" w:eastAsia="宋体" w:cs="Times New Roman"/>
          <w:color w:val="FF0000"/>
          <w:spacing w:val="-6"/>
          <w:szCs w:val="21"/>
        </w:rPr>
        <w:t>项目负责人</w:t>
      </w:r>
      <w:r>
        <w:rPr>
          <w:rFonts w:hint="eastAsia" w:ascii="宋体" w:hAnsi="宋体" w:eastAsia="宋体" w:cs="Times New Roman"/>
          <w:spacing w:val="-6"/>
          <w:szCs w:val="21"/>
        </w:rPr>
        <w:t>或需方认可的单位负责人</w:t>
      </w:r>
      <w:r>
        <w:rPr>
          <w:rFonts w:hint="eastAsia" w:ascii="宋体" w:hAnsi="宋体" w:eastAsia="宋体" w:cs="Times New Roman"/>
          <w:spacing w:val="-6"/>
          <w:szCs w:val="21"/>
          <w:lang w:val="en-US" w:eastAsia="zh-CN"/>
        </w:rPr>
        <w:t>；</w:t>
      </w:r>
    </w:p>
    <w:p>
      <w:pPr>
        <w:widowControl w:val="0"/>
        <w:numPr>
          <w:ilvl w:val="0"/>
          <w:numId w:val="22"/>
        </w:numPr>
        <w:spacing w:after="120"/>
        <w:ind w:left="0" w:leftChars="0" w:firstLine="420" w:firstLineChars="20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 如为需要办理</w:t>
      </w:r>
      <w:r>
        <w:rPr>
          <w:rFonts w:hint="eastAsia" w:ascii="Times New Roman" w:hAnsi="Times New Roman" w:eastAsia="宋体" w:cs="Times New Roman"/>
          <w:color w:val="FF0000"/>
          <w:kern w:val="2"/>
          <w:sz w:val="21"/>
          <w:szCs w:val="24"/>
          <w:lang w:val="en-US" w:eastAsia="zh-CN" w:bidi="ar-SA"/>
        </w:rPr>
        <w:t>进口减免税</w:t>
      </w:r>
      <w:r>
        <w:rPr>
          <w:rFonts w:hint="eastAsia" w:ascii="Times New Roman" w:hAnsi="Times New Roman" w:eastAsia="宋体" w:cs="Times New Roman"/>
          <w:kern w:val="2"/>
          <w:sz w:val="21"/>
          <w:szCs w:val="24"/>
          <w:lang w:val="en-US" w:eastAsia="zh-CN" w:bidi="ar-SA"/>
        </w:rPr>
        <w:t>的合同，请</w:t>
      </w:r>
      <w:r>
        <w:rPr>
          <w:rFonts w:hint="eastAsia" w:ascii="Times New Roman" w:hAnsi="Times New Roman" w:eastAsia="宋体" w:cs="Times New Roman"/>
          <w:color w:val="FF0000"/>
          <w:kern w:val="2"/>
          <w:sz w:val="21"/>
          <w:szCs w:val="24"/>
          <w:lang w:val="en-US" w:eastAsia="zh-CN" w:bidi="ar-SA"/>
        </w:rPr>
        <w:t>填写最后一页的设备领用人</w:t>
      </w:r>
      <w:r>
        <w:rPr>
          <w:rFonts w:hint="eastAsia" w:ascii="Times New Roman" w:hAnsi="Times New Roman" w:eastAsia="宋体" w:cs="Times New Roman"/>
          <w:kern w:val="2"/>
          <w:sz w:val="21"/>
          <w:szCs w:val="24"/>
          <w:lang w:val="en-US" w:eastAsia="zh-CN" w:bidi="ar-SA"/>
        </w:rPr>
        <w:t>。</w:t>
      </w:r>
    </w:p>
    <w:p>
      <w:pPr>
        <w:autoSpaceDE w:val="0"/>
        <w:autoSpaceDN w:val="0"/>
        <w:adjustRightInd w:val="0"/>
        <w:snapToGrid w:val="0"/>
        <w:spacing w:line="288" w:lineRule="auto"/>
        <w:jc w:val="left"/>
        <w:rPr>
          <w:rFonts w:ascii="宋体" w:hAnsi="宋体" w:eastAsia="宋体" w:cs="Arial"/>
          <w:kern w:val="0"/>
          <w:sz w:val="24"/>
          <w:szCs w:val="24"/>
        </w:rPr>
      </w:pPr>
    </w:p>
    <w:p>
      <w:pPr>
        <w:adjustRightInd w:val="0"/>
        <w:snapToGrid w:val="0"/>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adjustRightInd w:val="0"/>
        <w:snapToGrid w:val="0"/>
        <w:spacing w:line="288" w:lineRule="auto"/>
        <w:jc w:val="center"/>
        <w:outlineLvl w:val="0"/>
        <w:rPr>
          <w:rFonts w:ascii="宋体" w:hAnsi="宋体" w:eastAsia="宋体" w:cs="Times New Roman"/>
          <w:b/>
          <w:sz w:val="32"/>
          <w:szCs w:val="32"/>
        </w:rPr>
        <w:sectPr>
          <w:footerReference r:id="rId6" w:type="default"/>
          <w:pgSz w:w="11906" w:h="16838"/>
          <w:pgMar w:top="1247" w:right="1247" w:bottom="1247" w:left="1247" w:header="0" w:footer="694" w:gutter="0"/>
          <w:pgNumType w:start="1"/>
          <w:cols w:space="720" w:num="1"/>
          <w:docGrid w:linePitch="381" w:charSpace="0"/>
        </w:sectPr>
      </w:pPr>
    </w:p>
    <w:p>
      <w:pPr>
        <w:autoSpaceDE w:val="0"/>
        <w:autoSpaceDN w:val="0"/>
        <w:adjustRightInd w:val="0"/>
        <w:ind w:right="-670"/>
        <w:rPr>
          <w:rFonts w:eastAsia="楷体_GB2312"/>
          <w:sz w:val="28"/>
          <w:szCs w:val="28"/>
        </w:rPr>
      </w:pPr>
      <w:r>
        <w:rPr>
          <w:rFonts w:hint="eastAsia" w:eastAsia="楷体_GB2312"/>
          <w:sz w:val="28"/>
          <w:szCs w:val="28"/>
        </w:rPr>
        <w:t>附件1</w:t>
      </w:r>
    </w:p>
    <w:p>
      <w:pPr>
        <w:autoSpaceDE w:val="0"/>
        <w:autoSpaceDN w:val="0"/>
        <w:adjustRightInd w:val="0"/>
        <w:ind w:left="540" w:firstLine="30"/>
        <w:jc w:val="center"/>
        <w:rPr>
          <w:rFonts w:eastAsia="楷体_GB2312"/>
          <w:color w:val="000000"/>
          <w:sz w:val="28"/>
          <w:szCs w:val="28"/>
          <w:u w:val="single"/>
        </w:rPr>
      </w:pPr>
      <w:r>
        <w:rPr>
          <w:rFonts w:hint="eastAsia" w:eastAsia="楷体_GB2312"/>
          <w:b/>
          <w:sz w:val="28"/>
          <w:szCs w:val="28"/>
          <w:lang w:val="zh-CN"/>
        </w:rPr>
        <w:t>报价明细表</w:t>
      </w:r>
      <w:r>
        <w:rPr>
          <w:rFonts w:ascii="宋体" w:hAnsi="宋体" w:cs="宋体"/>
          <w:color w:val="FF0000"/>
          <w:szCs w:val="21"/>
        </w:rPr>
        <w:t>（</w:t>
      </w:r>
      <w:r>
        <w:rPr>
          <w:rFonts w:hint="eastAsia" w:ascii="宋体" w:hAnsi="宋体" w:cs="宋体"/>
          <w:color w:val="0070C0"/>
          <w:szCs w:val="21"/>
        </w:rPr>
        <w:t>单价不能为0。</w:t>
      </w:r>
      <w:r>
        <w:rPr>
          <w:rFonts w:ascii="宋体" w:hAnsi="宋体" w:cs="宋体"/>
          <w:color w:val="FF0000"/>
          <w:szCs w:val="21"/>
        </w:rPr>
        <w:t>如包含进口减免税货物请按</w:t>
      </w:r>
      <w:r>
        <w:rPr>
          <w:rFonts w:hint="eastAsia" w:ascii="宋体" w:hAnsi="宋体" w:cs="宋体"/>
          <w:color w:val="FF0000"/>
          <w:szCs w:val="21"/>
        </w:rPr>
        <w:t>海关</w:t>
      </w:r>
      <w:r>
        <w:rPr>
          <w:rFonts w:ascii="宋体" w:hAnsi="宋体" w:cs="宋体"/>
          <w:color w:val="FF0000"/>
          <w:szCs w:val="21"/>
        </w:rPr>
        <w:t>报关要求</w:t>
      </w:r>
      <w:r>
        <w:rPr>
          <w:rFonts w:hint="eastAsia" w:ascii="宋体" w:hAnsi="宋体" w:cs="宋体"/>
          <w:color w:val="FF0000"/>
          <w:szCs w:val="21"/>
          <w:lang w:val="en-US" w:eastAsia="zh-CN"/>
        </w:rPr>
        <w:t>逐条</w:t>
      </w:r>
      <w:r>
        <w:rPr>
          <w:rFonts w:ascii="宋体" w:hAnsi="宋体" w:cs="宋体"/>
          <w:color w:val="FF0000"/>
          <w:szCs w:val="21"/>
        </w:rPr>
        <w:t>单列，此表系申报减免税的依据，不再作拆分</w:t>
      </w:r>
      <w:r>
        <w:rPr>
          <w:rFonts w:hint="eastAsia" w:ascii="宋体" w:hAnsi="宋体" w:cs="宋体"/>
          <w:color w:val="FF0000"/>
          <w:szCs w:val="21"/>
        </w:rPr>
        <w:t>。</w:t>
      </w:r>
      <w:r>
        <w:rPr>
          <w:rFonts w:ascii="宋体" w:hAnsi="宋体" w:cs="宋体"/>
          <w:color w:val="FF0000"/>
          <w:szCs w:val="21"/>
        </w:rPr>
        <w:t>）</w:t>
      </w:r>
    </w:p>
    <w:tbl>
      <w:tblPr>
        <w:tblStyle w:val="24"/>
        <w:tblW w:w="0" w:type="auto"/>
        <w:jc w:val="center"/>
        <w:tblLayout w:type="fixed"/>
        <w:tblCellMar>
          <w:top w:w="0" w:type="dxa"/>
          <w:left w:w="108" w:type="dxa"/>
          <w:bottom w:w="0" w:type="dxa"/>
          <w:right w:w="108" w:type="dxa"/>
        </w:tblCellMar>
      </w:tblPr>
      <w:tblGrid>
        <w:gridCol w:w="948"/>
        <w:gridCol w:w="2141"/>
        <w:gridCol w:w="3060"/>
        <w:gridCol w:w="1189"/>
        <w:gridCol w:w="990"/>
        <w:gridCol w:w="810"/>
        <w:gridCol w:w="1440"/>
        <w:gridCol w:w="1704"/>
      </w:tblGrid>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eastAsia="楷体_GB2312"/>
                <w:sz w:val="24"/>
              </w:rPr>
            </w:pPr>
            <w:r>
              <w:rPr>
                <w:rFonts w:hint="eastAsia" w:eastAsia="楷体_GB2312"/>
                <w:sz w:val="24"/>
                <w:lang w:val="zh-CN"/>
              </w:rPr>
              <w:t>序号</w:t>
            </w:r>
          </w:p>
        </w:tc>
        <w:tc>
          <w:tcPr>
            <w:tcW w:w="214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eastAsia="楷体_GB2312"/>
                <w:sz w:val="24"/>
              </w:rPr>
            </w:pPr>
            <w:r>
              <w:rPr>
                <w:rFonts w:hint="eastAsia" w:eastAsia="楷体_GB2312"/>
                <w:sz w:val="24"/>
              </w:rPr>
              <w:t>货物</w:t>
            </w:r>
            <w:r>
              <w:rPr>
                <w:rFonts w:hint="eastAsia" w:eastAsia="楷体_GB2312"/>
                <w:sz w:val="24"/>
                <w:lang w:val="zh-CN"/>
              </w:rPr>
              <w:t>名称</w:t>
            </w:r>
          </w:p>
        </w:tc>
        <w:tc>
          <w:tcPr>
            <w:tcW w:w="3060" w:type="dxa"/>
            <w:tcBorders>
              <w:top w:val="single" w:color="auto" w:sz="6" w:space="0"/>
              <w:left w:val="single" w:color="auto" w:sz="6" w:space="0"/>
              <w:bottom w:val="single" w:color="auto" w:sz="6" w:space="0"/>
              <w:right w:val="single" w:color="auto" w:sz="4" w:space="0"/>
            </w:tcBorders>
            <w:noWrap/>
          </w:tcPr>
          <w:p>
            <w:pPr>
              <w:autoSpaceDE w:val="0"/>
              <w:autoSpaceDN w:val="0"/>
              <w:adjustRightInd w:val="0"/>
              <w:spacing w:line="500" w:lineRule="exact"/>
              <w:jc w:val="center"/>
              <w:rPr>
                <w:rFonts w:eastAsia="楷体_GB2312"/>
                <w:sz w:val="24"/>
              </w:rPr>
            </w:pPr>
            <w:r>
              <w:rPr>
                <w:rFonts w:hint="eastAsia" w:eastAsia="楷体_GB2312"/>
                <w:sz w:val="24"/>
              </w:rPr>
              <w:t>品牌</w:t>
            </w:r>
            <w:r>
              <w:rPr>
                <w:rFonts w:hint="eastAsia" w:eastAsia="楷体_GB2312"/>
                <w:sz w:val="24"/>
                <w:lang w:val="zh-CN"/>
              </w:rPr>
              <w:t>型号规格</w:t>
            </w:r>
          </w:p>
        </w:tc>
        <w:tc>
          <w:tcPr>
            <w:tcW w:w="1189" w:type="dxa"/>
            <w:tcBorders>
              <w:top w:val="single" w:color="auto" w:sz="6" w:space="0"/>
              <w:left w:val="single" w:color="auto" w:sz="4" w:space="0"/>
              <w:bottom w:val="single" w:color="auto" w:sz="6" w:space="0"/>
              <w:right w:val="single" w:color="auto" w:sz="6" w:space="0"/>
            </w:tcBorders>
            <w:noWrap/>
          </w:tcPr>
          <w:p>
            <w:pPr>
              <w:autoSpaceDE w:val="0"/>
              <w:autoSpaceDN w:val="0"/>
              <w:adjustRightInd w:val="0"/>
              <w:spacing w:line="500" w:lineRule="exact"/>
              <w:jc w:val="center"/>
              <w:rPr>
                <w:rFonts w:eastAsia="楷体_GB2312"/>
                <w:sz w:val="24"/>
              </w:rPr>
            </w:pPr>
            <w:r>
              <w:rPr>
                <w:rFonts w:hint="eastAsia" w:eastAsia="楷体_GB2312"/>
                <w:sz w:val="24"/>
              </w:rPr>
              <w:t>供货方式</w:t>
            </w:r>
          </w:p>
        </w:tc>
        <w:tc>
          <w:tcPr>
            <w:tcW w:w="99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eastAsia="楷体_GB2312"/>
                <w:sz w:val="24"/>
              </w:rPr>
            </w:pPr>
            <w:r>
              <w:rPr>
                <w:rFonts w:hint="eastAsia" w:eastAsia="楷体_GB2312"/>
                <w:sz w:val="24"/>
                <w:lang w:val="zh-CN"/>
              </w:rPr>
              <w:t>数量</w:t>
            </w:r>
          </w:p>
        </w:tc>
        <w:tc>
          <w:tcPr>
            <w:tcW w:w="8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eastAsia="楷体_GB2312"/>
                <w:sz w:val="24"/>
              </w:rPr>
            </w:pPr>
            <w:r>
              <w:rPr>
                <w:rFonts w:hint="eastAsia" w:eastAsia="楷体_GB2312"/>
                <w:sz w:val="24"/>
                <w:lang w:val="zh-CN"/>
              </w:rPr>
              <w:t>单</w:t>
            </w:r>
            <w:r>
              <w:rPr>
                <w:rFonts w:hint="eastAsia" w:eastAsia="楷体_GB2312"/>
                <w:sz w:val="24"/>
              </w:rPr>
              <w:t>位</w:t>
            </w:r>
          </w:p>
        </w:tc>
        <w:tc>
          <w:tcPr>
            <w:tcW w:w="144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eastAsia="楷体_GB2312"/>
                <w:sz w:val="24"/>
              </w:rPr>
            </w:pPr>
            <w:r>
              <w:rPr>
                <w:rFonts w:hint="eastAsia" w:eastAsia="楷体_GB2312"/>
                <w:sz w:val="24"/>
              </w:rPr>
              <w:t>单价</w:t>
            </w:r>
            <w:r>
              <w:rPr>
                <w:rFonts w:eastAsia="楷体_GB2312"/>
                <w:sz w:val="24"/>
              </w:rPr>
              <w:t>（元）</w:t>
            </w:r>
          </w:p>
        </w:tc>
        <w:tc>
          <w:tcPr>
            <w:tcW w:w="170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eastAsia="楷体_GB2312"/>
                <w:sz w:val="24"/>
              </w:rPr>
            </w:pPr>
            <w:r>
              <w:rPr>
                <w:rFonts w:hint="eastAsia" w:eastAsia="楷体_GB2312"/>
                <w:sz w:val="24"/>
              </w:rPr>
              <w:t>金额</w:t>
            </w:r>
            <w:r>
              <w:rPr>
                <w:rFonts w:eastAsia="楷体_GB2312"/>
                <w:sz w:val="24"/>
              </w:rPr>
              <w:t>（元）</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1</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500" w:lineRule="exact"/>
              <w:rPr>
                <w:rFonts w:eastAsia="楷体_GB2312"/>
                <w:sz w:val="24"/>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eastAsia="楷体_GB2312"/>
                <w:color w:val="0000FF"/>
                <w:sz w:val="24"/>
              </w:rPr>
              <w:t>国</w:t>
            </w:r>
            <w:r>
              <w:rPr>
                <w:rFonts w:hint="eastAsia" w:eastAsia="楷体_GB2312"/>
                <w:color w:val="0000FF"/>
                <w:sz w:val="24"/>
              </w:rPr>
              <w:t>内供货</w:t>
            </w: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2</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500" w:lineRule="exact"/>
              <w:rPr>
                <w:rFonts w:eastAsia="楷体_GB2312"/>
                <w:sz w:val="24"/>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eastAsia="楷体_GB2312"/>
                <w:color w:val="FF0000"/>
                <w:sz w:val="24"/>
              </w:rPr>
              <w:t>境外供货</w:t>
            </w: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3</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eastAsia="楷体_GB2312"/>
                <w:sz w:val="24"/>
              </w:rPr>
              <w:t>以下无</w:t>
            </w: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500" w:lineRule="exact"/>
              <w:rPr>
                <w:rFonts w:eastAsia="楷体_GB2312"/>
                <w:color w:val="000000"/>
                <w:sz w:val="24"/>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00" w:lineRule="exact"/>
              <w:rPr>
                <w:rFonts w:eastAsia="楷体_GB2312"/>
                <w:color w:val="000000"/>
                <w:sz w:val="24"/>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4</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500" w:lineRule="exact"/>
              <w:rPr>
                <w:rFonts w:eastAsia="楷体_GB2312"/>
                <w:color w:val="000000"/>
                <w:sz w:val="24"/>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00" w:lineRule="exact"/>
              <w:rPr>
                <w:rFonts w:eastAsia="楷体_GB2312"/>
                <w:color w:val="000000"/>
                <w:sz w:val="24"/>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5</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500" w:lineRule="exact"/>
              <w:rPr>
                <w:rFonts w:eastAsia="楷体_GB2312"/>
                <w:color w:val="000000"/>
                <w:sz w:val="24"/>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00" w:lineRule="exact"/>
              <w:rPr>
                <w:rFonts w:eastAsia="楷体_GB2312"/>
                <w:color w:val="000000"/>
                <w:sz w:val="24"/>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color w:val="FF0000"/>
                <w:sz w:val="24"/>
              </w:rPr>
              <w:t>可增加</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3060"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500" w:lineRule="exact"/>
              <w:rPr>
                <w:rFonts w:eastAsia="楷体_GB2312"/>
                <w:color w:val="000000"/>
                <w:sz w:val="24"/>
              </w:rPr>
            </w:pPr>
          </w:p>
        </w:tc>
        <w:tc>
          <w:tcPr>
            <w:tcW w:w="1189"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00" w:lineRule="exact"/>
              <w:rPr>
                <w:rFonts w:eastAsia="楷体_GB2312"/>
                <w:color w:val="000000"/>
                <w:sz w:val="24"/>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总价</w:t>
            </w:r>
          </w:p>
        </w:tc>
        <w:tc>
          <w:tcPr>
            <w:tcW w:w="11334" w:type="dxa"/>
            <w:gridSpan w:val="7"/>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pPr>
            <w:r>
              <w:rPr>
                <w:rFonts w:hint="eastAsia"/>
              </w:rPr>
              <w:t>元</w:t>
            </w:r>
          </w:p>
        </w:tc>
      </w:tr>
      <w:tr>
        <w:tblPrEx>
          <w:tblCellMar>
            <w:top w:w="0" w:type="dxa"/>
            <w:left w:w="108" w:type="dxa"/>
            <w:bottom w:w="0" w:type="dxa"/>
            <w:right w:w="108" w:type="dxa"/>
          </w:tblCellMar>
        </w:tblPrEx>
        <w:trPr>
          <w:trHeight w:val="567" w:hRule="atLeast"/>
          <w:jc w:val="center"/>
        </w:trPr>
        <w:tc>
          <w:tcPr>
            <w:tcW w:w="12282" w:type="dxa"/>
            <w:gridSpan w:val="8"/>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pPr>
            <w:r>
              <w:rPr>
                <w:rFonts w:hint="eastAsia"/>
              </w:rPr>
              <w:t>项目采用公开招标方式采购时，以下不需要填写。</w:t>
            </w:r>
          </w:p>
        </w:tc>
      </w:tr>
      <w:tr>
        <w:tblPrEx>
          <w:tblCellMar>
            <w:top w:w="0" w:type="dxa"/>
            <w:left w:w="108" w:type="dxa"/>
            <w:bottom w:w="0" w:type="dxa"/>
            <w:right w:w="108" w:type="dxa"/>
          </w:tblCellMar>
        </w:tblPrEx>
        <w:trPr>
          <w:trHeight w:val="567" w:hRule="atLeast"/>
          <w:jc w:val="center"/>
        </w:trPr>
        <w:tc>
          <w:tcPr>
            <w:tcW w:w="12282" w:type="dxa"/>
            <w:gridSpan w:val="8"/>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bCs/>
                <w:szCs w:val="21"/>
              </w:rPr>
              <w:sym w:font="Wingdings" w:char="00A8"/>
            </w:r>
            <w:r>
              <w:rPr>
                <w:rFonts w:hint="eastAsia" w:eastAsia="楷体_GB2312"/>
                <w:sz w:val="24"/>
              </w:rPr>
              <w:t>本项目采用</w:t>
            </w:r>
            <w:r>
              <w:rPr>
                <w:rFonts w:hint="eastAsia" w:eastAsia="楷体_GB2312"/>
                <w:color w:val="FF0000"/>
                <w:sz w:val="24"/>
              </w:rPr>
              <w:t>竞争性磋商、单一来源谈判</w:t>
            </w:r>
            <w:r>
              <w:rPr>
                <w:rFonts w:hint="eastAsia" w:eastAsia="楷体_GB2312"/>
                <w:sz w:val="24"/>
              </w:rPr>
              <w:t>等方式采购，</w:t>
            </w:r>
            <w:r>
              <w:rPr>
                <w:rFonts w:hint="eastAsia" w:ascii="楷体_GB2312" w:eastAsia="楷体_GB2312"/>
                <w:color w:val="000000"/>
                <w:sz w:val="24"/>
              </w:rPr>
              <w:t>表中报价为初次报价时的明细清单，实际按最终报价进行相应折扣处理。另，</w:t>
            </w:r>
            <w:r>
              <w:rPr>
                <w:rFonts w:hint="eastAsia" w:eastAsia="楷体_GB2312"/>
                <w:sz w:val="24"/>
              </w:rPr>
              <w:t>供应商承诺免费赠送的货物如下：</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1</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424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color w:val="000000"/>
                <w:sz w:val="24"/>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eastAsia="楷体_GB2312"/>
                <w:sz w:val="24"/>
              </w:rPr>
              <w:t>赠品无单价</w:t>
            </w: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eastAsia="楷体_GB2312"/>
                <w:sz w:val="24"/>
              </w:rPr>
              <w:t>赠品无单价</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jc w:val="center"/>
              <w:rPr>
                <w:rFonts w:eastAsia="楷体_GB2312"/>
                <w:sz w:val="24"/>
              </w:rPr>
            </w:pPr>
            <w:r>
              <w:rPr>
                <w:rFonts w:hint="eastAsia" w:eastAsia="楷体_GB2312"/>
                <w:sz w:val="24"/>
              </w:rPr>
              <w:t>2</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eastAsia="楷体_GB2312"/>
                <w:sz w:val="24"/>
              </w:rPr>
              <w:t>以下无</w:t>
            </w:r>
          </w:p>
        </w:tc>
        <w:tc>
          <w:tcPr>
            <w:tcW w:w="424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color w:val="000000"/>
                <w:sz w:val="24"/>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eastAsia="楷体_GB2312"/>
                <w:sz w:val="24"/>
              </w:rPr>
              <w:t>赠品无单价</w:t>
            </w: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eastAsia="楷体_GB2312"/>
                <w:sz w:val="24"/>
              </w:rPr>
              <w:t>赠品无单价</w:t>
            </w:r>
          </w:p>
        </w:tc>
      </w:tr>
      <w:tr>
        <w:tblPrEx>
          <w:tblCellMar>
            <w:top w:w="0" w:type="dxa"/>
            <w:left w:w="108" w:type="dxa"/>
            <w:bottom w:w="0" w:type="dxa"/>
            <w:right w:w="108" w:type="dxa"/>
          </w:tblCellMar>
        </w:tblPrEx>
        <w:trPr>
          <w:trHeight w:val="567" w:hRule="atLeast"/>
          <w:jc w:val="center"/>
        </w:trPr>
        <w:tc>
          <w:tcPr>
            <w:tcW w:w="94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r>
              <w:rPr>
                <w:rFonts w:hint="eastAsia" w:eastAsia="楷体_GB2312"/>
                <w:color w:val="FF0000"/>
                <w:sz w:val="24"/>
              </w:rPr>
              <w:t>可增加</w:t>
            </w:r>
          </w:p>
        </w:tc>
        <w:tc>
          <w:tcPr>
            <w:tcW w:w="214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4249"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color w:val="000000"/>
                <w:sz w:val="24"/>
              </w:rPr>
            </w:pPr>
          </w:p>
        </w:tc>
        <w:tc>
          <w:tcPr>
            <w:tcW w:w="99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8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c>
          <w:tcPr>
            <w:tcW w:w="170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00" w:lineRule="exact"/>
              <w:rPr>
                <w:rFonts w:eastAsia="楷体_GB2312"/>
                <w:sz w:val="24"/>
              </w:rPr>
            </w:pPr>
          </w:p>
        </w:tc>
      </w:tr>
    </w:tbl>
    <w:p>
      <w:pPr>
        <w:adjustRightInd w:val="0"/>
        <w:snapToGrid w:val="0"/>
        <w:spacing w:line="288" w:lineRule="auto"/>
        <w:jc w:val="center"/>
        <w:outlineLvl w:val="0"/>
        <w:rPr>
          <w:rFonts w:ascii="宋体" w:hAnsi="宋体" w:eastAsia="宋体" w:cs="Times New Roman"/>
          <w:b/>
          <w:sz w:val="32"/>
          <w:szCs w:val="32"/>
        </w:rPr>
        <w:sectPr>
          <w:pgSz w:w="16838" w:h="11906" w:orient="landscape"/>
          <w:pgMar w:top="1247" w:right="1247" w:bottom="1247" w:left="1247" w:header="0" w:footer="694" w:gutter="0"/>
          <w:cols w:space="720" w:num="1"/>
          <w:docGrid w:linePitch="381" w:charSpace="0"/>
        </w:sectPr>
      </w:pPr>
    </w:p>
    <w:p>
      <w:pPr>
        <w:widowControl/>
        <w:spacing w:before="156" w:beforeAutospacing="0" w:after="156" w:afterAutospacing="0"/>
        <w:jc w:val="center"/>
        <w:rPr>
          <w:rFonts w:hint="eastAsia" w:ascii="黑体" w:hAnsi="宋体" w:eastAsia="黑体" w:cs="黑体"/>
          <w:color w:val="000000"/>
          <w:kern w:val="0"/>
          <w:sz w:val="36"/>
          <w:szCs w:val="36"/>
          <w:lang w:val="en-US" w:eastAsia="zh-CN" w:bidi="ar-SA"/>
        </w:rPr>
      </w:pPr>
      <w:r>
        <w:rPr>
          <w:rFonts w:hint="eastAsia" w:ascii="黑体" w:hAnsi="宋体" w:eastAsia="黑体" w:cs="黑体"/>
          <w:color w:val="000000"/>
          <w:kern w:val="0"/>
          <w:sz w:val="36"/>
          <w:szCs w:val="36"/>
          <w:lang w:val="en-US" w:eastAsia="zh-CN" w:bidi="ar-SA"/>
        </w:rPr>
        <w:t>浙江大学</w:t>
      </w:r>
      <w:r>
        <w:rPr>
          <w:rFonts w:hint="eastAsia" w:ascii="黑体" w:hAnsi="宋体" w:eastAsia="黑体" w:cs="黑体"/>
          <w:color w:val="FF0000"/>
          <w:kern w:val="0"/>
          <w:sz w:val="36"/>
          <w:szCs w:val="36"/>
          <w:lang w:val="en-US" w:eastAsia="zh-CN" w:bidi="ar-SA"/>
        </w:rPr>
        <w:t>减免税进口设备</w:t>
      </w:r>
      <w:r>
        <w:rPr>
          <w:rFonts w:hint="eastAsia" w:ascii="黑体" w:hAnsi="宋体" w:eastAsia="黑体" w:cs="黑体"/>
          <w:color w:val="000000"/>
          <w:kern w:val="0"/>
          <w:sz w:val="36"/>
          <w:szCs w:val="36"/>
          <w:lang w:val="en-US" w:eastAsia="zh-CN" w:bidi="ar-SA"/>
        </w:rPr>
        <w:t>领用人须知</w:t>
      </w:r>
    </w:p>
    <w:p>
      <w:pPr>
        <w:widowControl/>
        <w:spacing w:before="0" w:beforeAutospacing="0" w:after="0" w:afterAutospacing="0" w:line="336" w:lineRule="auto"/>
        <w:jc w:val="both"/>
        <w:rPr>
          <w:rFonts w:ascii="宋体" w:hAnsi="宋体" w:eastAsia="宋体" w:cs="Times New Roman"/>
          <w:color w:val="000000"/>
          <w:kern w:val="0"/>
          <w:sz w:val="30"/>
          <w:szCs w:val="30"/>
          <w:lang w:val="en-US" w:eastAsia="zh-CN" w:bidi="ar-SA"/>
        </w:rPr>
      </w:pPr>
      <w:r>
        <w:rPr>
          <w:rFonts w:ascii="宋体" w:hAnsi="宋体" w:eastAsia="宋体" w:cs="Times New Roman"/>
          <w:color w:val="000000"/>
          <w:kern w:val="0"/>
          <w:sz w:val="30"/>
          <w:szCs w:val="30"/>
          <w:lang w:val="en-US" w:eastAsia="zh-CN" w:bidi="ar-SA"/>
        </w:rPr>
        <w:t>用户老师：</w:t>
      </w:r>
    </w:p>
    <w:p>
      <w:pPr>
        <w:widowControl/>
        <w:spacing w:before="0" w:beforeAutospacing="0" w:after="0" w:afterAutospacing="0"/>
        <w:ind w:firstLine="566" w:firstLineChars="236"/>
        <w:jc w:val="both"/>
        <w:rPr>
          <w:rFonts w:ascii="宋体" w:hAnsi="宋体" w:eastAsia="宋体" w:cs="Times New Roman"/>
          <w:color w:val="000000"/>
          <w:kern w:val="0"/>
          <w:sz w:val="24"/>
          <w:szCs w:val="24"/>
          <w:lang w:val="en-US" w:eastAsia="zh-CN" w:bidi="ar-SA"/>
        </w:rPr>
      </w:pPr>
      <w:r>
        <w:rPr>
          <w:rFonts w:ascii="宋体" w:hAnsi="宋体" w:eastAsia="宋体" w:cs="Times New Roman"/>
          <w:color w:val="000000"/>
          <w:kern w:val="0"/>
          <w:sz w:val="24"/>
          <w:szCs w:val="24"/>
          <w:lang w:val="en-US" w:eastAsia="zh-CN" w:bidi="ar-SA"/>
        </w:rPr>
        <w:t xml:space="preserve">您在享受国家特定减免税优惠政策的同时，请知晓并遵守以下事项： </w:t>
      </w:r>
    </w:p>
    <w:p>
      <w:pPr>
        <w:widowControl/>
        <w:spacing w:before="0" w:beforeAutospacing="0" w:after="0" w:afterAutospacing="0"/>
        <w:ind w:firstLine="566" w:firstLineChars="236"/>
        <w:jc w:val="both"/>
        <w:rPr>
          <w:rFonts w:ascii="宋体" w:hAnsi="宋体" w:eastAsia="宋体" w:cs="Times New Roman"/>
          <w:color w:val="000000"/>
          <w:kern w:val="0"/>
          <w:sz w:val="24"/>
          <w:szCs w:val="24"/>
          <w:lang w:val="en-US" w:eastAsia="zh-CN" w:bidi="ar-SA"/>
        </w:rPr>
      </w:pPr>
      <w:r>
        <w:rPr>
          <w:rFonts w:ascii="宋体" w:hAnsi="宋体" w:eastAsia="宋体" w:cs="Times New Roman"/>
          <w:color w:val="000000"/>
          <w:kern w:val="0"/>
          <w:sz w:val="24"/>
          <w:szCs w:val="24"/>
          <w:lang w:val="en-US" w:eastAsia="zh-CN" w:bidi="ar-SA"/>
        </w:rPr>
        <w:t>一、减免税进口的货物，应当接受海关监管。 除船舶、飞机、机动车辆外的货物，</w:t>
      </w:r>
      <w:r>
        <w:rPr>
          <w:rFonts w:ascii="宋体" w:hAnsi="宋体" w:eastAsia="宋体" w:cs="Times New Roman"/>
          <w:color w:val="FF0000"/>
          <w:kern w:val="0"/>
          <w:sz w:val="24"/>
          <w:szCs w:val="24"/>
          <w:lang w:val="en-US" w:eastAsia="zh-CN" w:bidi="ar-SA"/>
        </w:rPr>
        <w:t>监管期为三年</w:t>
      </w:r>
      <w:r>
        <w:rPr>
          <w:rFonts w:ascii="宋体" w:hAnsi="宋体" w:eastAsia="宋体" w:cs="Times New Roman"/>
          <w:color w:val="000000"/>
          <w:kern w:val="0"/>
          <w:sz w:val="24"/>
          <w:szCs w:val="24"/>
          <w:lang w:val="en-US" w:eastAsia="zh-CN" w:bidi="ar-SA"/>
        </w:rPr>
        <w:t>。监管年限自货物进口放行之日起计算</w:t>
      </w:r>
      <w:r>
        <w:rPr>
          <w:rFonts w:hint="eastAsia" w:ascii="宋体" w:hAnsi="宋体" w:eastAsia="宋体" w:cs="Times New Roman"/>
          <w:color w:val="000000"/>
          <w:kern w:val="0"/>
          <w:sz w:val="24"/>
          <w:szCs w:val="24"/>
          <w:lang w:val="en-US" w:eastAsia="zh-CN" w:bidi="ar-SA"/>
        </w:rPr>
        <w:t>，简单起见可按实验室到货时间起算三年内</w:t>
      </w:r>
      <w:r>
        <w:rPr>
          <w:rFonts w:ascii="宋体" w:hAnsi="宋体" w:eastAsia="宋体" w:cs="Times New Roman"/>
          <w:color w:val="000000"/>
          <w:kern w:val="0"/>
          <w:sz w:val="24"/>
          <w:szCs w:val="24"/>
          <w:lang w:val="en-US" w:eastAsia="zh-CN" w:bidi="ar-SA"/>
        </w:rPr>
        <w:t>。</w:t>
      </w:r>
    </w:p>
    <w:p>
      <w:pPr>
        <w:widowControl/>
        <w:spacing w:before="0" w:beforeAutospacing="0" w:after="0" w:afterAutospacing="0"/>
        <w:ind w:firstLine="566" w:firstLineChars="236"/>
        <w:jc w:val="both"/>
        <w:rPr>
          <w:rFonts w:ascii="宋体" w:hAnsi="宋体" w:eastAsia="宋体" w:cs="Times New Roman"/>
          <w:color w:val="000000"/>
          <w:kern w:val="0"/>
          <w:sz w:val="24"/>
          <w:szCs w:val="24"/>
          <w:lang w:val="en-US" w:eastAsia="zh-CN" w:bidi="ar-SA"/>
        </w:rPr>
      </w:pPr>
      <w:r>
        <w:rPr>
          <w:rFonts w:ascii="宋体" w:hAnsi="宋体" w:eastAsia="宋体" w:cs="Times New Roman"/>
          <w:color w:val="000000"/>
          <w:kern w:val="0"/>
          <w:sz w:val="24"/>
          <w:szCs w:val="24"/>
          <w:lang w:val="en-US" w:eastAsia="zh-CN" w:bidi="ar-SA"/>
        </w:rPr>
        <w:t>二、减免税进口的货物在监管期限内</w:t>
      </w:r>
      <w:r>
        <w:rPr>
          <w:rFonts w:ascii="宋体" w:hAnsi="宋体" w:eastAsia="宋体" w:cs="Times New Roman"/>
          <w:color w:val="FF0000"/>
          <w:kern w:val="0"/>
          <w:sz w:val="24"/>
          <w:szCs w:val="24"/>
          <w:lang w:val="en-US" w:eastAsia="zh-CN" w:bidi="ar-SA"/>
        </w:rPr>
        <w:t>只能用于原备案地点或校内其他地点</w:t>
      </w:r>
      <w:r>
        <w:rPr>
          <w:rFonts w:ascii="宋体" w:hAnsi="宋体" w:eastAsia="宋体" w:cs="Times New Roman"/>
          <w:color w:val="000000"/>
          <w:kern w:val="0"/>
          <w:sz w:val="24"/>
          <w:szCs w:val="24"/>
          <w:lang w:val="en-US" w:eastAsia="zh-CN" w:bidi="ar-SA"/>
        </w:rPr>
        <w:t>，且</w:t>
      </w:r>
      <w:r>
        <w:rPr>
          <w:rFonts w:ascii="宋体" w:hAnsi="宋体" w:eastAsia="宋体" w:cs="Times New Roman"/>
          <w:color w:val="FF0000"/>
          <w:kern w:val="0"/>
          <w:sz w:val="24"/>
          <w:szCs w:val="24"/>
          <w:lang w:val="en-US" w:eastAsia="zh-CN" w:bidi="ar-SA"/>
        </w:rPr>
        <w:t>只能用于教学和科研</w:t>
      </w:r>
      <w:r>
        <w:rPr>
          <w:rFonts w:ascii="宋体" w:hAnsi="宋体" w:eastAsia="宋体" w:cs="Times New Roman"/>
          <w:color w:val="000000"/>
          <w:kern w:val="0"/>
          <w:sz w:val="24"/>
          <w:szCs w:val="24"/>
          <w:lang w:val="en-US" w:eastAsia="zh-CN" w:bidi="ar-SA"/>
        </w:rPr>
        <w:t>，未经海关核准不得移作他用。</w:t>
      </w:r>
      <w:r>
        <w:rPr>
          <w:rFonts w:hint="eastAsia" w:ascii="宋体" w:hAnsi="宋体" w:eastAsia="宋体" w:cs="Times New Roman"/>
          <w:color w:val="000000"/>
          <w:kern w:val="0"/>
          <w:sz w:val="24"/>
          <w:szCs w:val="24"/>
          <w:lang w:val="en-US" w:eastAsia="zh-CN" w:bidi="ar-SA"/>
        </w:rPr>
        <w:t>完成资产增置后的设备</w:t>
      </w:r>
      <w:r>
        <w:rPr>
          <w:rFonts w:ascii="宋体" w:hAnsi="宋体" w:eastAsia="宋体" w:cs="Times New Roman"/>
          <w:color w:val="000000"/>
          <w:kern w:val="0"/>
          <w:sz w:val="24"/>
          <w:szCs w:val="24"/>
          <w:lang w:val="en-US" w:eastAsia="zh-CN" w:bidi="ar-SA"/>
        </w:rPr>
        <w:t>如</w:t>
      </w:r>
      <w:r>
        <w:rPr>
          <w:rFonts w:hint="eastAsia" w:ascii="宋体" w:hAnsi="宋体" w:eastAsia="宋体" w:cs="Times New Roman"/>
          <w:color w:val="000000"/>
          <w:kern w:val="0"/>
          <w:sz w:val="24"/>
          <w:szCs w:val="24"/>
          <w:lang w:val="en-US" w:eastAsia="zh-CN" w:bidi="ar-SA"/>
        </w:rPr>
        <w:t>确需</w:t>
      </w:r>
      <w:r>
        <w:rPr>
          <w:rFonts w:ascii="宋体" w:hAnsi="宋体" w:eastAsia="宋体" w:cs="Times New Roman"/>
          <w:color w:val="000000"/>
          <w:kern w:val="0"/>
          <w:sz w:val="24"/>
          <w:szCs w:val="24"/>
          <w:lang w:val="en-US" w:eastAsia="zh-CN" w:bidi="ar-SA"/>
        </w:rPr>
        <w:t>变更设备使用地点</w:t>
      </w:r>
      <w:r>
        <w:rPr>
          <w:rFonts w:hint="eastAsia" w:ascii="宋体" w:hAnsi="宋体" w:eastAsia="宋体" w:cs="Times New Roman"/>
          <w:color w:val="000000"/>
          <w:kern w:val="0"/>
          <w:sz w:val="24"/>
          <w:szCs w:val="24"/>
          <w:lang w:val="en-US" w:eastAsia="zh-CN" w:bidi="ar-SA"/>
        </w:rPr>
        <w:t>的</w:t>
      </w:r>
      <w:r>
        <w:rPr>
          <w:rFonts w:ascii="宋体" w:hAnsi="宋体" w:eastAsia="宋体" w:cs="Times New Roman"/>
          <w:color w:val="000000"/>
          <w:kern w:val="0"/>
          <w:sz w:val="24"/>
          <w:szCs w:val="24"/>
          <w:lang w:val="en-US" w:eastAsia="zh-CN" w:bidi="ar-SA"/>
        </w:rPr>
        <w:t>，应</w:t>
      </w:r>
      <w:r>
        <w:rPr>
          <w:rFonts w:hint="eastAsia" w:ascii="宋体" w:hAnsi="宋体" w:eastAsia="宋体" w:cs="Times New Roman"/>
          <w:color w:val="000000"/>
          <w:kern w:val="0"/>
          <w:sz w:val="24"/>
          <w:szCs w:val="24"/>
          <w:lang w:val="en-US" w:eastAsia="zh-CN" w:bidi="ar-SA"/>
        </w:rPr>
        <w:t>在学院审批同意后</w:t>
      </w:r>
      <w:r>
        <w:rPr>
          <w:rFonts w:ascii="宋体" w:hAnsi="宋体" w:eastAsia="宋体" w:cs="Times New Roman"/>
          <w:color w:val="FF0000"/>
          <w:kern w:val="0"/>
          <w:sz w:val="24"/>
          <w:szCs w:val="24"/>
          <w:lang w:val="en-US" w:eastAsia="zh-CN" w:bidi="ar-SA"/>
        </w:rPr>
        <w:t>通过学校采购中心向海关申报，经海关核准同意后方可</w:t>
      </w:r>
      <w:r>
        <w:rPr>
          <w:rFonts w:hint="eastAsia" w:ascii="宋体" w:hAnsi="宋体" w:eastAsia="宋体" w:cs="Times New Roman"/>
          <w:color w:val="FF0000"/>
          <w:kern w:val="0"/>
          <w:sz w:val="24"/>
          <w:szCs w:val="24"/>
          <w:lang w:val="en-US" w:eastAsia="zh-CN" w:bidi="ar-SA"/>
        </w:rPr>
        <w:t>变更使用地点</w:t>
      </w:r>
      <w:r>
        <w:rPr>
          <w:rFonts w:ascii="宋体" w:hAnsi="宋体" w:eastAsia="宋体" w:cs="Times New Roman"/>
          <w:color w:val="FF0000"/>
          <w:kern w:val="0"/>
          <w:sz w:val="24"/>
          <w:szCs w:val="24"/>
          <w:lang w:val="en-US" w:eastAsia="zh-CN" w:bidi="ar-SA"/>
        </w:rPr>
        <w:t xml:space="preserve">。 </w:t>
      </w:r>
    </w:p>
    <w:p>
      <w:pPr>
        <w:widowControl/>
        <w:spacing w:before="0" w:beforeAutospacing="0" w:after="0" w:afterAutospacing="0"/>
        <w:ind w:firstLine="566" w:firstLineChars="236"/>
        <w:jc w:val="both"/>
        <w:rPr>
          <w:rFonts w:ascii="宋体" w:hAnsi="宋体" w:eastAsia="宋体" w:cs="Times New Roman"/>
          <w:color w:val="000000"/>
          <w:kern w:val="0"/>
          <w:sz w:val="24"/>
          <w:szCs w:val="24"/>
          <w:lang w:val="en-US" w:eastAsia="zh-CN" w:bidi="ar-SA"/>
        </w:rPr>
      </w:pPr>
      <w:r>
        <w:rPr>
          <w:rFonts w:ascii="宋体" w:hAnsi="宋体" w:eastAsia="宋体" w:cs="Times New Roman"/>
          <w:color w:val="000000"/>
          <w:kern w:val="0"/>
          <w:sz w:val="24"/>
          <w:szCs w:val="24"/>
          <w:lang w:val="en-US" w:eastAsia="zh-CN" w:bidi="ar-SA"/>
        </w:rPr>
        <w:t>三、仪器设备到货后</w:t>
      </w:r>
      <w:r>
        <w:rPr>
          <w:rFonts w:hint="eastAsia" w:ascii="宋体" w:hAnsi="宋体" w:eastAsia="宋体" w:cs="Times New Roman"/>
          <w:color w:val="000000"/>
          <w:kern w:val="0"/>
          <w:sz w:val="24"/>
          <w:szCs w:val="24"/>
          <w:lang w:val="en-US" w:eastAsia="zh-CN" w:bidi="ar-SA"/>
        </w:rPr>
        <w:t>及时按照《浙江大学大型仪器设备验收实施细则》完成开箱验货，在验收通过后尽快完成资产增置手续。</w:t>
      </w:r>
      <w:r>
        <w:rPr>
          <w:rFonts w:ascii="宋体" w:hAnsi="宋体" w:eastAsia="宋体" w:cs="Times New Roman"/>
          <w:color w:val="000000"/>
          <w:kern w:val="0"/>
          <w:sz w:val="24"/>
          <w:szCs w:val="24"/>
          <w:lang w:val="en-US" w:eastAsia="zh-CN" w:bidi="ar-SA"/>
        </w:rPr>
        <w:t xml:space="preserve">资产增置前参照《浙江大学仪器设备资产管理办法》做好管理工作。 </w:t>
      </w:r>
    </w:p>
    <w:p>
      <w:pPr>
        <w:widowControl/>
        <w:spacing w:before="0" w:beforeAutospacing="0" w:after="0" w:afterAutospacing="0"/>
        <w:ind w:firstLine="566" w:firstLineChars="236"/>
        <w:jc w:val="both"/>
        <w:rPr>
          <w:rFonts w:ascii="宋体" w:hAnsi="宋体" w:eastAsia="宋体" w:cs="Times New Roman"/>
          <w:color w:val="000000"/>
          <w:kern w:val="0"/>
          <w:sz w:val="24"/>
          <w:szCs w:val="24"/>
          <w:lang w:val="en-US" w:eastAsia="zh-CN" w:bidi="ar-SA"/>
        </w:rPr>
      </w:pPr>
      <w:r>
        <w:rPr>
          <w:rFonts w:ascii="宋体" w:hAnsi="宋体" w:eastAsia="宋体" w:cs="Times New Roman"/>
          <w:color w:val="000000"/>
          <w:kern w:val="0"/>
          <w:sz w:val="24"/>
          <w:szCs w:val="24"/>
          <w:lang w:val="en-US" w:eastAsia="zh-CN" w:bidi="ar-SA"/>
        </w:rPr>
        <w:t>根据《中华人民共和国海关法》、《中华人民共和国进出口关税条例》和《中华人民共和国海关进出口货物征税管理办法》等有关规定制定，单位或个人</w:t>
      </w:r>
      <w:r>
        <w:rPr>
          <w:rFonts w:hint="eastAsia" w:ascii="宋体" w:hAnsi="宋体" w:eastAsia="宋体" w:cs="Times New Roman"/>
          <w:color w:val="000000"/>
          <w:kern w:val="0"/>
          <w:sz w:val="24"/>
          <w:szCs w:val="24"/>
          <w:lang w:val="en-US" w:eastAsia="zh-CN" w:bidi="ar-SA"/>
        </w:rPr>
        <w:t>如有</w:t>
      </w:r>
      <w:r>
        <w:rPr>
          <w:rFonts w:ascii="宋体" w:hAnsi="宋体" w:eastAsia="宋体" w:cs="Times New Roman"/>
          <w:color w:val="000000"/>
          <w:kern w:val="0"/>
          <w:sz w:val="24"/>
          <w:szCs w:val="24"/>
          <w:lang w:val="en-US" w:eastAsia="zh-CN" w:bidi="ar-SA"/>
        </w:rPr>
        <w:t>违反</w:t>
      </w:r>
      <w:r>
        <w:rPr>
          <w:rFonts w:hint="eastAsia" w:ascii="宋体" w:hAnsi="宋体" w:eastAsia="宋体" w:cs="Times New Roman"/>
          <w:color w:val="000000"/>
          <w:kern w:val="0"/>
          <w:sz w:val="24"/>
          <w:szCs w:val="24"/>
          <w:lang w:val="en-US" w:eastAsia="zh-CN" w:bidi="ar-SA"/>
        </w:rPr>
        <w:t>相</w:t>
      </w:r>
      <w:r>
        <w:rPr>
          <w:rFonts w:ascii="宋体" w:hAnsi="宋体" w:eastAsia="宋体" w:cs="Times New Roman"/>
          <w:color w:val="000000"/>
          <w:kern w:val="0"/>
          <w:sz w:val="24"/>
          <w:szCs w:val="24"/>
          <w:lang w:val="en-US" w:eastAsia="zh-CN" w:bidi="ar-SA"/>
        </w:rPr>
        <w:t>关法律法规，海关将按照规定移交海关调查或者</w:t>
      </w:r>
      <w:r>
        <w:rPr>
          <w:rFonts w:hint="eastAsia" w:ascii="宋体" w:hAnsi="宋体" w:eastAsia="宋体" w:cs="Times New Roman"/>
          <w:color w:val="000000"/>
          <w:kern w:val="0"/>
          <w:sz w:val="24"/>
          <w:szCs w:val="24"/>
          <w:lang w:val="en-US" w:eastAsia="zh-CN" w:bidi="ar-SA"/>
        </w:rPr>
        <w:t>稽查</w:t>
      </w:r>
      <w:r>
        <w:rPr>
          <w:rFonts w:ascii="宋体" w:hAnsi="宋体" w:eastAsia="宋体" w:cs="Times New Roman"/>
          <w:color w:val="000000"/>
          <w:kern w:val="0"/>
          <w:sz w:val="24"/>
          <w:szCs w:val="24"/>
          <w:lang w:val="en-US" w:eastAsia="zh-CN" w:bidi="ar-SA"/>
        </w:rPr>
        <w:t>部门处理。</w:t>
      </w:r>
    </w:p>
    <w:p>
      <w:pPr>
        <w:widowControl/>
        <w:spacing w:before="0" w:beforeAutospacing="0" w:after="0" w:afterAutospacing="0"/>
        <w:ind w:firstLine="566" w:firstLineChars="236"/>
        <w:jc w:val="both"/>
        <w:rPr>
          <w:rFonts w:hint="default" w:ascii="宋体" w:hAnsi="宋体" w:eastAsia="宋体" w:cs="Times New Roman"/>
          <w:color w:val="000000"/>
          <w:kern w:val="0"/>
          <w:sz w:val="24"/>
          <w:szCs w:val="24"/>
          <w:lang w:val="en-US" w:eastAsia="zh-CN" w:bidi="ar-SA"/>
          <w14:textFill>
            <w14:gradFill>
              <w14:gsLst>
                <w14:gs w14:pos="0">
                  <w14:srgbClr w14:val="012D86"/>
                </w14:gs>
                <w14:gs w14:pos="100000">
                  <w14:srgbClr w14:val="0E2557"/>
                </w14:gs>
              </w14:gsLst>
              <w14:lin w14:scaled="0"/>
            </w14:gradFill>
          </w14:textFill>
        </w:rPr>
      </w:pPr>
      <w:r>
        <w:rPr>
          <w:rFonts w:hint="eastAsia" w:ascii="宋体" w:hAnsi="宋体" w:eastAsia="宋体" w:cs="Times New Roman"/>
          <w:color w:val="FF0000"/>
          <w:kern w:val="0"/>
          <w:sz w:val="24"/>
          <w:szCs w:val="24"/>
          <w:lang w:val="en-US" w:eastAsia="zh-CN" w:bidi="ar-SA"/>
          <w14:textFill>
            <w14:gradFill>
              <w14:gsLst>
                <w14:gs w14:pos="0">
                  <w14:srgbClr w14:val="012D86"/>
                </w14:gs>
                <w14:gs w14:pos="100000">
                  <w14:srgbClr w14:val="0E2557"/>
                </w14:gs>
              </w14:gsLst>
              <w14:lin w14:scaled="0"/>
            </w14:gradFill>
          </w14:textFill>
        </w:rPr>
        <w:t>如需变更使用地点，请事先联系采购中心邮箱jinkou@zju.edu.cn</w:t>
      </w:r>
    </w:p>
    <w:p>
      <w:pPr>
        <w:widowControl/>
        <w:spacing w:before="0" w:beforeAutospacing="0" w:after="0" w:afterAutospacing="0"/>
        <w:ind w:firstLine="566" w:firstLineChars="236"/>
        <w:jc w:val="both"/>
        <w:rPr>
          <w:rFonts w:ascii="宋体" w:hAnsi="宋体" w:eastAsia="宋体" w:cs="Times New Roman"/>
          <w:color w:val="000000"/>
          <w:kern w:val="0"/>
          <w:sz w:val="24"/>
          <w:szCs w:val="24"/>
          <w:lang w:val="en-US" w:eastAsia="zh-CN" w:bidi="ar-SA"/>
        </w:rPr>
      </w:pPr>
    </w:p>
    <w:p>
      <w:pPr>
        <w:widowControl/>
        <w:spacing w:before="0" w:beforeAutospacing="0" w:after="0" w:afterAutospacing="0" w:line="336" w:lineRule="auto"/>
        <w:jc w:val="right"/>
        <w:rPr>
          <w:rFonts w:ascii="宋体" w:hAnsi="宋体" w:eastAsia="宋体" w:cs="Times New Roman"/>
          <w:color w:val="000000"/>
          <w:kern w:val="0"/>
          <w:sz w:val="30"/>
          <w:szCs w:val="30"/>
          <w:lang w:val="en-US" w:eastAsia="zh-CN" w:bidi="ar-SA"/>
        </w:rPr>
      </w:pPr>
      <w:r>
        <w:rPr>
          <w:rFonts w:ascii="宋体" w:hAnsi="宋体" w:eastAsia="宋体" w:cs="Times New Roman"/>
          <w:color w:val="000000"/>
          <w:kern w:val="0"/>
          <w:sz w:val="30"/>
          <w:szCs w:val="30"/>
          <w:lang w:val="en-US" w:eastAsia="zh-CN" w:bidi="ar-SA"/>
        </w:rPr>
        <w:t>采购中心</w:t>
      </w:r>
    </w:p>
    <w:p>
      <w:pPr>
        <w:widowControl/>
        <w:spacing w:before="0" w:beforeAutospacing="0" w:after="0" w:afterAutospacing="0" w:line="336" w:lineRule="auto"/>
        <w:jc w:val="right"/>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2023</w:t>
      </w:r>
      <w:r>
        <w:rPr>
          <w:rFonts w:ascii="宋体" w:hAnsi="宋体" w:eastAsia="宋体" w:cs="Times New Roman"/>
          <w:color w:val="000000"/>
          <w:kern w:val="0"/>
          <w:sz w:val="24"/>
          <w:szCs w:val="24"/>
          <w:lang w:val="en-US" w:eastAsia="zh-CN" w:bidi="ar-SA"/>
        </w:rPr>
        <w:t>年</w:t>
      </w:r>
      <w:r>
        <w:rPr>
          <w:rFonts w:hint="eastAsia" w:ascii="宋体" w:hAnsi="宋体" w:eastAsia="宋体" w:cs="Times New Roman"/>
          <w:color w:val="000000"/>
          <w:kern w:val="0"/>
          <w:sz w:val="24"/>
          <w:szCs w:val="24"/>
          <w:lang w:val="en-US" w:eastAsia="zh-CN" w:bidi="ar-SA"/>
        </w:rPr>
        <w:t>5</w:t>
      </w:r>
      <w:r>
        <w:rPr>
          <w:rFonts w:ascii="宋体" w:hAnsi="宋体" w:eastAsia="宋体" w:cs="Times New Roman"/>
          <w:color w:val="000000"/>
          <w:kern w:val="0"/>
          <w:sz w:val="24"/>
          <w:szCs w:val="24"/>
          <w:lang w:val="en-US" w:eastAsia="zh-CN" w:bidi="ar-SA"/>
        </w:rPr>
        <w:t>月</w:t>
      </w:r>
      <w:r>
        <w:rPr>
          <w:rFonts w:hint="eastAsia" w:ascii="宋体" w:hAnsi="宋体" w:eastAsia="宋体" w:cs="Times New Roman"/>
          <w:color w:val="000000"/>
          <w:kern w:val="0"/>
          <w:sz w:val="24"/>
          <w:szCs w:val="24"/>
          <w:lang w:val="en-US" w:eastAsia="zh-CN" w:bidi="ar-SA"/>
        </w:rPr>
        <w:t>22</w:t>
      </w:r>
      <w:r>
        <w:rPr>
          <w:rFonts w:ascii="宋体" w:hAnsi="宋体" w:eastAsia="宋体" w:cs="Times New Roman"/>
          <w:color w:val="000000"/>
          <w:kern w:val="0"/>
          <w:sz w:val="24"/>
          <w:szCs w:val="24"/>
          <w:lang w:val="en-US" w:eastAsia="zh-CN" w:bidi="ar-SA"/>
        </w:rPr>
        <w:t>日</w:t>
      </w:r>
    </w:p>
    <w:p>
      <w:pPr>
        <w:widowControl/>
        <w:spacing w:before="0" w:beforeAutospacing="0" w:after="0" w:afterAutospacing="0"/>
        <w:jc w:val="center"/>
        <w:rPr>
          <w:rFonts w:hint="eastAsia" w:ascii="黑体" w:hAnsi="宋体" w:eastAsia="黑体" w:cs="黑体"/>
          <w:color w:val="000000"/>
          <w:kern w:val="0"/>
          <w:sz w:val="36"/>
          <w:szCs w:val="36"/>
          <w:lang w:val="en-US" w:eastAsia="zh-CN" w:bidi="ar-SA"/>
        </w:rPr>
      </w:pPr>
    </w:p>
    <w:p>
      <w:pPr>
        <w:widowControl/>
        <w:spacing w:before="0" w:beforeAutospacing="0" w:after="0" w:afterAutospacing="0"/>
        <w:jc w:val="center"/>
        <w:rPr>
          <w:rFonts w:hint="default" w:ascii="黑体" w:hAnsi="宋体" w:eastAsia="黑体" w:cs="黑体"/>
          <w:color w:val="000000"/>
          <w:kern w:val="0"/>
          <w:sz w:val="36"/>
          <w:szCs w:val="36"/>
          <w:lang w:val="en-US" w:eastAsia="zh-CN" w:bidi="ar-SA"/>
        </w:rPr>
      </w:pPr>
      <w:r>
        <w:rPr>
          <w:rFonts w:hint="eastAsia" w:ascii="黑体" w:hAnsi="宋体" w:eastAsia="黑体" w:cs="黑体"/>
          <w:color w:val="000000"/>
          <w:kern w:val="0"/>
          <w:sz w:val="36"/>
          <w:szCs w:val="36"/>
          <w:lang w:val="en-US" w:eastAsia="zh-CN" w:bidi="ar-SA"/>
        </w:rPr>
        <w:t>用户回执(</w:t>
      </w:r>
      <w:r>
        <w:rPr>
          <w:rFonts w:hint="eastAsia" w:ascii="黑体" w:hAnsi="宋体" w:eastAsia="黑体" w:cs="黑体"/>
          <w:color w:val="FF0000"/>
          <w:kern w:val="0"/>
          <w:sz w:val="36"/>
          <w:szCs w:val="36"/>
          <w:lang w:val="en-US" w:eastAsia="zh-CN" w:bidi="ar-SA"/>
        </w:rPr>
        <w:t>境内供货不需要填写</w:t>
      </w:r>
      <w:r>
        <w:rPr>
          <w:rFonts w:hint="eastAsia" w:ascii="黑体" w:hAnsi="宋体" w:eastAsia="黑体" w:cs="黑体"/>
          <w:color w:val="000000"/>
          <w:kern w:val="0"/>
          <w:sz w:val="36"/>
          <w:szCs w:val="36"/>
          <w:lang w:val="en-US" w:eastAsia="zh-CN" w:bidi="ar-SA"/>
        </w:rPr>
        <w:t>)</w:t>
      </w:r>
    </w:p>
    <w:p>
      <w:pPr>
        <w:widowControl/>
        <w:spacing w:before="0" w:beforeAutospacing="0" w:after="0" w:afterAutospacing="0" w:line="336" w:lineRule="auto"/>
        <w:jc w:val="both"/>
        <w:rPr>
          <w:rFonts w:ascii="宋体" w:hAnsi="宋体" w:eastAsia="宋体" w:cs="Times New Roman"/>
          <w:color w:val="000000"/>
          <w:kern w:val="0"/>
          <w:sz w:val="30"/>
          <w:szCs w:val="30"/>
          <w:lang w:val="en-US" w:eastAsia="zh-CN" w:bidi="ar-SA"/>
        </w:rPr>
      </w:pPr>
      <w:r>
        <w:rPr>
          <w:rFonts w:ascii="宋体" w:hAnsi="宋体" w:eastAsia="宋体" w:cs="Times New Roman"/>
          <w:color w:val="000000"/>
          <w:kern w:val="0"/>
          <w:sz w:val="30"/>
          <w:szCs w:val="30"/>
          <w:lang w:val="en-US" w:eastAsia="zh-CN" w:bidi="ar-SA"/>
        </w:rPr>
        <w:t xml:space="preserve">采购中心： </w:t>
      </w:r>
    </w:p>
    <w:p>
      <w:pPr>
        <w:widowControl/>
        <w:spacing w:before="0" w:beforeAutospacing="0" w:after="0" w:afterAutospacing="0"/>
        <w:ind w:firstLine="566" w:firstLineChars="236"/>
        <w:jc w:val="both"/>
        <w:rPr>
          <w:rFonts w:hint="default" w:ascii="宋体" w:hAnsi="宋体" w:eastAsia="宋体" w:cs="Times New Roman"/>
          <w:b/>
          <w:bCs/>
          <w:color w:val="000000"/>
          <w:kern w:val="0"/>
          <w:sz w:val="24"/>
          <w:szCs w:val="24"/>
          <w:lang w:val="en-US" w:eastAsia="zh-CN" w:bidi="ar-SA"/>
        </w:rPr>
      </w:pPr>
      <w:r>
        <w:rPr>
          <w:rFonts w:ascii="宋体" w:hAnsi="宋体" w:eastAsia="宋体" w:cs="Times New Roman"/>
          <w:color w:val="000000"/>
          <w:kern w:val="0"/>
          <w:sz w:val="24"/>
          <w:szCs w:val="24"/>
          <w:lang w:val="en-US" w:eastAsia="zh-CN" w:bidi="ar-SA"/>
        </w:rPr>
        <w:t>本人及指定的</w:t>
      </w:r>
      <w:r>
        <w:rPr>
          <w:rFonts w:hint="eastAsia" w:ascii="宋体" w:hAnsi="宋体" w:eastAsia="宋体" w:cs="Times New Roman"/>
          <w:color w:val="000000"/>
          <w:kern w:val="0"/>
          <w:sz w:val="24"/>
          <w:szCs w:val="24"/>
          <w:lang w:val="en-US" w:eastAsia="zh-CN" w:bidi="ar-SA"/>
        </w:rPr>
        <w:t>设备</w:t>
      </w:r>
      <w:r>
        <w:rPr>
          <w:rFonts w:ascii="宋体" w:hAnsi="宋体" w:eastAsia="宋体" w:cs="Times New Roman"/>
          <w:color w:val="000000"/>
          <w:kern w:val="0"/>
          <w:sz w:val="24"/>
          <w:szCs w:val="24"/>
          <w:lang w:val="en-US" w:eastAsia="zh-CN" w:bidi="ar-SA"/>
        </w:rPr>
        <w:t>领用人已阅读《</w:t>
      </w:r>
      <w:r>
        <w:rPr>
          <w:rFonts w:hint="eastAsia" w:ascii="宋体" w:hAnsi="宋体" w:eastAsia="宋体" w:cs="Times New Roman"/>
          <w:color w:val="000000"/>
          <w:kern w:val="0"/>
          <w:sz w:val="24"/>
          <w:szCs w:val="24"/>
          <w:lang w:val="en-US" w:eastAsia="zh-CN" w:bidi="ar-SA"/>
        </w:rPr>
        <w:t>浙江大学</w:t>
      </w:r>
      <w:r>
        <w:rPr>
          <w:rFonts w:ascii="宋体" w:hAnsi="宋体" w:eastAsia="宋体" w:cs="Times New Roman"/>
          <w:color w:val="000000"/>
          <w:kern w:val="0"/>
          <w:sz w:val="24"/>
          <w:szCs w:val="24"/>
          <w:lang w:val="en-US" w:eastAsia="zh-CN" w:bidi="ar-SA"/>
        </w:rPr>
        <w:t>减免税进口设备领用人须知》，愿意遵守有关法律法规，履行相关义务。承诺配合采购中心做好本人签</w:t>
      </w:r>
      <w:r>
        <w:rPr>
          <w:rFonts w:hint="eastAsia" w:ascii="宋体" w:hAnsi="宋体" w:eastAsia="宋体" w:cs="Times New Roman"/>
          <w:color w:val="000000"/>
          <w:kern w:val="0"/>
          <w:sz w:val="24"/>
          <w:szCs w:val="24"/>
          <w:lang w:val="en-US" w:eastAsia="zh-CN" w:bidi="ar-SA"/>
        </w:rPr>
        <w:t>订采购合同</w:t>
      </w:r>
      <w:r>
        <w:rPr>
          <w:rFonts w:ascii="宋体" w:hAnsi="宋体" w:eastAsia="宋体" w:cs="Times New Roman"/>
          <w:color w:val="000000"/>
          <w:kern w:val="0"/>
          <w:sz w:val="24"/>
          <w:szCs w:val="24"/>
          <w:lang w:val="en-US" w:eastAsia="zh-CN" w:bidi="ar-SA"/>
        </w:rPr>
        <w:t>所涉及减免税货物在监管期内的监管。</w:t>
      </w:r>
      <w:r>
        <w:rPr>
          <w:rFonts w:hint="eastAsia" w:ascii="宋体" w:hAnsi="宋体" w:eastAsia="宋体" w:cs="Times New Roman"/>
          <w:color w:val="000000"/>
          <w:kern w:val="0"/>
          <w:sz w:val="24"/>
          <w:szCs w:val="24"/>
          <w:lang w:val="en-US" w:eastAsia="zh-CN" w:bidi="ar-SA"/>
        </w:rPr>
        <w:t>设备到货后指定的在职</w:t>
      </w:r>
      <w:r>
        <w:rPr>
          <w:rFonts w:ascii="宋体" w:hAnsi="宋体" w:eastAsia="宋体" w:cs="Times New Roman"/>
          <w:color w:val="FF0000"/>
          <w:kern w:val="0"/>
          <w:sz w:val="24"/>
          <w:szCs w:val="24"/>
          <w:lang w:val="en-US" w:eastAsia="zh-CN" w:bidi="ar-SA"/>
        </w:rPr>
        <w:t>事业编制</w:t>
      </w:r>
      <w:r>
        <w:rPr>
          <w:rFonts w:ascii="宋体" w:hAnsi="宋体" w:eastAsia="宋体" w:cs="Times New Roman"/>
          <w:color w:val="000000"/>
          <w:kern w:val="0"/>
          <w:sz w:val="24"/>
          <w:szCs w:val="24"/>
          <w:lang w:val="en-US" w:eastAsia="zh-CN" w:bidi="ar-SA"/>
        </w:rPr>
        <w:t>设备领用人信息如下</w:t>
      </w:r>
      <w:r>
        <w:rPr>
          <w:rFonts w:hint="eastAsia" w:ascii="宋体" w:hAnsi="宋体" w:eastAsia="宋体" w:cs="Times New Roman"/>
          <w:color w:val="000000"/>
          <w:kern w:val="0"/>
          <w:sz w:val="24"/>
          <w:szCs w:val="24"/>
          <w:lang w:val="en-US" w:eastAsia="zh-CN" w:bidi="ar-SA"/>
        </w:rPr>
        <w:t>（</w:t>
      </w:r>
      <w:r>
        <w:rPr>
          <w:rFonts w:hint="eastAsia" w:ascii="宋体" w:hAnsi="宋体" w:eastAsia="宋体" w:cs="Times New Roman"/>
          <w:color w:val="FF0000"/>
          <w:kern w:val="0"/>
          <w:sz w:val="24"/>
          <w:szCs w:val="24"/>
          <w:lang w:val="en-US" w:eastAsia="zh-CN" w:bidi="ar-SA"/>
        </w:rPr>
        <w:t>事先输入</w:t>
      </w:r>
      <w:r>
        <w:rPr>
          <w:rFonts w:hint="eastAsia" w:ascii="宋体" w:hAnsi="宋体" w:eastAsia="宋体" w:cs="Times New Roman"/>
          <w:color w:val="000000"/>
          <w:kern w:val="0"/>
          <w:sz w:val="24"/>
          <w:szCs w:val="24"/>
          <w:lang w:val="en-US" w:eastAsia="zh-CN" w:bidi="ar-SA"/>
        </w:rPr>
        <w:t>）</w:t>
      </w:r>
      <w:r>
        <w:rPr>
          <w:rFonts w:ascii="宋体" w:hAnsi="宋体" w:eastAsia="宋体" w:cs="Times New Roman"/>
          <w:color w:val="000000"/>
          <w:kern w:val="0"/>
          <w:sz w:val="24"/>
          <w:szCs w:val="24"/>
          <w:lang w:val="en-US" w:eastAsia="zh-CN" w:bidi="ar-SA"/>
        </w:rPr>
        <w:t>：</w:t>
      </w:r>
    </w:p>
    <w:p>
      <w:pPr>
        <w:widowControl/>
        <w:spacing w:before="0" w:beforeAutospacing="0" w:after="0" w:afterAutospacing="0"/>
        <w:ind w:firstLine="569" w:firstLineChars="236"/>
        <w:jc w:val="both"/>
        <w:rPr>
          <w:rFonts w:hint="default" w:ascii="宋体" w:hAnsi="宋体" w:eastAsia="宋体" w:cs="Times New Roman"/>
          <w:b/>
          <w:bCs/>
          <w:color w:val="000000"/>
          <w:kern w:val="0"/>
          <w:sz w:val="24"/>
          <w:szCs w:val="24"/>
          <w:lang w:val="en-US" w:eastAsia="zh-CN" w:bidi="ar-SA"/>
        </w:rPr>
      </w:pPr>
    </w:p>
    <w:p>
      <w:pPr>
        <w:widowControl/>
        <w:spacing w:before="0" w:beforeAutospacing="0" w:after="0" w:afterAutospacing="0" w:line="336" w:lineRule="auto"/>
        <w:ind w:firstLine="566" w:firstLineChars="236"/>
        <w:jc w:val="both"/>
        <w:rPr>
          <w:rFonts w:ascii="宋体" w:hAnsi="宋体" w:eastAsia="宋体" w:cs="Times New Roman"/>
          <w:color w:val="0070C0"/>
          <w:kern w:val="0"/>
          <w:sz w:val="24"/>
          <w:szCs w:val="24"/>
          <w:lang w:val="en-US" w:eastAsia="zh-CN" w:bidi="ar-SA"/>
        </w:rPr>
      </w:pPr>
      <w:r>
        <w:rPr>
          <w:rFonts w:hint="eastAsia" w:ascii="宋体" w:hAnsi="宋体" w:eastAsia="宋体" w:cs="Times New Roman"/>
          <w:color w:val="0070C0"/>
          <w:kern w:val="0"/>
          <w:sz w:val="24"/>
          <w:szCs w:val="24"/>
          <w:lang w:val="en-US" w:eastAsia="zh-CN" w:bidi="ar-SA"/>
        </w:rPr>
        <w:t>设备领用人</w:t>
      </w:r>
      <w:r>
        <w:rPr>
          <w:rFonts w:ascii="宋体" w:hAnsi="宋体" w:eastAsia="宋体" w:cs="Times New Roman"/>
          <w:color w:val="0070C0"/>
          <w:kern w:val="0"/>
          <w:sz w:val="24"/>
          <w:szCs w:val="24"/>
          <w:lang w:val="en-US" w:eastAsia="zh-CN" w:bidi="ar-SA"/>
        </w:rPr>
        <w:t xml:space="preserve">姓名：   </w:t>
      </w:r>
      <w:r>
        <w:rPr>
          <w:rFonts w:hint="eastAsia" w:ascii="宋体" w:hAnsi="宋体" w:eastAsia="宋体" w:cs="Times New Roman"/>
          <w:color w:val="0070C0"/>
          <w:kern w:val="0"/>
          <w:sz w:val="24"/>
          <w:szCs w:val="24"/>
          <w:lang w:val="en-US" w:eastAsia="zh-CN" w:bidi="ar-SA"/>
        </w:rPr>
        <w:t xml:space="preserve"> </w:t>
      </w:r>
      <w:r>
        <w:rPr>
          <w:rFonts w:ascii="宋体" w:hAnsi="宋体" w:eastAsia="宋体" w:cs="Times New Roman"/>
          <w:color w:val="0070C0"/>
          <w:kern w:val="0"/>
          <w:sz w:val="24"/>
          <w:szCs w:val="24"/>
          <w:lang w:val="en-US" w:eastAsia="zh-CN" w:bidi="ar-SA"/>
        </w:rPr>
        <w:t xml:space="preserve">     </w:t>
      </w:r>
      <w:r>
        <w:rPr>
          <w:rFonts w:hint="eastAsia" w:ascii="宋体" w:hAnsi="宋体" w:eastAsia="宋体" w:cs="Times New Roman"/>
          <w:color w:val="0070C0"/>
          <w:kern w:val="0"/>
          <w:sz w:val="24"/>
          <w:szCs w:val="24"/>
          <w:lang w:val="en-US" w:eastAsia="zh-CN" w:bidi="ar-SA"/>
        </w:rPr>
        <w:t xml:space="preserve">  </w:t>
      </w:r>
      <w:r>
        <w:rPr>
          <w:rFonts w:ascii="宋体" w:hAnsi="宋体" w:eastAsia="宋体" w:cs="Times New Roman"/>
          <w:color w:val="0070C0"/>
          <w:kern w:val="0"/>
          <w:sz w:val="24"/>
          <w:szCs w:val="24"/>
          <w:lang w:val="en-US" w:eastAsia="zh-CN" w:bidi="ar-SA"/>
        </w:rPr>
        <w:t xml:space="preserve">   工号</w:t>
      </w:r>
      <w:r>
        <w:rPr>
          <w:rFonts w:hint="eastAsia" w:ascii="宋体" w:hAnsi="宋体" w:eastAsia="宋体" w:cs="Times New Roman"/>
          <w:color w:val="0070C0"/>
          <w:kern w:val="0"/>
          <w:sz w:val="24"/>
          <w:szCs w:val="24"/>
          <w:lang w:val="en-US" w:eastAsia="zh-CN" w:bidi="ar-SA"/>
        </w:rPr>
        <w:t>（00开始工号）</w:t>
      </w:r>
      <w:r>
        <w:rPr>
          <w:rFonts w:ascii="宋体" w:hAnsi="宋体" w:eastAsia="宋体" w:cs="Times New Roman"/>
          <w:color w:val="0070C0"/>
          <w:kern w:val="0"/>
          <w:sz w:val="24"/>
          <w:szCs w:val="24"/>
          <w:lang w:val="en-US" w:eastAsia="zh-CN" w:bidi="ar-SA"/>
        </w:rPr>
        <w:t>：</w:t>
      </w:r>
    </w:p>
    <w:p>
      <w:pPr>
        <w:widowControl/>
        <w:spacing w:before="0" w:beforeAutospacing="0" w:after="0" w:afterAutospacing="0" w:line="336" w:lineRule="auto"/>
        <w:ind w:firstLine="566" w:firstLineChars="236"/>
        <w:jc w:val="both"/>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70C0"/>
          <w:kern w:val="0"/>
          <w:sz w:val="24"/>
          <w:szCs w:val="24"/>
          <w:lang w:val="en-US" w:eastAsia="zh-CN" w:bidi="ar-SA"/>
        </w:rPr>
        <w:t xml:space="preserve">邮箱：               </w:t>
      </w:r>
      <w:r>
        <w:rPr>
          <w:rFonts w:ascii="宋体" w:hAnsi="宋体" w:eastAsia="宋体" w:cs="Times New Roman"/>
          <w:color w:val="0070C0"/>
          <w:kern w:val="0"/>
          <w:sz w:val="24"/>
          <w:szCs w:val="24"/>
          <w:lang w:val="en-US" w:eastAsia="zh-CN" w:bidi="ar-SA"/>
        </w:rPr>
        <w:t xml:space="preserve">   </w:t>
      </w:r>
      <w:r>
        <w:rPr>
          <w:rFonts w:hint="eastAsia" w:ascii="宋体" w:hAnsi="宋体" w:eastAsia="宋体" w:cs="Times New Roman"/>
          <w:color w:val="0070C0"/>
          <w:kern w:val="0"/>
          <w:sz w:val="24"/>
          <w:szCs w:val="24"/>
          <w:lang w:val="en-US" w:eastAsia="zh-CN" w:bidi="ar-SA"/>
        </w:rPr>
        <w:t xml:space="preserve">    </w:t>
      </w:r>
      <w:r>
        <w:rPr>
          <w:rFonts w:ascii="宋体" w:hAnsi="宋体" w:eastAsia="宋体" w:cs="Times New Roman"/>
          <w:color w:val="0070C0"/>
          <w:kern w:val="0"/>
          <w:sz w:val="24"/>
          <w:szCs w:val="24"/>
          <w:lang w:val="en-US" w:eastAsia="zh-CN" w:bidi="ar-SA"/>
        </w:rPr>
        <w:t xml:space="preserve">  </w:t>
      </w:r>
      <w:r>
        <w:rPr>
          <w:rFonts w:hint="eastAsia" w:ascii="宋体" w:hAnsi="宋体" w:eastAsia="宋体" w:cs="Times New Roman"/>
          <w:color w:val="0070C0"/>
          <w:kern w:val="0"/>
          <w:sz w:val="24"/>
          <w:szCs w:val="24"/>
          <w:lang w:val="en-US" w:eastAsia="zh-CN" w:bidi="ar-SA"/>
        </w:rPr>
        <w:t>手机号码</w:t>
      </w:r>
      <w:r>
        <w:rPr>
          <w:rFonts w:ascii="宋体" w:hAnsi="宋体" w:eastAsia="宋体" w:cs="Times New Roman"/>
          <w:color w:val="0070C0"/>
          <w:kern w:val="0"/>
          <w:sz w:val="24"/>
          <w:szCs w:val="24"/>
          <w:lang w:val="en-US" w:eastAsia="zh-CN" w:bidi="ar-SA"/>
        </w:rPr>
        <w:t>：</w:t>
      </w:r>
      <w:r>
        <w:rPr>
          <w:rFonts w:ascii="宋体" w:hAnsi="宋体" w:eastAsia="宋体" w:cs="Times New Roman"/>
          <w:color w:val="000000"/>
          <w:kern w:val="0"/>
          <w:sz w:val="24"/>
          <w:szCs w:val="24"/>
          <w:lang w:val="en-US" w:eastAsia="zh-CN" w:bidi="ar-SA"/>
        </w:rPr>
        <w:t xml:space="preserve">                  </w:t>
      </w:r>
    </w:p>
    <w:p>
      <w:pPr>
        <w:widowControl/>
        <w:spacing w:before="156" w:beforeAutospacing="0" w:after="156" w:afterAutospacing="0" w:line="336" w:lineRule="auto"/>
        <w:jc w:val="center"/>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采购合同签字人</w:t>
      </w:r>
      <w:r>
        <w:rPr>
          <w:rFonts w:ascii="宋体" w:hAnsi="宋体" w:eastAsia="宋体" w:cs="Times New Roman"/>
          <w:color w:val="0070C0"/>
          <w:kern w:val="0"/>
          <w:sz w:val="24"/>
          <w:szCs w:val="24"/>
          <w:lang w:val="en-US" w:eastAsia="zh-CN" w:bidi="ar-SA"/>
        </w:rPr>
        <w:t>签字</w:t>
      </w:r>
      <w:r>
        <w:rPr>
          <w:rFonts w:ascii="宋体" w:hAnsi="宋体" w:eastAsia="宋体" w:cs="Times New Roman"/>
          <w:color w:val="000000"/>
          <w:kern w:val="0"/>
          <w:sz w:val="24"/>
          <w:szCs w:val="24"/>
          <w:lang w:val="en-US" w:eastAsia="zh-CN" w:bidi="ar-SA"/>
        </w:rPr>
        <w:t>：</w:t>
      </w:r>
    </w:p>
    <w:p>
      <w:pPr>
        <w:widowControl/>
        <w:spacing w:before="156" w:beforeAutospacing="0" w:after="156" w:afterAutospacing="0" w:line="336" w:lineRule="auto"/>
        <w:jc w:val="right"/>
        <w:rPr>
          <w:rFonts w:hint="default" w:ascii="宋体" w:hAnsi="宋体" w:eastAsia="宋体" w:cs="Times New Roman"/>
          <w:color w:val="000000"/>
          <w:kern w:val="0"/>
          <w:sz w:val="24"/>
          <w:szCs w:val="24"/>
          <w:lang w:val="en-US" w:eastAsia="zh-CN" w:bidi="ar-SA"/>
        </w:rPr>
      </w:pPr>
      <w:r>
        <w:rPr>
          <w:rFonts w:hint="eastAsia" w:ascii="宋体" w:hAnsi="宋体" w:eastAsia="宋体" w:cs="Times New Roman"/>
          <w:color w:val="FF0000"/>
          <w:kern w:val="0"/>
          <w:sz w:val="24"/>
          <w:szCs w:val="24"/>
          <w:lang w:val="en-US" w:eastAsia="zh-CN" w:bidi="ar-SA"/>
        </w:rPr>
        <w:t>学院</w:t>
      </w:r>
      <w:r>
        <w:rPr>
          <w:rFonts w:hint="eastAsia" w:ascii="宋体" w:hAnsi="宋体" w:eastAsia="宋体" w:cs="Times New Roman"/>
          <w:color w:val="000000"/>
          <w:kern w:val="0"/>
          <w:sz w:val="24"/>
          <w:szCs w:val="24"/>
          <w:lang w:val="en-US" w:eastAsia="zh-CN" w:bidi="ar-SA"/>
        </w:rPr>
        <w:t>盖章</w:t>
      </w:r>
    </w:p>
    <w:p>
      <w:pPr>
        <w:spacing w:line="288" w:lineRule="auto"/>
        <w:ind w:firstLine="2940" w:firstLineChars="1400"/>
        <w:jc w:val="right"/>
        <w:rPr>
          <w:rFonts w:hint="eastAsia" w:ascii="宋体" w:hAnsi="宋体" w:eastAsia="宋体" w:cs="Times New Roman"/>
          <w:spacing w:val="-6"/>
          <w:sz w:val="21"/>
          <w:szCs w:val="21"/>
          <w:lang w:val="zh-CN"/>
        </w:rPr>
      </w:pPr>
      <w:r>
        <w:rPr>
          <w:rFonts w:ascii="Times New Roman" w:hAnsi="Times New Roman" w:eastAsia="宋体" w:cs="Times New Roman"/>
          <w:color w:val="000000"/>
          <w:szCs w:val="24"/>
        </w:rPr>
        <w:t xml:space="preserve">       </w:t>
      </w:r>
      <w:r>
        <w:rPr>
          <w:rFonts w:ascii="Times New Roman" w:hAnsi="Times New Roman" w:eastAsia="宋体" w:cs="Times New Roman"/>
          <w:szCs w:val="24"/>
        </w:rPr>
        <w:t xml:space="preserve">      年   </w:t>
      </w:r>
      <w:r>
        <w:rPr>
          <w:rFonts w:hint="eastAsia" w:ascii="Times New Roman" w:hAnsi="Times New Roman" w:eastAsia="宋体" w:cs="Times New Roman"/>
          <w:szCs w:val="24"/>
          <w:lang w:val="en-US" w:eastAsia="zh-CN"/>
        </w:rPr>
        <w:t xml:space="preserve">   </w:t>
      </w:r>
      <w:r>
        <w:rPr>
          <w:rFonts w:ascii="Times New Roman" w:hAnsi="Times New Roman" w:eastAsia="宋体" w:cs="Times New Roman"/>
          <w:szCs w:val="24"/>
        </w:rPr>
        <w:t xml:space="preserve"> 月   </w:t>
      </w:r>
      <w:r>
        <w:rPr>
          <w:rFonts w:hint="eastAsia" w:ascii="Times New Roman" w:hAnsi="Times New Roman" w:eastAsia="宋体" w:cs="Times New Roman"/>
          <w:szCs w:val="24"/>
          <w:lang w:val="en-US" w:eastAsia="zh-CN"/>
        </w:rPr>
        <w:t xml:space="preserve">  </w:t>
      </w:r>
      <w:r>
        <w:rPr>
          <w:rFonts w:ascii="Times New Roman" w:hAnsi="Times New Roman" w:eastAsia="宋体" w:cs="Times New Roman"/>
          <w:szCs w:val="24"/>
        </w:rPr>
        <w:t xml:space="preserve"> 日</w:t>
      </w:r>
    </w:p>
    <w:p>
      <w:pPr>
        <w:rPr>
          <w:rFonts w:ascii="宋体" w:hAnsi="宋体" w:eastAsia="宋体" w:cs="Times New Roman"/>
          <w:b/>
          <w:sz w:val="32"/>
          <w:szCs w:val="32"/>
        </w:rPr>
      </w:pPr>
      <w:r>
        <w:rPr>
          <w:rFonts w:ascii="宋体" w:hAnsi="宋体" w:eastAsia="宋体" w:cs="Times New Roman"/>
          <w:b/>
          <w:sz w:val="32"/>
          <w:szCs w:val="32"/>
        </w:rPr>
        <w:br w:type="page"/>
      </w:r>
    </w:p>
    <w:p>
      <w:pPr>
        <w:adjustRightInd w:val="0"/>
        <w:snapToGrid w:val="0"/>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 xml:space="preserve">目 </w:t>
      </w:r>
      <w:r>
        <w:rPr>
          <w:rFonts w:ascii="宋体" w:hAnsi="宋体" w:eastAsia="宋体" w:cs="Times New Roman"/>
          <w:b/>
          <w:bCs/>
          <w:spacing w:val="-6"/>
          <w:sz w:val="24"/>
          <w:szCs w:val="24"/>
        </w:rPr>
        <w:t xml:space="preserve"> </w:t>
      </w:r>
      <w:r>
        <w:rPr>
          <w:rFonts w:hint="eastAsia" w:ascii="宋体" w:hAnsi="宋体" w:eastAsia="宋体" w:cs="Times New Roman"/>
          <w:b/>
          <w:bCs/>
          <w:spacing w:val="-6"/>
          <w:sz w:val="24"/>
          <w:szCs w:val="24"/>
        </w:rPr>
        <w:t>录</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lang w:eastAsia="zh-CN"/>
        </w:rPr>
        <w:t>★</w:t>
      </w:r>
      <w:r>
        <w:rPr>
          <w:rFonts w:ascii="宋体" w:hAnsi="宋体" w:eastAsia="宋体" w:cs="Times New Roman"/>
          <w:b/>
          <w:bCs/>
          <w:spacing w:val="-6"/>
          <w:szCs w:val="21"/>
        </w:rPr>
        <w:t>1</w:t>
      </w:r>
      <w:r>
        <w:rPr>
          <w:rFonts w:hint="eastAsia" w:ascii="宋体" w:hAnsi="宋体" w:eastAsia="宋体" w:cs="Times New Roman"/>
          <w:b/>
          <w:bCs/>
          <w:spacing w:val="-6"/>
          <w:szCs w:val="21"/>
        </w:rPr>
        <w:t>.资格文件（单独上传）</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2）符合参加政府采购活动应当具备的一般条件的承诺函</w:t>
      </w:r>
    </w:p>
    <w:p>
      <w:pPr>
        <w:adjustRightInd w:val="0"/>
        <w:snapToGrid w:val="0"/>
        <w:spacing w:line="288" w:lineRule="auto"/>
        <w:ind w:firstLine="398" w:firstLineChars="200"/>
        <w:jc w:val="left"/>
        <w:rPr>
          <w:rFonts w:ascii="宋体" w:hAnsi="宋体" w:eastAsia="宋体" w:cs="宋体"/>
          <w:b/>
          <w:spacing w:val="-6"/>
          <w:szCs w:val="21"/>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spacing w:val="-6"/>
          <w:szCs w:val="21"/>
        </w:rPr>
        <w:t>2</w:t>
      </w:r>
      <w:r>
        <w:rPr>
          <w:rFonts w:hint="eastAsia" w:ascii="宋体" w:hAnsi="宋体" w:eastAsia="宋体" w:cs="Times New Roman"/>
          <w:b/>
          <w:spacing w:val="-6"/>
          <w:szCs w:val="21"/>
        </w:rPr>
        <w:t>.商务和</w:t>
      </w:r>
      <w:r>
        <w:rPr>
          <w:rFonts w:hint="eastAsia" w:ascii="宋体" w:hAnsi="宋体" w:eastAsia="宋体" w:cs="Times New Roman"/>
          <w:b/>
          <w:bCs/>
          <w:spacing w:val="-6"/>
          <w:szCs w:val="21"/>
        </w:rPr>
        <w:t>技术文件（单独上传）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2）授权委托书</w:t>
      </w:r>
      <w:r>
        <w:rPr>
          <w:rFonts w:hint="eastAsia" w:ascii="宋体" w:hAnsi="宋体" w:eastAsia="宋体" w:cs="Times New Roman"/>
          <w:spacing w:val="-6"/>
          <w:szCs w:val="21"/>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附：授权代表社保缴纳证明（202</w:t>
      </w:r>
      <w:r>
        <w:rPr>
          <w:rFonts w:hint="eastAsia" w:ascii="宋体" w:hAnsi="宋体" w:eastAsia="宋体" w:cs="Times New Roman"/>
          <w:spacing w:val="-6"/>
          <w:szCs w:val="21"/>
          <w:lang w:val="en-US" w:eastAsia="zh-CN"/>
        </w:rPr>
        <w:t>2</w:t>
      </w:r>
      <w:r>
        <w:rPr>
          <w:rFonts w:ascii="宋体" w:hAnsi="宋体" w:eastAsia="宋体" w:cs="Times New Roman"/>
          <w:spacing w:val="-6"/>
          <w:szCs w:val="21"/>
        </w:rPr>
        <w:t>年12月（含）以后任意一月）</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）投标人同类合同一览表</w:t>
      </w:r>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4</w:t>
      </w:r>
      <w:r>
        <w:rPr>
          <w:rFonts w:hint="eastAsia" w:ascii="宋体" w:hAnsi="宋体" w:eastAsia="宋体" w:cs="宋体"/>
          <w:spacing w:val="-6"/>
          <w:szCs w:val="21"/>
        </w:rPr>
        <w:t>）采购需求偏离表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5</w:t>
      </w:r>
      <w:r>
        <w:rPr>
          <w:rFonts w:hint="eastAsia" w:ascii="宋体" w:hAnsi="宋体" w:eastAsia="宋体" w:cs="宋体"/>
          <w:spacing w:val="-6"/>
          <w:szCs w:val="21"/>
          <w:highlight w:val="none"/>
        </w:rPr>
        <w:t>）</w:t>
      </w:r>
      <w:r>
        <w:rPr>
          <w:rFonts w:hint="eastAsia" w:ascii="宋体" w:hAnsi="宋体" w:eastAsia="宋体" w:cs="宋体"/>
          <w:szCs w:val="21"/>
          <w:highlight w:val="none"/>
        </w:rPr>
        <w:t>货物配置清单</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6</w:t>
      </w:r>
      <w:r>
        <w:rPr>
          <w:rFonts w:hint="eastAsia" w:ascii="宋体" w:hAnsi="宋体" w:eastAsia="宋体" w:cs="宋体"/>
          <w:spacing w:val="-6"/>
          <w:szCs w:val="21"/>
          <w:highlight w:val="none"/>
        </w:rPr>
        <w:t>）应标公司的经验和实力情况</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7</w:t>
      </w:r>
      <w:r>
        <w:rPr>
          <w:rFonts w:hint="eastAsia" w:ascii="宋体" w:hAnsi="宋体" w:eastAsia="宋体" w:cs="宋体"/>
          <w:spacing w:val="-6"/>
          <w:szCs w:val="21"/>
          <w:highlight w:val="none"/>
        </w:rPr>
        <w:t>）技术方案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8</w:t>
      </w:r>
      <w:r>
        <w:rPr>
          <w:rFonts w:hint="eastAsia" w:ascii="宋体" w:hAnsi="宋体" w:eastAsia="宋体" w:cs="宋体"/>
          <w:spacing w:val="-6"/>
          <w:szCs w:val="21"/>
          <w:highlight w:val="none"/>
        </w:rPr>
        <w:t>）服务承诺和优惠</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9</w:t>
      </w:r>
      <w:r>
        <w:rPr>
          <w:rFonts w:ascii="宋体" w:hAnsi="宋体" w:eastAsia="宋体" w:cs="宋体"/>
          <w:spacing w:val="-6"/>
          <w:szCs w:val="21"/>
          <w:highlight w:val="none"/>
        </w:rPr>
        <w:t>）投标人需要说明的其他文件和材料。</w:t>
      </w:r>
    </w:p>
    <w:p>
      <w:pPr>
        <w:adjustRightInd w:val="0"/>
        <w:snapToGrid w:val="0"/>
        <w:spacing w:line="288" w:lineRule="auto"/>
        <w:ind w:firstLine="398" w:firstLineChars="200"/>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t>3.</w:t>
      </w:r>
      <w:r>
        <w:rPr>
          <w:rFonts w:hint="eastAsia" w:ascii="宋体" w:hAnsi="宋体" w:eastAsia="宋体" w:cs="Times New Roman"/>
          <w:b/>
          <w:spacing w:val="-6"/>
          <w:szCs w:val="21"/>
          <w:highlight w:val="none"/>
        </w:rPr>
        <w:t>报价文件</w:t>
      </w:r>
      <w:r>
        <w:rPr>
          <w:rFonts w:hint="eastAsia" w:ascii="宋体" w:hAnsi="宋体" w:eastAsia="宋体" w:cs="Times New Roman"/>
          <w:b/>
          <w:bCs/>
          <w:spacing w:val="-6"/>
          <w:szCs w:val="21"/>
          <w:highlight w:val="none"/>
        </w:rPr>
        <w:t>（单独上传）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（1）开标一览表</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）中小企业声明函</w:t>
      </w:r>
      <w:bookmarkStart w:id="97" w:name="_Hlk81815656"/>
      <w:r>
        <w:rPr>
          <w:rFonts w:hint="eastAsia" w:ascii="宋体" w:hAnsi="宋体" w:eastAsia="宋体" w:cs="Times New Roman"/>
          <w:spacing w:val="-6"/>
          <w:szCs w:val="21"/>
          <w:highlight w:val="none"/>
        </w:rPr>
        <w:t>（若属于中小企业）</w:t>
      </w:r>
      <w:bookmarkEnd w:id="97"/>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）属于监狱企业的证明文件</w:t>
      </w:r>
      <w:bookmarkStart w:id="98" w:name="_Hlk81815359"/>
      <w:r>
        <w:rPr>
          <w:rFonts w:hint="eastAsia" w:ascii="宋体" w:hAnsi="宋体" w:eastAsia="宋体" w:cs="Times New Roman"/>
          <w:spacing w:val="-6"/>
          <w:szCs w:val="21"/>
          <w:highlight w:val="none"/>
        </w:rPr>
        <w:t>（若属于监狱企业）</w:t>
      </w:r>
      <w:bookmarkEnd w:id="98"/>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4</w:t>
      </w:r>
      <w:r>
        <w:rPr>
          <w:rFonts w:hint="eastAsia" w:ascii="宋体" w:hAnsi="宋体" w:eastAsia="宋体" w:cs="Times New Roman"/>
          <w:spacing w:val="-6"/>
          <w:szCs w:val="21"/>
          <w:highlight w:val="none"/>
        </w:rPr>
        <w:t>）</w:t>
      </w:r>
      <w:bookmarkStart w:id="99" w:name="OLE_LINK13"/>
      <w:bookmarkStart w:id="100" w:name="OLE_LINK14"/>
      <w:r>
        <w:rPr>
          <w:rFonts w:hint="eastAsia" w:ascii="宋体" w:hAnsi="宋体" w:eastAsia="宋体" w:cs="Times New Roman"/>
          <w:spacing w:val="-6"/>
          <w:szCs w:val="21"/>
          <w:highlight w:val="none"/>
        </w:rPr>
        <w:t>残疾人福利性单位声明函</w:t>
      </w:r>
      <w:bookmarkEnd w:id="99"/>
      <w:bookmarkEnd w:id="100"/>
      <w:bookmarkStart w:id="101" w:name="_Hlk81815372"/>
      <w:r>
        <w:rPr>
          <w:rFonts w:hint="eastAsia" w:ascii="宋体" w:hAnsi="宋体" w:eastAsia="宋体" w:cs="Times New Roman"/>
          <w:spacing w:val="-6"/>
          <w:szCs w:val="21"/>
          <w:highlight w:val="none"/>
        </w:rPr>
        <w:t>（若属于残疾人福利性单位）</w:t>
      </w:r>
      <w:bookmarkEnd w:id="101"/>
    </w:p>
    <w:p>
      <w:pPr>
        <w:adjustRightInd w:val="0"/>
        <w:snapToGrid w:val="0"/>
        <w:spacing w:line="288" w:lineRule="auto"/>
        <w:rPr>
          <w:rFonts w:ascii="宋体" w:hAnsi="宋体" w:eastAsia="宋体" w:cs="Times New Roman"/>
          <w:b/>
          <w:spacing w:val="-6"/>
          <w:szCs w:val="21"/>
        </w:rPr>
      </w:pP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资格审查要求的资格证明材料(均需加盖公章)</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rPr>
          <w:rFonts w:ascii="宋体" w:hAnsi="宋体" w:eastAsia="宋体" w:cs="宋体"/>
          <w:b/>
          <w:spacing w:val="-6"/>
          <w:szCs w:val="21"/>
        </w:rPr>
      </w:pP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）有效的法人或者其他组织的营业执照等证明文件，自然人的身份证明</w:t>
      </w:r>
      <w:r>
        <w:rPr>
          <w:rFonts w:hint="eastAsia" w:ascii="宋体" w:hAnsi="宋体" w:eastAsia="宋体" w:cs="Times New Roman"/>
          <w:b/>
          <w:spacing w:val="-6"/>
          <w:szCs w:val="21"/>
        </w:rPr>
        <w:t>（扫描件）</w:t>
      </w:r>
    </w:p>
    <w:p>
      <w:pPr>
        <w:adjustRightInd w:val="0"/>
        <w:snapToGrid w:val="0"/>
        <w:spacing w:line="288" w:lineRule="auto"/>
        <w:rPr>
          <w:rFonts w:ascii="宋体" w:hAnsi="宋体" w:eastAsia="宋体" w:cs="Times New Roman"/>
          <w:bCs/>
          <w:spacing w:val="-6"/>
          <w:szCs w:val="21"/>
        </w:rPr>
      </w:pP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说明</w:t>
      </w:r>
      <w:r>
        <w:rPr>
          <w:rFonts w:ascii="宋体" w:hAnsi="宋体" w:eastAsia="宋体" w:cs="Times New Roman"/>
          <w:bCs/>
          <w:spacing w:val="-6"/>
          <w:szCs w:val="21"/>
        </w:rPr>
        <w:t>：</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1</w:t>
      </w:r>
      <w:r>
        <w:rPr>
          <w:rFonts w:ascii="宋体" w:hAnsi="宋体" w:eastAsia="宋体" w:cs="Times New Roman"/>
          <w:bCs/>
          <w:spacing w:val="-6"/>
          <w:szCs w:val="21"/>
        </w:rPr>
        <w:t>.</w:t>
      </w:r>
      <w:r>
        <w:rPr>
          <w:rFonts w:hint="eastAsia" w:ascii="宋体" w:hAnsi="宋体" w:eastAsia="宋体" w:cs="Times New Roman"/>
          <w:bCs/>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2</w:t>
      </w:r>
      <w:r>
        <w:rPr>
          <w:rFonts w:ascii="宋体" w:hAnsi="宋体" w:eastAsia="宋体" w:cs="Times New Roman"/>
          <w:bCs/>
          <w:spacing w:val="-6"/>
          <w:szCs w:val="21"/>
        </w:rPr>
        <w:t>.</w:t>
      </w:r>
      <w:r>
        <w:rPr>
          <w:rFonts w:hint="eastAsia" w:ascii="宋体" w:hAnsi="宋体" w:eastAsia="宋体" w:cs="Times New Roman"/>
          <w:bCs/>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3</w:t>
      </w:r>
      <w:r>
        <w:rPr>
          <w:rFonts w:ascii="宋体" w:hAnsi="宋体" w:eastAsia="宋体" w:cs="Times New Roman"/>
          <w:bCs/>
          <w:spacing w:val="-6"/>
          <w:szCs w:val="21"/>
        </w:rPr>
        <w:t>.</w:t>
      </w:r>
      <w:r>
        <w:rPr>
          <w:rFonts w:hint="eastAsia" w:ascii="宋体" w:hAnsi="宋体" w:eastAsia="宋体" w:cs="Times New Roman"/>
          <w:bCs/>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4</w:t>
      </w:r>
      <w:r>
        <w:rPr>
          <w:rFonts w:ascii="宋体" w:hAnsi="宋体" w:eastAsia="宋体" w:cs="Times New Roman"/>
          <w:bCs/>
          <w:spacing w:val="-6"/>
          <w:szCs w:val="21"/>
        </w:rPr>
        <w:t>.</w:t>
      </w:r>
      <w:r>
        <w:rPr>
          <w:rFonts w:hint="eastAsia" w:ascii="宋体" w:hAnsi="宋体" w:eastAsia="宋体" w:cs="Times New Roman"/>
          <w:bCs/>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5</w:t>
      </w:r>
      <w:r>
        <w:rPr>
          <w:rFonts w:ascii="宋体" w:hAnsi="宋体" w:eastAsia="宋体" w:cs="Times New Roman"/>
          <w:bCs/>
          <w:spacing w:val="-6"/>
          <w:szCs w:val="21"/>
        </w:rPr>
        <w:t>.</w:t>
      </w:r>
      <w:r>
        <w:rPr>
          <w:rFonts w:hint="eastAsia" w:ascii="宋体" w:hAnsi="宋体" w:eastAsia="宋体" w:cs="Times New Roman"/>
          <w:bCs/>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Cs/>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浙江大学</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 xml:space="preserve">（项目名称）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Cs/>
          <w:spacing w:val="-6"/>
          <w:sz w:val="84"/>
          <w:szCs w:val="84"/>
        </w:rPr>
      </w:pPr>
      <w:r>
        <w:rPr>
          <w:rFonts w:hint="eastAsia" w:ascii="宋体" w:hAnsi="宋体" w:eastAsia="宋体" w:cs="Times New Roman"/>
          <w:b/>
          <w:spacing w:val="-6"/>
          <w:sz w:val="84"/>
          <w:szCs w:val="84"/>
        </w:rPr>
        <w:t>商务和技术文件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（1）投标函</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pacing w:val="-6"/>
          <w:szCs w:val="21"/>
          <w:lang w:eastAsia="zh-CN"/>
        </w:rPr>
        <w:t>浙江大学</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cyan"/>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我方参加</w:t>
      </w:r>
      <w:r>
        <w:rPr>
          <w:rFonts w:hint="eastAsia" w:ascii="宋体" w:hAnsi="宋体" w:eastAsia="宋体" w:cs="Times New Roman"/>
          <w:bCs/>
          <w:spacing w:val="-6"/>
          <w:szCs w:val="21"/>
          <w:u w:val="single"/>
          <w:lang w:eastAsia="zh-CN"/>
        </w:rPr>
        <w:t>浙江大学深地空间围岩灾变实验装置</w:t>
      </w:r>
      <w:r>
        <w:rPr>
          <w:rFonts w:hint="eastAsia" w:ascii="宋体" w:hAnsi="宋体" w:eastAsia="宋体" w:cs="Times New Roman"/>
          <w:spacing w:val="-6"/>
          <w:szCs w:val="21"/>
          <w:u w:val="single"/>
        </w:rPr>
        <w:t>（项目编号</w:t>
      </w:r>
      <w:r>
        <w:rPr>
          <w:rFonts w:hint="eastAsia" w:ascii="宋体" w:hAnsi="宋体" w:eastAsia="宋体" w:cs="Times New Roman"/>
          <w:bCs/>
          <w:spacing w:val="-6"/>
          <w:szCs w:val="21"/>
          <w:u w:val="single"/>
        </w:rPr>
        <w:t>：</w:t>
      </w:r>
      <w:r>
        <w:rPr>
          <w:rFonts w:hint="eastAsia" w:ascii="宋体" w:hAnsi="宋体" w:eastAsia="宋体" w:cs="Times New Roman"/>
          <w:bCs/>
          <w:spacing w:val="-6"/>
          <w:szCs w:val="21"/>
          <w:u w:val="single"/>
          <w:lang w:eastAsia="zh-CN"/>
        </w:rPr>
        <w:t>QSZB-Z(H)-A23089(GK)</w:t>
      </w:r>
      <w:r>
        <w:rPr>
          <w:rFonts w:hint="eastAsia" w:ascii="宋体" w:hAnsi="宋体" w:eastAsia="宋体" w:cs="Times New Roman"/>
          <w:spacing w:val="-6"/>
          <w:szCs w:val="21"/>
          <w:u w:val="single"/>
        </w:rPr>
        <w:t>）</w:t>
      </w:r>
      <w:r>
        <w:rPr>
          <w:rFonts w:hint="eastAsia" w:ascii="宋体" w:hAnsi="宋体" w:eastAsia="宋体" w:cs="Times New Roman"/>
          <w:spacing w:val="-6"/>
          <w:szCs w:val="21"/>
        </w:rPr>
        <w:t>项目，为此，我方提交电子加密投标文件一份、以介质（U盘）存储的数据电文形式的</w:t>
      </w:r>
      <w:r>
        <w:rPr>
          <w:rFonts w:hint="eastAsia" w:ascii="宋体" w:hAnsi="宋体" w:eastAsia="宋体" w:cs="Times New Roman"/>
          <w:spacing w:val="-6"/>
          <w:szCs w:val="21"/>
          <w:u w:val="single"/>
        </w:rPr>
        <w:t xml:space="preserve">备份投标文件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份</w:t>
      </w:r>
      <w:r>
        <w:rPr>
          <w:rFonts w:hint="eastAsia" w:ascii="宋体" w:hAnsi="宋体" w:eastAsia="宋体" w:cs="Times New Roman"/>
          <w:spacing w:val="-6"/>
          <w:szCs w:val="21"/>
        </w:rPr>
        <w:t>。宣布同意如下：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投标有效期自提交投标文件的截止之日起</w:t>
      </w:r>
      <w:r>
        <w:rPr>
          <w:rFonts w:hint="eastAsia" w:ascii="宋体" w:hAnsi="宋体" w:eastAsia="宋体" w:cs="Times New Roman"/>
          <w:bCs/>
          <w:spacing w:val="-6"/>
          <w:szCs w:val="21"/>
          <w:u w:val="single"/>
        </w:rPr>
        <w:t xml:space="preserve"> 90</w:t>
      </w:r>
      <w:r>
        <w:rPr>
          <w:rFonts w:ascii="宋体" w:hAnsi="宋体" w:eastAsia="宋体" w:cs="Times New Roman"/>
          <w:bCs/>
          <w:spacing w:val="-6"/>
          <w:szCs w:val="21"/>
          <w:u w:val="single"/>
        </w:rPr>
        <w:t xml:space="preserve"> </w:t>
      </w:r>
      <w:r>
        <w:rPr>
          <w:rFonts w:hint="eastAsia" w:ascii="宋体" w:hAnsi="宋体" w:eastAsia="宋体" w:cs="Times New Roman"/>
          <w:spacing w:val="-6"/>
          <w:szCs w:val="21"/>
        </w:rPr>
        <w:t>天。</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w:t>
      </w:r>
      <w:r>
        <w:rPr>
          <w:rFonts w:hint="eastAsia" w:ascii="宋体" w:hAnsi="宋体" w:eastAsia="宋体" w:cs="Times New Roman"/>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与本投标有关的一切正式往来信函联系：</w:t>
      </w:r>
    </w:p>
    <w:tbl>
      <w:tblPr>
        <w:tblStyle w:val="2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联系人：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职务：</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手机：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电子邮箱：</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银行账号：</w:t>
            </w:r>
          </w:p>
        </w:tc>
        <w:tc>
          <w:tcPr>
            <w:tcW w:w="6808" w:type="dxa"/>
          </w:tcPr>
          <w:p>
            <w:pPr>
              <w:adjustRightInd w:val="0"/>
              <w:snapToGrid w:val="0"/>
              <w:spacing w:line="288" w:lineRule="auto"/>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498" w:firstLineChars="236"/>
        <w:jc w:val="center"/>
        <w:outlineLvl w:val="2"/>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2</w:t>
      </w:r>
      <w:r>
        <w:rPr>
          <w:rFonts w:hint="eastAsia" w:ascii="宋体" w:hAnsi="宋体" w:eastAsia="宋体" w:cs="Times New Roman"/>
          <w:b/>
          <w:bCs/>
          <w:szCs w:val="21"/>
        </w:rPr>
        <w:t>）授权委托书</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致：</w:t>
      </w:r>
      <w:r>
        <w:rPr>
          <w:rFonts w:hint="eastAsia" w:ascii="宋体" w:hAnsi="宋体" w:eastAsia="宋体" w:cs="Times New Roman"/>
          <w:b/>
          <w:spacing w:val="-6"/>
          <w:szCs w:val="21"/>
          <w:lang w:eastAsia="zh-CN"/>
        </w:rPr>
        <w:t>浙江大学</w:t>
      </w:r>
      <w:r>
        <w:rPr>
          <w:rFonts w:hint="eastAsia" w:ascii="宋体" w:hAnsi="宋体" w:eastAsia="宋体" w:cs="Times New Roman"/>
          <w:b/>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现授权委托：</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（授权代表姓名）（身份证号码：</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，手机：</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）以我方的名义参加</w:t>
      </w:r>
      <w:r>
        <w:rPr>
          <w:rFonts w:hint="eastAsia" w:ascii="宋体" w:hAnsi="宋体" w:eastAsia="宋体" w:cs="Times New Roman"/>
          <w:bCs/>
          <w:spacing w:val="-6"/>
          <w:szCs w:val="21"/>
          <w:lang w:eastAsia="zh-CN"/>
        </w:rPr>
        <w:t>浙江大学深地空间围岩灾变实验装置</w:t>
      </w:r>
      <w:r>
        <w:rPr>
          <w:rFonts w:hint="eastAsia" w:ascii="宋体" w:hAnsi="宋体" w:eastAsia="宋体" w:cs="Times New Roman"/>
          <w:bCs/>
          <w:spacing w:val="-6"/>
          <w:szCs w:val="21"/>
        </w:rPr>
        <w:t>项目（项目编号：</w:t>
      </w:r>
      <w:r>
        <w:rPr>
          <w:rFonts w:hint="eastAsia" w:ascii="宋体" w:hAnsi="宋体" w:eastAsia="宋体" w:cs="Times New Roman"/>
          <w:bCs/>
          <w:spacing w:val="-6"/>
          <w:szCs w:val="21"/>
          <w:lang w:eastAsia="zh-CN"/>
        </w:rPr>
        <w:t>QSZB-Z(H)-A23089(GK)</w:t>
      </w:r>
      <w:r>
        <w:rPr>
          <w:rFonts w:hint="eastAsia" w:ascii="宋体" w:hAnsi="宋体" w:eastAsia="宋体" w:cs="Times New Roman"/>
          <w:bCs/>
          <w:spacing w:val="-6"/>
          <w:szCs w:val="21"/>
        </w:rPr>
        <w:t>）</w:t>
      </w:r>
      <w:r>
        <w:rPr>
          <w:rFonts w:hint="eastAsia" w:ascii="宋体" w:hAnsi="宋体" w:eastAsia="宋体" w:cs="Times New Roman"/>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被授权人无转委托权，特此告知。</w:t>
      </w:r>
    </w:p>
    <w:p>
      <w:pPr>
        <w:adjustRightInd w:val="0"/>
        <w:snapToGrid w:val="0"/>
        <w:spacing w:line="288" w:lineRule="auto"/>
        <w:ind w:firstLine="368" w:firstLineChars="186"/>
        <w:rPr>
          <w:rFonts w:ascii="宋体" w:hAnsi="宋体" w:eastAsia="宋体" w:cs="Times New Roman"/>
          <w:spacing w:val="-6"/>
          <w:szCs w:val="21"/>
          <w:u w:val="single"/>
        </w:rPr>
      </w:pPr>
      <w:r>
        <w:rPr>
          <w:rFonts w:hint="eastAsia" w:ascii="宋体" w:hAnsi="宋体" w:eastAsia="宋体" w:cs="Times New Roman"/>
          <w:spacing w:val="-6"/>
          <w:szCs w:val="21"/>
          <w:u w:val="single"/>
          <w:lang w:eastAsia="zh-CN"/>
        </w:rPr>
        <w:t>★</w:t>
      </w:r>
      <w:r>
        <w:rPr>
          <w:rFonts w:hint="eastAsia" w:ascii="宋体" w:hAnsi="宋体" w:eastAsia="宋体" w:cs="Times New Roman"/>
          <w:spacing w:val="-6"/>
          <w:szCs w:val="21"/>
          <w:u w:val="single"/>
        </w:rPr>
        <w:t>提供授权代表社保缴纳证明（202</w:t>
      </w:r>
      <w:r>
        <w:rPr>
          <w:rFonts w:hint="eastAsia" w:ascii="宋体" w:hAnsi="宋体" w:eastAsia="宋体" w:cs="Times New Roman"/>
          <w:spacing w:val="-6"/>
          <w:szCs w:val="21"/>
          <w:u w:val="single"/>
          <w:lang w:val="en-US" w:eastAsia="zh-CN"/>
        </w:rPr>
        <w:t>2</w:t>
      </w:r>
      <w:r>
        <w:rPr>
          <w:rFonts w:hint="eastAsia" w:ascii="宋体" w:hAnsi="宋体" w:eastAsia="宋体" w:cs="Times New Roman"/>
          <w:spacing w:val="-6"/>
          <w:szCs w:val="21"/>
          <w:u w:val="single"/>
        </w:rPr>
        <w:t>年12月（含）以后任意一月）。</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2、投标人是联合体的，联合体各成员均应在“授权委托书”上盖章（电子签名</w:t>
      </w:r>
      <w:r>
        <w:rPr>
          <w:rFonts w:ascii="宋体" w:hAnsi="宋体" w:eastAsia="宋体" w:cs="Times New Roman"/>
          <w:szCs w:val="21"/>
        </w:rPr>
        <w:t>/公章）</w:t>
      </w:r>
      <w:r>
        <w:rPr>
          <w:rFonts w:hint="eastAsia" w:ascii="宋体" w:hAnsi="宋体" w:eastAsia="宋体" w:cs="Times New Roman"/>
          <w:szCs w:val="21"/>
        </w:rPr>
        <w:t>。</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p>
    <w:p>
      <w:pPr>
        <w:adjustRightInd w:val="0"/>
        <w:snapToGrid w:val="0"/>
        <w:spacing w:line="288" w:lineRule="auto"/>
        <w:jc w:val="center"/>
        <w:outlineLvl w:val="2"/>
        <w:rPr>
          <w:rFonts w:ascii="宋体" w:hAnsi="宋体" w:eastAsia="宋体" w:cs="Times New Roman"/>
          <w:b/>
          <w:bCs/>
          <w:spacing w:val="-6"/>
          <w:szCs w:val="21"/>
        </w:rPr>
      </w:pPr>
      <w:r>
        <w:rPr>
          <w:rFonts w:hint="eastAsia" w:ascii="宋体" w:hAnsi="宋体" w:eastAsia="宋体" w:cs="Times New Roman"/>
          <w:b/>
          <w:bCs/>
          <w:szCs w:val="21"/>
        </w:rPr>
        <w:t>（2）法定代表人（单位负责人、自然人本人）</w:t>
      </w:r>
      <w:r>
        <w:rPr>
          <w:rFonts w:hint="eastAsia" w:ascii="宋体" w:hAnsi="宋体" w:eastAsia="宋体" w:cs="Times New Roman"/>
          <w:b/>
          <w:bCs/>
          <w:spacing w:val="-6"/>
          <w:szCs w:val="21"/>
        </w:rPr>
        <w:t>身份证明</w:t>
      </w:r>
    </w:p>
    <w:p>
      <w:pPr>
        <w:adjustRightInd w:val="0"/>
        <w:snapToGrid w:val="0"/>
        <w:spacing w:line="288" w:lineRule="auto"/>
        <w:ind w:firstLine="495" w:firstLineChars="236"/>
        <w:jc w:val="center"/>
        <w:rPr>
          <w:rFonts w:ascii="宋体" w:hAnsi="宋体" w:eastAsia="宋体" w:cs="Times New Roman"/>
          <w:szCs w:val="21"/>
        </w:rPr>
      </w:pPr>
      <w:r>
        <w:rPr>
          <w:rFonts w:hint="eastAsia" w:ascii="宋体" w:hAnsi="宋体" w:eastAsia="宋体" w:cs="Times New Roman"/>
          <w:szCs w:val="21"/>
        </w:rPr>
        <w:t>（适用于：法定代表人（单位负责人、自然人本人）</w:t>
      </w:r>
      <w:r>
        <w:rPr>
          <w:rFonts w:hint="eastAsia" w:ascii="宋体" w:hAnsi="宋体" w:eastAsia="宋体" w:cs="Times New Roman"/>
          <w:spacing w:val="-6"/>
          <w:szCs w:val="21"/>
        </w:rPr>
        <w:t>代表投标人参加投标</w:t>
      </w:r>
      <w:r>
        <w:rPr>
          <w:rFonts w:hint="eastAsia" w:ascii="宋体" w:hAnsi="宋体" w:eastAsia="宋体" w:cs="Times New Roman"/>
          <w:szCs w:val="21"/>
        </w:rPr>
        <w:t>）</w:t>
      </w:r>
    </w:p>
    <w:p>
      <w:pPr>
        <w:adjustRightInd w:val="0"/>
        <w:snapToGrid w:val="0"/>
        <w:spacing w:line="288" w:lineRule="auto"/>
        <w:jc w:val="left"/>
        <w:rPr>
          <w:rFonts w:ascii="宋体" w:hAnsi="宋体" w:eastAsia="宋体" w:cs="Times New Roman"/>
          <w:szCs w:val="21"/>
        </w:rPr>
      </w:pPr>
      <w:r>
        <w:rPr>
          <w:rFonts w:hint="eastAsia" w:ascii="宋体" w:hAnsi="宋体" w:eastAsia="宋体" w:cs="宋体"/>
          <w:bCs/>
          <w:szCs w:val="21"/>
        </w:rPr>
        <w:t>身份证件复印件</w:t>
      </w:r>
    </w:p>
    <w:tbl>
      <w:tblPr>
        <w:tblStyle w:val="1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正面：</w:t>
            </w:r>
          </w:p>
        </w:tc>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反面：</w:t>
            </w:r>
          </w:p>
        </w:tc>
      </w:tr>
    </w:tbl>
    <w:p>
      <w:pPr>
        <w:adjustRightInd w:val="0"/>
        <w:snapToGrid w:val="0"/>
        <w:spacing w:line="288" w:lineRule="auto"/>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spacing w:line="288" w:lineRule="auto"/>
        <w:jc w:val="left"/>
        <w:outlineLvl w:val="2"/>
        <w:rPr>
          <w:rFonts w:ascii="宋体" w:hAnsi="宋体" w:eastAsia="宋体" w:cs="Times New Roman"/>
          <w:b/>
          <w:bCs/>
          <w:szCs w:val="21"/>
        </w:rPr>
      </w:pPr>
      <w:r>
        <w:rPr>
          <w:rFonts w:hint="eastAsia" w:ascii="宋体" w:hAnsi="宋体" w:eastAsia="宋体" w:cs="Times New Roman"/>
          <w:b/>
          <w:bCs/>
          <w:szCs w:val="21"/>
        </w:rPr>
        <w:t>附：授权代表社保缴纳证明（202</w:t>
      </w:r>
      <w:r>
        <w:rPr>
          <w:rFonts w:hint="eastAsia" w:ascii="宋体" w:hAnsi="宋体" w:eastAsia="宋体" w:cs="Times New Roman"/>
          <w:b/>
          <w:bCs/>
          <w:szCs w:val="21"/>
          <w:lang w:val="en-US" w:eastAsia="zh-CN"/>
        </w:rPr>
        <w:t>2</w:t>
      </w:r>
      <w:r>
        <w:rPr>
          <w:rFonts w:hint="eastAsia" w:ascii="宋体" w:hAnsi="宋体" w:eastAsia="宋体" w:cs="Times New Roman"/>
          <w:b/>
          <w:bCs/>
          <w:szCs w:val="21"/>
        </w:rPr>
        <w:t>年12月（含）以后任意一月）</w:t>
      </w:r>
    </w:p>
    <w:p>
      <w:pPr>
        <w:rPr>
          <w:rFonts w:ascii="Times New Roman" w:hAnsi="Times New Roman" w:eastAsia="宋体" w:cs="Times New Roman"/>
          <w:szCs w:val="21"/>
        </w:rPr>
      </w:pPr>
    </w:p>
    <w:p>
      <w:pPr>
        <w:adjustRightInd w:val="0"/>
        <w:snapToGrid w:val="0"/>
        <w:spacing w:line="288" w:lineRule="auto"/>
        <w:jc w:val="center"/>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）投标人同类合同一览表</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合同金额</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采购人联系人</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Times New Roman"/>
          <w:b/>
          <w:szCs w:val="21"/>
        </w:rPr>
      </w:pPr>
      <w:r>
        <w:rPr>
          <w:rFonts w:hint="eastAsia" w:ascii="宋体" w:hAnsi="宋体" w:eastAsia="宋体" w:cs="Times New Roman"/>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）采购需求偏离表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浙江大学</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项目名称：</w:t>
      </w:r>
      <w:r>
        <w:rPr>
          <w:rFonts w:hint="eastAsia" w:ascii="宋体" w:hAnsi="宋体" w:eastAsia="宋体" w:cs="Times New Roman"/>
          <w:bCs/>
          <w:spacing w:val="-6"/>
          <w:szCs w:val="21"/>
          <w:lang w:eastAsia="zh-CN"/>
        </w:rPr>
        <w:t>深地空间围岩灾变实验装置</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QSZB-Z(H)-A23089(GK)</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bl>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Times New Roman"/>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5</w:t>
      </w:r>
      <w:r>
        <w:rPr>
          <w:rFonts w:hint="eastAsia" w:ascii="宋体" w:hAnsi="宋体" w:eastAsia="宋体" w:cs="宋体"/>
          <w:b/>
          <w:spacing w:val="-6"/>
          <w:szCs w:val="21"/>
        </w:rPr>
        <w:t>）货物配置清单</w:t>
      </w:r>
      <w:r>
        <w:rPr>
          <w:rFonts w:hint="eastAsia" w:ascii="宋体" w:hAnsi="宋体" w:eastAsia="宋体" w:cs="宋体"/>
          <w:spacing w:val="-6"/>
          <w:szCs w:val="21"/>
        </w:rPr>
        <w:t>（不含报价）</w:t>
      </w:r>
    </w:p>
    <w:p>
      <w:pPr>
        <w:adjustRightInd w:val="0"/>
        <w:snapToGrid w:val="0"/>
        <w:spacing w:line="288" w:lineRule="auto"/>
        <w:rPr>
          <w:rFonts w:ascii="宋体" w:hAnsi="宋体" w:eastAsia="宋体" w:cs="宋体"/>
          <w:spacing w:val="-6"/>
          <w:szCs w:val="21"/>
        </w:rPr>
      </w:pPr>
    </w:p>
    <w:tbl>
      <w:tblPr>
        <w:tblStyle w:val="24"/>
        <w:tblW w:w="94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2105"/>
        <w:gridCol w:w="756"/>
        <w:gridCol w:w="1011"/>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品牌</w:t>
            </w: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规格型号</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bl>
    <w:p>
      <w:pPr>
        <w:adjustRightInd w:val="0"/>
        <w:snapToGrid w:val="0"/>
        <w:spacing w:line="288" w:lineRule="auto"/>
        <w:rPr>
          <w:rFonts w:ascii="宋体" w:hAnsi="宋体" w:eastAsia="宋体" w:cs="宋体"/>
          <w:szCs w:val="21"/>
        </w:rPr>
      </w:pPr>
    </w:p>
    <w:p>
      <w:pPr>
        <w:adjustRightInd w:val="0"/>
        <w:snapToGrid w:val="0"/>
        <w:spacing w:line="288" w:lineRule="auto"/>
        <w:rPr>
          <w:rFonts w:ascii="宋体" w:hAnsi="宋体" w:eastAsia="宋体" w:cs="宋体"/>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utoSpaceDE w:val="0"/>
        <w:autoSpaceDN w:val="0"/>
        <w:adjustRightInd w:val="0"/>
        <w:snapToGrid w:val="0"/>
        <w:spacing w:line="288" w:lineRule="auto"/>
        <w:jc w:val="left"/>
        <w:rPr>
          <w:rFonts w:ascii="宋体" w:hAnsi="宋体" w:eastAsia="宋体" w:cs="宋体"/>
          <w:spacing w:val="-6"/>
          <w:kern w:val="0"/>
          <w:szCs w:val="21"/>
        </w:rPr>
      </w:pPr>
    </w:p>
    <w:p>
      <w:pPr>
        <w:adjustRightInd w:val="0"/>
        <w:snapToGrid w:val="0"/>
        <w:spacing w:line="288" w:lineRule="auto"/>
        <w:rPr>
          <w:rFonts w:ascii="宋体" w:hAnsi="宋体" w:eastAsia="宋体" w:cs="宋体"/>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附：产品技术支持材料</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br w:type="page"/>
      </w:r>
    </w:p>
    <w:p>
      <w:pPr>
        <w:adjustRightInd w:val="0"/>
        <w:snapToGrid w:val="0"/>
        <w:spacing w:line="288" w:lineRule="auto"/>
        <w:rPr>
          <w:rFonts w:hint="default" w:ascii="宋体" w:hAnsi="宋体" w:eastAsia="宋体" w:cs="宋体"/>
          <w:b/>
          <w:spacing w:val="-6"/>
          <w:szCs w:val="21"/>
          <w:lang w:val="en-US" w:eastAsia="zh-CN"/>
        </w:rPr>
      </w:pPr>
      <w:r>
        <w:rPr>
          <w:rFonts w:hint="eastAsia" w:ascii="宋体" w:hAnsi="宋体" w:eastAsia="宋体" w:cs="宋体"/>
          <w:b/>
          <w:spacing w:val="-6"/>
          <w:szCs w:val="21"/>
          <w:lang w:val="en-US" w:eastAsia="zh-CN"/>
        </w:rPr>
        <w:t>以下内容格式自拟</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（6）应标公司的经验和实力情况</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（7）技术方案</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（8）服务承诺和优惠</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（9）投标人需要说明的其他文件和材料。</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）开标一览表</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采 购 人：</w:t>
      </w:r>
      <w:r>
        <w:rPr>
          <w:rFonts w:hint="eastAsia" w:ascii="宋体" w:hAnsi="宋体" w:eastAsia="宋体" w:cs="Times New Roman"/>
          <w:bCs/>
          <w:spacing w:val="-6"/>
          <w:szCs w:val="21"/>
          <w:lang w:eastAsia="zh-CN"/>
        </w:rPr>
        <w:t>浙江大学</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项目名称：</w:t>
      </w:r>
      <w:r>
        <w:rPr>
          <w:rFonts w:hint="eastAsia" w:ascii="宋体" w:hAnsi="宋体" w:eastAsia="宋体" w:cs="Times New Roman"/>
          <w:bCs/>
          <w:spacing w:val="-6"/>
          <w:szCs w:val="21"/>
          <w:lang w:eastAsia="zh-CN"/>
        </w:rPr>
        <w:t>深地空间围岩灾变实验装置</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QSZB-Z(H)-A23089(GK)</w:t>
      </w:r>
    </w:p>
    <w:tbl>
      <w:tblPr>
        <w:tblStyle w:val="24"/>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708"/>
        <w:gridCol w:w="1702"/>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品牌</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规格型号</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Times New Roman"/>
                <w:b/>
                <w:spacing w:val="-6"/>
                <w:szCs w:val="21"/>
              </w:rPr>
              <w:t>说明：</w:t>
            </w:r>
            <w:r>
              <w:rPr>
                <w:rFonts w:hint="eastAsia" w:ascii="宋体" w:hAnsi="宋体" w:eastAsia="宋体" w:cs="Times New Roman"/>
                <w:b/>
                <w:spacing w:val="-6"/>
                <w:szCs w:val="21"/>
                <w:lang w:eastAsia="zh-CN"/>
              </w:rPr>
              <w:t>★</w:t>
            </w:r>
            <w:r>
              <w:rPr>
                <w:rFonts w:ascii="宋体" w:hAnsi="宋体" w:eastAsia="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投标总价（人民币元）</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小写：_________________________</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大写：_________________________</w:t>
            </w:r>
          </w:p>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Cs/>
          <w:spacing w:val="-6"/>
          <w:szCs w:val="21"/>
        </w:rPr>
      </w:pPr>
      <w:r>
        <w:rPr>
          <w:rFonts w:ascii="宋体" w:hAnsi="宋体" w:eastAsia="宋体" w:cs="Times New Roman"/>
          <w:bCs/>
          <w:spacing w:val="-6"/>
          <w:szCs w:val="21"/>
        </w:rPr>
        <w:t>1.</w:t>
      </w:r>
      <w:r>
        <w:rPr>
          <w:rFonts w:hint="eastAsia" w:ascii="宋体" w:hAnsi="宋体" w:eastAsia="宋体" w:cs="Times New Roman"/>
          <w:bCs/>
          <w:spacing w:val="-6"/>
          <w:szCs w:val="21"/>
        </w:rPr>
        <w:t>此表在不改变格式要求的情况下，可自行增行。</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Cs/>
          <w:spacing w:val="-6"/>
          <w:szCs w:val="21"/>
        </w:rPr>
        <w:t>2.有关本项目实施所涉及的一切费用均计入报价。</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t>3.以上表格要求细分项目及报价，在“规格型号（或具体服务）”一栏中，货物类项目填写规格型号，服务类项目填写具体服务。</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Times New Roman"/>
          <w:bCs/>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2</w:t>
      </w:r>
      <w:r>
        <w:rPr>
          <w:rFonts w:hint="eastAsia" w:ascii="宋体" w:hAnsi="宋体" w:eastAsia="宋体" w:cs="宋体"/>
          <w:b/>
          <w:spacing w:val="-6"/>
          <w:szCs w:val="21"/>
        </w:rPr>
        <w:t>）</w:t>
      </w:r>
      <w:r>
        <w:rPr>
          <w:rFonts w:ascii="宋体" w:hAnsi="宋体" w:eastAsia="宋体" w:cs="宋体"/>
          <w:b/>
          <w:spacing w:val="-6"/>
          <w:szCs w:val="21"/>
        </w:rPr>
        <w:t>中小企业声明函（货物）</w:t>
      </w:r>
      <w:r>
        <w:rPr>
          <w:rFonts w:hint="eastAsia" w:ascii="宋体" w:hAnsi="宋体" w:eastAsia="宋体" w:cs="宋体"/>
          <w:b/>
          <w:spacing w:val="-6"/>
          <w:szCs w:val="21"/>
        </w:rPr>
        <w:t>（若属于中小企业）</w:t>
      </w:r>
    </w:p>
    <w:p>
      <w:pPr>
        <w:adjustRightInd w:val="0"/>
        <w:snapToGrid w:val="0"/>
        <w:spacing w:line="288" w:lineRule="auto"/>
        <w:ind w:firstLine="498" w:firstLineChars="236"/>
        <w:rPr>
          <w:rFonts w:ascii="宋体" w:hAnsi="宋体" w:eastAsia="宋体" w:cs="Times New Roman"/>
          <w:b/>
          <w:szCs w:val="21"/>
        </w:rPr>
      </w:pP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本公司（联合体）郑重声明，根据《政府采购促进中小企业发展管理办法》（财库</w:t>
      </w:r>
      <w:r>
        <w:rPr>
          <w:rFonts w:hint="eastAsia" w:ascii="宋体" w:hAnsi="宋体" w:eastAsia="宋体" w:cs="Times New Roman"/>
          <w:szCs w:val="21"/>
          <w:highlight w:val="none"/>
        </w:rPr>
        <w:t>﹝</w:t>
      </w:r>
      <w:r>
        <w:rPr>
          <w:rFonts w:ascii="宋体" w:hAnsi="宋体" w:eastAsia="宋体" w:cs="Times New Roman"/>
          <w:szCs w:val="21"/>
          <w:highlight w:val="none"/>
        </w:rPr>
        <w:t>2020</w:t>
      </w:r>
      <w:r>
        <w:rPr>
          <w:rFonts w:hint="eastAsia" w:ascii="宋体" w:hAnsi="宋体" w:eastAsia="宋体" w:cs="Times New Roman"/>
          <w:szCs w:val="21"/>
          <w:highlight w:val="none"/>
        </w:rPr>
        <w:t>﹞</w:t>
      </w:r>
      <w:r>
        <w:rPr>
          <w:rFonts w:ascii="宋体" w:hAnsi="宋体" w:eastAsia="宋体" w:cs="Times New Roman"/>
          <w:szCs w:val="21"/>
          <w:highlight w:val="none"/>
        </w:rPr>
        <w:t>46 号）的规定，本公司（联合体）参加</w:t>
      </w:r>
      <w:r>
        <w:rPr>
          <w:rFonts w:ascii="宋体" w:hAnsi="宋体" w:eastAsia="宋体" w:cs="Times New Roman"/>
          <w:i/>
          <w:szCs w:val="21"/>
          <w:highlight w:val="none"/>
          <w:u w:val="single"/>
        </w:rPr>
        <w:t>（</w:t>
      </w:r>
      <w:r>
        <w:rPr>
          <w:rFonts w:hint="eastAsia" w:ascii="宋体" w:hAnsi="宋体" w:eastAsia="宋体" w:cs="Times New Roman"/>
          <w:i/>
          <w:szCs w:val="21"/>
          <w:highlight w:val="none"/>
          <w:u w:val="single"/>
          <w:lang w:val="en-US" w:eastAsia="zh-CN"/>
        </w:rPr>
        <w:t>浙江大学</w:t>
      </w:r>
      <w:r>
        <w:rPr>
          <w:rFonts w:ascii="宋体" w:hAnsi="宋体" w:eastAsia="宋体" w:cs="Times New Roman"/>
          <w:i/>
          <w:szCs w:val="21"/>
          <w:highlight w:val="none"/>
          <w:u w:val="single"/>
        </w:rPr>
        <w:t>）</w:t>
      </w:r>
      <w:r>
        <w:rPr>
          <w:rFonts w:ascii="宋体" w:hAnsi="宋体" w:eastAsia="宋体" w:cs="Times New Roman"/>
          <w:szCs w:val="21"/>
          <w:highlight w:val="none"/>
        </w:rPr>
        <w:t>的</w:t>
      </w:r>
      <w:r>
        <w:rPr>
          <w:rFonts w:ascii="宋体" w:hAnsi="宋体" w:eastAsia="宋体" w:cs="Times New Roman"/>
          <w:i/>
          <w:szCs w:val="21"/>
          <w:highlight w:val="none"/>
          <w:u w:val="single"/>
        </w:rPr>
        <w:t>（</w:t>
      </w:r>
      <w:r>
        <w:rPr>
          <w:rFonts w:hint="eastAsia" w:ascii="宋体" w:hAnsi="宋体" w:eastAsia="宋体" w:cs="Times New Roman"/>
          <w:i/>
          <w:szCs w:val="21"/>
          <w:highlight w:val="none"/>
          <w:u w:val="single"/>
        </w:rPr>
        <w:t>深地空间围岩灾变实验装置</w:t>
      </w:r>
      <w:r>
        <w:rPr>
          <w:rFonts w:ascii="宋体" w:hAnsi="宋体" w:eastAsia="宋体" w:cs="Times New Roman"/>
          <w:i/>
          <w:szCs w:val="21"/>
          <w:highlight w:val="none"/>
          <w:u w:val="single"/>
        </w:rPr>
        <w:t>）</w:t>
      </w:r>
      <w:r>
        <w:rPr>
          <w:rFonts w:ascii="宋体" w:hAnsi="宋体" w:eastAsia="宋体" w:cs="Times New Roman"/>
          <w:szCs w:val="21"/>
          <w:highlight w:val="none"/>
        </w:rPr>
        <w:t>采购活动，提供的货物全部由符合政策要求的中小企</w:t>
      </w:r>
      <w:r>
        <w:rPr>
          <w:rFonts w:ascii="宋体" w:hAnsi="宋体" w:eastAsia="宋体" w:cs="Times New Roman"/>
          <w:szCs w:val="21"/>
        </w:rPr>
        <w:t>业制造。相关企业（含联合体中的中小企业、签订分包意向协议的中小企业）的具体情况如下：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i/>
          <w:szCs w:val="21"/>
          <w:highlight w:val="none"/>
          <w:u w:val="single"/>
        </w:rPr>
        <w:t>1. （标的名称）</w:t>
      </w:r>
      <w:r>
        <w:rPr>
          <w:rFonts w:ascii="宋体" w:hAnsi="宋体" w:eastAsia="宋体" w:cs="Times New Roman"/>
          <w:i/>
          <w:szCs w:val="21"/>
          <w:highlight w:val="none"/>
        </w:rPr>
        <w:t xml:space="preserve"> </w:t>
      </w:r>
      <w:r>
        <w:rPr>
          <w:rFonts w:ascii="宋体" w:hAnsi="宋体" w:eastAsia="宋体" w:cs="Times New Roman"/>
          <w:szCs w:val="21"/>
          <w:highlight w:val="none"/>
        </w:rPr>
        <w:t>，属于</w:t>
      </w:r>
      <w:r>
        <w:rPr>
          <w:rFonts w:ascii="宋体" w:hAnsi="宋体" w:eastAsia="宋体" w:cs="Times New Roman"/>
          <w:i/>
          <w:szCs w:val="21"/>
          <w:highlight w:val="none"/>
        </w:rPr>
        <w:t>（</w:t>
      </w:r>
      <w:r>
        <w:rPr>
          <w:rFonts w:hint="eastAsia" w:ascii="宋体" w:hAnsi="宋体" w:eastAsia="宋体" w:cs="Times New Roman"/>
          <w:i/>
          <w:szCs w:val="21"/>
          <w:highlight w:val="none"/>
          <w:u w:val="single"/>
          <w:lang w:val="en-US" w:eastAsia="zh-CN"/>
        </w:rPr>
        <w:t>工业</w:t>
      </w:r>
      <w:r>
        <w:rPr>
          <w:rFonts w:ascii="宋体" w:hAnsi="宋体" w:eastAsia="宋体" w:cs="Times New Roman"/>
          <w:i/>
          <w:szCs w:val="21"/>
          <w:highlight w:val="none"/>
          <w:u w:val="single"/>
        </w:rPr>
        <w:t>）行业</w:t>
      </w:r>
      <w:r>
        <w:rPr>
          <w:rFonts w:ascii="宋体" w:hAnsi="宋体" w:eastAsia="宋体" w:cs="Times New Roman"/>
          <w:szCs w:val="21"/>
          <w:highlight w:val="none"/>
        </w:rPr>
        <w:t>；制造商为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（中型企业、小型企业、微型企业）</w:t>
      </w:r>
      <w:r>
        <w:rPr>
          <w:rFonts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i/>
          <w:szCs w:val="21"/>
          <w:highlight w:val="none"/>
          <w:u w:val="single"/>
        </w:rPr>
        <w:t>2. （标的名称）</w:t>
      </w:r>
      <w:r>
        <w:rPr>
          <w:rFonts w:ascii="宋体" w:hAnsi="宋体" w:eastAsia="宋体" w:cs="Times New Roman"/>
          <w:i/>
          <w:szCs w:val="21"/>
          <w:highlight w:val="none"/>
        </w:rPr>
        <w:t xml:space="preserve"> </w:t>
      </w:r>
      <w:r>
        <w:rPr>
          <w:rFonts w:ascii="宋体" w:hAnsi="宋体" w:eastAsia="宋体" w:cs="Times New Roman"/>
          <w:szCs w:val="21"/>
          <w:highlight w:val="none"/>
        </w:rPr>
        <w:t>，属于</w:t>
      </w:r>
      <w:r>
        <w:rPr>
          <w:rFonts w:ascii="宋体" w:hAnsi="宋体" w:eastAsia="宋体" w:cs="Times New Roman"/>
          <w:i/>
          <w:szCs w:val="21"/>
          <w:highlight w:val="none"/>
        </w:rPr>
        <w:t>（</w:t>
      </w:r>
      <w:r>
        <w:rPr>
          <w:rFonts w:hint="eastAsia" w:ascii="宋体" w:hAnsi="宋体" w:eastAsia="宋体" w:cs="Times New Roman"/>
          <w:i/>
          <w:szCs w:val="21"/>
          <w:highlight w:val="none"/>
          <w:u w:val="single"/>
          <w:lang w:val="en-US" w:eastAsia="zh-CN"/>
        </w:rPr>
        <w:t>工</w:t>
      </w:r>
      <w:r>
        <w:rPr>
          <w:rFonts w:ascii="宋体" w:hAnsi="宋体" w:eastAsia="宋体" w:cs="Times New Roman"/>
          <w:i/>
          <w:szCs w:val="21"/>
          <w:highlight w:val="none"/>
          <w:u w:val="single"/>
        </w:rPr>
        <w:t>业）行</w:t>
      </w:r>
      <w:r>
        <w:rPr>
          <w:rFonts w:ascii="宋体" w:hAnsi="宋体" w:eastAsia="宋体" w:cs="Times New Roman"/>
          <w:i/>
          <w:szCs w:val="21"/>
          <w:u w:val="single"/>
        </w:rPr>
        <w:t>业</w:t>
      </w:r>
      <w:r>
        <w:rPr>
          <w:rFonts w:ascii="宋体" w:hAnsi="宋体" w:eastAsia="宋体" w:cs="Times New Roman"/>
          <w:szCs w:val="21"/>
        </w:rPr>
        <w:t>；制造商为</w:t>
      </w:r>
      <w:r>
        <w:rPr>
          <w:rFonts w:ascii="宋体" w:hAnsi="宋体" w:eastAsia="宋体" w:cs="Times New Roman"/>
          <w:i/>
          <w:szCs w:val="21"/>
          <w:u w:val="single"/>
        </w:rPr>
        <w:t>（企业名称）</w:t>
      </w:r>
      <w:r>
        <w:rPr>
          <w:rFonts w:ascii="宋体" w:hAnsi="宋体" w:eastAsia="宋体" w:cs="Times New Roman"/>
          <w:szCs w:val="21"/>
        </w:rPr>
        <w:t>，从业人员</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人，营业收入为</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万元，资产总额为</w:t>
      </w:r>
      <w:r>
        <w:rPr>
          <w:rFonts w:ascii="宋体" w:hAnsi="宋体" w:eastAsia="宋体" w:cs="Times New Roman"/>
          <w:szCs w:val="21"/>
          <w:u w:val="single"/>
        </w:rPr>
        <w:t xml:space="preserve"> </w:t>
      </w:r>
      <w:r>
        <w:rPr>
          <w:rFonts w:ascii="宋体" w:hAnsi="宋体" w:eastAsia="宋体" w:cs="Times New Roman"/>
          <w:szCs w:val="21"/>
          <w:u w:val="single"/>
        </w:rPr>
        <w:tab/>
      </w:r>
      <w:r>
        <w:rPr>
          <w:rFonts w:ascii="宋体" w:hAnsi="宋体" w:eastAsia="宋体" w:cs="Times New Roman"/>
          <w:szCs w:val="21"/>
        </w:rPr>
        <w:t>万元，属于</w:t>
      </w:r>
      <w:r>
        <w:rPr>
          <w:rFonts w:ascii="宋体" w:hAnsi="宋体" w:eastAsia="宋体" w:cs="Times New Roman"/>
          <w:i/>
          <w:szCs w:val="21"/>
          <w:u w:val="single"/>
        </w:rPr>
        <w:t>（中型企业、小型企业、微型企业）</w:t>
      </w:r>
      <w:r>
        <w:rPr>
          <w:rFonts w:hint="eastAsia"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szCs w:val="21"/>
        </w:rPr>
      </w:pP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企业名称（盖章）：</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日期：</w:t>
      </w:r>
    </w:p>
    <w:p>
      <w:pPr>
        <w:adjustRightInd w:val="0"/>
        <w:snapToGrid w:val="0"/>
        <w:spacing w:line="288" w:lineRule="auto"/>
        <w:ind w:firstLine="495" w:firstLineChars="236"/>
        <w:rPr>
          <w:rFonts w:ascii="宋体" w:hAnsi="宋体" w:eastAsia="宋体" w:cs="Times New Roman"/>
          <w:szCs w:val="21"/>
        </w:rPr>
      </w:pPr>
    </w:p>
    <w:p>
      <w:pPr>
        <w:adjustRightInd w:val="0"/>
        <w:snapToGrid w:val="0"/>
        <w:spacing w:line="288" w:lineRule="auto"/>
        <w:ind w:firstLine="495" w:firstLineChars="236"/>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highlight w:val="none"/>
          <w:u w:val="single"/>
        </w:rPr>
      </w:pPr>
      <w:r>
        <w:rPr>
          <w:rFonts w:ascii="宋体" w:hAnsi="宋体" w:eastAsia="宋体" w:cs="Times New Roman"/>
          <w:szCs w:val="21"/>
          <w:u w:val="single"/>
        </w:rPr>
        <w:t>5.</w:t>
      </w:r>
      <w:r>
        <w:rPr>
          <w:rFonts w:hint="eastAsia" w:ascii="宋体" w:hAnsi="宋体" w:eastAsia="宋体" w:cs="Times New Roman"/>
          <w:szCs w:val="21"/>
          <w:u w:val="single"/>
        </w:rPr>
        <w:t>《中小企</w:t>
      </w:r>
      <w:r>
        <w:rPr>
          <w:rFonts w:hint="eastAsia" w:ascii="宋体" w:hAnsi="宋体" w:eastAsia="宋体" w:cs="Times New Roman"/>
          <w:szCs w:val="21"/>
          <w:highlight w:val="none"/>
          <w:u w:val="single"/>
        </w:rPr>
        <w:t>业声明函》填写不全（从业人员、营业收入、资产总额在中小企业划型标准规定中不涉及的除外），或未按照《中小企业声明函》要求填写的，视为未提供《中小企业声明函》，</w:t>
      </w:r>
      <w:r>
        <w:rPr>
          <w:rFonts w:hint="eastAsia" w:ascii="宋体" w:hAnsi="宋体" w:eastAsia="宋体"/>
          <w:highlight w:val="none"/>
          <w:u w:val="single"/>
        </w:rPr>
        <w:t>不享受中小企业扶持政策。</w:t>
      </w:r>
    </w:p>
    <w:p>
      <w:pPr>
        <w:adjustRightInd w:val="0"/>
        <w:snapToGrid w:val="0"/>
        <w:spacing w:line="288" w:lineRule="auto"/>
        <w:ind w:firstLine="495" w:firstLineChars="236"/>
        <w:rPr>
          <w:rFonts w:ascii="宋体" w:hAnsi="宋体" w:eastAsia="宋体" w:cs="宋体"/>
          <w:szCs w:val="21"/>
          <w:u w:val="single"/>
        </w:rPr>
      </w:pPr>
      <w:r>
        <w:rPr>
          <w:rFonts w:hint="eastAsia" w:ascii="宋体" w:hAnsi="宋体" w:eastAsia="宋体" w:cs="Times New Roman"/>
          <w:szCs w:val="21"/>
          <w:u w:val="single"/>
        </w:rPr>
        <w:t>6</w:t>
      </w:r>
      <w:r>
        <w:rPr>
          <w:rFonts w:ascii="宋体" w:hAnsi="宋体" w:eastAsia="宋体" w:cs="Times New Roman"/>
          <w:szCs w:val="21"/>
          <w:u w:val="single"/>
        </w:rPr>
        <w:t>.如项目包含“多件”标的物的，需按标的物项数逐项填写。</w:t>
      </w:r>
    </w:p>
    <w:p>
      <w:pPr>
        <w:widowControl/>
        <w:adjustRightInd w:val="0"/>
        <w:snapToGrid w:val="0"/>
        <w:spacing w:line="288" w:lineRule="auto"/>
        <w:ind w:firstLine="495" w:firstLineChars="236"/>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2"/>
        <w:rPr>
          <w:rFonts w:ascii="宋体" w:hAnsi="宋体" w:eastAsia="宋体" w:cs="宋体"/>
          <w:color w:val="000000"/>
          <w:kern w:val="0"/>
          <w:szCs w:val="21"/>
          <w:highlight w:val="yellow"/>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）属于监狱企业的证明文件（若属于监狱企业）</w:t>
      </w:r>
    </w:p>
    <w:p>
      <w:pPr>
        <w:adjustRightInd w:val="0"/>
        <w:snapToGrid w:val="0"/>
        <w:spacing w:line="288" w:lineRule="auto"/>
        <w:rPr>
          <w:rFonts w:ascii="宋体" w:hAnsi="宋体" w:eastAsia="宋体" w:cs="宋体"/>
          <w:color w:val="000000"/>
          <w:kern w:val="0"/>
          <w:szCs w:val="21"/>
        </w:rPr>
      </w:pPr>
    </w:p>
    <w:p>
      <w:pPr>
        <w:adjustRightInd w:val="0"/>
        <w:snapToGrid w:val="0"/>
        <w:spacing w:line="288" w:lineRule="auto"/>
        <w:ind w:firstLine="373" w:firstLineChars="177"/>
        <w:rPr>
          <w:rFonts w:ascii="宋体" w:hAnsi="宋体" w:eastAsia="宋体"/>
          <w:b/>
          <w:bCs/>
          <w:szCs w:val="21"/>
        </w:rPr>
      </w:pPr>
      <w:r>
        <w:rPr>
          <w:rFonts w:hint="eastAsia" w:ascii="宋体" w:hAnsi="宋体" w:eastAsia="宋体" w:cs="宋体"/>
          <w:b/>
          <w:bCs/>
          <w:color w:val="000000"/>
          <w:kern w:val="0"/>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rPr>
      </w:pPr>
      <w:r>
        <w:rPr>
          <w:rFonts w:hint="eastAsia" w:ascii="宋体" w:hAnsi="宋体" w:eastAsia="宋体" w:cs="宋体"/>
          <w:color w:val="000000"/>
          <w:kern w:val="0"/>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）残疾人福利性单位声明函（若属于残疾人福利性单位）</w:t>
      </w:r>
    </w:p>
    <w:p>
      <w:pPr>
        <w:adjustRightInd w:val="0"/>
        <w:snapToGrid w:val="0"/>
        <w:spacing w:line="288" w:lineRule="auto"/>
        <w:rPr>
          <w:rFonts w:ascii="宋体" w:hAnsi="宋体" w:eastAsia="宋体" w:cs="Times New Roman"/>
          <w:b/>
          <w:spacing w:val="6"/>
          <w:szCs w:val="21"/>
        </w:rPr>
      </w:pP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rPr>
        <w:t>本单位郑重声明，根据《财政部 民政部 中国残疾人联合会关于促进残疾人就业政府采购政策的通知》（财库</w:t>
      </w:r>
      <w:r>
        <w:rPr>
          <w:rFonts w:hint="eastAsia" w:ascii="宋体" w:hAnsi="宋体" w:eastAsia="宋体" w:cs="Times New Roman"/>
          <w:szCs w:val="21"/>
        </w:rPr>
        <w:t>〔2017〕 141</w:t>
      </w:r>
      <w:r>
        <w:rPr>
          <w:rFonts w:hint="eastAsia" w:ascii="宋体" w:hAnsi="宋体" w:eastAsia="宋体" w:cs="Times New Roman"/>
          <w:spacing w:val="6"/>
          <w:szCs w:val="21"/>
        </w:rPr>
        <w:t>号）的规定，</w:t>
      </w:r>
      <w:r>
        <w:rPr>
          <w:rFonts w:hint="eastAsia" w:ascii="宋体" w:hAnsi="宋体" w:eastAsia="宋体" w:cs="Times New Roman"/>
          <w:b/>
          <w:bCs/>
          <w:spacing w:val="6"/>
          <w:szCs w:val="21"/>
        </w:rPr>
        <w:t>本单位</w:t>
      </w:r>
      <w:r>
        <w:rPr>
          <w:rFonts w:hint="eastAsia" w:ascii="宋体" w:hAnsi="宋体" w:eastAsia="宋体" w:cs="Times New Roman"/>
          <w:b/>
          <w:bCs/>
          <w:spacing w:val="6"/>
          <w:szCs w:val="21"/>
          <w:highlight w:val="none"/>
        </w:rPr>
        <w:t>为符合条件的残疾人福利性单位</w:t>
      </w:r>
      <w:r>
        <w:rPr>
          <w:rFonts w:hint="eastAsia" w:ascii="宋体" w:hAnsi="宋体" w:eastAsia="宋体" w:cs="Times New Roman"/>
          <w:spacing w:val="6"/>
          <w:szCs w:val="21"/>
          <w:highlight w:val="none"/>
        </w:rPr>
        <w:t>，且本单位参加______（采购人）单位的______（项目名称）项目采购活动提供本单位制造的货物，或者提供其他残疾人福利性单位制造的货物（不包括使用非残疾人福利性单位注册商标的货物）。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eastAsia="宋体" w:cs="Times New Roman"/>
          <w:spacing w:val="6"/>
          <w:szCs w:val="21"/>
        </w:rPr>
      </w:pPr>
      <w:r>
        <w:rPr>
          <w:rFonts w:hint="eastAsia" w:ascii="宋体" w:hAnsi="宋体" w:eastAsia="宋体" w:cs="Times New Roman"/>
          <w:spacing w:val="6"/>
          <w:szCs w:val="21"/>
          <w:highlight w:val="none"/>
        </w:rPr>
        <w:t>本单位对上述声明的真实性负责。如有虚假，将依法承担相应</w:t>
      </w:r>
      <w:r>
        <w:rPr>
          <w:rFonts w:hint="eastAsia" w:ascii="宋体" w:hAnsi="宋体" w:eastAsia="宋体" w:cs="Times New Roman"/>
          <w:spacing w:val="6"/>
          <w:szCs w:val="21"/>
        </w:rPr>
        <w:t>责任。</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Cs w:val="21"/>
        </w:rPr>
      </w:pPr>
      <w:r>
        <w:rPr>
          <w:rFonts w:hint="eastAsia" w:ascii="宋体" w:hAnsi="宋体" w:eastAsia="宋体" w:cs="Times New Roman"/>
          <w:spacing w:val="6"/>
          <w:szCs w:val="21"/>
        </w:rPr>
        <w:t>日  期：</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一、享受政府采购支持政策的残疾人福利性单位应当同时满足以下条件：</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（一）安置的残疾人占本单位在职职工人数的比例不低于25%（含25%），并且安置的残疾人人数不少于10人（含10人）；</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（二）依法与安置的每位残疾人签订了一年以上（含一年）的劳动合同或服务协议；</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pPr>
        <w:pStyle w:val="21"/>
        <w:shd w:val="clear" w:color="auto" w:fill="FFFFFF"/>
        <w:adjustRightInd w:val="0"/>
        <w:snapToGrid w:val="0"/>
        <w:spacing w:before="0" w:beforeAutospacing="0" w:after="0" w:afterAutospacing="0" w:line="288" w:lineRule="auto"/>
        <w:ind w:firstLine="371" w:firstLineChars="177"/>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1"/>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pPr>
        <w:pStyle w:val="21"/>
        <w:shd w:val="clear" w:color="auto" w:fill="FFFFFF"/>
        <w:adjustRightInd w:val="0"/>
        <w:snapToGrid w:val="0"/>
        <w:spacing w:before="0" w:beforeAutospacing="0" w:after="0" w:afterAutospacing="0" w:line="288" w:lineRule="auto"/>
        <w:ind w:firstLine="371" w:firstLineChars="177"/>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pPr>
        <w:pStyle w:val="21"/>
        <w:shd w:val="clear" w:color="auto" w:fill="FFFFFF"/>
        <w:adjustRightInd w:val="0"/>
        <w:snapToGrid w:val="0"/>
        <w:spacing w:before="0" w:beforeAutospacing="0" w:after="0" w:afterAutospacing="0" w:line="288" w:lineRule="auto"/>
        <w:ind w:firstLine="371" w:firstLineChars="177"/>
        <w:rPr>
          <w:sz w:val="21"/>
          <w:szCs w:val="21"/>
        </w:rPr>
      </w:pPr>
      <w:r>
        <w:rPr>
          <w:rFonts w:hint="eastAsia"/>
          <w:sz w:val="21"/>
          <w:szCs w:val="21"/>
        </w:rPr>
        <w:t>残疾人福利性单位属于小型、微型企业的，不重复享受政策。</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outlineLvl w:val="2"/>
        <w:rPr>
          <w:rFonts w:ascii="宋体" w:hAnsi="宋体" w:eastAsia="宋体" w:cs="Times New Roman"/>
          <w:b/>
          <w:bCs/>
          <w:szCs w:val="21"/>
        </w:rPr>
      </w:pPr>
      <w:r>
        <w:rPr>
          <w:rFonts w:hint="eastAsia" w:ascii="宋体" w:hAnsi="宋体" w:eastAsia="宋体" w:cs="Times New Roman"/>
          <w:b/>
          <w:spacing w:val="-6"/>
          <w:szCs w:val="21"/>
        </w:rPr>
        <w:t>附件1：</w:t>
      </w:r>
      <w:r>
        <w:rPr>
          <w:rFonts w:hint="eastAsia" w:ascii="宋体" w:hAnsi="宋体" w:eastAsia="宋体" w:cs="Times New Roman"/>
          <w:b/>
          <w:bCs/>
          <w:szCs w:val="21"/>
        </w:rPr>
        <w:t>业务专用章使用说明函</w:t>
      </w:r>
    </w:p>
    <w:p>
      <w:pPr>
        <w:snapToGrid w:val="0"/>
        <w:spacing w:line="288" w:lineRule="auto"/>
        <w:rPr>
          <w:rFonts w:ascii="宋体" w:hAnsi="宋体" w:eastAsia="宋体" w:cs="仿宋_GB2312"/>
          <w:szCs w:val="21"/>
          <w:u w:val="single"/>
        </w:rPr>
      </w:pPr>
    </w:p>
    <w:p>
      <w:pPr>
        <w:snapToGrid w:val="0"/>
        <w:spacing w:line="288" w:lineRule="auto"/>
        <w:rPr>
          <w:rFonts w:ascii="宋体" w:hAnsi="宋体" w:eastAsia="宋体" w:cs="Times New Roman"/>
          <w:szCs w:val="21"/>
        </w:rPr>
      </w:pPr>
      <w:r>
        <w:rPr>
          <w:rFonts w:hint="eastAsia" w:ascii="宋体" w:hAnsi="宋体" w:eastAsia="宋体" w:cs="仿宋_GB2312"/>
          <w:szCs w:val="21"/>
          <w:u w:val="single"/>
        </w:rPr>
        <w:t>（采购人）、（采购代理机构）</w:t>
      </w:r>
    </w:p>
    <w:p>
      <w:pPr>
        <w:snapToGrid w:val="0"/>
        <w:spacing w:line="288" w:lineRule="auto"/>
        <w:ind w:firstLine="424" w:firstLineChars="202"/>
        <w:rPr>
          <w:rFonts w:ascii="宋体" w:hAnsi="宋体" w:eastAsia="宋体" w:cs="宋体"/>
          <w:szCs w:val="21"/>
        </w:rPr>
      </w:pPr>
      <w:r>
        <w:rPr>
          <w:rFonts w:hint="eastAsia" w:ascii="宋体" w:hAnsi="宋体" w:eastAsia="宋体" w:cs="仿宋_GB2312"/>
          <w:kern w:val="0"/>
          <w:szCs w:val="21"/>
          <w:lang w:val="zh-CN"/>
        </w:rPr>
        <w:t>我方</w:t>
      </w:r>
      <w:r>
        <w:rPr>
          <w:rFonts w:ascii="宋体" w:hAnsi="宋体" w:eastAsia="宋体" w:cs="仿宋_GB2312"/>
          <w:kern w:val="0"/>
          <w:szCs w:val="21"/>
          <w:u w:val="single"/>
          <w:lang w:val="zh-CN"/>
        </w:rPr>
        <w:t xml:space="preserve">                         </w:t>
      </w:r>
      <w:r>
        <w:rPr>
          <w:rFonts w:ascii="宋体" w:hAnsi="宋体" w:eastAsia="宋体" w:cs="仿宋_GB2312"/>
          <w:szCs w:val="21"/>
        </w:rPr>
        <w:t>(</w:t>
      </w:r>
      <w:r>
        <w:rPr>
          <w:rFonts w:hint="eastAsia" w:ascii="宋体" w:hAnsi="宋体" w:eastAsia="宋体" w:cs="仿宋_GB2312"/>
          <w:szCs w:val="21"/>
        </w:rPr>
        <w:t>供应商</w:t>
      </w:r>
      <w:r>
        <w:rPr>
          <w:rFonts w:ascii="宋体" w:hAnsi="宋体" w:eastAsia="宋体" w:cs="仿宋_GB2312"/>
          <w:szCs w:val="21"/>
        </w:rPr>
        <w:t>全称)</w:t>
      </w:r>
      <w:r>
        <w:rPr>
          <w:rFonts w:hint="eastAsia" w:ascii="宋体" w:hAnsi="宋体" w:eastAsia="宋体" w:cs="Times New Roman"/>
          <w:szCs w:val="21"/>
        </w:rPr>
        <w:t>是中华人民共和国依法登记注册的合法企业，</w:t>
      </w:r>
      <w:r>
        <w:rPr>
          <w:rFonts w:hint="eastAsia" w:ascii="宋体" w:hAnsi="宋体" w:eastAsia="宋体" w:cs="宋体"/>
          <w:bCs/>
          <w:szCs w:val="21"/>
        </w:rPr>
        <w:t>在参加</w:t>
      </w:r>
      <w:r>
        <w:rPr>
          <w:rFonts w:hint="eastAsia" w:ascii="宋体" w:hAnsi="宋体" w:eastAsia="宋体" w:cs="仿宋_GB2312"/>
          <w:szCs w:val="21"/>
        </w:rPr>
        <w:t>你方组织的</w:t>
      </w:r>
      <w:r>
        <w:rPr>
          <w:rFonts w:hint="eastAsia" w:ascii="宋体" w:hAnsi="宋体" w:eastAsia="宋体" w:cs="仿宋_GB2312"/>
          <w:szCs w:val="21"/>
          <w:u w:val="single"/>
        </w:rPr>
        <w:t>（项目名称）</w:t>
      </w:r>
      <w:r>
        <w:rPr>
          <w:rFonts w:hint="eastAsia" w:ascii="宋体" w:hAnsi="宋体" w:eastAsia="宋体" w:cs="仿宋_GB2312"/>
          <w:szCs w:val="21"/>
        </w:rPr>
        <w:t>项目</w:t>
      </w:r>
      <w:r>
        <w:rPr>
          <w:rFonts w:hint="eastAsia" w:ascii="宋体" w:hAnsi="宋体" w:eastAsia="宋体" w:cs="仿宋_GB2312"/>
          <w:szCs w:val="21"/>
          <w:u w:val="single"/>
        </w:rPr>
        <w:t>（项目编号）</w:t>
      </w:r>
      <w:r>
        <w:rPr>
          <w:rFonts w:hint="eastAsia" w:ascii="宋体" w:hAnsi="宋体" w:eastAsia="宋体" w:cs="宋体"/>
          <w:bCs/>
          <w:szCs w:val="21"/>
        </w:rPr>
        <w:t>投标（响应）活动中作如下说明：</w:t>
      </w:r>
      <w:r>
        <w:rPr>
          <w:rFonts w:hint="eastAsia" w:ascii="宋体" w:hAnsi="宋体" w:eastAsia="宋体" w:cs="宋体"/>
          <w:szCs w:val="21"/>
        </w:rPr>
        <w:t>我方所使用的</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与法定名称章具有同等的法律效力，对使用</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的行为予以完全承认，并愿意承担相应责任。</w:t>
      </w:r>
    </w:p>
    <w:p>
      <w:pPr>
        <w:snapToGrid w:val="0"/>
        <w:spacing w:line="288" w:lineRule="auto"/>
        <w:ind w:firstLine="424" w:firstLineChars="202"/>
        <w:rPr>
          <w:rFonts w:ascii="宋体" w:hAnsi="宋体" w:eastAsia="宋体" w:cs="宋体"/>
          <w:szCs w:val="21"/>
        </w:rPr>
      </w:pPr>
      <w:r>
        <w:rPr>
          <w:rFonts w:hint="eastAsia" w:ascii="宋体" w:hAnsi="宋体" w:eastAsia="宋体" w:cs="宋体"/>
          <w:szCs w:val="21"/>
        </w:rPr>
        <w:t>特此说明。</w:t>
      </w:r>
    </w:p>
    <w:p>
      <w:pPr>
        <w:snapToGrid w:val="0"/>
        <w:spacing w:line="288" w:lineRule="auto"/>
        <w:ind w:right="480" w:firstLine="424" w:firstLineChars="202"/>
        <w:rPr>
          <w:rFonts w:ascii="宋体" w:hAnsi="宋体" w:eastAsia="宋体" w:cs="宋体"/>
          <w:szCs w:val="21"/>
        </w:rPr>
      </w:pPr>
      <w:r>
        <w:rPr>
          <w:rFonts w:hint="eastAsia" w:ascii="宋体" w:hAnsi="宋体" w:eastAsia="宋体" w:cs="宋体"/>
          <w:szCs w:val="21"/>
        </w:rPr>
        <w:t>供应商（法定名称章）：</w:t>
      </w:r>
    </w:p>
    <w:p>
      <w:pPr>
        <w:snapToGrid w:val="0"/>
        <w:spacing w:line="288" w:lineRule="auto"/>
        <w:ind w:right="1440" w:firstLine="424" w:firstLineChars="202"/>
        <w:rPr>
          <w:rFonts w:ascii="宋体" w:hAnsi="宋体" w:eastAsia="宋体" w:cs="宋体"/>
          <w:szCs w:val="21"/>
        </w:rPr>
      </w:pPr>
      <w:r>
        <w:rPr>
          <w:rFonts w:ascii="宋体" w:hAnsi="宋体" w:eastAsia="宋体" w:cs="宋体"/>
          <w:szCs w:val="21"/>
        </w:rPr>
        <w:t>日期：       年     月     日</w:t>
      </w:r>
    </w:p>
    <w:p>
      <w:pPr>
        <w:snapToGrid w:val="0"/>
        <w:spacing w:line="288" w:lineRule="auto"/>
        <w:rPr>
          <w:rFonts w:ascii="宋体" w:hAnsi="宋体" w:eastAsia="宋体" w:cs="宋体"/>
          <w:b/>
          <w:bCs/>
          <w:szCs w:val="21"/>
        </w:rPr>
      </w:pPr>
    </w:p>
    <w:p>
      <w:pPr>
        <w:snapToGrid w:val="0"/>
        <w:spacing w:line="288" w:lineRule="auto"/>
        <w:rPr>
          <w:rFonts w:ascii="宋体" w:hAnsi="宋体" w:eastAsia="宋体" w:cs="宋体"/>
          <w:szCs w:val="21"/>
        </w:rPr>
      </w:pPr>
      <w:r>
        <w:rPr>
          <w:rFonts w:hint="eastAsia" w:ascii="宋体" w:hAnsi="宋体" w:eastAsia="宋体" w:cs="宋体"/>
          <w:b/>
          <w:bCs/>
          <w:szCs w:val="21"/>
        </w:rPr>
        <w:t>附：</w:t>
      </w:r>
      <w:r>
        <w:rPr>
          <w:rFonts w:hint="eastAsia" w:ascii="宋体" w:hAnsi="宋体" w:eastAsia="宋体" w:cs="宋体"/>
          <w:szCs w:val="21"/>
        </w:rPr>
        <w:t>供应商法定名称章（印模）</w:t>
      </w:r>
      <w:r>
        <w:rPr>
          <w:rFonts w:ascii="宋体" w:hAnsi="宋体" w:eastAsia="宋体" w:cs="宋体"/>
          <w:szCs w:val="21"/>
        </w:rPr>
        <w:t xml:space="preserve">                </w:t>
      </w:r>
      <w:r>
        <w:rPr>
          <w:rFonts w:hint="eastAsia" w:ascii="宋体" w:hAnsi="宋体" w:eastAsia="宋体" w:cs="宋体"/>
          <w:szCs w:val="21"/>
        </w:rPr>
        <w:t>供应商“</w:t>
      </w:r>
      <w:r>
        <w:rPr>
          <w:rFonts w:ascii="宋体" w:hAnsi="宋体" w:eastAsia="宋体" w:cs="仿宋_GB2312"/>
          <w:szCs w:val="21"/>
        </w:rPr>
        <w:t>XX</w:t>
      </w:r>
      <w:r>
        <w:rPr>
          <w:rFonts w:hint="eastAsia" w:ascii="宋体" w:hAnsi="宋体" w:eastAsia="宋体" w:cs="宋体"/>
          <w:szCs w:val="21"/>
        </w:rPr>
        <w:t>专用章”（印模）</w:t>
      </w:r>
    </w:p>
    <w:p>
      <w:pPr>
        <w:snapToGrid w:val="0"/>
        <w:spacing w:line="288" w:lineRule="auto"/>
        <w:rPr>
          <w:rFonts w:ascii="宋体" w:hAnsi="宋体" w:eastAsia="宋体" w:cs="宋体"/>
          <w:szCs w:val="21"/>
        </w:rPr>
      </w:pPr>
      <w:r>
        <w:rPr>
          <w:rFonts w:ascii="宋体" w:hAnsi="宋体" w:eastAsia="宋体" w:cs="Times New Roman"/>
          <w:b/>
          <w:bCs/>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rPr>
        <w:t xml:space="preserve"> </w:t>
      </w:r>
      <w:r>
        <w:rPr>
          <w:rFonts w:ascii="宋体" w:hAnsi="宋体" w:eastAsia="宋体" w:cs="Times New Roman"/>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rPr>
      </w:pPr>
    </w:p>
    <w:p>
      <w:pPr>
        <w:widowControl/>
        <w:jc w:val="left"/>
        <w:rPr>
          <w:rFonts w:ascii="宋体" w:hAnsi="宋体" w:eastAsia="宋体" w:cs="Times New Roman"/>
          <w:b/>
          <w:spacing w:val="-6"/>
          <w:szCs w:val="21"/>
        </w:rPr>
      </w:pPr>
    </w:p>
    <w:sectPr>
      <w:pgSz w:w="11906" w:h="16838"/>
      <w:pgMar w:top="1247" w:right="1247" w:bottom="1247" w:left="1247" w:header="0" w:footer="694"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algun Gothic Semilight">
    <w:panose1 w:val="020B0502040204020203"/>
    <w:charset w:val="86"/>
    <w:family w:val="auto"/>
    <w:pitch w:val="default"/>
    <w:sig w:usb0="900002AF" w:usb1="01D77CFB" w:usb2="00000012" w:usb3="00000000" w:csb0="203E01BD" w:csb1="D7FF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79651"/>
    <w:multiLevelType w:val="singleLevel"/>
    <w:tmpl w:val="82D79651"/>
    <w:lvl w:ilvl="0" w:tentative="0">
      <w:start w:val="1"/>
      <w:numFmt w:val="chineseCounting"/>
      <w:suff w:val="space"/>
      <w:lvlText w:val="第%1条"/>
      <w:lvlJc w:val="left"/>
      <w:rPr>
        <w:rFonts w:hint="eastAsia"/>
        <w:b/>
        <w:bCs/>
      </w:rPr>
    </w:lvl>
  </w:abstractNum>
  <w:abstractNum w:abstractNumId="1">
    <w:nsid w:val="9BFF6E90"/>
    <w:multiLevelType w:val="multilevel"/>
    <w:tmpl w:val="9BFF6E90"/>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0000005"/>
    <w:multiLevelType w:val="multilevel"/>
    <w:tmpl w:val="00000005"/>
    <w:lvl w:ilvl="0" w:tentative="0">
      <w:start w:val="1"/>
      <w:numFmt w:val="decimal"/>
      <w:pStyle w:val="7"/>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4E5450A"/>
    <w:multiLevelType w:val="multilevel"/>
    <w:tmpl w:val="14E545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1A18E5"/>
    <w:multiLevelType w:val="multilevel"/>
    <w:tmpl w:val="161A18E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91E1FC1"/>
    <w:multiLevelType w:val="singleLevel"/>
    <w:tmpl w:val="191E1FC1"/>
    <w:lvl w:ilvl="0" w:tentative="0">
      <w:start w:val="2"/>
      <w:numFmt w:val="decimal"/>
      <w:suff w:val="space"/>
      <w:lvlText w:val="%1."/>
      <w:lvlJc w:val="left"/>
    </w:lvl>
  </w:abstractNum>
  <w:abstractNum w:abstractNumId="6">
    <w:nsid w:val="1AE034CF"/>
    <w:multiLevelType w:val="multilevel"/>
    <w:tmpl w:val="1AE034CF"/>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1DE6414C"/>
    <w:multiLevelType w:val="multilevel"/>
    <w:tmpl w:val="1DE6414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21E15F18"/>
    <w:multiLevelType w:val="multilevel"/>
    <w:tmpl w:val="21E15F18"/>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2667711D"/>
    <w:multiLevelType w:val="multilevel"/>
    <w:tmpl w:val="266771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DE7083A"/>
    <w:multiLevelType w:val="singleLevel"/>
    <w:tmpl w:val="2DE7083A"/>
    <w:lvl w:ilvl="0" w:tentative="0">
      <w:start w:val="1"/>
      <w:numFmt w:val="decimal"/>
      <w:lvlText w:val="(%1)"/>
      <w:lvlJc w:val="left"/>
      <w:pPr>
        <w:ind w:left="845" w:hanging="425"/>
      </w:pPr>
      <w:rPr>
        <w:rFonts w:hint="default"/>
      </w:rPr>
    </w:lvl>
  </w:abstractNum>
  <w:abstractNum w:abstractNumId="11">
    <w:nsid w:val="3B7667D0"/>
    <w:multiLevelType w:val="multilevel"/>
    <w:tmpl w:val="3B7667D0"/>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3C2C1FA1"/>
    <w:multiLevelType w:val="multilevel"/>
    <w:tmpl w:val="3C2C1F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1DE1E5D"/>
    <w:multiLevelType w:val="multilevel"/>
    <w:tmpl w:val="41DE1E5D"/>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451D290F"/>
    <w:multiLevelType w:val="multilevel"/>
    <w:tmpl w:val="451D29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6E32CEE"/>
    <w:multiLevelType w:val="multilevel"/>
    <w:tmpl w:val="46E32CE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50993C6C"/>
    <w:multiLevelType w:val="multilevel"/>
    <w:tmpl w:val="50993C6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54CC5E2F"/>
    <w:multiLevelType w:val="multilevel"/>
    <w:tmpl w:val="54CC5E2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
    <w:nsid w:val="5F4F29F6"/>
    <w:multiLevelType w:val="multilevel"/>
    <w:tmpl w:val="5F4F29F6"/>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9">
    <w:nsid w:val="6D61F045"/>
    <w:multiLevelType w:val="singleLevel"/>
    <w:tmpl w:val="6D61F045"/>
    <w:lvl w:ilvl="0" w:tentative="0">
      <w:start w:val="2"/>
      <w:numFmt w:val="decimal"/>
      <w:suff w:val="nothing"/>
      <w:lvlText w:val="%1、"/>
      <w:lvlJc w:val="left"/>
    </w:lvl>
  </w:abstractNum>
  <w:abstractNum w:abstractNumId="20">
    <w:nsid w:val="74C631C9"/>
    <w:multiLevelType w:val="multilevel"/>
    <w:tmpl w:val="74C631C9"/>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1">
    <w:nsid w:val="7BE554CE"/>
    <w:multiLevelType w:val="multilevel"/>
    <w:tmpl w:val="7BE554C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21"/>
  </w:num>
  <w:num w:numId="3">
    <w:abstractNumId w:val="9"/>
  </w:num>
  <w:num w:numId="4">
    <w:abstractNumId w:val="3"/>
  </w:num>
  <w:num w:numId="5">
    <w:abstractNumId w:val="14"/>
  </w:num>
  <w:num w:numId="6">
    <w:abstractNumId w:val="6"/>
  </w:num>
  <w:num w:numId="7">
    <w:abstractNumId w:val="1"/>
  </w:num>
  <w:num w:numId="8">
    <w:abstractNumId w:val="13"/>
  </w:num>
  <w:num w:numId="9">
    <w:abstractNumId w:val="8"/>
  </w:num>
  <w:num w:numId="10">
    <w:abstractNumId w:val="17"/>
  </w:num>
  <w:num w:numId="11">
    <w:abstractNumId w:val="18"/>
  </w:num>
  <w:num w:numId="12">
    <w:abstractNumId w:val="20"/>
  </w:num>
  <w:num w:numId="13">
    <w:abstractNumId w:val="11"/>
  </w:num>
  <w:num w:numId="14">
    <w:abstractNumId w:val="7"/>
  </w:num>
  <w:num w:numId="15">
    <w:abstractNumId w:val="15"/>
  </w:num>
  <w:num w:numId="16">
    <w:abstractNumId w:val="12"/>
  </w:num>
  <w:num w:numId="17">
    <w:abstractNumId w:val="16"/>
  </w:num>
  <w:num w:numId="18">
    <w:abstractNumId w:val="4"/>
  </w:num>
  <w:num w:numId="19">
    <w:abstractNumId w:val="0"/>
  </w:num>
  <w:num w:numId="20">
    <w:abstractNumId w:val="1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761D"/>
    <w:rsid w:val="000A0BB1"/>
    <w:rsid w:val="000A108A"/>
    <w:rsid w:val="000A318A"/>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1418"/>
    <w:rsid w:val="00112A2A"/>
    <w:rsid w:val="001137C8"/>
    <w:rsid w:val="00117EF1"/>
    <w:rsid w:val="001203D7"/>
    <w:rsid w:val="00120781"/>
    <w:rsid w:val="00121025"/>
    <w:rsid w:val="001273B1"/>
    <w:rsid w:val="00130294"/>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7EC3"/>
    <w:rsid w:val="0017064E"/>
    <w:rsid w:val="00170DD1"/>
    <w:rsid w:val="00172304"/>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7085"/>
    <w:rsid w:val="002A799A"/>
    <w:rsid w:val="002B0296"/>
    <w:rsid w:val="002B1048"/>
    <w:rsid w:val="002B4AE9"/>
    <w:rsid w:val="002C3342"/>
    <w:rsid w:val="002C33D1"/>
    <w:rsid w:val="002D2EAF"/>
    <w:rsid w:val="002D2FCD"/>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515"/>
    <w:rsid w:val="003D4971"/>
    <w:rsid w:val="003D5E01"/>
    <w:rsid w:val="003D6E1E"/>
    <w:rsid w:val="003E24B1"/>
    <w:rsid w:val="003E3756"/>
    <w:rsid w:val="003E60E1"/>
    <w:rsid w:val="003E77E4"/>
    <w:rsid w:val="003F52EA"/>
    <w:rsid w:val="00400160"/>
    <w:rsid w:val="004011A4"/>
    <w:rsid w:val="00401E65"/>
    <w:rsid w:val="00403B44"/>
    <w:rsid w:val="00403FBB"/>
    <w:rsid w:val="00405332"/>
    <w:rsid w:val="0041002E"/>
    <w:rsid w:val="00413B01"/>
    <w:rsid w:val="0041400B"/>
    <w:rsid w:val="004142D4"/>
    <w:rsid w:val="004173F4"/>
    <w:rsid w:val="00417F83"/>
    <w:rsid w:val="004237F8"/>
    <w:rsid w:val="00426923"/>
    <w:rsid w:val="004303C0"/>
    <w:rsid w:val="0043170C"/>
    <w:rsid w:val="004327AE"/>
    <w:rsid w:val="00433671"/>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05F"/>
    <w:rsid w:val="00595A42"/>
    <w:rsid w:val="00597EA9"/>
    <w:rsid w:val="005A026D"/>
    <w:rsid w:val="005A2031"/>
    <w:rsid w:val="005A603C"/>
    <w:rsid w:val="005A6A8A"/>
    <w:rsid w:val="005B2265"/>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9EA"/>
    <w:rsid w:val="006314E7"/>
    <w:rsid w:val="00635BD5"/>
    <w:rsid w:val="00640CB4"/>
    <w:rsid w:val="00641772"/>
    <w:rsid w:val="00642A44"/>
    <w:rsid w:val="00644E31"/>
    <w:rsid w:val="00645B02"/>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3E32"/>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32E62"/>
    <w:rsid w:val="00734629"/>
    <w:rsid w:val="0073563D"/>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4392"/>
    <w:rsid w:val="008143E7"/>
    <w:rsid w:val="008147B0"/>
    <w:rsid w:val="0081666D"/>
    <w:rsid w:val="00816F86"/>
    <w:rsid w:val="00824E42"/>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57757"/>
    <w:rsid w:val="00860FD0"/>
    <w:rsid w:val="008629F4"/>
    <w:rsid w:val="00863A5B"/>
    <w:rsid w:val="0087038D"/>
    <w:rsid w:val="008800E3"/>
    <w:rsid w:val="008807C0"/>
    <w:rsid w:val="008851A9"/>
    <w:rsid w:val="00887F0C"/>
    <w:rsid w:val="00893056"/>
    <w:rsid w:val="00893A32"/>
    <w:rsid w:val="008A1A9C"/>
    <w:rsid w:val="008A541E"/>
    <w:rsid w:val="008B0ED1"/>
    <w:rsid w:val="008B2C2E"/>
    <w:rsid w:val="008B3188"/>
    <w:rsid w:val="008B336F"/>
    <w:rsid w:val="008B56D2"/>
    <w:rsid w:val="008B7147"/>
    <w:rsid w:val="008C23E0"/>
    <w:rsid w:val="008C3D8A"/>
    <w:rsid w:val="008C3FF0"/>
    <w:rsid w:val="008C56F5"/>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6637"/>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FEB"/>
    <w:rsid w:val="009C2D3A"/>
    <w:rsid w:val="009C428B"/>
    <w:rsid w:val="009C5F48"/>
    <w:rsid w:val="009C62B5"/>
    <w:rsid w:val="009D1398"/>
    <w:rsid w:val="009D4E08"/>
    <w:rsid w:val="009D5CF6"/>
    <w:rsid w:val="009D79D9"/>
    <w:rsid w:val="009E0D54"/>
    <w:rsid w:val="009E2C98"/>
    <w:rsid w:val="009E5DE6"/>
    <w:rsid w:val="009E6E7D"/>
    <w:rsid w:val="009E7376"/>
    <w:rsid w:val="009F00CA"/>
    <w:rsid w:val="009F5445"/>
    <w:rsid w:val="009F6E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DF7"/>
    <w:rsid w:val="00A5356D"/>
    <w:rsid w:val="00A56E2F"/>
    <w:rsid w:val="00A616FB"/>
    <w:rsid w:val="00A62074"/>
    <w:rsid w:val="00A626B0"/>
    <w:rsid w:val="00A63A9C"/>
    <w:rsid w:val="00A63F72"/>
    <w:rsid w:val="00A66EBD"/>
    <w:rsid w:val="00A72B3B"/>
    <w:rsid w:val="00A73039"/>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74E1"/>
    <w:rsid w:val="00BC78C9"/>
    <w:rsid w:val="00BD2CA3"/>
    <w:rsid w:val="00BD2EE6"/>
    <w:rsid w:val="00BD38E4"/>
    <w:rsid w:val="00BD4D26"/>
    <w:rsid w:val="00BD5352"/>
    <w:rsid w:val="00BD7446"/>
    <w:rsid w:val="00BE0F12"/>
    <w:rsid w:val="00BE1633"/>
    <w:rsid w:val="00BE1EA8"/>
    <w:rsid w:val="00BE21D5"/>
    <w:rsid w:val="00BE2488"/>
    <w:rsid w:val="00BE5332"/>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43E2"/>
    <w:rsid w:val="00C3722B"/>
    <w:rsid w:val="00C373A3"/>
    <w:rsid w:val="00C41A90"/>
    <w:rsid w:val="00C41BEC"/>
    <w:rsid w:val="00C41FA9"/>
    <w:rsid w:val="00C44455"/>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F83"/>
    <w:rsid w:val="00ED0D9B"/>
    <w:rsid w:val="00ED15BD"/>
    <w:rsid w:val="00ED1947"/>
    <w:rsid w:val="00ED1C7D"/>
    <w:rsid w:val="00ED22B7"/>
    <w:rsid w:val="00ED2808"/>
    <w:rsid w:val="00ED3396"/>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522D"/>
    <w:rsid w:val="00F06AEE"/>
    <w:rsid w:val="00F10C79"/>
    <w:rsid w:val="00F13AE7"/>
    <w:rsid w:val="00F1422F"/>
    <w:rsid w:val="00F14F28"/>
    <w:rsid w:val="00F151A1"/>
    <w:rsid w:val="00F15F50"/>
    <w:rsid w:val="00F174E5"/>
    <w:rsid w:val="00F20358"/>
    <w:rsid w:val="00F21902"/>
    <w:rsid w:val="00F22728"/>
    <w:rsid w:val="00F23FE1"/>
    <w:rsid w:val="00F244B7"/>
    <w:rsid w:val="00F24546"/>
    <w:rsid w:val="00F249B5"/>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55B1"/>
    <w:rsid w:val="00FD6717"/>
    <w:rsid w:val="00FE0D9E"/>
    <w:rsid w:val="00FE1EE7"/>
    <w:rsid w:val="00FE5A7E"/>
    <w:rsid w:val="00FF3198"/>
    <w:rsid w:val="00FF5A34"/>
    <w:rsid w:val="00FF6F04"/>
    <w:rsid w:val="010033FE"/>
    <w:rsid w:val="01285229"/>
    <w:rsid w:val="01F81427"/>
    <w:rsid w:val="03F93561"/>
    <w:rsid w:val="03FF0235"/>
    <w:rsid w:val="041E23C4"/>
    <w:rsid w:val="05D34727"/>
    <w:rsid w:val="0735543B"/>
    <w:rsid w:val="08931933"/>
    <w:rsid w:val="0B4A1776"/>
    <w:rsid w:val="0C786503"/>
    <w:rsid w:val="0CDA3846"/>
    <w:rsid w:val="0D1A04C9"/>
    <w:rsid w:val="101E3DAE"/>
    <w:rsid w:val="10757130"/>
    <w:rsid w:val="112B34AD"/>
    <w:rsid w:val="119C384D"/>
    <w:rsid w:val="11FF5827"/>
    <w:rsid w:val="16FE0496"/>
    <w:rsid w:val="18090C43"/>
    <w:rsid w:val="18FB5F15"/>
    <w:rsid w:val="195A067B"/>
    <w:rsid w:val="1B321622"/>
    <w:rsid w:val="1B695CB9"/>
    <w:rsid w:val="1CFD2A80"/>
    <w:rsid w:val="1D6E40FB"/>
    <w:rsid w:val="1E9E58BC"/>
    <w:rsid w:val="1F9C38D3"/>
    <w:rsid w:val="20767551"/>
    <w:rsid w:val="21BC1A13"/>
    <w:rsid w:val="21DB64E2"/>
    <w:rsid w:val="221C4C30"/>
    <w:rsid w:val="22986B0C"/>
    <w:rsid w:val="22A70B6C"/>
    <w:rsid w:val="22E56F63"/>
    <w:rsid w:val="23C14303"/>
    <w:rsid w:val="23FF4622"/>
    <w:rsid w:val="25755DC7"/>
    <w:rsid w:val="26416C88"/>
    <w:rsid w:val="26484395"/>
    <w:rsid w:val="27432BC1"/>
    <w:rsid w:val="27F0275A"/>
    <w:rsid w:val="28580092"/>
    <w:rsid w:val="2884289F"/>
    <w:rsid w:val="28BC23D4"/>
    <w:rsid w:val="295E3408"/>
    <w:rsid w:val="2AA10ED5"/>
    <w:rsid w:val="2ADA0518"/>
    <w:rsid w:val="2C921974"/>
    <w:rsid w:val="2DBE14C9"/>
    <w:rsid w:val="2DE77486"/>
    <w:rsid w:val="2F2E6FE6"/>
    <w:rsid w:val="2F6A64D8"/>
    <w:rsid w:val="30616EA9"/>
    <w:rsid w:val="31140B8A"/>
    <w:rsid w:val="31A44D82"/>
    <w:rsid w:val="328D1A97"/>
    <w:rsid w:val="32BE120D"/>
    <w:rsid w:val="330C0EF9"/>
    <w:rsid w:val="33506DE6"/>
    <w:rsid w:val="35A54CED"/>
    <w:rsid w:val="37534CA7"/>
    <w:rsid w:val="379B2C0B"/>
    <w:rsid w:val="37D824F1"/>
    <w:rsid w:val="3B0C4DFA"/>
    <w:rsid w:val="3B3218D9"/>
    <w:rsid w:val="3BAB3989"/>
    <w:rsid w:val="3C4D26C6"/>
    <w:rsid w:val="3D044EFC"/>
    <w:rsid w:val="3D3A688C"/>
    <w:rsid w:val="3E6946AD"/>
    <w:rsid w:val="3EB60CB3"/>
    <w:rsid w:val="3EC436F9"/>
    <w:rsid w:val="3F740895"/>
    <w:rsid w:val="3FA225F5"/>
    <w:rsid w:val="3FB93DC6"/>
    <w:rsid w:val="402A691C"/>
    <w:rsid w:val="42151088"/>
    <w:rsid w:val="422E66F3"/>
    <w:rsid w:val="4275164D"/>
    <w:rsid w:val="430A3262"/>
    <w:rsid w:val="43F87E97"/>
    <w:rsid w:val="44EE5A9E"/>
    <w:rsid w:val="46A824B9"/>
    <w:rsid w:val="46BB170B"/>
    <w:rsid w:val="46BD3C57"/>
    <w:rsid w:val="47510906"/>
    <w:rsid w:val="47911556"/>
    <w:rsid w:val="48A759E8"/>
    <w:rsid w:val="495D70F7"/>
    <w:rsid w:val="4A745D9D"/>
    <w:rsid w:val="4B0D3368"/>
    <w:rsid w:val="4B7D5F80"/>
    <w:rsid w:val="4BF40741"/>
    <w:rsid w:val="4C5E019B"/>
    <w:rsid w:val="4F64249F"/>
    <w:rsid w:val="4F6E1200"/>
    <w:rsid w:val="4FEE189E"/>
    <w:rsid w:val="506B309B"/>
    <w:rsid w:val="50E579F5"/>
    <w:rsid w:val="53F038EA"/>
    <w:rsid w:val="54E149C6"/>
    <w:rsid w:val="55854ACE"/>
    <w:rsid w:val="55DD25C1"/>
    <w:rsid w:val="56523703"/>
    <w:rsid w:val="59BA69E3"/>
    <w:rsid w:val="5A661DF4"/>
    <w:rsid w:val="5ACF0178"/>
    <w:rsid w:val="5C3E17F9"/>
    <w:rsid w:val="5C7165E1"/>
    <w:rsid w:val="5D3A6920"/>
    <w:rsid w:val="5D8135CC"/>
    <w:rsid w:val="600446EC"/>
    <w:rsid w:val="600D2EE6"/>
    <w:rsid w:val="621760F6"/>
    <w:rsid w:val="62246B60"/>
    <w:rsid w:val="644F1ACD"/>
    <w:rsid w:val="64FF27B6"/>
    <w:rsid w:val="652F2318"/>
    <w:rsid w:val="657809E0"/>
    <w:rsid w:val="659A63C7"/>
    <w:rsid w:val="662E5667"/>
    <w:rsid w:val="67FF1998"/>
    <w:rsid w:val="680D1D99"/>
    <w:rsid w:val="682D3D04"/>
    <w:rsid w:val="69431270"/>
    <w:rsid w:val="6A7F4F75"/>
    <w:rsid w:val="6ACA16F9"/>
    <w:rsid w:val="6B16774A"/>
    <w:rsid w:val="6C587DA0"/>
    <w:rsid w:val="6E1E5E05"/>
    <w:rsid w:val="6ECE2681"/>
    <w:rsid w:val="70844BD0"/>
    <w:rsid w:val="72340F9C"/>
    <w:rsid w:val="729D68D1"/>
    <w:rsid w:val="751A4748"/>
    <w:rsid w:val="774152C9"/>
    <w:rsid w:val="78922459"/>
    <w:rsid w:val="78C064CE"/>
    <w:rsid w:val="793070F8"/>
    <w:rsid w:val="79D825C1"/>
    <w:rsid w:val="7B5D131E"/>
    <w:rsid w:val="7CAF663E"/>
    <w:rsid w:val="7DB41B16"/>
    <w:rsid w:val="7DEB79E2"/>
    <w:rsid w:val="7DFC5027"/>
    <w:rsid w:val="7E002D54"/>
    <w:rsid w:val="7F61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6"/>
    <w:link w:val="40"/>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4"/>
    <w:unhideWhenUsed/>
    <w:qFormat/>
    <w:uiPriority w:val="99"/>
    <w:pPr>
      <w:spacing w:after="120"/>
    </w:pPr>
    <w:rPr>
      <w:rFonts w:ascii="Times New Roman" w:hAnsi="Times New Roman" w:eastAsia="宋体" w:cs="Times New Roman"/>
      <w:sz w:val="28"/>
      <w:szCs w:val="24"/>
    </w:rPr>
  </w:style>
  <w:style w:type="paragraph" w:styleId="6">
    <w:name w:val="Normal Indent"/>
    <w:basedOn w:val="1"/>
    <w:link w:val="47"/>
    <w:qFormat/>
    <w:uiPriority w:val="0"/>
    <w:pPr>
      <w:ind w:firstLine="420"/>
    </w:pPr>
    <w:rPr>
      <w:rFonts w:eastAsia="宋体"/>
    </w:rPr>
  </w:style>
  <w:style w:type="paragraph" w:styleId="7">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44"/>
    <w:unhideWhenUsed/>
    <w:qFormat/>
    <w:uiPriority w:val="99"/>
    <w:rPr>
      <w:rFonts w:ascii="宋体"/>
      <w:sz w:val="18"/>
      <w:szCs w:val="18"/>
    </w:rPr>
  </w:style>
  <w:style w:type="paragraph" w:styleId="10">
    <w:name w:val="annotation text"/>
    <w:basedOn w:val="1"/>
    <w:link w:val="81"/>
    <w:unhideWhenUsed/>
    <w:qFormat/>
    <w:uiPriority w:val="99"/>
    <w:pPr>
      <w:jc w:val="left"/>
    </w:pPr>
  </w:style>
  <w:style w:type="paragraph" w:styleId="11">
    <w:name w:val="Body Text Indent"/>
    <w:basedOn w:val="1"/>
    <w:link w:val="71"/>
    <w:qFormat/>
    <w:uiPriority w:val="0"/>
    <w:pPr>
      <w:spacing w:line="200" w:lineRule="atLeast"/>
      <w:ind w:firstLine="301"/>
    </w:pPr>
    <w:rPr>
      <w:rFonts w:ascii="宋体" w:hAnsi="Courier New"/>
      <w:spacing w:val="-4"/>
      <w:sz w:val="18"/>
    </w:rPr>
  </w:style>
  <w:style w:type="paragraph" w:styleId="12">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6"/>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7"/>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5"/>
    <w:qFormat/>
    <w:uiPriority w:val="0"/>
    <w:rPr>
      <w:rFonts w:ascii="Times New Roman" w:hAnsi="Times New Roman" w:eastAsia="宋体" w:cs="Times New Roman"/>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next w:val="1"/>
    <w:qFormat/>
    <w:uiPriority w:val="11"/>
    <w:pPr>
      <w:widowControl w:val="0"/>
      <w:spacing w:before="240" w:after="60" w:line="312" w:lineRule="auto"/>
      <w:jc w:val="center"/>
      <w:outlineLvl w:val="1"/>
    </w:pPr>
    <w:rPr>
      <w:rFonts w:ascii="等线" w:hAnsi="等线" w:eastAsia="等线" w:cs="Times New Roman"/>
      <w:b/>
      <w:bCs/>
      <w:kern w:val="28"/>
      <w:sz w:val="32"/>
      <w:szCs w:val="32"/>
      <w:lang w:val="en-US" w:eastAsia="zh-CN" w:bidi="ar-SA"/>
    </w:rPr>
  </w:style>
  <w:style w:type="paragraph" w:styleId="19">
    <w:name w:val="List"/>
    <w:basedOn w:val="1"/>
    <w:qFormat/>
    <w:uiPriority w:val="0"/>
    <w:pPr>
      <w:ind w:left="200" w:hanging="200" w:hangingChars="200"/>
    </w:pPr>
    <w:rPr>
      <w:rFonts w:ascii="Times New Roman" w:hAnsi="Times New Roman" w:eastAsia="宋体" w:cs="Times New Roman"/>
      <w:sz w:val="28"/>
      <w:szCs w:val="24"/>
    </w:rPr>
  </w:style>
  <w:style w:type="paragraph" w:styleId="20">
    <w:name w:val="Body Text 2"/>
    <w:basedOn w:val="1"/>
    <w:link w:val="73"/>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1">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2">
    <w:name w:val="annotation subject"/>
    <w:basedOn w:val="10"/>
    <w:next w:val="10"/>
    <w:link w:val="57"/>
    <w:unhideWhenUsed/>
    <w:qFormat/>
    <w:uiPriority w:val="99"/>
    <w:rPr>
      <w:b/>
      <w:bCs/>
      <w:sz w:val="28"/>
      <w:szCs w:val="24"/>
    </w:rPr>
  </w:style>
  <w:style w:type="paragraph" w:styleId="23">
    <w:name w:val="Body Text First Indent 2"/>
    <w:basedOn w:val="11"/>
    <w:link w:val="89"/>
    <w:unhideWhenUsed/>
    <w:qFormat/>
    <w:uiPriority w:val="99"/>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unhideWhenUsed/>
    <w:qFormat/>
    <w:uiPriority w:val="99"/>
    <w:rPr>
      <w:color w:val="5579A7"/>
      <w:u w:val="none"/>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Keyboard"/>
    <w:unhideWhenUsed/>
    <w:qFormat/>
    <w:uiPriority w:val="99"/>
    <w:rPr>
      <w:rFonts w:hint="default" w:ascii="-apple-system" w:hAnsi="-apple-system" w:eastAsia="-apple-system" w:cs="-apple-system"/>
      <w:sz w:val="21"/>
      <w:szCs w:val="21"/>
    </w:rPr>
  </w:style>
  <w:style w:type="character" w:styleId="35">
    <w:name w:val="HTML Sample"/>
    <w:unhideWhenUsed/>
    <w:qFormat/>
    <w:uiPriority w:val="99"/>
    <w:rPr>
      <w:rFonts w:hint="default" w:ascii="-apple-system" w:hAnsi="-apple-system" w:eastAsia="-apple-system" w:cs="-apple-system"/>
      <w:sz w:val="21"/>
      <w:szCs w:val="21"/>
    </w:rPr>
  </w:style>
  <w:style w:type="character" w:customStyle="1" w:styleId="36">
    <w:name w:val="页眉 字符"/>
    <w:basedOn w:val="26"/>
    <w:link w:val="17"/>
    <w:qFormat/>
    <w:uiPriority w:val="99"/>
    <w:rPr>
      <w:sz w:val="18"/>
      <w:szCs w:val="18"/>
    </w:rPr>
  </w:style>
  <w:style w:type="character" w:customStyle="1" w:styleId="37">
    <w:name w:val="页脚 字符"/>
    <w:basedOn w:val="26"/>
    <w:link w:val="16"/>
    <w:qFormat/>
    <w:uiPriority w:val="99"/>
    <w:rPr>
      <w:sz w:val="18"/>
      <w:szCs w:val="18"/>
    </w:rPr>
  </w:style>
  <w:style w:type="character" w:customStyle="1" w:styleId="38">
    <w:name w:val="标题 1 字符"/>
    <w:basedOn w:val="26"/>
    <w:link w:val="3"/>
    <w:qFormat/>
    <w:uiPriority w:val="9"/>
    <w:rPr>
      <w:rFonts w:ascii="Times New Roman" w:hAnsi="Times New Roman" w:eastAsia="宋体" w:cs="Times New Roman"/>
      <w:b/>
      <w:bCs/>
      <w:kern w:val="44"/>
      <w:sz w:val="44"/>
      <w:szCs w:val="44"/>
    </w:rPr>
  </w:style>
  <w:style w:type="character" w:customStyle="1" w:styleId="39">
    <w:name w:val="标题 2 字符"/>
    <w:basedOn w:val="26"/>
    <w:link w:val="4"/>
    <w:qFormat/>
    <w:uiPriority w:val="9"/>
    <w:rPr>
      <w:rFonts w:ascii="Cambria" w:hAnsi="Cambria" w:eastAsia="宋体" w:cs="Times New Roman"/>
      <w:b/>
      <w:bCs/>
      <w:sz w:val="32"/>
      <w:szCs w:val="32"/>
    </w:rPr>
  </w:style>
  <w:style w:type="character" w:customStyle="1" w:styleId="40">
    <w:name w:val="标题 3 字符"/>
    <w:basedOn w:val="26"/>
    <w:link w:val="5"/>
    <w:qFormat/>
    <w:uiPriority w:val="9"/>
    <w:rPr>
      <w:rFonts w:ascii="Times New Roman" w:hAnsi="Times New Roman" w:eastAsia="宋体" w:cs="Times New Roman"/>
      <w:b/>
      <w:bCs/>
      <w:sz w:val="32"/>
      <w:szCs w:val="32"/>
    </w:rPr>
  </w:style>
  <w:style w:type="character" w:customStyle="1" w:styleId="41">
    <w:name w:val="jbox-icon-none"/>
    <w:qFormat/>
    <w:uiPriority w:val="0"/>
    <w:rPr>
      <w:vanish/>
    </w:rPr>
  </w:style>
  <w:style w:type="character" w:customStyle="1" w:styleId="42">
    <w:name w:val="z-窗体底端 字符"/>
    <w:link w:val="43"/>
    <w:qFormat/>
    <w:uiPriority w:val="99"/>
    <w:rPr>
      <w:rFonts w:ascii="Arial" w:hAnsi="Arial"/>
      <w:vanish/>
      <w:sz w:val="16"/>
      <w:szCs w:val="16"/>
    </w:rPr>
  </w:style>
  <w:style w:type="paragraph" w:customStyle="1" w:styleId="43">
    <w:name w:val="z-窗体底端1"/>
    <w:basedOn w:val="1"/>
    <w:next w:val="1"/>
    <w:link w:val="42"/>
    <w:unhideWhenUsed/>
    <w:qFormat/>
    <w:uiPriority w:val="99"/>
    <w:pPr>
      <w:widowControl/>
      <w:pBdr>
        <w:top w:val="single" w:color="auto" w:sz="6" w:space="1"/>
      </w:pBdr>
      <w:jc w:val="center"/>
    </w:pPr>
    <w:rPr>
      <w:rFonts w:ascii="Arial" w:hAnsi="Arial"/>
      <w:vanish/>
      <w:sz w:val="16"/>
      <w:szCs w:val="16"/>
    </w:rPr>
  </w:style>
  <w:style w:type="character" w:customStyle="1" w:styleId="44">
    <w:name w:val="文档结构图 字符"/>
    <w:link w:val="9"/>
    <w:qFormat/>
    <w:uiPriority w:val="99"/>
    <w:rPr>
      <w:rFonts w:ascii="宋体"/>
      <w:sz w:val="18"/>
      <w:szCs w:val="18"/>
    </w:rPr>
  </w:style>
  <w:style w:type="character" w:customStyle="1" w:styleId="45">
    <w:name w:val="black601"/>
    <w:qFormat/>
    <w:uiPriority w:val="0"/>
    <w:rPr>
      <w:color w:val="666666"/>
    </w:rPr>
  </w:style>
  <w:style w:type="character" w:customStyle="1" w:styleId="46">
    <w:name w:val="hour_pm"/>
    <w:basedOn w:val="26"/>
    <w:qFormat/>
    <w:uiPriority w:val="0"/>
  </w:style>
  <w:style w:type="character" w:customStyle="1" w:styleId="47">
    <w:name w:val="正文缩进 字符"/>
    <w:link w:val="6"/>
    <w:qFormat/>
    <w:uiPriority w:val="0"/>
    <w:rPr>
      <w:rFonts w:eastAsia="宋体"/>
    </w:rPr>
  </w:style>
  <w:style w:type="character" w:customStyle="1" w:styleId="48">
    <w:name w:val="标题 1 Char Char"/>
    <w:qFormat/>
    <w:uiPriority w:val="0"/>
    <w:rPr>
      <w:rFonts w:eastAsia="宋体"/>
      <w:b/>
      <w:spacing w:val="-2"/>
      <w:sz w:val="24"/>
      <w:lang w:val="en-US" w:eastAsia="zh-CN" w:bidi="ar-SA"/>
    </w:rPr>
  </w:style>
  <w:style w:type="character" w:customStyle="1" w:styleId="49">
    <w:name w:val="jbox-icon-info"/>
    <w:basedOn w:val="26"/>
    <w:qFormat/>
    <w:uiPriority w:val="0"/>
  </w:style>
  <w:style w:type="character" w:customStyle="1" w:styleId="50">
    <w:name w:val="hover9"/>
    <w:qFormat/>
    <w:uiPriority w:val="0"/>
    <w:rPr>
      <w:shd w:val="clear" w:color="auto" w:fill="EEEEEE"/>
    </w:rPr>
  </w:style>
  <w:style w:type="character" w:customStyle="1" w:styleId="51">
    <w:name w:val="maywed421"/>
    <w:qFormat/>
    <w:uiPriority w:val="0"/>
    <w:rPr>
      <w:color w:val="366FB6"/>
      <w:u w:val="none"/>
    </w:rPr>
  </w:style>
  <w:style w:type="character" w:customStyle="1" w:styleId="52">
    <w:name w:val="old"/>
    <w:qFormat/>
    <w:uiPriority w:val="0"/>
    <w:rPr>
      <w:color w:val="999999"/>
    </w:rPr>
  </w:style>
  <w:style w:type="character" w:customStyle="1" w:styleId="53">
    <w:name w:val="jbox-icon-warning"/>
    <w:basedOn w:val="26"/>
    <w:qFormat/>
    <w:uiPriority w:val="0"/>
  </w:style>
  <w:style w:type="character" w:customStyle="1" w:styleId="54">
    <w:name w:val="z-窗体顶端 字符"/>
    <w:link w:val="55"/>
    <w:qFormat/>
    <w:uiPriority w:val="99"/>
    <w:rPr>
      <w:rFonts w:ascii="Arial" w:hAnsi="Arial"/>
      <w:vanish/>
      <w:sz w:val="16"/>
      <w:szCs w:val="16"/>
    </w:rPr>
  </w:style>
  <w:style w:type="paragraph" w:customStyle="1" w:styleId="55">
    <w:name w:val="z-窗体顶端1"/>
    <w:basedOn w:val="1"/>
    <w:next w:val="1"/>
    <w:link w:val="54"/>
    <w:unhideWhenUsed/>
    <w:qFormat/>
    <w:uiPriority w:val="99"/>
    <w:pPr>
      <w:widowControl/>
      <w:pBdr>
        <w:bottom w:val="single" w:color="auto" w:sz="6" w:space="1"/>
      </w:pBdr>
      <w:jc w:val="center"/>
    </w:pPr>
    <w:rPr>
      <w:rFonts w:ascii="Arial" w:hAnsi="Arial"/>
      <w:vanish/>
      <w:sz w:val="16"/>
      <w:szCs w:val="16"/>
    </w:rPr>
  </w:style>
  <w:style w:type="character" w:customStyle="1" w:styleId="56">
    <w:name w:val="纯文本 字符1"/>
    <w:link w:val="13"/>
    <w:qFormat/>
    <w:uiPriority w:val="99"/>
    <w:rPr>
      <w:rFonts w:ascii="宋体" w:hAnsi="Courier New"/>
      <w:sz w:val="24"/>
      <w:szCs w:val="24"/>
    </w:rPr>
  </w:style>
  <w:style w:type="character" w:customStyle="1" w:styleId="57">
    <w:name w:val="批注主题 字符"/>
    <w:link w:val="22"/>
    <w:qFormat/>
    <w:uiPriority w:val="99"/>
    <w:rPr>
      <w:b/>
      <w:bCs/>
      <w:sz w:val="28"/>
      <w:szCs w:val="24"/>
    </w:rPr>
  </w:style>
  <w:style w:type="character" w:customStyle="1" w:styleId="58">
    <w:name w:val="jbox-icon-loading"/>
    <w:basedOn w:val="26"/>
    <w:qFormat/>
    <w:uiPriority w:val="0"/>
  </w:style>
  <w:style w:type="character" w:customStyle="1" w:styleId="59">
    <w:name w:val="正文文本缩进 字符"/>
    <w:qFormat/>
    <w:uiPriority w:val="0"/>
    <w:rPr>
      <w:rFonts w:ascii="宋体" w:hAnsi="Courier New"/>
      <w:spacing w:val="-4"/>
      <w:kern w:val="2"/>
      <w:sz w:val="18"/>
    </w:rPr>
  </w:style>
  <w:style w:type="character" w:customStyle="1" w:styleId="60">
    <w:name w:val="正文文本缩进 字符1"/>
    <w:qFormat/>
    <w:uiPriority w:val="0"/>
    <w:rPr>
      <w:rFonts w:ascii="宋体" w:hAnsi="Courier New"/>
      <w:spacing w:val="-4"/>
      <w:kern w:val="2"/>
      <w:sz w:val="18"/>
    </w:rPr>
  </w:style>
  <w:style w:type="character" w:customStyle="1" w:styleId="61">
    <w:name w:val="纯文本 字符"/>
    <w:qFormat/>
    <w:uiPriority w:val="99"/>
    <w:rPr>
      <w:rFonts w:ascii="宋体" w:hAnsi="Courier New"/>
      <w:kern w:val="2"/>
      <w:sz w:val="24"/>
      <w:szCs w:val="24"/>
    </w:rPr>
  </w:style>
  <w:style w:type="character" w:customStyle="1" w:styleId="62">
    <w:name w:val="jbox-icon-question"/>
    <w:basedOn w:val="26"/>
    <w:qFormat/>
    <w:uiPriority w:val="0"/>
  </w:style>
  <w:style w:type="character" w:customStyle="1" w:styleId="63">
    <w:name w:val="jbox-icon"/>
    <w:basedOn w:val="26"/>
    <w:qFormat/>
    <w:uiPriority w:val="0"/>
  </w:style>
  <w:style w:type="character" w:customStyle="1" w:styleId="64">
    <w:name w:val="纯文本 字符2"/>
    <w:qFormat/>
    <w:uiPriority w:val="99"/>
    <w:rPr>
      <w:rFonts w:ascii="宋体" w:hAnsi="Courier New"/>
      <w:kern w:val="2"/>
      <w:sz w:val="24"/>
      <w:szCs w:val="24"/>
    </w:rPr>
  </w:style>
  <w:style w:type="character" w:customStyle="1" w:styleId="65">
    <w:name w:val="hour_am"/>
    <w:basedOn w:val="26"/>
    <w:qFormat/>
    <w:uiPriority w:val="0"/>
  </w:style>
  <w:style w:type="character" w:customStyle="1" w:styleId="66">
    <w:name w:val="jbox-icon-success"/>
    <w:basedOn w:val="26"/>
    <w:qFormat/>
    <w:uiPriority w:val="0"/>
  </w:style>
  <w:style w:type="character" w:customStyle="1" w:styleId="67">
    <w:name w:val="批注文字 字符"/>
    <w:qFormat/>
    <w:uiPriority w:val="99"/>
    <w:rPr>
      <w:kern w:val="2"/>
      <w:sz w:val="28"/>
      <w:szCs w:val="24"/>
    </w:rPr>
  </w:style>
  <w:style w:type="character" w:customStyle="1" w:styleId="68">
    <w:name w:val="纯文本 Char1"/>
    <w:qFormat/>
    <w:uiPriority w:val="0"/>
    <w:rPr>
      <w:rFonts w:ascii="宋体" w:hAnsi="Courier New"/>
      <w:kern w:val="2"/>
      <w:sz w:val="21"/>
    </w:rPr>
  </w:style>
  <w:style w:type="character" w:customStyle="1" w:styleId="69">
    <w:name w:val="纯文本 Char"/>
    <w:qFormat/>
    <w:uiPriority w:val="99"/>
    <w:rPr>
      <w:rFonts w:ascii="宋体" w:hAnsi="Courier New"/>
      <w:kern w:val="2"/>
      <w:sz w:val="24"/>
      <w:szCs w:val="24"/>
    </w:rPr>
  </w:style>
  <w:style w:type="character" w:customStyle="1" w:styleId="70">
    <w:name w:val="sub_title s0"/>
    <w:basedOn w:val="26"/>
    <w:qFormat/>
    <w:uiPriority w:val="0"/>
  </w:style>
  <w:style w:type="character" w:customStyle="1" w:styleId="71">
    <w:name w:val="正文文本缩进 字符2"/>
    <w:link w:val="11"/>
    <w:qFormat/>
    <w:uiPriority w:val="0"/>
    <w:rPr>
      <w:rFonts w:ascii="宋体" w:hAnsi="Courier New"/>
      <w:spacing w:val="-4"/>
      <w:sz w:val="18"/>
    </w:rPr>
  </w:style>
  <w:style w:type="character" w:customStyle="1" w:styleId="72">
    <w:name w:val="jbox-icon-error"/>
    <w:basedOn w:val="26"/>
    <w:qFormat/>
    <w:uiPriority w:val="0"/>
  </w:style>
  <w:style w:type="character" w:customStyle="1" w:styleId="73">
    <w:name w:val="正文文本 2 字符"/>
    <w:basedOn w:val="26"/>
    <w:link w:val="20"/>
    <w:qFormat/>
    <w:uiPriority w:val="0"/>
    <w:rPr>
      <w:rFonts w:ascii="宋体" w:hAnsi="宋体" w:eastAsia="宋体" w:cs="Times New Roman"/>
      <w:color w:val="000000"/>
      <w:sz w:val="24"/>
      <w:szCs w:val="24"/>
    </w:rPr>
  </w:style>
  <w:style w:type="paragraph" w:customStyle="1" w:styleId="74">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5">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6">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8">
    <w:name w:val="z-窗体顶端 字符1"/>
    <w:basedOn w:val="26"/>
    <w:semiHidden/>
    <w:qFormat/>
    <w:uiPriority w:val="99"/>
    <w:rPr>
      <w:rFonts w:ascii="Arial" w:hAnsi="Arial" w:cs="Arial"/>
      <w:vanish/>
      <w:sz w:val="16"/>
      <w:szCs w:val="16"/>
    </w:rPr>
  </w:style>
  <w:style w:type="paragraph" w:customStyle="1" w:styleId="79">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0">
    <w:name w:val="Default"/>
    <w:next w:val="77"/>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1">
    <w:name w:val="批注文字 字符1"/>
    <w:basedOn w:val="26"/>
    <w:link w:val="10"/>
    <w:semiHidden/>
    <w:qFormat/>
    <w:uiPriority w:val="99"/>
  </w:style>
  <w:style w:type="character" w:customStyle="1" w:styleId="82">
    <w:name w:val="批注主题 字符1"/>
    <w:basedOn w:val="81"/>
    <w:semiHidden/>
    <w:qFormat/>
    <w:uiPriority w:val="99"/>
    <w:rPr>
      <w:b/>
      <w:bCs/>
    </w:rPr>
  </w:style>
  <w:style w:type="character" w:customStyle="1" w:styleId="83">
    <w:name w:val="文档结构图 字符1"/>
    <w:basedOn w:val="26"/>
    <w:semiHidden/>
    <w:qFormat/>
    <w:uiPriority w:val="99"/>
    <w:rPr>
      <w:rFonts w:ascii="Microsoft YaHei UI" w:eastAsia="Microsoft YaHei UI"/>
      <w:sz w:val="18"/>
      <w:szCs w:val="18"/>
    </w:rPr>
  </w:style>
  <w:style w:type="character" w:customStyle="1" w:styleId="84">
    <w:name w:val="正文文本 字符"/>
    <w:basedOn w:val="26"/>
    <w:link w:val="2"/>
    <w:qFormat/>
    <w:uiPriority w:val="99"/>
    <w:rPr>
      <w:rFonts w:ascii="Times New Roman" w:hAnsi="Times New Roman" w:eastAsia="宋体" w:cs="Times New Roman"/>
      <w:sz w:val="28"/>
      <w:szCs w:val="24"/>
    </w:rPr>
  </w:style>
  <w:style w:type="character" w:customStyle="1" w:styleId="85">
    <w:name w:val="批注框文本 字符"/>
    <w:basedOn w:val="26"/>
    <w:link w:val="15"/>
    <w:qFormat/>
    <w:uiPriority w:val="0"/>
    <w:rPr>
      <w:rFonts w:ascii="Times New Roman" w:hAnsi="Times New Roman" w:eastAsia="宋体" w:cs="Times New Roman"/>
      <w:sz w:val="18"/>
      <w:szCs w:val="18"/>
    </w:rPr>
  </w:style>
  <w:style w:type="character" w:customStyle="1" w:styleId="86">
    <w:name w:val="正文文本缩进 字符3"/>
    <w:basedOn w:val="26"/>
    <w:semiHidden/>
    <w:qFormat/>
    <w:uiPriority w:val="99"/>
  </w:style>
  <w:style w:type="character" w:customStyle="1" w:styleId="87">
    <w:name w:val="日期 字符"/>
    <w:basedOn w:val="26"/>
    <w:link w:val="14"/>
    <w:qFormat/>
    <w:uiPriority w:val="0"/>
    <w:rPr>
      <w:rFonts w:ascii="Times New Roman" w:hAnsi="Times New Roman" w:eastAsia="楷体_GB2312" w:cs="Times New Roman"/>
      <w:sz w:val="32"/>
      <w:szCs w:val="20"/>
    </w:rPr>
  </w:style>
  <w:style w:type="character" w:customStyle="1" w:styleId="88">
    <w:name w:val="纯文本 字符3"/>
    <w:basedOn w:val="26"/>
    <w:semiHidden/>
    <w:qFormat/>
    <w:uiPriority w:val="99"/>
    <w:rPr>
      <w:rFonts w:hAnsi="Courier New" w:cs="Courier New" w:asciiTheme="minorEastAsia"/>
    </w:rPr>
  </w:style>
  <w:style w:type="character" w:customStyle="1" w:styleId="89">
    <w:name w:val="正文文本首行缩进 2 字符"/>
    <w:basedOn w:val="86"/>
    <w:link w:val="23"/>
    <w:qFormat/>
    <w:uiPriority w:val="99"/>
    <w:rPr>
      <w:rFonts w:ascii="宋体" w:hAnsi="Courier New"/>
      <w:spacing w:val="-4"/>
      <w:sz w:val="18"/>
    </w:rPr>
  </w:style>
  <w:style w:type="character" w:customStyle="1" w:styleId="90">
    <w:name w:val="z-窗体底端 字符1"/>
    <w:basedOn w:val="26"/>
    <w:semiHidden/>
    <w:qFormat/>
    <w:uiPriority w:val="99"/>
    <w:rPr>
      <w:rFonts w:ascii="Arial" w:hAnsi="Arial" w:cs="Arial"/>
      <w:vanish/>
      <w:sz w:val="16"/>
      <w:szCs w:val="16"/>
    </w:rPr>
  </w:style>
  <w:style w:type="paragraph" w:customStyle="1" w:styleId="91">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2">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3">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6">
    <w:name w:val="Char Char Char Char1"/>
    <w:basedOn w:val="1"/>
    <w:qFormat/>
    <w:uiPriority w:val="0"/>
    <w:rPr>
      <w:rFonts w:ascii="Tahoma" w:hAnsi="Tahoma" w:eastAsia="宋体" w:cs="Times New Roman"/>
      <w:sz w:val="24"/>
      <w:szCs w:val="20"/>
    </w:rPr>
  </w:style>
  <w:style w:type="paragraph" w:customStyle="1" w:styleId="97">
    <w:name w:val="彩色列表 - 强调文字颜色 11"/>
    <w:basedOn w:val="1"/>
    <w:qFormat/>
    <w:uiPriority w:val="34"/>
    <w:pPr>
      <w:ind w:firstLine="420" w:firstLineChars="200"/>
    </w:pPr>
    <w:rPr>
      <w:rFonts w:ascii="Calibri" w:hAnsi="Calibri" w:eastAsia="宋体" w:cs="Times New Roman"/>
    </w:rPr>
  </w:style>
  <w:style w:type="paragraph" w:customStyle="1" w:styleId="98">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9">
    <w:name w:val="正文2"/>
    <w:basedOn w:val="1"/>
    <w:link w:val="108"/>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1">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2">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4">
    <w:name w:val="标题 10"/>
    <w:basedOn w:val="4"/>
    <w:qFormat/>
    <w:uiPriority w:val="0"/>
    <w:pPr>
      <w:jc w:val="center"/>
    </w:pPr>
    <w:rPr>
      <w:kern w:val="0"/>
    </w:rPr>
  </w:style>
  <w:style w:type="character" w:customStyle="1" w:styleId="105">
    <w:name w:val="未处理的提及1"/>
    <w:semiHidden/>
    <w:unhideWhenUsed/>
    <w:qFormat/>
    <w:uiPriority w:val="99"/>
    <w:rPr>
      <w:color w:val="605E5C"/>
      <w:shd w:val="clear" w:color="auto" w:fill="E1DFDD"/>
    </w:rPr>
  </w:style>
  <w:style w:type="character" w:customStyle="1" w:styleId="106">
    <w:name w:val="未处理的提及2"/>
    <w:basedOn w:val="26"/>
    <w:semiHidden/>
    <w:unhideWhenUsed/>
    <w:qFormat/>
    <w:uiPriority w:val="99"/>
    <w:rPr>
      <w:color w:val="605E5C"/>
      <w:shd w:val="clear" w:color="auto" w:fill="E1DFDD"/>
    </w:rPr>
  </w:style>
  <w:style w:type="character" w:customStyle="1" w:styleId="107">
    <w:name w:val="Unresolved Mention"/>
    <w:basedOn w:val="26"/>
    <w:semiHidden/>
    <w:unhideWhenUsed/>
    <w:qFormat/>
    <w:uiPriority w:val="99"/>
    <w:rPr>
      <w:color w:val="605E5C"/>
      <w:shd w:val="clear" w:color="auto" w:fill="E1DFDD"/>
    </w:rPr>
  </w:style>
  <w:style w:type="character" w:customStyle="1" w:styleId="108">
    <w:name w:val="正文2 Char Char"/>
    <w:link w:val="99"/>
    <w:qFormat/>
    <w:uiPriority w:val="0"/>
    <w:rPr>
      <w:kern w:val="2"/>
      <w:sz w:val="24"/>
    </w:rPr>
  </w:style>
  <w:style w:type="table" w:customStyle="1" w:styleId="109">
    <w:name w:val="网格型1"/>
    <w:basedOn w:val="2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正文_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48</Pages>
  <Words>4601</Words>
  <Characters>26226</Characters>
  <Lines>218</Lines>
  <Paragraphs>61</Paragraphs>
  <TotalTime>28</TotalTime>
  <ScaleCrop>false</ScaleCrop>
  <LinksUpToDate>false</LinksUpToDate>
  <CharactersWithSpaces>30766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冥灵有叶</cp:lastModifiedBy>
  <cp:lastPrinted>2022-10-31T00:58:00Z</cp:lastPrinted>
  <dcterms:modified xsi:type="dcterms:W3CDTF">2023-05-31T02:29:51Z</dcterms:modified>
  <cp:revision>991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B363B45C01FF4C5A8AB2573BD522DAF7</vt:lpwstr>
  </property>
</Properties>
</file>