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rPr>
          <w:rFonts w:ascii="楷体" w:hAnsi="楷体" w:eastAsia="楷体" w:cs="Times New Roman"/>
          <w:b/>
          <w:color w:val="auto"/>
          <w:spacing w:val="-6"/>
          <w:sz w:val="44"/>
          <w:szCs w:val="44"/>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中国美术学院</w:t>
      </w:r>
    </w:p>
    <w:p>
      <w:pPr>
        <w:adjustRightInd w:val="0"/>
        <w:snapToGrid w:val="0"/>
        <w:spacing w:line="288" w:lineRule="auto"/>
        <w:jc w:val="center"/>
        <w:rPr>
          <w:rFonts w:ascii="楷体" w:hAnsi="楷体" w:eastAsia="楷体" w:cs="Times New Roman"/>
          <w:b/>
          <w:color w:val="auto"/>
          <w:spacing w:val="-6"/>
          <w:sz w:val="48"/>
          <w:szCs w:val="48"/>
          <w:highlight w:val="none"/>
        </w:rPr>
      </w:pPr>
      <w:r>
        <w:rPr>
          <w:rFonts w:hint="eastAsia" w:ascii="楷体" w:hAnsi="楷体" w:eastAsia="楷体" w:cs="Times New Roman"/>
          <w:b/>
          <w:color w:val="auto"/>
          <w:spacing w:val="-6"/>
          <w:sz w:val="48"/>
          <w:szCs w:val="48"/>
          <w:highlight w:val="none"/>
        </w:rPr>
        <w:t>良渚校区1期2标段物联网门禁人员出入智能管控项目</w:t>
      </w: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48"/>
          <w:szCs w:val="48"/>
          <w:highlight w:val="none"/>
        </w:rPr>
      </w:pPr>
    </w:p>
    <w:p>
      <w:pPr>
        <w:adjustRightInd w:val="0"/>
        <w:snapToGrid w:val="0"/>
        <w:spacing w:line="288" w:lineRule="auto"/>
        <w:jc w:val="center"/>
        <w:rPr>
          <w:rFonts w:ascii="楷体" w:hAnsi="楷体" w:eastAsia="楷体" w:cs="Times New Roman"/>
          <w:b/>
          <w:color w:val="auto"/>
          <w:spacing w:val="-6"/>
          <w:sz w:val="72"/>
          <w:szCs w:val="72"/>
          <w:highlight w:val="none"/>
        </w:rPr>
      </w:pPr>
      <w:r>
        <w:rPr>
          <w:rFonts w:hint="eastAsia" w:ascii="楷体" w:hAnsi="楷体" w:eastAsia="楷体" w:cs="Times New Roman"/>
          <w:b/>
          <w:color w:val="auto"/>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color w:val="auto"/>
          <w:sz w:val="36"/>
          <w:szCs w:val="24"/>
          <w:highlight w:val="none"/>
        </w:rPr>
      </w:pPr>
      <w:r>
        <w:rPr>
          <w:rFonts w:hint="eastAsia" w:ascii="楷体" w:hAnsi="楷体" w:eastAsia="楷体" w:cs="Times New Roman"/>
          <w:b/>
          <w:color w:val="auto"/>
          <w:sz w:val="36"/>
          <w:szCs w:val="24"/>
          <w:highlight w:val="none"/>
        </w:rPr>
        <w:t>（线上电子招投标）</w:t>
      </w: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jc w:val="center"/>
        <w:rPr>
          <w:rFonts w:ascii="楷体" w:hAnsi="楷体" w:eastAsia="楷体" w:cs="Times New Roman"/>
          <w:color w:val="auto"/>
          <w:sz w:val="44"/>
          <w:szCs w:val="44"/>
          <w:highlight w:val="none"/>
        </w:rPr>
      </w:pP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项目名称：良渚校区1期2标段物联网门禁人员出入智能管控项目</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 xml:space="preserve">项目编号：QSZB-Z(H)-C23487(GK) </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 购 人：中国美术学院</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采购计划文号：[2023]70243号</w:t>
      </w:r>
    </w:p>
    <w:p>
      <w:pPr>
        <w:adjustRightInd w:val="0"/>
        <w:snapToGrid w:val="0"/>
        <w:spacing w:line="288" w:lineRule="auto"/>
        <w:rPr>
          <w:rFonts w:ascii="楷体" w:hAnsi="楷体" w:eastAsia="楷体" w:cs="Times New Roman"/>
          <w:b/>
          <w:color w:val="auto"/>
          <w:szCs w:val="21"/>
          <w:highlight w:val="none"/>
        </w:rPr>
      </w:pPr>
    </w:p>
    <w:p>
      <w:pPr>
        <w:adjustRightInd w:val="0"/>
        <w:snapToGrid w:val="0"/>
        <w:spacing w:line="288" w:lineRule="auto"/>
        <w:rPr>
          <w:rFonts w:ascii="楷体" w:hAnsi="楷体" w:eastAsia="楷体" w:cs="Times New Roman"/>
          <w:b/>
          <w:color w:val="auto"/>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jc w:val="center"/>
        <w:outlineLvl w:val="0"/>
        <w:rPr>
          <w:rFonts w:ascii="楷体" w:hAnsi="楷体" w:eastAsia="楷体" w:cs="Times New Roman"/>
          <w:b/>
          <w:color w:val="auto"/>
          <w:sz w:val="30"/>
          <w:szCs w:val="30"/>
          <w:highlight w:val="none"/>
        </w:rPr>
      </w:pPr>
      <w:r>
        <w:rPr>
          <w:rFonts w:ascii="楷体" w:hAnsi="楷体" w:eastAsia="楷体" w:cs="Times New Roman"/>
          <w:b/>
          <w:color w:val="auto"/>
          <w:sz w:val="30"/>
          <w:szCs w:val="30"/>
          <w:highlight w:val="none"/>
        </w:rPr>
        <w:t>目</w:t>
      </w:r>
      <w:r>
        <w:rPr>
          <w:rFonts w:hint="eastAsia" w:ascii="楷体" w:hAnsi="楷体" w:eastAsia="楷体" w:cs="Times New Roman"/>
          <w:b/>
          <w:color w:val="auto"/>
          <w:sz w:val="30"/>
          <w:szCs w:val="30"/>
          <w:highlight w:val="none"/>
        </w:rPr>
        <w:t xml:space="preserve">    </w:t>
      </w:r>
      <w:r>
        <w:rPr>
          <w:rFonts w:ascii="楷体" w:hAnsi="楷体" w:eastAsia="楷体" w:cs="Times New Roman"/>
          <w:b/>
          <w:color w:val="auto"/>
          <w:sz w:val="30"/>
          <w:szCs w:val="30"/>
          <w:highlight w:val="none"/>
        </w:rPr>
        <w:t>录</w:t>
      </w:r>
    </w:p>
    <w:p>
      <w:pPr>
        <w:adjustRightInd w:val="0"/>
        <w:snapToGrid w:val="0"/>
        <w:spacing w:line="288" w:lineRule="auto"/>
        <w:rPr>
          <w:rFonts w:ascii="楷体" w:hAnsi="楷体" w:eastAsia="楷体" w:cs="Times New Roman"/>
          <w:b/>
          <w:color w:val="auto"/>
          <w:sz w:val="30"/>
          <w:szCs w:val="30"/>
          <w:highlight w:val="none"/>
        </w:rPr>
      </w:pP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第一章  投标邀请</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第二章  采购需求</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第三章  投标人须知</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第四章  评标方法和评标标准</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第五章  拟签订的合同文本</w:t>
      </w:r>
    </w:p>
    <w:p>
      <w:pPr>
        <w:adjustRightInd w:val="0"/>
        <w:snapToGrid w:val="0"/>
        <w:spacing w:line="288" w:lineRule="auto"/>
        <w:ind w:firstLine="578" w:firstLineChars="200"/>
        <w:rPr>
          <w:rFonts w:ascii="楷体" w:hAnsi="楷体" w:eastAsia="楷体" w:cs="Times New Roman"/>
          <w:b/>
          <w:color w:val="auto"/>
          <w:spacing w:val="-6"/>
          <w:sz w:val="30"/>
          <w:szCs w:val="30"/>
          <w:highlight w:val="none"/>
        </w:rPr>
      </w:pPr>
      <w:r>
        <w:rPr>
          <w:rFonts w:hint="eastAsia" w:ascii="楷体" w:hAnsi="楷体" w:eastAsia="楷体" w:cs="Times New Roman"/>
          <w:b/>
          <w:color w:val="auto"/>
          <w:spacing w:val="-6"/>
          <w:sz w:val="30"/>
          <w:szCs w:val="30"/>
          <w:highlight w:val="none"/>
        </w:rPr>
        <w:t>第六章  投标文件格式</w:t>
      </w:r>
    </w:p>
    <w:p>
      <w:pPr>
        <w:widowControl/>
        <w:adjustRightInd w:val="0"/>
        <w:snapToGrid w:val="0"/>
        <w:spacing w:line="288" w:lineRule="auto"/>
        <w:jc w:val="left"/>
        <w:rPr>
          <w:rFonts w:ascii="宋体" w:hAnsi="宋体" w:eastAsia="宋体" w:cs="Times New Roman"/>
          <w:color w:val="auto"/>
          <w:szCs w:val="21"/>
          <w:highlight w:val="none"/>
        </w:rPr>
      </w:pPr>
    </w:p>
    <w:p>
      <w:pPr>
        <w:widowControl/>
        <w:adjustRightInd w:val="0"/>
        <w:snapToGrid w:val="0"/>
        <w:spacing w:line="288" w:lineRule="auto"/>
        <w:jc w:val="left"/>
        <w:rPr>
          <w:rFonts w:ascii="宋体" w:hAnsi="宋体" w:eastAsia="宋体" w:cs="Times New Roman"/>
          <w:color w:val="auto"/>
          <w:szCs w:val="21"/>
          <w:highlight w:val="none"/>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ascii="宋体" w:hAnsi="宋体" w:eastAsia="宋体" w:cs="Times New Roman"/>
          <w:b/>
          <w:color w:val="auto"/>
          <w:spacing w:val="-6"/>
          <w:sz w:val="32"/>
          <w:szCs w:val="32"/>
          <w:highlight w:val="none"/>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u w:val="single"/>
        </w:rPr>
        <w:t xml:space="preserve"> 良渚校区1期2标段物联网门禁人员出入智能管控项目 </w:t>
      </w:r>
      <w:r>
        <w:rPr>
          <w:rFonts w:hint="eastAsia" w:ascii="宋体" w:hAnsi="宋体" w:eastAsia="宋体" w:cs="Times New Roman"/>
          <w:b/>
          <w:color w:val="auto"/>
          <w:szCs w:val="21"/>
          <w:highlight w:val="none"/>
        </w:rPr>
        <w:t>招标项目的潜在投标人应在</w:t>
      </w:r>
      <w:r>
        <w:rPr>
          <w:rFonts w:hint="eastAsia" w:ascii="宋体" w:hAnsi="宋体" w:eastAsia="宋体" w:cs="Times New Roman"/>
          <w:b/>
          <w:color w:val="auto"/>
          <w:szCs w:val="21"/>
          <w:highlight w:val="none"/>
          <w:u w:val="single"/>
        </w:rPr>
        <w:t xml:space="preserve"> 政府采购云平台（https://www.zcygov.cn）</w:t>
      </w:r>
      <w:r>
        <w:rPr>
          <w:rFonts w:hint="eastAsia" w:ascii="宋体" w:hAnsi="宋体" w:eastAsia="宋体" w:cs="Times New Roman"/>
          <w:b/>
          <w:color w:val="auto"/>
          <w:szCs w:val="21"/>
          <w:highlight w:val="none"/>
        </w:rPr>
        <w:t>获取（下载）招标文件，并于</w:t>
      </w:r>
      <w:r>
        <w:rPr>
          <w:rFonts w:hint="eastAsia" w:ascii="宋体" w:hAnsi="宋体" w:eastAsia="宋体" w:cs="Times New Roman"/>
          <w:b/>
          <w:color w:val="auto"/>
          <w:szCs w:val="21"/>
          <w:highlight w:val="none"/>
          <w:u w:val="single"/>
        </w:rPr>
        <w:t>2023年</w:t>
      </w:r>
      <w:r>
        <w:rPr>
          <w:rFonts w:hint="eastAsia" w:ascii="宋体" w:hAnsi="宋体" w:eastAsia="宋体" w:cs="Times New Roman"/>
          <w:b/>
          <w:color w:val="auto"/>
          <w:szCs w:val="21"/>
          <w:highlight w:val="none"/>
          <w:u w:val="single"/>
          <w:lang w:val="en-US" w:eastAsia="zh-CN"/>
        </w:rPr>
        <w:t>12</w:t>
      </w:r>
      <w:r>
        <w:rPr>
          <w:rFonts w:hint="eastAsia" w:ascii="宋体" w:hAnsi="宋体" w:eastAsia="宋体" w:cs="Times New Roman"/>
          <w:b/>
          <w:color w:val="auto"/>
          <w:szCs w:val="21"/>
          <w:highlight w:val="none"/>
          <w:u w:val="single"/>
        </w:rPr>
        <w:t>月</w:t>
      </w:r>
      <w:r>
        <w:rPr>
          <w:rFonts w:ascii="宋体" w:hAnsi="宋体" w:eastAsia="宋体" w:cs="Times New Roman"/>
          <w:b/>
          <w:color w:val="auto"/>
          <w:szCs w:val="21"/>
          <w:highlight w:val="none"/>
          <w:u w:val="single"/>
        </w:rPr>
        <w:t>0</w:t>
      </w:r>
      <w:r>
        <w:rPr>
          <w:rFonts w:hint="eastAsia" w:ascii="宋体" w:hAnsi="宋体" w:eastAsia="宋体" w:cs="Times New Roman"/>
          <w:b/>
          <w:color w:val="auto"/>
          <w:szCs w:val="21"/>
          <w:highlight w:val="none"/>
          <w:u w:val="single"/>
          <w:lang w:val="en-US" w:eastAsia="zh-CN"/>
        </w:rPr>
        <w:t>7</w:t>
      </w:r>
      <w:r>
        <w:rPr>
          <w:rFonts w:hint="eastAsia" w:ascii="宋体" w:hAnsi="宋体" w:eastAsia="宋体" w:cs="Times New Roman"/>
          <w:b/>
          <w:color w:val="auto"/>
          <w:szCs w:val="21"/>
          <w:highlight w:val="none"/>
          <w:u w:val="single"/>
        </w:rPr>
        <w:t>日9:</w:t>
      </w:r>
      <w:r>
        <w:rPr>
          <w:rFonts w:hint="eastAsia" w:ascii="宋体" w:hAnsi="宋体" w:eastAsia="宋体" w:cs="Times New Roman"/>
          <w:b/>
          <w:color w:val="auto"/>
          <w:szCs w:val="21"/>
          <w:highlight w:val="none"/>
          <w:u w:val="single"/>
          <w:lang w:val="en-US" w:eastAsia="zh-CN"/>
        </w:rPr>
        <w:t>3</w:t>
      </w:r>
      <w:r>
        <w:rPr>
          <w:rFonts w:hint="eastAsia" w:ascii="宋体" w:hAnsi="宋体" w:eastAsia="宋体" w:cs="Times New Roman"/>
          <w:b/>
          <w:color w:val="auto"/>
          <w:szCs w:val="21"/>
          <w:highlight w:val="none"/>
          <w:u w:val="single"/>
        </w:rPr>
        <w:t>0:00（北京时间）</w:t>
      </w:r>
      <w:r>
        <w:rPr>
          <w:rFonts w:hint="eastAsia" w:ascii="宋体" w:hAnsi="宋体" w:eastAsia="宋体" w:cs="Times New Roman"/>
          <w:b/>
          <w:bCs/>
          <w:color w:val="auto"/>
          <w:szCs w:val="21"/>
          <w:highlight w:val="none"/>
        </w:rPr>
        <w:t>前递交（上传）投标</w:t>
      </w:r>
      <w:r>
        <w:rPr>
          <w:rFonts w:ascii="宋体" w:hAnsi="宋体" w:eastAsia="宋体" w:cs="Times New Roman"/>
          <w:b/>
          <w:bCs/>
          <w:color w:val="auto"/>
          <w:szCs w:val="21"/>
          <w:highlight w:val="none"/>
        </w:rPr>
        <w:t>文件</w:t>
      </w:r>
      <w:r>
        <w:rPr>
          <w:rFonts w:hint="eastAsia" w:ascii="宋体" w:hAnsi="宋体" w:eastAsia="宋体" w:cs="Times New Roman"/>
          <w:b/>
          <w:color w:val="auto"/>
          <w:szCs w:val="21"/>
          <w:highlight w:val="none"/>
        </w:rPr>
        <w:t>。</w:t>
      </w:r>
    </w:p>
    <w:p>
      <w:pPr>
        <w:adjustRightInd w:val="0"/>
        <w:snapToGrid w:val="0"/>
        <w:spacing w:line="288" w:lineRule="auto"/>
        <w:rPr>
          <w:rFonts w:ascii="宋体" w:hAnsi="宋体" w:eastAsia="宋体" w:cs="宋体"/>
          <w:b/>
          <w:color w:val="auto"/>
          <w:szCs w:val="21"/>
          <w:highlight w:val="none"/>
        </w:rPr>
      </w:pPr>
      <w:bookmarkStart w:id="0" w:name="_Toc28359002"/>
      <w:bookmarkStart w:id="1" w:name="_Toc35393621"/>
      <w:bookmarkStart w:id="2" w:name="_Toc35393790"/>
      <w:bookmarkStart w:id="3" w:name="_Toc28359079"/>
      <w:bookmarkStart w:id="4" w:name="_Hlk24379207"/>
      <w:r>
        <w:rPr>
          <w:rFonts w:hint="eastAsia" w:ascii="宋体" w:hAnsi="宋体" w:eastAsia="宋体" w:cs="宋体"/>
          <w:b/>
          <w:color w:val="auto"/>
          <w:szCs w:val="21"/>
          <w:highlight w:val="none"/>
        </w:rPr>
        <w:t>一、项目基本情况</w:t>
      </w:r>
      <w:bookmarkEnd w:id="0"/>
      <w:bookmarkEnd w:id="1"/>
      <w:bookmarkEnd w:id="2"/>
      <w:bookmarkEnd w:id="3"/>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1.项目编号：QSZB-Z(H)-C23487(GK) </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.项目名称：良渚校区1期2标段物联网门禁人员出入智能管控项目</w:t>
      </w:r>
    </w:p>
    <w:bookmarkEnd w:id="4"/>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.预算金额：2400000元</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.最高限价：2400000元</w:t>
      </w:r>
      <w:bookmarkStart w:id="64" w:name="_GoBack"/>
      <w:bookmarkEnd w:id="64"/>
    </w:p>
    <w:p>
      <w:pPr>
        <w:adjustRightInd w:val="0"/>
        <w:snapToGrid w:val="0"/>
        <w:spacing w:line="288" w:lineRule="auto"/>
        <w:ind w:firstLine="420" w:firstLineChars="200"/>
        <w:rPr>
          <w:rFonts w:ascii="宋体" w:hAnsi="宋体" w:eastAsia="宋体" w:cs="Times New Roman"/>
          <w:color w:val="auto"/>
          <w:szCs w:val="21"/>
          <w:highlight w:val="none"/>
          <w:u w:val="singl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.合同履约期限：</w:t>
      </w:r>
      <w:r>
        <w:rPr>
          <w:rFonts w:hint="eastAsia" w:ascii="宋体" w:hAnsi="宋体" w:eastAsia="宋体" w:cs="宋体"/>
          <w:color w:val="auto"/>
          <w:szCs w:val="21"/>
          <w:highlight w:val="none"/>
        </w:rPr>
        <w:t>合同签订后</w:t>
      </w:r>
      <w:r>
        <w:rPr>
          <w:rFonts w:ascii="宋体" w:hAnsi="宋体" w:eastAsia="宋体" w:cs="宋体"/>
          <w:color w:val="auto"/>
          <w:szCs w:val="21"/>
          <w:highlight w:val="none"/>
        </w:rPr>
        <w:t>15</w:t>
      </w:r>
      <w:r>
        <w:rPr>
          <w:rFonts w:hint="eastAsia" w:ascii="宋体" w:hAnsi="宋体" w:eastAsia="宋体" w:cs="宋体"/>
          <w:color w:val="auto"/>
          <w:szCs w:val="21"/>
          <w:highlight w:val="none"/>
        </w:rPr>
        <w:t>日内</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6</w:t>
      </w:r>
      <w:r>
        <w:rPr>
          <w:rFonts w:hint="eastAsia" w:ascii="宋体" w:hAnsi="宋体" w:eastAsia="宋体" w:cs="Times New Roman"/>
          <w:bCs/>
          <w:color w:val="auto"/>
          <w:szCs w:val="21"/>
          <w:highlight w:val="none"/>
        </w:rPr>
        <w:t>.本项目（是）接受联合体投标。</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7</w:t>
      </w:r>
      <w:r>
        <w:rPr>
          <w:rFonts w:hint="eastAsia" w:ascii="宋体" w:hAnsi="宋体" w:eastAsia="宋体" w:cs="Times New Roman"/>
          <w:color w:val="auto"/>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良渚校区1期2标段物联网门禁人员出入智能管控项目</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批</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详见第二章 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否</w:t>
            </w:r>
          </w:p>
        </w:tc>
      </w:tr>
    </w:tbl>
    <w:p>
      <w:pPr>
        <w:adjustRightInd w:val="0"/>
        <w:snapToGrid w:val="0"/>
        <w:spacing w:line="288" w:lineRule="auto"/>
        <w:rPr>
          <w:rFonts w:ascii="宋体" w:hAnsi="宋体" w:eastAsia="宋体" w:cs="宋体"/>
          <w:b/>
          <w:color w:val="auto"/>
          <w:szCs w:val="21"/>
          <w:highlight w:val="none"/>
        </w:rPr>
      </w:pPr>
      <w:bookmarkStart w:id="5" w:name="_Toc35393622"/>
      <w:bookmarkStart w:id="6" w:name="_Toc35393791"/>
      <w:bookmarkStart w:id="7" w:name="_Toc28359080"/>
      <w:bookmarkStart w:id="8" w:name="_Toc28359003"/>
      <w:r>
        <w:rPr>
          <w:rFonts w:hint="eastAsia" w:ascii="宋体" w:hAnsi="宋体" w:eastAsia="宋体" w:cs="宋体"/>
          <w:b/>
          <w:color w:val="auto"/>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1.满足《中华人民共和国政府采购法》第二十二条规定，未被“信用中国”（www.creditchina.gov.cn）</w:t>
      </w:r>
      <w:r>
        <w:rPr>
          <w:rFonts w:ascii="宋体" w:hAnsi="宋体" w:eastAsia="宋体" w:cs="Times New Roman"/>
          <w:bCs/>
          <w:color w:val="auto"/>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bookmarkStart w:id="9" w:name="_Toc28359004"/>
      <w:bookmarkStart w:id="10" w:name="_Toc28359081"/>
      <w:r>
        <w:rPr>
          <w:rFonts w:hint="eastAsia" w:ascii="宋体" w:hAnsi="宋体" w:eastAsia="宋体" w:cs="Times New Roman"/>
          <w:color w:val="auto"/>
          <w:szCs w:val="21"/>
          <w:highlight w:val="none"/>
        </w:rPr>
        <w:t>2.落实政府采购政策需满足的资格要求：无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3.本项目的特定资格要求：无</w:t>
      </w:r>
    </w:p>
    <w:p>
      <w:pPr>
        <w:adjustRightInd w:val="0"/>
        <w:snapToGrid w:val="0"/>
        <w:spacing w:line="288" w:lineRule="auto"/>
        <w:rPr>
          <w:rFonts w:ascii="宋体" w:hAnsi="宋体" w:eastAsia="宋体" w:cs="宋体"/>
          <w:b/>
          <w:color w:val="auto"/>
          <w:szCs w:val="21"/>
          <w:highlight w:val="none"/>
        </w:rPr>
      </w:pPr>
      <w:bookmarkStart w:id="11" w:name="_Toc35393623"/>
      <w:bookmarkStart w:id="12" w:name="_Toc35393792"/>
      <w:r>
        <w:rPr>
          <w:rFonts w:hint="eastAsia" w:ascii="宋体" w:hAnsi="宋体" w:eastAsia="宋体" w:cs="宋体"/>
          <w:b/>
          <w:color w:val="auto"/>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color w:val="auto"/>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时间：2023年</w:t>
      </w:r>
      <w:r>
        <w:rPr>
          <w:rFonts w:hint="eastAsia" w:ascii="宋体" w:hAnsi="宋体" w:eastAsia="宋体" w:cs="Times New Roman"/>
          <w:color w:val="auto"/>
          <w:szCs w:val="21"/>
          <w:highlight w:val="none"/>
          <w:lang w:val="en-US" w:eastAsia="zh-CN"/>
        </w:rPr>
        <w:t>11</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lang w:val="en-US" w:eastAsia="zh-CN"/>
        </w:rPr>
        <w:t>16</w:t>
      </w:r>
      <w:r>
        <w:rPr>
          <w:rFonts w:hint="eastAsia" w:ascii="宋体" w:hAnsi="宋体" w:eastAsia="宋体" w:cs="Times New Roman"/>
          <w:color w:val="auto"/>
          <w:szCs w:val="21"/>
          <w:highlight w:val="none"/>
        </w:rPr>
        <w:t>日至2023年</w:t>
      </w:r>
      <w:r>
        <w:rPr>
          <w:rFonts w:hint="eastAsia" w:ascii="宋体" w:hAnsi="宋体" w:eastAsia="宋体" w:cs="Times New Roman"/>
          <w:color w:val="auto"/>
          <w:szCs w:val="21"/>
          <w:highlight w:val="none"/>
          <w:lang w:val="en-US" w:eastAsia="zh-CN"/>
        </w:rPr>
        <w:t>12</w:t>
      </w:r>
      <w:r>
        <w:rPr>
          <w:rFonts w:hint="eastAsia" w:ascii="宋体" w:hAnsi="宋体" w:eastAsia="宋体" w:cs="Times New Roman"/>
          <w:color w:val="auto"/>
          <w:szCs w:val="21"/>
          <w:highlight w:val="none"/>
        </w:rPr>
        <w:t>月</w:t>
      </w:r>
      <w:r>
        <w:rPr>
          <w:rFonts w:ascii="宋体" w:hAnsi="宋体" w:eastAsia="宋体" w:cs="Times New Roman"/>
          <w:color w:val="auto"/>
          <w:szCs w:val="21"/>
          <w:highlight w:val="none"/>
        </w:rPr>
        <w:t>0</w:t>
      </w:r>
      <w:r>
        <w:rPr>
          <w:rFonts w:hint="eastAsia" w:ascii="宋体" w:hAnsi="宋体" w:eastAsia="宋体" w:cs="Times New Roman"/>
          <w:color w:val="auto"/>
          <w:szCs w:val="21"/>
          <w:highlight w:val="none"/>
          <w:lang w:val="en-US" w:eastAsia="zh-CN"/>
        </w:rPr>
        <w:t>7</w:t>
      </w:r>
      <w:r>
        <w:rPr>
          <w:rFonts w:hint="eastAsia" w:ascii="宋体" w:hAnsi="宋体" w:eastAsia="宋体" w:cs="Times New Roman"/>
          <w:color w:val="auto"/>
          <w:szCs w:val="21"/>
          <w:highlight w:val="none"/>
        </w:rPr>
        <w:t>日，上午</w:t>
      </w:r>
      <w:r>
        <w:rPr>
          <w:rFonts w:hint="eastAsia" w:ascii="宋体" w:hAnsi="宋体" w:eastAsia="宋体" w:cs="Times New Roman"/>
          <w:bCs/>
          <w:color w:val="auto"/>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地点（网址）：政府采购云平台（https://www.zcygov.cn）</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方式：供应商登录政采云平台（https://www.zcygov.cn）</w:t>
      </w:r>
      <w:r>
        <w:rPr>
          <w:rFonts w:ascii="宋体" w:hAnsi="宋体" w:eastAsia="宋体" w:cs="Times New Roman"/>
          <w:color w:val="auto"/>
          <w:szCs w:val="21"/>
          <w:highlight w:val="none"/>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rPr>
        <w:t>售价（元）：0</w:t>
      </w:r>
    </w:p>
    <w:p>
      <w:pPr>
        <w:adjustRightInd w:val="0"/>
        <w:snapToGrid w:val="0"/>
        <w:spacing w:line="288"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四、提交（上传）投标文件</w:t>
      </w:r>
      <w:bookmarkEnd w:id="13"/>
      <w:bookmarkEnd w:id="14"/>
      <w:r>
        <w:rPr>
          <w:rFonts w:hint="eastAsia" w:ascii="宋体" w:hAnsi="宋体" w:eastAsia="宋体" w:cs="宋体"/>
          <w:b/>
          <w:color w:val="auto"/>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color w:val="auto"/>
          <w:szCs w:val="21"/>
          <w:highlight w:val="none"/>
        </w:rPr>
      </w:pPr>
      <w:bookmarkStart w:id="17" w:name="_Hlk81212057"/>
      <w:r>
        <w:rPr>
          <w:rFonts w:hint="eastAsia" w:ascii="宋体" w:hAnsi="宋体" w:eastAsia="宋体" w:cs="Times New Roman"/>
          <w:bCs/>
          <w:color w:val="auto"/>
          <w:szCs w:val="21"/>
          <w:highlight w:val="none"/>
        </w:rPr>
        <w:t>提交投标文件截止时间：2023年</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月0</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投标地点（网址）：</w:t>
      </w:r>
      <w:r>
        <w:rPr>
          <w:rFonts w:hint="eastAsia" w:ascii="宋体" w:hAnsi="宋体" w:eastAsia="宋体" w:cs="Times New Roman"/>
          <w:color w:val="auto"/>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开标时间：</w:t>
      </w:r>
      <w:r>
        <w:rPr>
          <w:rFonts w:hint="eastAsia" w:ascii="宋体" w:hAnsi="宋体" w:eastAsia="宋体" w:cs="Times New Roman"/>
          <w:bCs/>
          <w:color w:val="auto"/>
          <w:szCs w:val="21"/>
          <w:highlight w:val="none"/>
        </w:rPr>
        <w:t>2023年</w:t>
      </w:r>
      <w:r>
        <w:rPr>
          <w:rFonts w:hint="eastAsia" w:ascii="宋体" w:hAnsi="宋体" w:eastAsia="宋体" w:cs="Times New Roman"/>
          <w:bCs/>
          <w:color w:val="auto"/>
          <w:szCs w:val="21"/>
          <w:highlight w:val="none"/>
          <w:lang w:val="en-US" w:eastAsia="zh-CN"/>
        </w:rPr>
        <w:t>12</w:t>
      </w:r>
      <w:r>
        <w:rPr>
          <w:rFonts w:hint="eastAsia" w:ascii="宋体" w:hAnsi="宋体" w:eastAsia="宋体" w:cs="Times New Roman"/>
          <w:bCs/>
          <w:color w:val="auto"/>
          <w:szCs w:val="21"/>
          <w:highlight w:val="none"/>
        </w:rPr>
        <w:t>月</w:t>
      </w:r>
      <w:r>
        <w:rPr>
          <w:rFonts w:ascii="宋体" w:hAnsi="宋体" w:eastAsia="宋体" w:cs="Times New Roman"/>
          <w:bCs/>
          <w:color w:val="auto"/>
          <w:szCs w:val="21"/>
          <w:highlight w:val="none"/>
        </w:rPr>
        <w:t>0</w:t>
      </w:r>
      <w:r>
        <w:rPr>
          <w:rFonts w:hint="eastAsia" w:ascii="宋体" w:hAnsi="宋体" w:eastAsia="宋体" w:cs="Times New Roman"/>
          <w:bCs/>
          <w:color w:val="auto"/>
          <w:szCs w:val="21"/>
          <w:highlight w:val="none"/>
          <w:lang w:val="en-US" w:eastAsia="zh-CN"/>
        </w:rPr>
        <w:t>7</w:t>
      </w:r>
      <w:r>
        <w:rPr>
          <w:rFonts w:hint="eastAsia" w:ascii="宋体" w:hAnsi="宋体" w:eastAsia="宋体" w:cs="Times New Roman"/>
          <w:bCs/>
          <w:color w:val="auto"/>
          <w:szCs w:val="21"/>
          <w:highlight w:val="none"/>
        </w:rPr>
        <w:t>日9:</w:t>
      </w:r>
      <w:r>
        <w:rPr>
          <w:rFonts w:hint="eastAsia" w:ascii="宋体" w:hAnsi="宋体" w:eastAsia="宋体" w:cs="Times New Roman"/>
          <w:bCs/>
          <w:color w:val="auto"/>
          <w:szCs w:val="21"/>
          <w:highlight w:val="none"/>
          <w:lang w:val="en-US" w:eastAsia="zh-CN"/>
        </w:rPr>
        <w:t>3</w:t>
      </w:r>
      <w:r>
        <w:rPr>
          <w:rFonts w:hint="eastAsia" w:ascii="宋体" w:hAnsi="宋体" w:eastAsia="宋体" w:cs="Times New Roman"/>
          <w:bCs/>
          <w:color w:val="auto"/>
          <w:szCs w:val="21"/>
          <w:highlight w:val="none"/>
        </w:rPr>
        <w:t>0:00（北京时间）</w:t>
      </w:r>
    </w:p>
    <w:p>
      <w:pPr>
        <w:adjustRightInd w:val="0"/>
        <w:snapToGrid w:val="0"/>
        <w:spacing w:line="288" w:lineRule="auto"/>
        <w:ind w:firstLine="420" w:firstLineChars="200"/>
        <w:rPr>
          <w:rFonts w:ascii="宋体" w:hAnsi="宋体" w:eastAsia="宋体" w:cs="Times New Roman"/>
          <w:bCs/>
          <w:color w:val="auto"/>
          <w:szCs w:val="21"/>
          <w:highlight w:val="none"/>
        </w:rPr>
      </w:pPr>
      <w:r>
        <w:rPr>
          <w:rFonts w:ascii="宋体" w:hAnsi="宋体" w:eastAsia="宋体" w:cs="Times New Roman"/>
          <w:bCs/>
          <w:color w:val="auto"/>
          <w:szCs w:val="21"/>
          <w:highlight w:val="none"/>
        </w:rPr>
        <w:t>开标地点（网址）：</w:t>
      </w:r>
      <w:r>
        <w:rPr>
          <w:rFonts w:hint="eastAsia" w:ascii="宋体" w:hAnsi="宋体" w:eastAsia="宋体" w:cs="Times New Roman"/>
          <w:color w:val="auto"/>
          <w:szCs w:val="21"/>
          <w:highlight w:val="none"/>
        </w:rPr>
        <w:t>政府采购云平台（https://www.zcygov.cn）</w:t>
      </w:r>
      <w:bookmarkStart w:id="18" w:name="_Hlk81212131"/>
      <w:r>
        <w:rPr>
          <w:rFonts w:hint="eastAsia" w:ascii="宋体" w:hAnsi="宋体" w:eastAsia="宋体" w:cs="Times New Roman"/>
          <w:color w:val="auto"/>
          <w:szCs w:val="21"/>
          <w:highlight w:val="none"/>
        </w:rPr>
        <w:t>/杭州市西湖区玉古路173号中田大厦21楼（求是招标会议室1）</w:t>
      </w:r>
      <w:bookmarkEnd w:id="18"/>
    </w:p>
    <w:bookmarkEnd w:id="17"/>
    <w:p>
      <w:pPr>
        <w:adjustRightInd w:val="0"/>
        <w:snapToGrid w:val="0"/>
        <w:spacing w:line="288" w:lineRule="auto"/>
        <w:rPr>
          <w:rFonts w:ascii="宋体" w:hAnsi="宋体" w:eastAsia="宋体" w:cs="宋体"/>
          <w:b/>
          <w:color w:val="auto"/>
          <w:szCs w:val="21"/>
          <w:highlight w:val="none"/>
        </w:rPr>
      </w:pPr>
      <w:bookmarkStart w:id="19" w:name="_Toc28359084"/>
      <w:bookmarkStart w:id="20" w:name="_Toc28359007"/>
      <w:bookmarkStart w:id="21" w:name="_Toc35393625"/>
      <w:bookmarkStart w:id="22" w:name="_Toc35393794"/>
      <w:r>
        <w:rPr>
          <w:rFonts w:hint="eastAsia" w:ascii="宋体" w:hAnsi="宋体" w:eastAsia="宋体" w:cs="宋体"/>
          <w:b/>
          <w:color w:val="auto"/>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自本公告发布之日起5个工作日。</w:t>
      </w:r>
    </w:p>
    <w:p>
      <w:pPr>
        <w:adjustRightInd w:val="0"/>
        <w:snapToGrid w:val="0"/>
        <w:spacing w:line="288" w:lineRule="auto"/>
        <w:rPr>
          <w:rFonts w:ascii="宋体" w:hAnsi="宋体" w:eastAsia="宋体" w:cs="宋体"/>
          <w:b/>
          <w:color w:val="auto"/>
          <w:szCs w:val="21"/>
          <w:highlight w:val="none"/>
        </w:rPr>
      </w:pPr>
      <w:bookmarkStart w:id="23" w:name="_Toc35393795"/>
      <w:bookmarkStart w:id="24" w:name="_Toc35393626"/>
      <w:r>
        <w:rPr>
          <w:rFonts w:hint="eastAsia" w:ascii="宋体" w:hAnsi="宋体" w:eastAsia="宋体" w:cs="宋体"/>
          <w:b/>
          <w:color w:val="auto"/>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color w:val="auto"/>
          <w:szCs w:val="21"/>
          <w:highlight w:val="none"/>
        </w:rPr>
      </w:pPr>
      <w:bookmarkStart w:id="25" w:name="_Hlk92271231"/>
      <w:r>
        <w:rPr>
          <w:rFonts w:ascii="宋体" w:hAnsi="宋体" w:eastAsia="宋体" w:cs="Times New Roman"/>
          <w:color w:val="auto"/>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4.其他事项：</w:t>
      </w:r>
      <w:bookmarkStart w:id="26" w:name="_Hlk92271331"/>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需要落实的政府采购政策：包括节约资源、保护环境、</w:t>
      </w:r>
      <w:bookmarkStart w:id="27" w:name="_Hlk106877787"/>
      <w:r>
        <w:rPr>
          <w:rFonts w:hint="eastAsia" w:ascii="宋体" w:hAnsi="宋体" w:eastAsia="宋体" w:cs="Times New Roman"/>
          <w:color w:val="auto"/>
          <w:szCs w:val="21"/>
          <w:highlight w:val="none"/>
        </w:rPr>
        <w:t>支持科技创新、</w:t>
      </w:r>
      <w:bookmarkEnd w:id="27"/>
      <w:r>
        <w:rPr>
          <w:rFonts w:ascii="宋体" w:hAnsi="宋体" w:eastAsia="宋体" w:cs="Times New Roman"/>
          <w:color w:val="auto"/>
          <w:szCs w:val="21"/>
          <w:highlight w:val="none"/>
        </w:rPr>
        <w:t>促进中小企业发展等。详见招标文件的第</w:t>
      </w:r>
      <w:r>
        <w:rPr>
          <w:rFonts w:hint="eastAsia" w:ascii="宋体" w:hAnsi="宋体" w:eastAsia="宋体" w:cs="Times New Roman"/>
          <w:color w:val="auto"/>
          <w:szCs w:val="21"/>
          <w:highlight w:val="none"/>
        </w:rPr>
        <w:t>三章-采购项目需要落实的政府采购政策</w:t>
      </w:r>
      <w:r>
        <w:rPr>
          <w:rFonts w:ascii="宋体" w:hAnsi="宋体" w:eastAsia="宋体" w:cs="Times New Roman"/>
          <w:color w:val="auto"/>
          <w:szCs w:val="21"/>
          <w:highlight w:val="none"/>
        </w:rPr>
        <w:t>。</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w:t>
      </w:r>
      <w:bookmarkStart w:id="28" w:name="_Hlk92271072"/>
      <w:r>
        <w:rPr>
          <w:rFonts w:hint="eastAsia" w:ascii="宋体" w:hAnsi="宋体" w:eastAsia="宋体" w:cs="Times New Roman"/>
          <w:color w:val="auto"/>
          <w:szCs w:val="21"/>
          <w:highlight w:val="none"/>
        </w:rPr>
        <w:t>（2）</w:t>
      </w:r>
      <w:r>
        <w:rPr>
          <w:rFonts w:ascii="宋体" w:hAnsi="宋体" w:eastAsia="宋体" w:cs="Times New Roman"/>
          <w:color w:val="auto"/>
          <w:szCs w:val="21"/>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color w:val="auto"/>
          <w:szCs w:val="21"/>
          <w:highlight w:val="none"/>
        </w:rPr>
      </w:pPr>
      <w:bookmarkStart w:id="29" w:name="_Toc35393627"/>
      <w:bookmarkStart w:id="30" w:name="_Toc35393796"/>
      <w:bookmarkStart w:id="31" w:name="_Toc28359008"/>
      <w:bookmarkStart w:id="32" w:name="_Toc28359085"/>
      <w:r>
        <w:rPr>
          <w:rFonts w:hint="eastAsia" w:ascii="宋体" w:hAnsi="宋体" w:eastAsia="宋体" w:cs="宋体"/>
          <w:b/>
          <w:color w:val="auto"/>
          <w:szCs w:val="21"/>
          <w:highlight w:val="none"/>
        </w:rPr>
        <w:t>七、对本次招标提出询问、质疑、投诉请按</w:t>
      </w:r>
      <w:r>
        <w:rPr>
          <w:rFonts w:ascii="宋体" w:hAnsi="宋体" w:eastAsia="宋体" w:cs="宋体"/>
          <w:b/>
          <w:color w:val="auto"/>
          <w:szCs w:val="21"/>
          <w:highlight w:val="none"/>
        </w:rPr>
        <w:t>以下方式</w:t>
      </w:r>
      <w:r>
        <w:rPr>
          <w:rFonts w:hint="eastAsia" w:ascii="宋体" w:hAnsi="宋体" w:eastAsia="宋体" w:cs="宋体"/>
          <w:b/>
          <w:color w:val="auto"/>
          <w:szCs w:val="21"/>
          <w:highlight w:val="none"/>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1.采购人信息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名称：中国美术学院</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地址：杭州市南山路218号</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项目联系人（询问）：刘老师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w:t>
      </w:r>
      <w:r>
        <w:rPr>
          <w:rFonts w:ascii="宋体" w:hAnsi="宋体" w:eastAsia="宋体" w:cs="Times New Roman"/>
          <w:color w:val="auto"/>
          <w:szCs w:val="21"/>
          <w:highlight w:val="none"/>
        </w:rPr>
        <w:t>87163213</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质疑联系人：黄老师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质疑联系方式：0571-86027612</w:t>
      </w:r>
    </w:p>
    <w:p>
      <w:pPr>
        <w:adjustRightInd w:val="0"/>
        <w:snapToGrid w:val="0"/>
        <w:spacing w:line="288" w:lineRule="auto"/>
        <w:ind w:firstLine="424" w:firstLineChars="202"/>
        <w:rPr>
          <w:rFonts w:ascii="宋体" w:hAnsi="宋体" w:eastAsia="宋体" w:cs="Times New Roman"/>
          <w:color w:val="auto"/>
          <w:szCs w:val="21"/>
          <w:highlight w:val="none"/>
        </w:rPr>
      </w:pP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2.采购代理机构信息</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名称：浙江求是招标代理有限公司</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地址：杭州市西湖区玉古路173号中田大厦21楼</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传真：/</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项目联系人（询问）：</w:t>
      </w:r>
      <w:r>
        <w:rPr>
          <w:rFonts w:hint="eastAsia" w:ascii="宋体" w:hAnsi="宋体" w:eastAsia="宋体" w:cs="Times New Roman"/>
          <w:bCs/>
          <w:color w:val="auto"/>
          <w:spacing w:val="-6"/>
          <w:szCs w:val="21"/>
          <w:highlight w:val="none"/>
        </w:rPr>
        <w:t>陈培特、韩明月</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项目联系方式（询问）：0571-87666115</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质疑联系人：胡沁梦</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质疑联系方式：0571-81110356</w:t>
      </w:r>
    </w:p>
    <w:p>
      <w:pPr>
        <w:adjustRightInd w:val="0"/>
        <w:snapToGrid w:val="0"/>
        <w:spacing w:line="288" w:lineRule="auto"/>
        <w:ind w:firstLine="424" w:firstLineChars="202"/>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质疑邮箱：</w:t>
      </w:r>
      <w:r>
        <w:rPr>
          <w:rFonts w:ascii="宋体" w:hAnsi="宋体" w:eastAsia="宋体" w:cs="Times New Roman"/>
          <w:color w:val="auto"/>
          <w:szCs w:val="21"/>
          <w:highlight w:val="none"/>
        </w:rPr>
        <w:t>jdkh@qszb.net</w:t>
      </w:r>
    </w:p>
    <w:p>
      <w:pPr>
        <w:adjustRightInd w:val="0"/>
        <w:snapToGrid w:val="0"/>
        <w:spacing w:line="288" w:lineRule="auto"/>
        <w:ind w:firstLine="424" w:firstLineChars="202"/>
        <w:rPr>
          <w:rFonts w:ascii="宋体" w:hAnsi="宋体" w:eastAsia="宋体" w:cs="Times New Roman"/>
          <w:color w:val="auto"/>
          <w:szCs w:val="21"/>
          <w:highlight w:val="none"/>
        </w:rPr>
      </w:pPr>
      <w:bookmarkStart w:id="33" w:name="_Hlk124147873"/>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3.同级政府采购监督管理部门</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地址：杭州市上城区四季青街道新业路市民之家G03办公室</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传真：/</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联系人：朱女士、王女士</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监督投诉电话：0571-85252453</w:t>
      </w:r>
    </w:p>
    <w:p>
      <w:pPr>
        <w:adjustRightInd w:val="0"/>
        <w:snapToGrid w:val="0"/>
        <w:spacing w:line="288" w:lineRule="auto"/>
        <w:ind w:firstLine="425" w:firstLineChars="215"/>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政策咨询：何一平、冯华，0571-87058424、87055741</w:t>
      </w:r>
    </w:p>
    <w:p>
      <w:pPr>
        <w:adjustRightInd w:val="0"/>
        <w:snapToGrid w:val="0"/>
        <w:spacing w:line="288" w:lineRule="auto"/>
        <w:ind w:firstLine="420" w:firstLineChars="200"/>
        <w:rPr>
          <w:rFonts w:ascii="宋体" w:hAnsi="宋体" w:eastAsia="宋体" w:cs="Times New Roman"/>
          <w:color w:val="auto"/>
          <w:szCs w:val="21"/>
          <w:highlight w:val="none"/>
        </w:rPr>
      </w:pPr>
      <w:bookmarkStart w:id="34" w:name="_Hlk143604927"/>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若对项目采购电子交易系统操作有疑问，可登录政采云（</w:t>
      </w:r>
      <w:r>
        <w:rPr>
          <w:rFonts w:ascii="宋体" w:hAnsi="宋体" w:eastAsia="宋体" w:cs="Times New Roman"/>
          <w:color w:val="auto"/>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color w:val="auto"/>
          <w:szCs w:val="21"/>
          <w:highlight w:val="none"/>
        </w:rPr>
      </w:pPr>
      <w:r>
        <w:rPr>
          <w:rFonts w:ascii="宋体" w:hAnsi="宋体" w:eastAsia="宋体" w:cs="Times New Roman"/>
          <w:color w:val="auto"/>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color w:val="auto"/>
          <w:sz w:val="32"/>
          <w:szCs w:val="32"/>
          <w:highlight w:val="none"/>
        </w:rPr>
      </w:pPr>
      <w:r>
        <w:rPr>
          <w:rFonts w:hint="eastAsia"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 xml:space="preserve">第二章  </w:t>
      </w:r>
      <w:r>
        <w:rPr>
          <w:rFonts w:hint="eastAsia" w:ascii="宋体" w:hAnsi="宋体" w:eastAsia="宋体" w:cs="Times New Roman"/>
          <w:b/>
          <w:bCs/>
          <w:color w:val="auto"/>
          <w:sz w:val="32"/>
          <w:szCs w:val="32"/>
          <w:highlight w:val="none"/>
        </w:rPr>
        <w:t>采购需求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bookmarkStart w:id="35" w:name="_Hlk45005599"/>
            <w:r>
              <w:rPr>
                <w:rFonts w:hint="eastAsia" w:ascii="宋体" w:hAnsi="宋体" w:eastAsia="宋体" w:cs="宋体"/>
                <w:b/>
                <w:bCs/>
                <w:color w:val="auto"/>
                <w:szCs w:val="21"/>
                <w:highlight w:val="none"/>
              </w:rPr>
              <w:t>序号</w:t>
            </w:r>
          </w:p>
        </w:tc>
        <w:tc>
          <w:tcPr>
            <w:tcW w:w="3256"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政策名称</w:t>
            </w:r>
          </w:p>
        </w:tc>
        <w:tc>
          <w:tcPr>
            <w:tcW w:w="5529"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1</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2</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3</w:t>
            </w:r>
          </w:p>
        </w:tc>
        <w:tc>
          <w:tcPr>
            <w:tcW w:w="3256"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5</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采购标的对应的中小企业划分标准所属行业：工业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提供材料详见招标文件第六章“报价文件”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3256"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提供材料详见招标文件第六章“报价文件”</w:t>
            </w:r>
          </w:p>
        </w:tc>
      </w:tr>
      <w:bookmarkEnd w:id="35"/>
    </w:tbl>
    <w:p>
      <w:pPr>
        <w:adjustRightInd w:val="0"/>
        <w:snapToGrid w:val="0"/>
        <w:spacing w:line="288" w:lineRule="auto"/>
        <w:rPr>
          <w:rFonts w:ascii="宋体" w:hAnsi="宋体" w:eastAsia="宋体" w:cs="Times New Roman"/>
          <w:b/>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bookmarkStart w:id="36" w:name="_Hlk45005608"/>
            <w:r>
              <w:rPr>
                <w:rFonts w:hint="eastAsia" w:ascii="宋体" w:hAnsi="宋体" w:eastAsia="宋体" w:cs="Times New Roman"/>
                <w:b/>
                <w:color w:val="auto"/>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1.合同签订后一周内，中标人向采购人提交合同总价</w:t>
            </w:r>
            <w:r>
              <w:rPr>
                <w:rFonts w:ascii="宋体" w:hAnsi="宋体" w:eastAsia="宋体" w:cs="宋体"/>
                <w:color w:val="auto"/>
                <w:spacing w:val="-6"/>
                <w:kern w:val="0"/>
                <w:szCs w:val="21"/>
                <w:highlight w:val="none"/>
              </w:rPr>
              <w:t>1</w:t>
            </w:r>
            <w:r>
              <w:rPr>
                <w:rFonts w:hint="eastAsia" w:ascii="宋体" w:hAnsi="宋体" w:eastAsia="宋体" w:cs="宋体"/>
                <w:color w:val="auto"/>
                <w:spacing w:val="-6"/>
                <w:kern w:val="0"/>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签订合同后7个工作日内，且中标人</w:t>
            </w:r>
            <w:r>
              <w:rPr>
                <w:rFonts w:hint="eastAsia" w:ascii="宋体" w:hAnsi="宋体" w:eastAsia="宋体" w:cs="宋体"/>
                <w:color w:val="auto"/>
                <w:kern w:val="0"/>
                <w:szCs w:val="21"/>
                <w:highlight w:val="none"/>
              </w:rPr>
              <w:t>已向采购人提交银行、保险公司等金融机构出具的预付款保函的，</w:t>
            </w:r>
            <w:r>
              <w:rPr>
                <w:rFonts w:hint="eastAsia" w:ascii="宋体" w:hAnsi="宋体" w:eastAsia="宋体" w:cs="宋体"/>
                <w:color w:val="auto"/>
                <w:spacing w:val="-6"/>
                <w:kern w:val="0"/>
                <w:szCs w:val="21"/>
                <w:highlight w:val="none"/>
              </w:rPr>
              <w:t>采购人向中标人支付合同总价的40%；设备（含软硬件）到货经检测符合项目技术要求的，同时验证投标书中提供证明材料合格后，采购人向中标人支付合同总价的</w:t>
            </w:r>
            <w:r>
              <w:rPr>
                <w:rFonts w:ascii="宋体" w:hAnsi="宋体" w:eastAsia="宋体" w:cs="宋体"/>
                <w:color w:val="auto"/>
                <w:spacing w:val="-6"/>
                <w:kern w:val="0"/>
                <w:szCs w:val="21"/>
                <w:highlight w:val="none"/>
              </w:rPr>
              <w:t>2</w:t>
            </w:r>
            <w:r>
              <w:rPr>
                <w:rFonts w:hint="eastAsia" w:ascii="宋体" w:hAnsi="宋体" w:eastAsia="宋体" w:cs="宋体"/>
                <w:color w:val="auto"/>
                <w:spacing w:val="-6"/>
                <w:kern w:val="0"/>
                <w:szCs w:val="21"/>
                <w:highlight w:val="none"/>
              </w:rPr>
              <w:t>0%，设备（含软硬件）上线完成试运行后，采购人向中标人支付合同总价的</w:t>
            </w:r>
            <w:r>
              <w:rPr>
                <w:rFonts w:ascii="宋体" w:hAnsi="宋体" w:eastAsia="宋体" w:cs="宋体"/>
                <w:color w:val="auto"/>
                <w:spacing w:val="-6"/>
                <w:kern w:val="0"/>
                <w:szCs w:val="21"/>
                <w:highlight w:val="none"/>
              </w:rPr>
              <w:t>20%</w:t>
            </w:r>
            <w:r>
              <w:rPr>
                <w:rFonts w:hint="eastAsia" w:ascii="宋体" w:hAnsi="宋体" w:eastAsia="宋体" w:cs="宋体"/>
                <w:color w:val="auto"/>
                <w:spacing w:val="-6"/>
                <w:kern w:val="0"/>
                <w:szCs w:val="21"/>
                <w:highlight w:val="none"/>
              </w:rPr>
              <w:t>。履约完成，经采购人验收合格后，收到发票后7个工作日内，采购人向中标人支付合同总价的</w:t>
            </w:r>
            <w:r>
              <w:rPr>
                <w:rFonts w:ascii="宋体" w:hAnsi="宋体" w:eastAsia="宋体" w:cs="宋体"/>
                <w:color w:val="auto"/>
                <w:spacing w:val="-6"/>
                <w:kern w:val="0"/>
                <w:szCs w:val="21"/>
                <w:highlight w:val="none"/>
              </w:rPr>
              <w:t>2</w:t>
            </w:r>
            <w:r>
              <w:rPr>
                <w:rFonts w:hint="eastAsia" w:ascii="宋体" w:hAnsi="宋体" w:eastAsia="宋体" w:cs="宋体"/>
                <w:color w:val="auto"/>
                <w:spacing w:val="-6"/>
                <w:kern w:val="0"/>
                <w:szCs w:val="21"/>
                <w:highlight w:val="none"/>
              </w:rPr>
              <w:t>0%。</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在签订合同时，供应商明确表示无需预付款或者主动要求降低预付款比例的，可降低预付款比例（预付款保函同步调整）。</w:t>
            </w:r>
          </w:p>
        </w:tc>
      </w:tr>
      <w:bookmarkEnd w:id="36"/>
    </w:tbl>
    <w:p>
      <w:pPr>
        <w:adjustRightInd w:val="0"/>
        <w:snapToGrid w:val="0"/>
        <w:spacing w:line="288" w:lineRule="auto"/>
        <w:rPr>
          <w:rFonts w:ascii="宋体" w:hAnsi="宋体" w:eastAsia="宋体" w:cs="Times New Roman"/>
          <w:color w:val="auto"/>
          <w:spacing w:val="-4"/>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合同签订后</w:t>
            </w:r>
            <w:r>
              <w:rPr>
                <w:rFonts w:ascii="宋体" w:hAnsi="宋体" w:eastAsia="宋体" w:cs="宋体"/>
                <w:color w:val="auto"/>
                <w:szCs w:val="21"/>
                <w:highlight w:val="none"/>
              </w:rPr>
              <w:t>15</w:t>
            </w:r>
            <w:r>
              <w:rPr>
                <w:rFonts w:hint="eastAsia" w:ascii="宋体" w:hAnsi="宋体" w:eastAsia="宋体" w:cs="宋体"/>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原厂3年，项目验收合格后开始计算。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1</w:t>
            </w:r>
            <w:r>
              <w:rPr>
                <w:rFonts w:hint="eastAsia" w:ascii="宋体" w:hAnsi="宋体" w:eastAsia="宋体" w:cs="宋体"/>
                <w:color w:val="auto"/>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质保期内出现无法排除的故障，供应商需无条件更换同型号产品。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质保期满后，供应商继续为采购人服务，仅收取零配件成本费。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因人为因素出现的故障不在免费保修范围内。</w:t>
            </w:r>
          </w:p>
          <w:p>
            <w:pPr>
              <w:adjustRightInd w:val="0"/>
              <w:snapToGrid w:val="0"/>
              <w:spacing w:line="288" w:lineRule="auto"/>
              <w:rPr>
                <w:rFonts w:ascii="宋体" w:hAnsi="宋体" w:eastAsia="宋体" w:cs="宋体"/>
                <w:color w:val="auto"/>
                <w:szCs w:val="21"/>
                <w:highlight w:val="none"/>
                <w:u w:val="singl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如在使用过程中发生质量问题，供应商维修响应时间：1小时以内；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电话技术支持时间：2小时以内；</w:t>
            </w:r>
          </w:p>
          <w:p>
            <w:pPr>
              <w:adjustRightInd w:val="0"/>
              <w:snapToGrid w:val="0"/>
              <w:spacing w:line="288" w:lineRule="auto"/>
              <w:rPr>
                <w:rFonts w:ascii="宋体" w:hAnsi="宋体" w:eastAsia="宋体" w:cs="宋体"/>
                <w:color w:val="auto"/>
                <w:szCs w:val="21"/>
                <w:highlight w:val="none"/>
                <w:u w:val="single"/>
              </w:rPr>
            </w:pPr>
            <w:r>
              <w:rPr>
                <w:rFonts w:hint="eastAsia" w:ascii="宋体" w:hAnsi="宋体" w:eastAsia="宋体" w:cs="宋体"/>
                <w:color w:val="auto"/>
                <w:szCs w:val="21"/>
                <w:highlight w:val="none"/>
                <w:u w:val="single"/>
              </w:rPr>
              <w:t>若需上门维修，则在：8小时内到达现场并进行维修；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1.验收由采购人负责实施；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2.验收依据：</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2.1合同、招标文件、投标文件；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2.2供应商提供的技术规格、经采购人认可的合同货物的有效检验文件；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4.验收合格的条件：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4.1所供货物符合产品标准和合同的要求；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4.2在进行测试和验收过程中发现的问题已被解决并得到采购人的认可；</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4.3合同中规定的所有货物和材料均已交付；</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4.4所供货物已通过使用单位组织的验收；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ascii="宋体" w:hAnsi="宋体" w:eastAsia="宋体" w:cs="宋体"/>
                <w:color w:val="auto"/>
                <w:szCs w:val="21"/>
                <w:highlight w:val="none"/>
              </w:rPr>
              <w:t>.</w:t>
            </w:r>
            <w:r>
              <w:rPr>
                <w:rFonts w:hint="eastAsia" w:ascii="宋体" w:hAnsi="宋体" w:eastAsia="宋体" w:cs="宋体"/>
                <w:color w:val="auto"/>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2</w:t>
            </w:r>
            <w:r>
              <w:rPr>
                <w:rFonts w:hint="eastAsia" w:ascii="宋体" w:hAnsi="宋体" w:eastAsia="宋体" w:cs="宋体"/>
                <w:color w:val="auto"/>
                <w:szCs w:val="21"/>
                <w:highlight w:val="none"/>
              </w:rPr>
              <w:t>.技术支持：</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.安装调试：</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.1安装地点：采购人指定地点；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.5供应商免费提供合同货物的安装服务；</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3</w:t>
            </w:r>
            <w:r>
              <w:rPr>
                <w:rFonts w:hint="eastAsia" w:ascii="宋体" w:hAnsi="宋体" w:eastAsia="宋体" w:cs="宋体"/>
                <w:color w:val="auto"/>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4</w:t>
            </w:r>
            <w:r>
              <w:rPr>
                <w:rFonts w:hint="eastAsia" w:ascii="宋体" w:hAnsi="宋体" w:eastAsia="宋体" w:cs="宋体"/>
                <w:color w:val="auto"/>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color w:val="auto"/>
                <w:szCs w:val="21"/>
                <w:highlight w:val="none"/>
              </w:rPr>
            </w:pPr>
            <w:r>
              <w:rPr>
                <w:rFonts w:ascii="宋体" w:hAnsi="宋体" w:eastAsia="宋体" w:cs="宋体"/>
                <w:color w:val="auto"/>
                <w:szCs w:val="21"/>
                <w:highlight w:val="none"/>
              </w:rPr>
              <w:t>5</w:t>
            </w:r>
            <w:r>
              <w:rPr>
                <w:rFonts w:hint="eastAsia" w:ascii="宋体" w:hAnsi="宋体" w:eastAsia="宋体" w:cs="宋体"/>
                <w:color w:val="auto"/>
                <w:szCs w:val="21"/>
                <w:highlight w:val="none"/>
              </w:rPr>
              <w:t>.供货时提供有关的全套技术文件。</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w:t>
            </w:r>
            <w:r>
              <w:rPr>
                <w:rFonts w:ascii="宋体" w:hAnsi="宋体" w:eastAsia="宋体" w:cs="宋体"/>
                <w:color w:val="auto"/>
                <w:szCs w:val="21"/>
                <w:highlight w:val="none"/>
              </w:rPr>
              <w:t>.</w:t>
            </w:r>
            <w:r>
              <w:rPr>
                <w:rFonts w:hint="eastAsia" w:ascii="宋体" w:hAnsi="宋体" w:eastAsia="宋体" w:cs="Times New Roman"/>
                <w:color w:val="auto"/>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供应商应对采购人的操作人员、维修人员免费进行培训；</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供应商应提供相应的培训计划；</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color w:val="auto"/>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1"/>
        <w:rPr>
          <w:rFonts w:ascii="宋体" w:hAnsi="宋体" w:eastAsia="宋体" w:cs="Times New Roman"/>
          <w:color w:val="auto"/>
          <w:szCs w:val="21"/>
          <w:highlight w:val="none"/>
        </w:rPr>
      </w:pPr>
      <w:r>
        <w:rPr>
          <w:rFonts w:hint="eastAsia" w:ascii="宋体" w:hAnsi="宋体" w:eastAsia="宋体" w:cs="Times New Roman"/>
          <w:b/>
          <w:color w:val="auto"/>
          <w:szCs w:val="21"/>
          <w:highlight w:val="none"/>
        </w:rPr>
        <w:t>四、技术要求</w:t>
      </w:r>
      <w:bookmarkStart w:id="37" w:name="_Hlk45005556"/>
    </w:p>
    <w:bookmarkEnd w:id="37"/>
    <w:p>
      <w:pPr>
        <w:adjustRightInd w:val="0"/>
        <w:snapToGrid w:val="0"/>
        <w:spacing w:line="288" w:lineRule="auto"/>
        <w:rPr>
          <w:rFonts w:ascii="宋体" w:hAnsi="宋体" w:eastAsia="宋体" w:cs="宋体"/>
          <w:b/>
          <w:bCs/>
          <w:color w:val="auto"/>
          <w:szCs w:val="21"/>
          <w:highlight w:val="none"/>
        </w:rPr>
      </w:pPr>
      <w:bookmarkStart w:id="38" w:name="_Hlk92271413"/>
      <w:r>
        <w:rPr>
          <w:rFonts w:hint="eastAsia" w:ascii="宋体" w:hAnsi="宋体" w:eastAsia="宋体" w:cs="宋体"/>
          <w:b/>
          <w:bCs/>
          <w:color w:val="auto"/>
          <w:szCs w:val="21"/>
          <w:highlight w:val="none"/>
        </w:rPr>
        <w:t>1</w:t>
      </w:r>
      <w:r>
        <w:rPr>
          <w:rFonts w:ascii="宋体" w:hAnsi="宋体" w:eastAsia="宋体" w:cs="宋体"/>
          <w:b/>
          <w:bCs/>
          <w:color w:val="auto"/>
          <w:szCs w:val="21"/>
          <w:highlight w:val="none"/>
        </w:rPr>
        <w:t>.</w:t>
      </w:r>
      <w:r>
        <w:rPr>
          <w:rFonts w:hint="eastAsia" w:ascii="宋体" w:hAnsi="宋体" w:eastAsia="宋体" w:cs="宋体"/>
          <w:b/>
          <w:bCs/>
          <w:color w:val="auto"/>
          <w:szCs w:val="21"/>
          <w:highlight w:val="none"/>
        </w:rPr>
        <w:t>需执行的国家相关标准、行业标准、地方标准或者其他标准、规范：</w:t>
      </w:r>
      <w:bookmarkStart w:id="39" w:name="_Hlk94018176"/>
      <w:r>
        <w:rPr>
          <w:rFonts w:hint="eastAsia" w:ascii="宋体" w:hAnsi="宋体" w:eastAsia="宋体" w:cs="宋体"/>
          <w:color w:val="auto"/>
          <w:szCs w:val="21"/>
          <w:highlight w:val="none"/>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ascii="宋体" w:hAnsi="宋体" w:eastAsia="宋体" w:cs="宋体"/>
          <w:b/>
          <w:bCs/>
          <w:color w:val="auto"/>
          <w:szCs w:val="21"/>
          <w:highlight w:val="none"/>
        </w:rPr>
      </w:pPr>
      <w:r>
        <w:rPr>
          <w:rFonts w:ascii="宋体" w:hAnsi="宋体" w:eastAsia="宋体" w:cs="宋体"/>
          <w:b/>
          <w:bCs/>
          <w:color w:val="auto"/>
          <w:szCs w:val="21"/>
          <w:highlight w:val="none"/>
        </w:rPr>
        <w:t>2</w:t>
      </w:r>
      <w:r>
        <w:rPr>
          <w:rFonts w:hint="eastAsia" w:ascii="宋体" w:hAnsi="宋体" w:eastAsia="宋体" w:cs="宋体"/>
          <w:b/>
          <w:bCs/>
          <w:color w:val="auto"/>
          <w:szCs w:val="21"/>
          <w:highlight w:val="none"/>
        </w:rPr>
        <w:t>.需实现的功能或者目标：</w:t>
      </w:r>
      <w:r>
        <w:rPr>
          <w:rFonts w:hint="eastAsia" w:ascii="宋体" w:hAnsi="宋体" w:eastAsia="宋体" w:cs="宋体"/>
          <w:color w:val="auto"/>
          <w:szCs w:val="21"/>
          <w:highlight w:val="none"/>
        </w:rPr>
        <w:t>达到</w:t>
      </w:r>
      <w:r>
        <w:rPr>
          <w:rFonts w:hint="eastAsia" w:ascii="宋体" w:hAnsi="宋体" w:eastAsia="宋体" w:cs="宋体"/>
          <w:bCs/>
          <w:color w:val="auto"/>
          <w:szCs w:val="21"/>
          <w:highlight w:val="none"/>
        </w:rPr>
        <w:t>良渚校区1期2标段物联网门禁人员出入智能管控使用</w:t>
      </w:r>
    </w:p>
    <w:p>
      <w:pPr>
        <w:adjustRightInd w:val="0"/>
        <w:snapToGrid w:val="0"/>
        <w:spacing w:line="288" w:lineRule="auto"/>
        <w:rPr>
          <w:rFonts w:ascii="宋体" w:hAnsi="宋体" w:eastAsia="宋体" w:cs="Times New Roman"/>
          <w:b/>
          <w:bCs/>
          <w:color w:val="auto"/>
          <w:spacing w:val="-4"/>
          <w:szCs w:val="21"/>
          <w:highlight w:val="none"/>
        </w:rPr>
      </w:pPr>
      <w:r>
        <w:rPr>
          <w:rFonts w:ascii="宋体" w:hAnsi="宋体" w:eastAsia="宋体" w:cs="Times New Roman"/>
          <w:b/>
          <w:bCs/>
          <w:color w:val="auto"/>
          <w:spacing w:val="-4"/>
          <w:szCs w:val="21"/>
          <w:highlight w:val="none"/>
        </w:rPr>
        <w:t>3.</w:t>
      </w:r>
      <w:r>
        <w:rPr>
          <w:rFonts w:hint="eastAsia" w:ascii="宋体" w:hAnsi="宋体" w:eastAsia="宋体" w:cs="Times New Roman"/>
          <w:b/>
          <w:bCs/>
          <w:color w:val="auto"/>
          <w:spacing w:val="-4"/>
          <w:szCs w:val="21"/>
          <w:highlight w:val="none"/>
        </w:rPr>
        <w:t>需满足的质量、安全、技术规格、物理特性等要求：</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（一）设备清单</w:t>
      </w:r>
    </w:p>
    <w:tbl>
      <w:tblPr>
        <w:tblStyle w:val="25"/>
        <w:tblW w:w="4993" w:type="pct"/>
        <w:tblInd w:w="0" w:type="dxa"/>
        <w:tblLayout w:type="autofit"/>
        <w:tblCellMar>
          <w:top w:w="0" w:type="dxa"/>
          <w:left w:w="108" w:type="dxa"/>
          <w:bottom w:w="0" w:type="dxa"/>
          <w:right w:w="108" w:type="dxa"/>
        </w:tblCellMar>
      </w:tblPr>
      <w:tblGrid>
        <w:gridCol w:w="772"/>
        <w:gridCol w:w="2469"/>
        <w:gridCol w:w="4952"/>
        <w:gridCol w:w="787"/>
        <w:gridCol w:w="635"/>
      </w:tblGrid>
      <w:tr>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序号</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设备名称</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描述</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数量</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单位</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出入管理机</w:t>
            </w:r>
          </w:p>
          <w:p>
            <w:pPr>
              <w:widowControl/>
              <w:jc w:val="center"/>
              <w:textAlignment w:val="center"/>
              <w:rPr>
                <w:rFonts w:ascii="宋体" w:hAnsi="宋体" w:eastAsia="宋体" w:cs="宋体"/>
                <w:bCs/>
                <w:color w:val="auto"/>
                <w:szCs w:val="21"/>
                <w:highlight w:val="none"/>
              </w:rPr>
            </w:pPr>
            <w:r>
              <w:rPr>
                <w:rFonts w:hint="eastAsia" w:ascii="宋体" w:hAnsi="宋体" w:eastAsia="宋体" w:cs="宋体"/>
                <w:b/>
                <w:color w:val="auto"/>
                <w:kern w:val="0"/>
                <w:szCs w:val="21"/>
                <w:highlight w:val="none"/>
                <w:lang w:bidi="ar"/>
              </w:rPr>
              <w:t>（核心产品）</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壁挂式网络二维码智能出入管理机，扫码刷卡器，健康码模块，智能锁模块，POE供电，原厂3年质保；详见技术指标表。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5</w:t>
            </w:r>
            <w:r>
              <w:rPr>
                <w:rFonts w:ascii="宋体" w:hAnsi="宋体" w:eastAsia="宋体" w:cs="宋体"/>
                <w:bCs/>
                <w:color w:val="auto"/>
                <w:kern w:val="0"/>
                <w:szCs w:val="21"/>
                <w:highlight w:val="none"/>
                <w:lang w:bidi="ar"/>
              </w:rPr>
              <w:t>5</w:t>
            </w:r>
            <w:r>
              <w:rPr>
                <w:rFonts w:hint="eastAsia" w:ascii="宋体" w:hAnsi="宋体" w:eastAsia="宋体" w:cs="宋体"/>
                <w:bCs/>
                <w:color w:val="auto"/>
                <w:kern w:val="0"/>
                <w:szCs w:val="21"/>
                <w:highlight w:val="none"/>
                <w:lang w:bidi="ar"/>
              </w:rPr>
              <w:t>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出入多功能服务模块</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门磁状态检测，含门磁模块，能实时上报门磁状态；通过DHCP OPTION获取服务器地址，自动注册，设备无需配置。原厂3年质保；详见技术指标表。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5</w:t>
            </w:r>
            <w:r>
              <w:rPr>
                <w:rFonts w:ascii="宋体" w:hAnsi="宋体" w:eastAsia="宋体" w:cs="宋体"/>
                <w:bCs/>
                <w:color w:val="auto"/>
                <w:kern w:val="0"/>
                <w:szCs w:val="21"/>
                <w:highlight w:val="none"/>
                <w:lang w:bidi="ar"/>
              </w:rPr>
              <w:t>50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个</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3</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实木门锁终端</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智能门锁，支持密码开门，出入管理机开门，带OLED显示屏，联网版，24*240锁体，C级锁芯，4节干电池供电，原厂3年质保。按实计算；详见技术指标表。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个</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4</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断桥铝锁终端</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适配校内所有铝合金门，使用碱性干电池，不得使用锂电池供电，含所有安装配件，质保三年；按实计算；详见技术指标表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150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套</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5</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玻璃门锁终端</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适配与校内各类玻璃门，使用碱性干电池，不得使用锂电池供电；含有框无框款式，含所有安装配件；三年质保，按实计算；详见技术指标表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80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套</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6</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智能网关</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门锁网关，采集智能锁日志，电量，可同时管理10把智能锁，原厂3年质保；详见技术指标表。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200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24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7</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磁力锁</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280KG带反馈磁力锁，包含单门和双门；三年质保；按实计算；详见技术指标表。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w:t>
            </w:r>
            <w:r>
              <w:rPr>
                <w:rFonts w:ascii="宋体" w:hAnsi="宋体" w:eastAsia="宋体" w:cs="宋体"/>
                <w:bCs/>
                <w:color w:val="auto"/>
                <w:kern w:val="0"/>
                <w:szCs w:val="21"/>
                <w:highlight w:val="none"/>
                <w:lang w:bidi="ar"/>
              </w:rPr>
              <w:t>7</w:t>
            </w:r>
            <w:r>
              <w:rPr>
                <w:rFonts w:hint="eastAsia" w:ascii="宋体" w:hAnsi="宋体" w:eastAsia="宋体" w:cs="宋体"/>
                <w:bCs/>
                <w:color w:val="auto"/>
                <w:kern w:val="0"/>
                <w:szCs w:val="21"/>
                <w:highlight w:val="none"/>
                <w:lang w:bidi="ar"/>
              </w:rPr>
              <w:t>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个</w:t>
            </w:r>
          </w:p>
        </w:tc>
      </w:tr>
      <w:tr>
        <w:tblPrEx>
          <w:tblCellMar>
            <w:top w:w="0" w:type="dxa"/>
            <w:left w:w="108" w:type="dxa"/>
            <w:bottom w:w="0" w:type="dxa"/>
            <w:right w:w="108" w:type="dxa"/>
          </w:tblCellMar>
        </w:tblPrEx>
        <w:trPr>
          <w:trHeight w:val="24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8</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门禁电源</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12V门禁专业电源；三年质保；按实计算；详见技术指标表。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250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个</w:t>
            </w:r>
          </w:p>
        </w:tc>
      </w:tr>
      <w:tr>
        <w:tblPrEx>
          <w:tblCellMar>
            <w:top w:w="0" w:type="dxa"/>
            <w:left w:w="108" w:type="dxa"/>
            <w:bottom w:w="0" w:type="dxa"/>
            <w:right w:w="108" w:type="dxa"/>
          </w:tblCellMar>
        </w:tblPrEx>
        <w:trPr>
          <w:trHeight w:val="447"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9</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配电箱</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宽400*高500*深200；镀锌冷轧钢，厚度≥1.0；质保三年。</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30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个</w:t>
            </w:r>
          </w:p>
        </w:tc>
      </w:tr>
      <w:tr>
        <w:tblPrEx>
          <w:tblCellMar>
            <w:top w:w="0" w:type="dxa"/>
            <w:left w:w="108" w:type="dxa"/>
            <w:bottom w:w="0" w:type="dxa"/>
            <w:right w:w="108" w:type="dxa"/>
          </w:tblCellMar>
        </w:tblPrEx>
        <w:trPr>
          <w:trHeight w:val="72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48口POE交换机</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≥48个 10/100/1000Base-T电口（支持802.3af/802.3at供电标准），其中包含4个combo口, ≥4个万兆SFP+光口，双电源插槽。含实际需要的所有光模块和跳线。三年原厂质保；详见技术指标表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ascii="宋体" w:hAnsi="宋体" w:eastAsia="宋体" w:cs="宋体"/>
                <w:bCs/>
                <w:color w:val="auto"/>
                <w:kern w:val="0"/>
                <w:szCs w:val="21"/>
                <w:highlight w:val="none"/>
                <w:lang w:bidi="ar"/>
              </w:rPr>
              <w:t>3</w:t>
            </w:r>
            <w:r>
              <w:rPr>
                <w:rFonts w:hint="eastAsia" w:ascii="宋体" w:hAnsi="宋体" w:eastAsia="宋体" w:cs="宋体"/>
                <w:bCs/>
                <w:color w:val="auto"/>
                <w:kern w:val="0"/>
                <w:szCs w:val="21"/>
                <w:highlight w:val="none"/>
                <w:lang w:bidi="ar"/>
              </w:rPr>
              <w:t>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72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11</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24口POE交换</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POE交换机，≥24个10/100/1000M电口（支持IEEE802.3af/IEEE802.3at供电标准），4个COMBO口，交流220V供电。实际需要的所有光模块和跳线。三年原厂质保；详见技术指标表</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4</w:t>
            </w:r>
            <w:r>
              <w:rPr>
                <w:rFonts w:ascii="宋体" w:hAnsi="宋体" w:eastAsia="宋体" w:cs="宋体"/>
                <w:bCs/>
                <w:color w:val="auto"/>
                <w:kern w:val="0"/>
                <w:szCs w:val="21"/>
                <w:highlight w:val="none"/>
                <w:lang w:bidi="ar"/>
              </w:rPr>
              <w:t>5</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12</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单机芯速通</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长1500*宽150*高980（MM）【含标准电控】标准电控+户外专业红外(材质：优质不锈钢)伺服控制无刷电机；含安装所有辅材；三年质保</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16</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13</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双机芯速通</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长1500*宽150*高980（MM）【含标准电控】标准电控+户外专业红外(材质：优质不锈钢)伺服控制无刷电机；含安装所有辅材；三年质保</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985"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14</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人脸识别一体机</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采用7英寸IPS触摸屏，超大屏幕占率，比例9：16，分辨率600*1024，实时显示人脸检测框；采用深度学习算法，支持离线比对，人脸比对时间＜0.2s/人，人脸比对准确率≥99%；设备本地人脸库存储容量50000张；内置读卡模块，采用屏下刷卡设计，设备屏幕占比更高、更美观，刷卡区域为屏幕下方；设备支持多种认证方式：刷卡、人脸、刷卡或人脸、刷卡+人脸；支持待机画面图片轮播功能，图片切换时间可配置；集成文字转语音和语音合成技术，认证成功和认证失败的语音可以分别配置；支持设备本地及Web端管理，可进行人员管理、参数配置、事件查询、系统维护等操作；</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lang w:eastAsia="zh-Hans"/>
              </w:rPr>
            </w:pPr>
            <w:r>
              <w:rPr>
                <w:rFonts w:ascii="宋体" w:hAnsi="宋体" w:eastAsia="宋体" w:cs="宋体"/>
                <w:bCs/>
                <w:color w:val="auto"/>
                <w:szCs w:val="21"/>
                <w:highlight w:val="none"/>
                <w:lang w:eastAsia="zh-Hans"/>
              </w:rPr>
              <w:t>5</w:t>
            </w:r>
            <w:r>
              <w:rPr>
                <w:rFonts w:hint="eastAsia" w:ascii="宋体" w:hAnsi="宋体" w:eastAsia="宋体" w:cs="宋体"/>
                <w:bCs/>
                <w:color w:val="auto"/>
                <w:szCs w:val="21"/>
                <w:highlight w:val="none"/>
                <w:lang w:eastAsia="zh-Hans"/>
              </w:rPr>
              <w:t>2</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48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15</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嵌入式二维码智能出入管理机</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嵌入式网络二维码智能出入管理机，扫码刷卡器，健康码模块，智能锁模块，原厂3年质保</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32</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24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16</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16口千兆交换机</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16口千兆交换机，三年质保</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8</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台</w:t>
            </w:r>
          </w:p>
        </w:tc>
      </w:tr>
      <w:tr>
        <w:tblPrEx>
          <w:tblCellMar>
            <w:top w:w="0" w:type="dxa"/>
            <w:left w:w="108" w:type="dxa"/>
            <w:bottom w:w="0" w:type="dxa"/>
            <w:right w:w="108" w:type="dxa"/>
          </w:tblCellMar>
        </w:tblPrEx>
        <w:trPr>
          <w:trHeight w:val="24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17</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一键全开</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通道门禁和人行通道一键全开，三年质保；</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6</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项</w:t>
            </w:r>
          </w:p>
        </w:tc>
      </w:tr>
      <w:tr>
        <w:tblPrEx>
          <w:tblCellMar>
            <w:top w:w="0" w:type="dxa"/>
            <w:left w:w="108" w:type="dxa"/>
            <w:bottom w:w="0" w:type="dxa"/>
            <w:right w:w="108" w:type="dxa"/>
          </w:tblCellMar>
        </w:tblPrEx>
        <w:trPr>
          <w:trHeight w:val="24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18</w:t>
            </w:r>
          </w:p>
        </w:tc>
        <w:tc>
          <w:tcPr>
            <w:tcW w:w="128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安装 配套</w:t>
            </w:r>
          </w:p>
        </w:tc>
        <w:tc>
          <w:tcPr>
            <w:tcW w:w="257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道闸布线，含六类网线、电源线，安装辅材及人工</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36</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项</w:t>
            </w:r>
          </w:p>
        </w:tc>
      </w:tr>
      <w:tr>
        <w:tblPrEx>
          <w:tblCellMar>
            <w:top w:w="0" w:type="dxa"/>
            <w:left w:w="108" w:type="dxa"/>
            <w:bottom w:w="0" w:type="dxa"/>
            <w:right w:w="108" w:type="dxa"/>
          </w:tblCellMar>
        </w:tblPrEx>
        <w:trPr>
          <w:trHeight w:val="24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19</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智能出入平台许可</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智能出入管理平台新增终端许可；三年内免费升级。</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5</w:t>
            </w:r>
            <w:r>
              <w:rPr>
                <w:rFonts w:ascii="宋体" w:hAnsi="宋体" w:eastAsia="宋体" w:cs="宋体"/>
                <w:bCs/>
                <w:color w:val="auto"/>
                <w:kern w:val="0"/>
                <w:szCs w:val="21"/>
                <w:highlight w:val="none"/>
                <w:lang w:bidi="ar"/>
              </w:rPr>
              <w:t>5</w:t>
            </w:r>
            <w:r>
              <w:rPr>
                <w:rFonts w:hint="eastAsia" w:ascii="宋体" w:hAnsi="宋体" w:eastAsia="宋体" w:cs="宋体"/>
                <w:bCs/>
                <w:color w:val="auto"/>
                <w:kern w:val="0"/>
                <w:szCs w:val="21"/>
                <w:highlight w:val="none"/>
                <w:lang w:bidi="ar"/>
              </w:rPr>
              <w:t>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个</w:t>
            </w:r>
          </w:p>
        </w:tc>
      </w:tr>
      <w:tr>
        <w:tblPrEx>
          <w:tblCellMar>
            <w:top w:w="0" w:type="dxa"/>
            <w:left w:w="108" w:type="dxa"/>
            <w:bottom w:w="0" w:type="dxa"/>
            <w:right w:w="108" w:type="dxa"/>
          </w:tblCellMar>
        </w:tblPrEx>
        <w:trPr>
          <w:trHeight w:val="90"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20</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APP手机端管理程序</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手机移动管理小程序开发，带离线码功能；含门禁管理、个人权限管理、人脸管理、会议</w:t>
            </w:r>
            <w:r>
              <w:rPr>
                <w:rFonts w:hint="eastAsia" w:ascii="宋体" w:hAnsi="宋体" w:eastAsia="宋体" w:cs="宋体"/>
                <w:bCs/>
                <w:color w:val="auto"/>
                <w:kern w:val="0"/>
                <w:sz w:val="21"/>
                <w:szCs w:val="21"/>
                <w:highlight w:val="none"/>
                <w:lang w:bidi="ar"/>
              </w:rPr>
              <w:t>预约模块。</w:t>
            </w:r>
            <w:r>
              <w:rPr>
                <w:rFonts w:hint="eastAsia" w:ascii="宋体" w:hAnsi="宋体" w:eastAsia="宋体" w:cs="宋体"/>
                <w:color w:val="auto"/>
                <w:kern w:val="0"/>
                <w:sz w:val="21"/>
                <w:szCs w:val="21"/>
                <w:highlight w:val="none"/>
                <w:lang w:bidi="ar"/>
              </w:rPr>
              <w:t>原厂三年维护服务</w:t>
            </w:r>
            <w:r>
              <w:rPr>
                <w:rFonts w:hint="eastAsia" w:ascii="宋体" w:hAnsi="宋体" w:eastAsia="宋体" w:cs="宋体"/>
                <w:bCs/>
                <w:color w:val="auto"/>
                <w:kern w:val="0"/>
                <w:sz w:val="21"/>
                <w:szCs w:val="21"/>
                <w:highlight w:val="none"/>
                <w:lang w:bidi="ar"/>
              </w:rPr>
              <w:t>详见技术指标。</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套</w:t>
            </w:r>
          </w:p>
        </w:tc>
      </w:tr>
      <w:tr>
        <w:tblPrEx>
          <w:tblCellMar>
            <w:top w:w="0" w:type="dxa"/>
            <w:left w:w="108" w:type="dxa"/>
            <w:bottom w:w="0" w:type="dxa"/>
            <w:right w:w="108" w:type="dxa"/>
          </w:tblCellMar>
        </w:tblPrEx>
        <w:trPr>
          <w:trHeight w:val="547"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w:t>
            </w:r>
            <w:r>
              <w:rPr>
                <w:rFonts w:ascii="宋体" w:hAnsi="宋体" w:eastAsia="宋体" w:cs="宋体"/>
                <w:bCs/>
                <w:color w:val="auto"/>
                <w:kern w:val="0"/>
                <w:szCs w:val="21"/>
                <w:highlight w:val="none"/>
                <w:lang w:bidi="ar"/>
              </w:rPr>
              <w:t>1</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物联网管理平台升级</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分布式热点管理部署，三年原厂服务；详见技术指标。</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套</w:t>
            </w:r>
          </w:p>
        </w:tc>
      </w:tr>
      <w:tr>
        <w:tblPrEx>
          <w:tblCellMar>
            <w:top w:w="0" w:type="dxa"/>
            <w:left w:w="108" w:type="dxa"/>
            <w:bottom w:w="0" w:type="dxa"/>
            <w:right w:w="108" w:type="dxa"/>
          </w:tblCellMar>
        </w:tblPrEx>
        <w:trPr>
          <w:trHeight w:val="547" w:hRule="atLeast"/>
        </w:trPr>
        <w:tc>
          <w:tcPr>
            <w:tcW w:w="40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auto"/>
                <w:kern w:val="0"/>
                <w:szCs w:val="21"/>
                <w:highlight w:val="none"/>
                <w:lang w:bidi="ar"/>
              </w:rPr>
            </w:pPr>
            <w:r>
              <w:rPr>
                <w:rFonts w:ascii="宋体" w:hAnsi="宋体" w:eastAsia="宋体" w:cs="宋体"/>
                <w:bCs/>
                <w:color w:val="auto"/>
                <w:kern w:val="0"/>
                <w:szCs w:val="21"/>
                <w:highlight w:val="none"/>
                <w:lang w:bidi="ar"/>
              </w:rPr>
              <w:t>22</w:t>
            </w:r>
          </w:p>
        </w:tc>
        <w:tc>
          <w:tcPr>
            <w:tcW w:w="128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门磁</w:t>
            </w:r>
          </w:p>
        </w:tc>
        <w:tc>
          <w:tcPr>
            <w:tcW w:w="2575" w:type="pc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Cs/>
                <w:color w:val="auto"/>
                <w:kern w:val="0"/>
                <w:szCs w:val="21"/>
                <w:highlight w:val="none"/>
                <w:lang w:bidi="ar"/>
              </w:rPr>
            </w:pPr>
            <w:r>
              <w:rPr>
                <w:rFonts w:hint="eastAsia" w:ascii="宋体" w:hAnsi="宋体" w:eastAsia="宋体" w:cs="宋体"/>
                <w:color w:val="auto"/>
                <w:kern w:val="0"/>
                <w:szCs w:val="21"/>
                <w:highlight w:val="none"/>
                <w:lang w:bidi="ar"/>
              </w:rPr>
              <w:t>有线门磁开关，铝合金材质，全密封防水，检测门的状态，实时发送门的闭合状态；适用木门，窗户，卷闸门等；隐蔽安装，含配套及安装。</w:t>
            </w:r>
          </w:p>
        </w:tc>
        <w:tc>
          <w:tcPr>
            <w:tcW w:w="409"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1</w:t>
            </w:r>
            <w:r>
              <w:rPr>
                <w:rFonts w:ascii="宋体" w:hAnsi="宋体" w:eastAsia="宋体" w:cs="宋体"/>
                <w:bCs/>
                <w:color w:val="auto"/>
                <w:kern w:val="0"/>
                <w:szCs w:val="21"/>
                <w:highlight w:val="none"/>
                <w:lang w:bidi="ar"/>
              </w:rPr>
              <w:t>00</w:t>
            </w:r>
          </w:p>
        </w:tc>
        <w:tc>
          <w:tcPr>
            <w:tcW w:w="330"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个</w:t>
            </w:r>
          </w:p>
        </w:tc>
      </w:tr>
    </w:tbl>
    <w:p>
      <w:pPr>
        <w:rPr>
          <w:rFonts w:ascii="Hiragino Sans GB W3" w:hAnsi="Hiragino Sans GB W3" w:eastAsia="Hiragino Sans GB W3" w:cs="Hiragino Sans GB W3"/>
          <w:bCs/>
          <w:color w:val="auto"/>
          <w:szCs w:val="21"/>
          <w:highlight w:val="none"/>
        </w:rPr>
      </w:pPr>
    </w:p>
    <w:p>
      <w:pPr>
        <w:numPr>
          <w:ilvl w:val="0"/>
          <w:numId w:val="2"/>
        </w:num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具体技术指标</w:t>
      </w: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2.1二维码智能出入管理机技术指标</w:t>
      </w:r>
    </w:p>
    <w:tbl>
      <w:tblPr>
        <w:tblStyle w:val="25"/>
        <w:tblpPr w:leftFromText="180" w:rightFromText="180" w:vertAnchor="text" w:horzAnchor="page" w:tblpX="1241" w:tblpY="324"/>
        <w:tblOverlap w:val="never"/>
        <w:tblW w:w="5000" w:type="pct"/>
        <w:tblInd w:w="0" w:type="dxa"/>
        <w:tblLayout w:type="fixed"/>
        <w:tblCellMar>
          <w:top w:w="0" w:type="dxa"/>
          <w:left w:w="108" w:type="dxa"/>
          <w:bottom w:w="0" w:type="dxa"/>
          <w:right w:w="108" w:type="dxa"/>
        </w:tblCellMar>
      </w:tblPr>
      <w:tblGrid>
        <w:gridCol w:w="1986"/>
        <w:gridCol w:w="7642"/>
      </w:tblGrid>
      <w:tr>
        <w:tblPrEx>
          <w:tblCellMar>
            <w:top w:w="0" w:type="dxa"/>
            <w:left w:w="108" w:type="dxa"/>
            <w:bottom w:w="0" w:type="dxa"/>
            <w:right w:w="108" w:type="dxa"/>
          </w:tblCellMar>
        </w:tblPrEx>
        <w:trPr>
          <w:trHeight w:val="36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指标项</w:t>
            </w:r>
          </w:p>
        </w:tc>
        <w:tc>
          <w:tcPr>
            <w:tcW w:w="396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产品形态</w:t>
            </w:r>
          </w:p>
        </w:tc>
        <w:tc>
          <w:tcPr>
            <w:tcW w:w="396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二维码刷卡管理机，壁挂安装，</w:t>
            </w:r>
            <w:r>
              <w:rPr>
                <w:rFonts w:hint="eastAsia" w:ascii="宋体" w:hAnsi="宋体" w:eastAsia="宋体" w:cs="宋体"/>
                <w:b/>
                <w:bCs w:val="0"/>
                <w:color w:val="auto"/>
                <w:kern w:val="0"/>
                <w:szCs w:val="21"/>
                <w:highlight w:val="none"/>
                <w:lang w:bidi="ar"/>
              </w:rPr>
              <w:t>提供实物图片</w:t>
            </w:r>
            <w:r>
              <w:rPr>
                <w:rFonts w:hint="eastAsia" w:ascii="宋体" w:hAnsi="宋体" w:eastAsia="宋体" w:cs="宋体"/>
                <w:bCs/>
                <w:color w:val="auto"/>
                <w:kern w:val="0"/>
                <w:szCs w:val="21"/>
                <w:highlight w:val="none"/>
                <w:lang w:bidi="ar"/>
              </w:rPr>
              <w:t>；</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兼容性</w:t>
            </w:r>
          </w:p>
        </w:tc>
        <w:tc>
          <w:tcPr>
            <w:tcW w:w="396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校园一卡通同步</w:t>
            </w:r>
          </w:p>
        </w:tc>
        <w:tc>
          <w:tcPr>
            <w:tcW w:w="396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同步校园一卡通平台，使用校园卡刷卡开门。</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开门方式</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▲支持校园通行码刷码开门、刷卡开门、远程开门、临时密码开门</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零配置</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可自动继承服务模块配置，无需额外配置。</w:t>
            </w:r>
          </w:p>
        </w:tc>
      </w:tr>
      <w:tr>
        <w:tblPrEx>
          <w:tblCellMar>
            <w:top w:w="0" w:type="dxa"/>
            <w:left w:w="108" w:type="dxa"/>
            <w:bottom w:w="0" w:type="dxa"/>
            <w:right w:w="108" w:type="dxa"/>
          </w:tblCellMar>
        </w:tblPrEx>
        <w:trPr>
          <w:trHeight w:val="9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状态指示灯</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状态灯显示颜色不少于7种，每种颜色代表一种状态，用于故障排查。</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认证状态显示</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蜂鸣提示；认证失败（红色常亮），认证成功（绿色进度条模式）</w:t>
            </w:r>
          </w:p>
        </w:tc>
      </w:tr>
      <w:tr>
        <w:tblPrEx>
          <w:tblCellMar>
            <w:top w:w="0" w:type="dxa"/>
            <w:left w:w="108" w:type="dxa"/>
            <w:bottom w:w="0" w:type="dxa"/>
            <w:right w:w="108" w:type="dxa"/>
          </w:tblCellMar>
        </w:tblPrEx>
        <w:trPr>
          <w:trHeight w:val="37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在线、离线二维码</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支持手机移动端钉钉或企业微信智能出入管理小程序,实现二维码识别开门。该码能同时实现在线离线功能，通过在线扫描、离线扫描均能识别打开（</w:t>
            </w:r>
            <w:r>
              <w:rPr>
                <w:rFonts w:ascii="宋体" w:hAnsi="宋体" w:eastAsia="宋体" w:cs="宋体"/>
                <w:bCs/>
                <w:color w:val="auto"/>
                <w:kern w:val="0"/>
                <w:szCs w:val="21"/>
                <w:highlight w:val="none"/>
                <w:lang w:bidi="ar"/>
              </w:rPr>
              <w:t>木门智能锁，断桥铝智能锁，无框玻璃智能锁，磁力锁（锁型号必须与所投产品匹配</w:t>
            </w:r>
            <w:r>
              <w:rPr>
                <w:rFonts w:hint="eastAsia" w:ascii="宋体" w:hAnsi="宋体" w:eastAsia="宋体" w:cs="宋体"/>
                <w:bCs/>
                <w:color w:val="auto"/>
                <w:kern w:val="0"/>
                <w:szCs w:val="21"/>
                <w:highlight w:val="none"/>
                <w:lang w:bidi="ar"/>
              </w:rPr>
              <w:t>）</w:t>
            </w:r>
            <w:r>
              <w:rPr>
                <w:rFonts w:ascii="宋体" w:hAnsi="宋体" w:eastAsia="宋体" w:cs="宋体"/>
                <w:bCs/>
                <w:color w:val="auto"/>
                <w:szCs w:val="21"/>
                <w:highlight w:val="none"/>
              </w:rPr>
              <w:t xml:space="preserve"> </w:t>
            </w:r>
          </w:p>
        </w:tc>
      </w:tr>
      <w:tr>
        <w:tblPrEx>
          <w:tblCellMar>
            <w:top w:w="0" w:type="dxa"/>
            <w:left w:w="108" w:type="dxa"/>
            <w:bottom w:w="0" w:type="dxa"/>
            <w:right w:w="108" w:type="dxa"/>
          </w:tblCellMar>
        </w:tblPrEx>
        <w:trPr>
          <w:trHeight w:val="37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访客开门方式</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支持访客采用刷手机二维码验证开门</w:t>
            </w:r>
          </w:p>
        </w:tc>
      </w:tr>
      <w:tr>
        <w:tblPrEx>
          <w:tblCellMar>
            <w:top w:w="0" w:type="dxa"/>
            <w:left w:w="108" w:type="dxa"/>
            <w:bottom w:w="0" w:type="dxa"/>
            <w:right w:w="108" w:type="dxa"/>
          </w:tblCellMar>
        </w:tblPrEx>
        <w:trPr>
          <w:trHeight w:val="37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物理尺寸</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▲长宽厚须均小于：142mm*82mm*19mm</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材质</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PC+ABS+钢化玻璃；</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无线通讯</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支持WIFI无线网络，内置WIFI联网模块</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蓝牙</w:t>
            </w:r>
          </w:p>
        </w:tc>
        <w:tc>
          <w:tcPr>
            <w:tcW w:w="396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支持蓝牙通讯</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固件升级</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支持服务器远程升级。</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通讯方式</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TCP/IP；</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二维码图像传感器</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640*480 CMOS</w:t>
            </w:r>
          </w:p>
        </w:tc>
      </w:tr>
      <w:tr>
        <w:tblPrEx>
          <w:tblCellMar>
            <w:top w:w="0" w:type="dxa"/>
            <w:left w:w="108" w:type="dxa"/>
            <w:bottom w:w="0" w:type="dxa"/>
            <w:right w:w="108" w:type="dxa"/>
          </w:tblCellMar>
        </w:tblPrEx>
        <w:trPr>
          <w:trHeight w:val="40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二维码读取灵敏度</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倾斜±59.5°  旋转±360°    偏转±63.5°   （70字符15milQR）</w:t>
            </w:r>
          </w:p>
        </w:tc>
      </w:tr>
      <w:tr>
        <w:tblPrEx>
          <w:tblCellMar>
            <w:top w:w="0" w:type="dxa"/>
            <w:left w:w="108" w:type="dxa"/>
            <w:bottom w:w="0" w:type="dxa"/>
            <w:right w:w="108" w:type="dxa"/>
          </w:tblCellMar>
        </w:tblPrEx>
        <w:trPr>
          <w:trHeight w:val="37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二维码读取速度</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≥100ms/次</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二维码读取距离</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16mm~76mm</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解码模式</w:t>
            </w:r>
          </w:p>
        </w:tc>
        <w:tc>
          <w:tcPr>
            <w:tcW w:w="396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影像式解码引擎</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补光灯</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可设置:感应模式/长亮模式/长灭模式</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刷卡支持</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支持读取物理卡号、支持读写M1卡扇区</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读卡距离</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≤3CM</w:t>
            </w:r>
          </w:p>
        </w:tc>
      </w:tr>
      <w:tr>
        <w:tblPrEx>
          <w:tblCellMar>
            <w:top w:w="0" w:type="dxa"/>
            <w:left w:w="108" w:type="dxa"/>
            <w:bottom w:w="0" w:type="dxa"/>
            <w:right w:w="108" w:type="dxa"/>
          </w:tblCellMar>
        </w:tblPrEx>
        <w:trPr>
          <w:trHeight w:val="480" w:hRule="atLeast"/>
        </w:trPr>
        <w:tc>
          <w:tcPr>
            <w:tcW w:w="103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射频识别</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支持身份证物理ID、NFC手机、Mifare_Ultra Light、Mifare_Ultra Light 01、 Mifare_One(S50)、</w:t>
            </w:r>
          </w:p>
        </w:tc>
      </w:tr>
      <w:tr>
        <w:tblPrEx>
          <w:tblCellMar>
            <w:top w:w="0" w:type="dxa"/>
            <w:left w:w="108" w:type="dxa"/>
            <w:bottom w:w="0" w:type="dxa"/>
            <w:right w:w="108" w:type="dxa"/>
          </w:tblCellMar>
        </w:tblPrEx>
        <w:trPr>
          <w:trHeight w:val="480" w:hRule="atLeast"/>
        </w:trPr>
        <w:tc>
          <w:tcPr>
            <w:tcW w:w="10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color w:val="auto"/>
                <w:szCs w:val="21"/>
                <w:highlight w:val="none"/>
              </w:rPr>
            </w:pP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Mifare_One(S50) 02、Mifare_One(S70)、Mifare_One(S70) 03、Mifare_Pro(X)、Mifare_Pro(X) 04、</w:t>
            </w:r>
          </w:p>
        </w:tc>
      </w:tr>
      <w:tr>
        <w:tblPrEx>
          <w:tblCellMar>
            <w:top w:w="0" w:type="dxa"/>
            <w:left w:w="108" w:type="dxa"/>
            <w:bottom w:w="0" w:type="dxa"/>
            <w:right w:w="108" w:type="dxa"/>
          </w:tblCellMar>
        </w:tblPrEx>
        <w:trPr>
          <w:trHeight w:val="270" w:hRule="atLeast"/>
        </w:trPr>
        <w:tc>
          <w:tcPr>
            <w:tcW w:w="1031"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color w:val="auto"/>
                <w:szCs w:val="21"/>
                <w:highlight w:val="none"/>
              </w:rPr>
            </w:pP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Mifare_Desire 、Mifare_Desire 05</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工作电压</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DC 12-24V</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工作电流</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≤100mA</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工作温度</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工作温度：-20℃~70℃</w:t>
            </w:r>
          </w:p>
        </w:tc>
      </w:tr>
      <w:tr>
        <w:tblPrEx>
          <w:tblCellMar>
            <w:top w:w="0" w:type="dxa"/>
            <w:left w:w="108" w:type="dxa"/>
            <w:bottom w:w="0" w:type="dxa"/>
            <w:right w:w="108" w:type="dxa"/>
          </w:tblCellMar>
        </w:tblPrEx>
        <w:trPr>
          <w:trHeight w:val="27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工作湿度</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5%~95%RH，无冷凝</w:t>
            </w:r>
          </w:p>
        </w:tc>
      </w:tr>
      <w:tr>
        <w:tblPrEx>
          <w:tblCellMar>
            <w:top w:w="0" w:type="dxa"/>
            <w:left w:w="108" w:type="dxa"/>
            <w:bottom w:w="0" w:type="dxa"/>
            <w:right w:w="108" w:type="dxa"/>
          </w:tblCellMar>
        </w:tblPrEx>
        <w:trPr>
          <w:trHeight w:val="48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安装实施</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现场安装调试。按服务要求同步各个应用系统，实现平台管理各功能，如实施过程中遇到需要使用额外材料所产生的人工费和材料费等一切费用均由中标单位承担。</w:t>
            </w:r>
          </w:p>
        </w:tc>
      </w:tr>
      <w:tr>
        <w:tblPrEx>
          <w:tblCellMar>
            <w:top w:w="0" w:type="dxa"/>
            <w:left w:w="108" w:type="dxa"/>
            <w:bottom w:w="0" w:type="dxa"/>
            <w:right w:w="108" w:type="dxa"/>
          </w:tblCellMar>
        </w:tblPrEx>
        <w:trPr>
          <w:trHeight w:val="48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售后保障</w:t>
            </w:r>
          </w:p>
        </w:tc>
        <w:tc>
          <w:tcPr>
            <w:tcW w:w="3969"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硬件整机免费保修三年，若故障不能修复，须在出现故障的24小时内更换。签订合同时，出具原厂商对该项目的售后服务承诺函。</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2.2智能出入多功能服务模块技术指标</w:t>
      </w:r>
    </w:p>
    <w:tbl>
      <w:tblPr>
        <w:tblStyle w:val="25"/>
        <w:tblW w:w="5000" w:type="pct"/>
        <w:tblInd w:w="0" w:type="dxa"/>
        <w:tblLayout w:type="fixed"/>
        <w:tblCellMar>
          <w:top w:w="0" w:type="dxa"/>
          <w:left w:w="108" w:type="dxa"/>
          <w:bottom w:w="0" w:type="dxa"/>
          <w:right w:w="108" w:type="dxa"/>
        </w:tblCellMar>
      </w:tblPr>
      <w:tblGrid>
        <w:gridCol w:w="1970"/>
        <w:gridCol w:w="7658"/>
      </w:tblGrid>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指标项</w:t>
            </w:r>
          </w:p>
        </w:tc>
        <w:tc>
          <w:tcPr>
            <w:tcW w:w="3977"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产品形态</w:t>
            </w:r>
          </w:p>
        </w:tc>
        <w:tc>
          <w:tcPr>
            <w:tcW w:w="3977"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整体须安装于86盒内能盖面板,产品物理尺寸长宽均须小于86*86mm；</w:t>
            </w:r>
            <w:r>
              <w:rPr>
                <w:rFonts w:hint="eastAsia" w:ascii="宋体" w:hAnsi="宋体" w:eastAsia="宋体" w:cs="宋体"/>
                <w:b/>
                <w:bCs w:val="0"/>
                <w:color w:val="auto"/>
                <w:kern w:val="0"/>
                <w:szCs w:val="21"/>
                <w:highlight w:val="none"/>
                <w:lang w:bidi="ar"/>
              </w:rPr>
              <w:t>提供产品图片；</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兼容性</w:t>
            </w:r>
          </w:p>
        </w:tc>
        <w:tc>
          <w:tcPr>
            <w:tcW w:w="397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门磁功能</w:t>
            </w:r>
          </w:p>
        </w:tc>
        <w:tc>
          <w:tcPr>
            <w:tcW w:w="3977"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含门磁模块，能实时上报门磁状态；</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校园一卡通同步</w:t>
            </w:r>
          </w:p>
        </w:tc>
        <w:tc>
          <w:tcPr>
            <w:tcW w:w="3977"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同步校园一卡通平台，支持校园卡刷卡开门。</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开门方式</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▲支持校园通行码刷码开门、刷卡开门、远程开门、临时密码开门</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零配置</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支持通过DHCP OPTION获取服务器地址，自动注册，设备无需配置。</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安全加密</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RSA非对称加密</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门磁接口</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门磁状态检测，支持实时上报门磁状态。</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外观</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直接安装于墙内</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通讯方式</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TCP/IP；支持有线网络和无线网络，且可以同时使用</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终端管理</w:t>
            </w:r>
          </w:p>
        </w:tc>
        <w:tc>
          <w:tcPr>
            <w:tcW w:w="3977"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▲支持管理：磁力锁，电插锁，蓝牙锁，非蓝牙智能锁，玻璃锁，公寓锁；</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供电方式</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▲POE交换机供电</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电源输出</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支持12V电源输出，输出功率不低于10W。</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工作电压</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DC 12-24V</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工作电流</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100mA</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门锁控制</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内置继电器</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工作温度</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工作温度：-20℃~80℃</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工作湿度</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5%~95%RH，无冷凝</w:t>
            </w:r>
          </w:p>
        </w:tc>
      </w:tr>
      <w:tr>
        <w:tblPrEx>
          <w:tblCellMar>
            <w:top w:w="0" w:type="dxa"/>
            <w:left w:w="108" w:type="dxa"/>
            <w:bottom w:w="0" w:type="dxa"/>
            <w:right w:w="108" w:type="dxa"/>
          </w:tblCellMar>
        </w:tblPrEx>
        <w:trPr>
          <w:trHeight w:val="48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安装实施</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现场安装调试。按服务要求同步各个应用系统，实现平台管理各功能，如实施过程中遇到需要使用额外材料所产生的人工费和材料费等一切费用均由中标单位承担。</w:t>
            </w:r>
          </w:p>
        </w:tc>
      </w:tr>
      <w:tr>
        <w:tblPrEx>
          <w:tblCellMar>
            <w:top w:w="0" w:type="dxa"/>
            <w:left w:w="108" w:type="dxa"/>
            <w:bottom w:w="0" w:type="dxa"/>
            <w:right w:w="108" w:type="dxa"/>
          </w:tblCellMar>
        </w:tblPrEx>
        <w:trPr>
          <w:trHeight w:val="48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临时密码</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移动端生成临时密码木门智能锁（临时密码必须为系统随机分配自动生成，</w:t>
            </w:r>
            <w:r>
              <w:rPr>
                <w:rFonts w:ascii="宋体" w:hAnsi="宋体" w:eastAsia="宋体" w:cs="宋体"/>
                <w:bCs/>
                <w:color w:val="auto"/>
                <w:kern w:val="0"/>
                <w:szCs w:val="21"/>
                <w:highlight w:val="none"/>
                <w:lang w:bidi="ar"/>
              </w:rPr>
              <w:t>锁型号必须与所投产品匹配</w:t>
            </w:r>
            <w:r>
              <w:rPr>
                <w:rFonts w:hint="eastAsia" w:ascii="宋体" w:hAnsi="宋体" w:eastAsia="宋体" w:cs="宋体"/>
                <w:bCs/>
                <w:color w:val="auto"/>
                <w:kern w:val="0"/>
                <w:szCs w:val="21"/>
                <w:highlight w:val="none"/>
                <w:lang w:bidi="ar"/>
              </w:rPr>
              <w:t>）</w:t>
            </w:r>
          </w:p>
        </w:tc>
      </w:tr>
      <w:tr>
        <w:tblPrEx>
          <w:tblCellMar>
            <w:top w:w="0" w:type="dxa"/>
            <w:left w:w="108" w:type="dxa"/>
            <w:bottom w:w="0" w:type="dxa"/>
            <w:right w:w="108" w:type="dxa"/>
          </w:tblCellMar>
        </w:tblPrEx>
        <w:trPr>
          <w:trHeight w:val="27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固件升级</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支持服务器远程升级。</w:t>
            </w:r>
          </w:p>
        </w:tc>
      </w:tr>
      <w:tr>
        <w:tblPrEx>
          <w:tblCellMar>
            <w:top w:w="0" w:type="dxa"/>
            <w:left w:w="108" w:type="dxa"/>
            <w:bottom w:w="0" w:type="dxa"/>
            <w:right w:w="108" w:type="dxa"/>
          </w:tblCellMar>
        </w:tblPrEx>
        <w:trPr>
          <w:trHeight w:val="480" w:hRule="atLeast"/>
        </w:trPr>
        <w:tc>
          <w:tcPr>
            <w:tcW w:w="10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售后保障</w:t>
            </w:r>
          </w:p>
        </w:tc>
        <w:tc>
          <w:tcPr>
            <w:tcW w:w="3977"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硬件整机免费保修三年，若故障不能修复，须在出现故障的24小时内更换。签订合同时，出具原厂商对该项目的售后服务承诺函。</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2.3实木门锁终端技术指标</w:t>
      </w:r>
    </w:p>
    <w:tbl>
      <w:tblPr>
        <w:tblStyle w:val="25"/>
        <w:tblW w:w="5000" w:type="pct"/>
        <w:tblInd w:w="0" w:type="dxa"/>
        <w:tblLayout w:type="fixed"/>
        <w:tblCellMar>
          <w:top w:w="0" w:type="dxa"/>
          <w:left w:w="108" w:type="dxa"/>
          <w:bottom w:w="0" w:type="dxa"/>
          <w:right w:w="108" w:type="dxa"/>
        </w:tblCellMar>
      </w:tblPr>
      <w:tblGrid>
        <w:gridCol w:w="1982"/>
        <w:gridCol w:w="7646"/>
      </w:tblGrid>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指标项</w:t>
            </w:r>
          </w:p>
        </w:tc>
        <w:tc>
          <w:tcPr>
            <w:tcW w:w="3971"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兼容性</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和二维码智能出入管理机兼容</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材质</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高强度合金</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颜色</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星空黑</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适用门类型</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▲匹配木门、防盗门、钢门等多类型门;</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适用门厚度</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4-12cm均可安装</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开合方向</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左右可互换，支持无工具互换</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开门方式</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支持同步二维码智能出入管理机开门、密码、企业微信小程序</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供电方式</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4节碱性5号干电池</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电池寿命</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超过10000次开启</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应急电源</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5V USB应急电源接口</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报警</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支持低电报警，支持防拆报警</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攻击保护</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连续5次错误系统锁定180秒，同时发送告警至智能出入管理系统</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锁体</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适配24*240锁体</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锁芯</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C级锁芯</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显示屏</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带OLED显示屏</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语音</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支持开门、关门、报警等多种语音提示</w:t>
            </w:r>
          </w:p>
        </w:tc>
      </w:tr>
      <w:tr>
        <w:tblPrEx>
          <w:tblCellMar>
            <w:top w:w="0" w:type="dxa"/>
            <w:left w:w="108" w:type="dxa"/>
            <w:bottom w:w="0" w:type="dxa"/>
            <w:right w:w="108" w:type="dxa"/>
          </w:tblCellMar>
        </w:tblPrEx>
        <w:trPr>
          <w:trHeight w:val="27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虚伪密码</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支持16位虚位密码开锁</w:t>
            </w:r>
          </w:p>
        </w:tc>
      </w:tr>
      <w:tr>
        <w:tblPrEx>
          <w:tblCellMar>
            <w:top w:w="0" w:type="dxa"/>
            <w:left w:w="108" w:type="dxa"/>
            <w:bottom w:w="0" w:type="dxa"/>
            <w:right w:w="108" w:type="dxa"/>
          </w:tblCellMar>
        </w:tblPrEx>
        <w:trPr>
          <w:trHeight w:val="48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兼容性</w:t>
            </w:r>
          </w:p>
        </w:tc>
        <w:tc>
          <w:tcPr>
            <w:tcW w:w="397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651"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临时密码</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集成中国美院企业微信小程序临时密码功能，可根据智能出入管理平台权限分配数据获取临时密码。在二维码刷卡管理机离线状态下，手机移动端单独对锁具生成临时密码后（临时密码必须为系统随机分配自动生成）后实现开门</w:t>
            </w:r>
          </w:p>
        </w:tc>
      </w:tr>
      <w:tr>
        <w:tblPrEx>
          <w:tblCellMar>
            <w:top w:w="0" w:type="dxa"/>
            <w:left w:w="108" w:type="dxa"/>
            <w:bottom w:w="0" w:type="dxa"/>
            <w:right w:w="108" w:type="dxa"/>
          </w:tblCellMar>
        </w:tblPrEx>
        <w:trPr>
          <w:trHeight w:val="48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售后保障</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硬件整机免费保修三年，若故障不能修复，须在出现故障的24小时内更换。签订合同时，出具原厂商对该项目的售后服务承诺函。</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2.4 断桥铝锁终端技术指标</w:t>
      </w:r>
    </w:p>
    <w:tbl>
      <w:tblPr>
        <w:tblStyle w:val="25"/>
        <w:tblW w:w="5000" w:type="pct"/>
        <w:tblInd w:w="0" w:type="dxa"/>
        <w:tblLayout w:type="fixed"/>
        <w:tblCellMar>
          <w:top w:w="0" w:type="dxa"/>
          <w:left w:w="108" w:type="dxa"/>
          <w:bottom w:w="0" w:type="dxa"/>
          <w:right w:w="108" w:type="dxa"/>
        </w:tblCellMar>
      </w:tblPr>
      <w:tblGrid>
        <w:gridCol w:w="1982"/>
        <w:gridCol w:w="7646"/>
      </w:tblGrid>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指标项</w:t>
            </w:r>
          </w:p>
        </w:tc>
        <w:tc>
          <w:tcPr>
            <w:tcW w:w="3971"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技术参数</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兼容性</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和二维码智能出入管理机</w:t>
            </w:r>
            <w:r>
              <w:rPr>
                <w:rFonts w:hint="eastAsia" w:ascii="宋体" w:hAnsi="宋体" w:eastAsia="宋体" w:cs="宋体"/>
                <w:bCs/>
                <w:color w:val="auto"/>
                <w:kern w:val="0"/>
                <w:szCs w:val="21"/>
                <w:highlight w:val="none"/>
                <w:lang w:bidi="ar"/>
              </w:rPr>
              <w:t>兼容</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高强度合金</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颜色</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星空黑</w:t>
            </w:r>
          </w:p>
        </w:tc>
      </w:tr>
      <w:tr>
        <w:tblPrEx>
          <w:tblCellMar>
            <w:top w:w="0" w:type="dxa"/>
            <w:left w:w="108" w:type="dxa"/>
            <w:bottom w:w="0" w:type="dxa"/>
            <w:right w:w="108" w:type="dxa"/>
          </w:tblCellMar>
        </w:tblPrEx>
        <w:trPr>
          <w:trHeight w:val="426"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适用门类型</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适配铝合金门。按实计算；</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适用门厚度</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4-12CM</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开合方向</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左右可互换，支持无工具互换</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开门方式</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支持同步二维码智能出入管理机开门、密码、企业微信小程序</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电源</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4节5号碱性干电池</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电池寿命</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超过10000次开启</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应急电源</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5V USB应急电源接口</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报警</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支持低电报警，支持防拆报警</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攻击保护</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连续5次错误系统锁定180秒，同时发送告警至综合管理平台</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锁体</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24*240不锈钢锁体</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锁芯</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C级锁芯</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显示屏</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OLED显示屏</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语音</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支持开门、关门、报警等多种语音提示</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虚伪密码</w:t>
            </w:r>
          </w:p>
        </w:tc>
        <w:tc>
          <w:tcPr>
            <w:tcW w:w="3971"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16位虚位密码开锁</w:t>
            </w:r>
          </w:p>
        </w:tc>
      </w:tr>
      <w:tr>
        <w:tblPrEx>
          <w:tblCellMar>
            <w:top w:w="0" w:type="dxa"/>
            <w:left w:w="108" w:type="dxa"/>
            <w:bottom w:w="0" w:type="dxa"/>
            <w:right w:w="108" w:type="dxa"/>
          </w:tblCellMar>
        </w:tblPrEx>
        <w:trPr>
          <w:trHeight w:val="48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bCs/>
                <w:color w:val="auto"/>
                <w:szCs w:val="21"/>
                <w:highlight w:val="none"/>
              </w:rPr>
              <w:t>兼容性</w:t>
            </w:r>
          </w:p>
        </w:tc>
        <w:tc>
          <w:tcPr>
            <w:tcW w:w="3971"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30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临时密码</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集成中国美院企业微信小程序临时密码功能，可根据智能出入管理平台权限分配数据获取临时密码。在二维码刷卡管理机离线状态下，手机移动端单独对锁具生成临时密码后（临时密码必须为系统随机分配自动生成）后实现开门</w:t>
            </w:r>
          </w:p>
        </w:tc>
      </w:tr>
      <w:tr>
        <w:tblPrEx>
          <w:tblCellMar>
            <w:top w:w="0" w:type="dxa"/>
            <w:left w:w="108" w:type="dxa"/>
            <w:bottom w:w="0" w:type="dxa"/>
            <w:right w:w="108" w:type="dxa"/>
          </w:tblCellMar>
        </w:tblPrEx>
        <w:trPr>
          <w:trHeight w:val="480" w:hRule="atLeast"/>
        </w:trPr>
        <w:tc>
          <w:tcPr>
            <w:tcW w:w="102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售后保障</w:t>
            </w:r>
          </w:p>
        </w:tc>
        <w:tc>
          <w:tcPr>
            <w:tcW w:w="3971"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硬件整机免费保修三年</w:t>
            </w:r>
            <w:r>
              <w:rPr>
                <w:rFonts w:hint="eastAsia" w:ascii="宋体" w:hAnsi="宋体" w:eastAsia="宋体" w:cs="宋体"/>
                <w:bCs/>
                <w:color w:val="auto"/>
                <w:kern w:val="0"/>
                <w:szCs w:val="21"/>
                <w:highlight w:val="none"/>
                <w:lang w:bidi="ar"/>
              </w:rPr>
              <w:t>，若故障不能修复，须在出现故障的24小时内更换</w:t>
            </w:r>
            <w:r>
              <w:rPr>
                <w:rFonts w:hint="eastAsia" w:ascii="宋体" w:hAnsi="宋体" w:eastAsia="宋体" w:cs="宋体"/>
                <w:color w:val="auto"/>
                <w:kern w:val="0"/>
                <w:szCs w:val="21"/>
                <w:highlight w:val="none"/>
                <w:lang w:bidi="ar"/>
              </w:rPr>
              <w:t>。交货时出具原厂商对该项目的售后服务承诺函。</w:t>
            </w:r>
          </w:p>
        </w:tc>
      </w:tr>
    </w:tbl>
    <w:p>
      <w:pPr>
        <w:rPr>
          <w:rFonts w:ascii="Hiragino Sans GB W3" w:hAnsi="Hiragino Sans GB W3" w:eastAsia="Hiragino Sans GB W3" w:cs="Hiragino Sans GB W3"/>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2.5 玻璃门锁终端技术指标</w:t>
      </w:r>
    </w:p>
    <w:tbl>
      <w:tblPr>
        <w:tblStyle w:val="25"/>
        <w:tblW w:w="5000" w:type="pct"/>
        <w:tblInd w:w="0" w:type="dxa"/>
        <w:tblLayout w:type="fixed"/>
        <w:tblCellMar>
          <w:top w:w="0" w:type="dxa"/>
          <w:left w:w="108" w:type="dxa"/>
          <w:bottom w:w="0" w:type="dxa"/>
          <w:right w:w="108" w:type="dxa"/>
        </w:tblCellMar>
      </w:tblPr>
      <w:tblGrid>
        <w:gridCol w:w="1986"/>
        <w:gridCol w:w="7642"/>
      </w:tblGrid>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指标项</w:t>
            </w:r>
          </w:p>
        </w:tc>
        <w:tc>
          <w:tcPr>
            <w:tcW w:w="3969"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技术参数</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兼容性</w:t>
            </w:r>
          </w:p>
        </w:tc>
        <w:tc>
          <w:tcPr>
            <w:tcW w:w="3969"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和二维码智能出入管理机</w:t>
            </w:r>
            <w:r>
              <w:rPr>
                <w:rFonts w:hint="eastAsia" w:ascii="宋体" w:hAnsi="宋体" w:eastAsia="宋体" w:cs="宋体"/>
                <w:bCs/>
                <w:color w:val="auto"/>
                <w:kern w:val="0"/>
                <w:szCs w:val="21"/>
                <w:highlight w:val="none"/>
                <w:lang w:bidi="ar"/>
              </w:rPr>
              <w:t>兼容</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材质</w:t>
            </w:r>
          </w:p>
        </w:tc>
        <w:tc>
          <w:tcPr>
            <w:tcW w:w="3969"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优质不锈钢</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颜色</w:t>
            </w:r>
          </w:p>
        </w:tc>
        <w:tc>
          <w:tcPr>
            <w:tcW w:w="3969"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星空黑</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产品形态</w:t>
            </w:r>
          </w:p>
        </w:tc>
        <w:tc>
          <w:tcPr>
            <w:tcW w:w="3969"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适配各种玻璃门。直接可换锁，无需改孔；</w:t>
            </w:r>
            <w:r>
              <w:rPr>
                <w:rFonts w:hint="eastAsia" w:ascii="宋体" w:hAnsi="宋体" w:eastAsia="宋体" w:cs="宋体"/>
                <w:b/>
                <w:bCs w:val="0"/>
                <w:color w:val="auto"/>
                <w:kern w:val="0"/>
                <w:szCs w:val="21"/>
                <w:highlight w:val="none"/>
                <w:lang w:bidi="ar"/>
              </w:rPr>
              <w:t>提供实物图片</w:t>
            </w:r>
            <w:r>
              <w:rPr>
                <w:rFonts w:hint="eastAsia" w:ascii="宋体" w:hAnsi="宋体" w:eastAsia="宋体" w:cs="宋体"/>
                <w:bCs/>
                <w:color w:val="auto"/>
                <w:kern w:val="0"/>
                <w:szCs w:val="21"/>
                <w:highlight w:val="none"/>
                <w:lang w:bidi="ar"/>
              </w:rPr>
              <w:t>，施工数量</w:t>
            </w:r>
            <w:r>
              <w:rPr>
                <w:rFonts w:hint="eastAsia" w:ascii="宋体" w:hAnsi="宋体" w:eastAsia="宋体" w:cs="宋体"/>
                <w:color w:val="auto"/>
                <w:kern w:val="0"/>
                <w:szCs w:val="21"/>
                <w:highlight w:val="none"/>
                <w:lang w:bidi="ar"/>
              </w:rPr>
              <w:t>按实计算；</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适用门厚度</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适应8-15cm的玻璃门厚度，支持有框和无框玻璃门；</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防插卡</w:t>
            </w:r>
          </w:p>
        </w:tc>
        <w:tc>
          <w:tcPr>
            <w:tcW w:w="3969"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刀锋锁舌</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防刮花</w:t>
            </w:r>
          </w:p>
        </w:tc>
        <w:tc>
          <w:tcPr>
            <w:tcW w:w="3969"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双面硅胶防滑垫设计，防刮花擦伤玻璃</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开合方向</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左右可互换，支持无工具互换</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开门方式</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支持同步二维码智能出入管理机开门、密码、企业微信小程序；</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电源</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4节5号碱性干电池</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电池寿命</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超过10000次开启</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应急电源</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5V USB应急电源接口</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报警</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支持低电报警，支持防拆报警</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攻击保护</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连续5次错误系统锁定180秒，同时发送告警至综合管理平台；</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锁芯</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C级锁芯</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语音提示</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支持开锁状态信息的语音提示</w:t>
            </w:r>
          </w:p>
        </w:tc>
      </w:tr>
      <w:tr>
        <w:tblPrEx>
          <w:tblCellMar>
            <w:top w:w="0" w:type="dxa"/>
            <w:left w:w="108" w:type="dxa"/>
            <w:bottom w:w="0" w:type="dxa"/>
            <w:right w:w="108" w:type="dxa"/>
          </w:tblCellMar>
        </w:tblPrEx>
        <w:trPr>
          <w:trHeight w:val="285"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虚伪密码</w:t>
            </w:r>
          </w:p>
        </w:tc>
        <w:tc>
          <w:tcPr>
            <w:tcW w:w="3969"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16位虚位密码开锁</w:t>
            </w:r>
          </w:p>
        </w:tc>
      </w:tr>
      <w:tr>
        <w:tblPrEx>
          <w:tblCellMar>
            <w:top w:w="0" w:type="dxa"/>
            <w:left w:w="108" w:type="dxa"/>
            <w:bottom w:w="0" w:type="dxa"/>
            <w:right w:w="108" w:type="dxa"/>
          </w:tblCellMar>
        </w:tblPrEx>
        <w:trPr>
          <w:trHeight w:val="48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bCs/>
                <w:color w:val="auto"/>
                <w:szCs w:val="21"/>
                <w:highlight w:val="none"/>
              </w:rPr>
              <w:t>兼容性</w:t>
            </w:r>
          </w:p>
        </w:tc>
        <w:tc>
          <w:tcPr>
            <w:tcW w:w="3969"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48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临时密码</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集成中国美院企业微信小程序临时密码功能，可根据智能出入管理平台权限分配数据获取临时密码。在二维码刷卡管理机离线状态下，手机移动端单独对锁具生成临时密码后（临时密码必须为系统随机分配自动生成）后实现开门</w:t>
            </w:r>
          </w:p>
        </w:tc>
      </w:tr>
      <w:tr>
        <w:tblPrEx>
          <w:tblCellMar>
            <w:top w:w="0" w:type="dxa"/>
            <w:left w:w="108" w:type="dxa"/>
            <w:bottom w:w="0" w:type="dxa"/>
            <w:right w:w="108" w:type="dxa"/>
          </w:tblCellMar>
        </w:tblPrEx>
        <w:trPr>
          <w:trHeight w:val="480" w:hRule="atLeast"/>
        </w:trPr>
        <w:tc>
          <w:tcPr>
            <w:tcW w:w="103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售后保障</w:t>
            </w:r>
          </w:p>
        </w:tc>
        <w:tc>
          <w:tcPr>
            <w:tcW w:w="3969"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硬件整机免费保修三年</w:t>
            </w:r>
            <w:r>
              <w:rPr>
                <w:rFonts w:hint="eastAsia" w:ascii="宋体" w:hAnsi="宋体" w:eastAsia="宋体" w:cs="宋体"/>
                <w:bCs/>
                <w:color w:val="auto"/>
                <w:kern w:val="0"/>
                <w:szCs w:val="21"/>
                <w:highlight w:val="none"/>
                <w:lang w:bidi="ar"/>
              </w:rPr>
              <w:t>，若故障不能修复，须在出现故障的24小时内更换</w:t>
            </w:r>
            <w:r>
              <w:rPr>
                <w:rFonts w:hint="eastAsia" w:ascii="宋体" w:hAnsi="宋体" w:eastAsia="宋体" w:cs="宋体"/>
                <w:color w:val="auto"/>
                <w:kern w:val="0"/>
                <w:szCs w:val="21"/>
                <w:highlight w:val="none"/>
                <w:lang w:bidi="ar"/>
              </w:rPr>
              <w:t>。交货时出具原厂商对该项目的售后服务承诺函。</w:t>
            </w:r>
          </w:p>
        </w:tc>
      </w:tr>
    </w:tbl>
    <w:p>
      <w:pPr>
        <w:rPr>
          <w:rFonts w:ascii="Hiragino Sans GB W3" w:hAnsi="Hiragino Sans GB W3" w:eastAsia="Hiragino Sans GB W3" w:cs="Hiragino Sans GB W3"/>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2.6智能网关技术指标</w:t>
      </w:r>
    </w:p>
    <w:tbl>
      <w:tblPr>
        <w:tblStyle w:val="25"/>
        <w:tblW w:w="5000" w:type="pct"/>
        <w:tblInd w:w="0" w:type="dxa"/>
        <w:tblLayout w:type="fixed"/>
        <w:tblCellMar>
          <w:top w:w="0" w:type="dxa"/>
          <w:left w:w="108" w:type="dxa"/>
          <w:bottom w:w="0" w:type="dxa"/>
          <w:right w:w="108" w:type="dxa"/>
        </w:tblCellMar>
      </w:tblPr>
      <w:tblGrid>
        <w:gridCol w:w="1973"/>
        <w:gridCol w:w="7655"/>
      </w:tblGrid>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指标项</w:t>
            </w:r>
          </w:p>
        </w:tc>
        <w:tc>
          <w:tcPr>
            <w:tcW w:w="3975"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兼容性</w:t>
            </w:r>
          </w:p>
        </w:tc>
        <w:tc>
          <w:tcPr>
            <w:tcW w:w="3975"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和二维码智能出入管理机兼容</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集中管理</w:t>
            </w:r>
          </w:p>
        </w:tc>
        <w:tc>
          <w:tcPr>
            <w:tcW w:w="3975"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color w:val="auto"/>
                <w:kern w:val="0"/>
                <w:szCs w:val="21"/>
                <w:highlight w:val="none"/>
                <w:lang w:bidi="ar"/>
              </w:rPr>
              <w:t>▲</w:t>
            </w:r>
            <w:r>
              <w:rPr>
                <w:rFonts w:hint="eastAsia" w:ascii="宋体" w:hAnsi="宋体" w:eastAsia="宋体" w:cs="宋体"/>
                <w:bCs/>
                <w:color w:val="auto"/>
                <w:kern w:val="0"/>
                <w:szCs w:val="21"/>
                <w:highlight w:val="none"/>
                <w:lang w:bidi="ar"/>
              </w:rPr>
              <w:t>支持自动注册到物联网管理平台，实现集中管理；</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零配置</w:t>
            </w:r>
          </w:p>
        </w:tc>
        <w:tc>
          <w:tcPr>
            <w:tcW w:w="3975"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支持DHCP获取配置信息，零配置自动上线；</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覆盖范围</w:t>
            </w:r>
          </w:p>
        </w:tc>
        <w:tc>
          <w:tcPr>
            <w:tcW w:w="3975"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≥20米，空旷区域；</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适配智能锁数量</w:t>
            </w:r>
          </w:p>
        </w:tc>
        <w:tc>
          <w:tcPr>
            <w:tcW w:w="3975"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≥10把智能锁；</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数据加密</w:t>
            </w:r>
          </w:p>
        </w:tc>
        <w:tc>
          <w:tcPr>
            <w:tcW w:w="3975"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支持AES、RSA数据加密</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数据采集</w:t>
            </w:r>
          </w:p>
        </w:tc>
        <w:tc>
          <w:tcPr>
            <w:tcW w:w="3975"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支持采集二维码出入智能门锁电量，门锁配置信息，门锁日志上报，门锁配置下发；</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固件升级</w:t>
            </w:r>
          </w:p>
        </w:tc>
        <w:tc>
          <w:tcPr>
            <w:tcW w:w="3975"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支持服务器远程升级；</w:t>
            </w:r>
          </w:p>
        </w:tc>
      </w:tr>
      <w:tr>
        <w:tblPrEx>
          <w:tblCellMar>
            <w:top w:w="0" w:type="dxa"/>
            <w:left w:w="108" w:type="dxa"/>
            <w:bottom w:w="0" w:type="dxa"/>
            <w:right w:w="108" w:type="dxa"/>
          </w:tblCellMar>
        </w:tblPrEx>
        <w:trPr>
          <w:trHeight w:val="27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供电方式</w:t>
            </w:r>
          </w:p>
        </w:tc>
        <w:tc>
          <w:tcPr>
            <w:tcW w:w="397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支持POE交换机供电和USB供电；</w:t>
            </w:r>
          </w:p>
        </w:tc>
      </w:tr>
      <w:tr>
        <w:tblPrEx>
          <w:tblCellMar>
            <w:top w:w="0" w:type="dxa"/>
            <w:left w:w="108" w:type="dxa"/>
            <w:bottom w:w="0" w:type="dxa"/>
            <w:right w:w="108" w:type="dxa"/>
          </w:tblCellMar>
        </w:tblPrEx>
        <w:trPr>
          <w:trHeight w:val="48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兼容性</w:t>
            </w:r>
          </w:p>
        </w:tc>
        <w:tc>
          <w:tcPr>
            <w:tcW w:w="397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480" w:hRule="atLeast"/>
        </w:trPr>
        <w:tc>
          <w:tcPr>
            <w:tcW w:w="1025"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售后保障</w:t>
            </w:r>
          </w:p>
        </w:tc>
        <w:tc>
          <w:tcPr>
            <w:tcW w:w="397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硬件整机免费保修三年，若故障不能修复，须在出现故障的24小时内更换。签订合同时，出具原厂商对该项目的售后服务承诺函。</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2.7磁力锁技术指标</w:t>
      </w:r>
    </w:p>
    <w:tbl>
      <w:tblPr>
        <w:tblStyle w:val="25"/>
        <w:tblW w:w="4999" w:type="pct"/>
        <w:tblInd w:w="0" w:type="dxa"/>
        <w:tblLayout w:type="autofit"/>
        <w:tblCellMar>
          <w:top w:w="0" w:type="dxa"/>
          <w:left w:w="108" w:type="dxa"/>
          <w:bottom w:w="0" w:type="dxa"/>
          <w:right w:w="108" w:type="dxa"/>
        </w:tblCellMar>
      </w:tblPr>
      <w:tblGrid>
        <w:gridCol w:w="1956"/>
        <w:gridCol w:w="7670"/>
      </w:tblGrid>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指标项</w:t>
            </w:r>
          </w:p>
        </w:tc>
        <w:tc>
          <w:tcPr>
            <w:tcW w:w="398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270" w:hRule="atLeast"/>
        </w:trPr>
        <w:tc>
          <w:tcPr>
            <w:tcW w:w="101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最大直线拉力</w:t>
            </w:r>
          </w:p>
        </w:tc>
        <w:tc>
          <w:tcPr>
            <w:tcW w:w="398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≥280kg*2(600Lbs*2)直线拉力</w:t>
            </w:r>
          </w:p>
        </w:tc>
      </w:tr>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锁体尺寸</w:t>
            </w:r>
          </w:p>
        </w:tc>
        <w:tc>
          <w:tcPr>
            <w:tcW w:w="3983" w:type="pct"/>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长宽高均不大于300x48x26(mm)</w:t>
            </w:r>
          </w:p>
        </w:tc>
      </w:tr>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吸板尺寸</w:t>
            </w:r>
          </w:p>
        </w:tc>
        <w:tc>
          <w:tcPr>
            <w:tcW w:w="3983" w:type="pct"/>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长宽高均不大于180x38x11(mm)</w:t>
            </w:r>
          </w:p>
        </w:tc>
      </w:tr>
      <w:tr>
        <w:tblPrEx>
          <w:tblCellMar>
            <w:top w:w="0" w:type="dxa"/>
            <w:left w:w="108" w:type="dxa"/>
            <w:bottom w:w="0" w:type="dxa"/>
            <w:right w:w="108" w:type="dxa"/>
          </w:tblCellMar>
        </w:tblPrEx>
        <w:trPr>
          <w:trHeight w:val="289" w:hRule="atLeast"/>
        </w:trPr>
        <w:tc>
          <w:tcPr>
            <w:tcW w:w="1016" w:type="pct"/>
            <w:tcBorders>
              <w:top w:val="single" w:color="000000" w:sz="4" w:space="0"/>
              <w:left w:val="single" w:color="000000" w:sz="4" w:space="0"/>
              <w:bottom w:val="single" w:color="000000" w:sz="4" w:space="0"/>
              <w:right w:val="single" w:color="000000" w:sz="4" w:space="0"/>
            </w:tcBorders>
            <w:shd w:val="clear" w:color="auto" w:fill="FFFFFF"/>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信号输出</w:t>
            </w:r>
          </w:p>
        </w:tc>
        <w:tc>
          <w:tcPr>
            <w:tcW w:w="3983" w:type="pct"/>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门状态信号输出</w:t>
            </w:r>
          </w:p>
        </w:tc>
      </w:tr>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适用门型</w:t>
            </w:r>
          </w:p>
        </w:tc>
        <w:tc>
          <w:tcPr>
            <w:tcW w:w="3983" w:type="pct"/>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木门/玻璃门/金属门/防火门/防盗门</w:t>
            </w:r>
          </w:p>
        </w:tc>
      </w:tr>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功能</w:t>
            </w:r>
          </w:p>
        </w:tc>
        <w:tc>
          <w:tcPr>
            <w:tcW w:w="3983" w:type="pct"/>
            <w:tcBorders>
              <w:top w:val="single" w:color="000000" w:sz="4" w:space="0"/>
              <w:left w:val="single" w:color="000000" w:sz="4" w:space="0"/>
              <w:bottom w:val="single" w:color="000000" w:sz="4" w:space="0"/>
              <w:right w:val="single" w:color="000000" w:sz="4" w:space="0"/>
            </w:tcBorders>
            <w:shd w:val="clear" w:color="auto" w:fill="FFFFFF"/>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断电开门关门可设置、信号反馈和延时功能</w:t>
            </w:r>
          </w:p>
        </w:tc>
      </w:tr>
      <w:tr>
        <w:tblPrEx>
          <w:tblCellMar>
            <w:top w:w="0" w:type="dxa"/>
            <w:left w:w="108" w:type="dxa"/>
            <w:bottom w:w="0" w:type="dxa"/>
            <w:right w:w="108" w:type="dxa"/>
          </w:tblCellMar>
        </w:tblPrEx>
        <w:trPr>
          <w:trHeight w:val="270" w:hRule="atLeast"/>
        </w:trPr>
        <w:tc>
          <w:tcPr>
            <w:tcW w:w="1016"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工作电压</w:t>
            </w:r>
          </w:p>
        </w:tc>
        <w:tc>
          <w:tcPr>
            <w:tcW w:w="3983"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≤250MA</w:t>
            </w:r>
          </w:p>
        </w:tc>
      </w:tr>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锁状态讯号输出</w:t>
            </w:r>
          </w:p>
        </w:tc>
        <w:tc>
          <w:tcPr>
            <w:tcW w:w="3983"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NO,NC,COM</w:t>
            </w:r>
          </w:p>
        </w:tc>
      </w:tr>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门型</w:t>
            </w:r>
          </w:p>
        </w:tc>
        <w:tc>
          <w:tcPr>
            <w:tcW w:w="3983"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适配单门、双门</w:t>
            </w:r>
          </w:p>
        </w:tc>
      </w:tr>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配件</w:t>
            </w:r>
          </w:p>
        </w:tc>
        <w:tc>
          <w:tcPr>
            <w:tcW w:w="3983" w:type="pct"/>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含通用支架套装；含安装人工及所有辅材。</w:t>
            </w:r>
          </w:p>
        </w:tc>
      </w:tr>
      <w:tr>
        <w:tblPrEx>
          <w:tblCellMar>
            <w:top w:w="0" w:type="dxa"/>
            <w:left w:w="108" w:type="dxa"/>
            <w:bottom w:w="0" w:type="dxa"/>
            <w:right w:w="108" w:type="dxa"/>
          </w:tblCellMar>
        </w:tblPrEx>
        <w:trPr>
          <w:trHeight w:val="285" w:hRule="atLeast"/>
        </w:trPr>
        <w:tc>
          <w:tcPr>
            <w:tcW w:w="101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售后保障</w:t>
            </w:r>
          </w:p>
        </w:tc>
        <w:tc>
          <w:tcPr>
            <w:tcW w:w="398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免费保修三年，若故障不能修复，须在出现故障的24小时内更换。</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2.8门禁电源技术指标</w:t>
      </w:r>
    </w:p>
    <w:tbl>
      <w:tblPr>
        <w:tblStyle w:val="25"/>
        <w:tblW w:w="4846" w:type="pct"/>
        <w:tblInd w:w="0" w:type="dxa"/>
        <w:tblLayout w:type="autofit"/>
        <w:tblCellMar>
          <w:top w:w="0" w:type="dxa"/>
          <w:left w:w="108" w:type="dxa"/>
          <w:bottom w:w="0" w:type="dxa"/>
          <w:right w:w="108" w:type="dxa"/>
        </w:tblCellMar>
      </w:tblPr>
      <w:tblGrid>
        <w:gridCol w:w="1967"/>
        <w:gridCol w:w="7364"/>
      </w:tblGrid>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指标项</w:t>
            </w:r>
          </w:p>
        </w:tc>
        <w:tc>
          <w:tcPr>
            <w:tcW w:w="394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开关电源</w:t>
            </w:r>
          </w:p>
        </w:tc>
        <w:tc>
          <w:tcPr>
            <w:tcW w:w="394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导轨式安装，含导轨</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电压范围</w:t>
            </w:r>
          </w:p>
        </w:tc>
        <w:tc>
          <w:tcPr>
            <w:tcW w:w="39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85-264VAC,47-63HZ(120VDC-370VDC)</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输出电流</w:t>
            </w:r>
          </w:p>
        </w:tc>
        <w:tc>
          <w:tcPr>
            <w:tcW w:w="39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10A；</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输出功率</w:t>
            </w:r>
          </w:p>
        </w:tc>
        <w:tc>
          <w:tcPr>
            <w:tcW w:w="39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120W；</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物理尺寸</w:t>
            </w:r>
          </w:p>
        </w:tc>
        <w:tc>
          <w:tcPr>
            <w:tcW w:w="39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长宽高均不大于125*100*66mm</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过载保护</w:t>
            </w:r>
          </w:p>
        </w:tc>
        <w:tc>
          <w:tcPr>
            <w:tcW w:w="39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105%-150%，保护模式：打嗝模式，异常条件解除后自动恢复；</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过压保护</w:t>
            </w:r>
          </w:p>
        </w:tc>
        <w:tc>
          <w:tcPr>
            <w:tcW w:w="39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输出电压&gt;135%,关闭输出，异常条件解除后自动恢复；</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短路保护</w:t>
            </w:r>
          </w:p>
        </w:tc>
        <w:tc>
          <w:tcPr>
            <w:tcW w:w="3945" w:type="pct"/>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降至欠压点，关闭输出，异常条件解除后自动恢复</w:t>
            </w:r>
          </w:p>
        </w:tc>
      </w:tr>
      <w:tr>
        <w:tblPrEx>
          <w:tblCellMar>
            <w:top w:w="0" w:type="dxa"/>
            <w:left w:w="108" w:type="dxa"/>
            <w:bottom w:w="0" w:type="dxa"/>
            <w:right w:w="108" w:type="dxa"/>
          </w:tblCellMar>
        </w:tblPrEx>
        <w:trPr>
          <w:trHeight w:val="270" w:hRule="atLeast"/>
        </w:trPr>
        <w:tc>
          <w:tcPr>
            <w:tcW w:w="1054"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售后保障</w:t>
            </w:r>
          </w:p>
        </w:tc>
        <w:tc>
          <w:tcPr>
            <w:tcW w:w="394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免费保修三年，若故障不能修复，须在出现故障的24小时内更换。</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2.9 48口POE交换机技术指标</w:t>
      </w:r>
    </w:p>
    <w:tbl>
      <w:tblPr>
        <w:tblStyle w:val="25"/>
        <w:tblW w:w="4876" w:type="pct"/>
        <w:tblInd w:w="0" w:type="dxa"/>
        <w:tblLayout w:type="fixed"/>
        <w:tblCellMar>
          <w:top w:w="0" w:type="dxa"/>
          <w:left w:w="108" w:type="dxa"/>
          <w:bottom w:w="0" w:type="dxa"/>
          <w:right w:w="108" w:type="dxa"/>
        </w:tblCellMar>
      </w:tblPr>
      <w:tblGrid>
        <w:gridCol w:w="1955"/>
        <w:gridCol w:w="7434"/>
      </w:tblGrid>
      <w:tr>
        <w:tblPrEx>
          <w:tblCellMar>
            <w:top w:w="0" w:type="dxa"/>
            <w:left w:w="108" w:type="dxa"/>
            <w:bottom w:w="0" w:type="dxa"/>
            <w:right w:w="108" w:type="dxa"/>
          </w:tblCellMar>
        </w:tblPrEx>
        <w:trPr>
          <w:trHeight w:val="294" w:hRule="atLeast"/>
        </w:trPr>
        <w:tc>
          <w:tcPr>
            <w:tcW w:w="1041" w:type="pct"/>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指标项</w:t>
            </w:r>
          </w:p>
        </w:tc>
        <w:tc>
          <w:tcPr>
            <w:tcW w:w="3958" w:type="pct"/>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lang w:bidi="ar"/>
              </w:rPr>
              <w:t>技术参数</w:t>
            </w:r>
          </w:p>
        </w:tc>
      </w:tr>
      <w:tr>
        <w:tblPrEx>
          <w:tblCellMar>
            <w:top w:w="0" w:type="dxa"/>
            <w:left w:w="108" w:type="dxa"/>
            <w:bottom w:w="0" w:type="dxa"/>
            <w:right w:w="108" w:type="dxa"/>
          </w:tblCellMar>
        </w:tblPrEx>
        <w:trPr>
          <w:trHeight w:val="284"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交换能力</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lang w:bidi="ar"/>
              </w:rPr>
              <w:t>交换容量≥598Gbps/5.98Tbps，包转发率≥126Mpps</w:t>
            </w:r>
          </w:p>
        </w:tc>
      </w:tr>
      <w:tr>
        <w:tblPrEx>
          <w:tblCellMar>
            <w:top w:w="0" w:type="dxa"/>
            <w:left w:w="108" w:type="dxa"/>
            <w:bottom w:w="0" w:type="dxa"/>
            <w:right w:w="108" w:type="dxa"/>
          </w:tblCellMar>
        </w:tblPrEx>
        <w:trPr>
          <w:trHeight w:val="28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POE供电</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lang w:bidi="ar"/>
              </w:rPr>
              <w:t>▲支持IEEE802.3af/IEEE802.3at供电标准，POE供电功率≥1440W</w:t>
            </w:r>
          </w:p>
        </w:tc>
      </w:tr>
      <w:tr>
        <w:tblPrEx>
          <w:tblCellMar>
            <w:top w:w="0" w:type="dxa"/>
            <w:left w:w="108" w:type="dxa"/>
            <w:bottom w:w="0" w:type="dxa"/>
            <w:right w:w="108" w:type="dxa"/>
          </w:tblCellMar>
        </w:tblPrEx>
        <w:trPr>
          <w:trHeight w:val="28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三层功能</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lang w:bidi="ar"/>
              </w:rPr>
              <w:t>支持IPv4静态路由，RIPv1&amp;v2，OSPFv2， ECMP，VRF ; 支持IPv6静态路由，RIPng，OSPF V3，NDP，ICMPv6等。</w:t>
            </w:r>
          </w:p>
        </w:tc>
      </w:tr>
      <w:tr>
        <w:tblPrEx>
          <w:tblCellMar>
            <w:top w:w="0" w:type="dxa"/>
            <w:left w:w="108" w:type="dxa"/>
            <w:bottom w:w="0" w:type="dxa"/>
            <w:right w:w="108" w:type="dxa"/>
          </w:tblCellMar>
        </w:tblPrEx>
        <w:trPr>
          <w:trHeight w:val="28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BGP功能</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lang w:bidi="ar"/>
              </w:rPr>
              <w:t>支持IBGP、EBGP等EGP协议，适用于各种应用场景的接入交换机</w:t>
            </w:r>
            <w:r>
              <w:rPr>
                <w:rFonts w:hint="eastAsia" w:ascii="宋体" w:hAnsi="宋体" w:eastAsia="宋体" w:cs="宋体"/>
                <w:b/>
                <w:bCs/>
                <w:color w:val="auto"/>
                <w:szCs w:val="21"/>
                <w:highlight w:val="none"/>
                <w:lang w:bidi="ar"/>
              </w:rPr>
              <w:t>（提供具有CMA或CNAS标识的第三方检测报告复印件）</w:t>
            </w:r>
          </w:p>
        </w:tc>
      </w:tr>
      <w:tr>
        <w:tblPrEx>
          <w:tblCellMar>
            <w:top w:w="0" w:type="dxa"/>
            <w:left w:w="108" w:type="dxa"/>
            <w:bottom w:w="0" w:type="dxa"/>
            <w:right w:w="108" w:type="dxa"/>
          </w:tblCellMar>
        </w:tblPrEx>
        <w:trPr>
          <w:trHeight w:val="54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BGP加密功能</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lang w:bidi="ar"/>
              </w:rPr>
              <w:t>BGP协议支持MD5加密和SM3国密加密</w:t>
            </w:r>
            <w:r>
              <w:rPr>
                <w:rFonts w:hint="eastAsia" w:ascii="宋体" w:hAnsi="宋体" w:eastAsia="宋体" w:cs="宋体"/>
                <w:b/>
                <w:bCs/>
                <w:color w:val="auto"/>
                <w:szCs w:val="21"/>
                <w:highlight w:val="none"/>
                <w:lang w:bidi="ar"/>
              </w:rPr>
              <w:t>（提供具有CMA或CNAS标识的第三方检测报告复印件）</w:t>
            </w:r>
          </w:p>
        </w:tc>
      </w:tr>
      <w:tr>
        <w:tblPrEx>
          <w:tblCellMar>
            <w:top w:w="0" w:type="dxa"/>
            <w:left w:w="108" w:type="dxa"/>
            <w:bottom w:w="0" w:type="dxa"/>
            <w:right w:w="108" w:type="dxa"/>
          </w:tblCellMar>
        </w:tblPrEx>
        <w:trPr>
          <w:trHeight w:val="54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rPr>
              <w:t>组播功能</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lang w:bidi="ar"/>
              </w:rPr>
              <w:t>支持IGMP snooping v1v2v3，IGMP Proxy，Fast leave，Layer 2 Static Multicast等组播协议</w:t>
            </w:r>
          </w:p>
        </w:tc>
      </w:tr>
      <w:tr>
        <w:tblPrEx>
          <w:tblCellMar>
            <w:top w:w="0" w:type="dxa"/>
            <w:left w:w="108" w:type="dxa"/>
            <w:bottom w:w="0" w:type="dxa"/>
            <w:right w:w="108" w:type="dxa"/>
          </w:tblCellMar>
        </w:tblPrEx>
        <w:trPr>
          <w:trHeight w:val="54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M-LAG功能</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rPr>
              <w:t>支持M-LAG技术，实现多台设备间的链路聚合</w:t>
            </w:r>
            <w:r>
              <w:rPr>
                <w:rFonts w:hint="eastAsia" w:ascii="宋体" w:hAnsi="宋体" w:eastAsia="宋体" w:cs="宋体"/>
                <w:b/>
                <w:bCs/>
                <w:color w:val="auto"/>
                <w:szCs w:val="21"/>
                <w:highlight w:val="none"/>
                <w:lang w:bidi="ar"/>
              </w:rPr>
              <w:t>（提供具有CMA或CNAS标识的第三方检测报告复印件）</w:t>
            </w:r>
          </w:p>
        </w:tc>
      </w:tr>
      <w:tr>
        <w:tblPrEx>
          <w:tblCellMar>
            <w:top w:w="0" w:type="dxa"/>
            <w:left w:w="108" w:type="dxa"/>
            <w:bottom w:w="0" w:type="dxa"/>
            <w:right w:w="108" w:type="dxa"/>
          </w:tblCellMar>
        </w:tblPrEx>
        <w:trPr>
          <w:trHeight w:val="54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VARP功能</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rPr>
              <w:t>支持VARP技术，实现网关双活，满足三层负载均衡转发要求</w:t>
            </w:r>
            <w:r>
              <w:rPr>
                <w:rFonts w:hint="eastAsia" w:ascii="宋体" w:hAnsi="宋体" w:eastAsia="宋体" w:cs="宋体"/>
                <w:b/>
                <w:bCs/>
                <w:color w:val="auto"/>
                <w:szCs w:val="21"/>
                <w:highlight w:val="none"/>
                <w:lang w:bidi="ar"/>
              </w:rPr>
              <w:t>（提供具有CMA或CNAS标识的第三方检测报告复印件）</w:t>
            </w:r>
          </w:p>
        </w:tc>
      </w:tr>
      <w:tr>
        <w:tblPrEx>
          <w:tblCellMar>
            <w:top w:w="0" w:type="dxa"/>
            <w:left w:w="108" w:type="dxa"/>
            <w:bottom w:w="0" w:type="dxa"/>
            <w:right w:w="108" w:type="dxa"/>
          </w:tblCellMar>
        </w:tblPrEx>
        <w:trPr>
          <w:trHeight w:val="54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安全功能</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rPr>
              <w:t>支持dot1X认证、AAA认证，支持Radius、TACACS+认证，支持CPU防攻击</w:t>
            </w:r>
          </w:p>
        </w:tc>
      </w:tr>
      <w:tr>
        <w:tblPrEx>
          <w:tblCellMar>
            <w:top w:w="0" w:type="dxa"/>
            <w:left w:w="108" w:type="dxa"/>
            <w:bottom w:w="0" w:type="dxa"/>
            <w:right w:w="108" w:type="dxa"/>
          </w:tblCellMar>
        </w:tblPrEx>
        <w:trPr>
          <w:trHeight w:val="54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节能环保</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rPr>
              <w:t>所投产品具备节能环保设计</w:t>
            </w:r>
          </w:p>
        </w:tc>
      </w:tr>
      <w:tr>
        <w:tblPrEx>
          <w:tblCellMar>
            <w:top w:w="0" w:type="dxa"/>
            <w:left w:w="108" w:type="dxa"/>
            <w:bottom w:w="0" w:type="dxa"/>
            <w:right w:w="108" w:type="dxa"/>
          </w:tblCellMar>
        </w:tblPrEx>
        <w:trPr>
          <w:trHeight w:val="342"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配置要求</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lang w:bidi="ar"/>
              </w:rPr>
              <w:t>▲10/100/1000 RJ45 电口≥48个，10G SFP+ 端口≥4个</w:t>
            </w:r>
          </w:p>
        </w:tc>
      </w:tr>
      <w:tr>
        <w:tblPrEx>
          <w:tblCellMar>
            <w:top w:w="0" w:type="dxa"/>
            <w:left w:w="108" w:type="dxa"/>
            <w:bottom w:w="0" w:type="dxa"/>
            <w:right w:w="108" w:type="dxa"/>
          </w:tblCellMar>
        </w:tblPrEx>
        <w:trPr>
          <w:trHeight w:val="298"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电源要求</w:t>
            </w:r>
          </w:p>
        </w:tc>
        <w:tc>
          <w:tcPr>
            <w:tcW w:w="3958"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color w:val="auto"/>
                <w:szCs w:val="21"/>
                <w:highlight w:val="none"/>
                <w:lang w:bidi="ar"/>
              </w:rPr>
            </w:pPr>
            <w:r>
              <w:rPr>
                <w:rFonts w:hint="eastAsia" w:ascii="宋体" w:hAnsi="宋体" w:eastAsia="宋体" w:cs="宋体"/>
                <w:color w:val="auto"/>
                <w:szCs w:val="21"/>
                <w:highlight w:val="none"/>
                <w:lang w:bidi="ar"/>
              </w:rPr>
              <w:t>实配720W可热插拔的冗余电源；</w:t>
            </w:r>
          </w:p>
        </w:tc>
      </w:tr>
      <w:tr>
        <w:tblPrEx>
          <w:tblCellMar>
            <w:top w:w="0" w:type="dxa"/>
            <w:left w:w="108" w:type="dxa"/>
            <w:bottom w:w="0" w:type="dxa"/>
            <w:right w:w="108" w:type="dxa"/>
          </w:tblCellMar>
        </w:tblPrEx>
        <w:trPr>
          <w:trHeight w:val="380" w:hRule="atLeast"/>
        </w:trPr>
        <w:tc>
          <w:tcPr>
            <w:tcW w:w="1041"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ascii="宋体" w:hAnsi="宋体" w:eastAsia="宋体" w:cs="宋体"/>
                <w:color w:val="auto"/>
                <w:szCs w:val="21"/>
                <w:highlight w:val="none"/>
              </w:rPr>
            </w:pPr>
            <w:r>
              <w:rPr>
                <w:rFonts w:hint="eastAsia" w:ascii="宋体" w:hAnsi="宋体" w:eastAsia="宋体" w:cs="宋体"/>
                <w:color w:val="auto"/>
                <w:szCs w:val="21"/>
                <w:highlight w:val="none"/>
                <w:lang w:bidi="ar"/>
              </w:rPr>
              <w:t>售后服务</w:t>
            </w:r>
          </w:p>
        </w:tc>
        <w:tc>
          <w:tcPr>
            <w:tcW w:w="3958" w:type="pct"/>
            <w:tcBorders>
              <w:top w:val="single" w:color="000000" w:sz="4" w:space="0"/>
              <w:left w:val="single" w:color="000000" w:sz="4" w:space="0"/>
              <w:bottom w:val="single" w:color="000000" w:sz="4" w:space="0"/>
              <w:right w:val="single" w:color="000000" w:sz="4" w:space="0"/>
            </w:tcBorders>
            <w:noWrap/>
          </w:tcPr>
          <w:p>
            <w:pPr>
              <w:textAlignment w:val="top"/>
              <w:rPr>
                <w:rFonts w:ascii="宋体" w:hAnsi="宋体" w:eastAsia="宋体" w:cs="宋体"/>
                <w:color w:val="auto"/>
                <w:szCs w:val="21"/>
                <w:highlight w:val="none"/>
              </w:rPr>
            </w:pPr>
            <w:r>
              <w:rPr>
                <w:rFonts w:hint="eastAsia" w:ascii="宋体" w:hAnsi="宋体" w:eastAsia="宋体" w:cs="宋体"/>
                <w:color w:val="auto"/>
                <w:szCs w:val="21"/>
                <w:highlight w:val="none"/>
                <w:lang w:bidi="ar"/>
              </w:rPr>
              <w:t>硬件整机原厂保修三年，须在出现故障的24小时内更换新机。交货时出具原厂商对该项目的售后服务承诺函。</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2.10.24口POE交换机技术指标</w:t>
      </w:r>
    </w:p>
    <w:tbl>
      <w:tblPr>
        <w:tblStyle w:val="25"/>
        <w:tblW w:w="4876" w:type="pct"/>
        <w:tblInd w:w="0" w:type="dxa"/>
        <w:tblLayout w:type="autofit"/>
        <w:tblCellMar>
          <w:top w:w="0" w:type="dxa"/>
          <w:left w:w="108" w:type="dxa"/>
          <w:bottom w:w="0" w:type="dxa"/>
          <w:right w:w="108" w:type="dxa"/>
        </w:tblCellMar>
      </w:tblPr>
      <w:tblGrid>
        <w:gridCol w:w="1946"/>
        <w:gridCol w:w="7443"/>
      </w:tblGrid>
      <w:tr>
        <w:tblPrEx>
          <w:tblCellMar>
            <w:top w:w="0" w:type="dxa"/>
            <w:left w:w="108" w:type="dxa"/>
            <w:bottom w:w="0" w:type="dxa"/>
            <w:right w:w="108" w:type="dxa"/>
          </w:tblCellMar>
        </w:tblPrEx>
        <w:trPr>
          <w:trHeight w:val="270" w:hRule="atLeast"/>
        </w:trPr>
        <w:tc>
          <w:tcPr>
            <w:tcW w:w="1036"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指标项</w:t>
            </w:r>
          </w:p>
        </w:tc>
        <w:tc>
          <w:tcPr>
            <w:tcW w:w="3963"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技术要求</w:t>
            </w:r>
          </w:p>
        </w:tc>
      </w:tr>
      <w:tr>
        <w:tblPrEx>
          <w:tblCellMar>
            <w:top w:w="0" w:type="dxa"/>
            <w:left w:w="108" w:type="dxa"/>
            <w:bottom w:w="0" w:type="dxa"/>
            <w:right w:w="108" w:type="dxa"/>
          </w:tblCellMar>
        </w:tblPrEx>
        <w:trPr>
          <w:trHeight w:val="287"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交换能力</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交换容量≥598Gbps，三层包转发率≥166Mpps；</w:t>
            </w:r>
          </w:p>
        </w:tc>
      </w:tr>
      <w:tr>
        <w:tblPrEx>
          <w:tblCellMar>
            <w:top w:w="0" w:type="dxa"/>
            <w:left w:w="108" w:type="dxa"/>
            <w:bottom w:w="0" w:type="dxa"/>
            <w:right w:w="108" w:type="dxa"/>
          </w:tblCellMar>
        </w:tblPrEx>
        <w:trPr>
          <w:trHeight w:val="540"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w:t>
            </w:r>
            <w:r>
              <w:rPr>
                <w:rFonts w:hint="eastAsia" w:ascii="宋体" w:hAnsi="宋体" w:eastAsia="宋体" w:cs="宋体"/>
                <w:bCs/>
                <w:color w:val="auto"/>
                <w:kern w:val="0"/>
                <w:szCs w:val="21"/>
                <w:highlight w:val="none"/>
              </w:rPr>
              <w:t>固定接口配置要求</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≥24个10/100/1000 RJ45 电口（支持802.3af/802.3at供电标准），≥4个10G SFP+端口；</w:t>
            </w:r>
            <w:r>
              <w:rPr>
                <w:rFonts w:hint="eastAsia" w:ascii="宋体" w:hAnsi="宋体" w:eastAsia="宋体" w:cs="宋体"/>
                <w:b/>
                <w:bCs/>
                <w:color w:val="auto"/>
                <w:kern w:val="0"/>
                <w:szCs w:val="21"/>
                <w:highlight w:val="none"/>
                <w:lang w:bidi="ar"/>
              </w:rPr>
              <w:t>（提供所投产品的内置系统能够体现上述功能及配置选项的界面截图）</w:t>
            </w:r>
          </w:p>
        </w:tc>
      </w:tr>
      <w:tr>
        <w:tblPrEx>
          <w:tblCellMar>
            <w:top w:w="0" w:type="dxa"/>
            <w:left w:w="108" w:type="dxa"/>
            <w:bottom w:w="0" w:type="dxa"/>
            <w:right w:w="108" w:type="dxa"/>
          </w:tblCellMar>
        </w:tblPrEx>
        <w:trPr>
          <w:trHeight w:val="612"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二层功能</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最大MAC地址≥16K，支持4K VLAN，支持QinQ、支持STP/RSTP/MSTP，支持本地镜像及远程镜像，支持Jumbo≥9K；</w:t>
            </w:r>
          </w:p>
        </w:tc>
      </w:tr>
      <w:tr>
        <w:tblPrEx>
          <w:tblCellMar>
            <w:top w:w="0" w:type="dxa"/>
            <w:left w:w="108" w:type="dxa"/>
            <w:bottom w:w="0" w:type="dxa"/>
            <w:right w:w="108" w:type="dxa"/>
          </w:tblCellMar>
        </w:tblPrEx>
        <w:trPr>
          <w:trHeight w:val="794"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三层功能</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 xml:space="preserve">IPv4 路由表≥1K；支持IPv4静态路由，RIPv1&amp;v2，OSPFv2，BGP，ECMP，ICMP、路由策略、策略路由，uRPF，VRF;支持IPv6静态路由， RIPng，OSPF v3，ICMPv6，NDP，ICMPv6；     </w:t>
            </w:r>
          </w:p>
        </w:tc>
      </w:tr>
      <w:tr>
        <w:tblPrEx>
          <w:tblCellMar>
            <w:top w:w="0" w:type="dxa"/>
            <w:left w:w="108" w:type="dxa"/>
            <w:bottom w:w="0" w:type="dxa"/>
            <w:right w:w="108" w:type="dxa"/>
          </w:tblCellMar>
        </w:tblPrEx>
        <w:trPr>
          <w:trHeight w:val="298"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组播协议</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支持IGMPv1/v2/v3，PIM-SM， PIM-SSM，PIM-DM，Static Multicast等；</w:t>
            </w:r>
          </w:p>
        </w:tc>
      </w:tr>
      <w:tr>
        <w:tblPrEx>
          <w:tblCellMar>
            <w:top w:w="0" w:type="dxa"/>
            <w:left w:w="108" w:type="dxa"/>
            <w:bottom w:w="0" w:type="dxa"/>
            <w:right w:w="108" w:type="dxa"/>
          </w:tblCellMar>
        </w:tblPrEx>
        <w:trPr>
          <w:trHeight w:val="240"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安全</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支持dot1X认证、AAA认证，支持Radius、TACACS+认证，支持CPU防攻击；</w:t>
            </w:r>
          </w:p>
        </w:tc>
      </w:tr>
      <w:tr>
        <w:tblPrEx>
          <w:tblCellMar>
            <w:top w:w="0" w:type="dxa"/>
            <w:left w:w="108" w:type="dxa"/>
            <w:bottom w:w="0" w:type="dxa"/>
            <w:right w:w="108" w:type="dxa"/>
          </w:tblCellMar>
        </w:tblPrEx>
        <w:trPr>
          <w:trHeight w:val="312"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DHCP</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支持DHCP Snooping，支持DHCP Server/DHCP Client/DHCP Relay，支持option82；</w:t>
            </w:r>
          </w:p>
        </w:tc>
      </w:tr>
      <w:tr>
        <w:tblPrEx>
          <w:tblCellMar>
            <w:top w:w="0" w:type="dxa"/>
            <w:left w:w="108" w:type="dxa"/>
            <w:bottom w:w="0" w:type="dxa"/>
            <w:right w:w="108" w:type="dxa"/>
          </w:tblCellMar>
        </w:tblPrEx>
        <w:trPr>
          <w:trHeight w:val="327"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电源</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实配可热插拔的冗余电源，整机满足标准前后通风。</w:t>
            </w:r>
          </w:p>
        </w:tc>
      </w:tr>
      <w:tr>
        <w:tblPrEx>
          <w:tblCellMar>
            <w:top w:w="0" w:type="dxa"/>
            <w:left w:w="108" w:type="dxa"/>
            <w:bottom w:w="0" w:type="dxa"/>
            <w:right w:w="108" w:type="dxa"/>
          </w:tblCellMar>
        </w:tblPrEx>
        <w:trPr>
          <w:trHeight w:val="510"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POE功率</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可提供48个POE+端口供电，支持802.3af和802.3at(30W)供电</w:t>
            </w:r>
            <w:r>
              <w:rPr>
                <w:rFonts w:hint="eastAsia" w:ascii="宋体" w:hAnsi="宋体" w:eastAsia="宋体" w:cs="宋体"/>
                <w:b/>
                <w:bCs/>
                <w:color w:val="auto"/>
                <w:kern w:val="0"/>
                <w:szCs w:val="21"/>
                <w:highlight w:val="none"/>
                <w:lang w:bidi="ar"/>
              </w:rPr>
              <w:t>（提供所投产品的内置系统能够体现上述功能及配置选项的界面截图）</w:t>
            </w:r>
          </w:p>
        </w:tc>
      </w:tr>
      <w:tr>
        <w:tblPrEx>
          <w:tblCellMar>
            <w:top w:w="0" w:type="dxa"/>
            <w:left w:w="108" w:type="dxa"/>
            <w:bottom w:w="0" w:type="dxa"/>
            <w:right w:w="108" w:type="dxa"/>
          </w:tblCellMar>
        </w:tblPrEx>
        <w:trPr>
          <w:trHeight w:val="510"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兼容性测试</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top"/>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中标人在签订合同后将产品送甲方单位对其指定的功能和性能指标进行验证，费用由中标人负责。</w:t>
            </w:r>
          </w:p>
        </w:tc>
      </w:tr>
      <w:tr>
        <w:tblPrEx>
          <w:tblCellMar>
            <w:top w:w="0" w:type="dxa"/>
            <w:left w:w="108" w:type="dxa"/>
            <w:bottom w:w="0" w:type="dxa"/>
            <w:right w:w="108" w:type="dxa"/>
          </w:tblCellMar>
        </w:tblPrEx>
        <w:trPr>
          <w:trHeight w:val="495" w:hRule="atLeast"/>
        </w:trPr>
        <w:tc>
          <w:tcPr>
            <w:tcW w:w="1036"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售后保障</w:t>
            </w:r>
          </w:p>
        </w:tc>
        <w:tc>
          <w:tcPr>
            <w:tcW w:w="3963"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rPr>
              <w:t>硬件整机免费保修三年，须在出现故障的24小时内更换新机。</w:t>
            </w:r>
            <w:r>
              <w:rPr>
                <w:rFonts w:hint="eastAsia" w:ascii="宋体" w:hAnsi="宋体" w:eastAsia="宋体" w:cs="宋体"/>
                <w:bCs/>
                <w:color w:val="auto"/>
                <w:kern w:val="0"/>
                <w:szCs w:val="21"/>
                <w:highlight w:val="none"/>
                <w:lang w:bidi="ar"/>
              </w:rPr>
              <w:t>签订合同时，出具原厂商对该项目的售后服务承诺函。</w:t>
            </w:r>
          </w:p>
        </w:tc>
      </w:tr>
    </w:tbl>
    <w:p>
      <w:pPr>
        <w:rPr>
          <w:color w:val="auto"/>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2.11.单机芯速通技术指标</w:t>
      </w:r>
    </w:p>
    <w:tbl>
      <w:tblPr>
        <w:tblStyle w:val="25"/>
        <w:tblW w:w="4998" w:type="pct"/>
        <w:jc w:val="center"/>
        <w:tblLayout w:type="autofit"/>
        <w:tblCellMar>
          <w:top w:w="0" w:type="dxa"/>
          <w:left w:w="108" w:type="dxa"/>
          <w:bottom w:w="0" w:type="dxa"/>
          <w:right w:w="108" w:type="dxa"/>
        </w:tblCellMar>
      </w:tblPr>
      <w:tblGrid>
        <w:gridCol w:w="1944"/>
        <w:gridCol w:w="7680"/>
      </w:tblGrid>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
                <w:color w:val="auto"/>
                <w:szCs w:val="21"/>
                <w:highlight w:val="none"/>
              </w:rPr>
            </w:pPr>
            <w:r>
              <w:rPr>
                <w:rFonts w:hint="eastAsia" w:ascii="宋体" w:hAnsi="宋体" w:eastAsia="宋体" w:cs="宋体"/>
                <w:b/>
                <w:color w:val="auto"/>
                <w:szCs w:val="21"/>
                <w:highlight w:val="none"/>
              </w:rPr>
              <w:t>类型</w:t>
            </w:r>
          </w:p>
        </w:tc>
        <w:tc>
          <w:tcPr>
            <w:tcW w:w="3990" w:type="pct"/>
            <w:tcBorders>
              <w:top w:val="single" w:color="000000" w:sz="4" w:space="0"/>
              <w:left w:val="single" w:color="000000" w:sz="4" w:space="0"/>
              <w:bottom w:val="single" w:color="000000" w:sz="4" w:space="0"/>
              <w:right w:val="single" w:color="000000" w:sz="4" w:space="0"/>
            </w:tcBorders>
          </w:tcPr>
          <w:p>
            <w:pPr>
              <w:jc w:val="center"/>
              <w:textAlignment w:val="top"/>
              <w:rPr>
                <w:rFonts w:ascii="宋体" w:hAnsi="宋体" w:eastAsia="宋体" w:cs="宋体"/>
                <w:b/>
                <w:color w:val="auto"/>
                <w:szCs w:val="21"/>
                <w:highlight w:val="none"/>
              </w:rPr>
            </w:pPr>
            <w:r>
              <w:rPr>
                <w:rFonts w:hint="eastAsia" w:ascii="宋体" w:hAnsi="宋体" w:eastAsia="宋体" w:cs="宋体"/>
                <w:b/>
                <w:color w:val="auto"/>
                <w:kern w:val="0"/>
                <w:szCs w:val="21"/>
                <w:highlight w:val="none"/>
              </w:rPr>
              <w:t>技术要求</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材质及厚度</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316L</w:t>
            </w:r>
            <w:r>
              <w:rPr>
                <w:rStyle w:val="110"/>
                <w:rFonts w:hint="default"/>
                <w:bCs/>
                <w:color w:val="auto"/>
                <w:sz w:val="21"/>
                <w:szCs w:val="21"/>
                <w:highlight w:val="none"/>
              </w:rPr>
              <w:t>不锈钢 全身足</w:t>
            </w:r>
            <w:r>
              <w:rPr>
                <w:rStyle w:val="111"/>
                <w:rFonts w:hint="eastAsia" w:ascii="宋体" w:hAnsi="宋体" w:eastAsia="宋体" w:cs="宋体"/>
                <w:bCs/>
                <w:color w:val="auto"/>
                <w:sz w:val="21"/>
                <w:szCs w:val="21"/>
                <w:highlight w:val="none"/>
              </w:rPr>
              <w:t>2.0mm</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外形尺寸</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长宽高均不小于</w:t>
            </w:r>
            <w:r>
              <w:rPr>
                <w:rStyle w:val="111"/>
                <w:rFonts w:hint="eastAsia" w:ascii="宋体" w:hAnsi="宋体" w:eastAsia="宋体" w:cs="宋体"/>
                <w:bCs/>
                <w:color w:val="auto"/>
                <w:sz w:val="21"/>
                <w:szCs w:val="21"/>
                <w:highlight w:val="none"/>
              </w:rPr>
              <w:t>1500*150*980mm</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重量</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≥80KG/</w:t>
            </w:r>
            <w:r>
              <w:rPr>
                <w:rStyle w:val="110"/>
                <w:rFonts w:hint="default"/>
                <w:bCs/>
                <w:color w:val="auto"/>
                <w:sz w:val="21"/>
                <w:szCs w:val="21"/>
                <w:highlight w:val="none"/>
              </w:rPr>
              <w:t>台</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电源电压</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AC220V</w:t>
            </w:r>
            <w:r>
              <w:rPr>
                <w:rStyle w:val="110"/>
                <w:rFonts w:hint="default"/>
                <w:bCs/>
                <w:color w:val="auto"/>
                <w:sz w:val="21"/>
                <w:szCs w:val="21"/>
                <w:highlight w:val="none"/>
              </w:rPr>
              <w:t>±</w:t>
            </w:r>
            <w:r>
              <w:rPr>
                <w:rStyle w:val="111"/>
                <w:rFonts w:hint="eastAsia" w:ascii="宋体" w:hAnsi="宋体" w:eastAsia="宋体" w:cs="宋体"/>
                <w:bCs/>
                <w:color w:val="auto"/>
                <w:sz w:val="21"/>
                <w:szCs w:val="21"/>
                <w:highlight w:val="none"/>
              </w:rPr>
              <w:t>10%</w:t>
            </w:r>
            <w:r>
              <w:rPr>
                <w:rStyle w:val="110"/>
                <w:rFonts w:hint="default"/>
                <w:bCs/>
                <w:color w:val="auto"/>
                <w:sz w:val="21"/>
                <w:szCs w:val="21"/>
                <w:highlight w:val="none"/>
              </w:rPr>
              <w:t>、</w:t>
            </w:r>
            <w:r>
              <w:rPr>
                <w:rStyle w:val="111"/>
                <w:rFonts w:hint="eastAsia" w:ascii="宋体" w:hAnsi="宋体" w:eastAsia="宋体" w:cs="宋体"/>
                <w:bCs/>
                <w:color w:val="auto"/>
                <w:sz w:val="21"/>
                <w:szCs w:val="21"/>
                <w:highlight w:val="none"/>
              </w:rPr>
              <w:t>50HZ</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驱动电机</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额定功率≥40W ；额定转速≥1800转 ；使用寿命不低于600万次 ；开门时间不低于0.45秒；（数量</w:t>
            </w:r>
            <w:r>
              <w:rPr>
                <w:rStyle w:val="111"/>
                <w:rFonts w:hint="eastAsia" w:ascii="宋体" w:hAnsi="宋体" w:eastAsia="宋体" w:cs="宋体"/>
                <w:bCs/>
                <w:color w:val="auto"/>
                <w:sz w:val="21"/>
                <w:szCs w:val="21"/>
                <w:highlight w:val="none"/>
              </w:rPr>
              <w:t>1</w:t>
            </w:r>
            <w:r>
              <w:rPr>
                <w:rStyle w:val="110"/>
                <w:rFonts w:hint="default"/>
                <w:bCs/>
                <w:color w:val="auto"/>
                <w:sz w:val="21"/>
                <w:szCs w:val="21"/>
                <w:highlight w:val="none"/>
              </w:rPr>
              <w:t>个）</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主板控制</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工业级伺服控制器系统（数量一个）</w:t>
            </w:r>
          </w:p>
        </w:tc>
      </w:tr>
      <w:tr>
        <w:tblPrEx>
          <w:tblCellMar>
            <w:top w:w="0" w:type="dxa"/>
            <w:left w:w="108" w:type="dxa"/>
            <w:bottom w:w="0" w:type="dxa"/>
            <w:right w:w="108" w:type="dxa"/>
          </w:tblCellMar>
        </w:tblPrEx>
        <w:trPr>
          <w:trHeight w:val="366"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机芯</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采用全铝合金加工而成，带有离合齿轮，耦合器耐撞（数量一个）</w:t>
            </w:r>
          </w:p>
        </w:tc>
      </w:tr>
      <w:tr>
        <w:tblPrEx>
          <w:tblCellMar>
            <w:top w:w="0" w:type="dxa"/>
            <w:left w:w="108" w:type="dxa"/>
            <w:bottom w:w="0" w:type="dxa"/>
            <w:right w:w="108" w:type="dxa"/>
          </w:tblCellMar>
        </w:tblPrEx>
        <w:trPr>
          <w:trHeight w:val="343"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网络模块</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支持网络管理；</w:t>
            </w:r>
          </w:p>
        </w:tc>
      </w:tr>
      <w:tr>
        <w:tblPrEx>
          <w:tblCellMar>
            <w:top w:w="0" w:type="dxa"/>
            <w:left w:w="108" w:type="dxa"/>
            <w:bottom w:w="0" w:type="dxa"/>
            <w:right w:w="108" w:type="dxa"/>
          </w:tblCellMar>
        </w:tblPrEx>
        <w:trPr>
          <w:trHeight w:val="93"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▲开门速度</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开关门速度0.1-0.3秒可调，每分钟可通行50人以上。</w:t>
            </w:r>
          </w:p>
        </w:tc>
      </w:tr>
      <w:tr>
        <w:tblPrEx>
          <w:tblCellMar>
            <w:top w:w="0" w:type="dxa"/>
            <w:left w:w="108" w:type="dxa"/>
            <w:bottom w:w="0" w:type="dxa"/>
            <w:right w:w="108" w:type="dxa"/>
          </w:tblCellMar>
        </w:tblPrEx>
        <w:trPr>
          <w:trHeight w:val="70"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▲非法冲撞</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机芯自动锁死，人退出后自动复位</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输入接口</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12V电平信号或脉宽&gt;100ms的12V脉冲信号</w:t>
            </w:r>
          </w:p>
        </w:tc>
      </w:tr>
      <w:tr>
        <w:tblPrEx>
          <w:tblCellMar>
            <w:top w:w="0" w:type="dxa"/>
            <w:left w:w="108" w:type="dxa"/>
            <w:bottom w:w="0" w:type="dxa"/>
            <w:right w:w="108" w:type="dxa"/>
          </w:tblCellMar>
        </w:tblPrEx>
        <w:trPr>
          <w:trHeight w:val="134"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通信接口</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232通信接口，要能支持232串口下发指令更改闸机参数（如调闸机零位，更改闸机开门方式、开关门速度、获取过人信号等等）</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通道宽度</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600-900mm</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摆门材质</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亚克力/钢化玻璃</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工作环境</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室内/工作环境温度-30°C--+70°C</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正常使用寿命</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≥1000万次</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告警上报</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闯闸、尾随等告警实时上报至服务器，支持和监控平台联动</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兼容性</w:t>
            </w:r>
          </w:p>
        </w:tc>
        <w:tc>
          <w:tcPr>
            <w:tcW w:w="3990" w:type="pct"/>
            <w:tcBorders>
              <w:top w:val="single" w:color="000000" w:sz="4" w:space="0"/>
              <w:left w:val="single" w:color="000000" w:sz="4" w:space="0"/>
              <w:bottom w:val="single" w:color="000000" w:sz="4" w:space="0"/>
              <w:right w:val="single" w:color="000000" w:sz="4" w:space="0"/>
            </w:tcBorders>
            <w:vAlign w:val="center"/>
          </w:tcPr>
          <w:p>
            <w:pPr>
              <w:textAlignment w:val="top"/>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软件同步</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开放接口协议，支持二次开发；</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漏电保护</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集成漏保开关；</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装饰</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通道不锈钢栏杆隔离装饰；</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安装</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地面开槽安装，包含地面修复；含所有安装人工及辅材。</w:t>
            </w:r>
          </w:p>
        </w:tc>
      </w:tr>
      <w:tr>
        <w:tblPrEx>
          <w:tblCellMar>
            <w:top w:w="0" w:type="dxa"/>
            <w:left w:w="108" w:type="dxa"/>
            <w:bottom w:w="0" w:type="dxa"/>
            <w:right w:w="108" w:type="dxa"/>
          </w:tblCellMar>
        </w:tblPrEx>
        <w:trPr>
          <w:trHeight w:val="315" w:hRule="atLeast"/>
          <w:jc w:val="center"/>
        </w:trPr>
        <w:tc>
          <w:tcPr>
            <w:tcW w:w="1010"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质保期</w:t>
            </w:r>
          </w:p>
        </w:tc>
        <w:tc>
          <w:tcPr>
            <w:tcW w:w="3990"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原厂三年质保；合同签订时提供原厂售后服务承诺函。</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2.12.双机芯速通技术指标</w:t>
      </w:r>
    </w:p>
    <w:tbl>
      <w:tblPr>
        <w:tblStyle w:val="25"/>
        <w:tblW w:w="4998" w:type="pct"/>
        <w:jc w:val="center"/>
        <w:tblLayout w:type="autofit"/>
        <w:tblCellMar>
          <w:top w:w="0" w:type="dxa"/>
          <w:left w:w="108" w:type="dxa"/>
          <w:bottom w:w="0" w:type="dxa"/>
          <w:right w:w="108" w:type="dxa"/>
        </w:tblCellMar>
      </w:tblPr>
      <w:tblGrid>
        <w:gridCol w:w="1940"/>
        <w:gridCol w:w="7684"/>
      </w:tblGrid>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tcPr>
          <w:p>
            <w:pPr>
              <w:jc w:val="center"/>
              <w:textAlignment w:val="top"/>
              <w:rPr>
                <w:rFonts w:ascii="宋体" w:hAnsi="宋体" w:eastAsia="宋体" w:cs="宋体"/>
                <w:b/>
                <w:color w:val="auto"/>
                <w:szCs w:val="21"/>
                <w:highlight w:val="none"/>
              </w:rPr>
            </w:pPr>
            <w:r>
              <w:rPr>
                <w:rFonts w:hint="eastAsia" w:ascii="宋体" w:hAnsi="宋体" w:eastAsia="宋体" w:cs="宋体"/>
                <w:b/>
                <w:color w:val="auto"/>
                <w:szCs w:val="21"/>
                <w:highlight w:val="none"/>
              </w:rPr>
              <w:t>类型</w:t>
            </w:r>
          </w:p>
        </w:tc>
        <w:tc>
          <w:tcPr>
            <w:tcW w:w="3992" w:type="pct"/>
            <w:tcBorders>
              <w:top w:val="single" w:color="000000" w:sz="4" w:space="0"/>
              <w:left w:val="single" w:color="000000" w:sz="4" w:space="0"/>
              <w:bottom w:val="single" w:color="000000" w:sz="4" w:space="0"/>
              <w:right w:val="single" w:color="000000" w:sz="4" w:space="0"/>
            </w:tcBorders>
          </w:tcPr>
          <w:p>
            <w:pPr>
              <w:jc w:val="center"/>
              <w:textAlignment w:val="top"/>
              <w:rPr>
                <w:rFonts w:ascii="宋体" w:hAnsi="宋体" w:eastAsia="宋体" w:cs="宋体"/>
                <w:b/>
                <w:color w:val="auto"/>
                <w:szCs w:val="21"/>
                <w:highlight w:val="none"/>
              </w:rPr>
            </w:pPr>
            <w:r>
              <w:rPr>
                <w:rFonts w:hint="eastAsia" w:ascii="宋体" w:hAnsi="宋体" w:eastAsia="宋体" w:cs="宋体"/>
                <w:b/>
                <w:color w:val="auto"/>
                <w:szCs w:val="21"/>
                <w:highlight w:val="none"/>
              </w:rPr>
              <w:t>技术参数</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材质及厚度</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316L不锈钢 全身足2.0mm</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外形尺寸</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长宽高均不小于：</w:t>
            </w:r>
            <w:r>
              <w:rPr>
                <w:rFonts w:hint="eastAsia" w:ascii="宋体" w:hAnsi="宋体" w:eastAsia="宋体" w:cs="宋体"/>
                <w:bCs/>
                <w:color w:val="auto"/>
                <w:szCs w:val="21"/>
                <w:highlight w:val="none"/>
              </w:rPr>
              <w:t>长1500*宽150*高980mm</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重量</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≥80KG/台</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电源电压</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AC220V±10%、50HZ</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驱动电机</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额定功率≥40W ；额定转速≥1800转 ；使用寿命不低于600万次 ；开门时间不低于0.45秒；（数量2个）</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主板控制</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工业级伺服控制器系统（数量2个）</w:t>
            </w:r>
          </w:p>
        </w:tc>
      </w:tr>
      <w:tr>
        <w:tblPrEx>
          <w:tblCellMar>
            <w:top w:w="0" w:type="dxa"/>
            <w:left w:w="108" w:type="dxa"/>
            <w:bottom w:w="0" w:type="dxa"/>
            <w:right w:w="108" w:type="dxa"/>
          </w:tblCellMar>
        </w:tblPrEx>
        <w:trPr>
          <w:trHeight w:val="369"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机芯</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采用全铝合金加工而成，带有离合齿轮，耦合器耐撞（数量2个）</w:t>
            </w:r>
          </w:p>
        </w:tc>
      </w:tr>
      <w:tr>
        <w:tblPrEx>
          <w:tblCellMar>
            <w:top w:w="0" w:type="dxa"/>
            <w:left w:w="108" w:type="dxa"/>
            <w:bottom w:w="0" w:type="dxa"/>
            <w:right w:w="108" w:type="dxa"/>
          </w:tblCellMar>
        </w:tblPrEx>
        <w:trPr>
          <w:trHeight w:val="393"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网络模块</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支持网络管理；</w:t>
            </w:r>
          </w:p>
        </w:tc>
      </w:tr>
      <w:tr>
        <w:tblPrEx>
          <w:tblCellMar>
            <w:top w:w="0" w:type="dxa"/>
            <w:left w:w="108" w:type="dxa"/>
            <w:bottom w:w="0" w:type="dxa"/>
            <w:right w:w="108" w:type="dxa"/>
          </w:tblCellMar>
        </w:tblPrEx>
        <w:trPr>
          <w:trHeight w:val="369"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▲开门速度</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开关门速度0.1-0.3秒可调，每分钟可通行50人以上。</w:t>
            </w:r>
          </w:p>
        </w:tc>
      </w:tr>
      <w:tr>
        <w:tblPrEx>
          <w:tblCellMar>
            <w:top w:w="0" w:type="dxa"/>
            <w:left w:w="108" w:type="dxa"/>
            <w:bottom w:w="0" w:type="dxa"/>
            <w:right w:w="108" w:type="dxa"/>
          </w:tblCellMar>
        </w:tblPrEx>
        <w:trPr>
          <w:trHeight w:val="311"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▲非法冲撞</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机芯自动锁死，人退出后自动复位</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输入接口</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12V电平信号或脉宽&gt;100ms的12V脉冲信号</w:t>
            </w:r>
          </w:p>
        </w:tc>
      </w:tr>
      <w:tr>
        <w:tblPrEx>
          <w:tblCellMar>
            <w:top w:w="0" w:type="dxa"/>
            <w:left w:w="108" w:type="dxa"/>
            <w:bottom w:w="0" w:type="dxa"/>
            <w:right w:w="108" w:type="dxa"/>
          </w:tblCellMar>
        </w:tblPrEx>
        <w:trPr>
          <w:trHeight w:val="566"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通信接口</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232通信接口，要能支持232串口下发指令更改闸机参数（如调闸机零位，更改闸机开门方式、开关门速度、获取过人信号等等）</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通道宽度</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600-900mm</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摆门材质</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亚克力/钢化玻璃</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工作环境</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室内/工作环境温度-30°C--+70°C</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正常使用寿命</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≥1000万次</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告警上报</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闯闸、尾随等告警实时上报至服务器，支持和监控平台联动</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兼容性</w:t>
            </w:r>
          </w:p>
        </w:tc>
        <w:tc>
          <w:tcPr>
            <w:tcW w:w="3992" w:type="pct"/>
            <w:tcBorders>
              <w:top w:val="single" w:color="000000" w:sz="4" w:space="0"/>
              <w:left w:val="single" w:color="000000" w:sz="4" w:space="0"/>
              <w:bottom w:val="single" w:color="000000" w:sz="4" w:space="0"/>
              <w:right w:val="single" w:color="000000" w:sz="4" w:space="0"/>
            </w:tcBorders>
            <w:vAlign w:val="center"/>
          </w:tcPr>
          <w:p>
            <w:pPr>
              <w:textAlignment w:val="top"/>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软件同步</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开放接口协议，支持二次开发</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漏电保护</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集成漏保开关</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装饰</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通道不锈钢栏杆隔离装饰</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安装</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地面开槽安装，包含地面修复</w:t>
            </w:r>
          </w:p>
        </w:tc>
      </w:tr>
      <w:tr>
        <w:tblPrEx>
          <w:tblCellMar>
            <w:top w:w="0" w:type="dxa"/>
            <w:left w:w="108" w:type="dxa"/>
            <w:bottom w:w="0" w:type="dxa"/>
            <w:right w:w="108" w:type="dxa"/>
          </w:tblCellMar>
        </w:tblPrEx>
        <w:trPr>
          <w:trHeight w:val="315" w:hRule="atLeast"/>
          <w:jc w:val="center"/>
        </w:trPr>
        <w:tc>
          <w:tcPr>
            <w:tcW w:w="1008" w:type="pct"/>
            <w:tcBorders>
              <w:top w:val="single" w:color="000000" w:sz="4" w:space="0"/>
              <w:left w:val="single" w:color="000000" w:sz="4" w:space="0"/>
              <w:bottom w:val="single" w:color="000000" w:sz="4" w:space="0"/>
              <w:right w:val="single" w:color="000000" w:sz="4" w:space="0"/>
            </w:tcBorders>
            <w:vAlign w:val="center"/>
          </w:tcPr>
          <w:p>
            <w:pPr>
              <w:jc w:val="cente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质保期</w:t>
            </w:r>
          </w:p>
        </w:tc>
        <w:tc>
          <w:tcPr>
            <w:tcW w:w="3992"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原厂三年质保。合同签订时提供原厂售后服务承诺函。</w:t>
            </w:r>
          </w:p>
        </w:tc>
      </w:tr>
    </w:tbl>
    <w:p>
      <w:pPr>
        <w:pStyle w:val="9"/>
        <w:ind w:firstLine="0"/>
        <w:rPr>
          <w:color w:val="auto"/>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2.13.人脸识别一体机技术指标</w:t>
      </w:r>
    </w:p>
    <w:tbl>
      <w:tblPr>
        <w:tblStyle w:val="25"/>
        <w:tblW w:w="4998" w:type="pct"/>
        <w:tblInd w:w="0" w:type="dxa"/>
        <w:tblLayout w:type="autofit"/>
        <w:tblCellMar>
          <w:top w:w="0" w:type="dxa"/>
          <w:left w:w="108" w:type="dxa"/>
          <w:bottom w:w="0" w:type="dxa"/>
          <w:right w:w="108" w:type="dxa"/>
        </w:tblCellMar>
      </w:tblPr>
      <w:tblGrid>
        <w:gridCol w:w="1954"/>
        <w:gridCol w:w="7670"/>
      </w:tblGrid>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指标项</w:t>
            </w:r>
          </w:p>
        </w:tc>
        <w:tc>
          <w:tcPr>
            <w:tcW w:w="3985"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设备尺寸</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7英寸IPS触摸显示屏</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摄像头</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200万像素，双目摄像头</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识别距离</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面部识别距离0.3-2m，</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防假</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支持照片及视频防假；</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存储容量</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设备本地人脸库存储容量≥50000张，本地卡存储容量≥50000张，本地出入记录存储容量≥50000条</w:t>
            </w:r>
          </w:p>
        </w:tc>
      </w:tr>
      <w:tr>
        <w:tblPrEx>
          <w:tblCellMar>
            <w:top w:w="0" w:type="dxa"/>
            <w:left w:w="108" w:type="dxa"/>
            <w:bottom w:w="0" w:type="dxa"/>
            <w:right w:w="108" w:type="dxa"/>
          </w:tblCellMar>
        </w:tblPrEx>
        <w:trPr>
          <w:trHeight w:val="51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兼容性</w:t>
            </w:r>
          </w:p>
        </w:tc>
        <w:tc>
          <w:tcPr>
            <w:tcW w:w="3985"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270" w:hRule="atLeast"/>
        </w:trPr>
        <w:tc>
          <w:tcPr>
            <w:tcW w:w="1015"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技术规格</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人脸识别距离0.2~3m；</w:t>
            </w:r>
          </w:p>
        </w:tc>
      </w:tr>
      <w:tr>
        <w:tblPrEx>
          <w:tblCellMar>
            <w:top w:w="0" w:type="dxa"/>
            <w:left w:w="108" w:type="dxa"/>
            <w:bottom w:w="0" w:type="dxa"/>
            <w:right w:w="108" w:type="dxa"/>
          </w:tblCellMar>
        </w:tblPrEx>
        <w:trPr>
          <w:trHeight w:val="270" w:hRule="atLeast"/>
        </w:trPr>
        <w:tc>
          <w:tcPr>
            <w:tcW w:w="101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color w:val="auto"/>
                <w:szCs w:val="21"/>
                <w:highlight w:val="none"/>
              </w:rPr>
            </w:pP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人脸比对平均时间≤0.175s；</w:t>
            </w:r>
          </w:p>
        </w:tc>
      </w:tr>
      <w:tr>
        <w:tblPrEx>
          <w:tblCellMar>
            <w:top w:w="0" w:type="dxa"/>
            <w:left w:w="108" w:type="dxa"/>
            <w:bottom w:w="0" w:type="dxa"/>
            <w:right w:w="108" w:type="dxa"/>
          </w:tblCellMar>
        </w:tblPrEx>
        <w:trPr>
          <w:trHeight w:val="270" w:hRule="atLeast"/>
        </w:trPr>
        <w:tc>
          <w:tcPr>
            <w:tcW w:w="101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color w:val="auto"/>
                <w:szCs w:val="21"/>
                <w:highlight w:val="none"/>
              </w:rPr>
            </w:pP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人脸识别误识率≤0.01%的条件下，准确率应99.9%；</w:t>
            </w:r>
          </w:p>
        </w:tc>
      </w:tr>
      <w:tr>
        <w:tblPrEx>
          <w:tblCellMar>
            <w:top w:w="0" w:type="dxa"/>
            <w:left w:w="108" w:type="dxa"/>
            <w:bottom w:w="0" w:type="dxa"/>
            <w:right w:w="108" w:type="dxa"/>
          </w:tblCellMar>
        </w:tblPrEx>
        <w:trPr>
          <w:trHeight w:val="510" w:hRule="atLeast"/>
        </w:trPr>
        <w:tc>
          <w:tcPr>
            <w:tcW w:w="101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color w:val="auto"/>
                <w:szCs w:val="21"/>
                <w:highlight w:val="none"/>
              </w:rPr>
            </w:pP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支持在0.001lux低照度无补光环境下正常实现人脸识别看，人脸识别距离可自定义设置；支持防假体攻击功能，对视频、电子照片、打印照片中的人脸应不能进行人脸识别。</w:t>
            </w:r>
          </w:p>
        </w:tc>
      </w:tr>
      <w:tr>
        <w:tblPrEx>
          <w:tblCellMar>
            <w:top w:w="0" w:type="dxa"/>
            <w:left w:w="108" w:type="dxa"/>
            <w:bottom w:w="0" w:type="dxa"/>
            <w:right w:w="108" w:type="dxa"/>
          </w:tblCellMar>
        </w:tblPrEx>
        <w:trPr>
          <w:trHeight w:val="51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认证方式</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刷卡、人脸、刷卡或人脸、刷卡+人脸、超级密码/胁迫密码；屏下刷卡设计，可读取Mifare卡（IC卡）、CPU卡号及内容、身份证序列号；</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通讯方式</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上行通讯为有线网络；支持外接RS485或Wiegand副读卡器；支持标准韦根34/26；</w:t>
            </w:r>
          </w:p>
        </w:tc>
      </w:tr>
      <w:tr>
        <w:tblPrEx>
          <w:tblCellMar>
            <w:top w:w="0" w:type="dxa"/>
            <w:left w:w="108" w:type="dxa"/>
            <w:bottom w:w="0" w:type="dxa"/>
            <w:right w:w="108" w:type="dxa"/>
          </w:tblCellMar>
        </w:tblPrEx>
        <w:trPr>
          <w:trHeight w:val="51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视频对讲</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支持与云眸、4200客户端、主副室内分机、管理机的视频对讲功能；支持远程视频预览功能，可以通过RTSP协议输出视频码流，编码格式H.264；</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输入接口</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LAN*1、RS485*1、wiegand * 1、USB*1、门磁*1、报警输入*2、防拆*1、开门按钮*1；</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输出接口</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电锁*1个，报警输出*1个</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安装方式</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道闸支架安装，含支架及所有辅材人工。</w:t>
            </w:r>
          </w:p>
        </w:tc>
      </w:tr>
      <w:tr>
        <w:tblPrEx>
          <w:tblCellMar>
            <w:top w:w="0" w:type="dxa"/>
            <w:left w:w="108" w:type="dxa"/>
            <w:bottom w:w="0" w:type="dxa"/>
            <w:right w:w="108" w:type="dxa"/>
          </w:tblCellMar>
        </w:tblPrEx>
        <w:trPr>
          <w:trHeight w:val="270" w:hRule="atLeast"/>
        </w:trPr>
        <w:tc>
          <w:tcPr>
            <w:tcW w:w="101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保修服务</w:t>
            </w:r>
          </w:p>
        </w:tc>
        <w:tc>
          <w:tcPr>
            <w:tcW w:w="3985" w:type="pct"/>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提供原厂3年保修；</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2.14.嵌入式智能出入管理机技术指标</w:t>
      </w:r>
    </w:p>
    <w:tbl>
      <w:tblPr>
        <w:tblStyle w:val="25"/>
        <w:tblW w:w="9628" w:type="dxa"/>
        <w:tblInd w:w="0" w:type="dxa"/>
        <w:tblLayout w:type="fixed"/>
        <w:tblCellMar>
          <w:top w:w="0" w:type="dxa"/>
          <w:left w:w="108" w:type="dxa"/>
          <w:bottom w:w="0" w:type="dxa"/>
          <w:right w:w="108" w:type="dxa"/>
        </w:tblCellMar>
      </w:tblPr>
      <w:tblGrid>
        <w:gridCol w:w="1946"/>
        <w:gridCol w:w="7682"/>
      </w:tblGrid>
      <w:tr>
        <w:trPr>
          <w:trHeight w:val="190" w:hRule="atLeast"/>
        </w:trPr>
        <w:tc>
          <w:tcPr>
            <w:tcW w:w="1946"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Cs/>
                <w:color w:val="auto"/>
                <w:kern w:val="0"/>
                <w:szCs w:val="21"/>
                <w:highlight w:val="none"/>
                <w:lang w:bidi="ar"/>
              </w:rPr>
            </w:pPr>
            <w:r>
              <w:rPr>
                <w:rFonts w:hint="eastAsia" w:ascii="宋体" w:hAnsi="宋体" w:eastAsia="宋体" w:cs="宋体"/>
                <w:b/>
                <w:color w:val="auto"/>
                <w:kern w:val="0"/>
                <w:szCs w:val="21"/>
                <w:highlight w:val="none"/>
                <w:lang w:bidi="ar"/>
              </w:rPr>
              <w:t>指标项</w:t>
            </w:r>
          </w:p>
        </w:tc>
        <w:tc>
          <w:tcPr>
            <w:tcW w:w="7682" w:type="dxa"/>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Cs/>
                <w:color w:val="auto"/>
                <w:kern w:val="0"/>
                <w:szCs w:val="21"/>
                <w:highlight w:val="none"/>
                <w:lang w:bidi="ar"/>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19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top"/>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产品形态</w:t>
            </w:r>
          </w:p>
        </w:tc>
        <w:tc>
          <w:tcPr>
            <w:tcW w:w="7682" w:type="dxa"/>
            <w:tcBorders>
              <w:top w:val="single" w:color="000000" w:sz="4" w:space="0"/>
              <w:left w:val="single" w:color="000000" w:sz="4" w:space="0"/>
              <w:bottom w:val="single" w:color="000000" w:sz="4" w:space="0"/>
              <w:right w:val="single" w:color="000000" w:sz="4" w:space="0"/>
            </w:tcBorders>
            <w:noWrap/>
          </w:tcPr>
          <w:p>
            <w:pPr>
              <w:widowControl/>
              <w:textAlignment w:val="top"/>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嵌入式二维码管理机，可内嵌安装于速通门主机内部；</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兼容性</w:t>
            </w:r>
          </w:p>
        </w:tc>
        <w:tc>
          <w:tcPr>
            <w:tcW w:w="7682" w:type="dxa"/>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▲同步宿管系统名单自动分配开门权限，自动被物联网管理平台识别注册后统一管控（无需另行开发接口）。</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校园一卡通同步</w:t>
            </w:r>
          </w:p>
        </w:tc>
        <w:tc>
          <w:tcPr>
            <w:tcW w:w="7682" w:type="dxa"/>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同步校园一卡通平台，使用校园卡刷卡开门。</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开门方式</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▲支持校园通行码刷码开门、刷卡开门、远程开门、临时密码开门</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零配置</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▲可自动继承服务模块配置，无需额外配置。</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状态指示灯</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状态灯显示颜色不少于7种，每种颜色代表一种状态，用于故障排查。</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离线二维码</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支持钉钉、企业微信智能出入管理小程序离线二维码识别，并实现开门。</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访客开门方式</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支持访客采用刷手机二维码验证开门</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物理尺寸</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长宽厚须均小于：142mm*82mm*19mm</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无线通讯</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支持WIFI无线网络，内置WIFI联网模块</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蓝牙</w:t>
            </w:r>
          </w:p>
        </w:tc>
        <w:tc>
          <w:tcPr>
            <w:tcW w:w="7682" w:type="dxa"/>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支持蓝牙通讯</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固件升级</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支持服务器远程升级。</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通讯方式</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TCP/IP；</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二维码图像传感器</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640*480 CMOS</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二维码读取灵敏度</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倾斜±59.5°  旋转±360°    偏转±63.5°   （70字符15milQR）</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二维码读取速度</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≥100ms/次</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二维码读取距离</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16mm~76mm</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解码模式</w:t>
            </w:r>
          </w:p>
        </w:tc>
        <w:tc>
          <w:tcPr>
            <w:tcW w:w="7682" w:type="dxa"/>
            <w:tcBorders>
              <w:top w:val="single" w:color="000000" w:sz="4" w:space="0"/>
              <w:left w:val="single" w:color="000000" w:sz="4" w:space="0"/>
              <w:bottom w:val="single" w:color="000000" w:sz="4" w:space="0"/>
              <w:right w:val="single" w:color="000000" w:sz="4" w:space="0"/>
            </w:tcBorders>
            <w:noWrap/>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影像式解码引擎</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补光灯</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可设置:感应模式/长亮模式/长灭模式</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刷卡支持</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支持读取物理卡号、支持读写M1卡扇区</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读卡距离</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≤3CM</w:t>
            </w:r>
          </w:p>
        </w:tc>
      </w:tr>
      <w:tr>
        <w:tblPrEx>
          <w:tblCellMar>
            <w:top w:w="0" w:type="dxa"/>
            <w:left w:w="108" w:type="dxa"/>
            <w:bottom w:w="0" w:type="dxa"/>
            <w:right w:w="108" w:type="dxa"/>
          </w:tblCellMar>
        </w:tblPrEx>
        <w:trPr>
          <w:trHeight w:val="480" w:hRule="atLeast"/>
        </w:trPr>
        <w:tc>
          <w:tcPr>
            <w:tcW w:w="194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射频识别</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支持身份证物理ID、NFC手机、Mifare_Ultra Light、Mifare_Ultra Light 01、 Mifare_One(S50)、</w:t>
            </w:r>
          </w:p>
        </w:tc>
      </w:tr>
      <w:tr>
        <w:tblPrEx>
          <w:tblCellMar>
            <w:top w:w="0" w:type="dxa"/>
            <w:left w:w="108" w:type="dxa"/>
            <w:bottom w:w="0" w:type="dxa"/>
            <w:right w:w="108" w:type="dxa"/>
          </w:tblCellMar>
        </w:tblPrEx>
        <w:trPr>
          <w:trHeight w:val="480" w:hRule="atLeast"/>
        </w:trPr>
        <w:tc>
          <w:tcPr>
            <w:tcW w:w="1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color w:val="auto"/>
                <w:szCs w:val="21"/>
                <w:highlight w:val="none"/>
              </w:rPr>
            </w:pP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Mifare_One(S50) 02、Mifare_One(S70)、Mifare_One(S70) 03、Mifare_Pro(X)、Mifare_Pro(X) 04、</w:t>
            </w:r>
          </w:p>
        </w:tc>
      </w:tr>
      <w:tr>
        <w:tblPrEx>
          <w:tblCellMar>
            <w:top w:w="0" w:type="dxa"/>
            <w:left w:w="108" w:type="dxa"/>
            <w:bottom w:w="0" w:type="dxa"/>
            <w:right w:w="108" w:type="dxa"/>
          </w:tblCellMar>
        </w:tblPrEx>
        <w:trPr>
          <w:trHeight w:val="270" w:hRule="atLeast"/>
        </w:trPr>
        <w:tc>
          <w:tcPr>
            <w:tcW w:w="194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bCs/>
                <w:color w:val="auto"/>
                <w:szCs w:val="21"/>
                <w:highlight w:val="none"/>
              </w:rPr>
            </w:pP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Mifare_Desire 、Mifare_Desire 05</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工作电压</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DC 12-24V</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工作电流</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&lt;=100mA</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工作温度</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工作温度：-20℃~70℃</w:t>
            </w:r>
          </w:p>
        </w:tc>
      </w:tr>
      <w:tr>
        <w:tblPrEx>
          <w:tblCellMar>
            <w:top w:w="0" w:type="dxa"/>
            <w:left w:w="108" w:type="dxa"/>
            <w:bottom w:w="0" w:type="dxa"/>
            <w:right w:w="108" w:type="dxa"/>
          </w:tblCellMar>
        </w:tblPrEx>
        <w:trPr>
          <w:trHeight w:val="27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工作湿度</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5%~95%RH，无冷凝</w:t>
            </w:r>
          </w:p>
        </w:tc>
      </w:tr>
      <w:tr>
        <w:tblPrEx>
          <w:tblCellMar>
            <w:top w:w="0" w:type="dxa"/>
            <w:left w:w="108" w:type="dxa"/>
            <w:bottom w:w="0" w:type="dxa"/>
            <w:right w:w="108" w:type="dxa"/>
          </w:tblCellMar>
        </w:tblPrEx>
        <w:trPr>
          <w:trHeight w:val="480" w:hRule="atLeast"/>
        </w:trPr>
        <w:tc>
          <w:tcPr>
            <w:tcW w:w="194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安装实施</w:t>
            </w:r>
          </w:p>
        </w:tc>
        <w:tc>
          <w:tcPr>
            <w:tcW w:w="7682" w:type="dxa"/>
            <w:tcBorders>
              <w:top w:val="single" w:color="000000" w:sz="4" w:space="0"/>
              <w:left w:val="single" w:color="000000" w:sz="4" w:space="0"/>
              <w:bottom w:val="single" w:color="000000" w:sz="4" w:space="0"/>
              <w:right w:val="single" w:color="000000" w:sz="4" w:space="0"/>
            </w:tcBorders>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现场安装调试。按服务要求同步各个应用系统，实现平台管理各功能，如实施过程中遇到需要使用额外材料所产生的人工费和材料费等一切费用均由中标单位承担。</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2.15.16口千兆交换机技术指标</w:t>
      </w:r>
    </w:p>
    <w:tbl>
      <w:tblPr>
        <w:tblStyle w:val="25"/>
        <w:tblW w:w="4998" w:type="pct"/>
        <w:tblInd w:w="0" w:type="dxa"/>
        <w:tblLayout w:type="autofit"/>
        <w:tblCellMar>
          <w:top w:w="0" w:type="dxa"/>
          <w:left w:w="108" w:type="dxa"/>
          <w:bottom w:w="0" w:type="dxa"/>
          <w:right w:w="108" w:type="dxa"/>
        </w:tblCellMar>
      </w:tblPr>
      <w:tblGrid>
        <w:gridCol w:w="1958"/>
        <w:gridCol w:w="7666"/>
      </w:tblGrid>
      <w:tr>
        <w:tblPrEx>
          <w:tblCellMar>
            <w:top w:w="0" w:type="dxa"/>
            <w:left w:w="108" w:type="dxa"/>
            <w:bottom w:w="0" w:type="dxa"/>
            <w:right w:w="108" w:type="dxa"/>
          </w:tblCellMar>
        </w:tblPrEx>
        <w:trPr>
          <w:trHeight w:val="270" w:hRule="atLeast"/>
        </w:trPr>
        <w:tc>
          <w:tcPr>
            <w:tcW w:w="1017" w:type="pct"/>
            <w:tcBorders>
              <w:top w:val="single" w:color="000000" w:sz="4" w:space="0"/>
              <w:left w:val="single" w:color="000000" w:sz="4" w:space="0"/>
              <w:bottom w:val="single" w:color="000000" w:sz="4" w:space="0"/>
              <w:right w:val="single" w:color="000000" w:sz="4" w:space="0"/>
            </w:tcBorders>
            <w:noWrap/>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指标项</w:t>
            </w:r>
          </w:p>
        </w:tc>
        <w:tc>
          <w:tcPr>
            <w:tcW w:w="3982" w:type="pc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color w:val="auto"/>
                <w:szCs w:val="21"/>
                <w:highlight w:val="none"/>
              </w:rPr>
            </w:pPr>
            <w:r>
              <w:rPr>
                <w:rFonts w:hint="eastAsia" w:ascii="宋体" w:hAnsi="宋体" w:eastAsia="宋体" w:cs="宋体"/>
                <w:b/>
                <w:color w:val="auto"/>
                <w:kern w:val="0"/>
                <w:szCs w:val="21"/>
                <w:highlight w:val="none"/>
                <w:lang w:bidi="ar"/>
              </w:rPr>
              <w:t>技术参数</w:t>
            </w:r>
          </w:p>
        </w:tc>
      </w:tr>
      <w:tr>
        <w:tblPrEx>
          <w:tblCellMar>
            <w:top w:w="0" w:type="dxa"/>
            <w:left w:w="108" w:type="dxa"/>
            <w:bottom w:w="0" w:type="dxa"/>
            <w:right w:w="108" w:type="dxa"/>
          </w:tblCellMar>
        </w:tblPrEx>
        <w:trPr>
          <w:trHeight w:val="270" w:hRule="atLeast"/>
        </w:trPr>
        <w:tc>
          <w:tcPr>
            <w:tcW w:w="10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端口</w:t>
            </w: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≥16个10/100/1000Base-T RJ45端口</w:t>
            </w:r>
          </w:p>
        </w:tc>
      </w:tr>
      <w:tr>
        <w:tblPrEx>
          <w:tblCellMar>
            <w:top w:w="0" w:type="dxa"/>
            <w:left w:w="108" w:type="dxa"/>
            <w:bottom w:w="0" w:type="dxa"/>
            <w:right w:w="108" w:type="dxa"/>
          </w:tblCellMar>
        </w:tblPrEx>
        <w:trPr>
          <w:trHeight w:val="397" w:hRule="atLeast"/>
        </w:trPr>
        <w:tc>
          <w:tcPr>
            <w:tcW w:w="10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MAC地址容量</w:t>
            </w: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≥8K</w:t>
            </w:r>
          </w:p>
        </w:tc>
      </w:tr>
      <w:tr>
        <w:tblPrEx>
          <w:tblCellMar>
            <w:top w:w="0" w:type="dxa"/>
            <w:left w:w="108" w:type="dxa"/>
            <w:bottom w:w="0" w:type="dxa"/>
            <w:right w:w="108" w:type="dxa"/>
          </w:tblCellMar>
        </w:tblPrEx>
        <w:trPr>
          <w:trHeight w:val="510" w:hRule="atLeast"/>
        </w:trPr>
        <w:tc>
          <w:tcPr>
            <w:tcW w:w="10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模式开关</w:t>
            </w: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支持Web管理、VLAN隔离、标准交换三种工作模式</w:t>
            </w:r>
          </w:p>
        </w:tc>
      </w:tr>
      <w:tr>
        <w:tblPrEx>
          <w:tblCellMar>
            <w:top w:w="0" w:type="dxa"/>
            <w:left w:w="108" w:type="dxa"/>
            <w:bottom w:w="0" w:type="dxa"/>
            <w:right w:w="108" w:type="dxa"/>
          </w:tblCellMar>
        </w:tblPrEx>
        <w:trPr>
          <w:trHeight w:val="1095" w:hRule="atLeast"/>
        </w:trPr>
        <w:tc>
          <w:tcPr>
            <w:tcW w:w="10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商云功能</w:t>
            </w:r>
          </w:p>
        </w:tc>
        <w:tc>
          <w:tcPr>
            <w:tcW w:w="3982" w:type="pc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支持快速开局</w:t>
            </w:r>
          </w:p>
          <w:p>
            <w:pPr>
              <w:widowControl/>
              <w:textAlignment w:val="center"/>
              <w:rPr>
                <w:rFonts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支持设备信息上报</w:t>
            </w:r>
          </w:p>
          <w:p>
            <w:pPr>
              <w:widowControl/>
              <w:textAlignment w:val="center"/>
              <w:rPr>
                <w:rFonts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支持告警推送</w:t>
            </w:r>
          </w:p>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支持设备远程运维</w:t>
            </w:r>
          </w:p>
        </w:tc>
      </w:tr>
      <w:tr>
        <w:tblPrEx>
          <w:tblCellMar>
            <w:top w:w="0" w:type="dxa"/>
            <w:left w:w="108" w:type="dxa"/>
            <w:bottom w:w="0" w:type="dxa"/>
            <w:right w:w="108" w:type="dxa"/>
          </w:tblCellMar>
        </w:tblPrEx>
        <w:trPr>
          <w:trHeight w:val="510" w:hRule="atLeast"/>
        </w:trPr>
        <w:tc>
          <w:tcPr>
            <w:tcW w:w="101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网络管理功能</w:t>
            </w: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支持通过商云APP、商云网络云平台（Web端）进行远程管理</w:t>
            </w:r>
          </w:p>
        </w:tc>
      </w:tr>
      <w:tr>
        <w:tblPrEx>
          <w:tblCellMar>
            <w:top w:w="0" w:type="dxa"/>
            <w:left w:w="108" w:type="dxa"/>
            <w:bottom w:w="0" w:type="dxa"/>
            <w:right w:w="108" w:type="dxa"/>
          </w:tblCellMar>
        </w:tblPrEx>
        <w:trPr>
          <w:trHeight w:val="285"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支持本地Web管理</w:t>
            </w:r>
          </w:p>
        </w:tc>
      </w:tr>
      <w:tr>
        <w:tblPrEx>
          <w:tblCellMar>
            <w:top w:w="0" w:type="dxa"/>
            <w:left w:w="108" w:type="dxa"/>
            <w:bottom w:w="0" w:type="dxa"/>
            <w:right w:w="108" w:type="dxa"/>
          </w:tblCellMar>
        </w:tblPrEx>
        <w:trPr>
          <w:trHeight w:val="285"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支持802.1Q VLAN、MTU VLAN、端口VLAN</w:t>
            </w:r>
          </w:p>
        </w:tc>
      </w:tr>
      <w:tr>
        <w:tblPrEx>
          <w:tblCellMar>
            <w:top w:w="0" w:type="dxa"/>
            <w:left w:w="108" w:type="dxa"/>
            <w:bottom w:w="0" w:type="dxa"/>
            <w:right w:w="108" w:type="dxa"/>
          </w:tblCellMar>
        </w:tblPrEx>
        <w:trPr>
          <w:trHeight w:val="285"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支持配置端口流控、双工、开启/关闭</w:t>
            </w:r>
          </w:p>
        </w:tc>
      </w:tr>
      <w:tr>
        <w:tblPrEx>
          <w:tblCellMar>
            <w:top w:w="0" w:type="dxa"/>
            <w:left w:w="108" w:type="dxa"/>
            <w:bottom w:w="0" w:type="dxa"/>
            <w:right w:w="108" w:type="dxa"/>
          </w:tblCellMar>
        </w:tblPrEx>
        <w:trPr>
          <w:trHeight w:val="285"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支持端口汇聚、端口监控、端口隔离、端口流量统计</w:t>
            </w:r>
          </w:p>
        </w:tc>
      </w:tr>
      <w:tr>
        <w:tblPrEx>
          <w:tblCellMar>
            <w:top w:w="0" w:type="dxa"/>
            <w:left w:w="108" w:type="dxa"/>
            <w:bottom w:w="0" w:type="dxa"/>
            <w:right w:w="108" w:type="dxa"/>
          </w:tblCellMar>
        </w:tblPrEx>
        <w:trPr>
          <w:trHeight w:val="285"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支持DHCP Snooping</w:t>
            </w:r>
          </w:p>
        </w:tc>
      </w:tr>
      <w:tr>
        <w:tblPrEx>
          <w:tblCellMar>
            <w:top w:w="0" w:type="dxa"/>
            <w:left w:w="108" w:type="dxa"/>
            <w:bottom w:w="0" w:type="dxa"/>
            <w:right w:w="108" w:type="dxa"/>
          </w:tblCellMar>
        </w:tblPrEx>
        <w:trPr>
          <w:trHeight w:val="285"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支持QoS、端口出/入口限速、风暴抑制</w:t>
            </w:r>
          </w:p>
        </w:tc>
      </w:tr>
      <w:tr>
        <w:tblPrEx>
          <w:tblCellMar>
            <w:top w:w="0" w:type="dxa"/>
            <w:left w:w="108" w:type="dxa"/>
            <w:bottom w:w="0" w:type="dxa"/>
            <w:right w:w="108" w:type="dxa"/>
          </w:tblCellMar>
        </w:tblPrEx>
        <w:trPr>
          <w:trHeight w:val="285"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支持线缆检测、环回检测</w:t>
            </w:r>
          </w:p>
        </w:tc>
      </w:tr>
      <w:tr>
        <w:tblPrEx>
          <w:tblCellMar>
            <w:top w:w="0" w:type="dxa"/>
            <w:left w:w="108" w:type="dxa"/>
            <w:bottom w:w="0" w:type="dxa"/>
            <w:right w:w="108" w:type="dxa"/>
          </w:tblCellMar>
        </w:tblPrEx>
        <w:trPr>
          <w:trHeight w:val="270" w:hRule="atLeast"/>
        </w:trPr>
        <w:tc>
          <w:tcPr>
            <w:tcW w:w="10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物理尺寸</w:t>
            </w: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w:t>
            </w:r>
            <w:r>
              <w:rPr>
                <w:rFonts w:hint="eastAsia" w:ascii="宋体" w:hAnsi="宋体" w:eastAsia="宋体" w:cs="宋体"/>
                <w:bCs/>
                <w:color w:val="auto"/>
                <w:kern w:val="0"/>
                <w:szCs w:val="21"/>
                <w:highlight w:val="none"/>
                <w:lang w:bidi="ar"/>
              </w:rPr>
              <w:t>长宽高均不大于290mm*115mm*28mm</w:t>
            </w:r>
          </w:p>
        </w:tc>
      </w:tr>
      <w:tr>
        <w:tblPrEx>
          <w:tblCellMar>
            <w:top w:w="0" w:type="dxa"/>
            <w:left w:w="108" w:type="dxa"/>
            <w:bottom w:w="0" w:type="dxa"/>
            <w:right w:w="108" w:type="dxa"/>
          </w:tblCellMar>
        </w:tblPrEx>
        <w:trPr>
          <w:trHeight w:val="285" w:hRule="atLeast"/>
        </w:trPr>
        <w:tc>
          <w:tcPr>
            <w:tcW w:w="10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输入电源</w:t>
            </w: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12VDC/1A</w:t>
            </w:r>
          </w:p>
        </w:tc>
      </w:tr>
      <w:tr>
        <w:tblPrEx>
          <w:tblCellMar>
            <w:top w:w="0" w:type="dxa"/>
            <w:left w:w="108" w:type="dxa"/>
            <w:bottom w:w="0" w:type="dxa"/>
            <w:right w:w="108" w:type="dxa"/>
          </w:tblCellMar>
        </w:tblPrEx>
        <w:trPr>
          <w:trHeight w:val="285" w:hRule="atLeast"/>
        </w:trPr>
        <w:tc>
          <w:tcPr>
            <w:tcW w:w="1017"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使用环境</w:t>
            </w: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工作温度：0℃～40℃</w:t>
            </w:r>
          </w:p>
        </w:tc>
      </w:tr>
      <w:tr>
        <w:tblPrEx>
          <w:tblCellMar>
            <w:top w:w="0" w:type="dxa"/>
            <w:left w:w="108" w:type="dxa"/>
            <w:bottom w:w="0" w:type="dxa"/>
            <w:right w:w="108" w:type="dxa"/>
          </w:tblCellMar>
        </w:tblPrEx>
        <w:trPr>
          <w:trHeight w:val="285"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存储温度：-40℃～70℃</w:t>
            </w:r>
          </w:p>
        </w:tc>
      </w:tr>
      <w:tr>
        <w:tblPrEx>
          <w:tblCellMar>
            <w:top w:w="0" w:type="dxa"/>
            <w:left w:w="108" w:type="dxa"/>
            <w:bottom w:w="0" w:type="dxa"/>
            <w:right w:w="108" w:type="dxa"/>
          </w:tblCellMar>
        </w:tblPrEx>
        <w:trPr>
          <w:trHeight w:val="270"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工作湿度：10%～90% RH不凝结</w:t>
            </w:r>
          </w:p>
        </w:tc>
      </w:tr>
      <w:tr>
        <w:tblPrEx>
          <w:tblCellMar>
            <w:top w:w="0" w:type="dxa"/>
            <w:left w:w="108" w:type="dxa"/>
            <w:bottom w:w="0" w:type="dxa"/>
            <w:right w:w="108" w:type="dxa"/>
          </w:tblCellMar>
        </w:tblPrEx>
        <w:trPr>
          <w:trHeight w:val="270" w:hRule="atLeast"/>
        </w:trPr>
        <w:tc>
          <w:tcPr>
            <w:tcW w:w="1017"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eastAsia="宋体" w:cs="宋体"/>
                <w:bCs/>
                <w:color w:val="auto"/>
                <w:szCs w:val="21"/>
                <w:highlight w:val="none"/>
              </w:rPr>
            </w:pP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存储湿度：5%～90% RH不凝结</w:t>
            </w:r>
          </w:p>
        </w:tc>
      </w:tr>
      <w:tr>
        <w:tblPrEx>
          <w:tblCellMar>
            <w:top w:w="0" w:type="dxa"/>
            <w:left w:w="108" w:type="dxa"/>
            <w:bottom w:w="0" w:type="dxa"/>
            <w:right w:w="108" w:type="dxa"/>
          </w:tblCellMar>
        </w:tblPrEx>
        <w:trPr>
          <w:trHeight w:val="270" w:hRule="atLeast"/>
        </w:trPr>
        <w:tc>
          <w:tcPr>
            <w:tcW w:w="101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售后服务</w:t>
            </w:r>
          </w:p>
        </w:tc>
        <w:tc>
          <w:tcPr>
            <w:tcW w:w="3982" w:type="pct"/>
            <w:tcBorders>
              <w:top w:val="single" w:color="000000" w:sz="4" w:space="0"/>
              <w:left w:val="single" w:color="000000" w:sz="4" w:space="0"/>
              <w:bottom w:val="single" w:color="000000" w:sz="4" w:space="0"/>
              <w:right w:val="single" w:color="000000" w:sz="4" w:space="0"/>
            </w:tcBorders>
            <w:noWrap/>
            <w:vAlign w:val="center"/>
          </w:tcPr>
          <w:p>
            <w:pPr>
              <w:widowControl/>
              <w:textAlignment w:val="center"/>
              <w:rPr>
                <w:rFonts w:ascii="宋体" w:hAnsi="宋体" w:eastAsia="宋体" w:cs="宋体"/>
                <w:bCs/>
                <w:color w:val="auto"/>
                <w:szCs w:val="21"/>
                <w:highlight w:val="none"/>
              </w:rPr>
            </w:pPr>
            <w:r>
              <w:rPr>
                <w:rFonts w:hint="eastAsia" w:ascii="宋体" w:hAnsi="宋体" w:eastAsia="宋体" w:cs="宋体"/>
                <w:bCs/>
                <w:color w:val="auto"/>
                <w:kern w:val="0"/>
                <w:szCs w:val="21"/>
                <w:highlight w:val="none"/>
                <w:lang w:bidi="ar"/>
              </w:rPr>
              <w:t>免费质保三年，故障48小时不能修复，供应商承诺更换新设备。</w:t>
            </w:r>
          </w:p>
        </w:tc>
      </w:tr>
    </w:tbl>
    <w:p>
      <w:pPr>
        <w:rPr>
          <w:rFonts w:ascii="Hiragino Sans GB W3" w:hAnsi="Hiragino Sans GB W3" w:eastAsia="Hiragino Sans GB W3" w:cs="Hiragino Sans GB W3"/>
          <w:bCs/>
          <w:color w:val="auto"/>
          <w:szCs w:val="21"/>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2.16.一键全开技术指标</w:t>
      </w:r>
    </w:p>
    <w:tbl>
      <w:tblPr>
        <w:tblStyle w:val="25"/>
        <w:tblW w:w="4998" w:type="pct"/>
        <w:tblInd w:w="0" w:type="dxa"/>
        <w:tblLayout w:type="autofit"/>
        <w:tblCellMar>
          <w:top w:w="0" w:type="dxa"/>
          <w:left w:w="108" w:type="dxa"/>
          <w:bottom w:w="0" w:type="dxa"/>
          <w:right w:w="108" w:type="dxa"/>
        </w:tblCellMar>
      </w:tblPr>
      <w:tblGrid>
        <w:gridCol w:w="1969"/>
        <w:gridCol w:w="7655"/>
      </w:tblGrid>
      <w:tr>
        <w:tblPrEx>
          <w:tblCellMar>
            <w:top w:w="0" w:type="dxa"/>
            <w:left w:w="108" w:type="dxa"/>
            <w:bottom w:w="0" w:type="dxa"/>
            <w:right w:w="108" w:type="dxa"/>
          </w:tblCellMar>
        </w:tblPrEx>
        <w:trPr>
          <w:trHeight w:val="315" w:hRule="atLeast"/>
        </w:trPr>
        <w:tc>
          <w:tcPr>
            <w:tcW w:w="1023"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指标项</w:t>
            </w:r>
          </w:p>
        </w:tc>
        <w:tc>
          <w:tcPr>
            <w:tcW w:w="3976"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b/>
                <w:color w:val="auto"/>
                <w:szCs w:val="21"/>
                <w:highlight w:val="none"/>
              </w:rPr>
            </w:pPr>
            <w:r>
              <w:rPr>
                <w:rFonts w:hint="eastAsia" w:ascii="宋体" w:hAnsi="宋体" w:eastAsia="宋体" w:cs="宋体"/>
                <w:b/>
                <w:color w:val="auto"/>
                <w:szCs w:val="21"/>
                <w:highlight w:val="none"/>
              </w:rPr>
              <w:t>技术参数</w:t>
            </w:r>
          </w:p>
        </w:tc>
      </w:tr>
      <w:tr>
        <w:tblPrEx>
          <w:tblCellMar>
            <w:top w:w="0" w:type="dxa"/>
            <w:left w:w="108" w:type="dxa"/>
            <w:bottom w:w="0" w:type="dxa"/>
            <w:right w:w="108" w:type="dxa"/>
          </w:tblCellMar>
        </w:tblPrEx>
        <w:trPr>
          <w:trHeight w:val="315" w:hRule="atLeast"/>
        </w:trPr>
        <w:tc>
          <w:tcPr>
            <w:tcW w:w="1023"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一键开关</w:t>
            </w:r>
          </w:p>
        </w:tc>
        <w:tc>
          <w:tcPr>
            <w:tcW w:w="3976"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在一个楼宇范围内，一键打开所有逃生通道门禁和人行道闸。</w:t>
            </w:r>
          </w:p>
        </w:tc>
      </w:tr>
      <w:tr>
        <w:tblPrEx>
          <w:tblCellMar>
            <w:top w:w="0" w:type="dxa"/>
            <w:left w:w="108" w:type="dxa"/>
            <w:bottom w:w="0" w:type="dxa"/>
            <w:right w:w="108" w:type="dxa"/>
          </w:tblCellMar>
        </w:tblPrEx>
        <w:trPr>
          <w:trHeight w:val="315" w:hRule="atLeast"/>
        </w:trPr>
        <w:tc>
          <w:tcPr>
            <w:tcW w:w="1023" w:type="pct"/>
            <w:tcBorders>
              <w:top w:val="single" w:color="000000" w:sz="4" w:space="0"/>
              <w:left w:val="single" w:color="000000" w:sz="4" w:space="0"/>
              <w:bottom w:val="single" w:color="000000" w:sz="4" w:space="0"/>
              <w:right w:val="single" w:color="000000" w:sz="4" w:space="0"/>
            </w:tcBorders>
          </w:tcPr>
          <w:p>
            <w:pPr>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使用环境</w:t>
            </w:r>
          </w:p>
        </w:tc>
        <w:tc>
          <w:tcPr>
            <w:tcW w:w="3976" w:type="pct"/>
            <w:tcBorders>
              <w:top w:val="single" w:color="000000" w:sz="4" w:space="0"/>
              <w:left w:val="single" w:color="000000" w:sz="4" w:space="0"/>
              <w:bottom w:val="single" w:color="000000" w:sz="4" w:space="0"/>
              <w:right w:val="single" w:color="000000" w:sz="4" w:space="0"/>
            </w:tcBorders>
          </w:tcPr>
          <w:p>
            <w:pPr>
              <w:textAlignment w:val="top"/>
              <w:rPr>
                <w:rFonts w:ascii="宋体" w:hAnsi="宋体" w:eastAsia="宋体" w:cs="宋体"/>
                <w:bCs/>
                <w:color w:val="auto"/>
                <w:szCs w:val="21"/>
                <w:highlight w:val="none"/>
              </w:rPr>
            </w:pPr>
            <w:r>
              <w:rPr>
                <w:rFonts w:hint="eastAsia" w:ascii="宋体" w:hAnsi="宋体" w:eastAsia="宋体" w:cs="宋体"/>
                <w:bCs/>
                <w:color w:val="auto"/>
                <w:szCs w:val="21"/>
                <w:highlight w:val="none"/>
              </w:rPr>
              <w:t>支持在无网络通信的情况下使用。</w:t>
            </w:r>
          </w:p>
        </w:tc>
      </w:tr>
      <w:tr>
        <w:tblPrEx>
          <w:tblCellMar>
            <w:top w:w="0" w:type="dxa"/>
            <w:left w:w="108" w:type="dxa"/>
            <w:bottom w:w="0" w:type="dxa"/>
            <w:right w:w="108" w:type="dxa"/>
          </w:tblCellMar>
        </w:tblPrEx>
        <w:trPr>
          <w:trHeight w:val="81" w:hRule="atLeast"/>
        </w:trPr>
        <w:tc>
          <w:tcPr>
            <w:tcW w:w="1023" w:type="pct"/>
            <w:tcBorders>
              <w:top w:val="single" w:color="000000" w:sz="4" w:space="0"/>
              <w:left w:val="single" w:color="000000" w:sz="4" w:space="0"/>
              <w:bottom w:val="single" w:color="000000" w:sz="4" w:space="0"/>
              <w:right w:val="single" w:color="000000" w:sz="4" w:space="0"/>
            </w:tcBorders>
            <w:noWrap/>
          </w:tcPr>
          <w:p>
            <w:pPr>
              <w:jc w:val="cente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质保期</w:t>
            </w:r>
          </w:p>
        </w:tc>
        <w:tc>
          <w:tcPr>
            <w:tcW w:w="3976" w:type="pct"/>
            <w:tcBorders>
              <w:top w:val="single" w:color="000000" w:sz="4" w:space="0"/>
              <w:left w:val="single" w:color="000000" w:sz="4" w:space="0"/>
              <w:bottom w:val="single" w:color="000000" w:sz="4" w:space="0"/>
              <w:right w:val="single" w:color="000000" w:sz="4" w:space="0"/>
            </w:tcBorders>
            <w:noWrap/>
          </w:tcPr>
          <w:p>
            <w:pPr>
              <w:textAlignment w:val="center"/>
              <w:rPr>
                <w:rFonts w:ascii="宋体" w:hAnsi="宋体" w:eastAsia="宋体" w:cs="宋体"/>
                <w:bCs/>
                <w:color w:val="auto"/>
                <w:szCs w:val="21"/>
                <w:highlight w:val="none"/>
              </w:rPr>
            </w:pPr>
            <w:r>
              <w:rPr>
                <w:rFonts w:hint="eastAsia" w:ascii="宋体" w:hAnsi="宋体" w:eastAsia="宋体" w:cs="宋体"/>
                <w:bCs/>
                <w:color w:val="auto"/>
                <w:szCs w:val="21"/>
                <w:highlight w:val="none"/>
              </w:rPr>
              <w:t>三年质保期</w:t>
            </w:r>
          </w:p>
        </w:tc>
      </w:tr>
    </w:tbl>
    <w:p>
      <w:pPr>
        <w:rPr>
          <w:rFonts w:ascii="Hiragino Sans GB W3" w:hAnsi="Hiragino Sans GB W3" w:eastAsia="Hiragino Sans GB W3" w:cs="Hiragino Sans GB W3"/>
          <w:bCs/>
          <w:color w:val="auto"/>
          <w:szCs w:val="21"/>
          <w:highlight w:val="none"/>
        </w:rPr>
      </w:pPr>
    </w:p>
    <w:p>
      <w:pPr>
        <w:pStyle w:val="9"/>
        <w:rPr>
          <w:color w:val="auto"/>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2.17 APP手机端管理程序技术指标</w:t>
      </w:r>
    </w:p>
    <w:tbl>
      <w:tblPr>
        <w:tblStyle w:val="25"/>
        <w:tblW w:w="4998" w:type="pct"/>
        <w:tblInd w:w="0" w:type="dxa"/>
        <w:tblLayout w:type="autofit"/>
        <w:tblCellMar>
          <w:top w:w="0" w:type="dxa"/>
          <w:left w:w="108" w:type="dxa"/>
          <w:bottom w:w="0" w:type="dxa"/>
          <w:right w:w="108" w:type="dxa"/>
        </w:tblCellMar>
      </w:tblPr>
      <w:tblGrid>
        <w:gridCol w:w="1969"/>
        <w:gridCol w:w="7655"/>
      </w:tblGrid>
      <w:tr>
        <w:tblPrEx>
          <w:tblCellMar>
            <w:top w:w="0" w:type="dxa"/>
            <w:left w:w="108" w:type="dxa"/>
            <w:bottom w:w="0" w:type="dxa"/>
            <w:right w:w="108" w:type="dxa"/>
          </w:tblCellMar>
        </w:tblPrEx>
        <w:trPr>
          <w:trHeight w:val="352"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Cs w:val="21"/>
                <w:highlight w:val="none"/>
              </w:rPr>
            </w:pPr>
            <w:r>
              <w:rPr>
                <w:rStyle w:val="112"/>
                <w:rFonts w:hint="default"/>
                <w:b/>
                <w:bCs/>
                <w:color w:val="auto"/>
                <w:sz w:val="21"/>
                <w:szCs w:val="21"/>
                <w:highlight w:val="none"/>
                <w:lang w:bidi="ar"/>
              </w:rPr>
              <w:t>指标项</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技术指标</w:t>
            </w:r>
          </w:p>
        </w:tc>
      </w:tr>
      <w:tr>
        <w:tblPrEx>
          <w:tblCellMar>
            <w:top w:w="0" w:type="dxa"/>
            <w:left w:w="108" w:type="dxa"/>
            <w:bottom w:w="0" w:type="dxa"/>
            <w:right w:w="108" w:type="dxa"/>
          </w:tblCellMar>
        </w:tblPrEx>
        <w:trPr>
          <w:trHeight w:val="352"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管理</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集成企业微信、钉钉身份验证自动登录移动端管理后台</w:t>
            </w:r>
          </w:p>
        </w:tc>
      </w:tr>
      <w:tr>
        <w:tblPrEx>
          <w:tblCellMar>
            <w:top w:w="0" w:type="dxa"/>
            <w:left w:w="108" w:type="dxa"/>
            <w:bottom w:w="0" w:type="dxa"/>
            <w:right w:w="108" w:type="dxa"/>
          </w:tblCellMar>
        </w:tblPrEx>
        <w:trPr>
          <w:trHeight w:val="102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Style w:val="112"/>
                <w:rFonts w:hint="default"/>
                <w:color w:val="auto"/>
                <w:sz w:val="21"/>
                <w:szCs w:val="21"/>
                <w:highlight w:val="none"/>
                <w:lang w:bidi="ar"/>
              </w:rPr>
              <w:t>个人权限管理</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实现小程序远程开门，添加删除授权，获取临时密码，查看开门日志；按用户身份信息生成动态二维码、可配置二维码刷新时间、二维码自动刷新。可使用改二维码实现开门，门禁设备断网离线状态下使用改二维码也可以开门（包含磁力锁、智能锁等多类门锁）</w:t>
            </w:r>
          </w:p>
        </w:tc>
      </w:tr>
      <w:tr>
        <w:tblPrEx>
          <w:tblCellMar>
            <w:top w:w="0" w:type="dxa"/>
            <w:left w:w="108" w:type="dxa"/>
            <w:bottom w:w="0" w:type="dxa"/>
            <w:right w:w="108" w:type="dxa"/>
          </w:tblCellMar>
        </w:tblPrEx>
        <w:trPr>
          <w:trHeight w:val="68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Style w:val="112"/>
                <w:rFonts w:hint="default"/>
                <w:color w:val="auto"/>
                <w:sz w:val="21"/>
                <w:szCs w:val="21"/>
                <w:highlight w:val="none"/>
                <w:lang w:bidi="ar"/>
              </w:rPr>
              <w:t>离线二维码</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w:t>
            </w:r>
            <w:r>
              <w:rPr>
                <w:rStyle w:val="112"/>
                <w:rFonts w:hint="default"/>
                <w:color w:val="auto"/>
                <w:sz w:val="21"/>
                <w:szCs w:val="21"/>
                <w:highlight w:val="none"/>
                <w:lang w:bidi="ar"/>
              </w:rPr>
              <w:t>设备断网的时候，可通过小程序申请离线二维码；在服务端可设置此二维码的有效期；同一个二维码，支持在线和设备断网离线状态下使用。</w:t>
            </w:r>
          </w:p>
        </w:tc>
      </w:tr>
      <w:tr>
        <w:tblPrEx>
          <w:tblCellMar>
            <w:top w:w="0" w:type="dxa"/>
            <w:left w:w="108" w:type="dxa"/>
            <w:bottom w:w="0" w:type="dxa"/>
            <w:right w:w="108" w:type="dxa"/>
          </w:tblCellMar>
        </w:tblPrEx>
        <w:trPr>
          <w:trHeight w:val="68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Style w:val="112"/>
                <w:rFonts w:hint="default"/>
                <w:color w:val="auto"/>
                <w:sz w:val="21"/>
                <w:szCs w:val="21"/>
                <w:highlight w:val="none"/>
                <w:lang w:bidi="ar"/>
              </w:rPr>
              <w:t>门禁管理</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查看门禁状态、门锁电量、门状态（门的开和关）、开门记录、授权信息；添加门禁授权、删除门禁授权、冻结门禁授权；</w:t>
            </w:r>
          </w:p>
        </w:tc>
      </w:tr>
      <w:tr>
        <w:tblPrEx>
          <w:tblCellMar>
            <w:top w:w="0" w:type="dxa"/>
            <w:left w:w="108" w:type="dxa"/>
            <w:bottom w:w="0" w:type="dxa"/>
            <w:right w:w="108" w:type="dxa"/>
          </w:tblCellMar>
        </w:tblPrEx>
        <w:trPr>
          <w:trHeight w:val="352"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Style w:val="112"/>
                <w:rFonts w:hint="default"/>
                <w:color w:val="auto"/>
                <w:sz w:val="21"/>
                <w:szCs w:val="21"/>
                <w:highlight w:val="none"/>
                <w:lang w:bidi="ar"/>
              </w:rPr>
              <w:t>人脸管理</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上传人脸照片，可自动更新至人脸门禁设备</w:t>
            </w:r>
          </w:p>
        </w:tc>
      </w:tr>
      <w:tr>
        <w:tblPrEx>
          <w:tblCellMar>
            <w:top w:w="0" w:type="dxa"/>
            <w:left w:w="108" w:type="dxa"/>
            <w:bottom w:w="0" w:type="dxa"/>
            <w:right w:w="108" w:type="dxa"/>
          </w:tblCellMar>
        </w:tblPrEx>
        <w:trPr>
          <w:trHeight w:val="352"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远程开门</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支持远程开门，在门禁离线状态下可获取智能门锁的离线临时密码</w:t>
            </w:r>
          </w:p>
        </w:tc>
      </w:tr>
      <w:tr>
        <w:tblPrEx>
          <w:tblCellMar>
            <w:top w:w="0" w:type="dxa"/>
            <w:left w:w="108" w:type="dxa"/>
            <w:bottom w:w="0" w:type="dxa"/>
            <w:right w:w="108" w:type="dxa"/>
          </w:tblCellMar>
        </w:tblPrEx>
        <w:trPr>
          <w:trHeight w:val="352" w:hRule="atLeast"/>
        </w:trPr>
        <w:tc>
          <w:tcPr>
            <w:tcW w:w="1023"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手机管理</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移动端可对本次采购木门智能锁，断桥铝智能锁，无框玻璃智能锁，磁力锁进行远程授权及开门，授权时能在移动端设备查询条件实现批量授权及远程开门。</w:t>
            </w:r>
          </w:p>
        </w:tc>
      </w:tr>
      <w:tr>
        <w:tblPrEx>
          <w:tblCellMar>
            <w:top w:w="0" w:type="dxa"/>
            <w:left w:w="108" w:type="dxa"/>
            <w:bottom w:w="0" w:type="dxa"/>
            <w:right w:w="108" w:type="dxa"/>
          </w:tblCellMar>
        </w:tblPrEx>
        <w:trPr>
          <w:trHeight w:val="352" w:hRule="atLeast"/>
        </w:trPr>
        <w:tc>
          <w:tcPr>
            <w:tcW w:w="1023" w:type="pct"/>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kern w:val="0"/>
                <w:szCs w:val="21"/>
                <w:highlight w:val="none"/>
                <w:lang w:bidi="ar"/>
              </w:rPr>
            </w:pP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移动端可在线查询本次采购木门智能锁，断桥铝智能锁，无框玻璃智能锁，磁力锁的人员授权信息、开关门记录、门锁电量。</w:t>
            </w:r>
          </w:p>
        </w:tc>
      </w:tr>
      <w:tr>
        <w:tblPrEx>
          <w:tblCellMar>
            <w:top w:w="0" w:type="dxa"/>
            <w:left w:w="108" w:type="dxa"/>
            <w:bottom w:w="0" w:type="dxa"/>
            <w:right w:w="108" w:type="dxa"/>
          </w:tblCellMar>
        </w:tblPrEx>
        <w:trPr>
          <w:trHeight w:val="352"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auto"/>
                <w:szCs w:val="21"/>
                <w:highlight w:val="none"/>
              </w:rPr>
            </w:pPr>
            <w:r>
              <w:rPr>
                <w:rStyle w:val="112"/>
                <w:rFonts w:hint="default"/>
                <w:color w:val="auto"/>
                <w:sz w:val="21"/>
                <w:szCs w:val="21"/>
                <w:highlight w:val="none"/>
                <w:lang w:bidi="ar"/>
              </w:rPr>
              <w:t>服务期</w:t>
            </w:r>
          </w:p>
        </w:tc>
        <w:tc>
          <w:tcPr>
            <w:tcW w:w="39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Style w:val="112"/>
                <w:rFonts w:hint="default"/>
                <w:color w:val="auto"/>
                <w:sz w:val="21"/>
                <w:szCs w:val="21"/>
                <w:highlight w:val="none"/>
                <w:lang w:bidi="ar"/>
              </w:rPr>
              <w:t>原厂三年维护服务</w:t>
            </w:r>
          </w:p>
        </w:tc>
      </w:tr>
    </w:tbl>
    <w:p>
      <w:pPr>
        <w:rPr>
          <w:color w:val="auto"/>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2.18物联网管理平台升级技术指标</w:t>
      </w:r>
    </w:p>
    <w:tbl>
      <w:tblPr>
        <w:tblStyle w:val="25"/>
        <w:tblW w:w="4999" w:type="pct"/>
        <w:tblInd w:w="0" w:type="dxa"/>
        <w:tblLayout w:type="autofit"/>
        <w:tblCellMar>
          <w:top w:w="0" w:type="dxa"/>
          <w:left w:w="108" w:type="dxa"/>
          <w:bottom w:w="0" w:type="dxa"/>
          <w:right w:w="108" w:type="dxa"/>
        </w:tblCellMar>
      </w:tblPr>
      <w:tblGrid>
        <w:gridCol w:w="1966"/>
        <w:gridCol w:w="7660"/>
      </w:tblGrid>
      <w:tr>
        <w:trPr>
          <w:trHeight w:val="35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指标项</w:t>
            </w:r>
          </w:p>
        </w:tc>
        <w:tc>
          <w:tcPr>
            <w:tcW w:w="3979" w:type="pct"/>
            <w:tcBorders>
              <w:top w:val="single" w:color="000000" w:sz="4" w:space="0"/>
              <w:left w:val="single" w:color="000000" w:sz="4" w:space="0"/>
              <w:bottom w:val="single" w:color="000000" w:sz="4" w:space="0"/>
              <w:right w:val="single" w:color="000000" w:sz="4" w:space="0"/>
            </w:tcBorders>
            <w:shd w:val="clear" w:color="auto" w:fill="auto"/>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技术参数</w:t>
            </w:r>
          </w:p>
        </w:tc>
      </w:tr>
      <w:tr>
        <w:tblPrEx>
          <w:tblCellMar>
            <w:top w:w="0" w:type="dxa"/>
            <w:left w:w="108" w:type="dxa"/>
            <w:bottom w:w="0" w:type="dxa"/>
            <w:right w:w="108" w:type="dxa"/>
          </w:tblCellMar>
        </w:tblPrEx>
        <w:trPr>
          <w:trHeight w:val="62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动态授权</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color w:val="auto"/>
                <w:kern w:val="0"/>
                <w:szCs w:val="21"/>
                <w:highlight w:val="none"/>
                <w:lang w:bidi="ar"/>
              </w:rPr>
              <w:t>根据部门、人员类型、性别、自定义筛选字段定义动态人员范围，自动授权到指定门禁设备，授权根据人员变化自动更新，编辑动态授权自动更新全部授权</w:t>
            </w:r>
          </w:p>
        </w:tc>
      </w:tr>
      <w:tr>
        <w:tblPrEx>
          <w:tblCellMar>
            <w:top w:w="0" w:type="dxa"/>
            <w:left w:w="108" w:type="dxa"/>
            <w:bottom w:w="0" w:type="dxa"/>
            <w:right w:w="108" w:type="dxa"/>
          </w:tblCellMar>
        </w:tblPrEx>
        <w:trPr>
          <w:trHeight w:val="62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门锁管理</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门禁匹配、修改密码、下发临时密码、添加门锁用户、门锁语音修改、门锁常开、解除报警、远程开锁、离线临时密码、门锁电量</w:t>
            </w:r>
          </w:p>
        </w:tc>
      </w:tr>
      <w:tr>
        <w:tblPrEx>
          <w:tblCellMar>
            <w:top w:w="0" w:type="dxa"/>
            <w:left w:w="108" w:type="dxa"/>
            <w:bottom w:w="0" w:type="dxa"/>
            <w:right w:w="108" w:type="dxa"/>
          </w:tblCellMar>
        </w:tblPrEx>
        <w:trPr>
          <w:trHeight w:val="35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道闸管理</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可设置道闸常开、调节道闸音量、道闸自动找零、修改通行模式、展示每日通行人次</w:t>
            </w:r>
          </w:p>
        </w:tc>
      </w:tr>
      <w:tr>
        <w:tblPrEx>
          <w:tblCellMar>
            <w:top w:w="0" w:type="dxa"/>
            <w:left w:w="108" w:type="dxa"/>
            <w:bottom w:w="0" w:type="dxa"/>
            <w:right w:w="108" w:type="dxa"/>
          </w:tblCellMar>
        </w:tblPrEx>
        <w:trPr>
          <w:trHeight w:val="35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考勤管理</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支持全场景移动端假勤管理，随时随地完成签到、异常处理、排班、加班、请假等假勤业务；自动生成考勤日报、月报、加班、缺勤、工时成本等主题报表，支持加班自动生成调休假，支持设置调休假的有效期。</w:t>
            </w:r>
          </w:p>
        </w:tc>
      </w:tr>
      <w:tr>
        <w:tblPrEx>
          <w:tblCellMar>
            <w:top w:w="0" w:type="dxa"/>
            <w:left w:w="108" w:type="dxa"/>
            <w:bottom w:w="0" w:type="dxa"/>
            <w:right w:w="108" w:type="dxa"/>
          </w:tblCellMar>
        </w:tblPrEx>
        <w:trPr>
          <w:trHeight w:val="620" w:hRule="atLeast"/>
        </w:trPr>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公寓管理</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展示公寓房间空房、未住满、住满、停用等状态，可配置公寓房间床位数量，房间入住详细信息，可办理入住、退宿、冻结等业务。支持单用户只能入住一个房间，办理入住其他房间完成自动换宿。</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公寓房间管理可新增、删除、停用公寓房间</w:t>
            </w:r>
          </w:p>
        </w:tc>
      </w:tr>
      <w:tr>
        <w:tblPrEx>
          <w:tblCellMar>
            <w:top w:w="0" w:type="dxa"/>
            <w:left w:w="108" w:type="dxa"/>
            <w:bottom w:w="0" w:type="dxa"/>
            <w:right w:w="108" w:type="dxa"/>
          </w:tblCellMar>
        </w:tblPrEx>
        <w:trPr>
          <w:trHeight w:val="620"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通过采集道闸、宿舍门、宿舍通道的通行记录生成晚归记录，可按楼查询公寓晚归记录，同时支持按姓名、工号、时间范围查看晚归记录</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绑定公寓住宿用户付费状态，未付费用户禁止开公寓门，同时禁止道闸通行；</w:t>
            </w:r>
          </w:p>
        </w:tc>
      </w:tr>
      <w:tr>
        <w:tblPrEx>
          <w:tblCellMar>
            <w:top w:w="0" w:type="dxa"/>
            <w:left w:w="108" w:type="dxa"/>
            <w:bottom w:w="0" w:type="dxa"/>
            <w:right w:w="108" w:type="dxa"/>
          </w:tblCellMar>
        </w:tblPrEx>
        <w:trPr>
          <w:trHeight w:val="562" w:hRule="atLeast"/>
        </w:trPr>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酒店管理</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展示酒店房间空房、已入住、未入住、已预约、停用等状态，校内人员通过工号快速办理入住，通过校内通行码开门。校外人员通过有效证件办理入住，提供身份证读卡器，兼容Chrome、Firefox、edge等主流浏览器无插件读取身份证读卡器数据。点击房间可查询详细入住信息，可获取房间门锁离线临时密码。</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客房管理可新增删除客房、修改户型、停用客房</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可按酒店查询详细入住记录</w:t>
            </w:r>
          </w:p>
        </w:tc>
      </w:tr>
      <w:tr>
        <w:tblPrEx>
          <w:tblCellMar>
            <w:top w:w="0" w:type="dxa"/>
            <w:left w:w="108" w:type="dxa"/>
            <w:bottom w:w="0" w:type="dxa"/>
            <w:right w:w="108" w:type="dxa"/>
          </w:tblCellMar>
        </w:tblPrEx>
        <w:trPr>
          <w:trHeight w:val="352" w:hRule="atLeast"/>
        </w:trPr>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时间管理</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配置一天内的有效通行时间，支持多个时间范围</w:t>
            </w:r>
          </w:p>
        </w:tc>
      </w:tr>
      <w:tr>
        <w:tblPrEx>
          <w:tblCellMar>
            <w:top w:w="0" w:type="dxa"/>
            <w:left w:w="108" w:type="dxa"/>
            <w:bottom w:w="0" w:type="dxa"/>
            <w:right w:w="108" w:type="dxa"/>
          </w:tblCellMar>
        </w:tblPrEx>
        <w:trPr>
          <w:trHeight w:val="620"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假日日历，可批量编辑日历的假日状态，假日状态可授权、动态授权、考勤等模块绑定，用于执行假日特殊通行策略</w:t>
            </w:r>
          </w:p>
        </w:tc>
      </w:tr>
      <w:tr>
        <w:tblPrEx>
          <w:tblCellMar>
            <w:top w:w="0" w:type="dxa"/>
            <w:left w:w="108" w:type="dxa"/>
            <w:bottom w:w="0" w:type="dxa"/>
            <w:right w:w="108" w:type="dxa"/>
          </w:tblCellMar>
        </w:tblPrEx>
        <w:trPr>
          <w:trHeight w:val="440" w:hRule="atLeast"/>
        </w:trPr>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日志管理</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记录开门日志，详细记录门禁设备、人脸设备、道闸的通行记录，人脸开门记录开门抓拍照片</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记录门锁日志，详细记录智能门锁的开门事件、开锁用户、开锁时间、开锁方式、门锁电量等</w:t>
            </w:r>
          </w:p>
        </w:tc>
      </w:tr>
      <w:tr>
        <w:tblPrEx>
          <w:tblCellMar>
            <w:top w:w="0" w:type="dxa"/>
            <w:left w:w="108" w:type="dxa"/>
            <w:bottom w:w="0" w:type="dxa"/>
            <w:right w:w="108" w:type="dxa"/>
          </w:tblCellMar>
        </w:tblPrEx>
        <w:trPr>
          <w:trHeight w:val="620"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记录无效开门记录，详细记录门禁设备无效开门记录、包含刷码、刷卡、人脸等开门方式，人脸开门记录无效开门抓拍照片</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记录道闸事件，详细记录道闸的尾随、闯闸、告警等时间，可按事件查看监控录像视频</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提供日志订阅服务，支持按需实时推送日志数据至第三方，提供第三方同步字段定制</w:t>
            </w:r>
          </w:p>
        </w:tc>
      </w:tr>
      <w:tr>
        <w:tblPrEx>
          <w:tblCellMar>
            <w:top w:w="0" w:type="dxa"/>
            <w:left w:w="108" w:type="dxa"/>
            <w:bottom w:w="0" w:type="dxa"/>
            <w:right w:w="108" w:type="dxa"/>
          </w:tblCellMar>
        </w:tblPrEx>
        <w:trPr>
          <w:trHeight w:val="352" w:hRule="atLeast"/>
        </w:trPr>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自动化</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自动同步校内组织架构、用户信息、访客信息生成门禁用户数据，失效人员自动清除所有开门权限</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自动同步校内人脸库，人脸库照片更新自动触发人脸门禁设备更新照片</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自动维护道闸、公共通道门禁授权、自动计算道闸和通道的可通行人员自动添加和删除授权</w:t>
            </w:r>
          </w:p>
        </w:tc>
      </w:tr>
      <w:tr>
        <w:tblPrEx>
          <w:tblCellMar>
            <w:top w:w="0" w:type="dxa"/>
            <w:left w:w="108" w:type="dxa"/>
            <w:bottom w:w="0" w:type="dxa"/>
            <w:right w:w="108" w:type="dxa"/>
          </w:tblCellMar>
        </w:tblPrEx>
        <w:trPr>
          <w:trHeight w:val="920"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人脸比对</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获取摄像头人脸抓拍照片和人脸库比对生成人脸比对记录，记录内容包含楼宇、楼层、比对地点、比对结果（楼内人员、校内人员、陌生人、布防人员）、姓名、部门、工号、方向（进、出）、抓拍照片、抓拍人脸、人脸库照片、时间等详细信息</w:t>
            </w:r>
          </w:p>
        </w:tc>
      </w:tr>
      <w:tr>
        <w:tblPrEx>
          <w:tblCellMar>
            <w:top w:w="0" w:type="dxa"/>
            <w:left w:w="108" w:type="dxa"/>
            <w:bottom w:w="0" w:type="dxa"/>
            <w:right w:w="108" w:type="dxa"/>
          </w:tblCellMar>
        </w:tblPrEx>
        <w:trPr>
          <w:trHeight w:val="35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多活数据库</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部署多个数据库服务器，每个校区部署一台，多个数据库可同时读写且数据保持一致；</w:t>
            </w:r>
          </w:p>
        </w:tc>
      </w:tr>
      <w:tr>
        <w:tblPrEx>
          <w:tblCellMar>
            <w:top w:w="0" w:type="dxa"/>
            <w:left w:w="108" w:type="dxa"/>
            <w:bottom w:w="0" w:type="dxa"/>
            <w:right w:w="108" w:type="dxa"/>
          </w:tblCellMar>
        </w:tblPrEx>
        <w:trPr>
          <w:trHeight w:val="620" w:hRule="atLeast"/>
        </w:trPr>
        <w:tc>
          <w:tcPr>
            <w:tcW w:w="10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color w:val="auto"/>
                <w:szCs w:val="21"/>
                <w:highlight w:val="none"/>
              </w:rPr>
              <w:t>▲</w:t>
            </w:r>
            <w:r>
              <w:rPr>
                <w:rFonts w:hint="eastAsia" w:ascii="宋体" w:hAnsi="宋体" w:eastAsia="宋体" w:cs="宋体"/>
                <w:b/>
                <w:bCs/>
                <w:color w:val="auto"/>
                <w:kern w:val="0"/>
                <w:szCs w:val="21"/>
                <w:highlight w:val="none"/>
                <w:lang w:bidi="ar"/>
              </w:rPr>
              <w:t>分布式服务</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分布式门禁服务集群，每个校区独立部署门禁服务集群，连接到各自校区的数据库服务器。各校区的门禁相关设备注册到自己校区的门禁服务。</w:t>
            </w:r>
          </w:p>
        </w:tc>
      </w:tr>
      <w:tr>
        <w:tblPrEx>
          <w:tblCellMar>
            <w:top w:w="0" w:type="dxa"/>
            <w:left w:w="108" w:type="dxa"/>
            <w:bottom w:w="0" w:type="dxa"/>
            <w:right w:w="108" w:type="dxa"/>
          </w:tblCellMar>
        </w:tblPrEx>
        <w:trPr>
          <w:trHeight w:val="620"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提供门禁负载均衡服务，各校区部署多个门禁服务器，通过负载均衡服管理本校区门禁设备，当门禁服务器异常或故障的时候自动切换到其他门禁服务器。</w:t>
            </w:r>
          </w:p>
        </w:tc>
      </w:tr>
      <w:tr>
        <w:tblPrEx>
          <w:tblCellMar>
            <w:top w:w="0" w:type="dxa"/>
            <w:left w:w="108" w:type="dxa"/>
            <w:bottom w:w="0" w:type="dxa"/>
            <w:right w:w="108" w:type="dxa"/>
          </w:tblCellMar>
        </w:tblPrEx>
        <w:trPr>
          <w:trHeight w:val="620"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当校区互联中断时门禁服务器正常提供服务，校区内校园码、钉工牌等在线动态二维码可以正常使用、小程序可正常开门，正常记录开门日志，当校区互联恢复后各校区数据库服务器自动完成数据同步，保证数据一致。</w:t>
            </w:r>
          </w:p>
        </w:tc>
      </w:tr>
      <w:tr>
        <w:tblPrEx>
          <w:tblCellMar>
            <w:top w:w="0" w:type="dxa"/>
            <w:left w:w="108" w:type="dxa"/>
            <w:bottom w:w="0" w:type="dxa"/>
            <w:right w:w="108" w:type="dxa"/>
          </w:tblCellMar>
        </w:tblPrEx>
        <w:trPr>
          <w:trHeight w:val="352" w:hRule="atLeast"/>
        </w:trPr>
        <w:tc>
          <w:tcPr>
            <w:tcW w:w="10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auto"/>
                <w:szCs w:val="21"/>
                <w:highlight w:val="none"/>
              </w:rPr>
            </w:pP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本校区数据库服务器故障后可门禁服务集群可自动重启并连接至其他校区的数据库服务器继续运行</w:t>
            </w:r>
          </w:p>
        </w:tc>
      </w:tr>
      <w:tr>
        <w:tblPrEx>
          <w:tblCellMar>
            <w:top w:w="0" w:type="dxa"/>
            <w:left w:w="108" w:type="dxa"/>
            <w:bottom w:w="0" w:type="dxa"/>
            <w:right w:w="108" w:type="dxa"/>
          </w:tblCellMar>
        </w:tblPrEx>
        <w:trPr>
          <w:trHeight w:val="35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成熟度</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系统同时管理刷卡门禁、刷码门禁、人脸门禁、道闸设备总数大于3000套并稳定运行</w:t>
            </w:r>
          </w:p>
        </w:tc>
      </w:tr>
      <w:tr>
        <w:tblPrEx>
          <w:tblCellMar>
            <w:top w:w="0" w:type="dxa"/>
            <w:left w:w="108" w:type="dxa"/>
            <w:bottom w:w="0" w:type="dxa"/>
            <w:right w:w="108" w:type="dxa"/>
          </w:tblCellMar>
        </w:tblPrEx>
        <w:trPr>
          <w:trHeight w:val="35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开放性</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提供同步接口</w:t>
            </w:r>
          </w:p>
        </w:tc>
      </w:tr>
      <w:tr>
        <w:tblPrEx>
          <w:tblCellMar>
            <w:top w:w="0" w:type="dxa"/>
            <w:left w:w="108" w:type="dxa"/>
            <w:bottom w:w="0" w:type="dxa"/>
            <w:right w:w="108" w:type="dxa"/>
          </w:tblCellMar>
        </w:tblPrEx>
        <w:trPr>
          <w:trHeight w:val="352" w:hRule="atLeast"/>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服务期</w:t>
            </w:r>
          </w:p>
        </w:tc>
        <w:tc>
          <w:tcPr>
            <w:tcW w:w="397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原厂三年维护服务</w:t>
            </w:r>
          </w:p>
        </w:tc>
      </w:tr>
    </w:tbl>
    <w:p>
      <w:pPr>
        <w:rPr>
          <w:color w:val="auto"/>
          <w:highlight w:val="none"/>
        </w:rPr>
      </w:pPr>
    </w:p>
    <w:p>
      <w:pPr>
        <w:pStyle w:val="9"/>
        <w:rPr>
          <w:color w:val="auto"/>
          <w:highlight w:val="none"/>
        </w:rPr>
      </w:pPr>
    </w:p>
    <w:p>
      <w:pPr>
        <w:adjustRightInd w:val="0"/>
        <w:snapToGrid w:val="0"/>
        <w:spacing w:line="288" w:lineRule="auto"/>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（三）▲集成要求</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（1）同步学校宿管系统，根据宿管系统名单自动分配开门权限，同步物联网管理平台，实现校园通行码开门；</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（2）同步校园一卡通平台，可使用校园卡刷卡开门；</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（3）部署门锁临时密码申请平台，前端集成到企业微信、钉钉，当二维码智能出入管理机故障时，用户可以通过企业微信申请门锁的临时开门密码，通过密码开门，可以限定密码有效期；</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（4）同步场地预约系统，实现公共空间预约管理，根据预约信息确定二维码开门权限，用户在预约时间内可以刷二维码开门，超出时间范围就无法开门；</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（5）同步校数据中心，实现用户身份信息自动同步，包括姓名、学工号、手机号、部门班级信息、一卡通卡号等数据。用户校园卡丢失补卡后开门权限自动更新；</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（6）部署企业微信、钉钉小程序，实现智能出入系统综合管理，包含智能出入管理机出入权限查看、分配、删除。预约信息管理、查看、删除。智能锁临时密码发送，离线二维码获取；</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（7）同步企业微信消息中心、可以发送临时密码等业务数据，也可以发送设备异常状态等告警信息；</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（8）同步校园人脸库，实现人脸信息自动同步；</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（9）道闸系统同步物联网管理平台，采用校园通行码进行权限控制；</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（10）道闸系统同步到功校园监控平台，结合道闸告警日志在智能出入管理平台查看相关监控；</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（11）道闸系统实时联网数据采集，实时上报闯闸，逆向，尾随等非法通行日志，并可通过服务器远程修改道闸通行模式，调节道闸音量，道闸异常恢复等；</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（12）自动通行权限分配，根据楼宇结构内部权限自动获取通道通行权限；</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（13）综合数据展示，实时展示通行数据，展示楼内人员信息，展示晚归、未归信息；</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（14）一键全开安全模块，实现楼宇安全通道一键全部打开，在紧急状态下快速逃生，在安全通道设置消防应急开关；</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（15）数据异地备份，核心数据库和应用系统象山和良渚异地备份；</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（16）服务层服务器扩容，新建服务层服务器，注册管理新设备，并集成到智能出入管理平台；</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（17）优化道闸服务端，道闸采集每日通行人次，并在智能出入管理平台展示；</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（18）定期巡检，包括每个月巡查，出报告，更换耗材。</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五、产品功能演示（</w:t>
      </w:r>
      <w:r>
        <w:rPr>
          <w:rFonts w:hint="eastAsia" w:ascii="宋体" w:hAnsi="宋体" w:eastAsia="宋体" w:cs="Times New Roman"/>
          <w:b/>
          <w:color w:val="auto"/>
          <w:szCs w:val="21"/>
          <w:highlight w:val="none"/>
        </w:rPr>
        <w:t>▲未提供演示，投标无效）</w:t>
      </w:r>
      <w:r>
        <w:rPr>
          <w:rFonts w:ascii="宋体" w:hAnsi="宋体" w:eastAsia="宋体" w:cs="宋体"/>
          <w:b/>
          <w:bCs/>
          <w:color w:val="auto"/>
          <w:szCs w:val="21"/>
          <w:highlight w:val="none"/>
        </w:rPr>
        <w:t>：</w:t>
      </w:r>
    </w:p>
    <w:tbl>
      <w:tblPr>
        <w:tblStyle w:val="25"/>
        <w:tblW w:w="5000" w:type="pct"/>
        <w:tblInd w:w="0" w:type="dxa"/>
        <w:tblLayout w:type="autofit"/>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trHeight w:val="7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1、</w:t>
            </w:r>
            <w:r>
              <w:rPr>
                <w:rFonts w:hint="eastAsia" w:ascii="宋体" w:hAnsi="宋体" w:eastAsia="宋体" w:cs="宋体"/>
                <w:bCs/>
                <w:color w:val="auto"/>
                <w:kern w:val="0"/>
                <w:szCs w:val="21"/>
                <w:highlight w:val="none"/>
                <w:lang w:bidi="ar"/>
              </w:rPr>
              <w:t>支持手机移动端钉钉或企业微信智能出入管理小程序,实现二维码识别开门。该码能同时实现在线离线功能，通过在线扫描、离线扫描均能识别打开（</w:t>
            </w:r>
            <w:r>
              <w:rPr>
                <w:rFonts w:ascii="宋体" w:hAnsi="宋体" w:eastAsia="宋体" w:cs="宋体"/>
                <w:bCs/>
                <w:color w:val="auto"/>
                <w:kern w:val="0"/>
                <w:szCs w:val="21"/>
                <w:highlight w:val="none"/>
                <w:lang w:bidi="ar"/>
              </w:rPr>
              <w:t>木门智能锁，断桥铝智能锁，无框玻璃智能锁，磁力锁（</w:t>
            </w:r>
            <w:r>
              <w:rPr>
                <w:rFonts w:hint="eastAsia" w:ascii="宋体" w:hAnsi="宋体" w:eastAsia="宋体" w:cs="宋体"/>
                <w:color w:val="auto"/>
                <w:kern w:val="0"/>
                <w:szCs w:val="21"/>
                <w:highlight w:val="none"/>
                <w:lang w:bidi="ar"/>
              </w:rPr>
              <w:t>锁型号必须与所投产品匹配，不匹配不得分）。</w:t>
            </w:r>
          </w:p>
        </w:tc>
      </w:tr>
      <w:tr>
        <w:tblPrEx>
          <w:tblCellMar>
            <w:top w:w="0" w:type="dxa"/>
            <w:left w:w="108" w:type="dxa"/>
            <w:bottom w:w="0" w:type="dxa"/>
            <w:right w:w="108" w:type="dxa"/>
          </w:tblCellMar>
        </w:tblPrEx>
        <w:trPr>
          <w:trHeight w:val="7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bCs/>
                <w:color w:val="auto"/>
                <w:kern w:val="0"/>
                <w:szCs w:val="21"/>
                <w:highlight w:val="none"/>
                <w:lang w:bidi="ar"/>
              </w:rPr>
              <w:t>2、集成企业微信小程序临时密码功能，可根据智能出入管理平台权限分配数据获取临时密码。在二维码刷卡管理机离线状态下，手机移动端单独对锁具生成临时密码后（临时密码必须为系统随机分配自动生成）实现开门</w:t>
            </w:r>
            <w:r>
              <w:rPr>
                <w:rFonts w:hint="eastAsia" w:ascii="宋体" w:hAnsi="宋体" w:eastAsia="宋体" w:cs="宋体"/>
                <w:color w:val="auto"/>
                <w:kern w:val="0"/>
                <w:szCs w:val="21"/>
                <w:highlight w:val="none"/>
                <w:lang w:bidi="ar"/>
              </w:rPr>
              <w:t>，包括木门智能锁，断桥铝智能锁，无框玻璃智能锁（锁型号必须与所投产品匹配，不匹配不得分）。</w:t>
            </w:r>
          </w:p>
        </w:tc>
      </w:tr>
      <w:tr>
        <w:tblPrEx>
          <w:tblCellMar>
            <w:top w:w="0" w:type="dxa"/>
            <w:left w:w="108" w:type="dxa"/>
            <w:bottom w:w="0" w:type="dxa"/>
            <w:right w:w="108" w:type="dxa"/>
          </w:tblCellMar>
        </w:tblPrEx>
        <w:trPr>
          <w:trHeight w:val="72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3、移动端可对本次采购木门智能锁，断桥铝智能锁，无框玻璃智能锁，磁力锁（锁型号必须与所投产品匹配，不匹配不得分）进行远程授权及开门，授权时能在移动端设备查询条件实现批量授权及远程开门。</w:t>
            </w:r>
          </w:p>
        </w:tc>
      </w:tr>
      <w:tr>
        <w:tblPrEx>
          <w:tblCellMar>
            <w:top w:w="0" w:type="dxa"/>
            <w:left w:w="108" w:type="dxa"/>
            <w:bottom w:w="0" w:type="dxa"/>
            <w:right w:w="108" w:type="dxa"/>
          </w:tblCellMar>
        </w:tblPrEx>
        <w:trPr>
          <w:trHeight w:val="48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4、移动端可在线查询本次采购木门智能锁，断桥铝智能锁，无框玻璃智能锁，磁力锁（锁型号必须与所投产品匹配，不匹配不得分）的人员授权信息、开关门记录、门锁电量。</w:t>
            </w:r>
          </w:p>
        </w:tc>
      </w:tr>
      <w:tr>
        <w:tblPrEx>
          <w:tblCellMar>
            <w:top w:w="0" w:type="dxa"/>
            <w:left w:w="108" w:type="dxa"/>
            <w:bottom w:w="0" w:type="dxa"/>
            <w:right w:w="108" w:type="dxa"/>
          </w:tblCellMar>
        </w:tblPrEx>
        <w:trPr>
          <w:trHeight w:val="120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5、</w:t>
            </w:r>
            <w:r>
              <w:rPr>
                <w:rFonts w:hint="eastAsia" w:ascii="宋体" w:hAnsi="宋体" w:eastAsia="宋体" w:cs="宋体"/>
                <w:color w:val="auto"/>
                <w:szCs w:val="21"/>
                <w:highlight w:val="none"/>
              </w:rPr>
              <w:t>公寓管理：展示公寓房间空房、未住满、住满、停用等状态，可配置公寓房间床位数量，房间入住详细信息，可办理入住、退宿、冻结等业务。支持单用户只能入住一个房间，办理入住其他房间完成自动换宿。公寓房间管理可新增、删除、停用公寓房间，通过采集道闸、宿舍门、宿舍通道的通行记录生成晚归记录，可按楼查询公寓晚归记录，同时支持按姓名、工号、时间范围查看晚归记录，绑定公寓住宿用户付费状态，未付费用户禁止开公寓门，同时禁止道闸通行</w:t>
            </w:r>
            <w:r>
              <w:rPr>
                <w:rFonts w:hint="eastAsia" w:ascii="宋体" w:hAnsi="宋体" w:eastAsia="宋体" w:cs="宋体"/>
                <w:color w:val="auto"/>
                <w:kern w:val="0"/>
                <w:szCs w:val="21"/>
                <w:highlight w:val="none"/>
                <w:lang w:bidi="ar"/>
              </w:rPr>
              <w:t>。</w:t>
            </w:r>
          </w:p>
        </w:tc>
      </w:tr>
      <w:tr>
        <w:tblPrEx>
          <w:tblCellMar>
            <w:top w:w="0" w:type="dxa"/>
            <w:left w:w="108" w:type="dxa"/>
            <w:bottom w:w="0" w:type="dxa"/>
            <w:right w:w="108" w:type="dxa"/>
          </w:tblCellMar>
        </w:tblPrEx>
        <w:trPr>
          <w:trHeight w:val="562"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6、</w:t>
            </w:r>
            <w:r>
              <w:rPr>
                <w:rFonts w:hint="eastAsia" w:ascii="宋体" w:hAnsi="宋体" w:eastAsia="宋体" w:cs="宋体"/>
                <w:color w:val="auto"/>
                <w:szCs w:val="21"/>
                <w:highlight w:val="none"/>
              </w:rPr>
              <w:t>酒店管理：展示酒店房间空房、已入住、未入住、已预约、停用等状态，校内人员通过工号快速办理入住，通过校内通行码开门。校外人员通过有效证件办理入住，提供身份证读卡器，兼容Chrome、Firefox、edge等主流浏览器无插件读取身份证读卡器数据。点击房间可查询详细入住信息，可获取房间门锁离线临时密码。客房管理可新增删除客房、修改户型、停用客房，可按酒店查询详细入住记录</w:t>
            </w:r>
            <w:r>
              <w:rPr>
                <w:rFonts w:hint="eastAsia" w:ascii="宋体" w:hAnsi="宋体" w:eastAsia="宋体" w:cs="宋体"/>
                <w:color w:val="auto"/>
                <w:kern w:val="0"/>
                <w:szCs w:val="21"/>
                <w:highlight w:val="none"/>
                <w:lang w:bidi="ar"/>
              </w:rPr>
              <w:t>。</w:t>
            </w:r>
          </w:p>
        </w:tc>
      </w:tr>
      <w:tr>
        <w:tblPrEx>
          <w:tblCellMar>
            <w:top w:w="0" w:type="dxa"/>
            <w:left w:w="108" w:type="dxa"/>
            <w:bottom w:w="0" w:type="dxa"/>
            <w:right w:w="108" w:type="dxa"/>
          </w:tblCellMar>
        </w:tblPrEx>
        <w:trPr>
          <w:trHeight w:val="96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7、</w:t>
            </w:r>
            <w:r>
              <w:rPr>
                <w:rFonts w:hint="eastAsia" w:ascii="宋体" w:hAnsi="宋体" w:eastAsia="宋体" w:cs="宋体"/>
                <w:color w:val="auto"/>
                <w:szCs w:val="21"/>
                <w:highlight w:val="none"/>
              </w:rPr>
              <w:t>日志管理：详细记录门禁设备、人脸设备、道闸的通行记录，人脸开门记录开门抓拍照片，记录门锁日志，详细记录智能门锁的开门事件、开锁用户、开锁时间、开锁方式、门锁电量等，记录无效开门记录，详细记录门禁设备无效开门记录、包含刷码、刷卡、人脸等开门方式，人脸开门记录无效开门抓拍照片，记录道闸事件，详细记录道闸的尾随、闯闸、告警等时间，可按事件查看监控录像视频</w:t>
            </w:r>
            <w:r>
              <w:rPr>
                <w:rFonts w:hint="eastAsia" w:ascii="宋体" w:hAnsi="宋体" w:eastAsia="宋体" w:cs="宋体"/>
                <w:color w:val="auto"/>
                <w:kern w:val="0"/>
                <w:szCs w:val="21"/>
                <w:highlight w:val="none"/>
                <w:lang w:bidi="ar"/>
              </w:rPr>
              <w:t>。</w:t>
            </w:r>
          </w:p>
        </w:tc>
      </w:tr>
      <w:tr>
        <w:tblPrEx>
          <w:tblCellMar>
            <w:top w:w="0" w:type="dxa"/>
            <w:left w:w="108" w:type="dxa"/>
            <w:bottom w:w="0" w:type="dxa"/>
            <w:right w:w="108" w:type="dxa"/>
          </w:tblCellMar>
        </w:tblPrEx>
        <w:trPr>
          <w:trHeight w:val="270" w:hRule="atLeast"/>
        </w:trPr>
        <w:tc>
          <w:tcPr>
            <w:tcW w:w="50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8、</w:t>
            </w:r>
            <w:r>
              <w:rPr>
                <w:rFonts w:hint="eastAsia" w:ascii="宋体" w:hAnsi="宋体" w:eastAsia="宋体" w:cs="宋体"/>
                <w:color w:val="auto"/>
                <w:szCs w:val="21"/>
                <w:highlight w:val="none"/>
              </w:rPr>
              <w:t>分布式管理平台热点管理：提供管理平台自动均衡服务，各校区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或区域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部署多个门禁服务器，通过负载均衡服管理本校区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或区域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门禁设备，当管理平台异常或故障的时候自动切换到其他门禁服务器。当校区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或区域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互联中断时门禁服务器正常提供服务，校区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或区域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内校园码、钉工牌等在线动态二维码可以正常使用、小程序可正常开门，正常记录开门日志，当校区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或区域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互联恢复后各校区数据库服务器自动完成数据同步，保证数据一致</w:t>
            </w:r>
            <w:r>
              <w:rPr>
                <w:rFonts w:hint="eastAsia" w:ascii="宋体" w:hAnsi="宋体" w:eastAsia="宋体" w:cs="宋体"/>
                <w:color w:val="auto"/>
                <w:kern w:val="0"/>
                <w:szCs w:val="21"/>
                <w:highlight w:val="none"/>
                <w:lang w:bidi="ar"/>
              </w:rPr>
              <w:t>。</w:t>
            </w:r>
          </w:p>
        </w:tc>
      </w:tr>
    </w:tbl>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1.演示时间不超过15分钟，演示过程需要准备的器材、软件、网络等设施由供应商自行准备。</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2.演示U盘：</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2.1供应商需将以上演示过程录制视频，演示时长不超过15分钟以mp4.格式存储于U盘。</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 演示U盘可以EMS或顺丰邮寄形式在响应文件提交截止时间前递交，演示U盘应当密封包装并在包装上标注演示U盘、项目名称、供应商名称并加盖公章。</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2.3未按招标文件要求提供演示U盘造成评审专家无法正常评审的风险由供应商自行承担。</w:t>
      </w:r>
    </w:p>
    <w:p>
      <w:pPr>
        <w:adjustRightInd w:val="0"/>
        <w:snapToGrid w:val="0"/>
        <w:spacing w:line="288" w:lineRule="auto"/>
        <w:ind w:firstLine="420" w:firstLineChars="200"/>
        <w:jc w:val="center"/>
        <w:rPr>
          <w:rFonts w:ascii="宋体" w:hAnsi="宋体" w:eastAsia="宋体" w:cs="Times New Roman"/>
          <w:color w:val="auto"/>
          <w:sz w:val="32"/>
          <w:szCs w:val="32"/>
          <w:highlight w:val="none"/>
        </w:rPr>
      </w:pPr>
      <w:r>
        <w:rPr>
          <w:rFonts w:ascii="宋体" w:hAnsi="宋体" w:eastAsia="宋体" w:cs="Times New Roman"/>
          <w:color w:val="auto"/>
          <w:szCs w:val="21"/>
          <w:highlight w:val="none"/>
        </w:rPr>
        <w:br w:type="page"/>
      </w:r>
      <w:r>
        <w:rPr>
          <w:rFonts w:hint="eastAsia" w:ascii="宋体" w:hAnsi="宋体" w:eastAsia="宋体" w:cs="Times New Roman"/>
          <w:b/>
          <w:color w:val="auto"/>
          <w:sz w:val="32"/>
          <w:szCs w:val="32"/>
          <w:highlight w:val="none"/>
        </w:rPr>
        <w:t>第三章  投标人须知</w:t>
      </w:r>
    </w:p>
    <w:p>
      <w:pPr>
        <w:adjustRightInd w:val="0"/>
        <w:snapToGrid w:val="0"/>
        <w:spacing w:line="288" w:lineRule="auto"/>
        <w:ind w:left="238"/>
        <w:jc w:val="center"/>
        <w:outlineLvl w:val="1"/>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投标人</w:t>
      </w:r>
      <w:r>
        <w:rPr>
          <w:rFonts w:ascii="宋体" w:hAnsi="宋体" w:eastAsia="宋体" w:cs="Times New Roman"/>
          <w:b/>
          <w:color w:val="auto"/>
          <w:szCs w:val="21"/>
          <w:highlight w:val="none"/>
        </w:rPr>
        <w:t>须知</w:t>
      </w:r>
      <w:r>
        <w:rPr>
          <w:rFonts w:hint="eastAsia" w:ascii="宋体" w:hAnsi="宋体" w:eastAsia="宋体" w:cs="Times New Roman"/>
          <w:b/>
          <w:color w:val="auto"/>
          <w:szCs w:val="21"/>
          <w:highlight w:val="none"/>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条款号</w:t>
            </w:r>
          </w:p>
        </w:tc>
        <w:tc>
          <w:tcPr>
            <w:tcW w:w="1701"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内容</w:t>
            </w:r>
          </w:p>
        </w:tc>
        <w:tc>
          <w:tcPr>
            <w:tcW w:w="6663" w:type="dxa"/>
            <w:vAlign w:val="center"/>
          </w:tcPr>
          <w:p>
            <w:pPr>
              <w:adjustRightInd w:val="0"/>
              <w:snapToGrid w:val="0"/>
              <w:spacing w:line="288"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适用范围</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本招标文件适用于中国美术学院良渚校区1期2标段物联网门禁人员出入智能管控项目的招标、评标、定标、验收、合同履约、付款等（法律、法规另有规定的，从其规定）。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招标方式</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投标委托</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.投标人代表是法定代表人</w:t>
            </w:r>
            <w:r>
              <w:rPr>
                <w:rFonts w:hint="eastAsia" w:ascii="宋体" w:hAnsi="宋体" w:eastAsia="宋体"/>
                <w:color w:val="auto"/>
                <w:szCs w:val="21"/>
                <w:highlight w:val="none"/>
              </w:rPr>
              <w:t>（单位负责人、自然人本人）的，须提供本人身份证明。</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w:t>
            </w:r>
            <w:r>
              <w:rPr>
                <w:rFonts w:ascii="宋体" w:hAnsi="宋体" w:eastAsia="宋体"/>
                <w:color w:val="auto"/>
                <w:szCs w:val="21"/>
                <w:highlight w:val="none"/>
              </w:rPr>
              <w:t>投标人代表不是法定代表人</w:t>
            </w:r>
            <w:r>
              <w:rPr>
                <w:rFonts w:hint="eastAsia" w:ascii="宋体" w:hAnsi="宋体" w:eastAsia="宋体"/>
                <w:color w:val="auto"/>
                <w:szCs w:val="21"/>
                <w:highlight w:val="none"/>
              </w:rPr>
              <w:t>（单位负责人、自然人本人）的</w:t>
            </w:r>
            <w:r>
              <w:rPr>
                <w:rFonts w:ascii="宋体" w:hAnsi="宋体" w:eastAsia="宋体"/>
                <w:color w:val="auto"/>
                <w:szCs w:val="21"/>
                <w:highlight w:val="none"/>
              </w:rPr>
              <w:t>，须提供</w:t>
            </w:r>
            <w:r>
              <w:rPr>
                <w:rFonts w:ascii="宋体" w:hAnsi="宋体" w:eastAsia="宋体"/>
                <w:bCs/>
                <w:color w:val="auto"/>
                <w:szCs w:val="21"/>
                <w:highlight w:val="none"/>
              </w:rPr>
              <w:t>授权</w:t>
            </w:r>
            <w:r>
              <w:rPr>
                <w:rFonts w:hint="eastAsia" w:ascii="宋体" w:hAnsi="宋体" w:eastAsia="宋体"/>
                <w:bCs/>
                <w:color w:val="auto"/>
                <w:szCs w:val="21"/>
                <w:highlight w:val="none"/>
              </w:rPr>
              <w:t>委托</w:t>
            </w:r>
            <w:r>
              <w:rPr>
                <w:rFonts w:ascii="宋体" w:hAnsi="宋体" w:eastAsia="宋体"/>
                <w:bCs/>
                <w:color w:val="auto"/>
                <w:szCs w:val="21"/>
                <w:highlight w:val="none"/>
              </w:rPr>
              <w:t>书</w:t>
            </w:r>
            <w:r>
              <w:rPr>
                <w:rFonts w:hint="eastAsia" w:ascii="宋体" w:hAnsi="宋体" w:eastAsia="宋体"/>
                <w:color w:val="auto"/>
                <w:szCs w:val="21"/>
                <w:highlight w:val="none"/>
              </w:rPr>
              <w:t>（格式详见招标文件第六章）和授权代表社保缴纳证明（</w:t>
            </w:r>
            <w:r>
              <w:rPr>
                <w:rFonts w:ascii="宋体" w:hAnsi="宋体" w:eastAsia="宋体"/>
                <w:color w:val="auto"/>
                <w:szCs w:val="21"/>
                <w:highlight w:val="none"/>
              </w:rPr>
              <w:t>2022年12月（含）以后任意一月）</w:t>
            </w:r>
            <w:r>
              <w:rPr>
                <w:rFonts w:hint="eastAsia" w:ascii="宋体" w:hAnsi="宋体" w:eastAsia="宋体"/>
                <w:color w:val="auto"/>
                <w:szCs w:val="21"/>
                <w:highlight w:val="none"/>
              </w:rPr>
              <w:t>；</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color w:val="auto"/>
                <w:szCs w:val="21"/>
                <w:highlight w:val="none"/>
              </w:rPr>
              <w:t>投标人委派不在本单位缴纳社保的人员作为授权代表的，应当在投标文件中，说明具体原因、授权代表缴纳社保的单位，并附列该授权代表缴纳社保清单。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（四）</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投标费用</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1.不论投标结果如何，投标人均应自行承担所有与投标有关的全部费用；</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2.中标人在中标通知书发出之日起七个工作日内，向采购代理机构交纳代理服务费；</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w:t>
            </w:r>
            <w:r>
              <w:rPr>
                <w:rFonts w:ascii="宋体" w:hAnsi="宋体" w:eastAsia="宋体"/>
                <w:color w:val="auto"/>
                <w:szCs w:val="21"/>
                <w:highlight w:val="none"/>
              </w:rPr>
              <w:t>.</w:t>
            </w:r>
            <w:r>
              <w:rPr>
                <w:rFonts w:hint="eastAsia" w:ascii="宋体" w:hAnsi="宋体" w:eastAsia="宋体"/>
                <w:color w:val="auto"/>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30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中标金额（万元）</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100以下</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1.2（不足叁仟按叁仟元计取）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100-500</w:t>
                  </w:r>
                </w:p>
              </w:tc>
              <w:tc>
                <w:tcPr>
                  <w:tcW w:w="3070"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0.88</w:t>
                  </w:r>
                </w:p>
              </w:tc>
            </w:tr>
          </w:tbl>
          <w:p>
            <w:pPr>
              <w:adjustRightInd w:val="0"/>
              <w:snapToGrid w:val="0"/>
              <w:spacing w:line="288" w:lineRule="auto"/>
              <w:rPr>
                <w:rFonts w:ascii="宋体" w:hAnsi="宋体" w:eastAsia="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（五）</w:t>
            </w:r>
          </w:p>
        </w:tc>
        <w:tc>
          <w:tcPr>
            <w:tcW w:w="1701" w:type="dxa"/>
            <w:vAlign w:val="center"/>
          </w:tcPr>
          <w:p>
            <w:pPr>
              <w:adjustRightInd w:val="0"/>
              <w:snapToGrid w:val="0"/>
              <w:spacing w:line="288" w:lineRule="auto"/>
              <w:ind w:right="-105" w:rightChars="-50"/>
              <w:jc w:val="center"/>
              <w:rPr>
                <w:rFonts w:ascii="宋体" w:hAnsi="宋体" w:eastAsia="宋体"/>
                <w:color w:val="auto"/>
                <w:szCs w:val="21"/>
                <w:highlight w:val="none"/>
              </w:rPr>
            </w:pPr>
            <w:r>
              <w:rPr>
                <w:rFonts w:hint="eastAsia" w:ascii="宋体" w:hAnsi="宋体" w:eastAsia="宋体" w:cs="Times New Roman"/>
                <w:color w:val="auto"/>
                <w:spacing w:val="-6"/>
                <w:szCs w:val="21"/>
                <w:highlight w:val="none"/>
              </w:rPr>
              <w:t>投标保证金（元）</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s="Times New Roman"/>
                <w:color w:val="auto"/>
                <w:spacing w:val="-6"/>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（六）</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联合体投标</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（七）</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u w:val="singl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分包，不适宜分包的理由是：为保持项目一致性。</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（八）</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b/>
                <w:bCs/>
                <w:color w:val="auto"/>
                <w:szCs w:val="21"/>
                <w:highlight w:val="none"/>
              </w:rPr>
              <w:t>信用记录</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bCs/>
                <w:color w:val="auto"/>
                <w:szCs w:val="21"/>
                <w:highlight w:val="none"/>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highlight w:val="none"/>
              </w:rPr>
              <w:t>信息查询的截止时点：投标截止时间；</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hint="eastAsia" w:ascii="宋体" w:hAnsi="宋体" w:eastAsia="宋体"/>
                <w:color w:val="auto"/>
                <w:szCs w:val="21"/>
                <w:highlight w:val="none"/>
              </w:rPr>
              <w:t>）查询渠道：“信用中国”（www.creditchina.gov.cn）、“中国政府采购网”（www.ccgp.gov.cn）；</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hint="eastAsia" w:ascii="宋体" w:hAnsi="宋体" w:eastAsia="宋体"/>
                <w:color w:val="auto"/>
                <w:szCs w:val="21"/>
                <w:highlight w:val="none"/>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hint="eastAsia" w:ascii="宋体" w:hAnsi="宋体" w:eastAsia="宋体"/>
                <w:bCs/>
                <w:color w:val="auto"/>
                <w:szCs w:val="21"/>
                <w:highlight w:val="none"/>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（九）</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资格审查要求的资格证明材料</w:t>
            </w:r>
          </w:p>
        </w:tc>
        <w:tc>
          <w:tcPr>
            <w:tcW w:w="6663" w:type="dxa"/>
            <w:vAlign w:val="center"/>
          </w:tcPr>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资格审查要求的资格证明材料（均需加盖公章）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1）有效的法人或者其他组织的营业执照等证明文件，自然人的身份证明</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hint="eastAsia" w:ascii="宋体" w:hAnsi="宋体" w:eastAsia="宋体"/>
                <w:bCs/>
                <w:color w:val="auto"/>
                <w:szCs w:val="21"/>
                <w:highlight w:val="none"/>
              </w:rPr>
              <w:t>2）符合参加政府采购活动应当具备的一般条件的承诺函</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bCs/>
                <w:color w:val="auto"/>
                <w:szCs w:val="21"/>
                <w:highlight w:val="none"/>
              </w:rPr>
              <w:t>（</w:t>
            </w:r>
            <w:r>
              <w:rPr>
                <w:rFonts w:ascii="宋体" w:hAnsi="宋体" w:eastAsia="宋体"/>
                <w:bCs/>
                <w:color w:val="auto"/>
                <w:szCs w:val="21"/>
                <w:highlight w:val="none"/>
              </w:rPr>
              <w:t>3</w:t>
            </w:r>
            <w:r>
              <w:rPr>
                <w:rFonts w:hint="eastAsia" w:ascii="宋体" w:hAnsi="宋体" w:eastAsia="宋体"/>
                <w:bCs/>
                <w:color w:val="auto"/>
                <w:szCs w:val="21"/>
                <w:highlight w:val="none"/>
              </w:rPr>
              <w:t>）</w:t>
            </w:r>
            <w:r>
              <w:rPr>
                <w:rFonts w:ascii="宋体" w:hAnsi="宋体" w:eastAsia="宋体"/>
                <w:bCs/>
                <w:color w:val="auto"/>
                <w:szCs w:val="21"/>
                <w:highlight w:val="none"/>
              </w:rPr>
              <w:t>落实政府采购政策需满足的资格要求：</w:t>
            </w:r>
            <w:r>
              <w:rPr>
                <w:rFonts w:hint="eastAsia" w:ascii="宋体" w:hAnsi="宋体" w:eastAsia="宋体"/>
                <w:bCs/>
                <w:color w:val="auto"/>
                <w:szCs w:val="21"/>
                <w:highlight w:val="none"/>
              </w:rPr>
              <w:t>无</w:t>
            </w:r>
          </w:p>
          <w:p>
            <w:pPr>
              <w:adjustRightInd w:val="0"/>
              <w:snapToGrid w:val="0"/>
              <w:spacing w:line="288" w:lineRule="auto"/>
              <w:rPr>
                <w:rFonts w:ascii="宋体" w:hAnsi="宋体" w:eastAsia="宋体"/>
                <w:bCs/>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4）</w:t>
            </w:r>
            <w:r>
              <w:rPr>
                <w:rFonts w:hint="eastAsia" w:ascii="宋体" w:hAnsi="宋体" w:eastAsia="宋体"/>
                <w:color w:val="auto"/>
                <w:szCs w:val="21"/>
                <w:highlight w:val="none"/>
              </w:rPr>
              <w:t>本项目的特定资格要求</w:t>
            </w:r>
            <w:r>
              <w:rPr>
                <w:rFonts w:ascii="宋体" w:hAnsi="宋体" w:eastAsia="宋体"/>
                <w:color w:val="auto"/>
                <w:szCs w:val="21"/>
                <w:highlight w:val="none"/>
              </w:rPr>
              <w:t>证明材料</w:t>
            </w:r>
            <w:r>
              <w:rPr>
                <w:rFonts w:ascii="宋体" w:hAnsi="宋体" w:eastAsia="宋体"/>
                <w:bCs/>
                <w:color w:val="auto"/>
                <w:szCs w:val="21"/>
                <w:highlight w:val="none"/>
              </w:rPr>
              <w:t>：</w:t>
            </w:r>
            <w:r>
              <w:rPr>
                <w:rFonts w:hint="eastAsia" w:ascii="宋体" w:hAnsi="宋体" w:eastAsia="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color w:val="auto"/>
                <w:spacing w:val="-6"/>
                <w:szCs w:val="21"/>
                <w:highlight w:val="none"/>
              </w:rPr>
            </w:pPr>
            <w:r>
              <w:rPr>
                <w:rFonts w:hint="eastAsia" w:ascii="宋体" w:hAnsi="宋体" w:eastAsia="宋体"/>
                <w:bCs/>
                <w:color w:val="auto"/>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color w:val="auto"/>
                <w:szCs w:val="21"/>
                <w:highlight w:val="none"/>
              </w:rPr>
            </w:pPr>
            <w:r>
              <w:rPr>
                <w:rFonts w:hint="eastAsia" w:ascii="宋体" w:hAnsi="宋体" w:eastAsia="宋体"/>
                <w:bCs/>
                <w:color w:val="auto"/>
                <w:spacing w:val="-6"/>
                <w:szCs w:val="21"/>
                <w:highlight w:val="none"/>
              </w:rPr>
              <w:t>备份投标文件：密封包装后EMS或顺丰邮寄形式递交一份（邮寄地址：</w:t>
            </w:r>
            <w:r>
              <w:rPr>
                <w:rFonts w:hint="eastAsia" w:ascii="宋体" w:hAnsi="宋体" w:eastAsia="宋体" w:cs="宋体"/>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（十一）</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投标报价</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2.以人民币报价；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4.投标文件只允许有一个报价，有选择的报价将不予接受。</w:t>
            </w:r>
          </w:p>
          <w:p>
            <w:pPr>
              <w:pStyle w:val="15"/>
              <w:adjustRightInd w:val="0"/>
              <w:snapToGrid w:val="0"/>
              <w:spacing w:before="0" w:beforeLines="0" w:after="0" w:afterLines="0" w:line="288" w:lineRule="auto"/>
              <w:jc w:val="left"/>
              <w:rPr>
                <w:rFonts w:hAnsi="宋体" w:eastAsia="宋体" w:cs="宋体"/>
                <w:color w:val="auto"/>
                <w:sz w:val="21"/>
                <w:szCs w:val="21"/>
                <w:highlight w:val="none"/>
              </w:rPr>
            </w:pPr>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（十二）</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投标有效期</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▲从提交投标文件的截止之日起</w:t>
            </w:r>
            <w:r>
              <w:rPr>
                <w:rFonts w:ascii="宋体" w:hAnsi="宋体" w:eastAsia="宋体"/>
                <w:color w:val="auto"/>
                <w:szCs w:val="21"/>
                <w:highlight w:val="none"/>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（十三）</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评标方法和评标标准</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详见“</w:t>
            </w:r>
            <w:r>
              <w:rPr>
                <w:rFonts w:hint="eastAsia" w:ascii="宋体" w:hAnsi="宋体" w:eastAsia="宋体"/>
                <w:color w:val="auto"/>
                <w:szCs w:val="21"/>
                <w:highlight w:val="none"/>
              </w:rPr>
              <w:t>第四章  评标方法和d标准</w:t>
            </w:r>
            <w:r>
              <w:rPr>
                <w:rFonts w:ascii="宋体" w:hAnsi="宋体" w:eastAsia="宋体"/>
                <w:color w:val="auto"/>
                <w:szCs w:val="21"/>
                <w:highlight w:val="none"/>
              </w:rPr>
              <w:t>”</w:t>
            </w:r>
            <w:r>
              <w:rPr>
                <w:rFonts w:hint="eastAsia" w:ascii="宋体" w:hAnsi="宋体" w:eastAsia="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ascii="宋体" w:hAnsi="宋体" w:eastAsia="宋体"/>
                <w:color w:val="auto"/>
                <w:szCs w:val="21"/>
                <w:highlight w:val="none"/>
              </w:rPr>
              <w:t>（</w:t>
            </w:r>
            <w:r>
              <w:rPr>
                <w:rFonts w:hint="eastAsia" w:ascii="宋体" w:hAnsi="宋体" w:eastAsia="宋体"/>
                <w:color w:val="auto"/>
                <w:szCs w:val="21"/>
                <w:highlight w:val="none"/>
              </w:rPr>
              <w:t>十四</w:t>
            </w:r>
            <w:r>
              <w:rPr>
                <w:rFonts w:ascii="宋体" w:hAnsi="宋体" w:eastAsia="宋体"/>
                <w:color w:val="auto"/>
                <w:szCs w:val="21"/>
                <w:highlight w:val="none"/>
              </w:rPr>
              <w:t>）</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评标结果公示</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（十五）</w:t>
            </w:r>
          </w:p>
        </w:tc>
        <w:tc>
          <w:tcPr>
            <w:tcW w:w="1701" w:type="dxa"/>
            <w:vAlign w:val="center"/>
          </w:tcPr>
          <w:p>
            <w:pPr>
              <w:adjustRightInd w:val="0"/>
              <w:snapToGrid w:val="0"/>
              <w:spacing w:line="288" w:lineRule="auto"/>
              <w:jc w:val="center"/>
              <w:rPr>
                <w:rFonts w:ascii="宋体" w:hAnsi="宋体" w:eastAsia="宋体"/>
                <w:color w:val="auto"/>
                <w:szCs w:val="21"/>
                <w:highlight w:val="none"/>
              </w:rPr>
            </w:pPr>
            <w:r>
              <w:rPr>
                <w:rFonts w:hint="eastAsia" w:ascii="宋体" w:hAnsi="宋体" w:eastAsia="宋体"/>
                <w:color w:val="auto"/>
                <w:szCs w:val="21"/>
                <w:highlight w:val="none"/>
              </w:rPr>
              <w:t>签订合同</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中标通知书发出之日起30日内。</w:t>
            </w:r>
          </w:p>
        </w:tc>
      </w:tr>
    </w:tbl>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一</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总</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0" w:name="_Hlk94018326"/>
      <w:r>
        <w:rPr>
          <w:rFonts w:ascii="宋体" w:hAnsi="宋体" w:eastAsia="宋体" w:cs="Times New Roman"/>
          <w:color w:val="auto"/>
          <w:spacing w:val="-6"/>
          <w:szCs w:val="21"/>
          <w:highlight w:val="none"/>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适用范围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本招标文件适用于中国美术学院良渚校区1期2标段物联网门禁人员出入智能管控项目的招标、评标、定标、验收、合同履约、付款等（法律、法规另有规定的，从其规定）。</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（二）定义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w:t>
      </w:r>
      <w:r>
        <w:rPr>
          <w:rFonts w:ascii="宋体" w:hAnsi="宋体" w:eastAsia="宋体" w:cs="Times New Roman"/>
          <w:color w:val="auto"/>
          <w:spacing w:val="-6"/>
          <w:szCs w:val="21"/>
          <w:highlight w:val="none"/>
        </w:rPr>
        <w:t>人</w:t>
      </w:r>
      <w:r>
        <w:rPr>
          <w:rFonts w:hint="eastAsia" w:ascii="宋体" w:hAnsi="宋体" w:eastAsia="宋体" w:cs="Times New Roman"/>
          <w:color w:val="auto"/>
          <w:spacing w:val="-6"/>
          <w:szCs w:val="21"/>
          <w:highlight w:val="none"/>
        </w:rPr>
        <w:t>”系指中国美术学院；</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color w:val="auto"/>
          <w:szCs w:val="21"/>
          <w:highlight w:val="none"/>
        </w:rPr>
      </w:pPr>
      <w:r>
        <w:rPr>
          <w:rFonts w:hint="eastAsia" w:ascii="宋体" w:hAnsi="宋体" w:eastAsia="宋体" w:cs="Times New Roman"/>
          <w:color w:val="auto"/>
          <w:spacing w:val="-6"/>
          <w:szCs w:val="21"/>
          <w:highlight w:val="none"/>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color w:val="auto"/>
          <w:szCs w:val="21"/>
          <w:highlight w:val="none"/>
        </w:rPr>
        <w:t>“电子签名”系指数据电文中以电子形式所含、所附用于识别签名人身份并表明签名人认可其中内容的数据；</w:t>
      </w:r>
      <w:r>
        <w:rPr>
          <w:rFonts w:hint="eastAsia" w:ascii="宋体" w:hAnsi="宋体" w:eastAsia="宋体"/>
          <w:color w:val="auto"/>
          <w:szCs w:val="21"/>
          <w:highlight w:val="none"/>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.“▲”系指实质性要求条款，投标人应当做出实质性响应。</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（三）招标方式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本次招标采用公开招标（线上电子招投标）方式进行。</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（四）投标费用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zCs w:val="21"/>
          <w:highlight w:val="none"/>
        </w:rPr>
        <w:t>4</w:t>
      </w:r>
      <w:r>
        <w:rPr>
          <w:rFonts w:ascii="宋体" w:hAnsi="宋体" w:eastAsia="宋体" w:cs="Times New Roman"/>
          <w:color w:val="auto"/>
          <w:szCs w:val="21"/>
          <w:highlight w:val="none"/>
        </w:rPr>
        <w:t>.</w:t>
      </w:r>
      <w:r>
        <w:rPr>
          <w:rFonts w:hint="eastAsia" w:ascii="宋体" w:hAnsi="宋体" w:eastAsia="宋体" w:cs="Times New Roman"/>
          <w:color w:val="auto"/>
          <w:spacing w:val="-6"/>
          <w:szCs w:val="21"/>
          <w:highlight w:val="none"/>
        </w:rPr>
        <w:t>收费标准（差额累进）：</w:t>
      </w:r>
    </w:p>
    <w:tbl>
      <w:tblPr>
        <w:tblStyle w:val="25"/>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51"/>
        <w:gridCol w:w="283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中标金额（万元）</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收费标准（费率，%）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100以下</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1.2（不足叁仟按叁仟元计取）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 w:hRule="atLeast"/>
          <w:jc w:val="center"/>
        </w:trPr>
        <w:tc>
          <w:tcPr>
            <w:tcW w:w="2551"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100-500</w:t>
            </w:r>
          </w:p>
        </w:tc>
        <w:tc>
          <w:tcPr>
            <w:tcW w:w="2833" w:type="dxa"/>
            <w:tcMar>
              <w:top w:w="0" w:type="dxa"/>
              <w:left w:w="108" w:type="dxa"/>
              <w:bottom w:w="0" w:type="dxa"/>
              <w:right w:w="108" w:type="dxa"/>
            </w:tcMar>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olor w:val="auto"/>
                <w:szCs w:val="21"/>
                <w:highlight w:val="none"/>
              </w:rPr>
              <w:t>0.88</w:t>
            </w:r>
          </w:p>
        </w:tc>
      </w:tr>
    </w:tbl>
    <w:p>
      <w:pPr>
        <w:adjustRightInd w:val="0"/>
        <w:snapToGrid w:val="0"/>
        <w:spacing w:line="288" w:lineRule="auto"/>
        <w:ind w:firstLine="399" w:firstLineChars="202"/>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投标保证金（元）：无。</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（五）投标委托</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2.投标人代表不是法定代表人（单位负责人、自然人本人）的，须提供授权委托书（格式详见招标文件第六章）和授权代表社保缴纳证明（2022年12月（含）以后任意一月）；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（六）联合体投标</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本项目</w:t>
      </w:r>
      <w:r>
        <w:rPr>
          <w:rFonts w:hint="eastAsia" w:ascii="宋体" w:hAnsi="宋体" w:eastAsia="宋体"/>
          <w:color w:val="auto"/>
          <w:szCs w:val="21"/>
          <w:highlight w:val="none"/>
        </w:rPr>
        <w:t>（是）</w:t>
      </w:r>
      <w:r>
        <w:rPr>
          <w:rFonts w:hint="eastAsia" w:ascii="宋体" w:hAnsi="宋体" w:eastAsia="宋体" w:cs="宋体"/>
          <w:color w:val="auto"/>
          <w:szCs w:val="21"/>
          <w:highlight w:val="none"/>
        </w:rPr>
        <w:t>接受联合体投标。</w:t>
      </w:r>
    </w:p>
    <w:p>
      <w:pPr>
        <w:spacing w:line="288" w:lineRule="auto"/>
        <w:ind w:firstLine="420" w:firstLineChars="200"/>
        <w:rPr>
          <w:rFonts w:ascii="宋体" w:hAnsi="宋体" w:eastAsia="宋体" w:cs="Times New Roman"/>
          <w:color w:val="auto"/>
          <w:highlight w:val="none"/>
        </w:rPr>
      </w:pPr>
      <w:r>
        <w:rPr>
          <w:rFonts w:hint="eastAsia" w:ascii="宋体" w:hAnsi="宋体" w:eastAsia="宋体" w:cs="Times New Roman"/>
          <w:color w:val="auto"/>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Times New Roman"/>
          <w:color w:val="auto"/>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不允许</w:t>
      </w:r>
      <w:r>
        <w:rPr>
          <w:rFonts w:hint="eastAsia" w:ascii="宋体" w:hAnsi="宋体" w:eastAsia="宋体"/>
          <w:color w:val="auto"/>
          <w:szCs w:val="21"/>
          <w:highlight w:val="none"/>
        </w:rPr>
        <w:t>分包，不适宜分包的理由是：为保持项目一致性</w:t>
      </w:r>
      <w:r>
        <w:rPr>
          <w:rFonts w:ascii="宋体" w:hAnsi="宋体" w:eastAsia="宋体"/>
          <w:color w:val="auto"/>
          <w:szCs w:val="21"/>
          <w:highlight w:val="none"/>
          <w:u w:val="single"/>
        </w:rPr>
        <w:t>。</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2" w:name="_Hlk92273406"/>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color w:val="auto"/>
          <w:spacing w:val="-6"/>
          <w:szCs w:val="21"/>
          <w:highlight w:val="none"/>
        </w:rPr>
        <w:t>7个工作日内，以书面形式向采购人、采购代理机构提出质疑。</w:t>
      </w:r>
      <w:r>
        <w:rPr>
          <w:rFonts w:hint="eastAsia" w:ascii="宋体" w:hAnsi="宋体" w:eastAsia="宋体" w:cs="Times New Roman"/>
          <w:color w:val="auto"/>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color w:val="auto"/>
          <w:spacing w:val="-6"/>
          <w:szCs w:val="21"/>
          <w:highlight w:val="none"/>
        </w:rPr>
        <w:t>15个工作日内向</w:t>
      </w:r>
      <w:r>
        <w:rPr>
          <w:rFonts w:hint="eastAsia" w:ascii="宋体" w:hAnsi="宋体" w:eastAsia="宋体" w:cs="Times New Roman"/>
          <w:color w:val="auto"/>
          <w:spacing w:val="-6"/>
          <w:szCs w:val="21"/>
          <w:highlight w:val="none"/>
        </w:rPr>
        <w:t>本级财政部门</w:t>
      </w:r>
      <w:r>
        <w:rPr>
          <w:rFonts w:ascii="宋体" w:hAnsi="宋体" w:eastAsia="宋体" w:cs="Times New Roman"/>
          <w:color w:val="auto"/>
          <w:spacing w:val="-6"/>
          <w:szCs w:val="21"/>
          <w:highlight w:val="none"/>
        </w:rPr>
        <w:t>提起投诉。</w:t>
      </w:r>
    </w:p>
    <w:bookmarkEnd w:id="42"/>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3.提出质疑的供应商应当是参与本项目招标活动的投标人。</w:t>
      </w:r>
      <w:r>
        <w:rPr>
          <w:rFonts w:hint="eastAsia" w:ascii="宋体" w:hAnsi="宋体" w:eastAsia="宋体" w:cs="Times New Roman"/>
          <w:b/>
          <w:color w:val="auto"/>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4.根据《政府采购质疑和投诉办法》第三十七条的规定，投诉人在全国范围</w:t>
      </w:r>
      <w:r>
        <w:rPr>
          <w:rFonts w:ascii="宋体" w:hAnsi="宋体" w:eastAsia="宋体" w:cs="Times New Roman"/>
          <w:color w:val="auto"/>
          <w:spacing w:val="-6"/>
          <w:szCs w:val="21"/>
          <w:highlight w:val="none"/>
        </w:rPr>
        <w:t>12</w:t>
      </w:r>
      <w:r>
        <w:rPr>
          <w:rFonts w:hint="eastAsia" w:ascii="宋体" w:hAnsi="宋体" w:eastAsia="宋体" w:cs="Times New Roman"/>
          <w:color w:val="auto"/>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投诉人有下列行为之一的，属于虚假、恶意投诉，由财政部门列入不良行为记录名单，禁止其</w:t>
      </w:r>
      <w:r>
        <w:rPr>
          <w:rFonts w:ascii="宋体" w:hAnsi="宋体" w:eastAsia="宋体" w:cs="Times New Roman"/>
          <w:color w:val="auto"/>
          <w:spacing w:val="-6"/>
          <w:szCs w:val="21"/>
          <w:highlight w:val="none"/>
        </w:rPr>
        <w:t>1</w:t>
      </w:r>
      <w:r>
        <w:rPr>
          <w:rFonts w:hint="eastAsia" w:ascii="宋体" w:hAnsi="宋体" w:eastAsia="宋体" w:cs="Times New Roman"/>
          <w:color w:val="auto"/>
          <w:spacing w:val="-6"/>
          <w:szCs w:val="21"/>
          <w:highlight w:val="none"/>
        </w:rPr>
        <w:t>至</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2"/>
        <w:rPr>
          <w:rFonts w:ascii="宋体" w:hAnsi="宋体" w:eastAsia="宋体" w:cs="宋体"/>
          <w:b/>
          <w:color w:val="auto"/>
          <w:spacing w:val="-6"/>
          <w:kern w:val="0"/>
          <w:szCs w:val="21"/>
          <w:highlight w:val="none"/>
        </w:rPr>
      </w:pPr>
      <w:bookmarkStart w:id="43" w:name="_Hlk92273111"/>
      <w:bookmarkStart w:id="44" w:name="_Hlk94018492"/>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九</w:t>
      </w:r>
      <w:r>
        <w:rPr>
          <w:rFonts w:ascii="宋体" w:hAnsi="宋体" w:eastAsia="宋体" w:cs="宋体"/>
          <w:b/>
          <w:color w:val="auto"/>
          <w:spacing w:val="-6"/>
          <w:kern w:val="0"/>
          <w:szCs w:val="21"/>
          <w:highlight w:val="none"/>
        </w:rPr>
        <w:t>）</w:t>
      </w:r>
      <w:r>
        <w:rPr>
          <w:rFonts w:hint="eastAsia" w:ascii="宋体" w:hAnsi="宋体" w:eastAsia="宋体" w:cs="宋体"/>
          <w:b/>
          <w:color w:val="auto"/>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ascii="宋体" w:hAnsi="宋体" w:eastAsia="宋体" w:cs="Times New Roman"/>
          <w:color w:val="auto"/>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3.</w:t>
      </w:r>
      <w:r>
        <w:rPr>
          <w:rFonts w:hint="eastAsia" w:ascii="宋体" w:hAnsi="宋体" w:eastAsia="宋体" w:cs="Times New Roman"/>
          <w:b/>
          <w:bCs/>
          <w:color w:val="auto"/>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对于未预留份额专门面向中小企业的政府采购货物或服务项目，以及预留份额政府采购货物或服务项目中的非预留部分标项，对小型和微型企业的投标报价给予</w:t>
      </w: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%的扣除，用扣除后的价格参加评审。组成联合体或者接受分包的小微企业与联合体内其他企业、分包企业之间存在直接控</w:t>
      </w:r>
      <w:r>
        <w:rPr>
          <w:rFonts w:hint="eastAsia" w:ascii="宋体" w:hAnsi="宋体" w:eastAsia="宋体" w:cs="Times New Roman"/>
          <w:color w:val="auto"/>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ascii="宋体" w:hAnsi="宋体" w:eastAsia="宋体" w:cs="Times New Roman"/>
          <w:color w:val="auto"/>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除财库</w:t>
      </w:r>
      <w:r>
        <w:rPr>
          <w:rFonts w:ascii="宋体" w:hAnsi="宋体" w:eastAsia="宋体" w:cs="Times New Roman"/>
          <w:color w:val="auto"/>
          <w:spacing w:val="-6"/>
          <w:szCs w:val="21"/>
          <w:highlight w:val="none"/>
        </w:rPr>
        <w:t>《政府采购促进中小企业发展管理办法》</w:t>
      </w:r>
      <w:r>
        <w:rPr>
          <w:rFonts w:hint="eastAsia" w:ascii="宋体" w:hAnsi="宋体" w:eastAsia="宋体" w:cs="Times New Roman"/>
          <w:color w:val="auto"/>
          <w:spacing w:val="-6"/>
          <w:szCs w:val="21"/>
          <w:highlight w:val="none"/>
        </w:rPr>
        <w:t>（财库〔</w:t>
      </w:r>
      <w:r>
        <w:rPr>
          <w:rFonts w:ascii="宋体" w:hAnsi="宋体" w:eastAsia="宋体" w:cs="Times New Roman"/>
          <w:color w:val="auto"/>
          <w:spacing w:val="-6"/>
          <w:szCs w:val="21"/>
          <w:highlight w:val="none"/>
        </w:rPr>
        <w:t>2020〕46号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《关于促进残疾人就业政府采购政策的通知》（财库〔2017〕141号）</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《关于政府采购支持监狱企业发展有关问题的通知》（财库[2014]68号）规定企业类型以外的供应商不享受中小企业扶持政策</w:t>
      </w:r>
      <w:r>
        <w:rPr>
          <w:rFonts w:hint="eastAsia" w:ascii="宋体" w:hAnsi="宋体" w:eastAsia="宋体" w:cs="Times New Roman"/>
          <w:color w:val="auto"/>
          <w:spacing w:val="-6"/>
          <w:szCs w:val="21"/>
          <w:highlight w:val="none"/>
        </w:rPr>
        <w:t>。</w:t>
      </w:r>
    </w:p>
    <w:bookmarkEnd w:id="44"/>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二</w:t>
      </w:r>
      <w:r>
        <w:rPr>
          <w:rFonts w:hint="eastAsia" w:ascii="宋体" w:hAnsi="宋体" w:eastAsia="宋体" w:cs="Times New Roman"/>
          <w:b/>
          <w:color w:val="auto"/>
          <w:spacing w:val="-6"/>
          <w:szCs w:val="21"/>
          <w:highlight w:val="none"/>
        </w:rPr>
        <w:t>、招标文件</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（一）招标文件的构成</w:t>
      </w: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本招标文件由以下部分组成：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1.投标邀请</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2.采购需求</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3.投标人须知</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4.评标方法和评标标准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5.拟签订的合同文本</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6.投标文件格式</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7.本项目招标文件的澄清、答复、修改、补充的内容</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（二）招标文件的澄清与修改</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.采购人或者采购代理机构可以对已发出的招标文件进行必要的澄清或者修改</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w:t>
      </w:r>
      <w:r>
        <w:rPr>
          <w:rFonts w:hint="eastAsia" w:ascii="宋体" w:hAnsi="宋体" w:eastAsia="宋体" w:cs="Times New Roman"/>
          <w:color w:val="auto"/>
          <w:spacing w:val="-6"/>
          <w:szCs w:val="21"/>
          <w:highlight w:val="none"/>
        </w:rPr>
        <w:t>会</w:t>
      </w:r>
      <w:r>
        <w:rPr>
          <w:rFonts w:ascii="宋体" w:hAnsi="宋体" w:eastAsia="宋体" w:cs="Times New Roman"/>
          <w:color w:val="auto"/>
          <w:spacing w:val="-6"/>
          <w:szCs w:val="21"/>
          <w:highlight w:val="none"/>
        </w:rPr>
        <w:t>在原公告发布媒体上发布澄清公告</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2.招标文件的修改将以书面形式通知所有获取招标文件的投标人，并对其具有约束力。投标人在收到上述通知后，应立即向采购</w:t>
      </w:r>
      <w:r>
        <w:rPr>
          <w:rFonts w:ascii="宋体" w:hAnsi="宋体" w:eastAsia="宋体" w:cs="Times New Roman"/>
          <w:color w:val="auto"/>
          <w:spacing w:val="-6"/>
          <w:szCs w:val="21"/>
          <w:highlight w:val="none"/>
        </w:rPr>
        <w:t>代理机构</w:t>
      </w:r>
      <w:r>
        <w:rPr>
          <w:rFonts w:hint="eastAsia" w:ascii="宋体" w:hAnsi="宋体" w:eastAsia="宋体" w:cs="Times New Roman"/>
          <w:color w:val="auto"/>
          <w:spacing w:val="-6"/>
          <w:szCs w:val="21"/>
          <w:highlight w:val="none"/>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br w:type="page"/>
      </w:r>
      <w:r>
        <w:rPr>
          <w:rFonts w:ascii="宋体" w:hAnsi="宋体" w:eastAsia="宋体" w:cs="Times New Roman"/>
          <w:b/>
          <w:color w:val="auto"/>
          <w:spacing w:val="-6"/>
          <w:szCs w:val="21"/>
          <w:highlight w:val="none"/>
        </w:rPr>
        <w:t>三</w:t>
      </w:r>
      <w:r>
        <w:rPr>
          <w:rFonts w:hint="eastAsia" w:ascii="宋体" w:hAnsi="宋体" w:eastAsia="宋体" w:cs="Times New Roman"/>
          <w:b/>
          <w:color w:val="auto"/>
          <w:spacing w:val="-6"/>
          <w:szCs w:val="21"/>
          <w:highlight w:val="none"/>
        </w:rPr>
        <w:t>、</w:t>
      </w:r>
      <w:r>
        <w:rPr>
          <w:rFonts w:ascii="宋体" w:hAnsi="宋体" w:eastAsia="宋体" w:cs="Times New Roman"/>
          <w:b/>
          <w:color w:val="auto"/>
          <w:spacing w:val="-6"/>
          <w:szCs w:val="21"/>
          <w:highlight w:val="none"/>
        </w:rPr>
        <w:t>投标文件编制要求</w:t>
      </w:r>
    </w:p>
    <w:p>
      <w:pPr>
        <w:adjustRightInd w:val="0"/>
        <w:snapToGrid w:val="0"/>
        <w:spacing w:line="288" w:lineRule="auto"/>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（一）投标文件的组成</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46" w:name="_Hlk94018532"/>
      <w:r>
        <w:rPr>
          <w:rFonts w:hint="eastAsia" w:ascii="宋体" w:hAnsi="宋体" w:eastAsia="宋体" w:cs="Times New Roman"/>
          <w:color w:val="auto"/>
          <w:spacing w:val="-6"/>
          <w:szCs w:val="21"/>
          <w:highlight w:val="none"/>
        </w:rPr>
        <w:t>投标文件（电子加密投标文件）由</w:t>
      </w:r>
      <w:r>
        <w:rPr>
          <w:rFonts w:hint="eastAsia" w:ascii="宋体" w:hAnsi="宋体" w:eastAsia="宋体" w:cs="Times New Roman"/>
          <w:b/>
          <w:color w:val="auto"/>
          <w:spacing w:val="-6"/>
          <w:szCs w:val="21"/>
          <w:highlight w:val="none"/>
        </w:rPr>
        <w:t>资格文件、商务和技术文件、报价文件三部分</w:t>
      </w:r>
      <w:r>
        <w:rPr>
          <w:rFonts w:hint="eastAsia" w:ascii="宋体" w:hAnsi="宋体" w:eastAsia="宋体" w:cs="Times New Roman"/>
          <w:bCs/>
          <w:color w:val="auto"/>
          <w:spacing w:val="-6"/>
          <w:szCs w:val="21"/>
          <w:highlight w:val="none"/>
        </w:rPr>
        <w:t>组成（格式详见招标文件第六章）。投标人应将投标文件各部分</w:t>
      </w:r>
      <w:r>
        <w:rPr>
          <w:rFonts w:hint="eastAsia" w:ascii="宋体" w:hAnsi="宋体" w:eastAsia="宋体" w:cs="Times New Roman"/>
          <w:b/>
          <w:color w:val="auto"/>
          <w:spacing w:val="-6"/>
          <w:szCs w:val="21"/>
          <w:highlight w:val="none"/>
        </w:rPr>
        <w:t>分别上传</w:t>
      </w:r>
      <w:r>
        <w:rPr>
          <w:rFonts w:hint="eastAsia" w:ascii="宋体" w:hAnsi="宋体" w:eastAsia="宋体" w:cs="Times New Roman"/>
          <w:bCs/>
          <w:color w:val="auto"/>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投标文件组成：详见“第六章</w:t>
      </w:r>
      <w:r>
        <w:rPr>
          <w:rFonts w:ascii="宋体" w:hAnsi="宋体" w:eastAsia="宋体" w:cs="Times New Roman"/>
          <w:color w:val="auto"/>
          <w:spacing w:val="-6"/>
          <w:szCs w:val="21"/>
          <w:highlight w:val="none"/>
        </w:rPr>
        <w:t xml:space="preserve">  投标文件格式</w:t>
      </w:r>
      <w:r>
        <w:rPr>
          <w:rFonts w:hint="eastAsia" w:ascii="宋体" w:hAnsi="宋体" w:eastAsia="宋体" w:cs="Times New Roman"/>
          <w:color w:val="auto"/>
          <w:spacing w:val="-6"/>
          <w:szCs w:val="21"/>
          <w:highlight w:val="none"/>
        </w:rPr>
        <w:t>”目录</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color w:val="auto"/>
          <w:spacing w:val="-6"/>
          <w:szCs w:val="21"/>
          <w:highlight w:val="none"/>
        </w:rPr>
      </w:pPr>
      <w:r>
        <w:rPr>
          <w:rFonts w:hint="eastAsia" w:ascii="宋体" w:hAnsi="宋体" w:eastAsia="宋体"/>
          <w:color w:val="auto"/>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color w:val="auto"/>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2.投标文件须由投标人在规定位置</w:t>
      </w:r>
      <w:bookmarkStart w:id="47" w:name="_Hlk96329183"/>
      <w:r>
        <w:rPr>
          <w:rFonts w:hint="eastAsia" w:ascii="宋体" w:hAnsi="宋体" w:eastAsia="宋体"/>
          <w:color w:val="auto"/>
          <w:spacing w:val="-6"/>
          <w:szCs w:val="21"/>
          <w:highlight w:val="none"/>
        </w:rPr>
        <w:t>加盖公章</w:t>
      </w:r>
      <w:bookmarkEnd w:id="47"/>
      <w:r>
        <w:rPr>
          <w:rFonts w:hint="eastAsia" w:ascii="宋体" w:hAnsi="宋体" w:eastAsia="宋体"/>
          <w:color w:val="auto"/>
          <w:spacing w:val="-6"/>
          <w:szCs w:val="21"/>
          <w:highlight w:val="none"/>
        </w:rPr>
        <w:t>，投标人应写全称。</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4.投标文件份数：</w:t>
      </w:r>
    </w:p>
    <w:p>
      <w:pPr>
        <w:adjustRightInd w:val="0"/>
        <w:snapToGrid w:val="0"/>
        <w:spacing w:line="288" w:lineRule="auto"/>
        <w:ind w:firstLine="398" w:firstLineChars="200"/>
        <w:jc w:val="left"/>
        <w:rPr>
          <w:rFonts w:ascii="宋体" w:hAnsi="宋体" w:eastAsia="宋体"/>
          <w:b/>
          <w:bCs/>
          <w:color w:val="auto"/>
          <w:spacing w:val="-6"/>
          <w:szCs w:val="21"/>
          <w:highlight w:val="none"/>
        </w:rPr>
      </w:pPr>
      <w:r>
        <w:rPr>
          <w:rFonts w:hint="eastAsia" w:ascii="宋体" w:hAnsi="宋体" w:eastAsia="宋体"/>
          <w:b/>
          <w:bCs/>
          <w:color w:val="auto"/>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b/>
          <w:bCs/>
          <w:color w:val="auto"/>
          <w:spacing w:val="-6"/>
          <w:szCs w:val="21"/>
          <w:highlight w:val="none"/>
        </w:rPr>
        <w:t>备份投标文件：密封包装后EMS或顺丰邮寄形式递交一份（邮寄地址：</w:t>
      </w:r>
      <w:r>
        <w:rPr>
          <w:rFonts w:hint="eastAsia" w:ascii="宋体" w:hAnsi="宋体" w:eastAsia="宋体" w:cs="宋体"/>
          <w:b/>
          <w:bCs/>
          <w:color w:val="auto"/>
          <w:szCs w:val="21"/>
          <w:highlight w:val="none"/>
        </w:rPr>
        <w:t>杭州市西湖区玉古路173号中田大厦21楼H室，浙江求是招标代理有限公司（陈培特）收，电话：0571-87666115，寄出后将（快递单号、项目名称、公司名称、联系方式等相关信息）发至：zb03@qszb.net，以便查收）。</w:t>
      </w:r>
    </w:p>
    <w:p>
      <w:pPr>
        <w:adjustRightInd w:val="0"/>
        <w:snapToGrid w:val="0"/>
        <w:spacing w:line="288" w:lineRule="auto"/>
        <w:ind w:firstLine="422" w:firstLineChars="200"/>
        <w:jc w:val="left"/>
        <w:rPr>
          <w:rFonts w:ascii="宋体" w:hAnsi="宋体" w:eastAsia="宋体" w:cs="Times New Roman"/>
          <w:b/>
          <w:bCs/>
          <w:color w:val="auto"/>
          <w:spacing w:val="-6"/>
          <w:szCs w:val="21"/>
          <w:highlight w:val="none"/>
        </w:rPr>
      </w:pPr>
      <w:r>
        <w:rPr>
          <w:rFonts w:hint="eastAsia" w:ascii="宋体" w:hAnsi="宋体" w:eastAsia="宋体" w:cs="宋体"/>
          <w:b/>
          <w:color w:val="auto"/>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（1）电子加密投标文件的上传：</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（2）备份投标文件的密封包装、递交：</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b.备份投标文件应当密封包装并在包装上标注投标</w:t>
      </w:r>
      <w:r>
        <w:rPr>
          <w:rFonts w:hint="eastAsia" w:ascii="宋体" w:hAnsi="宋体" w:eastAsia="宋体"/>
          <w:color w:val="auto"/>
          <w:spacing w:val="-6"/>
          <w:szCs w:val="21"/>
          <w:highlight w:val="none"/>
          <w:u w:val="single"/>
        </w:rPr>
        <w:t>项目名称、标项、投标人名称</w:t>
      </w:r>
      <w:r>
        <w:rPr>
          <w:rFonts w:hint="eastAsia" w:ascii="宋体" w:hAnsi="宋体" w:eastAsia="宋体"/>
          <w:color w:val="auto"/>
          <w:spacing w:val="-6"/>
          <w:szCs w:val="21"/>
          <w:highlight w:val="none"/>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color w:val="auto"/>
          <w:spacing w:val="-6"/>
          <w:szCs w:val="21"/>
          <w:highlight w:val="none"/>
        </w:rPr>
      </w:pPr>
      <w:bookmarkStart w:id="48" w:name="_Hlk94018616"/>
      <w:r>
        <w:rPr>
          <w:rFonts w:hint="eastAsia" w:ascii="宋体" w:hAnsi="宋体" w:eastAsia="宋体"/>
          <w:color w:val="auto"/>
          <w:spacing w:val="-6"/>
          <w:szCs w:val="21"/>
          <w:highlight w:val="none"/>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2</w:t>
      </w:r>
      <w:r>
        <w:rPr>
          <w:rFonts w:hint="eastAsia" w:ascii="宋体" w:hAnsi="宋体" w:eastAsia="宋体"/>
          <w:color w:val="auto"/>
          <w:spacing w:val="-6"/>
          <w:szCs w:val="21"/>
          <w:highlight w:val="none"/>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ascii="宋体" w:hAnsi="宋体" w:eastAsia="宋体"/>
          <w:color w:val="auto"/>
          <w:spacing w:val="-6"/>
          <w:szCs w:val="21"/>
          <w:highlight w:val="none"/>
        </w:rPr>
        <w:t>3</w:t>
      </w:r>
      <w:r>
        <w:rPr>
          <w:rFonts w:hint="eastAsia" w:ascii="宋体" w:hAnsi="宋体" w:eastAsia="宋体"/>
          <w:color w:val="auto"/>
          <w:spacing w:val="-6"/>
          <w:szCs w:val="21"/>
          <w:highlight w:val="none"/>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color w:val="auto"/>
          <w:szCs w:val="21"/>
          <w:highlight w:val="none"/>
        </w:rPr>
      </w:pPr>
      <w:r>
        <w:rPr>
          <w:rFonts w:hint="eastAsia" w:ascii="宋体" w:hAnsi="宋体" w:eastAsia="宋体"/>
          <w:b/>
          <w:bCs/>
          <w:color w:val="auto"/>
          <w:szCs w:val="21"/>
          <w:highlight w:val="none"/>
        </w:rPr>
        <w:t>备注：投标人可通过浙江省“电子交易/不见面开评标”学习专题提前进行专题学习，熟悉操作，避免影响采购活动（</w:t>
      </w:r>
      <w:r>
        <w:rPr>
          <w:color w:val="auto"/>
          <w:highlight w:val="none"/>
        </w:rPr>
        <w:fldChar w:fldCharType="begin"/>
      </w:r>
      <w:r>
        <w:rPr>
          <w:color w:val="auto"/>
          <w:highlight w:val="none"/>
        </w:rPr>
        <w:instrText xml:space="preserve"> HYPERLINK "https://edu.zcygov.cn/luban/e-biding" </w:instrText>
      </w:r>
      <w:r>
        <w:rPr>
          <w:color w:val="auto"/>
          <w:highlight w:val="none"/>
        </w:rPr>
        <w:fldChar w:fldCharType="separate"/>
      </w:r>
      <w:r>
        <w:rPr>
          <w:rStyle w:val="32"/>
          <w:rFonts w:hint="eastAsia" w:ascii="宋体" w:hAnsi="宋体" w:eastAsia="宋体"/>
          <w:b/>
          <w:bCs/>
          <w:color w:val="auto"/>
          <w:szCs w:val="21"/>
          <w:highlight w:val="none"/>
        </w:rPr>
        <w:t>https://edu.zcygov.cn/luban/e-biding</w:t>
      </w:r>
      <w:r>
        <w:rPr>
          <w:rStyle w:val="32"/>
          <w:rFonts w:hint="eastAsia" w:ascii="宋体" w:hAnsi="宋体" w:eastAsia="宋体"/>
          <w:b/>
          <w:bCs/>
          <w:color w:val="auto"/>
          <w:szCs w:val="21"/>
          <w:highlight w:val="none"/>
        </w:rPr>
        <w:fldChar w:fldCharType="end"/>
      </w:r>
      <w:r>
        <w:rPr>
          <w:rFonts w:hint="eastAsia" w:ascii="宋体" w:hAnsi="宋体" w:eastAsia="宋体"/>
          <w:b/>
          <w:bCs/>
          <w:color w:val="auto"/>
          <w:szCs w:val="21"/>
          <w:highlight w:val="none"/>
        </w:rPr>
        <w:t>）。</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（四）投标文件的语言及计量</w:t>
      </w:r>
    </w:p>
    <w:p>
      <w:pPr>
        <w:adjustRightInd w:val="0"/>
        <w:snapToGrid w:val="0"/>
        <w:spacing w:line="288" w:lineRule="auto"/>
        <w:ind w:firstLine="396" w:firstLineChars="200"/>
        <w:jc w:val="left"/>
        <w:rPr>
          <w:rFonts w:ascii="宋体" w:hAnsi="宋体" w:eastAsia="宋体"/>
          <w:color w:val="auto"/>
          <w:spacing w:val="-6"/>
          <w:szCs w:val="21"/>
          <w:highlight w:val="none"/>
        </w:rPr>
      </w:pPr>
      <w:r>
        <w:rPr>
          <w:rFonts w:hint="eastAsia" w:ascii="宋体" w:hAnsi="宋体" w:eastAsia="宋体"/>
          <w:color w:val="auto"/>
          <w:spacing w:val="-6"/>
          <w:szCs w:val="21"/>
          <w:highlight w:val="none"/>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（五）投标报价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2.以人民币报价；</w:t>
      </w:r>
    </w:p>
    <w:p>
      <w:pPr>
        <w:adjustRightInd w:val="0"/>
        <w:snapToGrid w:val="0"/>
        <w:spacing w:line="288"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3.投标报价是履行合同的最终价格，有关本项目实施所涉及的一切费用均计入报价；</w:t>
      </w:r>
    </w:p>
    <w:p>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r>
        <w:rPr>
          <w:rFonts w:hint="eastAsia" w:hAnsi="宋体" w:eastAsia="宋体" w:cs="宋体"/>
          <w:color w:val="auto"/>
          <w:sz w:val="21"/>
          <w:szCs w:val="21"/>
          <w:highlight w:val="none"/>
        </w:rPr>
        <w:t>4.投标文件只允许有一个报价，有选择的报价将不予接受。</w:t>
      </w:r>
    </w:p>
    <w:p>
      <w:pPr>
        <w:pStyle w:val="15"/>
        <w:adjustRightInd w:val="0"/>
        <w:snapToGrid w:val="0"/>
        <w:spacing w:before="0" w:beforeLines="0" w:after="0" w:afterLines="0" w:line="288" w:lineRule="auto"/>
        <w:ind w:firstLine="420" w:firstLineChars="200"/>
        <w:jc w:val="left"/>
        <w:rPr>
          <w:rFonts w:hAnsi="宋体" w:eastAsia="宋体" w:cs="宋体"/>
          <w:color w:val="auto"/>
          <w:sz w:val="21"/>
          <w:szCs w:val="21"/>
          <w:highlight w:val="none"/>
        </w:rPr>
      </w:pPr>
      <w:bookmarkStart w:id="49" w:name="_Hlk94018664"/>
      <w:r>
        <w:rPr>
          <w:rFonts w:hint="eastAsia" w:hAnsi="宋体" w:eastAsia="宋体" w:cs="宋体"/>
          <w:color w:val="auto"/>
          <w:sz w:val="21"/>
          <w:szCs w:val="21"/>
          <w:highlight w:val="none"/>
        </w:rPr>
        <w:t>▲5</w:t>
      </w:r>
      <w:r>
        <w:rPr>
          <w:rFonts w:hAnsi="宋体" w:eastAsia="宋体" w:cs="宋体"/>
          <w:color w:val="auto"/>
          <w:sz w:val="21"/>
          <w:szCs w:val="21"/>
          <w:highlight w:val="none"/>
        </w:rPr>
        <w:t>.</w:t>
      </w:r>
      <w:r>
        <w:rPr>
          <w:rFonts w:hint="eastAsia" w:hAnsi="宋体" w:eastAsia="宋体" w:cs="宋体"/>
          <w:color w:val="auto"/>
          <w:sz w:val="21"/>
          <w:szCs w:val="21"/>
          <w:highlight w:val="none"/>
        </w:rPr>
        <w:t>采购人将以合同形式有偿取得货物或服务，不接受投标人给予的赠品、回扣或者与采购无关的其他商品、服务，不得出现“</w:t>
      </w:r>
      <w:r>
        <w:rPr>
          <w:rFonts w:hAnsi="宋体" w:eastAsia="宋体" w:cs="宋体"/>
          <w:color w:val="auto"/>
          <w:sz w:val="21"/>
          <w:szCs w:val="21"/>
          <w:highlight w:val="none"/>
        </w:rPr>
        <w:t>0元”“免费赠送”等形式的无偿报价，否则视为投标文件含有采购人不能接受的附加条件的，投标无效。</w:t>
      </w:r>
    </w:p>
    <w:bookmarkEnd w:id="49"/>
    <w:p>
      <w:pPr>
        <w:adjustRightInd w:val="0"/>
        <w:snapToGrid w:val="0"/>
        <w:spacing w:line="288" w:lineRule="auto"/>
        <w:jc w:val="left"/>
        <w:rPr>
          <w:rFonts w:ascii="宋体" w:hAnsi="宋体" w:eastAsia="宋体"/>
          <w:b/>
          <w:color w:val="auto"/>
          <w:spacing w:val="-6"/>
          <w:szCs w:val="21"/>
          <w:highlight w:val="none"/>
        </w:rPr>
      </w:pPr>
      <w:r>
        <w:rPr>
          <w:rFonts w:hint="eastAsia" w:ascii="宋体" w:hAnsi="宋体" w:eastAsia="宋体"/>
          <w:b/>
          <w:color w:val="auto"/>
          <w:spacing w:val="-6"/>
          <w:szCs w:val="21"/>
          <w:highlight w:val="none"/>
        </w:rPr>
        <w:t>（六）投标有效期</w:t>
      </w:r>
    </w:p>
    <w:p>
      <w:pPr>
        <w:pStyle w:val="15"/>
        <w:adjustRightInd w:val="0"/>
        <w:snapToGrid w:val="0"/>
        <w:spacing w:before="0" w:beforeLines="0" w:after="0" w:afterLines="0" w:line="288" w:lineRule="auto"/>
        <w:ind w:firstLine="396" w:firstLineChars="200"/>
        <w:jc w:val="left"/>
        <w:rPr>
          <w:rFonts w:hAnsi="宋体" w:eastAsia="宋体"/>
          <w:color w:val="auto"/>
          <w:sz w:val="21"/>
          <w:szCs w:val="21"/>
          <w:highlight w:val="none"/>
        </w:rPr>
      </w:pPr>
      <w:r>
        <w:rPr>
          <w:rFonts w:hint="eastAsia" w:hAnsi="宋体" w:eastAsia="宋体"/>
          <w:color w:val="auto"/>
          <w:spacing w:val="-6"/>
          <w:sz w:val="21"/>
          <w:szCs w:val="21"/>
          <w:highlight w:val="none"/>
        </w:rPr>
        <w:t>▲从提交投标文件的截止之日起</w:t>
      </w:r>
      <w:r>
        <w:rPr>
          <w:rFonts w:hAnsi="宋体" w:eastAsia="宋体"/>
          <w:color w:val="auto"/>
          <w:spacing w:val="-6"/>
          <w:sz w:val="21"/>
          <w:szCs w:val="21"/>
          <w:highlight w:val="none"/>
        </w:rPr>
        <w:t>90天，在原投标有效期满之前，如果出现特殊情况，采购人或采购代理机构以书面形式通知投标人延长投标有效期。</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四、资格审查不通过、投标无效的情形</w:t>
      </w:r>
    </w:p>
    <w:p>
      <w:pPr>
        <w:adjustRightInd w:val="0"/>
        <w:snapToGrid w:val="0"/>
        <w:spacing w:line="288" w:lineRule="auto"/>
        <w:ind w:firstLine="420" w:firstLineChars="200"/>
        <w:rPr>
          <w:rFonts w:ascii="宋体" w:hAnsi="宋体" w:eastAsia="宋体" w:cs="宋体"/>
          <w:color w:val="auto"/>
          <w:szCs w:val="21"/>
          <w:highlight w:val="none"/>
        </w:rPr>
      </w:pPr>
      <w:bookmarkStart w:id="50" w:name="_Hlk94018682"/>
      <w:r>
        <w:rPr>
          <w:rFonts w:hint="eastAsia" w:ascii="宋体" w:hAnsi="宋体" w:eastAsia="宋体" w:cs="宋体"/>
          <w:color w:val="auto"/>
          <w:szCs w:val="21"/>
          <w:highlight w:val="none"/>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资格证明</w:t>
      </w:r>
      <w:r>
        <w:rPr>
          <w:rFonts w:hint="eastAsia" w:ascii="宋体" w:hAnsi="宋体" w:eastAsia="宋体" w:cs="Times New Roman"/>
          <w:color w:val="auto"/>
          <w:spacing w:val="-6"/>
          <w:szCs w:val="21"/>
          <w:highlight w:val="none"/>
        </w:rPr>
        <w:t>材料</w:t>
      </w:r>
      <w:r>
        <w:rPr>
          <w:rFonts w:ascii="宋体" w:hAnsi="宋体" w:eastAsia="宋体" w:cs="Times New Roman"/>
          <w:color w:val="auto"/>
          <w:spacing w:val="-6"/>
          <w:szCs w:val="21"/>
          <w:highlight w:val="none"/>
        </w:rPr>
        <w:t>不全的，或者不符合</w:t>
      </w:r>
      <w:r>
        <w:rPr>
          <w:rFonts w:hint="eastAsia" w:ascii="宋体" w:hAnsi="宋体" w:eastAsia="宋体" w:cs="Times New Roman"/>
          <w:color w:val="auto"/>
          <w:spacing w:val="-6"/>
          <w:szCs w:val="21"/>
          <w:highlight w:val="none"/>
        </w:rPr>
        <w:t>招标</w:t>
      </w:r>
      <w:r>
        <w:rPr>
          <w:rFonts w:ascii="宋体" w:hAnsi="宋体" w:eastAsia="宋体" w:cs="Times New Roman"/>
          <w:color w:val="auto"/>
          <w:spacing w:val="-6"/>
          <w:szCs w:val="21"/>
          <w:highlight w:val="none"/>
        </w:rPr>
        <w:t>文件要求</w:t>
      </w:r>
      <w:r>
        <w:rPr>
          <w:rFonts w:hint="eastAsia" w:ascii="宋体" w:hAnsi="宋体" w:eastAsia="宋体" w:cs="Times New Roman"/>
          <w:color w:val="auto"/>
          <w:spacing w:val="-6"/>
          <w:szCs w:val="21"/>
          <w:highlight w:val="none"/>
        </w:rPr>
        <w:t>；</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）投标人不具备招标文件中规定的资格要求；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）资格</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在符合</w:t>
      </w:r>
      <w:r>
        <w:rPr>
          <w:rFonts w:ascii="宋体" w:hAnsi="宋体" w:eastAsia="宋体" w:cs="Times New Roman"/>
          <w:b/>
          <w:color w:val="auto"/>
          <w:spacing w:val="-6"/>
          <w:szCs w:val="21"/>
          <w:highlight w:val="none"/>
        </w:rPr>
        <w:t>性审查、</w:t>
      </w:r>
      <w:r>
        <w:rPr>
          <w:rFonts w:hint="eastAsia" w:ascii="宋体" w:hAnsi="宋体" w:eastAsia="宋体" w:cs="Times New Roman"/>
          <w:b/>
          <w:color w:val="auto"/>
          <w:spacing w:val="-6"/>
          <w:szCs w:val="21"/>
          <w:highlight w:val="none"/>
        </w:rPr>
        <w:t>商务</w:t>
      </w:r>
      <w:r>
        <w:rPr>
          <w:rFonts w:ascii="宋体" w:hAnsi="宋体" w:eastAsia="宋体" w:cs="Times New Roman"/>
          <w:b/>
          <w:color w:val="auto"/>
          <w:spacing w:val="-6"/>
          <w:szCs w:val="21"/>
          <w:highlight w:val="none"/>
        </w:rPr>
        <w:t>和技术评审</w:t>
      </w:r>
      <w:r>
        <w:rPr>
          <w:rFonts w:hint="eastAsia" w:ascii="宋体" w:hAnsi="宋体" w:eastAsia="宋体" w:cs="Times New Roman"/>
          <w:b/>
          <w:color w:val="auto"/>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（4）未提供或未如实提供采购需求</w:t>
      </w:r>
      <w:r>
        <w:rPr>
          <w:rFonts w:ascii="宋体" w:hAnsi="宋体" w:eastAsia="宋体" w:cs="Times New Roman"/>
          <w:color w:val="auto"/>
          <w:spacing w:val="-6"/>
          <w:szCs w:val="21"/>
          <w:highlight w:val="none"/>
        </w:rPr>
        <w:t>偏离表；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6</w:t>
      </w: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8</w:t>
      </w:r>
      <w:r>
        <w:rPr>
          <w:rFonts w:hint="eastAsia" w:ascii="宋体" w:hAnsi="宋体" w:eastAsia="宋体" w:cs="Times New Roman"/>
          <w:color w:val="auto"/>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.在报价评审时，如发现下列情形之一的，投标文件将被视为无效：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（1）报价</w:t>
      </w:r>
      <w:r>
        <w:rPr>
          <w:rFonts w:ascii="宋体" w:hAnsi="宋体" w:eastAsia="宋体" w:cs="Times New Roman"/>
          <w:color w:val="auto"/>
          <w:spacing w:val="-6"/>
          <w:szCs w:val="21"/>
          <w:highlight w:val="none"/>
        </w:rPr>
        <w:t>文件</w:t>
      </w:r>
      <w:r>
        <w:rPr>
          <w:rFonts w:hint="eastAsia" w:ascii="宋体" w:hAnsi="宋体" w:eastAsia="宋体" w:cs="Times New Roman"/>
          <w:color w:val="auto"/>
          <w:spacing w:val="-6"/>
          <w:szCs w:val="21"/>
          <w:highlight w:val="none"/>
        </w:rPr>
        <w:t>未按要求签署、盖章；</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）未按照招标文件标明的币种报价</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报价</w:t>
      </w:r>
      <w:r>
        <w:rPr>
          <w:rFonts w:hint="eastAsia" w:ascii="宋体" w:hAnsi="宋体" w:eastAsia="宋体" w:cs="Times New Roman"/>
          <w:color w:val="auto"/>
          <w:spacing w:val="-6"/>
          <w:szCs w:val="21"/>
          <w:highlight w:val="none"/>
        </w:rPr>
        <w:t>内容有</w:t>
      </w:r>
      <w:r>
        <w:rPr>
          <w:rFonts w:ascii="宋体" w:hAnsi="宋体" w:eastAsia="宋体" w:cs="Times New Roman"/>
          <w:color w:val="auto"/>
          <w:spacing w:val="-6"/>
          <w:szCs w:val="21"/>
          <w:highlight w:val="none"/>
        </w:rPr>
        <w:t>缺漏项</w:t>
      </w:r>
      <w:r>
        <w:rPr>
          <w:rFonts w:hint="eastAsia" w:ascii="宋体" w:hAnsi="宋体" w:eastAsia="宋体" w:cs="Times New Roman"/>
          <w:color w:val="auto"/>
          <w:spacing w:val="-6"/>
          <w:szCs w:val="21"/>
          <w:highlight w:val="none"/>
        </w:rPr>
        <w:t>，或者</w:t>
      </w:r>
      <w:r>
        <w:rPr>
          <w:rFonts w:ascii="宋体" w:hAnsi="宋体" w:eastAsia="宋体" w:cs="Times New Roman"/>
          <w:color w:val="auto"/>
          <w:spacing w:val="-6"/>
          <w:szCs w:val="21"/>
          <w:highlight w:val="none"/>
        </w:rPr>
        <w:t>与招标文件要求不一致</w:t>
      </w:r>
      <w:r>
        <w:rPr>
          <w:rFonts w:hint="eastAsia" w:ascii="宋体" w:hAnsi="宋体" w:eastAsia="宋体" w:cs="Times New Roman"/>
          <w:color w:val="auto"/>
          <w:spacing w:val="-6"/>
          <w:szCs w:val="21"/>
          <w:highlight w:val="none"/>
        </w:rPr>
        <w:t>；</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（5）报价具有选择性；</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bookmarkStart w:id="51" w:name="_Hlk94018736"/>
      <w:r>
        <w:rPr>
          <w:rFonts w:hint="eastAsia" w:ascii="宋体" w:hAnsi="宋体" w:eastAsia="宋体" w:cs="Times New Roman"/>
          <w:color w:val="auto"/>
          <w:spacing w:val="-6"/>
          <w:szCs w:val="21"/>
          <w:highlight w:val="none"/>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4</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（5）不同投标人的投标文件相互混装。</w:t>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五、开  标</w:t>
      </w:r>
    </w:p>
    <w:p>
      <w:pPr>
        <w:pStyle w:val="100"/>
        <w:snapToGrid w:val="0"/>
        <w:spacing w:before="0" w:line="288" w:lineRule="auto"/>
        <w:ind w:left="0" w:firstLine="424" w:firstLineChars="201"/>
        <w:rPr>
          <w:rFonts w:ascii="宋体" w:hAnsi="宋体"/>
          <w:color w:val="auto"/>
          <w:szCs w:val="21"/>
          <w:highlight w:val="none"/>
        </w:rPr>
      </w:pPr>
      <w:bookmarkStart w:id="52" w:name="_Hlk94018775"/>
      <w:r>
        <w:rPr>
          <w:rFonts w:hint="eastAsia" w:ascii="宋体" w:hAnsi="宋体" w:cs="仿宋_GB2312"/>
          <w:b/>
          <w:color w:val="auto"/>
          <w:szCs w:val="21"/>
          <w:highlight w:val="none"/>
        </w:rPr>
        <w:t>（一）</w:t>
      </w:r>
      <w:r>
        <w:rPr>
          <w:rFonts w:ascii="宋体" w:hAnsi="宋体" w:cs="仿宋_GB2312"/>
          <w:b/>
          <w:color w:val="auto"/>
          <w:szCs w:val="21"/>
          <w:highlight w:val="none"/>
        </w:rPr>
        <w:t>开标</w:t>
      </w:r>
    </w:p>
    <w:p>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采购机构按照招标文件规定的时间通过电子交易平台组织开标，所有投标人均应当准时在线参加。投标人不足3家的，不得开标。</w:t>
      </w:r>
    </w:p>
    <w:p>
      <w:pPr>
        <w:pStyle w:val="100"/>
        <w:snapToGrid w:val="0"/>
        <w:spacing w:before="0" w:line="288" w:lineRule="auto"/>
        <w:ind w:left="0" w:firstLine="422" w:firstLineChars="201"/>
        <w:rPr>
          <w:rFonts w:ascii="宋体" w:hAnsi="宋体" w:cs="仿宋_GB2312"/>
          <w:color w:val="auto"/>
          <w:szCs w:val="21"/>
          <w:highlight w:val="none"/>
        </w:rPr>
      </w:pPr>
      <w:r>
        <w:rPr>
          <w:rFonts w:ascii="宋体" w:hAnsi="宋体" w:cs="仿宋_GB2312"/>
          <w:color w:val="auto"/>
          <w:szCs w:val="21"/>
          <w:highlight w:val="none"/>
        </w:rPr>
        <w:t>开标时，电子交易平台按开标时间自动提取所有投标文件。</w:t>
      </w:r>
      <w:r>
        <w:rPr>
          <w:rFonts w:hint="eastAsia" w:ascii="宋体" w:hAnsi="宋体" w:cs="仿宋_GB2312"/>
          <w:color w:val="auto"/>
          <w:szCs w:val="21"/>
          <w:highlight w:val="none"/>
        </w:rPr>
        <w:t>采购人或代理</w:t>
      </w:r>
      <w:r>
        <w:rPr>
          <w:rFonts w:ascii="宋体" w:hAnsi="宋体" w:cs="仿宋_GB2312"/>
          <w:color w:val="auto"/>
          <w:szCs w:val="21"/>
          <w:highlight w:val="none"/>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（二）</w:t>
      </w:r>
      <w:r>
        <w:rPr>
          <w:rFonts w:ascii="宋体" w:hAnsi="宋体" w:eastAsia="宋体" w:cs="仿宋_GB2312"/>
          <w:b/>
          <w:color w:val="auto"/>
          <w:szCs w:val="21"/>
          <w:highlight w:val="none"/>
        </w:rPr>
        <w:t>资格审查</w:t>
      </w:r>
    </w:p>
    <w:p>
      <w:pPr>
        <w:adjustRightInd w:val="0"/>
        <w:snapToGrid w:val="0"/>
        <w:spacing w:line="288" w:lineRule="auto"/>
        <w:ind w:firstLine="422" w:firstLineChars="201"/>
        <w:rPr>
          <w:rFonts w:ascii="宋体" w:hAnsi="宋体" w:eastAsia="宋体" w:cs="仿宋_GB2312"/>
          <w:color w:val="auto"/>
          <w:szCs w:val="21"/>
          <w:highlight w:val="none"/>
        </w:rPr>
      </w:pPr>
      <w:r>
        <w:rPr>
          <w:rFonts w:ascii="宋体" w:hAnsi="宋体" w:eastAsia="宋体" w:cs="Arial"/>
          <w:color w:val="auto"/>
          <w:kern w:val="0"/>
          <w:szCs w:val="21"/>
          <w:highlight w:val="none"/>
        </w:rPr>
        <w:t>开标后，</w:t>
      </w:r>
      <w:r>
        <w:rPr>
          <w:rFonts w:hint="eastAsia" w:ascii="宋体" w:hAnsi="宋体" w:eastAsia="宋体" w:cs="仿宋_GB2312"/>
          <w:color w:val="auto"/>
          <w:szCs w:val="21"/>
          <w:highlight w:val="none"/>
        </w:rPr>
        <w:t>采购人或采购机构依据法律法规和招标文件的规定，对投标人的资格条件进行审查。</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对未通过资格审查的投标人，采购人或采购机构告知其未通过的原因。</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仿宋_GB2312"/>
          <w:color w:val="auto"/>
          <w:sz w:val="21"/>
          <w:szCs w:val="21"/>
          <w:highlight w:val="none"/>
        </w:rPr>
        <w:t>通过资格审查的投标人不足3家的，不再评标。</w:t>
      </w:r>
    </w:p>
    <w:p>
      <w:pPr>
        <w:pStyle w:val="99"/>
        <w:adjustRightInd w:val="0"/>
        <w:snapToGrid w:val="0"/>
        <w:spacing w:before="0" w:line="288" w:lineRule="auto"/>
        <w:ind w:firstLine="424" w:firstLineChars="201"/>
        <w:rPr>
          <w:rFonts w:ascii="宋体" w:hAnsi="宋体" w:cs="仿宋_GB2312"/>
          <w:b/>
          <w:color w:val="auto"/>
          <w:sz w:val="21"/>
          <w:szCs w:val="21"/>
          <w:highlight w:val="none"/>
        </w:rPr>
      </w:pPr>
      <w:r>
        <w:rPr>
          <w:rFonts w:hint="eastAsia" w:ascii="宋体" w:hAnsi="宋体" w:cs="仿宋_GB2312"/>
          <w:b/>
          <w:color w:val="auto"/>
          <w:sz w:val="21"/>
          <w:szCs w:val="21"/>
          <w:highlight w:val="none"/>
        </w:rPr>
        <w:t>（三）</w:t>
      </w:r>
      <w:r>
        <w:rPr>
          <w:rFonts w:ascii="宋体" w:hAnsi="宋体" w:cs="仿宋_GB2312"/>
          <w:b/>
          <w:color w:val="auto"/>
          <w:sz w:val="21"/>
          <w:szCs w:val="21"/>
          <w:highlight w:val="none"/>
        </w:rPr>
        <w:t>信用信息查询</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根据财库</w:t>
      </w:r>
      <w:r>
        <w:rPr>
          <w:rFonts w:ascii="宋体" w:hAnsi="宋体" w:cs="Arial"/>
          <w:color w:val="auto"/>
          <w:kern w:val="0"/>
          <w:sz w:val="21"/>
          <w:szCs w:val="21"/>
          <w:highlight w:val="none"/>
        </w:rPr>
        <w:t>[2016]125号《关于在政府采购活动中查询及使用信用记录有关问题的通知》要求，采购代理机构会对投标人信用记录进行查询并甄别。信用信息查询的截止时点：投标截止时间；</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1）查询渠道：“信用中国”（www.creditchina.gov.cn）、“中国政府采购网”（www.ccgp.gov.cn）；</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2）信用信息查询记录和证据留存具体方式：采购代理机构经办人和监督人员将查询网页打印、签名与其他采购文件一并保存；</w:t>
      </w:r>
    </w:p>
    <w:p>
      <w:pPr>
        <w:pStyle w:val="99"/>
        <w:adjustRightInd w:val="0"/>
        <w:snapToGrid w:val="0"/>
        <w:spacing w:before="0" w:line="288" w:lineRule="auto"/>
        <w:ind w:firstLine="422" w:firstLineChars="201"/>
        <w:jc w:val="left"/>
        <w:rPr>
          <w:rFonts w:ascii="宋体" w:hAnsi="宋体" w:cs="Arial"/>
          <w:color w:val="auto"/>
          <w:kern w:val="0"/>
          <w:sz w:val="21"/>
          <w:szCs w:val="21"/>
          <w:highlight w:val="none"/>
        </w:rPr>
      </w:pPr>
      <w:r>
        <w:rPr>
          <w:rFonts w:hint="eastAsia" w:ascii="宋体" w:hAnsi="宋体" w:cs="Arial"/>
          <w:color w:val="auto"/>
          <w:kern w:val="0"/>
          <w:sz w:val="21"/>
          <w:szCs w:val="21"/>
          <w:highlight w:val="none"/>
        </w:rPr>
        <w:t>（</w:t>
      </w:r>
      <w:r>
        <w:rPr>
          <w:rFonts w:ascii="宋体" w:hAnsi="宋体" w:cs="Arial"/>
          <w:color w:val="auto"/>
          <w:kern w:val="0"/>
          <w:sz w:val="21"/>
          <w:szCs w:val="21"/>
          <w:highlight w:val="none"/>
        </w:rPr>
        <w:t>3）信用信息的使用规则：投标人被列入失信被执行人、重大税收违法案件当事人名单、政府采购严重违法失信行为记录名单的，拒绝其参与政府采购活动。</w:t>
      </w:r>
    </w:p>
    <w:p>
      <w:pPr>
        <w:pStyle w:val="99"/>
        <w:adjustRightInd w:val="0"/>
        <w:snapToGrid w:val="0"/>
        <w:spacing w:before="0" w:line="288" w:lineRule="auto"/>
        <w:ind w:firstLine="422" w:firstLineChars="201"/>
        <w:rPr>
          <w:rFonts w:ascii="宋体" w:hAnsi="宋体" w:cs="仿宋_GB2312"/>
          <w:color w:val="auto"/>
          <w:sz w:val="21"/>
          <w:szCs w:val="21"/>
          <w:highlight w:val="none"/>
        </w:rPr>
      </w:pPr>
      <w:r>
        <w:rPr>
          <w:rFonts w:ascii="宋体" w:hAnsi="宋体" w:cs="Arial"/>
          <w:color w:val="auto"/>
          <w:kern w:val="0"/>
          <w:sz w:val="21"/>
          <w:szCs w:val="21"/>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color w:val="auto"/>
          <w:sz w:val="21"/>
          <w:szCs w:val="21"/>
          <w:highlight w:val="none"/>
        </w:rPr>
        <w:t>。</w:t>
      </w: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p>
    <w:p>
      <w:pPr>
        <w:adjustRightInd w:val="0"/>
        <w:snapToGrid w:val="0"/>
        <w:spacing w:line="288" w:lineRule="auto"/>
        <w:ind w:firstLine="398" w:firstLineChars="200"/>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r>
        <w:rPr>
          <w:rFonts w:hint="eastAsia" w:ascii="宋体" w:hAnsi="宋体" w:eastAsia="宋体" w:cs="Times New Roman"/>
          <w:b/>
          <w:color w:val="auto"/>
          <w:spacing w:val="-6"/>
          <w:szCs w:val="21"/>
          <w:highlight w:val="none"/>
        </w:rPr>
        <w:t>六、评  标</w:t>
      </w:r>
    </w:p>
    <w:p>
      <w:pPr>
        <w:adjustRightInd w:val="0"/>
        <w:snapToGrid w:val="0"/>
        <w:spacing w:line="288" w:lineRule="auto"/>
        <w:ind w:firstLine="420" w:firstLineChars="200"/>
        <w:rPr>
          <w:rFonts w:ascii="宋体" w:hAnsi="宋体" w:eastAsia="宋体" w:cs="宋体"/>
          <w:color w:val="auto"/>
          <w:kern w:val="0"/>
          <w:szCs w:val="21"/>
          <w:highlight w:val="none"/>
        </w:rPr>
      </w:pPr>
      <w:bookmarkStart w:id="53" w:name="_Hlk94018958"/>
      <w:r>
        <w:rPr>
          <w:rFonts w:ascii="宋体" w:hAnsi="宋体" w:eastAsia="宋体" w:cs="宋体"/>
          <w:color w:val="auto"/>
          <w:kern w:val="0"/>
          <w:szCs w:val="21"/>
          <w:highlight w:val="none"/>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ascii="宋体" w:hAnsi="宋体" w:eastAsia="宋体" w:cs="宋体"/>
          <w:color w:val="auto"/>
          <w:kern w:val="0"/>
          <w:szCs w:val="21"/>
          <w:highlight w:val="none"/>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color w:val="auto"/>
          <w:kern w:val="0"/>
          <w:szCs w:val="21"/>
          <w:highlight w:val="none"/>
        </w:rPr>
      </w:pPr>
      <w:bookmarkStart w:id="54" w:name="_Hlk94019000"/>
      <w:r>
        <w:rPr>
          <w:rFonts w:hint="eastAsia" w:ascii="宋体" w:hAnsi="宋体" w:eastAsia="宋体" w:cs="Arial"/>
          <w:b/>
          <w:color w:val="auto"/>
          <w:kern w:val="0"/>
          <w:szCs w:val="21"/>
          <w:highlight w:val="none"/>
        </w:rPr>
        <w:t>（一）</w:t>
      </w:r>
      <w:r>
        <w:rPr>
          <w:rFonts w:ascii="宋体" w:hAnsi="宋体" w:eastAsia="宋体" w:cs="Arial"/>
          <w:b/>
          <w:color w:val="auto"/>
          <w:kern w:val="0"/>
          <w:szCs w:val="21"/>
          <w:highlight w:val="none"/>
        </w:rPr>
        <w:t>符合性审查</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评标委员会对符合资格的投标人的投标文件进行符合性审查，以确定其是否满足招标文件的实质性要求。</w:t>
      </w:r>
      <w:r>
        <w:rPr>
          <w:rFonts w:hint="eastAsia" w:ascii="宋体" w:hAnsi="宋体" w:eastAsia="宋体" w:cs="Arial"/>
          <w:color w:val="auto"/>
          <w:kern w:val="0"/>
          <w:szCs w:val="21"/>
          <w:highlight w:val="none"/>
        </w:rPr>
        <w:t>不</w:t>
      </w:r>
      <w:r>
        <w:rPr>
          <w:rFonts w:ascii="宋体" w:hAnsi="宋体" w:eastAsia="宋体" w:cs="Arial"/>
          <w:color w:val="auto"/>
          <w:kern w:val="0"/>
          <w:szCs w:val="21"/>
          <w:highlight w:val="none"/>
        </w:rPr>
        <w:t>满足招标文件的实质性要求</w:t>
      </w:r>
      <w:r>
        <w:rPr>
          <w:rFonts w:hint="eastAsia" w:ascii="宋体" w:hAnsi="宋体" w:eastAsia="宋体" w:cs="Arial"/>
          <w:color w:val="auto"/>
          <w:kern w:val="0"/>
          <w:szCs w:val="21"/>
          <w:highlight w:val="none"/>
        </w:rPr>
        <w:t>的，投标无效。</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（二）比较与评价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（三）</w:t>
      </w:r>
      <w:r>
        <w:rPr>
          <w:rFonts w:ascii="宋体" w:hAnsi="宋体" w:eastAsia="宋体" w:cs="Arial"/>
          <w:b/>
          <w:color w:val="auto"/>
          <w:kern w:val="0"/>
          <w:szCs w:val="21"/>
          <w:highlight w:val="none"/>
        </w:rPr>
        <w:t>汇总商务技术得分</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（四）</w:t>
      </w:r>
      <w:r>
        <w:rPr>
          <w:rFonts w:ascii="宋体" w:hAnsi="宋体" w:eastAsia="宋体" w:cs="Arial"/>
          <w:b/>
          <w:color w:val="auto"/>
          <w:kern w:val="0"/>
          <w:szCs w:val="21"/>
          <w:highlight w:val="none"/>
        </w:rPr>
        <w:t>报价评审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ascii="宋体" w:hAnsi="宋体" w:eastAsia="宋体" w:cs="Arial"/>
          <w:b/>
          <w:color w:val="auto"/>
          <w:kern w:val="0"/>
          <w:szCs w:val="21"/>
          <w:highlight w:val="none"/>
        </w:rPr>
        <w:t>投标文件报价出现前后不一致的，按照下列规定修正：</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投标文件中开标一览表(报价表)内容与投标文件中相应内容不一致的，以开标一览表(报价表)为准；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大写金额和小写金额不一致的，以大写金额为准；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单价金额小数点或者百分比有明显错位的，以开标一览表的总价为准，并修改单价；</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ascii="宋体" w:hAnsi="宋体" w:cs="仿宋"/>
          <w:color w:val="auto"/>
          <w:kern w:val="0"/>
          <w:sz w:val="21"/>
          <w:szCs w:val="21"/>
          <w:highlight w:val="none"/>
        </w:rPr>
        <w:t>总价金额与按单价汇总金额不一致的，以单价金额计算结果为准。</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同时出现两种以上不一致的，按照前款规定的顺序修正。修正后的报价按照财政部第</w:t>
      </w:r>
      <w:r>
        <w:rPr>
          <w:rFonts w:ascii="宋体" w:hAnsi="宋体" w:cs="仿宋"/>
          <w:color w:val="auto"/>
          <w:kern w:val="0"/>
          <w:sz w:val="21"/>
          <w:szCs w:val="21"/>
          <w:highlight w:val="none"/>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实质性内容。”经投标人确认后产生约束力。投标人不确认的，其投标无效。</w:t>
      </w:r>
    </w:p>
    <w:p>
      <w:pPr>
        <w:pStyle w:val="99"/>
        <w:adjustRightInd w:val="0"/>
        <w:snapToGrid w:val="0"/>
        <w:spacing w:before="0" w:line="288" w:lineRule="auto"/>
        <w:ind w:firstLine="424" w:firstLineChars="202"/>
        <w:rPr>
          <w:rFonts w:ascii="宋体" w:hAnsi="宋体" w:cs="仿宋"/>
          <w:color w:val="auto"/>
          <w:kern w:val="0"/>
          <w:sz w:val="21"/>
          <w:szCs w:val="21"/>
          <w:highlight w:val="none"/>
        </w:rPr>
      </w:pPr>
      <w:r>
        <w:rPr>
          <w:rFonts w:hint="eastAsia" w:ascii="宋体" w:hAnsi="宋体" w:cs="仿宋"/>
          <w:color w:val="auto"/>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（五）投标人澄清、说明或者补正</w:t>
      </w:r>
    </w:p>
    <w:p>
      <w:pPr>
        <w:pStyle w:val="99"/>
        <w:adjustRightInd w:val="0"/>
        <w:snapToGrid w:val="0"/>
        <w:spacing w:before="0" w:line="288" w:lineRule="auto"/>
        <w:ind w:firstLine="424" w:firstLineChars="202"/>
        <w:rPr>
          <w:rFonts w:ascii="宋体" w:hAnsi="宋体" w:cs="Arial"/>
          <w:color w:val="auto"/>
          <w:kern w:val="0"/>
          <w:sz w:val="21"/>
          <w:szCs w:val="21"/>
          <w:highlight w:val="none"/>
        </w:rPr>
      </w:pPr>
      <w:r>
        <w:rPr>
          <w:rFonts w:hint="eastAsia" w:ascii="宋体" w:hAnsi="宋体" w:cs="Arial"/>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投标人的书面澄清、说明或者补正无法通过政府采购云平台上传的，可在规定时间内（不少于半小时）通过指定的电子邮箱（zb03@qszb.net</w:t>
      </w:r>
      <w:r>
        <w:rPr>
          <w:rFonts w:ascii="宋体" w:hAnsi="宋体" w:eastAsia="宋体" w:cs="宋体"/>
          <w:color w:val="auto"/>
          <w:kern w:val="0"/>
          <w:szCs w:val="21"/>
          <w:highlight w:val="none"/>
        </w:rPr>
        <w:t>）或传真号码（0571-87666116）提交。</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（六）排序与推荐</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color w:val="auto"/>
          <w:spacing w:val="-6"/>
          <w:szCs w:val="21"/>
          <w:highlight w:val="none"/>
        </w:rPr>
      </w:pPr>
      <w:r>
        <w:rPr>
          <w:rFonts w:ascii="宋体" w:hAnsi="宋体" w:eastAsia="宋体" w:cs="Arial"/>
          <w:color w:val="auto"/>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color w:val="auto"/>
          <w:kern w:val="0"/>
          <w:szCs w:val="21"/>
          <w:highlight w:val="none"/>
        </w:rPr>
        <w:t>。</w:t>
      </w:r>
      <w:r>
        <w:rPr>
          <w:rFonts w:hint="eastAsia" w:ascii="宋体" w:hAnsi="宋体" w:eastAsia="宋体" w:cs="Arial"/>
          <w:color w:val="auto"/>
          <w:kern w:val="0"/>
          <w:szCs w:val="21"/>
          <w:highlight w:val="none"/>
        </w:rPr>
        <w:t>本项目推荐</w:t>
      </w:r>
      <w:r>
        <w:rPr>
          <w:rFonts w:ascii="宋体" w:hAnsi="宋体" w:eastAsia="宋体" w:cs="Arial"/>
          <w:color w:val="auto"/>
          <w:kern w:val="0"/>
          <w:szCs w:val="21"/>
          <w:highlight w:val="none"/>
        </w:rPr>
        <w:t>1</w:t>
      </w:r>
      <w:r>
        <w:rPr>
          <w:rFonts w:hint="eastAsia" w:ascii="宋体" w:hAnsi="宋体" w:eastAsia="宋体" w:cs="Arial"/>
          <w:color w:val="auto"/>
          <w:kern w:val="0"/>
          <w:szCs w:val="21"/>
          <w:highlight w:val="none"/>
        </w:rPr>
        <w:t>名中标候选人。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提供相同品牌产品且通过资格审查、符合性审查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color w:val="auto"/>
          <w:kern w:val="0"/>
          <w:szCs w:val="21"/>
          <w:highlight w:val="none"/>
        </w:rPr>
      </w:pPr>
      <w:r>
        <w:rPr>
          <w:rFonts w:hint="eastAsia" w:ascii="宋体" w:hAnsi="宋体" w:eastAsia="宋体" w:cs="Arial"/>
          <w:color w:val="auto"/>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color w:val="auto"/>
          <w:kern w:val="0"/>
          <w:szCs w:val="21"/>
          <w:highlight w:val="none"/>
        </w:rPr>
      </w:pPr>
      <w:r>
        <w:rPr>
          <w:rFonts w:hint="eastAsia" w:ascii="宋体" w:hAnsi="宋体" w:eastAsia="宋体" w:cs="Arial"/>
          <w:b/>
          <w:color w:val="auto"/>
          <w:kern w:val="0"/>
          <w:szCs w:val="21"/>
          <w:highlight w:val="none"/>
        </w:rPr>
        <w:t>（七）</w:t>
      </w:r>
      <w:r>
        <w:rPr>
          <w:rFonts w:ascii="宋体" w:hAnsi="宋体" w:eastAsia="宋体" w:cs="Arial"/>
          <w:b/>
          <w:color w:val="auto"/>
          <w:kern w:val="0"/>
          <w:szCs w:val="21"/>
          <w:highlight w:val="none"/>
        </w:rPr>
        <w:t>编写评标报告</w:t>
      </w:r>
    </w:p>
    <w:p>
      <w:pPr>
        <w:adjustRightInd w:val="0"/>
        <w:snapToGrid w:val="0"/>
        <w:spacing w:line="288" w:lineRule="auto"/>
        <w:ind w:firstLine="424" w:firstLineChars="202"/>
        <w:rPr>
          <w:rFonts w:ascii="宋体" w:hAnsi="宋体" w:eastAsia="宋体" w:cs="Arial"/>
          <w:color w:val="auto"/>
          <w:kern w:val="0"/>
          <w:szCs w:val="21"/>
          <w:highlight w:val="none"/>
        </w:rPr>
      </w:pPr>
      <w:r>
        <w:rPr>
          <w:rFonts w:ascii="宋体" w:hAnsi="宋体" w:eastAsia="宋体" w:cs="Arial"/>
          <w:color w:val="auto"/>
          <w:kern w:val="0"/>
          <w:szCs w:val="21"/>
          <w:highlight w:val="none"/>
        </w:rPr>
        <w:t>评标委员会根据全体评标成员签名的原始评标记录和评标结果编写评标报告。</w:t>
      </w:r>
      <w:r>
        <w:rPr>
          <w:rFonts w:hint="eastAsia" w:ascii="宋体" w:hAnsi="宋体" w:eastAsia="宋体" w:cs="Arial"/>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七、中标与合同</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（一）中标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1.采购代理机构应当在评标结束后</w:t>
      </w:r>
      <w:r>
        <w:rPr>
          <w:rFonts w:ascii="宋体" w:hAnsi="宋体" w:eastAsia="宋体" w:cs="Times New Roman"/>
          <w:color w:val="auto"/>
          <w:spacing w:val="-6"/>
          <w:szCs w:val="21"/>
          <w:highlight w:val="none"/>
        </w:rPr>
        <w:t>2个工作日内将评标报告送采购人。</w:t>
      </w:r>
      <w:r>
        <w:rPr>
          <w:rFonts w:hint="eastAsia" w:ascii="宋体" w:hAnsi="宋体" w:eastAsia="宋体" w:cs="Times New Roman"/>
          <w:color w:val="auto"/>
          <w:spacing w:val="-6"/>
          <w:szCs w:val="21"/>
          <w:highlight w:val="none"/>
        </w:rPr>
        <w:t>采购人应当自收到评标报告之日起</w:t>
      </w:r>
      <w:r>
        <w:rPr>
          <w:rFonts w:ascii="宋体" w:hAnsi="宋体" w:eastAsia="宋体" w:cs="Times New Roman"/>
          <w:color w:val="auto"/>
          <w:spacing w:val="-6"/>
          <w:szCs w:val="21"/>
          <w:highlight w:val="none"/>
        </w:rPr>
        <w:t>5个工作日内，在评标报告确定的中标候选人名单中按顺序确定中标人</w:t>
      </w:r>
      <w:r>
        <w:rPr>
          <w:rFonts w:hint="eastAsia" w:ascii="宋体" w:hAnsi="宋体" w:eastAsia="宋体" w:cs="Times New Roman"/>
          <w:color w:val="auto"/>
          <w:spacing w:val="-6"/>
          <w:szCs w:val="21"/>
          <w:highlight w:val="none"/>
        </w:rPr>
        <w:t>，也可以书面授权评标委员会直接确定中标人。</w:t>
      </w:r>
      <w:r>
        <w:rPr>
          <w:rFonts w:ascii="宋体" w:hAnsi="宋体" w:eastAsia="宋体" w:cs="Times New Roman"/>
          <w:color w:val="auto"/>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2.采购代理机构自中标人确定之日起</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zCs w:val="21"/>
          <w:highlight w:val="none"/>
        </w:rPr>
        <w:t>评标结果公示媒体：浙江政府采购网（http://zfcg.czt.zj.gov.cn）。</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（二）合同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jc w:val="center"/>
        <w:outlineLvl w:val="1"/>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验</w:t>
      </w:r>
      <w:r>
        <w:rPr>
          <w:rFonts w:hint="eastAsia" w:ascii="宋体" w:hAnsi="宋体" w:eastAsia="宋体" w:cs="Times New Roman"/>
          <w:b/>
          <w:color w:val="auto"/>
          <w:spacing w:val="-6"/>
          <w:szCs w:val="21"/>
          <w:highlight w:val="none"/>
        </w:rPr>
        <w:t xml:space="preserve"> </w:t>
      </w:r>
      <w:r>
        <w:rPr>
          <w:rFonts w:ascii="宋体" w:hAnsi="宋体" w:eastAsia="宋体" w:cs="Times New Roman"/>
          <w:b/>
          <w:color w:val="auto"/>
          <w:spacing w:val="-6"/>
          <w:szCs w:val="21"/>
          <w:highlight w:val="none"/>
        </w:rPr>
        <w:t xml:space="preserve"> 收</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采购人可以邀请参加本项目的其他投标人或者第三方机构参与验收。参与验收的投标人或者第三方机构的意见作为</w:t>
      </w:r>
      <w:r>
        <w:rPr>
          <w:rFonts w:hint="eastAsia" w:ascii="宋体" w:hAnsi="宋体" w:eastAsia="宋体" w:cs="Helvetica"/>
          <w:color w:val="auto"/>
          <w:kern w:val="0"/>
          <w:szCs w:val="21"/>
          <w:highlight w:val="none"/>
        </w:rPr>
        <w:t>验收书的参考资料一并存档。</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color w:val="auto"/>
          <w:kern w:val="0"/>
          <w:szCs w:val="21"/>
          <w:highlight w:val="none"/>
        </w:rPr>
      </w:pPr>
      <w:r>
        <w:rPr>
          <w:rFonts w:ascii="宋体" w:hAnsi="宋体" w:eastAsia="宋体" w:cs="Helvetica"/>
          <w:color w:val="auto"/>
          <w:kern w:val="0"/>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center"/>
        <w:outlineLvl w:val="1"/>
        <w:rPr>
          <w:rFonts w:ascii="宋体" w:hAnsi="宋体" w:eastAsia="宋体" w:cs="Times New Roman"/>
          <w:color w:val="auto"/>
          <w:szCs w:val="21"/>
          <w:highlight w:val="none"/>
        </w:rPr>
      </w:pPr>
      <w:r>
        <w:rPr>
          <w:rFonts w:hint="eastAsia" w:ascii="宋体" w:hAnsi="宋体" w:eastAsia="宋体" w:cs="Times New Roman"/>
          <w:b/>
          <w:color w:val="auto"/>
          <w:spacing w:val="-6"/>
          <w:szCs w:val="21"/>
          <w:highlight w:val="none"/>
        </w:rPr>
        <w:t>九、可中止电子交易活动的情形</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1.电子交易平台发生故障而无法登录访问的；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3.电子交易平台发现严重安全漏洞，有潜在泄密危险的；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4.病毒发作导致不能进行正常操作的；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5.其他无法保证电子交易的公平、公正和安全的情况。</w:t>
      </w:r>
    </w:p>
    <w:p>
      <w:pPr>
        <w:adjustRightInd w:val="0"/>
        <w:snapToGrid w:val="0"/>
        <w:spacing w:line="288" w:lineRule="auto"/>
        <w:ind w:firstLine="396" w:firstLineChars="200"/>
        <w:rPr>
          <w:rFonts w:ascii="宋体" w:hAnsi="宋体" w:eastAsia="宋体"/>
          <w:color w:val="auto"/>
          <w:szCs w:val="21"/>
          <w:highlight w:val="none"/>
        </w:rPr>
      </w:pPr>
      <w:r>
        <w:rPr>
          <w:rFonts w:hint="eastAsia" w:ascii="宋体" w:hAnsi="宋体" w:eastAsia="宋体" w:cs="Times New Roman"/>
          <w:color w:val="auto"/>
          <w:spacing w:val="-6"/>
          <w:szCs w:val="21"/>
          <w:highlight w:val="none"/>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br w:type="page"/>
      </w:r>
    </w:p>
    <w:p>
      <w:pPr>
        <w:adjustRightInd w:val="0"/>
        <w:snapToGrid w:val="0"/>
        <w:spacing w:line="288" w:lineRule="auto"/>
        <w:jc w:val="center"/>
        <w:outlineLvl w:val="0"/>
        <w:rPr>
          <w:rFonts w:ascii="宋体" w:hAnsi="宋体" w:eastAsia="宋体" w:cs="Times New Roman"/>
          <w:b/>
          <w:color w:val="auto"/>
          <w:spacing w:val="-6"/>
          <w:sz w:val="32"/>
          <w:szCs w:val="32"/>
          <w:highlight w:val="none"/>
        </w:rPr>
      </w:pPr>
      <w:r>
        <w:rPr>
          <w:rFonts w:hint="eastAsia" w:ascii="宋体" w:hAnsi="宋体" w:eastAsia="宋体" w:cs="Times New Roman"/>
          <w:b/>
          <w:color w:val="auto"/>
          <w:sz w:val="32"/>
          <w:szCs w:val="32"/>
          <w:highlight w:val="none"/>
        </w:rPr>
        <w:t>第四章  评标方法和评标标准</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一、评标方法</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color w:val="auto"/>
          <w:spacing w:val="-6"/>
          <w:szCs w:val="21"/>
          <w:highlight w:val="none"/>
        </w:rPr>
      </w:pPr>
      <w:r>
        <w:rPr>
          <w:rFonts w:hint="eastAsia" w:ascii="宋体" w:hAnsi="宋体" w:eastAsia="宋体" w:cs="Times New Roman"/>
          <w:color w:val="auto"/>
          <w:spacing w:val="-6"/>
          <w:szCs w:val="21"/>
          <w:highlight w:val="none"/>
        </w:rPr>
        <w:t>投标人评标</w:t>
      </w:r>
      <w:r>
        <w:rPr>
          <w:rFonts w:hint="eastAsia" w:ascii="宋体" w:hAnsi="宋体" w:eastAsia="宋体" w:cs="Times New Roman"/>
          <w:bCs/>
          <w:color w:val="auto"/>
          <w:spacing w:val="-6"/>
          <w:szCs w:val="21"/>
          <w:highlight w:val="none"/>
        </w:rPr>
        <w:t>综合得分=商务分+技术分+价格分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bCs/>
          <w:color w:val="auto"/>
          <w:spacing w:val="-6"/>
          <w:szCs w:val="21"/>
          <w:highlight w:val="none"/>
        </w:rPr>
        <w:t>商务和技术分按照评标委员会成员的独立评分结果的算术平均分计算，计算公式为：商务分</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技术分=评标委员会所有成员评分合计数</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评标委员会组成人员数</w:t>
      </w:r>
    </w:p>
    <w:p>
      <w:pPr>
        <w:rPr>
          <w:color w:val="auto"/>
          <w:highlight w:val="none"/>
        </w:rPr>
      </w:pPr>
      <w:r>
        <w:rPr>
          <w:rFonts w:hint="eastAsia" w:ascii="宋体" w:hAnsi="宋体" w:eastAsia="宋体" w:cs="Times New Roman"/>
          <w:b/>
          <w:color w:val="auto"/>
          <w:spacing w:val="-6"/>
          <w:szCs w:val="21"/>
          <w:highlight w:val="none"/>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评审因素</w:t>
            </w:r>
          </w:p>
        </w:tc>
        <w:tc>
          <w:tcPr>
            <w:tcW w:w="654"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分值</w:t>
            </w:r>
          </w:p>
        </w:tc>
        <w:tc>
          <w:tcPr>
            <w:tcW w:w="7072" w:type="dxa"/>
            <w:vAlign w:val="center"/>
          </w:tcPr>
          <w:p>
            <w:pPr>
              <w:adjustRightInd w:val="0"/>
              <w:snapToGrid w:val="0"/>
              <w:spacing w:line="288" w:lineRule="auto"/>
              <w:jc w:val="center"/>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价格</w:t>
            </w:r>
            <w:r>
              <w:rPr>
                <w:rFonts w:hint="eastAsia" w:ascii="宋体" w:hAnsi="宋体" w:eastAsia="宋体" w:cs="Times New Roman"/>
                <w:b/>
                <w:bCs/>
                <w:color w:val="auto"/>
                <w:szCs w:val="21"/>
                <w:highlight w:val="none"/>
              </w:rPr>
              <w:t>分（3</w:t>
            </w:r>
            <w:r>
              <w:rPr>
                <w:rFonts w:ascii="宋体" w:hAnsi="宋体" w:eastAsia="宋体" w:cs="Times New Roman"/>
                <w:b/>
                <w:bCs/>
                <w:color w:val="auto"/>
                <w:szCs w:val="21"/>
                <w:highlight w:val="none"/>
              </w:rPr>
              <w:t>0</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ascii="宋体" w:hAnsi="宋体" w:eastAsia="宋体" w:cs="Times New Roman"/>
                <w:b/>
                <w:bCs/>
                <w:color w:val="auto"/>
                <w:szCs w:val="21"/>
                <w:highlight w:val="none"/>
              </w:rPr>
              <w:t>商务分</w:t>
            </w: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5</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业绩</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投标人自2020年11月1日以来（以合同签订时间为准）同类合同业绩（以提供的合同扫描件为准）：每提供1份合同业绩得</w:t>
            </w:r>
            <w:r>
              <w:rPr>
                <w:rFonts w:ascii="宋体" w:hAnsi="宋体" w:eastAsia="宋体" w:cs="宋体"/>
                <w:color w:val="auto"/>
                <w:szCs w:val="21"/>
                <w:highlight w:val="none"/>
              </w:rPr>
              <w:t>1</w:t>
            </w:r>
            <w:r>
              <w:rPr>
                <w:rFonts w:hint="eastAsia" w:ascii="宋体" w:hAnsi="宋体" w:eastAsia="宋体" w:cs="宋体"/>
                <w:color w:val="auto"/>
                <w:szCs w:val="21"/>
                <w:highlight w:val="none"/>
              </w:rPr>
              <w:t>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体系认证</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投标人具备ISO2700</w:t>
            </w:r>
            <w:r>
              <w:rPr>
                <w:rFonts w:ascii="宋体" w:hAnsi="宋体" w:eastAsia="宋体" w:cs="宋体"/>
                <w:color w:val="auto"/>
                <w:szCs w:val="21"/>
                <w:highlight w:val="none"/>
              </w:rPr>
              <w:t>1</w:t>
            </w:r>
            <w:r>
              <w:rPr>
                <w:rFonts w:hint="eastAsia" w:ascii="宋体" w:hAnsi="宋体" w:eastAsia="宋体" w:cs="宋体"/>
                <w:color w:val="auto"/>
                <w:szCs w:val="21"/>
                <w:highlight w:val="none"/>
              </w:rPr>
              <w:t>信息安全管理体系认证证书、ISO20000信息技术服务管理体系认证证书，提供证书及全国认证认可信息公共服务平台截图证明材料，每提供1个得1分，最高得2分。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政策功能</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投标产品属于品目清单范围且提供国家确定的认证机构出具的有效的节能产品认证证书（扫描件）的得0.5分；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投标产品属于品目清单范围且提供国家确定的认证机构出具的有效的环境标志产品认证证书（扫描件）的得0.5分；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技术</w:t>
            </w:r>
            <w:r>
              <w:rPr>
                <w:rFonts w:ascii="宋体" w:hAnsi="宋体" w:eastAsia="宋体" w:cs="Times New Roman"/>
                <w:b/>
                <w:bCs/>
                <w:color w:val="auto"/>
                <w:szCs w:val="21"/>
                <w:highlight w:val="none"/>
              </w:rPr>
              <w:t>分</w:t>
            </w:r>
            <w:r>
              <w:rPr>
                <w:rFonts w:hint="eastAsia" w:ascii="宋体" w:hAnsi="宋体" w:eastAsia="宋体" w:cs="Times New Roman"/>
                <w:b/>
                <w:bCs/>
                <w:color w:val="auto"/>
                <w:szCs w:val="21"/>
                <w:highlight w:val="none"/>
              </w:rPr>
              <w:t>（6</w:t>
            </w:r>
            <w:r>
              <w:rPr>
                <w:rFonts w:ascii="宋体" w:hAnsi="宋体" w:eastAsia="宋体" w:cs="Times New Roman"/>
                <w:b/>
                <w:bCs/>
                <w:color w:val="auto"/>
                <w:szCs w:val="21"/>
                <w:highlight w:val="none"/>
              </w:rPr>
              <w:t>5</w:t>
            </w:r>
            <w:r>
              <w:rPr>
                <w:rFonts w:hint="eastAsia" w:ascii="宋体" w:hAnsi="宋体" w:eastAsia="宋体" w:cs="Times New Roman"/>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技术响应程度</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10</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不符合（负偏离）技术要求中标注“▲”条款（不可偏离）的投标无效；</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满足招标文件明确的全部技术条款要求的</w:t>
            </w:r>
            <w:r>
              <w:rPr>
                <w:rFonts w:hint="eastAsia" w:ascii="宋体" w:hAnsi="宋体" w:eastAsia="宋体" w:cs="Times New Roman"/>
                <w:color w:val="auto"/>
                <w:szCs w:val="21"/>
                <w:highlight w:val="none"/>
              </w:rPr>
              <w:t>该项得满分</w:t>
            </w:r>
            <w:r>
              <w:rPr>
                <w:rFonts w:hint="eastAsia" w:ascii="宋体" w:hAnsi="宋体" w:eastAsia="宋体" w:cs="宋体"/>
                <w:color w:val="auto"/>
                <w:szCs w:val="21"/>
                <w:highlight w:val="none"/>
              </w:rPr>
              <w:t>；</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技术条款低于技术要求（负偏离）的每项扣1分。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负偏离11</w:t>
            </w:r>
            <w:r>
              <w:rPr>
                <w:rFonts w:ascii="宋体" w:hAnsi="宋体" w:eastAsia="宋体" w:cs="宋体"/>
                <w:color w:val="auto"/>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utoSpaceDE w:val="0"/>
              <w:autoSpaceDN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仿宋_GB2312"/>
                <w:b/>
                <w:bCs/>
                <w:color w:val="auto"/>
                <w:kern w:val="0"/>
                <w:szCs w:val="21"/>
                <w:highlight w:val="none"/>
              </w:rPr>
              <w:t>技术</w:t>
            </w:r>
            <w:r>
              <w:rPr>
                <w:rFonts w:ascii="宋体" w:hAnsi="宋体" w:eastAsia="宋体" w:cs="仿宋_GB2312"/>
                <w:b/>
                <w:bCs/>
                <w:color w:val="auto"/>
                <w:kern w:val="0"/>
                <w:szCs w:val="21"/>
                <w:highlight w:val="none"/>
              </w:rPr>
              <w:t>方案</w:t>
            </w:r>
          </w:p>
        </w:tc>
        <w:tc>
          <w:tcPr>
            <w:tcW w:w="654" w:type="dxa"/>
            <w:vAlign w:val="center"/>
          </w:tcPr>
          <w:p>
            <w:pPr>
              <w:jc w:val="center"/>
              <w:rPr>
                <w:rFonts w:ascii="宋体" w:hAnsi="宋体" w:eastAsia="宋体" w:cs="宋体"/>
                <w:b/>
                <w:bCs/>
                <w:color w:val="auto"/>
                <w:szCs w:val="21"/>
                <w:highlight w:val="none"/>
              </w:rPr>
            </w:pPr>
            <w:r>
              <w:rPr>
                <w:rFonts w:hint="eastAsia" w:ascii="仿宋" w:hAnsi="仿宋" w:eastAsia="仿宋" w:cs="仿宋"/>
                <w:b/>
                <w:bCs/>
                <w:color w:val="auto"/>
                <w:szCs w:val="21"/>
                <w:highlight w:val="none"/>
              </w:rPr>
              <w:t>4</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投标产品（功能）的合理性、适用性、先进性、成熟性：【根据提供的制造商公开发布的印刷资料（官网材料、彩页、Datasheet）或由有关政府部门或检测机构合法出具的文件或报告、配置清单等评审】</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（评分范围：</w:t>
            </w:r>
            <w:r>
              <w:rPr>
                <w:rFonts w:ascii="宋体" w:hAnsi="宋体" w:eastAsia="宋体" w:cs="宋体"/>
                <w:color w:val="auto"/>
                <w:kern w:val="0"/>
                <w:szCs w:val="21"/>
                <w:highlight w:val="none"/>
                <w:lang w:bidi="ar"/>
              </w:rPr>
              <w:t>4</w:t>
            </w:r>
            <w:r>
              <w:rPr>
                <w:rFonts w:hint="eastAsia" w:ascii="宋体" w:hAnsi="宋体" w:eastAsia="宋体" w:cs="宋体"/>
                <w:color w:val="auto"/>
                <w:kern w:val="0"/>
                <w:szCs w:val="21"/>
                <w:highlight w:val="none"/>
                <w:lang w:bidi="ar"/>
              </w:rPr>
              <w:t>,3,2,1,0）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utoSpaceDE w:val="0"/>
              <w:autoSpaceDN w:val="0"/>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投标人针对本次采购整体的项目实施方案，计划完整、方案完善，有利于项目实施。</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（评分范围：4,3,2,1,0）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utoSpaceDE w:val="0"/>
              <w:autoSpaceDN w:val="0"/>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投标人提供确保供应货物质量的具体保障措施，措施详细完整，能保证货物质量符合要求。</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kern w:val="0"/>
                <w:szCs w:val="21"/>
                <w:highlight w:val="none"/>
                <w:lang w:bidi="ar"/>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utoSpaceDE w:val="0"/>
              <w:autoSpaceDN w:val="0"/>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投标产品中主要设备的配置和管理方式功能情况说明，说明详细完整，功能和管理方式有利于项目实施。</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utoSpaceDE w:val="0"/>
              <w:autoSpaceDN w:val="0"/>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本次项目拟对校园门锁网络地址分段分级管理、扩容及故障排除，方案详细完整具备可操作性、可扩展性有利于项目实施。</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utoSpaceDE w:val="0"/>
              <w:autoSpaceDN w:val="0"/>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兼容性方案</w:t>
            </w: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本次项目与物联网管理平台兼容方案，包括自动注册、自动识别、统一管控和配置，方案详细完整具备可操作性、可扩展性有利于项目实施。</w:t>
            </w:r>
          </w:p>
          <w:p>
            <w:pPr>
              <w:adjustRightInd w:val="0"/>
              <w:snapToGrid w:val="0"/>
              <w:spacing w:line="288" w:lineRule="auto"/>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分布式热点部署方案</w:t>
            </w: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5</w:t>
            </w:r>
          </w:p>
        </w:tc>
        <w:tc>
          <w:tcPr>
            <w:tcW w:w="7072"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本次项目拟对分布式热点部署方案，方案详细完整具备可操作性、可扩展性有利于项目实施。</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（评分范围：5,4,3,2,1,0）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团队人员</w:t>
            </w: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4</w:t>
            </w:r>
          </w:p>
        </w:tc>
        <w:tc>
          <w:tcPr>
            <w:tcW w:w="7072"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团队成员中具有信息系统项目管理师、系统分析师，每提供1个得2分，最高4分（同类型证书只算1个，需提供证书及6个月内社保证明，不提供不得分）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widowControl/>
              <w:jc w:val="center"/>
              <w:textAlignment w:val="center"/>
              <w:rPr>
                <w:rFonts w:ascii="宋体" w:hAnsi="宋体" w:eastAsia="宋体" w:cs="宋体"/>
                <w:b/>
                <w:bCs/>
                <w:color w:val="auto"/>
                <w:szCs w:val="21"/>
                <w:highlight w:val="none"/>
              </w:rPr>
            </w:pPr>
            <w:r>
              <w:rPr>
                <w:rFonts w:hint="eastAsia" w:ascii="宋体" w:hAnsi="宋体" w:eastAsia="宋体" w:cs="宋体"/>
                <w:b/>
                <w:bCs/>
                <w:color w:val="auto"/>
                <w:kern w:val="0"/>
                <w:szCs w:val="21"/>
                <w:highlight w:val="none"/>
                <w:lang w:bidi="ar"/>
              </w:rPr>
              <w:t>应急预案处理方式</w:t>
            </w:r>
          </w:p>
        </w:tc>
        <w:tc>
          <w:tcPr>
            <w:tcW w:w="654"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3</w:t>
            </w:r>
          </w:p>
        </w:tc>
        <w:tc>
          <w:tcPr>
            <w:tcW w:w="7072" w:type="dxa"/>
            <w:vAlign w:val="center"/>
          </w:tcPr>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【主观分】</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出现平台故障，用户应急预案处理方式，确保用户校园生活尽快恢复售后服务的合理性、可行性、针对性。</w:t>
            </w:r>
          </w:p>
          <w:p>
            <w:pPr>
              <w:adjustRightInd w:val="0"/>
              <w:snapToGrid w:val="0"/>
              <w:spacing w:line="288"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功能演示（产品演示，必须为所投产品，非所投产品演示不得分）</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1、支持手机移动端钉钉或企业微信智能出入管理小程序,实现二维码识别开门。该码能同时实现在线离线功能，通过在线扫描、离线扫描均能识别打开（木门智能锁，断桥铝智能锁，无框玻璃智能锁，磁力锁（锁型号必须与所投产品匹配，不匹配不得分），全部实现得2分，演示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2、集成中国美院企业微信小程序临时密码功能，可根据智能出入管理平台权限分配数据获取临时密码。在二维码刷卡管理机离线状态下，手机移动端单独对锁具生成临时密码后（临时密码必须为系统随机分配自动生成）实现开门，包括木门智能锁，断桥铝智能锁，无框玻璃智能锁（锁型号必须与所投产品匹配，不匹配不得分），全部实现得2分，演示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功能演示（移动端功能演示，必须为手机端软件原型，手机浏览器与非软件原型演示不得分）</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移动端可对本次采购木门智能锁，断桥铝智能锁，无框玻璃智能锁，磁力锁（锁型号必须与所投产品匹配，不匹配不得分）进行远程授权及开门，授权时能在移动端设备查询条件实现批量授权及远程开门；全部实现得2分，演示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4、移动端可在线查询本次采购木门智能锁，断桥铝智能锁，无框玻璃智能锁，磁力锁（锁型号必须与所投产品匹配，不匹配不得分）的人员授权信息、开关门记录、门锁电量；全部实现得2分，演示不全不得分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ascii="宋体" w:hAnsi="宋体" w:eastAsia="宋体" w:cs="宋体"/>
                <w:b/>
                <w:bCs/>
                <w:color w:val="auto"/>
                <w:szCs w:val="21"/>
                <w:highlight w:val="none"/>
              </w:rPr>
            </w:pPr>
          </w:p>
          <w:p>
            <w:pPr>
              <w:adjustRightInd w:val="0"/>
              <w:snapToGrid w:val="0"/>
              <w:spacing w:line="288" w:lineRule="auto"/>
              <w:jc w:val="center"/>
              <w:rPr>
                <w:rFonts w:ascii="宋体" w:hAnsi="宋体" w:eastAsia="宋体" w:cs="宋体"/>
                <w:b/>
                <w:bCs/>
                <w:color w:val="auto"/>
                <w:szCs w:val="21"/>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功能演示（PC端功能演示，必须为同一软件平台原型演示，非软件原型或多个软件平台演示不得分）</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1</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5、公寓管理：展示公寓房间空房、未住满、住满、停用等状态，可配置公寓房间床位数量，房间入住详细信息，可办理入住、退宿、冻结等业务。支持单用户只能入住一个房间，办理入住其他房间完成自动换宿。公寓房间管理可新增、删除、停用公寓房间，通过采集道闸、宿舍门、宿舍通道的通行记录生成晚归记录，可按楼查询公寓晚归记录，同时支持按姓名、工号、时间范围查看晚归记录，绑定公寓住宿用户付费状态，未付费用户禁止开公寓门，同时禁止道闸通行；全部实现得1分，演示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6、酒店管理：展示酒店房间空房、已入住、未入住、已预约、停用等状态，校内人员通过工号快速办理入住，通过校内通行码开门。校外人员通过有效证件办理入住，提供身份证读卡器，兼容Chrome、Firefox、edge等主流浏览器无插件读取身份证读卡器数据。点击房间可查询详细入住信息，可获取房间门锁离线临时密码。客房管理可新增删除客房、修改户型、停用客房，可按酒店查询详细入住记录；全部实现得1分，演示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color w:val="auto"/>
                <w:szCs w:val="21"/>
                <w:highlight w:val="none"/>
              </w:rPr>
            </w:pP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7、日志管理：详细记录门禁设备、人脸设备、道闸的通行记录，人脸开门记录开门抓拍照片，记录门锁日志，详细记录智能门锁的开门事件、开锁用户、开锁时间、开锁方式、门锁电量等，记录无效开门记录，详细记录门禁设备无效开门记录、包含刷码、刷卡、人脸等开门方式，人脸开门记录无效开门抓拍照片，记录道闸事件，详细记录道闸的尾随、闯闸、告警等时间，可按事件查看监控录像视频。全部实现得2分，演示不全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功能演示（分布式管理平台热点管理，必须为软件原型，非软件原型演示不得分）</w:t>
            </w:r>
          </w:p>
        </w:tc>
        <w:tc>
          <w:tcPr>
            <w:tcW w:w="654" w:type="dxa"/>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2</w:t>
            </w:r>
          </w:p>
        </w:tc>
        <w:tc>
          <w:tcPr>
            <w:tcW w:w="7072" w:type="dxa"/>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【客观分】</w:t>
            </w:r>
          </w:p>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color w:val="auto"/>
                <w:szCs w:val="21"/>
                <w:highlight w:val="none"/>
              </w:rPr>
              <w:t>8、分布式管理平台热点管理：提供管理平台自动均衡服务，各校区部署多个门禁服务器，通过负载均衡服管理本校区门禁设备，当管理平台异常或故障的时候自动切换到其他门禁服务器。当校区互联中断时门禁服务器正常提供服务，校区内校园码、钉工牌等在线动态二维码可以正常使用、小程序可正常开门，正常记录开门日志，当校区互联恢复后各校区数据库服务器自动完成数据同步，保证数据一致。全部实现得2分，演示不全不得分</w:t>
            </w:r>
          </w:p>
        </w:tc>
      </w:tr>
    </w:tbl>
    <w:p>
      <w:pPr>
        <w:pStyle w:val="9"/>
        <w:rPr>
          <w:color w:val="auto"/>
          <w:highlight w:val="none"/>
        </w:rPr>
      </w:pPr>
    </w:p>
    <w:p>
      <w:pPr>
        <w:rPr>
          <w:color w:val="auto"/>
          <w:highlight w:val="none"/>
        </w:rPr>
      </w:pP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w:t>
      </w:r>
      <w:r>
        <w:rPr>
          <w:rFonts w:ascii="宋体" w:hAnsi="宋体" w:eastAsia="宋体" w:cs="Times New Roman"/>
          <w:b/>
          <w:color w:val="auto"/>
          <w:szCs w:val="21"/>
          <w:highlight w:val="none"/>
        </w:rPr>
        <w:t>：</w:t>
      </w:r>
    </w:p>
    <w:p>
      <w:pPr>
        <w:adjustRightInd w:val="0"/>
        <w:snapToGrid w:val="0"/>
        <w:spacing w:line="288" w:lineRule="auto"/>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1.</w:t>
      </w:r>
      <w:r>
        <w:rPr>
          <w:rFonts w:hint="eastAsia" w:ascii="宋体" w:hAnsi="宋体" w:eastAsia="宋体" w:cs="Times New Roman"/>
          <w:b/>
          <w:color w:val="auto"/>
          <w:szCs w:val="21"/>
          <w:highlight w:val="none"/>
        </w:rPr>
        <w:t>根据《政府采购促进中小企业发展管理办法》（财库〔2020〕46号）、《关于进一步加大政府采购支持中小企业力度的通知》（财库〔</w:t>
      </w:r>
      <w:r>
        <w:rPr>
          <w:rFonts w:ascii="宋体" w:hAnsi="宋体" w:eastAsia="宋体" w:cs="Times New Roman"/>
          <w:b/>
          <w:color w:val="auto"/>
          <w:szCs w:val="21"/>
          <w:highlight w:val="none"/>
        </w:rPr>
        <w:t>2022〕19号）</w:t>
      </w:r>
      <w:r>
        <w:rPr>
          <w:rFonts w:hint="eastAsia" w:ascii="宋体" w:hAnsi="宋体" w:eastAsia="宋体" w:cs="Times New Roman"/>
          <w:b/>
          <w:color w:val="auto"/>
          <w:szCs w:val="21"/>
          <w:highlight w:val="none"/>
        </w:rPr>
        <w:t>、《浙江省财政厅关于进一步加大政府采购支持中小企业力度</w:t>
      </w:r>
      <w:r>
        <w:rPr>
          <w:rFonts w:ascii="宋体" w:hAnsi="宋体" w:eastAsia="宋体" w:cs="Times New Roman"/>
          <w:b/>
          <w:color w:val="auto"/>
          <w:szCs w:val="21"/>
          <w:highlight w:val="none"/>
        </w:rPr>
        <w:t xml:space="preserve"> 助力扎实稳住经济的通知》（浙财采监〔2022〕8号）</w:t>
      </w:r>
      <w:r>
        <w:rPr>
          <w:rFonts w:hint="eastAsia" w:ascii="宋体" w:hAnsi="宋体" w:eastAsia="宋体" w:cs="Times New Roman"/>
          <w:b/>
          <w:color w:val="auto"/>
          <w:szCs w:val="21"/>
          <w:highlight w:val="none"/>
        </w:rPr>
        <w:t>的规定：</w:t>
      </w:r>
    </w:p>
    <w:p>
      <w:pPr>
        <w:adjustRightInd w:val="0"/>
        <w:snapToGrid w:val="0"/>
        <w:spacing w:line="288" w:lineRule="auto"/>
        <w:jc w:val="left"/>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对符合规定的小微企业报价给予1</w:t>
      </w:r>
      <w:r>
        <w:rPr>
          <w:rFonts w:ascii="宋体" w:hAnsi="宋体" w:eastAsia="宋体" w:cs="Times New Roman"/>
          <w:b/>
          <w:color w:val="auto"/>
          <w:szCs w:val="21"/>
          <w:highlight w:val="none"/>
        </w:rPr>
        <w:t>0</w:t>
      </w:r>
      <w:r>
        <w:rPr>
          <w:rFonts w:hint="eastAsia" w:ascii="宋体" w:hAnsi="宋体" w:eastAsia="宋体" w:cs="Times New Roman"/>
          <w:b/>
          <w:color w:val="auto"/>
          <w:szCs w:val="21"/>
          <w:highlight w:val="none"/>
        </w:rPr>
        <w:t>%的扣除后计算价格得分。</w:t>
      </w:r>
    </w:p>
    <w:p>
      <w:pPr>
        <w:adjustRightInd w:val="0"/>
        <w:snapToGrid w:val="0"/>
        <w:spacing w:line="288" w:lineRule="auto"/>
        <w:ind w:firstLine="396" w:firstLineChars="200"/>
        <w:jc w:val="left"/>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注：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adjustRightInd w:val="0"/>
        <w:snapToGrid w:val="0"/>
        <w:spacing w:line="288" w:lineRule="auto"/>
        <w:rPr>
          <w:rFonts w:ascii="宋体" w:hAnsi="宋体" w:eastAsia="宋体" w:cs="Times New Roman"/>
          <w:b/>
          <w:bCs/>
          <w:color w:val="auto"/>
          <w:spacing w:val="-6"/>
          <w:szCs w:val="21"/>
          <w:highlight w:val="none"/>
        </w:rPr>
      </w:pPr>
      <w:bookmarkStart w:id="55" w:name="_Hlk81817373"/>
      <w:bookmarkStart w:id="56" w:name="_Hlk81817387"/>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w:t>
      </w:r>
      <w:r>
        <w:rPr>
          <w:rFonts w:ascii="宋体" w:hAnsi="宋体" w:eastAsia="宋体" w:cs="Times New Roman"/>
          <w:b/>
          <w:bCs/>
          <w:color w:val="auto"/>
          <w:spacing w:val="-6"/>
          <w:szCs w:val="21"/>
          <w:highlight w:val="none"/>
        </w:rPr>
        <w:t>关于政府采购支持监狱企业发展有关问题的通知</w:t>
      </w: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财库[2014]68号</w:t>
      </w:r>
      <w:r>
        <w:rPr>
          <w:rFonts w:hint="eastAsia" w:ascii="宋体" w:hAnsi="宋体" w:eastAsia="宋体" w:cs="Times New Roman"/>
          <w:b/>
          <w:bCs/>
          <w:color w:val="auto"/>
          <w:spacing w:val="-6"/>
          <w:szCs w:val="21"/>
          <w:highlight w:val="none"/>
        </w:rPr>
        <w:t>）的规定，</w:t>
      </w:r>
      <w:r>
        <w:rPr>
          <w:rFonts w:hint="eastAsia" w:ascii="宋体" w:hAnsi="宋体" w:eastAsia="宋体" w:cs="宋体"/>
          <w:color w:val="auto"/>
          <w:kern w:val="0"/>
          <w:szCs w:val="21"/>
          <w:highlight w:val="none"/>
        </w:rPr>
        <w:t>监狱企业参加政府采购活动时，提供由省级以上监狱管理局</w:t>
      </w:r>
      <w:r>
        <w:rPr>
          <w:rFonts w:hint="eastAsia" w:ascii="宋体" w:hAnsi="宋体" w:eastAsia="宋体" w:cs="宋体"/>
          <w:color w:val="auto"/>
          <w:kern w:val="0"/>
          <w:szCs w:val="21"/>
          <w:highlight w:val="none"/>
        </w:rPr>
        <w:t>、戒毒管理局（含新疆生产建设兵团）出具的属于监狱企业的证明文件的，在政府采购活动中，监狱企业视</w:t>
      </w:r>
      <w:r>
        <w:rPr>
          <w:rFonts w:hint="eastAsia" w:ascii="宋体" w:hAnsi="宋体" w:eastAsia="宋体" w:cs="宋体"/>
          <w:color w:val="auto"/>
          <w:kern w:val="0"/>
          <w:szCs w:val="21"/>
          <w:highlight w:val="none"/>
        </w:rPr>
        <w:t>同小型、微型企业，享受预留份额、评审中价格扣除等政府采购促进中小企业发展的政府采购政策。</w:t>
      </w:r>
    </w:p>
    <w:bookmarkEnd w:id="55"/>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根据《关于促进残疾人就业政府采购政策的通知》（财库[2017]141号）的规定，</w:t>
      </w:r>
      <w:r>
        <w:rPr>
          <w:rFonts w:hint="eastAsia" w:ascii="宋体" w:hAnsi="宋体" w:eastAsia="宋体"/>
          <w:color w:val="auto"/>
          <w:szCs w:val="21"/>
          <w:highlight w:val="none"/>
        </w:rPr>
        <w:t>符合条件的残疾人福利性单位在参加政府采购活动时，</w:t>
      </w:r>
      <w:r>
        <w:rPr>
          <w:rFonts w:hint="eastAsia" w:ascii="宋体" w:hAnsi="宋体" w:eastAsia="宋体"/>
          <w:color w:val="auto"/>
          <w:szCs w:val="21"/>
          <w:highlight w:val="none"/>
        </w:rPr>
        <w:t>提供财库</w:t>
      </w:r>
      <w:r>
        <w:rPr>
          <w:rFonts w:ascii="宋体" w:hAnsi="宋体" w:eastAsia="宋体"/>
          <w:color w:val="auto"/>
          <w:szCs w:val="21"/>
          <w:highlight w:val="none"/>
        </w:rPr>
        <w:t>[2017]141号</w:t>
      </w:r>
      <w:r>
        <w:rPr>
          <w:rFonts w:hint="eastAsia" w:ascii="宋体" w:hAnsi="宋体" w:eastAsia="宋体"/>
          <w:color w:val="auto"/>
          <w:szCs w:val="21"/>
          <w:highlight w:val="none"/>
        </w:rPr>
        <w:t>文件</w:t>
      </w:r>
      <w:r>
        <w:rPr>
          <w:rFonts w:hint="eastAsia" w:ascii="宋体" w:hAnsi="宋体" w:eastAsia="宋体"/>
          <w:color w:val="auto"/>
          <w:szCs w:val="21"/>
          <w:highlight w:val="none"/>
        </w:rPr>
        <w:t>规定的《残疾人福利性单位声明函》的，在政府采购活</w:t>
      </w:r>
      <w:r>
        <w:rPr>
          <w:rFonts w:hint="eastAsia" w:ascii="宋体" w:hAnsi="宋体" w:eastAsia="宋体"/>
          <w:color w:val="auto"/>
          <w:szCs w:val="21"/>
          <w:highlight w:val="none"/>
        </w:rPr>
        <w:t>动中，残疾人福利性单位视同小型、微型企业，享受预留份额、评审中价格扣除等促进中小企业发展的政府采购政策。</w:t>
      </w:r>
      <w:r>
        <w:rPr>
          <w:rFonts w:ascii="宋体" w:hAnsi="宋体" w:eastAsia="宋体" w:cs="Times New Roman"/>
          <w:color w:val="auto"/>
          <w:spacing w:val="-6"/>
          <w:szCs w:val="21"/>
          <w:highlight w:val="none"/>
        </w:rPr>
        <w:t>残疾人福利性单位属于小型、微型企业的，不重复享受政策。</w:t>
      </w:r>
    </w:p>
    <w:bookmarkEnd w:id="56"/>
    <w:p>
      <w:pPr>
        <w:widowControl/>
        <w:adjustRightInd w:val="0"/>
        <w:snapToGrid w:val="0"/>
        <w:spacing w:line="288" w:lineRule="auto"/>
        <w:jc w:val="left"/>
        <w:rPr>
          <w:rFonts w:ascii="宋体" w:hAnsi="宋体" w:eastAsia="宋体" w:cs="Times New Roman"/>
          <w:b/>
          <w:bCs/>
          <w:color w:val="auto"/>
          <w:spacing w:val="-6"/>
          <w:szCs w:val="21"/>
          <w:highlight w:val="none"/>
        </w:rPr>
      </w:pPr>
      <w:r>
        <w:rPr>
          <w:rFonts w:ascii="宋体" w:hAnsi="宋体" w:eastAsia="宋体" w:cs="Times New Roman"/>
          <w:b/>
          <w:bCs/>
          <w:color w:val="auto"/>
          <w:spacing w:val="-6"/>
          <w:szCs w:val="21"/>
          <w:highlight w:val="none"/>
        </w:rPr>
        <w:br w:type="page"/>
      </w:r>
    </w:p>
    <w:p>
      <w:pPr>
        <w:adjustRightInd w:val="0"/>
        <w:snapToGrid w:val="0"/>
        <w:spacing w:line="288" w:lineRule="auto"/>
        <w:jc w:val="center"/>
        <w:outlineLvl w:val="0"/>
        <w:rPr>
          <w:rFonts w:ascii="宋体" w:hAnsi="宋体" w:eastAsia="宋体" w:cs="宋体"/>
          <w:b/>
          <w:bCs/>
          <w:color w:val="auto"/>
          <w:spacing w:val="-6"/>
          <w:sz w:val="32"/>
          <w:szCs w:val="32"/>
          <w:highlight w:val="none"/>
        </w:rPr>
      </w:pPr>
      <w:r>
        <w:rPr>
          <w:rFonts w:hint="eastAsia" w:ascii="宋体" w:hAnsi="宋体" w:eastAsia="宋体" w:cs="宋体"/>
          <w:b/>
          <w:color w:val="auto"/>
          <w:sz w:val="32"/>
          <w:szCs w:val="32"/>
          <w:highlight w:val="none"/>
        </w:rPr>
        <w:t>第五章  拟签订的合同文本</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ind w:firstLine="398" w:firstLineChars="200"/>
        <w:jc w:val="center"/>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中国美术学院 政府采购合同</w:t>
      </w:r>
    </w:p>
    <w:p>
      <w:pPr>
        <w:adjustRightInd w:val="0"/>
        <w:snapToGrid w:val="0"/>
        <w:spacing w:line="288" w:lineRule="auto"/>
        <w:ind w:firstLine="398" w:firstLineChars="200"/>
        <w:jc w:val="center"/>
        <w:rPr>
          <w:rFonts w:ascii="宋体" w:hAnsi="宋体" w:eastAsia="宋体" w:cs="宋体"/>
          <w:color w:val="auto"/>
          <w:spacing w:val="-6"/>
          <w:szCs w:val="21"/>
          <w:highlight w:val="none"/>
        </w:rPr>
      </w:pPr>
      <w:r>
        <w:rPr>
          <w:rFonts w:hint="eastAsia" w:ascii="宋体" w:hAnsi="宋体" w:eastAsia="宋体" w:cs="宋体"/>
          <w:b/>
          <w:color w:val="auto"/>
          <w:spacing w:val="-6"/>
          <w:szCs w:val="21"/>
          <w:highlight w:val="none"/>
        </w:rPr>
        <w:t>（国产设备）</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项目名称：良渚校区1期2标段物联网门禁人员出入智能管控项目</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 xml:space="preserve">项目编号：QSZB-Z(H)-C23487(GK) </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采购计划书：</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甲方（需方）：中国美术学院</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乙方（供方）：</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采购代理机构：浙江求是招标代理有限公司</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根据《中华人民共和国政府采购法》等法律法规规定，浙江求是招标代理有限公司受</w:t>
      </w:r>
      <w:r>
        <w:rPr>
          <w:rFonts w:hint="eastAsia" w:ascii="宋体" w:hAnsi="宋体" w:eastAsia="宋体" w:cs="宋体"/>
          <w:color w:val="auto"/>
          <w:spacing w:val="-6"/>
          <w:szCs w:val="21"/>
          <w:highlight w:val="none"/>
          <w:u w:val="single"/>
        </w:rPr>
        <w:t xml:space="preserve"> 中国美术学院 </w:t>
      </w:r>
      <w:r>
        <w:rPr>
          <w:rFonts w:hint="eastAsia" w:ascii="宋体" w:hAnsi="宋体" w:eastAsia="宋体" w:cs="宋体"/>
          <w:color w:val="auto"/>
          <w:spacing w:val="-6"/>
          <w:szCs w:val="21"/>
          <w:highlight w:val="none"/>
        </w:rPr>
        <w:t>委托，经</w:t>
      </w:r>
      <w:r>
        <w:rPr>
          <w:rFonts w:hint="eastAsia" w:ascii="宋体" w:hAnsi="宋体" w:eastAsia="宋体" w:cs="宋体"/>
          <w:color w:val="auto"/>
          <w:spacing w:val="-6"/>
          <w:szCs w:val="21"/>
          <w:highlight w:val="none"/>
          <w:u w:val="single"/>
        </w:rPr>
        <w:t xml:space="preserve"> 公开招标 </w:t>
      </w:r>
      <w:r>
        <w:rPr>
          <w:rFonts w:hint="eastAsia" w:ascii="宋体" w:hAnsi="宋体" w:eastAsia="宋体" w:cs="宋体"/>
          <w:color w:val="auto"/>
          <w:spacing w:val="-6"/>
          <w:szCs w:val="21"/>
          <w:highlight w:val="none"/>
        </w:rPr>
        <w:t>，确定</w:t>
      </w:r>
      <w:r>
        <w:rPr>
          <w:rFonts w:hint="eastAsia" w:ascii="宋体" w:hAnsi="宋体" w:eastAsia="宋体" w:cs="宋体"/>
          <w:color w:val="auto"/>
          <w:spacing w:val="-6"/>
          <w:szCs w:val="21"/>
          <w:highlight w:val="none"/>
          <w:u w:val="single"/>
        </w:rPr>
        <w:t xml:space="preserve">              </w:t>
      </w:r>
      <w:r>
        <w:rPr>
          <w:rFonts w:hint="eastAsia" w:ascii="宋体" w:hAnsi="宋体" w:eastAsia="宋体" w:cs="宋体"/>
          <w:color w:val="auto"/>
          <w:spacing w:val="-6"/>
          <w:szCs w:val="21"/>
          <w:highlight w:val="none"/>
        </w:rPr>
        <w:t>为</w:t>
      </w:r>
      <w:r>
        <w:rPr>
          <w:rFonts w:hint="eastAsia" w:ascii="宋体" w:hAnsi="宋体" w:eastAsia="宋体" w:cs="宋体"/>
          <w:color w:val="auto"/>
          <w:spacing w:val="-6"/>
          <w:szCs w:val="21"/>
          <w:highlight w:val="none"/>
          <w:u w:val="single"/>
        </w:rPr>
        <w:t xml:space="preserve"> 良渚校区1期2标段物联网门禁人员出入智能管控项目 </w:t>
      </w:r>
      <w:r>
        <w:rPr>
          <w:rFonts w:hint="eastAsia" w:ascii="宋体" w:hAnsi="宋体" w:eastAsia="宋体" w:cs="宋体"/>
          <w:color w:val="auto"/>
          <w:spacing w:val="-6"/>
          <w:szCs w:val="21"/>
          <w:highlight w:val="none"/>
        </w:rPr>
        <w:t>项目编号</w:t>
      </w:r>
      <w:r>
        <w:rPr>
          <w:rFonts w:hint="eastAsia" w:ascii="宋体" w:hAnsi="宋体" w:eastAsia="宋体" w:cs="宋体"/>
          <w:color w:val="auto"/>
          <w:spacing w:val="-6"/>
          <w:szCs w:val="21"/>
          <w:highlight w:val="none"/>
          <w:u w:val="single"/>
        </w:rPr>
        <w:t>（QSZB-Z(H)-C23487(GK) ）</w:t>
      </w:r>
      <w:r>
        <w:rPr>
          <w:rFonts w:hint="eastAsia" w:ascii="宋体" w:hAnsi="宋体" w:eastAsia="宋体" w:cs="宋体"/>
          <w:color w:val="auto"/>
          <w:spacing w:val="-6"/>
          <w:szCs w:val="21"/>
          <w:highlight w:val="none"/>
        </w:rPr>
        <w:t>的中标人。根据《中华人民共和国民法典》规定，签署本合同。</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序号</w:t>
            </w:r>
          </w:p>
        </w:tc>
        <w:tc>
          <w:tcPr>
            <w:tcW w:w="2163"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名称</w:t>
            </w:r>
          </w:p>
        </w:tc>
        <w:tc>
          <w:tcPr>
            <w:tcW w:w="2532"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品牌、型号</w:t>
            </w:r>
          </w:p>
        </w:tc>
        <w:tc>
          <w:tcPr>
            <w:tcW w:w="70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数量</w:t>
            </w:r>
          </w:p>
        </w:tc>
        <w:tc>
          <w:tcPr>
            <w:tcW w:w="70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单位</w:t>
            </w:r>
          </w:p>
        </w:tc>
        <w:tc>
          <w:tcPr>
            <w:tcW w:w="1418"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单价（元）</w:t>
            </w:r>
          </w:p>
        </w:tc>
        <w:tc>
          <w:tcPr>
            <w:tcW w:w="1300"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1</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2</w:t>
            </w:r>
          </w:p>
        </w:tc>
        <w:tc>
          <w:tcPr>
            <w:tcW w:w="2163"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2532"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9"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70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418"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c>
          <w:tcPr>
            <w:tcW w:w="1300" w:type="dxa"/>
            <w:vAlign w:val="center"/>
          </w:tcPr>
          <w:p>
            <w:pPr>
              <w:adjustRightInd w:val="0"/>
              <w:snapToGrid w:val="0"/>
              <w:spacing w:line="288" w:lineRule="auto"/>
              <w:ind w:firstLine="396" w:firstLineChars="200"/>
              <w:jc w:val="center"/>
              <w:rPr>
                <w:rFonts w:ascii="宋体" w:hAnsi="宋体" w:eastAsia="宋体" w:cs="宋体"/>
                <w:color w:val="auto"/>
                <w:spacing w:val="-6"/>
                <w:szCs w:val="21"/>
                <w:highlight w:val="non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color w:val="auto"/>
                <w:spacing w:val="-6"/>
                <w:szCs w:val="21"/>
                <w:highlight w:val="none"/>
                <w:lang w:val="zh-CN"/>
              </w:rPr>
            </w:pPr>
          </w:p>
          <w:p>
            <w:pPr>
              <w:adjustRightInd w:val="0"/>
              <w:snapToGrid w:val="0"/>
              <w:spacing w:line="288" w:lineRule="auto"/>
              <w:jc w:val="left"/>
              <w:rPr>
                <w:rFonts w:ascii="宋体" w:hAnsi="宋体" w:eastAsia="宋体" w:cs="宋体"/>
                <w:color w:val="auto"/>
                <w:spacing w:val="-6"/>
                <w:szCs w:val="21"/>
                <w:highlight w:val="none"/>
                <w:lang w:val="zh-CN"/>
              </w:rPr>
            </w:pPr>
            <w:r>
              <w:rPr>
                <w:rFonts w:hint="eastAsia" w:ascii="宋体" w:hAnsi="宋体" w:eastAsia="宋体" w:cs="宋体"/>
                <w:color w:val="auto"/>
                <w:spacing w:val="-6"/>
                <w:szCs w:val="21"/>
                <w:highlight w:val="none"/>
                <w:lang w:val="zh-CN"/>
              </w:rPr>
              <w:t>合同总价（大写）：</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第二条：履约保证金和付款方式</w:t>
      </w: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ind w:firstLine="396" w:firstLineChars="200"/>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第三条：交付时间、地点、货物质保期</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交付时间：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年</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月</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日前；</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交付地点：</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ind w:right="-514" w:rightChars="-245"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货物质保期：</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年</w:t>
      </w:r>
      <w:r>
        <w:rPr>
          <w:rFonts w:hint="eastAsia" w:ascii="宋体" w:hAnsi="宋体" w:eastAsia="宋体" w:cs="Times New Roman"/>
          <w:color w:val="auto"/>
          <w:spacing w:val="-6"/>
          <w:szCs w:val="21"/>
          <w:highlight w:val="none"/>
        </w:rPr>
        <w:t>，项目验收合格后开始计算；</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第四条：服务标准、期限、效率</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4.因人为因素出现的故障不在免费保修范围内。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u w:val="single"/>
        </w:rPr>
        <w:t>如在使用过程中发生质量问题，乙方维修响应时间：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6.培训：</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1.乙方应按招标文件规定的货物性能、技术要求、质量标准向甲方提供未经使用的全新产品，符合国家法律</w:t>
      </w:r>
      <w:bookmarkStart w:id="57" w:name="_Hlk143604402"/>
      <w:r>
        <w:rPr>
          <w:rFonts w:hint="eastAsia" w:ascii="宋体" w:hAnsi="宋体" w:eastAsia="宋体" w:cs="Times New Roman"/>
          <w:color w:val="auto"/>
          <w:spacing w:val="-6"/>
          <w:szCs w:val="21"/>
          <w:highlight w:val="none"/>
        </w:rPr>
        <w:t>法规</w:t>
      </w:r>
      <w:bookmarkEnd w:id="57"/>
      <w:r>
        <w:rPr>
          <w:rFonts w:hint="eastAsia" w:ascii="宋体" w:hAnsi="宋体" w:eastAsia="宋体" w:cs="Times New Roman"/>
          <w:color w:val="auto"/>
          <w:spacing w:val="-6"/>
          <w:szCs w:val="21"/>
          <w:highlight w:val="none"/>
        </w:rPr>
        <w:t>规定和技术规格、质量标准的出厂原装合格产品。</w:t>
      </w:r>
      <w:r>
        <w:rPr>
          <w:rFonts w:hint="eastAsia" w:ascii="宋体" w:hAnsi="宋体" w:eastAsia="宋体" w:cs="Times New Roman"/>
          <w:color w:val="auto"/>
          <w:spacing w:val="-6"/>
          <w:szCs w:val="21"/>
          <w:highlight w:val="none"/>
        </w:rPr>
        <w:t>首次付款后，</w:t>
      </w:r>
      <w:r>
        <w:rPr>
          <w:rFonts w:hint="eastAsia" w:ascii="宋体" w:hAnsi="宋体" w:eastAsia="宋体" w:cs="宋体"/>
          <w:color w:val="auto"/>
          <w:spacing w:val="-6"/>
          <w:kern w:val="0"/>
          <w:szCs w:val="21"/>
          <w:highlight w:val="none"/>
        </w:rPr>
        <w:t>设备（含软硬件）到货后需检测以验证是否符合项目技术要求，同时将对投标书中提供的所投产品证明材料进行现场核实，若证明材料与投标书中证明材料不一致、性能不足或无法提供验证材料的，则初步验收不通过；需在7天内提供材料进行二次验收，二次验收仍无法满足的，甲方依规向本级财政部门上报取消合同，由本级财政部门处以相关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2.技术支持：</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3.安装调试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第七条：违约责任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1.乙方逾期履行合同的，自逾期之日起，向甲方每日偿付合同总价0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2.甲方逾期支付货款的，自逾期之日起，向乙方每日偿付未付价款0</w:t>
      </w:r>
      <w:r>
        <w:rPr>
          <w:rFonts w:ascii="宋体" w:hAnsi="宋体" w:eastAsia="宋体" w:cs="Times New Roman"/>
          <w:color w:val="auto"/>
          <w:spacing w:val="-6"/>
          <w:szCs w:val="21"/>
          <w:highlight w:val="none"/>
        </w:rPr>
        <w:t>.5</w:t>
      </w:r>
      <w:r>
        <w:rPr>
          <w:rFonts w:hint="eastAsia" w:ascii="宋体" w:hAnsi="宋体" w:eastAsia="宋体" w:cs="Times New Roman"/>
          <w:color w:val="auto"/>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第</w:t>
      </w:r>
      <w:r>
        <w:rPr>
          <w:rFonts w:hint="eastAsia" w:ascii="宋体" w:hAnsi="宋体" w:eastAsia="宋体" w:cs="Times New Roman"/>
          <w:b/>
          <w:color w:val="auto"/>
          <w:spacing w:val="-6"/>
          <w:szCs w:val="21"/>
          <w:highlight w:val="none"/>
        </w:rPr>
        <w:t>八</w:t>
      </w:r>
      <w:r>
        <w:rPr>
          <w:rFonts w:ascii="宋体" w:hAnsi="宋体" w:eastAsia="宋体" w:cs="Times New Roman"/>
          <w:b/>
          <w:color w:val="auto"/>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第十条：合同生效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甲方代表：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乙方代表：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地址：</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电话：</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开户银行：</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账号：</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采购代理机构代表：</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宋体"/>
                <w:color w:val="auto"/>
                <w:szCs w:val="21"/>
                <w:highlight w:val="none"/>
              </w:rPr>
              <w:t>电话：0571-87666115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color w:val="auto"/>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color w:val="auto"/>
          <w:sz w:val="32"/>
          <w:szCs w:val="32"/>
          <w:highlight w:val="none"/>
        </w:rPr>
      </w:pPr>
      <w:r>
        <w:rPr>
          <w:rFonts w:ascii="宋体" w:hAnsi="宋体" w:eastAsia="宋体" w:cs="宋体"/>
          <w:color w:val="auto"/>
          <w:szCs w:val="21"/>
          <w:highlight w:val="none"/>
          <w:lang w:val="zh-CN"/>
        </w:rPr>
        <w:br w:type="page"/>
      </w:r>
    </w:p>
    <w:p>
      <w:pPr>
        <w:adjustRightInd w:val="0"/>
        <w:snapToGrid w:val="0"/>
        <w:spacing w:line="288" w:lineRule="auto"/>
        <w:jc w:val="center"/>
        <w:outlineLvl w:val="0"/>
        <w:rPr>
          <w:rFonts w:ascii="宋体" w:hAnsi="宋体" w:eastAsia="宋体" w:cs="Times New Roman"/>
          <w:color w:val="auto"/>
          <w:sz w:val="28"/>
          <w:szCs w:val="24"/>
          <w:highlight w:val="none"/>
        </w:rPr>
      </w:pPr>
      <w:r>
        <w:rPr>
          <w:rFonts w:ascii="宋体" w:hAnsi="宋体" w:eastAsia="宋体" w:cs="Times New Roman"/>
          <w:b/>
          <w:color w:val="auto"/>
          <w:sz w:val="32"/>
          <w:szCs w:val="32"/>
          <w:highlight w:val="none"/>
        </w:rPr>
        <w:t>第六章</w:t>
      </w:r>
      <w:r>
        <w:rPr>
          <w:rFonts w:hint="eastAsia" w:ascii="宋体" w:hAnsi="宋体" w:eastAsia="宋体" w:cs="Times New Roman"/>
          <w:b/>
          <w:color w:val="auto"/>
          <w:sz w:val="32"/>
          <w:szCs w:val="32"/>
          <w:highlight w:val="none"/>
        </w:rPr>
        <w:t xml:space="preserve">  </w:t>
      </w:r>
      <w:r>
        <w:rPr>
          <w:rFonts w:ascii="宋体" w:hAnsi="宋体" w:eastAsia="宋体" w:cs="Times New Roman"/>
          <w:b/>
          <w:color w:val="auto"/>
          <w:sz w:val="32"/>
          <w:szCs w:val="32"/>
          <w:highlight w:val="none"/>
        </w:rPr>
        <w:t>投标文件格式</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jc w:val="center"/>
        <w:rPr>
          <w:rFonts w:ascii="宋体" w:hAnsi="宋体" w:eastAsia="宋体" w:cs="Times New Roman"/>
          <w:b/>
          <w:bCs/>
          <w:color w:val="auto"/>
          <w:spacing w:val="-6"/>
          <w:sz w:val="24"/>
          <w:szCs w:val="24"/>
          <w:highlight w:val="none"/>
        </w:rPr>
      </w:pPr>
      <w:r>
        <w:rPr>
          <w:rFonts w:hint="eastAsia" w:ascii="宋体" w:hAnsi="宋体" w:eastAsia="宋体" w:cs="Times New Roman"/>
          <w:b/>
          <w:bCs/>
          <w:color w:val="auto"/>
          <w:spacing w:val="-6"/>
          <w:sz w:val="24"/>
          <w:szCs w:val="24"/>
          <w:highlight w:val="none"/>
        </w:rPr>
        <w:t xml:space="preserve">目 </w:t>
      </w:r>
      <w:r>
        <w:rPr>
          <w:rFonts w:ascii="宋体" w:hAnsi="宋体" w:eastAsia="宋体" w:cs="Times New Roman"/>
          <w:b/>
          <w:bCs/>
          <w:color w:val="auto"/>
          <w:spacing w:val="-6"/>
          <w:sz w:val="24"/>
          <w:szCs w:val="24"/>
          <w:highlight w:val="none"/>
        </w:rPr>
        <w:t xml:space="preserve"> </w:t>
      </w:r>
      <w:r>
        <w:rPr>
          <w:rFonts w:hint="eastAsia" w:ascii="宋体" w:hAnsi="宋体" w:eastAsia="宋体" w:cs="Times New Roman"/>
          <w:b/>
          <w:bCs/>
          <w:color w:val="auto"/>
          <w:spacing w:val="-6"/>
          <w:sz w:val="24"/>
          <w:szCs w:val="24"/>
          <w:highlight w:val="none"/>
        </w:rPr>
        <w:t>录</w:t>
      </w:r>
    </w:p>
    <w:p>
      <w:pPr>
        <w:adjustRightInd w:val="0"/>
        <w:snapToGrid w:val="0"/>
        <w:spacing w:line="288" w:lineRule="auto"/>
        <w:rPr>
          <w:rFonts w:ascii="宋体" w:hAnsi="宋体" w:eastAsia="宋体" w:cs="Times New Roman"/>
          <w:b/>
          <w:bCs/>
          <w:color w:val="auto"/>
          <w:spacing w:val="-6"/>
          <w:sz w:val="24"/>
          <w:szCs w:val="24"/>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w:t>
      </w:r>
      <w:r>
        <w:rPr>
          <w:rFonts w:ascii="宋体" w:hAnsi="宋体" w:eastAsia="宋体" w:cs="Times New Roman"/>
          <w:b/>
          <w:bCs/>
          <w:color w:val="auto"/>
          <w:spacing w:val="-6"/>
          <w:szCs w:val="21"/>
          <w:highlight w:val="none"/>
        </w:rPr>
        <w:t>1</w:t>
      </w:r>
      <w:r>
        <w:rPr>
          <w:rFonts w:hint="eastAsia" w:ascii="宋体" w:hAnsi="宋体" w:eastAsia="宋体" w:cs="Times New Roman"/>
          <w:b/>
          <w:bCs/>
          <w:color w:val="auto"/>
          <w:spacing w:val="-6"/>
          <w:szCs w:val="21"/>
          <w:highlight w:val="none"/>
        </w:rPr>
        <w:t>.资格文件（单独上传）。</w:t>
      </w:r>
      <w:r>
        <w:rPr>
          <w:rFonts w:hint="eastAsia" w:ascii="宋体" w:hAnsi="宋体" w:eastAsia="宋体" w:cs="宋体"/>
          <w:b/>
          <w:bCs/>
          <w:color w:val="auto"/>
          <w:szCs w:val="21"/>
          <w:highlight w:val="none"/>
        </w:rPr>
        <w:t>资格审查要求的资格证明材料（均需加盖公章）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3）落实政府采购政策需满足的资格要求：无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4）</w:t>
      </w:r>
      <w:r>
        <w:rPr>
          <w:rFonts w:hint="eastAsia" w:ascii="宋体" w:hAnsi="宋体" w:eastAsia="宋体" w:cs="宋体"/>
          <w:bCs/>
          <w:color w:val="auto"/>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color w:val="auto"/>
          <w:spacing w:val="-6"/>
          <w:szCs w:val="21"/>
          <w:highlight w:val="none"/>
        </w:rPr>
      </w:pPr>
      <w:r>
        <w:rPr>
          <w:rFonts w:hint="eastAsia" w:ascii="宋体" w:hAnsi="宋体" w:eastAsia="宋体" w:cs="宋体"/>
          <w:bCs/>
          <w:color w:val="auto"/>
          <w:spacing w:val="-6"/>
          <w:szCs w:val="21"/>
          <w:highlight w:val="none"/>
        </w:rPr>
        <w:t>▲联合体投标的，联合体各方均应提供资格文件（</w:t>
      </w:r>
      <w:r>
        <w:rPr>
          <w:rFonts w:ascii="宋体" w:hAnsi="宋体" w:eastAsia="宋体" w:cs="宋体"/>
          <w:bCs/>
          <w:color w:val="auto"/>
          <w:spacing w:val="-6"/>
          <w:szCs w:val="21"/>
          <w:highlight w:val="none"/>
        </w:rPr>
        <w:t>1）</w:t>
      </w:r>
      <w:r>
        <w:rPr>
          <w:rFonts w:hint="eastAsia" w:ascii="宋体" w:hAnsi="宋体" w:eastAsia="宋体" w:cs="宋体"/>
          <w:bCs/>
          <w:color w:val="auto"/>
          <w:spacing w:val="-6"/>
          <w:szCs w:val="21"/>
          <w:highlight w:val="none"/>
        </w:rPr>
        <w:t>、</w:t>
      </w:r>
      <w:r>
        <w:rPr>
          <w:rFonts w:ascii="宋体" w:hAnsi="宋体" w:eastAsia="宋体" w:cs="宋体"/>
          <w:bCs/>
          <w:color w:val="auto"/>
          <w:spacing w:val="-6"/>
          <w:szCs w:val="21"/>
          <w:highlight w:val="none"/>
        </w:rPr>
        <w:t>（2）</w:t>
      </w:r>
      <w:r>
        <w:rPr>
          <w:rFonts w:hint="eastAsia" w:ascii="宋体" w:hAnsi="宋体" w:eastAsia="宋体" w:cs="宋体"/>
          <w:bCs/>
          <w:color w:val="auto"/>
          <w:spacing w:val="-6"/>
          <w:szCs w:val="21"/>
          <w:highlight w:val="none"/>
        </w:rPr>
        <w:t>材料</w:t>
      </w:r>
      <w:r>
        <w:rPr>
          <w:rFonts w:ascii="宋体" w:hAnsi="宋体" w:eastAsia="宋体" w:cs="宋体"/>
          <w:bCs/>
          <w:color w:val="auto"/>
          <w:spacing w:val="-6"/>
          <w:szCs w:val="21"/>
          <w:highlight w:val="none"/>
        </w:rPr>
        <w:t>。</w:t>
      </w:r>
    </w:p>
    <w:p>
      <w:pPr>
        <w:adjustRightInd w:val="0"/>
        <w:snapToGrid w:val="0"/>
        <w:spacing w:line="288" w:lineRule="auto"/>
        <w:jc w:val="left"/>
        <w:rPr>
          <w:rFonts w:ascii="宋体" w:hAnsi="宋体" w:eastAsia="宋体" w:cs="宋体"/>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bCs/>
          <w:color w:val="auto"/>
          <w:spacing w:val="-6"/>
          <w:szCs w:val="21"/>
          <w:highlight w:val="none"/>
        </w:rPr>
      </w:pPr>
      <w:r>
        <w:rPr>
          <w:rFonts w:ascii="宋体" w:hAnsi="宋体" w:eastAsia="宋体" w:cs="Times New Roman"/>
          <w:b/>
          <w:color w:val="auto"/>
          <w:spacing w:val="-6"/>
          <w:szCs w:val="21"/>
          <w:highlight w:val="none"/>
        </w:rPr>
        <w:t>2</w:t>
      </w:r>
      <w:r>
        <w:rPr>
          <w:rFonts w:hint="eastAsia" w:ascii="宋体" w:hAnsi="宋体" w:eastAsia="宋体" w:cs="Times New Roman"/>
          <w:b/>
          <w:color w:val="auto"/>
          <w:spacing w:val="-6"/>
          <w:szCs w:val="21"/>
          <w:highlight w:val="none"/>
        </w:rPr>
        <w:t>.商务和</w:t>
      </w:r>
      <w:r>
        <w:rPr>
          <w:rFonts w:hint="eastAsia" w:ascii="宋体" w:hAnsi="宋体" w:eastAsia="宋体" w:cs="Times New Roman"/>
          <w:b/>
          <w:bCs/>
          <w:color w:val="auto"/>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2）授权委托书</w:t>
      </w:r>
      <w:r>
        <w:rPr>
          <w:rFonts w:hint="eastAsia" w:ascii="宋体" w:hAnsi="宋体" w:eastAsia="宋体" w:cs="Times New Roman"/>
          <w:color w:val="auto"/>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附：授权代表社保缴纳证明（2022年12月（含）以后任意一月）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4</w:t>
      </w:r>
      <w:r>
        <w:rPr>
          <w:rFonts w:hint="eastAsia" w:ascii="宋体" w:hAnsi="宋体" w:eastAsia="宋体" w:cs="宋体"/>
          <w:color w:val="auto"/>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5</w:t>
      </w:r>
      <w:r>
        <w:rPr>
          <w:rFonts w:hint="eastAsia" w:ascii="宋体" w:hAnsi="宋体" w:eastAsia="宋体" w:cs="宋体"/>
          <w:color w:val="auto"/>
          <w:spacing w:val="-6"/>
          <w:szCs w:val="21"/>
          <w:highlight w:val="none"/>
        </w:rPr>
        <w:t>）</w:t>
      </w:r>
      <w:r>
        <w:rPr>
          <w:rFonts w:hint="eastAsia" w:ascii="宋体" w:hAnsi="宋体" w:eastAsia="宋体" w:cs="宋体"/>
          <w:color w:val="auto"/>
          <w:szCs w:val="21"/>
          <w:highlight w:val="none"/>
        </w:rPr>
        <w:t>货物配置清单</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w:t>
      </w:r>
      <w:r>
        <w:rPr>
          <w:rFonts w:ascii="宋体" w:hAnsi="宋体" w:eastAsia="宋体" w:cs="宋体"/>
          <w:color w:val="auto"/>
          <w:spacing w:val="-6"/>
          <w:szCs w:val="21"/>
          <w:highlight w:val="none"/>
        </w:rPr>
        <w:t>6</w:t>
      </w:r>
      <w:r>
        <w:rPr>
          <w:rFonts w:hint="eastAsia" w:ascii="宋体" w:hAnsi="宋体" w:eastAsia="宋体" w:cs="宋体"/>
          <w:color w:val="auto"/>
          <w:spacing w:val="-6"/>
          <w:szCs w:val="21"/>
          <w:highlight w:val="none"/>
        </w:rPr>
        <w:t>）技术方案</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7</w:t>
      </w:r>
      <w:r>
        <w:rPr>
          <w:rFonts w:hint="eastAsia" w:ascii="宋体" w:hAnsi="宋体" w:eastAsia="宋体" w:cs="Times New Roman"/>
          <w:color w:val="auto"/>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（9</w:t>
      </w:r>
      <w:r>
        <w:rPr>
          <w:rFonts w:ascii="宋体" w:hAnsi="宋体" w:eastAsia="宋体" w:cs="宋体"/>
          <w:color w:val="auto"/>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color w:val="auto"/>
          <w:spacing w:val="-6"/>
          <w:szCs w:val="21"/>
          <w:highlight w:val="none"/>
        </w:rPr>
      </w:pPr>
    </w:p>
    <w:p>
      <w:pPr>
        <w:adjustRightInd w:val="0"/>
        <w:snapToGrid w:val="0"/>
        <w:spacing w:line="288" w:lineRule="auto"/>
        <w:ind w:firstLine="398" w:firstLineChars="200"/>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w:t>
      </w:r>
      <w:r>
        <w:rPr>
          <w:rFonts w:hint="eastAsia" w:ascii="宋体" w:hAnsi="宋体" w:eastAsia="宋体" w:cs="Times New Roman"/>
          <w:b/>
          <w:color w:val="auto"/>
          <w:spacing w:val="-6"/>
          <w:szCs w:val="21"/>
          <w:highlight w:val="none"/>
        </w:rPr>
        <w:t>报价文件</w:t>
      </w:r>
      <w:r>
        <w:rPr>
          <w:rFonts w:hint="eastAsia" w:ascii="宋体" w:hAnsi="宋体" w:eastAsia="宋体" w:cs="Times New Roman"/>
          <w:b/>
          <w:bCs/>
          <w:color w:val="auto"/>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（1）开标一览表</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2</w:t>
      </w:r>
      <w:r>
        <w:rPr>
          <w:rFonts w:hint="eastAsia" w:ascii="宋体" w:hAnsi="宋体" w:eastAsia="宋体" w:cs="Times New Roman"/>
          <w:color w:val="auto"/>
          <w:spacing w:val="-6"/>
          <w:szCs w:val="21"/>
          <w:highlight w:val="none"/>
        </w:rPr>
        <w:t>）中小企业声明函</w:t>
      </w:r>
      <w:bookmarkStart w:id="58" w:name="_Hlk81815656"/>
      <w:r>
        <w:rPr>
          <w:rFonts w:hint="eastAsia" w:ascii="宋体" w:hAnsi="宋体" w:eastAsia="宋体" w:cs="Times New Roman"/>
          <w:color w:val="auto"/>
          <w:spacing w:val="-6"/>
          <w:szCs w:val="21"/>
          <w:highlight w:val="none"/>
        </w:rPr>
        <w:t>（若属于中小企业）</w:t>
      </w:r>
      <w:bookmarkEnd w:id="58"/>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3</w:t>
      </w:r>
      <w:r>
        <w:rPr>
          <w:rFonts w:hint="eastAsia" w:ascii="宋体" w:hAnsi="宋体" w:eastAsia="宋体" w:cs="Times New Roman"/>
          <w:color w:val="auto"/>
          <w:spacing w:val="-6"/>
          <w:szCs w:val="21"/>
          <w:highlight w:val="none"/>
        </w:rPr>
        <w:t>）属于监狱企业的证明文件</w:t>
      </w:r>
      <w:bookmarkStart w:id="59" w:name="_Hlk81815359"/>
      <w:r>
        <w:rPr>
          <w:rFonts w:hint="eastAsia" w:ascii="宋体" w:hAnsi="宋体" w:eastAsia="宋体" w:cs="Times New Roman"/>
          <w:color w:val="auto"/>
          <w:spacing w:val="-6"/>
          <w:szCs w:val="21"/>
          <w:highlight w:val="none"/>
        </w:rPr>
        <w:t>（若属于监狱企业）</w:t>
      </w:r>
      <w:bookmarkEnd w:id="59"/>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w:t>
      </w:r>
      <w:r>
        <w:rPr>
          <w:rFonts w:ascii="宋体" w:hAnsi="宋体" w:eastAsia="宋体" w:cs="Times New Roman"/>
          <w:color w:val="auto"/>
          <w:spacing w:val="-6"/>
          <w:szCs w:val="21"/>
          <w:highlight w:val="none"/>
        </w:rPr>
        <w:t>4</w:t>
      </w:r>
      <w:r>
        <w:rPr>
          <w:rFonts w:hint="eastAsia" w:ascii="宋体" w:hAnsi="宋体" w:eastAsia="宋体" w:cs="Times New Roman"/>
          <w:color w:val="auto"/>
          <w:spacing w:val="-6"/>
          <w:szCs w:val="21"/>
          <w:highlight w:val="none"/>
        </w:rPr>
        <w:t>）</w:t>
      </w:r>
      <w:bookmarkStart w:id="60" w:name="OLE_LINK13"/>
      <w:bookmarkStart w:id="61" w:name="OLE_LINK14"/>
      <w:r>
        <w:rPr>
          <w:rFonts w:hint="eastAsia" w:ascii="宋体" w:hAnsi="宋体" w:eastAsia="宋体" w:cs="Times New Roman"/>
          <w:color w:val="auto"/>
          <w:spacing w:val="-6"/>
          <w:szCs w:val="21"/>
          <w:highlight w:val="none"/>
        </w:rPr>
        <w:t>残疾人福利性单位声明函</w:t>
      </w:r>
      <w:bookmarkEnd w:id="60"/>
      <w:bookmarkEnd w:id="61"/>
      <w:bookmarkStart w:id="62" w:name="_Hlk81815372"/>
      <w:r>
        <w:rPr>
          <w:rFonts w:hint="eastAsia" w:ascii="宋体" w:hAnsi="宋体" w:eastAsia="宋体" w:cs="Times New Roman"/>
          <w:color w:val="auto"/>
          <w:spacing w:val="-6"/>
          <w:szCs w:val="21"/>
          <w:highlight w:val="none"/>
        </w:rPr>
        <w:t>（若属于残疾人福利性单位）</w:t>
      </w:r>
      <w:bookmarkEnd w:id="62"/>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tabs>
          <w:tab w:val="center" w:pos="4706"/>
        </w:tabs>
        <w:adjustRightInd w:val="0"/>
        <w:snapToGrid w:val="0"/>
        <w:spacing w:line="288" w:lineRule="auto"/>
        <w:jc w:val="center"/>
        <w:outlineLvl w:val="2"/>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序号</w:t>
            </w:r>
          </w:p>
        </w:tc>
        <w:tc>
          <w:tcPr>
            <w:tcW w:w="2091"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评审因素</w:t>
            </w:r>
          </w:p>
        </w:tc>
        <w:tc>
          <w:tcPr>
            <w:tcW w:w="709" w:type="dxa"/>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color w:val="auto"/>
                <w:spacing w:val="-6"/>
                <w:kern w:val="0"/>
                <w:szCs w:val="21"/>
                <w:highlight w:val="none"/>
              </w:rPr>
            </w:pPr>
            <w:r>
              <w:rPr>
                <w:rFonts w:ascii="宋体" w:hAnsi="宋体" w:eastAsia="宋体" w:cs="Times New Roman"/>
                <w:b/>
                <w:color w:val="auto"/>
                <w:spacing w:val="-6"/>
                <w:kern w:val="0"/>
                <w:szCs w:val="21"/>
                <w:highlight w:val="none"/>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kern w:val="0"/>
                <w:szCs w:val="21"/>
                <w:highlight w:val="none"/>
              </w:rPr>
            </w:pPr>
          </w:p>
        </w:tc>
        <w:tc>
          <w:tcPr>
            <w:tcW w:w="3040" w:type="dxa"/>
            <w:vAlign w:val="center"/>
          </w:tcPr>
          <w:p>
            <w:pPr>
              <w:adjustRightInd w:val="0"/>
              <w:snapToGrid w:val="0"/>
              <w:spacing w:line="288" w:lineRule="auto"/>
              <w:rPr>
                <w:rFonts w:ascii="宋体" w:hAnsi="宋体" w:eastAsia="宋体" w:cs="Times New Roman"/>
                <w:color w:val="auto"/>
                <w:kern w:val="0"/>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zCs w:val="21"/>
                <w:highlight w:val="none"/>
              </w:rPr>
            </w:pPr>
          </w:p>
        </w:tc>
        <w:tc>
          <w:tcPr>
            <w:tcW w:w="881" w:type="dxa"/>
          </w:tcPr>
          <w:p>
            <w:pPr>
              <w:adjustRightInd w:val="0"/>
              <w:snapToGrid w:val="0"/>
              <w:spacing w:line="288" w:lineRule="auto"/>
              <w:jc w:val="center"/>
              <w:rPr>
                <w:rFonts w:ascii="宋体" w:hAnsi="宋体" w:eastAsia="宋体" w:cs="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技术</w:t>
            </w:r>
            <w:r>
              <w:rPr>
                <w:rFonts w:ascii="宋体" w:hAnsi="宋体" w:eastAsia="宋体" w:cs="Times New Roman"/>
                <w:b/>
                <w:color w:val="auto"/>
                <w:spacing w:val="-6"/>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2091"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709"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3040" w:type="dxa"/>
            <w:vAlign w:val="center"/>
          </w:tcPr>
          <w:p>
            <w:pPr>
              <w:adjustRightInd w:val="0"/>
              <w:snapToGrid w:val="0"/>
              <w:spacing w:line="288" w:lineRule="auto"/>
              <w:rPr>
                <w:rFonts w:ascii="宋体" w:hAnsi="宋体" w:eastAsia="宋体" w:cs="Times New Roman"/>
                <w:color w:val="auto"/>
                <w:spacing w:val="-6"/>
                <w:szCs w:val="21"/>
                <w:highlight w:val="none"/>
              </w:rPr>
            </w:pPr>
          </w:p>
        </w:tc>
        <w:tc>
          <w:tcPr>
            <w:tcW w:w="967"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1053" w:type="dxa"/>
            <w:vAlign w:val="center"/>
          </w:tcPr>
          <w:p>
            <w:pPr>
              <w:adjustRightInd w:val="0"/>
              <w:snapToGrid w:val="0"/>
              <w:spacing w:line="288" w:lineRule="auto"/>
              <w:jc w:val="center"/>
              <w:rPr>
                <w:rFonts w:ascii="宋体" w:hAnsi="宋体" w:eastAsia="宋体" w:cs="Times New Roman"/>
                <w:color w:val="auto"/>
                <w:spacing w:val="-6"/>
                <w:szCs w:val="21"/>
                <w:highlight w:val="none"/>
              </w:rPr>
            </w:pPr>
          </w:p>
        </w:tc>
        <w:tc>
          <w:tcPr>
            <w:tcW w:w="881" w:type="dxa"/>
          </w:tcPr>
          <w:p>
            <w:pPr>
              <w:adjustRightInd w:val="0"/>
              <w:snapToGrid w:val="0"/>
              <w:spacing w:line="288" w:lineRule="auto"/>
              <w:jc w:val="center"/>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widowControl/>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备注：本表仅为方便评标委员会评审使用，不作为判别投标文件是否有效的依据。</w:t>
      </w:r>
    </w:p>
    <w:p>
      <w:pPr>
        <w:widowControl/>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资格文件</w:t>
      </w: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 w:val="24"/>
          <w:szCs w:val="24"/>
          <w:highlight w:val="none"/>
        </w:rPr>
      </w:pP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资格审查要求的资格证明材料（均需加盖公章）</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）有效的法人或者其他组织的营业执照等证明文件，自然人的身份证明</w:t>
      </w:r>
      <w:r>
        <w:rPr>
          <w:rFonts w:hint="eastAsia" w:ascii="宋体" w:hAnsi="宋体" w:eastAsia="宋体" w:cs="Times New Roman"/>
          <w:b/>
          <w:color w:val="auto"/>
          <w:spacing w:val="-6"/>
          <w:szCs w:val="21"/>
          <w:highlight w:val="none"/>
        </w:rPr>
        <w:t>（扫描件）</w:t>
      </w:r>
    </w:p>
    <w:p>
      <w:pPr>
        <w:adjustRightInd w:val="0"/>
        <w:snapToGrid w:val="0"/>
        <w:spacing w:line="288" w:lineRule="auto"/>
        <w:rPr>
          <w:rFonts w:ascii="宋体" w:hAnsi="宋体" w:eastAsia="宋体" w:cs="Times New Roman"/>
          <w:bCs/>
          <w:color w:val="auto"/>
          <w:spacing w:val="-6"/>
          <w:szCs w:val="21"/>
          <w:highlight w:val="none"/>
        </w:rPr>
      </w:pP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说明</w:t>
      </w:r>
      <w:r>
        <w:rPr>
          <w:rFonts w:ascii="宋体" w:hAnsi="宋体" w:eastAsia="宋体" w:cs="Times New Roman"/>
          <w:bCs/>
          <w:color w:val="auto"/>
          <w:spacing w:val="-6"/>
          <w:szCs w:val="21"/>
          <w:highlight w:val="none"/>
        </w:rPr>
        <w:t>：</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1</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2</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3</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4</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5</w:t>
      </w:r>
      <w:r>
        <w:rPr>
          <w:rFonts w:ascii="宋体" w:hAnsi="宋体" w:eastAsia="宋体" w:cs="Times New Roman"/>
          <w:bCs/>
          <w:color w:val="auto"/>
          <w:spacing w:val="-6"/>
          <w:szCs w:val="21"/>
          <w:highlight w:val="none"/>
        </w:rPr>
        <w:t>.</w:t>
      </w:r>
      <w:r>
        <w:rPr>
          <w:rFonts w:hint="eastAsia" w:ascii="宋体" w:hAnsi="宋体" w:eastAsia="宋体" w:cs="Times New Roman"/>
          <w:bCs/>
          <w:color w:val="auto"/>
          <w:spacing w:val="-6"/>
          <w:szCs w:val="21"/>
          <w:highlight w:val="none"/>
        </w:rPr>
        <w:t>如投标人是自然人，提供有效的自然人身份证明。</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ascii="宋体" w:hAnsi="宋体" w:eastAsia="宋体" w:cs="Times New Roman"/>
          <w:bCs/>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2）符合参加政府采购活动应当具备的一般条件的承诺函</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w:t>
      </w:r>
      <w:r>
        <w:rPr>
          <w:rFonts w:hint="eastAsia" w:ascii="宋体" w:hAnsi="宋体" w:eastAsia="宋体" w:cs="Times New Roman"/>
          <w:color w:val="auto"/>
          <w:spacing w:val="-6"/>
          <w:szCs w:val="21"/>
          <w:highlight w:val="none"/>
          <w:u w:val="single"/>
        </w:rPr>
        <w:t xml:space="preserve">（投标人名称）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参加</w:t>
      </w:r>
      <w:r>
        <w:rPr>
          <w:rFonts w:hint="eastAsia" w:ascii="宋体" w:hAnsi="宋体" w:eastAsia="宋体" w:cs="Times New Roman"/>
          <w:color w:val="auto"/>
          <w:spacing w:val="-6"/>
          <w:szCs w:val="21"/>
          <w:highlight w:val="none"/>
          <w:u w:val="single"/>
        </w:rPr>
        <w:t xml:space="preserve">（项目名称）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项目的采购活动并承诺如下：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（一）具有独立承担民事责任的能力；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（二）具有良好的商业信誉和健全的财务会计制度；</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（三）具有履行合同所必需的设备和专业技术能力；</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（四）有依法缴纳税收和社会保障资金的良好记录；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（五）参加本项目政府采购活动前三年内，在经营活动中</w:t>
      </w:r>
      <w:r>
        <w:rPr>
          <w:rFonts w:hint="eastAsia" w:ascii="宋体" w:hAnsi="宋体" w:eastAsia="宋体" w:cs="Times New Roman"/>
          <w:b/>
          <w:color w:val="auto"/>
          <w:spacing w:val="-6"/>
          <w:szCs w:val="21"/>
          <w:highlight w:val="none"/>
          <w:u w:val="single"/>
        </w:rPr>
        <w:t xml:space="preserve">  没有  </w:t>
      </w:r>
      <w:r>
        <w:rPr>
          <w:rFonts w:hint="eastAsia" w:ascii="宋体" w:hAnsi="宋体" w:eastAsia="宋体" w:cs="Times New Roman"/>
          <w:color w:val="auto"/>
          <w:spacing w:val="-6"/>
          <w:szCs w:val="21"/>
          <w:highlight w:val="none"/>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（六）法律、行政法规规定的其他条件。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二、未被信用中国（www.creditchina.gov.cn）</w:t>
      </w:r>
      <w:r>
        <w:rPr>
          <w:rFonts w:ascii="宋体" w:hAnsi="宋体" w:eastAsia="宋体" w:cs="Times New Roman"/>
          <w:color w:val="auto"/>
          <w:spacing w:val="-6"/>
          <w:szCs w:val="21"/>
          <w:highlight w:val="none"/>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三、不存在以下情况：</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四、</w:t>
      </w:r>
      <w:r>
        <w:rPr>
          <w:rFonts w:ascii="宋体" w:hAnsi="宋体" w:eastAsia="宋体" w:cs="Times New Roman"/>
          <w:color w:val="auto"/>
          <w:spacing w:val="-6"/>
          <w:szCs w:val="21"/>
          <w:highlight w:val="none"/>
        </w:rPr>
        <w:t>以上事项如有虚假或隐瞒，我方愿意承担一切后果和责任。</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3）落实政府采购政策需满足的资格要求：无</w:t>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）本项目的特定资格要求证明材料：无</w:t>
      </w:r>
    </w:p>
    <w:p>
      <w:pPr>
        <w:adjustRightInd w:val="0"/>
        <w:snapToGrid w:val="0"/>
        <w:spacing w:line="288" w:lineRule="auto"/>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Cs/>
          <w:color w:val="auto"/>
          <w:spacing w:val="-6"/>
          <w:sz w:val="84"/>
          <w:szCs w:val="84"/>
          <w:highlight w:val="none"/>
        </w:rPr>
      </w:pPr>
      <w:r>
        <w:rPr>
          <w:rFonts w:hint="eastAsia" w:ascii="宋体" w:hAnsi="宋体" w:eastAsia="宋体" w:cs="Times New Roman"/>
          <w:b/>
          <w:color w:val="auto"/>
          <w:spacing w:val="-6"/>
          <w:sz w:val="84"/>
          <w:szCs w:val="84"/>
          <w:highlight w:val="none"/>
        </w:rPr>
        <w:t>商务和技术文件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（1）投标函</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我方参加</w:t>
      </w:r>
      <w:r>
        <w:rPr>
          <w:rFonts w:hint="eastAsia" w:ascii="宋体" w:hAnsi="宋体" w:eastAsia="宋体" w:cs="Times New Roman"/>
          <w:bCs/>
          <w:color w:val="auto"/>
          <w:spacing w:val="-6"/>
          <w:szCs w:val="21"/>
          <w:highlight w:val="none"/>
          <w:u w:val="single"/>
        </w:rPr>
        <w:t>中国美术学院良渚校区1期2标段物联网门禁人员出入智能管控项目</w:t>
      </w:r>
      <w:r>
        <w:rPr>
          <w:rFonts w:hint="eastAsia" w:ascii="宋体" w:hAnsi="宋体" w:eastAsia="宋体" w:cs="Times New Roman"/>
          <w:color w:val="auto"/>
          <w:spacing w:val="-6"/>
          <w:szCs w:val="21"/>
          <w:highlight w:val="none"/>
          <w:u w:val="single"/>
        </w:rPr>
        <w:t>（项目编号</w:t>
      </w:r>
      <w:r>
        <w:rPr>
          <w:rFonts w:hint="eastAsia" w:ascii="宋体" w:hAnsi="宋体" w:eastAsia="宋体" w:cs="Times New Roman"/>
          <w:bCs/>
          <w:color w:val="auto"/>
          <w:spacing w:val="-6"/>
          <w:szCs w:val="21"/>
          <w:highlight w:val="none"/>
          <w:u w:val="single"/>
        </w:rPr>
        <w:t xml:space="preserve">：QSZB-Z(H)-C23487(GK) </w:t>
      </w:r>
      <w:r>
        <w:rPr>
          <w:rFonts w:hint="eastAsia" w:ascii="宋体" w:hAnsi="宋体" w:eastAsia="宋体" w:cs="Times New Roman"/>
          <w:color w:val="auto"/>
          <w:spacing w:val="-6"/>
          <w:szCs w:val="21"/>
          <w:highlight w:val="none"/>
          <w:u w:val="single"/>
        </w:rPr>
        <w:t>）</w:t>
      </w:r>
      <w:r>
        <w:rPr>
          <w:rFonts w:hint="eastAsia" w:ascii="宋体" w:hAnsi="宋体" w:eastAsia="宋体" w:cs="Times New Roman"/>
          <w:color w:val="auto"/>
          <w:spacing w:val="-6"/>
          <w:szCs w:val="21"/>
          <w:highlight w:val="none"/>
        </w:rPr>
        <w:t>项目，为此，我方提交电子加密投标文件一份、以介质（U盘）存储的数据电文形式的</w:t>
      </w:r>
      <w:r>
        <w:rPr>
          <w:rFonts w:hint="eastAsia" w:ascii="宋体" w:hAnsi="宋体" w:eastAsia="宋体" w:cs="Times New Roman"/>
          <w:color w:val="auto"/>
          <w:spacing w:val="-6"/>
          <w:szCs w:val="21"/>
          <w:highlight w:val="none"/>
          <w:u w:val="single"/>
        </w:rPr>
        <w:t xml:space="preserve">备份投标文件 </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u w:val="single"/>
        </w:rPr>
        <w:t>份</w:t>
      </w:r>
      <w:r>
        <w:rPr>
          <w:rFonts w:hint="eastAsia" w:ascii="宋体" w:hAnsi="宋体" w:eastAsia="宋体" w:cs="Times New Roman"/>
          <w:color w:val="auto"/>
          <w:spacing w:val="-6"/>
          <w:szCs w:val="21"/>
          <w:highlight w:val="none"/>
        </w:rPr>
        <w:t>。宣布同意如下：</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1</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2</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3</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投标有效期自提交投标文件的截止之日起</w:t>
      </w:r>
      <w:r>
        <w:rPr>
          <w:rFonts w:hint="eastAsia" w:ascii="宋体" w:hAnsi="宋体" w:eastAsia="宋体" w:cs="Times New Roman"/>
          <w:bCs/>
          <w:color w:val="auto"/>
          <w:spacing w:val="-6"/>
          <w:szCs w:val="21"/>
          <w:highlight w:val="none"/>
          <w:u w:val="single"/>
        </w:rPr>
        <w:t xml:space="preserve"> 90</w:t>
      </w:r>
      <w:r>
        <w:rPr>
          <w:rFonts w:ascii="宋体" w:hAnsi="宋体" w:eastAsia="宋体" w:cs="Times New Roman"/>
          <w:bCs/>
          <w:color w:val="auto"/>
          <w:spacing w:val="-6"/>
          <w:szCs w:val="21"/>
          <w:highlight w:val="none"/>
          <w:u w:val="single"/>
        </w:rPr>
        <w:t xml:space="preserve"> </w:t>
      </w:r>
      <w:r>
        <w:rPr>
          <w:rFonts w:hint="eastAsia" w:ascii="宋体" w:hAnsi="宋体" w:eastAsia="宋体" w:cs="Times New Roman"/>
          <w:color w:val="auto"/>
          <w:spacing w:val="-6"/>
          <w:szCs w:val="21"/>
          <w:highlight w:val="none"/>
        </w:rPr>
        <w:t>天。</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4</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5</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6</w:t>
      </w:r>
      <w:r>
        <w:rPr>
          <w:rFonts w:ascii="宋体" w:hAnsi="宋体" w:eastAsia="宋体" w:cs="Times New Roman"/>
          <w:color w:val="auto"/>
          <w:spacing w:val="-6"/>
          <w:szCs w:val="21"/>
          <w:highlight w:val="none"/>
        </w:rPr>
        <w:t>.</w:t>
      </w:r>
      <w:r>
        <w:rPr>
          <w:rFonts w:hint="eastAsia" w:ascii="宋体" w:hAnsi="宋体" w:eastAsia="宋体" w:cs="Times New Roman"/>
          <w:color w:val="auto"/>
          <w:spacing w:val="-6"/>
          <w:szCs w:val="21"/>
          <w:highlight w:val="none"/>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联系人：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职务：</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手机：</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电子邮箱：</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地址：</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开户银行：</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银行账号：</w:t>
            </w:r>
          </w:p>
        </w:tc>
        <w:tc>
          <w:tcPr>
            <w:tcW w:w="6808" w:type="dxa"/>
          </w:tcPr>
          <w:p>
            <w:pPr>
              <w:adjustRightInd w:val="0"/>
              <w:snapToGrid w:val="0"/>
              <w:spacing w:line="288" w:lineRule="auto"/>
              <w:rPr>
                <w:rFonts w:ascii="宋体" w:hAnsi="宋体" w:eastAsia="宋体" w:cs="Times New Roman"/>
                <w:color w:val="auto"/>
                <w:spacing w:val="-6"/>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widowControl/>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ind w:firstLine="498" w:firstLineChars="236"/>
        <w:jc w:val="center"/>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w:t>
      </w:r>
      <w:r>
        <w:rPr>
          <w:rFonts w:ascii="宋体" w:hAnsi="宋体" w:eastAsia="宋体" w:cs="Times New Roman"/>
          <w:b/>
          <w:bCs/>
          <w:color w:val="auto"/>
          <w:szCs w:val="21"/>
          <w:highlight w:val="none"/>
        </w:rPr>
        <w:t>2</w:t>
      </w:r>
      <w:r>
        <w:rPr>
          <w:rFonts w:hint="eastAsia" w:ascii="宋体" w:hAnsi="宋体" w:eastAsia="宋体" w:cs="Times New Roman"/>
          <w:b/>
          <w:bCs/>
          <w:color w:val="auto"/>
          <w:szCs w:val="21"/>
          <w:highlight w:val="none"/>
        </w:rPr>
        <w:t>）授权委托书</w:t>
      </w:r>
    </w:p>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致：中国美术学院、浙江求是招标代理有限公司</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现授权委托：</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（授权代表姓名）（身份证号码：</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，手机：</w:t>
      </w:r>
      <w:r>
        <w:rPr>
          <w:rFonts w:ascii="宋体" w:hAnsi="宋体" w:eastAsia="宋体" w:cs="Times New Roman"/>
          <w:color w:val="auto"/>
          <w:spacing w:val="-6"/>
          <w:szCs w:val="21"/>
          <w:highlight w:val="none"/>
          <w:u w:val="single"/>
        </w:rPr>
        <w:t xml:space="preserve">            </w:t>
      </w:r>
      <w:r>
        <w:rPr>
          <w:rFonts w:hint="eastAsia" w:ascii="宋体" w:hAnsi="宋体" w:eastAsia="宋体" w:cs="Times New Roman"/>
          <w:color w:val="auto"/>
          <w:spacing w:val="-6"/>
          <w:szCs w:val="21"/>
          <w:highlight w:val="none"/>
        </w:rPr>
        <w:t>）以我方的名义参加</w:t>
      </w:r>
      <w:r>
        <w:rPr>
          <w:rFonts w:hint="eastAsia" w:ascii="宋体" w:hAnsi="宋体" w:eastAsia="宋体" w:cs="Times New Roman"/>
          <w:bCs/>
          <w:color w:val="auto"/>
          <w:spacing w:val="-6"/>
          <w:szCs w:val="21"/>
          <w:highlight w:val="none"/>
        </w:rPr>
        <w:t>中国美术学院良渚校区1期2标段物联网门禁人员出入智能管控项目项目（项目编号：QSZB-Z(H)-C23487(GK) ）</w:t>
      </w:r>
      <w:r>
        <w:rPr>
          <w:rFonts w:hint="eastAsia" w:ascii="宋体" w:hAnsi="宋体" w:eastAsia="宋体" w:cs="Times New Roman"/>
          <w:color w:val="auto"/>
          <w:spacing w:val="-6"/>
          <w:szCs w:val="21"/>
          <w:highlight w:val="none"/>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我方对被授权人的签名负全部责任。</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被授权人无转委托权，特此告知。</w:t>
      </w:r>
    </w:p>
    <w:p>
      <w:pPr>
        <w:adjustRightInd w:val="0"/>
        <w:snapToGrid w:val="0"/>
        <w:spacing w:line="288" w:lineRule="auto"/>
        <w:ind w:firstLine="368" w:firstLineChars="186"/>
        <w:rPr>
          <w:rFonts w:ascii="宋体" w:hAnsi="宋体" w:eastAsia="宋体" w:cs="Times New Roman"/>
          <w:color w:val="auto"/>
          <w:spacing w:val="-6"/>
          <w:szCs w:val="21"/>
          <w:highlight w:val="none"/>
          <w:u w:val="single"/>
        </w:rPr>
      </w:pPr>
      <w:r>
        <w:rPr>
          <w:rFonts w:hint="eastAsia" w:ascii="宋体" w:hAnsi="宋体" w:eastAsia="宋体" w:cs="Times New Roman"/>
          <w:color w:val="auto"/>
          <w:spacing w:val="-6"/>
          <w:szCs w:val="21"/>
          <w:highlight w:val="none"/>
          <w:u w:val="single"/>
        </w:rPr>
        <w:t>▲提供授权代表社保缴纳证明（2022年12月（含）以后任意一月）。</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2、投标人是联合体的，联合体各成员均应在“授权委托书”上盖章（电子签名</w:t>
      </w:r>
      <w:r>
        <w:rPr>
          <w:rFonts w:ascii="宋体" w:hAnsi="宋体" w:eastAsia="宋体" w:cs="Times New Roman"/>
          <w:color w:val="auto"/>
          <w:szCs w:val="21"/>
          <w:highlight w:val="none"/>
        </w:rPr>
        <w:t>/公章）</w:t>
      </w:r>
      <w:r>
        <w:rPr>
          <w:rFonts w:hint="eastAsia" w:ascii="宋体" w:hAnsi="宋体" w:eastAsia="宋体" w:cs="Times New Roman"/>
          <w:color w:val="auto"/>
          <w:szCs w:val="21"/>
          <w:highlight w:val="none"/>
        </w:rPr>
        <w:t>。</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jc w:val="center"/>
        <w:outlineLvl w:val="2"/>
        <w:rPr>
          <w:rFonts w:ascii="宋体" w:hAnsi="宋体" w:eastAsia="宋体" w:cs="Times New Roman"/>
          <w:b/>
          <w:bCs/>
          <w:color w:val="auto"/>
          <w:spacing w:val="-6"/>
          <w:szCs w:val="21"/>
          <w:highlight w:val="none"/>
        </w:rPr>
      </w:pPr>
      <w:r>
        <w:rPr>
          <w:rFonts w:hint="eastAsia" w:ascii="宋体" w:hAnsi="宋体" w:eastAsia="宋体" w:cs="Times New Roman"/>
          <w:b/>
          <w:bCs/>
          <w:color w:val="auto"/>
          <w:szCs w:val="21"/>
          <w:highlight w:val="none"/>
        </w:rPr>
        <w:t>（2）法定代表人（单位负责人、自然人本人）</w:t>
      </w:r>
      <w:r>
        <w:rPr>
          <w:rFonts w:hint="eastAsia" w:ascii="宋体" w:hAnsi="宋体" w:eastAsia="宋体" w:cs="Times New Roman"/>
          <w:b/>
          <w:bCs/>
          <w:color w:val="auto"/>
          <w:spacing w:val="-6"/>
          <w:szCs w:val="21"/>
          <w:highlight w:val="none"/>
        </w:rPr>
        <w:t>身份证明</w:t>
      </w:r>
    </w:p>
    <w:p>
      <w:pPr>
        <w:adjustRightInd w:val="0"/>
        <w:snapToGrid w:val="0"/>
        <w:spacing w:line="288" w:lineRule="auto"/>
        <w:ind w:firstLine="495" w:firstLineChars="236"/>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（适用于：法定代表人（单位负责人、自然人本人）</w:t>
      </w:r>
      <w:r>
        <w:rPr>
          <w:rFonts w:hint="eastAsia" w:ascii="宋体" w:hAnsi="宋体" w:eastAsia="宋体" w:cs="Times New Roman"/>
          <w:color w:val="auto"/>
          <w:spacing w:val="-6"/>
          <w:szCs w:val="21"/>
          <w:highlight w:val="none"/>
        </w:rPr>
        <w:t>代表投标人参加投标</w:t>
      </w:r>
      <w:r>
        <w:rPr>
          <w:rFonts w:hint="eastAsia" w:ascii="宋体" w:hAnsi="宋体" w:eastAsia="宋体" w:cs="Times New Roman"/>
          <w:color w:val="auto"/>
          <w:szCs w:val="21"/>
          <w:highlight w:val="none"/>
        </w:rPr>
        <w:t>）</w:t>
      </w:r>
    </w:p>
    <w:p>
      <w:pPr>
        <w:adjustRightInd w:val="0"/>
        <w:snapToGrid w:val="0"/>
        <w:spacing w:line="288" w:lineRule="auto"/>
        <w:jc w:val="left"/>
        <w:rPr>
          <w:rFonts w:ascii="宋体" w:hAnsi="宋体" w:eastAsia="宋体" w:cs="Times New Roman"/>
          <w:color w:val="auto"/>
          <w:szCs w:val="21"/>
          <w:highlight w:val="none"/>
        </w:rPr>
      </w:pPr>
      <w:r>
        <w:rPr>
          <w:rFonts w:hint="eastAsia" w:ascii="宋体" w:hAnsi="宋体" w:eastAsia="宋体" w:cs="宋体"/>
          <w:bCs/>
          <w:color w:val="auto"/>
          <w:szCs w:val="21"/>
          <w:highlight w:val="none"/>
        </w:rPr>
        <w:t>身份证件复印件</w:t>
      </w:r>
    </w:p>
    <w:tbl>
      <w:tblPr>
        <w:tblStyle w:val="1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正面：</w:t>
            </w:r>
          </w:p>
        </w:tc>
        <w:tc>
          <w:tcPr>
            <w:tcW w:w="4951" w:type="dxa"/>
          </w:tcPr>
          <w:p>
            <w:pPr>
              <w:adjustRightInd w:val="0"/>
              <w:snapToGrid w:val="0"/>
              <w:spacing w:line="288" w:lineRule="auto"/>
              <w:rPr>
                <w:rFonts w:ascii="宋体" w:hAnsi="宋体" w:eastAsia="宋体" w:cs="宋体"/>
                <w:bCs/>
                <w:color w:val="auto"/>
                <w:szCs w:val="21"/>
                <w:highlight w:val="none"/>
              </w:rPr>
            </w:pPr>
            <w:r>
              <w:rPr>
                <w:rFonts w:hint="eastAsia" w:ascii="宋体" w:hAnsi="宋体" w:eastAsia="宋体" w:cs="宋体"/>
                <w:bCs/>
                <w:color w:val="auto"/>
                <w:szCs w:val="21"/>
                <w:highlight w:val="none"/>
              </w:rPr>
              <w:t>反面：</w:t>
            </w:r>
          </w:p>
        </w:tc>
      </w:tr>
    </w:tbl>
    <w:p>
      <w:pPr>
        <w:adjustRightInd w:val="0"/>
        <w:snapToGrid w:val="0"/>
        <w:spacing w:line="288" w:lineRule="auto"/>
        <w:rPr>
          <w:rFonts w:ascii="Times New Roman" w:hAnsi="Times New Roman" w:eastAsia="宋体" w:cs="Times New Roman"/>
          <w:color w:val="auto"/>
          <w:szCs w:val="21"/>
          <w:highlight w:val="none"/>
        </w:rPr>
      </w:pPr>
    </w:p>
    <w:p>
      <w:pPr>
        <w:widowControl/>
        <w:jc w:val="left"/>
        <w:rPr>
          <w:rFonts w:ascii="Times New Roman" w:hAnsi="Times New Roman" w:eastAsia="宋体" w:cs="Times New Roman"/>
          <w:color w:val="auto"/>
          <w:szCs w:val="21"/>
          <w:highlight w:val="none"/>
        </w:rPr>
      </w:pPr>
      <w:r>
        <w:rPr>
          <w:rFonts w:ascii="Times New Roman" w:hAnsi="Times New Roman" w:eastAsia="宋体" w:cs="Times New Roman"/>
          <w:color w:val="auto"/>
          <w:szCs w:val="21"/>
          <w:highlight w:val="none"/>
        </w:rPr>
        <w:br w:type="page"/>
      </w:r>
    </w:p>
    <w:p>
      <w:pPr>
        <w:adjustRightInd w:val="0"/>
        <w:snapToGrid w:val="0"/>
        <w:spacing w:line="288" w:lineRule="auto"/>
        <w:jc w:val="left"/>
        <w:outlineLvl w:val="2"/>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附：授权代表社保缴纳证明（2022年12月（含）以后任意一月）</w:t>
      </w:r>
    </w:p>
    <w:p>
      <w:pPr>
        <w:rPr>
          <w:rFonts w:ascii="Times New Roman" w:hAnsi="Times New Roman" w:eastAsia="宋体" w:cs="Times New Roman"/>
          <w:color w:val="auto"/>
          <w:szCs w:val="21"/>
          <w:highlight w:val="none"/>
        </w:rPr>
      </w:pPr>
    </w:p>
    <w:p>
      <w:pPr>
        <w:adjustRightInd w:val="0"/>
        <w:snapToGrid w:val="0"/>
        <w:spacing w:line="288" w:lineRule="auto"/>
        <w:jc w:val="center"/>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合同金额</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采购人联系人</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color w:val="auto"/>
                <w:szCs w:val="21"/>
                <w:highlight w:val="none"/>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说明：</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1</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投标人须提供上述业绩合同扫描件；</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2</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所有合同扫描件应清晰，应能体现合同签订时间、双方签名盖章等内容；</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color w:val="auto"/>
          <w:spacing w:val="-6"/>
          <w:szCs w:val="21"/>
          <w:highlight w:val="none"/>
        </w:rPr>
        <w:t>3</w:t>
      </w:r>
      <w:r>
        <w:rPr>
          <w:rFonts w:ascii="宋体" w:hAnsi="宋体" w:eastAsia="宋体" w:cs="Times New Roman"/>
          <w:b/>
          <w:color w:val="auto"/>
          <w:spacing w:val="-6"/>
          <w:szCs w:val="21"/>
          <w:highlight w:val="none"/>
        </w:rPr>
        <w:t>.</w:t>
      </w:r>
      <w:r>
        <w:rPr>
          <w:rFonts w:hint="eastAsia" w:ascii="宋体" w:hAnsi="宋体" w:eastAsia="宋体" w:cs="Times New Roman"/>
          <w:b/>
          <w:color w:val="auto"/>
          <w:spacing w:val="-6"/>
          <w:szCs w:val="21"/>
          <w:highlight w:val="none"/>
        </w:rPr>
        <w:t>投标人应在不涉及商业秘密的前提下尽可能提供详细的合同扫描件内容。</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Times New Roman"/>
          <w:b/>
          <w:color w:val="auto"/>
          <w:szCs w:val="21"/>
          <w:highlight w:val="none"/>
        </w:rPr>
      </w:pPr>
      <w:r>
        <w:rPr>
          <w:rFonts w:hint="eastAsia" w:ascii="宋体" w:hAnsi="宋体" w:eastAsia="宋体" w:cs="Times New Roman"/>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）采购需求偏离表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项目名称：良渚校区1期2标段物联网门禁人员出入智能管控项目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 xml:space="preserve">项目编号：QSZB-Z(H)-C23487(GK)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jc w:val="left"/>
              <w:rPr>
                <w:rFonts w:ascii="宋体" w:hAnsi="宋体" w:eastAsia="宋体" w:cs="宋体"/>
                <w:color w:val="auto"/>
                <w:szCs w:val="21"/>
                <w:highlight w:val="none"/>
              </w:rPr>
            </w:pPr>
          </w:p>
        </w:tc>
        <w:tc>
          <w:tcPr>
            <w:tcW w:w="2574" w:type="dxa"/>
            <w:vAlign w:val="center"/>
          </w:tcPr>
          <w:p>
            <w:pPr>
              <w:adjustRightInd w:val="0"/>
              <w:snapToGrid w:val="0"/>
              <w:spacing w:line="288" w:lineRule="auto"/>
              <w:jc w:val="left"/>
              <w:rPr>
                <w:rFonts w:ascii="宋体" w:hAnsi="宋体" w:eastAsia="宋体" w:cs="宋体"/>
                <w:color w:val="auto"/>
                <w:szCs w:val="21"/>
                <w:highlight w:val="none"/>
              </w:rPr>
            </w:pPr>
          </w:p>
        </w:tc>
        <w:tc>
          <w:tcPr>
            <w:tcW w:w="2124" w:type="dxa"/>
            <w:vAlign w:val="center"/>
          </w:tcPr>
          <w:p>
            <w:pPr>
              <w:adjustRightInd w:val="0"/>
              <w:snapToGrid w:val="0"/>
              <w:spacing w:line="288" w:lineRule="auto"/>
              <w:jc w:val="left"/>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4254" w:type="dxa"/>
            <w:vAlign w:val="center"/>
          </w:tcPr>
          <w:p>
            <w:pPr>
              <w:adjustRightInd w:val="0"/>
              <w:snapToGrid w:val="0"/>
              <w:spacing w:line="288" w:lineRule="auto"/>
              <w:rPr>
                <w:rFonts w:ascii="宋体" w:hAnsi="宋体" w:eastAsia="宋体" w:cs="宋体"/>
                <w:color w:val="auto"/>
                <w:szCs w:val="21"/>
                <w:highlight w:val="none"/>
              </w:rPr>
            </w:pPr>
          </w:p>
        </w:tc>
        <w:tc>
          <w:tcPr>
            <w:tcW w:w="2574" w:type="dxa"/>
            <w:vAlign w:val="center"/>
          </w:tcPr>
          <w:p>
            <w:pPr>
              <w:adjustRightInd w:val="0"/>
              <w:snapToGrid w:val="0"/>
              <w:spacing w:line="288" w:lineRule="auto"/>
              <w:rPr>
                <w:rFonts w:ascii="宋体" w:hAnsi="宋体" w:eastAsia="宋体" w:cs="宋体"/>
                <w:color w:val="auto"/>
                <w:szCs w:val="21"/>
                <w:highlight w:val="none"/>
              </w:rPr>
            </w:pPr>
          </w:p>
        </w:tc>
        <w:tc>
          <w:tcPr>
            <w:tcW w:w="2124" w:type="dxa"/>
            <w:vAlign w:val="center"/>
          </w:tcPr>
          <w:p>
            <w:pPr>
              <w:adjustRightInd w:val="0"/>
              <w:snapToGrid w:val="0"/>
              <w:spacing w:line="288" w:lineRule="auto"/>
              <w:rPr>
                <w:rFonts w:ascii="宋体" w:hAnsi="宋体" w:eastAsia="宋体" w:cs="宋体"/>
                <w:color w:val="auto"/>
                <w:szCs w:val="21"/>
                <w:highlight w:val="none"/>
              </w:rPr>
            </w:pPr>
          </w:p>
        </w:tc>
      </w:tr>
    </w:tbl>
    <w:p>
      <w:pPr>
        <w:adjustRightInd w:val="0"/>
        <w:snapToGrid w:val="0"/>
        <w:spacing w:line="288" w:lineRule="auto"/>
        <w:rPr>
          <w:rFonts w:ascii="宋体" w:hAnsi="宋体" w:eastAsia="宋体" w:cs="Times New Roman"/>
          <w:b/>
          <w:bCs/>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1</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逐项按照招标文件要求填写响应规格；</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2</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color w:val="auto"/>
          <w:spacing w:val="-6"/>
          <w:szCs w:val="21"/>
          <w:highlight w:val="none"/>
        </w:rPr>
      </w:pPr>
      <w:r>
        <w:rPr>
          <w:rFonts w:hint="eastAsia" w:ascii="宋体" w:hAnsi="宋体" w:eastAsia="宋体" w:cs="Times New Roman"/>
          <w:b/>
          <w:bCs/>
          <w:color w:val="auto"/>
          <w:spacing w:val="-6"/>
          <w:szCs w:val="21"/>
          <w:highlight w:val="none"/>
        </w:rPr>
        <w:t>3</w:t>
      </w:r>
      <w:r>
        <w:rPr>
          <w:rFonts w:ascii="宋体" w:hAnsi="宋体" w:eastAsia="宋体" w:cs="Times New Roman"/>
          <w:b/>
          <w:bCs/>
          <w:color w:val="auto"/>
          <w:spacing w:val="-6"/>
          <w:szCs w:val="21"/>
          <w:highlight w:val="none"/>
        </w:rPr>
        <w:t>.</w:t>
      </w:r>
      <w:r>
        <w:rPr>
          <w:rFonts w:hint="eastAsia" w:ascii="宋体" w:hAnsi="宋体" w:eastAsia="宋体" w:cs="Times New Roman"/>
          <w:b/>
          <w:bCs/>
          <w:color w:val="auto"/>
          <w:spacing w:val="-6"/>
          <w:szCs w:val="21"/>
          <w:highlight w:val="none"/>
        </w:rPr>
        <w:t>如不填写或未如实填写</w:t>
      </w:r>
      <w:r>
        <w:rPr>
          <w:rFonts w:hint="eastAsia" w:ascii="宋体" w:hAnsi="宋体" w:eastAsia="宋体" w:cs="Times New Roman"/>
          <w:b/>
          <w:color w:val="auto"/>
          <w:spacing w:val="-6"/>
          <w:szCs w:val="21"/>
          <w:highlight w:val="none"/>
        </w:rPr>
        <w:t>，自行承担投标风险。</w:t>
      </w: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color w:val="auto"/>
          <w:spacing w:val="-6"/>
          <w:szCs w:val="21"/>
          <w:highlight w:val="none"/>
        </w:rPr>
        <w:br w:type="page"/>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5</w:t>
      </w:r>
      <w:r>
        <w:rPr>
          <w:rFonts w:hint="eastAsia" w:ascii="宋体" w:hAnsi="宋体" w:eastAsia="宋体" w:cs="宋体"/>
          <w:b/>
          <w:color w:val="auto"/>
          <w:spacing w:val="-6"/>
          <w:szCs w:val="21"/>
          <w:highlight w:val="none"/>
        </w:rPr>
        <w:t>）货物配置清单</w:t>
      </w:r>
      <w:r>
        <w:rPr>
          <w:rFonts w:hint="eastAsia" w:ascii="宋体" w:hAnsi="宋体" w:eastAsia="宋体" w:cs="宋体"/>
          <w:color w:val="auto"/>
          <w:spacing w:val="-6"/>
          <w:szCs w:val="21"/>
          <w:highlight w:val="none"/>
        </w:rPr>
        <w:t>（不含报价）</w:t>
      </w:r>
    </w:p>
    <w:p>
      <w:pPr>
        <w:adjustRightInd w:val="0"/>
        <w:snapToGrid w:val="0"/>
        <w:spacing w:line="288" w:lineRule="auto"/>
        <w:rPr>
          <w:rFonts w:ascii="宋体" w:hAnsi="宋体" w:eastAsia="宋体" w:cs="宋体"/>
          <w:color w:val="auto"/>
          <w:spacing w:val="-6"/>
          <w:szCs w:val="21"/>
          <w:highlight w:val="none"/>
        </w:rPr>
      </w:pP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utoSpaceDE w:val="0"/>
        <w:autoSpaceDN w:val="0"/>
        <w:adjustRightInd w:val="0"/>
        <w:snapToGrid w:val="0"/>
        <w:spacing w:line="288" w:lineRule="auto"/>
        <w:jc w:val="left"/>
        <w:rPr>
          <w:rFonts w:ascii="宋体" w:hAnsi="宋体" w:eastAsia="宋体" w:cs="宋体"/>
          <w:color w:val="auto"/>
          <w:spacing w:val="-6"/>
          <w:kern w:val="0"/>
          <w:szCs w:val="21"/>
          <w:highlight w:val="none"/>
        </w:rPr>
      </w:pPr>
    </w:p>
    <w:p>
      <w:pPr>
        <w:adjustRightInd w:val="0"/>
        <w:snapToGrid w:val="0"/>
        <w:spacing w:line="288" w:lineRule="auto"/>
        <w:rPr>
          <w:rFonts w:ascii="宋体" w:hAnsi="宋体" w:eastAsia="宋体" w:cs="宋体"/>
          <w:color w:val="auto"/>
          <w:szCs w:val="21"/>
          <w:highlight w:val="none"/>
        </w:rPr>
      </w:pPr>
    </w:p>
    <w:p>
      <w:pPr>
        <w:adjustRightInd w:val="0"/>
        <w:snapToGrid w:val="0"/>
        <w:spacing w:line="288" w:lineRule="auto"/>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附：产品技术支持材料</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br w:type="page"/>
      </w:r>
    </w:p>
    <w:p>
      <w:pPr>
        <w:adjustRightInd w:val="0"/>
        <w:snapToGrid w:val="0"/>
        <w:spacing w:line="288" w:lineRule="auto"/>
        <w:jc w:val="left"/>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6</w:t>
      </w:r>
      <w:r>
        <w:rPr>
          <w:rFonts w:hint="eastAsia" w:ascii="宋体" w:hAnsi="宋体" w:eastAsia="宋体" w:cs="宋体"/>
          <w:b/>
          <w:color w:val="auto"/>
          <w:spacing w:val="-6"/>
          <w:szCs w:val="21"/>
          <w:highlight w:val="none"/>
        </w:rPr>
        <w:t>）技术方案</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7</w:t>
      </w:r>
      <w:r>
        <w:rPr>
          <w:rFonts w:hint="eastAsia" w:ascii="宋体" w:hAnsi="宋体" w:eastAsia="宋体" w:cs="宋体"/>
          <w:b/>
          <w:color w:val="auto"/>
          <w:spacing w:val="-6"/>
          <w:szCs w:val="21"/>
          <w:highlight w:val="none"/>
        </w:rPr>
        <w:t>）节能环保产品证明材料</w:t>
      </w:r>
    </w:p>
    <w:p>
      <w:pPr>
        <w:adjustRightInd w:val="0"/>
        <w:snapToGrid w:val="0"/>
        <w:spacing w:line="288" w:lineRule="auto"/>
        <w:rPr>
          <w:rFonts w:ascii="宋体" w:hAnsi="宋体" w:eastAsia="宋体" w:cs="Times New Roman"/>
          <w:b/>
          <w:color w:val="auto"/>
          <w:szCs w:val="21"/>
          <w:highlight w:val="none"/>
        </w:rPr>
      </w:pPr>
      <w:r>
        <w:rPr>
          <w:rFonts w:hint="eastAsia" w:ascii="宋体" w:hAnsi="宋体" w:eastAsia="宋体" w:cs="Times New Roman"/>
          <w:b/>
          <w:color w:val="auto"/>
          <w:szCs w:val="21"/>
          <w:highlight w:val="none"/>
        </w:rPr>
        <w:t>说明：投标产品属于品目清单范围且提供国家确定的认证机构出具的有效的节能产品、环境标志产品认证证书（扫描件）。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ascii="宋体" w:hAnsi="宋体" w:eastAsia="宋体" w:cs="Times New Roman"/>
          <w:color w:val="auto"/>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rPr>
          <w:rFonts w:ascii="宋体" w:hAnsi="宋体" w:eastAsia="宋体" w:cs="Times New Roman"/>
          <w:b/>
          <w:color w:val="auto"/>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（8）科技创新相关证明材料</w:t>
      </w:r>
    </w:p>
    <w:p>
      <w:pPr>
        <w:adjustRightInd w:val="0"/>
        <w:snapToGrid w:val="0"/>
        <w:spacing w:line="288" w:lineRule="auto"/>
        <w:ind w:firstLine="396" w:firstLineChars="200"/>
        <w:jc w:val="left"/>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优先推荐专精特新中小企业、创新产品参加政府采购活动。对省级以上主管部门认定的首台套产品，自纳入《省推广应用指导目录》起三年内参加政府采购活动时视同已具备相应销售业绩，业绩分为满分。</w:t>
      </w:r>
    </w:p>
    <w:p>
      <w:pPr>
        <w:adjustRightInd w:val="0"/>
        <w:snapToGrid w:val="0"/>
        <w:spacing w:line="288" w:lineRule="auto"/>
        <w:rPr>
          <w:rFonts w:ascii="宋体" w:hAnsi="宋体" w:eastAsia="宋体" w:cs="宋体"/>
          <w:b/>
          <w:color w:val="auto"/>
          <w:spacing w:val="-6"/>
          <w:szCs w:val="21"/>
          <w:highlight w:val="none"/>
        </w:rPr>
      </w:pPr>
    </w:p>
    <w:p>
      <w:pPr>
        <w:adjustRightInd w:val="0"/>
        <w:snapToGrid w:val="0"/>
        <w:spacing w:line="288" w:lineRule="auto"/>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（9）投标人需要说明的其他文件和材料。</w:t>
      </w:r>
    </w:p>
    <w:p>
      <w:pPr>
        <w:widowControl/>
        <w:adjustRightInd w:val="0"/>
        <w:snapToGrid w:val="0"/>
        <w:spacing w:line="288" w:lineRule="auto"/>
        <w:jc w:val="left"/>
        <w:rPr>
          <w:rFonts w:ascii="宋体" w:hAnsi="宋体" w:eastAsia="宋体" w:cs="宋体"/>
          <w:b/>
          <w:color w:val="auto"/>
          <w:spacing w:val="-6"/>
          <w:szCs w:val="21"/>
          <w:highlight w:val="none"/>
        </w:rPr>
      </w:pP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overflowPunct w:val="0"/>
        <w:adjustRightInd w:val="0"/>
        <w:snapToGrid w:val="0"/>
        <w:spacing w:line="288" w:lineRule="auto"/>
        <w:jc w:val="center"/>
        <w:outlineLvl w:val="1"/>
        <w:rPr>
          <w:rFonts w:ascii="宋体" w:hAnsi="宋体" w:eastAsia="宋体" w:cs="Times New Roman"/>
          <w:b/>
          <w:color w:val="auto"/>
          <w:spacing w:val="-6"/>
          <w:sz w:val="84"/>
          <w:szCs w:val="84"/>
          <w:highlight w:val="none"/>
        </w:rPr>
      </w:pPr>
      <w:r>
        <w:rPr>
          <w:rFonts w:hint="eastAsia" w:ascii="宋体" w:hAnsi="宋体" w:eastAsia="宋体" w:cs="Times New Roman"/>
          <w:b/>
          <w:color w:val="auto"/>
          <w:spacing w:val="-6"/>
          <w:sz w:val="84"/>
          <w:szCs w:val="84"/>
          <w:highlight w:val="none"/>
        </w:rPr>
        <w:t>报价文件</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1</w:t>
      </w:r>
      <w:r>
        <w:rPr>
          <w:rFonts w:hint="eastAsia" w:ascii="宋体" w:hAnsi="宋体" w:eastAsia="宋体" w:cs="宋体"/>
          <w:b/>
          <w:color w:val="auto"/>
          <w:spacing w:val="-6"/>
          <w:szCs w:val="21"/>
          <w:highlight w:val="none"/>
        </w:rPr>
        <w:t>）开标一览表</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采 购 人：中国美术学院</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项目名称：良渚校区1期2标段物联网门禁人员出入智能管控项目</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 xml:space="preserve">项目编号：QSZB-Z(H)-C23487(GK) </w:t>
      </w:r>
    </w:p>
    <w:p>
      <w:pPr>
        <w:adjustRightInd w:val="0"/>
        <w:snapToGrid w:val="0"/>
        <w:spacing w:line="288" w:lineRule="auto"/>
        <w:rPr>
          <w:rFonts w:ascii="宋体" w:hAnsi="宋体" w:eastAsia="宋体" w:cs="Times New Roman"/>
          <w:bCs/>
          <w:color w:val="auto"/>
          <w:spacing w:val="-6"/>
          <w:szCs w:val="21"/>
          <w:highlight w:val="none"/>
        </w:rPr>
      </w:pPr>
      <w:r>
        <w:rPr>
          <w:rFonts w:hint="eastAsia" w:ascii="宋体" w:hAnsi="宋体" w:eastAsia="宋体" w:cs="Times New Roman"/>
          <w:bCs/>
          <w:color w:val="auto"/>
          <w:spacing w:val="-6"/>
          <w:szCs w:val="21"/>
          <w:highlight w:val="none"/>
        </w:rPr>
        <w:t>标    项：</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规格型号</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color w:val="auto"/>
                <w:szCs w:val="21"/>
                <w:highlight w:val="none"/>
              </w:rPr>
            </w:pP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color w:val="auto"/>
                <w:szCs w:val="21"/>
                <w:highlight w:val="none"/>
              </w:rPr>
            </w:pP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color w:val="auto"/>
                <w:spacing w:val="-6"/>
                <w:szCs w:val="21"/>
                <w:highlight w:val="none"/>
              </w:rPr>
              <w:t>说明：▲</w:t>
            </w:r>
            <w:r>
              <w:rPr>
                <w:rFonts w:ascii="宋体" w:hAnsi="宋体" w:eastAsia="宋体" w:cs="Times New Roman"/>
                <w:bCs/>
                <w:color w:val="auto"/>
                <w:spacing w:val="-6"/>
                <w:szCs w:val="21"/>
                <w:highlight w:val="none"/>
              </w:rPr>
              <w:t>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pPr>
              <w:adjustRightInd w:val="0"/>
              <w:snapToGrid w:val="0"/>
              <w:spacing w:line="288"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投标总价（人民币元）</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小写：_________________________</w:t>
            </w:r>
          </w:p>
          <w:p>
            <w:pPr>
              <w:adjustRightInd w:val="0"/>
              <w:snapToGrid w:val="0"/>
              <w:spacing w:line="288" w:lineRule="auto"/>
              <w:rPr>
                <w:rFonts w:ascii="宋体" w:hAnsi="宋体" w:eastAsia="宋体" w:cs="宋体"/>
                <w:b/>
                <w:bCs/>
                <w:color w:val="auto"/>
                <w:szCs w:val="21"/>
                <w:highlight w:val="none"/>
              </w:rPr>
            </w:pPr>
          </w:p>
          <w:p>
            <w:pPr>
              <w:adjustRightInd w:val="0"/>
              <w:snapToGrid w:val="0"/>
              <w:spacing w:line="288" w:lineRule="auto"/>
              <w:rPr>
                <w:rFonts w:ascii="宋体" w:hAnsi="宋体" w:eastAsia="宋体" w:cs="宋体"/>
                <w:b/>
                <w:bCs/>
                <w:color w:val="auto"/>
                <w:szCs w:val="21"/>
                <w:highlight w:val="none"/>
              </w:rPr>
            </w:pPr>
            <w:r>
              <w:rPr>
                <w:rFonts w:hint="eastAsia" w:ascii="宋体" w:hAnsi="宋体" w:eastAsia="宋体" w:cs="宋体"/>
                <w:b/>
                <w:bCs/>
                <w:color w:val="auto"/>
                <w:szCs w:val="21"/>
                <w:highlight w:val="none"/>
              </w:rPr>
              <w:t>大写：_________________________</w:t>
            </w:r>
          </w:p>
          <w:p>
            <w:pPr>
              <w:adjustRightInd w:val="0"/>
              <w:snapToGrid w:val="0"/>
              <w:spacing w:line="288" w:lineRule="auto"/>
              <w:rPr>
                <w:rFonts w:ascii="宋体" w:hAnsi="宋体" w:eastAsia="宋体" w:cs="宋体"/>
                <w:b/>
                <w:bCs/>
                <w:color w:val="auto"/>
                <w:szCs w:val="21"/>
                <w:highlight w:val="none"/>
              </w:rPr>
            </w:pPr>
          </w:p>
        </w:tc>
      </w:tr>
    </w:tbl>
    <w:p>
      <w:pPr>
        <w:adjustRightInd w:val="0"/>
        <w:snapToGrid w:val="0"/>
        <w:spacing w:line="288" w:lineRule="auto"/>
        <w:rPr>
          <w:rFonts w:ascii="宋体" w:hAnsi="宋体" w:eastAsia="宋体" w:cs="Times New Roman"/>
          <w:color w:val="auto"/>
          <w:spacing w:val="-6"/>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说明：</w:t>
      </w:r>
    </w:p>
    <w:p>
      <w:pPr>
        <w:adjustRightInd w:val="0"/>
        <w:snapToGrid w:val="0"/>
        <w:spacing w:line="288" w:lineRule="auto"/>
        <w:rPr>
          <w:rFonts w:ascii="宋体" w:hAnsi="宋体" w:eastAsia="宋体" w:cs="Times New Roman"/>
          <w:bCs/>
          <w:color w:val="auto"/>
          <w:spacing w:val="-6"/>
          <w:szCs w:val="21"/>
          <w:highlight w:val="none"/>
        </w:rPr>
      </w:pPr>
      <w:r>
        <w:rPr>
          <w:rFonts w:ascii="宋体" w:hAnsi="宋体" w:eastAsia="宋体" w:cs="Times New Roman"/>
          <w:bCs/>
          <w:color w:val="auto"/>
          <w:spacing w:val="-6"/>
          <w:szCs w:val="21"/>
          <w:highlight w:val="none"/>
        </w:rPr>
        <w:t>1.</w:t>
      </w:r>
      <w:r>
        <w:rPr>
          <w:rFonts w:hint="eastAsia" w:ascii="宋体" w:hAnsi="宋体" w:eastAsia="宋体" w:cs="Times New Roman"/>
          <w:bCs/>
          <w:color w:val="auto"/>
          <w:spacing w:val="-6"/>
          <w:szCs w:val="21"/>
          <w:highlight w:val="none"/>
        </w:rPr>
        <w:t>此表在不改变格式要求的情况下，可自行增行。</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Cs/>
          <w:color w:val="auto"/>
          <w:spacing w:val="-6"/>
          <w:szCs w:val="21"/>
          <w:highlight w:val="none"/>
        </w:rPr>
        <w:t>2.有关本项目实施所涉及的一切费用均计入报价。</w:t>
      </w:r>
    </w:p>
    <w:p>
      <w:pPr>
        <w:adjustRightInd w:val="0"/>
        <w:snapToGrid w:val="0"/>
        <w:spacing w:line="288" w:lineRule="auto"/>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t>3.以上表格要求细分项目及报价，在“规格型号（或具体服务）”一栏中，货物类项目填写规格型号，服务类项目填写具体服务。</w:t>
      </w:r>
    </w:p>
    <w:p>
      <w:pPr>
        <w:adjustRightInd w:val="0"/>
        <w:snapToGrid w:val="0"/>
        <w:spacing w:line="288" w:lineRule="auto"/>
        <w:rPr>
          <w:rFonts w:ascii="宋体" w:hAnsi="宋体" w:eastAsia="宋体" w:cs="Times New Roman"/>
          <w:color w:val="auto"/>
          <w:szCs w:val="21"/>
          <w:highlight w:val="none"/>
        </w:rPr>
      </w:pP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投标人名称（</w:t>
      </w:r>
      <w:r>
        <w:rPr>
          <w:rFonts w:ascii="宋体" w:hAnsi="宋体" w:eastAsia="宋体" w:cs="Times New Roman"/>
          <w:b/>
          <w:bCs/>
          <w:color w:val="auto"/>
          <w:spacing w:val="-6"/>
          <w:szCs w:val="21"/>
          <w:highlight w:val="none"/>
        </w:rPr>
        <w:t>电子签名/公章</w:t>
      </w:r>
      <w:r>
        <w:rPr>
          <w:rFonts w:hint="eastAsia" w:ascii="宋体" w:hAnsi="宋体" w:eastAsia="宋体" w:cs="Times New Roman"/>
          <w:b/>
          <w:bCs/>
          <w:color w:val="auto"/>
          <w:spacing w:val="-6"/>
          <w:szCs w:val="21"/>
          <w:highlight w:val="none"/>
        </w:rPr>
        <w:t>）：</w:t>
      </w:r>
    </w:p>
    <w:p>
      <w:pPr>
        <w:adjustRightInd w:val="0"/>
        <w:snapToGrid w:val="0"/>
        <w:spacing w:line="288" w:lineRule="auto"/>
        <w:rPr>
          <w:rFonts w:ascii="宋体" w:hAnsi="宋体" w:eastAsia="宋体" w:cs="Times New Roman"/>
          <w:b/>
          <w:bCs/>
          <w:color w:val="auto"/>
          <w:spacing w:val="-6"/>
          <w:szCs w:val="21"/>
          <w:highlight w:val="none"/>
        </w:rPr>
      </w:pPr>
      <w:r>
        <w:rPr>
          <w:rFonts w:hint="eastAsia" w:ascii="宋体" w:hAnsi="宋体" w:eastAsia="宋体" w:cs="Times New Roman"/>
          <w:b/>
          <w:bCs/>
          <w:color w:val="auto"/>
          <w:spacing w:val="-6"/>
          <w:szCs w:val="21"/>
          <w:highlight w:val="none"/>
        </w:rPr>
        <w:t>日期：     年   月   日</w:t>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Times New Roman"/>
          <w:bCs/>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2</w:t>
      </w: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中小企业声明函（货物）</w:t>
      </w:r>
      <w:r>
        <w:rPr>
          <w:rFonts w:hint="eastAsia" w:ascii="宋体" w:hAnsi="宋体" w:eastAsia="宋体" w:cs="宋体"/>
          <w:b/>
          <w:color w:val="auto"/>
          <w:spacing w:val="-6"/>
          <w:szCs w:val="21"/>
          <w:highlight w:val="none"/>
        </w:rPr>
        <w:t>（若属于中小企业）</w:t>
      </w:r>
    </w:p>
    <w:p>
      <w:pPr>
        <w:adjustRightInd w:val="0"/>
        <w:snapToGrid w:val="0"/>
        <w:spacing w:line="288" w:lineRule="auto"/>
        <w:ind w:firstLine="498" w:firstLineChars="236"/>
        <w:rPr>
          <w:rFonts w:ascii="宋体" w:hAnsi="宋体" w:eastAsia="宋体" w:cs="Times New Roman"/>
          <w:b/>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本公司（联合体）郑重声明，根据《政府采购促进中小企业发展管理办法》（财库</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2020</w:t>
      </w:r>
      <w:r>
        <w:rPr>
          <w:rFonts w:hint="eastAsia" w:ascii="宋体" w:hAnsi="宋体" w:eastAsia="宋体" w:cs="Times New Roman"/>
          <w:color w:val="auto"/>
          <w:szCs w:val="21"/>
          <w:highlight w:val="none"/>
        </w:rPr>
        <w:t>﹞</w:t>
      </w:r>
      <w:r>
        <w:rPr>
          <w:rFonts w:ascii="宋体" w:hAnsi="宋体" w:eastAsia="宋体" w:cs="Times New Roman"/>
          <w:color w:val="auto"/>
          <w:szCs w:val="21"/>
          <w:highlight w:val="none"/>
        </w:rPr>
        <w:t>46 号）的规定，本公司（联合体）参加</w:t>
      </w:r>
      <w:r>
        <w:rPr>
          <w:rFonts w:ascii="宋体" w:hAnsi="宋体" w:eastAsia="宋体" w:cs="Times New Roman"/>
          <w:i/>
          <w:color w:val="auto"/>
          <w:szCs w:val="21"/>
          <w:highlight w:val="none"/>
          <w:u w:val="single"/>
        </w:rPr>
        <w:t>（单位名称）</w:t>
      </w:r>
      <w:r>
        <w:rPr>
          <w:rFonts w:ascii="宋体" w:hAnsi="宋体" w:eastAsia="宋体" w:cs="Times New Roman"/>
          <w:color w:val="auto"/>
          <w:szCs w:val="21"/>
          <w:highlight w:val="none"/>
        </w:rPr>
        <w:t>的</w:t>
      </w:r>
      <w:r>
        <w:rPr>
          <w:rFonts w:ascii="宋体" w:hAnsi="宋体" w:eastAsia="宋体" w:cs="Times New Roman"/>
          <w:i/>
          <w:color w:val="auto"/>
          <w:szCs w:val="21"/>
          <w:highlight w:val="none"/>
          <w:u w:val="single"/>
        </w:rPr>
        <w:t>（</w:t>
      </w:r>
      <w:bookmarkStart w:id="63" w:name="_Hlk118098443"/>
      <w:r>
        <w:rPr>
          <w:rFonts w:ascii="宋体" w:hAnsi="宋体" w:eastAsia="宋体" w:cs="Times New Roman"/>
          <w:i/>
          <w:color w:val="auto"/>
          <w:szCs w:val="21"/>
          <w:highlight w:val="none"/>
          <w:u w:val="single"/>
        </w:rPr>
        <w:t>项目名称</w:t>
      </w:r>
      <w:bookmarkEnd w:id="63"/>
      <w:r>
        <w:rPr>
          <w:rFonts w:ascii="宋体" w:hAnsi="宋体" w:eastAsia="宋体" w:cs="Times New Roman"/>
          <w:i/>
          <w:color w:val="auto"/>
          <w:szCs w:val="21"/>
          <w:highlight w:val="none"/>
          <w:u w:val="single"/>
        </w:rPr>
        <w:t>）</w:t>
      </w:r>
      <w:r>
        <w:rPr>
          <w:rFonts w:ascii="宋体" w:hAnsi="宋体" w:eastAsia="宋体" w:cs="Times New Roman"/>
          <w:color w:val="auto"/>
          <w:szCs w:val="21"/>
          <w:highlight w:val="none"/>
        </w:rPr>
        <w:t>采购活动，提供的货物全部由符合政策要求的中小企业制造。相关企业（含联合体中的中小企业、签订分包意向协议的中小企业）的具体情况如下：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1.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i/>
          <w:color w:val="auto"/>
          <w:szCs w:val="21"/>
          <w:highlight w:val="none"/>
          <w:u w:val="single"/>
        </w:rPr>
        <w:t>2. （标的名称）</w:t>
      </w:r>
      <w:r>
        <w:rPr>
          <w:rFonts w:ascii="宋体" w:hAnsi="宋体" w:eastAsia="宋体" w:cs="Times New Roman"/>
          <w:i/>
          <w:color w:val="auto"/>
          <w:szCs w:val="21"/>
          <w:highlight w:val="none"/>
        </w:rPr>
        <w:t xml:space="preserve"> </w:t>
      </w:r>
      <w:r>
        <w:rPr>
          <w:rFonts w:ascii="宋体" w:hAnsi="宋体" w:eastAsia="宋体" w:cs="Times New Roman"/>
          <w:color w:val="auto"/>
          <w:szCs w:val="21"/>
          <w:highlight w:val="none"/>
        </w:rPr>
        <w:t>，属于</w:t>
      </w:r>
      <w:r>
        <w:rPr>
          <w:rFonts w:ascii="宋体" w:hAnsi="宋体" w:eastAsia="宋体" w:cs="Times New Roman"/>
          <w:i/>
          <w:color w:val="auto"/>
          <w:szCs w:val="21"/>
          <w:highlight w:val="none"/>
        </w:rPr>
        <w:t>（</w:t>
      </w:r>
      <w:r>
        <w:rPr>
          <w:rFonts w:ascii="宋体" w:hAnsi="宋体" w:eastAsia="宋体" w:cs="Times New Roman"/>
          <w:i/>
          <w:color w:val="auto"/>
          <w:szCs w:val="21"/>
          <w:highlight w:val="none"/>
          <w:u w:val="single"/>
        </w:rPr>
        <w:t>采购文件中明确的所属行业）行业</w:t>
      </w:r>
      <w:r>
        <w:rPr>
          <w:rFonts w:ascii="宋体" w:hAnsi="宋体" w:eastAsia="宋体" w:cs="Times New Roman"/>
          <w:color w:val="auto"/>
          <w:szCs w:val="21"/>
          <w:highlight w:val="none"/>
        </w:rPr>
        <w:t>；制造商为</w:t>
      </w:r>
      <w:r>
        <w:rPr>
          <w:rFonts w:ascii="宋体" w:hAnsi="宋体" w:eastAsia="宋体" w:cs="Times New Roman"/>
          <w:i/>
          <w:color w:val="auto"/>
          <w:szCs w:val="21"/>
          <w:highlight w:val="none"/>
          <w:u w:val="single"/>
        </w:rPr>
        <w:t>（企业名称）</w:t>
      </w:r>
      <w:r>
        <w:rPr>
          <w:rFonts w:ascii="宋体" w:hAnsi="宋体" w:eastAsia="宋体" w:cs="Times New Roman"/>
          <w:color w:val="auto"/>
          <w:szCs w:val="21"/>
          <w:highlight w:val="none"/>
        </w:rPr>
        <w:t>，从业人员</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人，营业收入为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万元，资产总额为</w:t>
      </w:r>
      <w:r>
        <w:rPr>
          <w:rFonts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u w:val="single"/>
        </w:rPr>
        <w:tab/>
      </w:r>
      <w:r>
        <w:rPr>
          <w:rFonts w:ascii="宋体" w:hAnsi="宋体" w:eastAsia="宋体" w:cs="Times New Roman"/>
          <w:color w:val="auto"/>
          <w:szCs w:val="21"/>
          <w:highlight w:val="none"/>
        </w:rPr>
        <w:t>万元，属于</w:t>
      </w:r>
      <w:r>
        <w:rPr>
          <w:rFonts w:ascii="宋体" w:hAnsi="宋体" w:eastAsia="宋体" w:cs="Times New Roman"/>
          <w:i/>
          <w:color w:val="auto"/>
          <w:szCs w:val="21"/>
          <w:highlight w:val="none"/>
          <w:u w:val="single"/>
        </w:rPr>
        <w:t>（中型企业、小型企业、微型企业）</w:t>
      </w:r>
      <w:r>
        <w:rPr>
          <w:rFonts w:hint="eastAsia"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本企业对上述声明内容的真实性负责。如有虚假，将依法承担相应责任。</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企业名称（盖章）：</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日期：</w:t>
      </w:r>
    </w:p>
    <w:p>
      <w:pPr>
        <w:adjustRightInd w:val="0"/>
        <w:snapToGrid w:val="0"/>
        <w:spacing w:line="288" w:lineRule="auto"/>
        <w:ind w:firstLine="495" w:firstLineChars="236"/>
        <w:rPr>
          <w:rFonts w:ascii="宋体" w:hAnsi="宋体" w:eastAsia="宋体" w:cs="Times New Roman"/>
          <w:color w:val="auto"/>
          <w:szCs w:val="21"/>
          <w:highlight w:val="none"/>
        </w:rPr>
      </w:pPr>
    </w:p>
    <w:p>
      <w:pPr>
        <w:adjustRightInd w:val="0"/>
        <w:snapToGrid w:val="0"/>
        <w:spacing w:line="288" w:lineRule="auto"/>
        <w:ind w:firstLine="495" w:firstLineChars="236"/>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注：</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rPr>
        <w:t>从业人员、营业收入、资产总额填报上一年度数据，无上一年度数据的新成立企业可不填报。</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3</w:t>
      </w:r>
      <w:r>
        <w:rPr>
          <w:rFonts w:hint="eastAsia" w:ascii="宋体" w:hAnsi="宋体" w:eastAsia="宋体" w:cs="Times New Roman"/>
          <w:color w:val="auto"/>
          <w:szCs w:val="21"/>
          <w:highlight w:val="none"/>
        </w:rPr>
        <w:t>.本项目仅以《中小企业声明函》作为评判供应商是否属于中小企业的唯一依据。</w:t>
      </w:r>
    </w:p>
    <w:p>
      <w:pPr>
        <w:adjustRightInd w:val="0"/>
        <w:snapToGrid w:val="0"/>
        <w:spacing w:line="288" w:lineRule="auto"/>
        <w:ind w:firstLine="495" w:firstLineChars="236"/>
        <w:rPr>
          <w:rFonts w:ascii="宋体" w:hAnsi="宋体"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.供应商提供《中小企业声明函》内容不实的，属于提供虚假材料谋取中标、成交，依照《中华人民共和国政府采购法》等国家有关规定追究相应责任。</w:t>
      </w:r>
    </w:p>
    <w:p>
      <w:pPr>
        <w:adjustRightInd w:val="0"/>
        <w:snapToGrid w:val="0"/>
        <w:spacing w:line="288" w:lineRule="auto"/>
        <w:ind w:firstLine="495" w:firstLineChars="236"/>
        <w:rPr>
          <w:rFonts w:ascii="宋体" w:hAnsi="宋体" w:eastAsia="宋体"/>
          <w:color w:val="auto"/>
          <w:highlight w:val="none"/>
          <w:u w:val="single"/>
        </w:rPr>
      </w:pPr>
      <w:r>
        <w:rPr>
          <w:rFonts w:ascii="宋体" w:hAnsi="宋体" w:eastAsia="宋体" w:cs="Times New Roman"/>
          <w:color w:val="auto"/>
          <w:szCs w:val="21"/>
          <w:highlight w:val="none"/>
          <w:u w:val="single"/>
        </w:rPr>
        <w:t>5.</w:t>
      </w:r>
      <w:r>
        <w:rPr>
          <w:rFonts w:hint="eastAsia" w:ascii="宋体" w:hAnsi="宋体" w:eastAsia="宋体" w:cs="Times New Roman"/>
          <w:color w:val="auto"/>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color w:val="auto"/>
          <w:highlight w:val="none"/>
          <w:u w:val="single"/>
        </w:rPr>
        <w:t>不享受中小企业扶持政策。</w:t>
      </w:r>
    </w:p>
    <w:p>
      <w:pPr>
        <w:adjustRightInd w:val="0"/>
        <w:snapToGrid w:val="0"/>
        <w:spacing w:line="288" w:lineRule="auto"/>
        <w:ind w:firstLine="495" w:firstLineChars="236"/>
        <w:rPr>
          <w:rFonts w:ascii="宋体" w:hAnsi="宋体" w:eastAsia="宋体" w:cs="宋体"/>
          <w:color w:val="auto"/>
          <w:szCs w:val="21"/>
          <w:highlight w:val="none"/>
          <w:u w:val="single"/>
        </w:rPr>
      </w:pPr>
      <w:r>
        <w:rPr>
          <w:rFonts w:hint="eastAsia" w:ascii="宋体" w:hAnsi="宋体" w:eastAsia="宋体" w:cs="Times New Roman"/>
          <w:color w:val="auto"/>
          <w:szCs w:val="21"/>
          <w:highlight w:val="none"/>
          <w:u w:val="single"/>
        </w:rPr>
        <w:t>6</w:t>
      </w:r>
      <w:r>
        <w:rPr>
          <w:rFonts w:ascii="宋体" w:hAnsi="宋体" w:eastAsia="宋体" w:cs="Times New Roman"/>
          <w:color w:val="auto"/>
          <w:szCs w:val="21"/>
          <w:highlight w:val="none"/>
          <w:u w:val="single"/>
        </w:rPr>
        <w:t>.如项目包含“多件”标的物的，需按标的物项数逐项填写。</w:t>
      </w:r>
    </w:p>
    <w:p>
      <w:pPr>
        <w:widowControl/>
        <w:adjustRightInd w:val="0"/>
        <w:snapToGrid w:val="0"/>
        <w:spacing w:line="288" w:lineRule="auto"/>
        <w:ind w:firstLine="495" w:firstLineChars="236"/>
        <w:jc w:val="left"/>
        <w:rPr>
          <w:rFonts w:ascii="宋体" w:hAnsi="宋体" w:eastAsia="宋体" w:cs="Times New Roman"/>
          <w:color w:val="auto"/>
          <w:szCs w:val="21"/>
          <w:highlight w:val="none"/>
        </w:rPr>
      </w:pPr>
      <w:r>
        <w:rPr>
          <w:rFonts w:ascii="宋体" w:hAnsi="宋体" w:eastAsia="宋体" w:cs="Times New Roman"/>
          <w:color w:val="auto"/>
          <w:szCs w:val="21"/>
          <w:highlight w:val="none"/>
        </w:rPr>
        <w:br w:type="page"/>
      </w:r>
    </w:p>
    <w:p>
      <w:pPr>
        <w:adjustRightInd w:val="0"/>
        <w:snapToGrid w:val="0"/>
        <w:spacing w:line="288" w:lineRule="auto"/>
        <w:jc w:val="center"/>
        <w:outlineLvl w:val="2"/>
        <w:rPr>
          <w:rFonts w:ascii="宋体" w:hAnsi="宋体" w:eastAsia="宋体" w:cs="宋体"/>
          <w:color w:val="auto"/>
          <w:kern w:val="0"/>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3</w:t>
      </w:r>
      <w:r>
        <w:rPr>
          <w:rFonts w:hint="eastAsia" w:ascii="宋体" w:hAnsi="宋体" w:eastAsia="宋体" w:cs="宋体"/>
          <w:b/>
          <w:color w:val="auto"/>
          <w:spacing w:val="-6"/>
          <w:szCs w:val="21"/>
          <w:highlight w:val="none"/>
        </w:rPr>
        <w:t>）属于监狱企业的证明文件（若属于监狱企业）</w:t>
      </w:r>
    </w:p>
    <w:p>
      <w:pPr>
        <w:adjustRightInd w:val="0"/>
        <w:snapToGrid w:val="0"/>
        <w:spacing w:line="288" w:lineRule="auto"/>
        <w:rPr>
          <w:rFonts w:ascii="宋体" w:hAnsi="宋体" w:eastAsia="宋体" w:cs="宋体"/>
          <w:color w:val="auto"/>
          <w:kern w:val="0"/>
          <w:szCs w:val="21"/>
          <w:highlight w:val="none"/>
        </w:rPr>
      </w:pPr>
    </w:p>
    <w:p>
      <w:pPr>
        <w:adjustRightInd w:val="0"/>
        <w:snapToGrid w:val="0"/>
        <w:spacing w:line="288" w:lineRule="auto"/>
        <w:ind w:firstLine="373" w:firstLineChars="177"/>
        <w:rPr>
          <w:rFonts w:ascii="宋体" w:hAnsi="宋体" w:eastAsia="宋体"/>
          <w:b/>
          <w:bCs/>
          <w:color w:val="auto"/>
          <w:szCs w:val="21"/>
          <w:highlight w:val="none"/>
        </w:rPr>
      </w:pPr>
      <w:r>
        <w:rPr>
          <w:rFonts w:hint="eastAsia" w:ascii="宋体" w:hAnsi="宋体" w:eastAsia="宋体" w:cs="宋体"/>
          <w:b/>
          <w:bCs/>
          <w:color w:val="auto"/>
          <w:kern w:val="0"/>
          <w:szCs w:val="21"/>
          <w:highlight w:val="none"/>
        </w:rPr>
        <w:t>监狱企业参加政府采购活动时，应当提供由省级以上监狱管理局、戒毒管理局（含新疆生产建设兵团）出具的属于监狱企业的证明文件。</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rPr>
          <w:rFonts w:ascii="宋体" w:hAnsi="宋体" w:eastAsia="宋体" w:cs="宋体"/>
          <w:b/>
          <w:color w:val="auto"/>
          <w:spacing w:val="-6"/>
          <w:szCs w:val="21"/>
          <w:highlight w:val="none"/>
        </w:rPr>
      </w:pPr>
      <w:r>
        <w:rPr>
          <w:rFonts w:ascii="宋体" w:hAnsi="宋体" w:eastAsia="宋体" w:cs="宋体"/>
          <w:b/>
          <w:color w:val="auto"/>
          <w:spacing w:val="-6"/>
          <w:szCs w:val="21"/>
          <w:highlight w:val="none"/>
        </w:rPr>
        <w:br w:type="page"/>
      </w:r>
    </w:p>
    <w:p>
      <w:pPr>
        <w:adjustRightInd w:val="0"/>
        <w:snapToGrid w:val="0"/>
        <w:spacing w:line="288" w:lineRule="auto"/>
        <w:jc w:val="center"/>
        <w:outlineLvl w:val="2"/>
        <w:rPr>
          <w:rFonts w:ascii="宋体" w:hAnsi="宋体" w:eastAsia="宋体" w:cs="宋体"/>
          <w:b/>
          <w:color w:val="auto"/>
          <w:spacing w:val="-6"/>
          <w:szCs w:val="21"/>
          <w:highlight w:val="none"/>
        </w:rPr>
      </w:pPr>
      <w:r>
        <w:rPr>
          <w:rFonts w:hint="eastAsia" w:ascii="宋体" w:hAnsi="宋体" w:eastAsia="宋体" w:cs="宋体"/>
          <w:b/>
          <w:color w:val="auto"/>
          <w:spacing w:val="-6"/>
          <w:szCs w:val="21"/>
          <w:highlight w:val="none"/>
        </w:rPr>
        <w:t>（</w:t>
      </w:r>
      <w:r>
        <w:rPr>
          <w:rFonts w:ascii="宋体" w:hAnsi="宋体" w:eastAsia="宋体" w:cs="宋体"/>
          <w:b/>
          <w:color w:val="auto"/>
          <w:spacing w:val="-6"/>
          <w:szCs w:val="21"/>
          <w:highlight w:val="none"/>
        </w:rPr>
        <w:t>4</w:t>
      </w:r>
      <w:r>
        <w:rPr>
          <w:rFonts w:hint="eastAsia" w:ascii="宋体" w:hAnsi="宋体" w:eastAsia="宋体" w:cs="宋体"/>
          <w:b/>
          <w:color w:val="auto"/>
          <w:spacing w:val="-6"/>
          <w:szCs w:val="21"/>
          <w:highlight w:val="none"/>
        </w:rPr>
        <w:t>）残疾人福利性单位声明函（若属于残疾人福利性单位）</w:t>
      </w:r>
    </w:p>
    <w:p>
      <w:pPr>
        <w:adjustRightInd w:val="0"/>
        <w:snapToGrid w:val="0"/>
        <w:spacing w:line="288" w:lineRule="auto"/>
        <w:rPr>
          <w:rFonts w:ascii="宋体" w:hAnsi="宋体" w:eastAsia="宋体" w:cs="Times New Roman"/>
          <w:b/>
          <w:color w:val="auto"/>
          <w:spacing w:val="6"/>
          <w:szCs w:val="21"/>
          <w:highlight w:val="none"/>
        </w:rPr>
      </w:pP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本单位郑重声明，根据《财政部 民政部 中国残疾人联合会关于促进残疾人就业政府采购政策的通知》（财库</w:t>
      </w:r>
      <w:r>
        <w:rPr>
          <w:rFonts w:hint="eastAsia" w:ascii="宋体" w:hAnsi="宋体" w:eastAsia="宋体" w:cs="Times New Roman"/>
          <w:color w:val="auto"/>
          <w:szCs w:val="21"/>
          <w:highlight w:val="none"/>
        </w:rPr>
        <w:t>〔2017〕 141</w:t>
      </w:r>
      <w:r>
        <w:rPr>
          <w:rFonts w:hint="eastAsia" w:ascii="宋体" w:hAnsi="宋体" w:eastAsia="宋体" w:cs="Times New Roman"/>
          <w:color w:val="auto"/>
          <w:spacing w:val="6"/>
          <w:szCs w:val="21"/>
          <w:highlight w:val="none"/>
        </w:rPr>
        <w:t>号）的规定，</w:t>
      </w:r>
      <w:r>
        <w:rPr>
          <w:rFonts w:hint="eastAsia" w:ascii="宋体" w:hAnsi="宋体" w:eastAsia="宋体" w:cs="Times New Roman"/>
          <w:b/>
          <w:bCs/>
          <w:color w:val="auto"/>
          <w:spacing w:val="6"/>
          <w:szCs w:val="21"/>
          <w:highlight w:val="none"/>
        </w:rPr>
        <w:t>本单位为符合条件的残疾人福利性单位</w:t>
      </w:r>
      <w:r>
        <w:rPr>
          <w:rFonts w:hint="eastAsia" w:ascii="宋体" w:hAnsi="宋体" w:eastAsia="宋体" w:cs="Times New Roman"/>
          <w:color w:val="auto"/>
          <w:spacing w:val="6"/>
          <w:szCs w:val="21"/>
          <w:highlight w:val="no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adjustRightInd w:val="0"/>
        <w:snapToGrid w:val="0"/>
        <w:spacing w:line="288" w:lineRule="auto"/>
        <w:ind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单位名称（盖章）：</w:t>
      </w:r>
    </w:p>
    <w:p>
      <w:pPr>
        <w:tabs>
          <w:tab w:val="left" w:pos="4860"/>
        </w:tabs>
        <w:adjustRightInd w:val="0"/>
        <w:snapToGrid w:val="0"/>
        <w:spacing w:line="288" w:lineRule="auto"/>
        <w:ind w:right="1560" w:firstLine="444" w:firstLineChars="200"/>
        <w:rPr>
          <w:rFonts w:ascii="宋体" w:hAnsi="宋体" w:eastAsia="宋体" w:cs="Times New Roman"/>
          <w:color w:val="auto"/>
          <w:spacing w:val="6"/>
          <w:szCs w:val="21"/>
          <w:highlight w:val="none"/>
        </w:rPr>
      </w:pPr>
      <w:r>
        <w:rPr>
          <w:rFonts w:hint="eastAsia" w:ascii="宋体" w:hAnsi="宋体" w:eastAsia="宋体" w:cs="Times New Roman"/>
          <w:color w:val="auto"/>
          <w:spacing w:val="6"/>
          <w:szCs w:val="21"/>
          <w:highlight w:val="none"/>
        </w:rPr>
        <w:t>日  期：</w:t>
      </w:r>
    </w:p>
    <w:p>
      <w:pPr>
        <w:adjustRightInd w:val="0"/>
        <w:snapToGrid w:val="0"/>
        <w:spacing w:line="288" w:lineRule="auto"/>
        <w:rPr>
          <w:rFonts w:ascii="宋体" w:hAnsi="宋体" w:eastAsia="宋体"/>
          <w:color w:val="auto"/>
          <w:szCs w:val="21"/>
          <w:highlight w:val="none"/>
        </w:rPr>
      </w:pPr>
    </w:p>
    <w:p>
      <w:pPr>
        <w:adjustRightInd w:val="0"/>
        <w:snapToGrid w:val="0"/>
        <w:spacing w:line="288" w:lineRule="auto"/>
        <w:rPr>
          <w:rFonts w:ascii="宋体" w:hAnsi="宋体" w:eastAsia="宋体"/>
          <w:b/>
          <w:bCs/>
          <w:color w:val="auto"/>
          <w:szCs w:val="21"/>
          <w:highlight w:val="none"/>
        </w:rPr>
      </w:pPr>
      <w:r>
        <w:rPr>
          <w:rFonts w:hint="eastAsia" w:ascii="宋体" w:hAnsi="宋体" w:eastAsia="宋体"/>
          <w:b/>
          <w:bCs/>
          <w:color w:val="auto"/>
          <w:szCs w:val="21"/>
          <w:highlight w:val="none"/>
        </w:rPr>
        <w:t>说明：</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一、享受政府采购支持政策的残疾人福利性单位应当同时满足以下条件：</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（一）安置的残疾人占本单位在职职工人数的比例不低于25%（含25%），并且安置的残疾人人数不少于10人（含10人）；</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（二）依法与安置的每位残疾人签订了一年以上（含一年）的劳动合同或服务协议；</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（三）为安置的每位残疾人按月足额缴纳了基本养老保险、基本医疗保险、失业保险、工伤保险和生育保险等社会保险费；</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（四）通过银行等金融机构向安置的每位残疾人，按月支付了不低于单位所在区县适用的经省级人民政府批准的月最低工资标准的工资；</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（五）提供本单位制造的货物、承担的工程或者服务（以下简称产品），或者提供其他残疾人福利性单位制造的货物（不包括使用非残疾人福利性单位注册商标的货物）。</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二、符合条件的残疾人福利性单位在参加政府采购活动时，应当提供</w:t>
      </w:r>
      <w:r>
        <w:rPr>
          <w:rFonts w:hint="eastAsia"/>
          <w:color w:val="auto"/>
          <w:sz w:val="21"/>
          <w:szCs w:val="21"/>
          <w:highlight w:val="none"/>
        </w:rPr>
        <w:t>财库</w:t>
      </w:r>
      <w:r>
        <w:rPr>
          <w:color w:val="auto"/>
          <w:sz w:val="21"/>
          <w:szCs w:val="21"/>
          <w:highlight w:val="none"/>
        </w:rPr>
        <w:t>[2017]141号</w:t>
      </w:r>
      <w:r>
        <w:rPr>
          <w:rFonts w:hint="eastAsia"/>
          <w:color w:val="auto"/>
          <w:sz w:val="21"/>
          <w:szCs w:val="21"/>
          <w:highlight w:val="none"/>
        </w:rPr>
        <w:t>文件</w:t>
      </w:r>
      <w:r>
        <w:rPr>
          <w:rFonts w:hint="eastAsia"/>
          <w:color w:val="auto"/>
          <w:sz w:val="21"/>
          <w:szCs w:val="21"/>
          <w:highlight w:val="none"/>
        </w:rPr>
        <w:t>规定的《残疾人福利性单位声明函》</w:t>
      </w:r>
      <w:r>
        <w:rPr>
          <w:rFonts w:hint="eastAsia"/>
          <w:color w:val="auto"/>
          <w:sz w:val="21"/>
          <w:szCs w:val="21"/>
          <w:highlight w:val="none"/>
        </w:rPr>
        <w:t>，并对声明的真实性负责。</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三、在政府采购活动中，残疾人福利性单位视同小型、微型企业，享受预留份额、评审中价格扣除等促进中小企业发展的政府采购政策。</w:t>
      </w:r>
    </w:p>
    <w:p>
      <w:pPr>
        <w:pStyle w:val="22"/>
        <w:shd w:val="clear" w:color="auto" w:fill="FFFFFF"/>
        <w:adjustRightInd w:val="0"/>
        <w:snapToGrid w:val="0"/>
        <w:spacing w:before="0" w:beforeAutospacing="0" w:after="0" w:afterAutospacing="0" w:line="288" w:lineRule="auto"/>
        <w:ind w:firstLine="371" w:firstLineChars="177"/>
        <w:rPr>
          <w:color w:val="auto"/>
          <w:sz w:val="21"/>
          <w:szCs w:val="21"/>
          <w:highlight w:val="none"/>
        </w:rPr>
      </w:pPr>
      <w:r>
        <w:rPr>
          <w:rFonts w:hint="eastAsia"/>
          <w:color w:val="auto"/>
          <w:sz w:val="21"/>
          <w:szCs w:val="21"/>
          <w:highlight w:val="none"/>
        </w:rPr>
        <w:t>残疾人福利性单位属于小型、微型企业的，不重复享受政策。</w: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adjustRightInd w:val="0"/>
        <w:snapToGrid w:val="0"/>
        <w:spacing w:line="288" w:lineRule="auto"/>
        <w:outlineLvl w:val="2"/>
        <w:rPr>
          <w:rFonts w:ascii="宋体" w:hAnsi="宋体" w:eastAsia="宋体" w:cs="Times New Roman"/>
          <w:b/>
          <w:bCs/>
          <w:color w:val="auto"/>
          <w:szCs w:val="21"/>
          <w:highlight w:val="none"/>
        </w:rPr>
      </w:pPr>
      <w:r>
        <w:rPr>
          <w:rFonts w:hint="eastAsia" w:ascii="宋体" w:hAnsi="宋体" w:eastAsia="宋体" w:cs="Times New Roman"/>
          <w:b/>
          <w:color w:val="auto"/>
          <w:spacing w:val="-6"/>
          <w:szCs w:val="21"/>
          <w:highlight w:val="none"/>
        </w:rPr>
        <w:t>附件1：</w:t>
      </w:r>
      <w:r>
        <w:rPr>
          <w:rFonts w:hint="eastAsia" w:ascii="宋体" w:hAnsi="宋体" w:eastAsia="宋体" w:cs="Times New Roman"/>
          <w:b/>
          <w:bCs/>
          <w:color w:val="auto"/>
          <w:szCs w:val="21"/>
          <w:highlight w:val="none"/>
        </w:rPr>
        <w:t>业务专用章使用说明函</w:t>
      </w:r>
    </w:p>
    <w:p>
      <w:pPr>
        <w:snapToGrid w:val="0"/>
        <w:spacing w:line="288" w:lineRule="auto"/>
        <w:rPr>
          <w:rFonts w:ascii="宋体" w:hAnsi="宋体" w:eastAsia="宋体" w:cs="仿宋_GB2312"/>
          <w:color w:val="auto"/>
          <w:szCs w:val="21"/>
          <w:highlight w:val="none"/>
          <w:u w:val="single"/>
        </w:rPr>
      </w:pPr>
    </w:p>
    <w:p>
      <w:pPr>
        <w:snapToGrid w:val="0"/>
        <w:spacing w:line="288" w:lineRule="auto"/>
        <w:rPr>
          <w:rFonts w:ascii="宋体" w:hAnsi="宋体" w:eastAsia="宋体" w:cs="Times New Roman"/>
          <w:color w:val="auto"/>
          <w:szCs w:val="21"/>
          <w:highlight w:val="none"/>
        </w:rPr>
      </w:pPr>
      <w:r>
        <w:rPr>
          <w:rFonts w:hint="eastAsia" w:ascii="宋体" w:hAnsi="宋体" w:eastAsia="宋体" w:cs="仿宋_GB2312"/>
          <w:color w:val="auto"/>
          <w:szCs w:val="21"/>
          <w:highlight w:val="none"/>
          <w:u w:val="single"/>
        </w:rPr>
        <w:t>（采购人）、（采购代理机构）</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仿宋_GB2312"/>
          <w:color w:val="auto"/>
          <w:kern w:val="0"/>
          <w:szCs w:val="21"/>
          <w:highlight w:val="none"/>
          <w:lang w:val="zh-CN"/>
        </w:rPr>
        <w:t>我方</w:t>
      </w:r>
      <w:r>
        <w:rPr>
          <w:rFonts w:ascii="宋体" w:hAnsi="宋体" w:eastAsia="宋体" w:cs="仿宋_GB2312"/>
          <w:color w:val="auto"/>
          <w:kern w:val="0"/>
          <w:szCs w:val="21"/>
          <w:highlight w:val="none"/>
          <w:u w:val="single"/>
          <w:lang w:val="zh-CN"/>
        </w:rPr>
        <w:t xml:space="preserve">                         </w:t>
      </w:r>
      <w:r>
        <w:rPr>
          <w:rFonts w:ascii="宋体" w:hAnsi="宋体" w:eastAsia="宋体" w:cs="仿宋_GB2312"/>
          <w:color w:val="auto"/>
          <w:szCs w:val="21"/>
          <w:highlight w:val="none"/>
        </w:rPr>
        <w:t>(</w:t>
      </w:r>
      <w:r>
        <w:rPr>
          <w:rFonts w:hint="eastAsia" w:ascii="宋体" w:hAnsi="宋体" w:eastAsia="宋体" w:cs="仿宋_GB2312"/>
          <w:color w:val="auto"/>
          <w:szCs w:val="21"/>
          <w:highlight w:val="none"/>
        </w:rPr>
        <w:t>供应商</w:t>
      </w:r>
      <w:r>
        <w:rPr>
          <w:rFonts w:ascii="宋体" w:hAnsi="宋体" w:eastAsia="宋体" w:cs="仿宋_GB2312"/>
          <w:color w:val="auto"/>
          <w:szCs w:val="21"/>
          <w:highlight w:val="none"/>
        </w:rPr>
        <w:t>全称)</w:t>
      </w:r>
      <w:r>
        <w:rPr>
          <w:rFonts w:hint="eastAsia" w:ascii="宋体" w:hAnsi="宋体" w:eastAsia="宋体" w:cs="Times New Roman"/>
          <w:color w:val="auto"/>
          <w:szCs w:val="21"/>
          <w:highlight w:val="none"/>
        </w:rPr>
        <w:t>是中华人民共和国依法登记注册的合法企业，</w:t>
      </w:r>
      <w:r>
        <w:rPr>
          <w:rFonts w:hint="eastAsia" w:ascii="宋体" w:hAnsi="宋体" w:eastAsia="宋体" w:cs="宋体"/>
          <w:bCs/>
          <w:color w:val="auto"/>
          <w:szCs w:val="21"/>
          <w:highlight w:val="none"/>
        </w:rPr>
        <w:t>在参加</w:t>
      </w:r>
      <w:r>
        <w:rPr>
          <w:rFonts w:hint="eastAsia" w:ascii="宋体" w:hAnsi="宋体" w:eastAsia="宋体" w:cs="仿宋_GB2312"/>
          <w:color w:val="auto"/>
          <w:szCs w:val="21"/>
          <w:highlight w:val="none"/>
        </w:rPr>
        <w:t>你方组织的</w:t>
      </w:r>
      <w:r>
        <w:rPr>
          <w:rFonts w:hint="eastAsia" w:ascii="宋体" w:hAnsi="宋体" w:eastAsia="宋体" w:cs="仿宋_GB2312"/>
          <w:color w:val="auto"/>
          <w:szCs w:val="21"/>
          <w:highlight w:val="none"/>
          <w:u w:val="single"/>
        </w:rPr>
        <w:t>（项目名称）</w:t>
      </w:r>
      <w:r>
        <w:rPr>
          <w:rFonts w:hint="eastAsia" w:ascii="宋体" w:hAnsi="宋体" w:eastAsia="宋体" w:cs="仿宋_GB2312"/>
          <w:color w:val="auto"/>
          <w:szCs w:val="21"/>
          <w:highlight w:val="none"/>
        </w:rPr>
        <w:t>项目</w:t>
      </w:r>
      <w:r>
        <w:rPr>
          <w:rFonts w:hint="eastAsia" w:ascii="宋体" w:hAnsi="宋体" w:eastAsia="宋体" w:cs="仿宋_GB2312"/>
          <w:color w:val="auto"/>
          <w:szCs w:val="21"/>
          <w:highlight w:val="none"/>
          <w:u w:val="single"/>
        </w:rPr>
        <w:t>（项目编号）</w:t>
      </w:r>
      <w:r>
        <w:rPr>
          <w:rFonts w:hint="eastAsia" w:ascii="宋体" w:hAnsi="宋体" w:eastAsia="宋体" w:cs="宋体"/>
          <w:bCs/>
          <w:color w:val="auto"/>
          <w:szCs w:val="21"/>
          <w:highlight w:val="none"/>
        </w:rPr>
        <w:t>投标（响应）活动中作如下说明：</w:t>
      </w:r>
      <w:r>
        <w:rPr>
          <w:rFonts w:hint="eastAsia" w:ascii="宋体" w:hAnsi="宋体" w:eastAsia="宋体" w:cs="宋体"/>
          <w:color w:val="auto"/>
          <w:szCs w:val="21"/>
          <w:highlight w:val="none"/>
        </w:rPr>
        <w:t>我方所使用的</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与法定名称章具有同等的法律效力，对使用</w:t>
      </w:r>
      <w:r>
        <w:rPr>
          <w:rFonts w:hint="eastAsia" w:ascii="宋体" w:hAnsi="宋体" w:eastAsia="宋体" w:cs="宋体"/>
          <w:color w:val="auto"/>
          <w:szCs w:val="21"/>
          <w:highlight w:val="none"/>
          <w:u w:val="single"/>
        </w:rPr>
        <w:t>“</w:t>
      </w:r>
      <w:r>
        <w:rPr>
          <w:rFonts w:ascii="宋体" w:hAnsi="宋体" w:eastAsia="宋体" w:cs="仿宋_GB2312"/>
          <w:color w:val="auto"/>
          <w:szCs w:val="21"/>
          <w:highlight w:val="none"/>
          <w:u w:val="single"/>
        </w:rPr>
        <w:t>XX</w:t>
      </w:r>
      <w:r>
        <w:rPr>
          <w:rFonts w:hint="eastAsia" w:ascii="宋体" w:hAnsi="宋体" w:eastAsia="宋体" w:cs="宋体"/>
          <w:color w:val="auto"/>
          <w:szCs w:val="21"/>
          <w:highlight w:val="none"/>
          <w:u w:val="single"/>
        </w:rPr>
        <w:t>专用章”</w:t>
      </w:r>
      <w:r>
        <w:rPr>
          <w:rFonts w:hint="eastAsia" w:ascii="宋体" w:hAnsi="宋体" w:eastAsia="宋体" w:cs="宋体"/>
          <w:color w:val="auto"/>
          <w:szCs w:val="21"/>
          <w:highlight w:val="none"/>
        </w:rPr>
        <w:t>的行为予以完全承认，并愿意承担相应责任。</w:t>
      </w:r>
    </w:p>
    <w:p>
      <w:pPr>
        <w:snapToGrid w:val="0"/>
        <w:spacing w:line="288"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特此说明。</w:t>
      </w:r>
    </w:p>
    <w:p>
      <w:pPr>
        <w:snapToGrid w:val="0"/>
        <w:spacing w:line="288" w:lineRule="auto"/>
        <w:ind w:right="480"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供应商（法定名称章）：</w:t>
      </w:r>
    </w:p>
    <w:p>
      <w:pPr>
        <w:snapToGrid w:val="0"/>
        <w:spacing w:line="288" w:lineRule="auto"/>
        <w:ind w:right="1440" w:firstLine="424" w:firstLineChars="202"/>
        <w:rPr>
          <w:rFonts w:ascii="宋体" w:hAnsi="宋体" w:eastAsia="宋体" w:cs="宋体"/>
          <w:color w:val="auto"/>
          <w:szCs w:val="21"/>
          <w:highlight w:val="none"/>
        </w:rPr>
      </w:pPr>
      <w:r>
        <w:rPr>
          <w:rFonts w:ascii="宋体" w:hAnsi="宋体" w:eastAsia="宋体" w:cs="宋体"/>
          <w:color w:val="auto"/>
          <w:szCs w:val="21"/>
          <w:highlight w:val="none"/>
        </w:rPr>
        <w:t>日期：       年     月     日</w:t>
      </w:r>
    </w:p>
    <w:p>
      <w:pPr>
        <w:snapToGrid w:val="0"/>
        <w:spacing w:line="288" w:lineRule="auto"/>
        <w:rPr>
          <w:rFonts w:ascii="宋体" w:hAnsi="宋体" w:eastAsia="宋体" w:cs="宋体"/>
          <w:b/>
          <w:bCs/>
          <w:color w:val="auto"/>
          <w:szCs w:val="21"/>
          <w:highlight w:val="none"/>
        </w:rPr>
      </w:pPr>
    </w:p>
    <w:p>
      <w:pPr>
        <w:snapToGrid w:val="0"/>
        <w:spacing w:line="288" w:lineRule="auto"/>
        <w:rPr>
          <w:rFonts w:ascii="宋体" w:hAnsi="宋体" w:eastAsia="宋体" w:cs="宋体"/>
          <w:color w:val="auto"/>
          <w:szCs w:val="21"/>
          <w:highlight w:val="none"/>
        </w:rPr>
      </w:pPr>
      <w:r>
        <w:rPr>
          <w:rFonts w:hint="eastAsia" w:ascii="宋体" w:hAnsi="宋体" w:eastAsia="宋体" w:cs="宋体"/>
          <w:b/>
          <w:bCs/>
          <w:color w:val="auto"/>
          <w:szCs w:val="21"/>
          <w:highlight w:val="none"/>
        </w:rPr>
        <w:t>附：</w:t>
      </w:r>
      <w:r>
        <w:rPr>
          <w:rFonts w:hint="eastAsia" w:ascii="宋体" w:hAnsi="宋体" w:eastAsia="宋体" w:cs="宋体"/>
          <w:color w:val="auto"/>
          <w:szCs w:val="21"/>
          <w:highlight w:val="none"/>
        </w:rPr>
        <w:t>供应商法定名称章（印模）</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rPr>
        <w:t>供应商“</w:t>
      </w:r>
      <w:r>
        <w:rPr>
          <w:rFonts w:ascii="宋体" w:hAnsi="宋体" w:eastAsia="宋体" w:cs="仿宋_GB2312"/>
          <w:color w:val="auto"/>
          <w:szCs w:val="21"/>
          <w:highlight w:val="none"/>
        </w:rPr>
        <w:t>XX</w:t>
      </w:r>
      <w:r>
        <w:rPr>
          <w:rFonts w:hint="eastAsia" w:ascii="宋体" w:hAnsi="宋体" w:eastAsia="宋体" w:cs="宋体"/>
          <w:color w:val="auto"/>
          <w:szCs w:val="21"/>
          <w:highlight w:val="none"/>
        </w:rPr>
        <w:t>专用章”（印模）</w:t>
      </w:r>
    </w:p>
    <w:p>
      <w:pPr>
        <w:snapToGrid w:val="0"/>
        <w:spacing w:line="288" w:lineRule="auto"/>
        <w:rPr>
          <w:rFonts w:ascii="宋体" w:hAnsi="宋体" w:eastAsia="宋体" w:cs="宋体"/>
          <w:color w:val="auto"/>
          <w:szCs w:val="21"/>
          <w:highlight w:val="none"/>
        </w:rPr>
      </w:pPr>
      <w:r>
        <w:rPr>
          <w:rFonts w:ascii="宋体" w:hAnsi="宋体" w:eastAsia="宋体" w:cs="Times New Roman"/>
          <w:b/>
          <w:bCs/>
          <w:color w:val="auto"/>
          <w:szCs w:val="21"/>
          <w:highlight w:val="none"/>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JNeRvNYAAAAFAQAADwAAAAAAAAABACAAAAAiAAAAZHJzL2Rvd25yZXYueG1sUEsBAhQAFAAA&#10;AAgAh07iQOLXmAkqAgAAdAQAAA4AAAAAAAAAAQAgAAAAJQEAAGRycy9lMm9Eb2MueG1sUEsFBgAA&#10;AAAGAAYAWQEAAMEFA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color w:val="auto"/>
          <w:szCs w:val="21"/>
          <w:highlight w:val="none"/>
        </w:rPr>
        <w:t xml:space="preserve"> </w:t>
      </w:r>
      <w:r>
        <w:rPr>
          <w:rFonts w:ascii="宋体" w:hAnsi="宋体" w:eastAsia="宋体" w:cs="Times New Roman"/>
          <w:b/>
          <w:bCs/>
          <w:color w:val="auto"/>
          <w:szCs w:val="21"/>
          <w:highlight w:val="none"/>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FVJTLUAAAABQEAAA8AAAAAAAAAAQAgAAAAIgAAAGRycy9kb3ducmV2LnhtbFBLAQIUABQAAAAI&#10;AIdO4kB3gn1EKgIAAHQEAAAOAAAAAAAAAAEAIAAAACMBAABkcnMvZTJvRG9jLnhtbFBLBQYAAAAA&#10;BgAGAFkBAAC/BQ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color w:val="auto"/>
          <w:spacing w:val="-6"/>
          <w:szCs w:val="21"/>
          <w:highlight w:val="none"/>
        </w:rPr>
      </w:pPr>
      <w:r>
        <w:rPr>
          <w:rFonts w:ascii="宋体" w:hAnsi="宋体" w:eastAsia="宋体" w:cs="Times New Roman"/>
          <w:b/>
          <w:color w:val="auto"/>
          <w:spacing w:val="-6"/>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lang w:val="zh-CN"/>
        </w:rPr>
      </w:pPr>
      <w:r>
        <w:rPr>
          <w:rFonts w:hint="eastAsia" w:ascii="宋体" w:hAnsi="宋体" w:eastAsia="宋体" w:cs="仿宋_GB2312"/>
          <w:b/>
          <w:color w:val="auto"/>
          <w:kern w:val="0"/>
          <w:szCs w:val="21"/>
          <w:highlight w:val="none"/>
          <w:lang w:val="zh-CN"/>
        </w:rPr>
        <w:t>附件2</w:t>
      </w:r>
      <w:r>
        <w:rPr>
          <w:rFonts w:ascii="宋体" w:hAnsi="宋体" w:eastAsia="宋体" w:cs="仿宋_GB2312"/>
          <w:b/>
          <w:color w:val="auto"/>
          <w:kern w:val="0"/>
          <w:szCs w:val="21"/>
          <w:highlight w:val="none"/>
          <w:lang w:val="zh-CN"/>
        </w:rPr>
        <w:t>：</w:t>
      </w:r>
      <w:r>
        <w:rPr>
          <w:rFonts w:hint="eastAsia" w:ascii="宋体" w:hAnsi="宋体" w:eastAsia="宋体" w:cs="仿宋_GB2312"/>
          <w:b/>
          <w:color w:val="auto"/>
          <w:kern w:val="0"/>
          <w:szCs w:val="21"/>
          <w:highlight w:val="none"/>
          <w:lang w:val="zh-CN"/>
        </w:rPr>
        <w:t>联合协议</w:t>
      </w:r>
    </w:p>
    <w:p>
      <w:pPr>
        <w:widowControl/>
        <w:snapToGrid w:val="0"/>
        <w:spacing w:line="288" w:lineRule="auto"/>
        <w:ind w:firstLine="424" w:firstLineChars="201"/>
        <w:jc w:val="left"/>
        <w:rPr>
          <w:rFonts w:ascii="宋体" w:hAnsi="宋体" w:eastAsia="宋体" w:cs="仿宋_GB2312"/>
          <w:b/>
          <w:color w:val="auto"/>
          <w:szCs w:val="21"/>
          <w:highlight w:val="none"/>
        </w:rPr>
      </w:pPr>
      <w:r>
        <w:rPr>
          <w:rFonts w:hint="eastAsia" w:ascii="宋体" w:hAnsi="宋体" w:eastAsia="宋体" w:cs="仿宋_GB2312"/>
          <w:b/>
          <w:color w:val="auto"/>
          <w:szCs w:val="21"/>
          <w:highlight w:val="none"/>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（联合体所有成员名称）</w:t>
      </w:r>
      <w:r>
        <w:rPr>
          <w:rFonts w:hint="eastAsia" w:ascii="宋体" w:hAnsi="宋体" w:eastAsia="宋体" w:cs="仿宋_GB2312"/>
          <w:color w:val="auto"/>
          <w:kern w:val="0"/>
          <w:szCs w:val="21"/>
          <w:highlight w:val="none"/>
        </w:rPr>
        <w:t>自愿</w:t>
      </w:r>
      <w:r>
        <w:rPr>
          <w:rFonts w:hint="eastAsia" w:ascii="宋体" w:hAnsi="宋体" w:eastAsia="宋体" w:cs="仿宋_GB2312"/>
          <w:color w:val="auto"/>
          <w:kern w:val="0"/>
          <w:szCs w:val="21"/>
          <w:highlight w:val="none"/>
          <w:lang w:val="zh-CN"/>
        </w:rPr>
        <w:t>组成一个联合体，以一个投标人的身份</w:t>
      </w:r>
      <w:r>
        <w:rPr>
          <w:rFonts w:hint="eastAsia" w:ascii="宋体" w:hAnsi="宋体" w:eastAsia="宋体" w:cs="仿宋_GB2312"/>
          <w:color w:val="auto"/>
          <w:kern w:val="0"/>
          <w:szCs w:val="21"/>
          <w:highlight w:val="none"/>
        </w:rPr>
        <w:t>参加</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投标。</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一、各方一致决定，</w:t>
      </w:r>
      <w:r>
        <w:rPr>
          <w:rFonts w:hint="eastAsia" w:ascii="宋体" w:hAnsi="宋体" w:eastAsia="宋体" w:cs="仿宋_GB2312"/>
          <w:color w:val="auto"/>
          <w:kern w:val="0"/>
          <w:szCs w:val="21"/>
          <w:highlight w:val="none"/>
          <w:u w:val="single"/>
        </w:rPr>
        <w:t>（某联合体成员名称）</w:t>
      </w:r>
      <w:r>
        <w:rPr>
          <w:rFonts w:hint="eastAsia" w:ascii="宋体" w:hAnsi="宋体" w:eastAsia="宋体" w:cs="仿宋_GB2312"/>
          <w:color w:val="auto"/>
          <w:kern w:val="0"/>
          <w:szCs w:val="21"/>
          <w:highlight w:val="none"/>
        </w:rPr>
        <w:t>为联合体</w:t>
      </w:r>
      <w:r>
        <w:rPr>
          <w:rFonts w:hint="eastAsia" w:ascii="宋体" w:hAnsi="宋体" w:eastAsia="宋体" w:cs="仿宋_GB2312"/>
          <w:color w:val="auto"/>
          <w:kern w:val="0"/>
          <w:szCs w:val="21"/>
          <w:highlight w:val="none"/>
          <w:lang w:val="zh-CN"/>
        </w:rPr>
        <w:t>牵头人</w:t>
      </w:r>
      <w:r>
        <w:rPr>
          <w:rFonts w:hint="eastAsia" w:ascii="宋体" w:hAnsi="宋体" w:eastAsia="宋体" w:cs="Arial"/>
          <w:color w:val="auto"/>
          <w:szCs w:val="21"/>
          <w:highlight w:val="none"/>
        </w:rPr>
        <w:t>，代表所有联合体成员负责投标和合同实施阶段的主办、协调工作</w:t>
      </w: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w:t>
      </w:r>
      <w:r>
        <w:rPr>
          <w:rFonts w:hint="eastAsia" w:ascii="宋体" w:hAnsi="宋体" w:eastAsia="宋体" w:cs="Arial"/>
          <w:color w:val="auto"/>
          <w:szCs w:val="21"/>
          <w:highlight w:val="none"/>
        </w:rPr>
        <w:t>所有联合体成员各方签署授权书，授权书载明的</w:t>
      </w:r>
      <w:r>
        <w:rPr>
          <w:rFonts w:hint="eastAsia" w:ascii="宋体" w:hAnsi="宋体" w:eastAsia="宋体" w:cs="仿宋_GB2312"/>
          <w:color w:val="auto"/>
          <w:kern w:val="0"/>
          <w:szCs w:val="21"/>
          <w:highlight w:val="none"/>
          <w:lang w:val="zh-CN"/>
        </w:rPr>
        <w:t>授权代表根据招标文件规定及投标内容而对采购人、采购机构所作的任何合法承诺，包括书面澄清及相应等均对联合投标各方产生约束力。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三、本次联合投标中，分工如下：</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lang w:val="zh-CN"/>
        </w:rPr>
        <w:t>承担的工作和义务为：</w:t>
      </w:r>
      <w:r>
        <w:rPr>
          <w:rFonts w:ascii="宋体" w:hAnsi="宋体" w:eastAsia="宋体" w:cs="Times New Roman"/>
          <w:color w:val="auto"/>
          <w:szCs w:val="21"/>
          <w:highlight w:val="none"/>
          <w:u w:val="single"/>
        </w:rPr>
        <w:t xml:space="preserve">             </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lang w:val="zh-CN"/>
        </w:rPr>
        <w:t>四、</w:t>
      </w:r>
      <w:r>
        <w:rPr>
          <w:rFonts w:hint="eastAsia" w:ascii="宋体" w:hAnsi="宋体" w:eastAsia="宋体" w:cs="仿宋_GB2312"/>
          <w:color w:val="auto"/>
          <w:kern w:val="0"/>
          <w:szCs w:val="21"/>
          <w:highlight w:val="none"/>
          <w:u w:val="single"/>
        </w:rPr>
        <w:t>（联合体其中一方成员名称）</w:t>
      </w:r>
      <w:r>
        <w:rPr>
          <w:rFonts w:hint="eastAsia" w:ascii="宋体" w:hAnsi="宋体" w:eastAsia="宋体" w:cs="仿宋_GB2312"/>
          <w:color w:val="auto"/>
          <w:kern w:val="0"/>
          <w:szCs w:val="21"/>
          <w:highlight w:val="none"/>
        </w:rPr>
        <w:t>提供的全部货物由小微企业制造，其合同份额占到合同总金额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仿宋_GB2312"/>
          <w:color w:val="auto"/>
          <w:kern w:val="0"/>
          <w:szCs w:val="21"/>
          <w:highlight w:val="none"/>
          <w:lang w:val="zh-CN"/>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，对联合体报价给予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五、如果中标，</w:t>
      </w:r>
      <w:r>
        <w:rPr>
          <w:rFonts w:hint="eastAsia" w:ascii="宋体" w:hAnsi="宋体" w:eastAsia="宋体" w:cs="Times New Roman"/>
          <w:color w:val="auto"/>
          <w:szCs w:val="21"/>
          <w:highlight w:val="none"/>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六、有关本次联合投标的其他事宜：</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1、联合体各方不再单独参加或者与其</w:t>
      </w:r>
      <w:r>
        <w:rPr>
          <w:rFonts w:hint="eastAsia" w:ascii="宋体" w:hAnsi="宋体" w:eastAsia="宋体" w:cs="仿宋_GB2312"/>
          <w:color w:val="auto"/>
          <w:kern w:val="0"/>
          <w:szCs w:val="21"/>
          <w:highlight w:val="none"/>
          <w:lang w:val="zh-CN"/>
        </w:rPr>
        <w:t>他供应商另外组成联合体参加同一合同项下的政府采购活动。</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仿宋_GB2312"/>
          <w:color w:val="auto"/>
          <w:kern w:val="0"/>
          <w:szCs w:val="21"/>
          <w:highlight w:val="none"/>
          <w:lang w:val="zh-CN"/>
        </w:rPr>
        <w:t>3、本协议提交采购人、采购机构后，联合体各方不得以任何形式对上述内容进行修改或撤销。</w:t>
      </w: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2" w:firstLineChars="201"/>
        <w:rPr>
          <w:rFonts w:ascii="宋体" w:hAnsi="宋体" w:eastAsia="宋体" w:cs="仿宋_GB2312"/>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联合体成员名称</w:t>
      </w:r>
      <w:r>
        <w:rPr>
          <w:rFonts w:ascii="宋体" w:hAnsi="宋体" w:eastAsia="宋体" w:cs="仿宋_GB2312"/>
          <w:b/>
          <w:bCs/>
          <w:color w:val="auto"/>
          <w:kern w:val="0"/>
          <w:szCs w:val="21"/>
          <w:highlight w:val="none"/>
          <w:lang w:val="zh-CN"/>
        </w:rPr>
        <w:t>(电子签名/公章)：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Times New Roman"/>
          <w:b/>
          <w:bCs/>
          <w:color w:val="auto"/>
          <w:szCs w:val="21"/>
          <w:highlight w:val="none"/>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widowControl/>
        <w:jc w:val="left"/>
        <w:rPr>
          <w:rFonts w:ascii="宋体" w:hAnsi="宋体" w:eastAsia="宋体" w:cs="仿宋_GB2312"/>
          <w:b/>
          <w:color w:val="auto"/>
          <w:kern w:val="0"/>
          <w:szCs w:val="21"/>
          <w:highlight w:val="none"/>
        </w:rPr>
      </w:pPr>
      <w:r>
        <w:rPr>
          <w:rFonts w:ascii="宋体" w:hAnsi="宋体" w:eastAsia="宋体" w:cs="仿宋_GB2312"/>
          <w:b/>
          <w:color w:val="auto"/>
          <w:kern w:val="0"/>
          <w:szCs w:val="21"/>
          <w:highlight w:val="none"/>
        </w:rPr>
        <w:br w:type="page"/>
      </w:r>
    </w:p>
    <w:p>
      <w:pPr>
        <w:snapToGrid w:val="0"/>
        <w:spacing w:line="288" w:lineRule="auto"/>
        <w:jc w:val="center"/>
        <w:outlineLvl w:val="2"/>
        <w:rPr>
          <w:rFonts w:ascii="宋体" w:hAnsi="宋体" w:eastAsia="宋体" w:cs="仿宋_GB2312"/>
          <w:b/>
          <w:color w:val="auto"/>
          <w:kern w:val="0"/>
          <w:szCs w:val="21"/>
          <w:highlight w:val="none"/>
        </w:rPr>
      </w:pPr>
      <w:r>
        <w:rPr>
          <w:rFonts w:hint="eastAsia" w:ascii="宋体" w:hAnsi="宋体" w:eastAsia="宋体" w:cs="仿宋_GB2312"/>
          <w:b/>
          <w:color w:val="auto"/>
          <w:kern w:val="0"/>
          <w:szCs w:val="21"/>
          <w:highlight w:val="none"/>
        </w:rPr>
        <w:t>附件3</w:t>
      </w:r>
      <w:r>
        <w:rPr>
          <w:rFonts w:ascii="宋体" w:hAnsi="宋体" w:eastAsia="宋体" w:cs="仿宋_GB2312"/>
          <w:b/>
          <w:color w:val="auto"/>
          <w:kern w:val="0"/>
          <w:szCs w:val="21"/>
          <w:highlight w:val="none"/>
        </w:rPr>
        <w:t>：</w:t>
      </w:r>
      <w:r>
        <w:rPr>
          <w:rFonts w:hint="eastAsia" w:ascii="宋体" w:hAnsi="宋体" w:eastAsia="宋体" w:cs="仿宋_GB2312"/>
          <w:b/>
          <w:color w:val="auto"/>
          <w:kern w:val="0"/>
          <w:szCs w:val="21"/>
          <w:highlight w:val="none"/>
        </w:rPr>
        <w:t>分包意向协议</w:t>
      </w:r>
    </w:p>
    <w:p>
      <w:pPr>
        <w:widowControl/>
        <w:snapToGrid w:val="0"/>
        <w:spacing w:line="288" w:lineRule="auto"/>
        <w:ind w:firstLine="422" w:firstLineChars="201"/>
        <w:jc w:val="left"/>
        <w:rPr>
          <w:rFonts w:ascii="宋体" w:hAnsi="宋体" w:eastAsia="宋体" w:cs="仿宋_GB2312"/>
          <w:color w:val="auto"/>
          <w:szCs w:val="21"/>
          <w:highlight w:val="none"/>
        </w:rPr>
      </w:pPr>
      <w:r>
        <w:rPr>
          <w:rFonts w:hint="eastAsia" w:ascii="宋体" w:hAnsi="宋体" w:eastAsia="宋体" w:cs="仿宋_GB2312"/>
          <w:color w:val="auto"/>
          <w:szCs w:val="21"/>
          <w:highlight w:val="none"/>
        </w:rPr>
        <w:t>（</w:t>
      </w:r>
      <w:r>
        <w:rPr>
          <w:rFonts w:hint="eastAsia" w:ascii="宋体" w:hAnsi="宋体" w:eastAsia="宋体" w:cs="仿宋_GB2312"/>
          <w:b/>
          <w:color w:val="auto"/>
          <w:szCs w:val="21"/>
          <w:highlight w:val="none"/>
        </w:rPr>
        <w:t>中标后以分包方式履行合同的，提供分包意向协议；采购人不同意分包或者投标人中标后不以分包方式履行合同的，则不需要提供。</w:t>
      </w:r>
      <w:r>
        <w:rPr>
          <w:rFonts w:hint="eastAsia" w:ascii="宋体" w:hAnsi="宋体" w:eastAsia="宋体" w:cs="仿宋_GB2312"/>
          <w:color w:val="auto"/>
          <w:szCs w:val="21"/>
          <w:highlight w:val="none"/>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若成为</w:t>
      </w:r>
      <w:r>
        <w:rPr>
          <w:rFonts w:hint="eastAsia" w:ascii="宋体" w:hAnsi="宋体" w:eastAsia="宋体" w:cs="仿宋_GB2312"/>
          <w:color w:val="auto"/>
          <w:szCs w:val="21"/>
          <w:highlight w:val="none"/>
        </w:rPr>
        <w:t>（项目名称）【招标编号：</w:t>
      </w:r>
      <w:r>
        <w:rPr>
          <w:rFonts w:hint="eastAsia" w:ascii="宋体" w:hAnsi="宋体" w:eastAsia="宋体" w:cs="Times New Roman"/>
          <w:color w:val="auto"/>
          <w:szCs w:val="21"/>
          <w:highlight w:val="none"/>
        </w:rPr>
        <w:t>（采购编号）</w:t>
      </w:r>
      <w:r>
        <w:rPr>
          <w:rFonts w:hint="eastAsia" w:ascii="宋体" w:hAnsi="宋体" w:eastAsia="宋体" w:cs="仿宋_GB2312"/>
          <w:color w:val="auto"/>
          <w:szCs w:val="21"/>
          <w:highlight w:val="none"/>
        </w:rPr>
        <w:t>】</w:t>
      </w:r>
      <w:r>
        <w:rPr>
          <w:rFonts w:hint="eastAsia" w:ascii="宋体" w:hAnsi="宋体" w:eastAsia="宋体" w:cs="仿宋_GB2312"/>
          <w:color w:val="auto"/>
          <w:kern w:val="0"/>
          <w:szCs w:val="21"/>
          <w:highlight w:val="none"/>
          <w:lang w:val="zh-CN"/>
        </w:rPr>
        <w:t>的中标供应商，将依法采取分包方式履行合同。</w:t>
      </w: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rPr>
        <w:t>与</w:t>
      </w:r>
      <w:r>
        <w:rPr>
          <w:rFonts w:hint="eastAsia" w:ascii="宋体" w:hAnsi="宋体" w:eastAsia="宋体" w:cs="仿宋_GB2312"/>
          <w:color w:val="auto"/>
          <w:kern w:val="0"/>
          <w:szCs w:val="21"/>
          <w:highlight w:val="none"/>
          <w:u w:val="single"/>
        </w:rPr>
        <w:t>（所有分包供应商名称）</w:t>
      </w:r>
      <w:r>
        <w:rPr>
          <w:rFonts w:hint="eastAsia" w:ascii="宋体" w:hAnsi="宋体" w:eastAsia="宋体" w:cs="仿宋_GB2312"/>
          <w:color w:val="auto"/>
          <w:kern w:val="0"/>
          <w:szCs w:val="21"/>
          <w:highlight w:val="none"/>
        </w:rPr>
        <w:t>达成分包意向协议</w:t>
      </w:r>
      <w:r>
        <w:rPr>
          <w:rFonts w:hint="eastAsia" w:ascii="宋体" w:hAnsi="宋体" w:eastAsia="宋体" w:cs="仿宋_GB2312"/>
          <w:color w:val="auto"/>
          <w:kern w:val="0"/>
          <w:szCs w:val="21"/>
          <w:highlight w:val="none"/>
          <w:lang w:val="zh-CN"/>
        </w:rPr>
        <w:t>。</w:t>
      </w:r>
      <w:r>
        <w:rPr>
          <w:rFonts w:ascii="宋体" w:hAnsi="宋体" w:eastAsia="宋体" w:cs="仿宋_GB2312"/>
          <w:color w:val="auto"/>
          <w:kern w:val="0"/>
          <w:szCs w:val="21"/>
          <w:highlight w:val="none"/>
          <w:lang w:val="zh-CN"/>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一、分包标的及数量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u w:val="single"/>
        </w:rPr>
        <w:t>（投标人名称）</w:t>
      </w:r>
      <w:r>
        <w:rPr>
          <w:rFonts w:hint="eastAsia" w:ascii="宋体" w:hAnsi="宋体" w:eastAsia="宋体" w:cs="仿宋_GB2312"/>
          <w:color w:val="auto"/>
          <w:kern w:val="0"/>
          <w:szCs w:val="21"/>
          <w:highlight w:val="none"/>
          <w:lang w:val="zh-CN"/>
        </w:rPr>
        <w:t>将</w:t>
      </w:r>
      <w:r>
        <w:rPr>
          <w:rFonts w:ascii="宋体" w:hAnsi="宋体" w:eastAsia="宋体" w:cs="Times New Roman"/>
          <w:color w:val="auto"/>
          <w:szCs w:val="21"/>
          <w:highlight w:val="none"/>
          <w:u w:val="single"/>
        </w:rPr>
        <w:t xml:space="preserve">   XX工作内容   </w:t>
      </w:r>
      <w:r>
        <w:rPr>
          <w:rFonts w:hint="eastAsia" w:ascii="宋体" w:hAnsi="宋体" w:eastAsia="宋体" w:cs="Arial"/>
          <w:color w:val="auto"/>
          <w:szCs w:val="21"/>
          <w:highlight w:val="none"/>
        </w:rPr>
        <w:t>分包给</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w:t>
      </w:r>
      <w:r>
        <w:rPr>
          <w:rFonts w:hint="eastAsia" w:ascii="宋体" w:hAnsi="宋体" w:eastAsia="宋体" w:cs="仿宋_GB2312"/>
          <w:color w:val="auto"/>
          <w:kern w:val="0"/>
          <w:szCs w:val="21"/>
          <w:highlight w:val="none"/>
          <w:u w:val="single"/>
        </w:rPr>
        <w:t>（某分包供应商名称），</w:t>
      </w:r>
      <w:r>
        <w:rPr>
          <w:rFonts w:hint="eastAsia" w:ascii="宋体" w:hAnsi="宋体" w:eastAsia="宋体" w:cs="仿宋_GB2312"/>
          <w:color w:val="auto"/>
          <w:kern w:val="0"/>
          <w:szCs w:val="21"/>
          <w:highlight w:val="none"/>
          <w:lang w:val="zh-CN"/>
        </w:rPr>
        <w:t>具备承</w:t>
      </w:r>
      <w:r>
        <w:rPr>
          <w:rFonts w:hint="eastAsia" w:ascii="宋体" w:hAnsi="宋体" w:eastAsia="宋体" w:cs="仿宋_GB2312"/>
          <w:color w:val="auto"/>
          <w:kern w:val="0"/>
          <w:szCs w:val="21"/>
          <w:highlight w:val="none"/>
        </w:rPr>
        <w:t>担</w:t>
      </w:r>
      <w:r>
        <w:rPr>
          <w:rFonts w:ascii="宋体" w:hAnsi="宋体" w:eastAsia="宋体" w:cs="仿宋_GB2312"/>
          <w:color w:val="auto"/>
          <w:kern w:val="0"/>
          <w:szCs w:val="21"/>
          <w:highlight w:val="none"/>
          <w:u w:val="single"/>
          <w:lang w:val="zh-CN"/>
        </w:rPr>
        <w:t>XX工作内容</w:t>
      </w:r>
      <w:r>
        <w:rPr>
          <w:rFonts w:hint="eastAsia" w:ascii="宋体" w:hAnsi="宋体" w:eastAsia="宋体" w:cs="仿宋_GB2312"/>
          <w:color w:val="auto"/>
          <w:kern w:val="0"/>
          <w:szCs w:val="21"/>
          <w:highlight w:val="none"/>
          <w:lang w:val="zh-CN"/>
        </w:rPr>
        <w:t>相应资质条件且不得再次分包；</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二、分包工作履行期限、地点、方式</w:t>
      </w:r>
    </w:p>
    <w:p>
      <w:pPr>
        <w:snapToGrid w:val="0"/>
        <w:spacing w:line="288" w:lineRule="auto"/>
        <w:ind w:firstLine="422" w:firstLineChars="201"/>
        <w:rPr>
          <w:rFonts w:ascii="宋体" w:hAnsi="宋体" w:eastAsia="宋体" w:cs="Times New Roman"/>
          <w:color w:val="auto"/>
          <w:szCs w:val="21"/>
          <w:highlight w:val="none"/>
          <w:u w:val="single"/>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三、质量</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四、价款或者报酬</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五、违约责任</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六、争议解决的办法</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ascii="宋体" w:hAnsi="宋体" w:eastAsia="宋体" w:cs="Times New Roman"/>
          <w:color w:val="auto"/>
          <w:szCs w:val="21"/>
          <w:highlight w:val="none"/>
          <w:u w:val="single"/>
        </w:rPr>
        <w:t xml:space="preserve">                                                                                  </w:t>
      </w:r>
    </w:p>
    <w:p>
      <w:pPr>
        <w:snapToGrid w:val="0"/>
        <w:spacing w:line="288" w:lineRule="auto"/>
        <w:ind w:firstLine="422" w:firstLineChars="201"/>
        <w:rPr>
          <w:rFonts w:ascii="宋体" w:hAnsi="宋体" w:eastAsia="宋体" w:cs="仿宋_GB2312"/>
          <w:color w:val="auto"/>
          <w:kern w:val="0"/>
          <w:szCs w:val="21"/>
          <w:highlight w:val="none"/>
          <w:lang w:val="zh-CN"/>
        </w:rPr>
      </w:pPr>
      <w:r>
        <w:rPr>
          <w:rFonts w:hint="eastAsia" w:ascii="宋体" w:hAnsi="宋体" w:eastAsia="宋体" w:cs="仿宋_GB2312"/>
          <w:color w:val="auto"/>
          <w:kern w:val="0"/>
          <w:szCs w:val="21"/>
          <w:highlight w:val="none"/>
          <w:lang w:val="zh-CN"/>
        </w:rPr>
        <w:t>七、其他</w:t>
      </w:r>
    </w:p>
    <w:p>
      <w:pPr>
        <w:snapToGrid w:val="0"/>
        <w:spacing w:line="288" w:lineRule="auto"/>
        <w:ind w:firstLine="422" w:firstLineChars="201"/>
        <w:rPr>
          <w:rFonts w:ascii="宋体" w:hAnsi="宋体" w:eastAsia="宋体" w:cs="仿宋_GB2312"/>
          <w:b/>
          <w:color w:val="auto"/>
          <w:kern w:val="0"/>
          <w:szCs w:val="21"/>
          <w:highlight w:val="none"/>
          <w:lang w:val="zh-CN"/>
        </w:rPr>
      </w:pPr>
      <w:r>
        <w:rPr>
          <w:rFonts w:hint="eastAsia" w:ascii="宋体" w:hAnsi="宋体" w:eastAsia="宋体" w:cs="仿宋_GB2312"/>
          <w:color w:val="auto"/>
          <w:kern w:val="0"/>
          <w:szCs w:val="21"/>
          <w:highlight w:val="none"/>
          <w:u w:val="single"/>
        </w:rPr>
        <w:t>（分包供应商名称）提供的货物全部由小微企业制造，</w:t>
      </w:r>
      <w:r>
        <w:rPr>
          <w:rFonts w:hint="eastAsia" w:ascii="宋体" w:hAnsi="宋体" w:eastAsia="宋体" w:cs="仿宋_GB2312"/>
          <w:color w:val="auto"/>
          <w:kern w:val="0"/>
          <w:szCs w:val="21"/>
          <w:highlight w:val="none"/>
        </w:rPr>
        <w:t>其合同份额占到合同总金额</w:t>
      </w:r>
      <w:r>
        <w:rPr>
          <w:rFonts w:ascii="宋体" w:hAnsi="宋体" w:eastAsia="宋体" w:cs="仿宋_GB2312"/>
          <w:color w:val="auto"/>
          <w:kern w:val="0"/>
          <w:szCs w:val="21"/>
          <w:highlight w:val="none"/>
          <w:u w:val="single"/>
        </w:rPr>
        <w:t xml:space="preserve">     </w:t>
      </w:r>
      <w:r>
        <w:rPr>
          <w:rFonts w:ascii="宋体" w:hAnsi="宋体" w:eastAsia="宋体" w:cs="仿宋_GB2312"/>
          <w:color w:val="auto"/>
          <w:kern w:val="0"/>
          <w:szCs w:val="21"/>
          <w:highlight w:val="none"/>
        </w:rPr>
        <w:t>%以上</w:t>
      </w:r>
      <w:r>
        <w:rPr>
          <w:rFonts w:hint="eastAsia" w:ascii="宋体" w:hAnsi="宋体" w:eastAsia="宋体" w:cs="Times New Roman"/>
          <w:color w:val="auto"/>
          <w:szCs w:val="21"/>
          <w:highlight w:val="none"/>
        </w:rPr>
        <w:t>。</w:t>
      </w:r>
      <w:r>
        <w:rPr>
          <w:rFonts w:hint="eastAsia" w:ascii="宋体" w:hAnsi="宋体" w:eastAsia="宋体" w:cs="仿宋_GB2312"/>
          <w:b/>
          <w:color w:val="auto"/>
          <w:kern w:val="0"/>
          <w:szCs w:val="21"/>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color w:val="auto"/>
          <w:kern w:val="0"/>
          <w:szCs w:val="21"/>
          <w:highlight w:val="none"/>
          <w:lang w:val="zh-CN"/>
        </w:rPr>
        <w:t xml:space="preserve"> 30%以上</w:t>
      </w:r>
      <w:r>
        <w:rPr>
          <w:rFonts w:hint="eastAsia" w:ascii="宋体" w:hAnsi="宋体" w:eastAsia="宋体" w:cs="仿宋_GB2312"/>
          <w:b/>
          <w:color w:val="auto"/>
          <w:kern w:val="0"/>
          <w:szCs w:val="21"/>
          <w:highlight w:val="none"/>
          <w:lang w:val="zh-CN"/>
        </w:rPr>
        <w:t>的，对大中型企业的报价给予</w:t>
      </w:r>
      <w:r>
        <w:rPr>
          <w:rFonts w:ascii="宋体" w:hAnsi="宋体" w:eastAsia="宋体" w:cs="仿宋_GB2312"/>
          <w:b/>
          <w:color w:val="auto"/>
          <w:kern w:val="0"/>
          <w:szCs w:val="21"/>
          <w:highlight w:val="none"/>
          <w:lang w:val="zh-CN"/>
        </w:rPr>
        <w:t>6%的扣除</w:t>
      </w:r>
      <w:r>
        <w:rPr>
          <w:rFonts w:hint="eastAsia" w:ascii="宋体" w:hAnsi="宋体" w:eastAsia="宋体" w:cs="仿宋_GB2312"/>
          <w:b/>
          <w:color w:val="auto"/>
          <w:kern w:val="0"/>
          <w:szCs w:val="21"/>
          <w:highlight w:val="none"/>
          <w:lang w:val="zh-CN"/>
        </w:rPr>
        <w:t>）</w:t>
      </w:r>
    </w:p>
    <w:p>
      <w:pPr>
        <w:snapToGrid w:val="0"/>
        <w:spacing w:line="288" w:lineRule="auto"/>
        <w:rPr>
          <w:rFonts w:ascii="宋体" w:hAnsi="宋体" w:eastAsia="宋体" w:cs="仿宋_GB2312"/>
          <w:color w:val="auto"/>
          <w:kern w:val="0"/>
          <w:szCs w:val="21"/>
          <w:highlight w:val="none"/>
          <w:lang w:val="zh-CN"/>
        </w:rPr>
      </w:pPr>
    </w:p>
    <w:p>
      <w:pPr>
        <w:snapToGrid w:val="0"/>
        <w:spacing w:line="288" w:lineRule="auto"/>
        <w:ind w:firstLine="422" w:firstLineChars="200"/>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投标人名称（电子签名</w:t>
      </w:r>
      <w:r>
        <w:rPr>
          <w:rFonts w:ascii="宋体" w:hAnsi="宋体" w:eastAsia="宋体" w:cs="仿宋_GB2312"/>
          <w:b/>
          <w:bCs/>
          <w:color w:val="auto"/>
          <w:kern w:val="0"/>
          <w:szCs w:val="21"/>
          <w:highlight w:val="none"/>
          <w:lang w:val="zh-CN"/>
        </w:rPr>
        <w:t>/公章）：</w:t>
      </w:r>
    </w:p>
    <w:p>
      <w:pPr>
        <w:snapToGrid w:val="0"/>
        <w:spacing w:line="288" w:lineRule="auto"/>
        <w:ind w:firstLine="424" w:firstLineChars="201"/>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hint="eastAsia" w:ascii="宋体" w:hAnsi="宋体" w:eastAsia="宋体" w:cs="仿宋_GB2312"/>
          <w:b/>
          <w:bCs/>
          <w:color w:val="auto"/>
          <w:kern w:val="0"/>
          <w:szCs w:val="21"/>
          <w:highlight w:val="none"/>
          <w:lang w:val="zh-CN"/>
        </w:rPr>
        <w:t>分包供应商名称（电子签名</w:t>
      </w:r>
      <w:r>
        <w:rPr>
          <w:rFonts w:ascii="宋体" w:hAnsi="宋体" w:eastAsia="宋体" w:cs="仿宋_GB2312"/>
          <w:b/>
          <w:bCs/>
          <w:color w:val="auto"/>
          <w:kern w:val="0"/>
          <w:szCs w:val="21"/>
          <w:highlight w:val="none"/>
          <w:lang w:val="zh-CN"/>
        </w:rPr>
        <w:t>/公章）：</w:t>
      </w:r>
    </w:p>
    <w:p>
      <w:pPr>
        <w:snapToGrid w:val="0"/>
        <w:spacing w:line="288" w:lineRule="auto"/>
        <w:rPr>
          <w:rFonts w:ascii="宋体" w:hAnsi="宋体" w:eastAsia="宋体" w:cs="仿宋_GB2312"/>
          <w:b/>
          <w:bCs/>
          <w:color w:val="auto"/>
          <w:kern w:val="0"/>
          <w:szCs w:val="21"/>
          <w:highlight w:val="none"/>
          <w:lang w:val="zh-CN"/>
        </w:rPr>
      </w:pPr>
    </w:p>
    <w:p>
      <w:pPr>
        <w:snapToGrid w:val="0"/>
        <w:spacing w:line="288" w:lineRule="auto"/>
        <w:ind w:firstLine="424" w:firstLineChars="201"/>
        <w:rPr>
          <w:rFonts w:ascii="宋体" w:hAnsi="宋体" w:eastAsia="宋体" w:cs="仿宋_GB2312"/>
          <w:b/>
          <w:bCs/>
          <w:color w:val="auto"/>
          <w:kern w:val="0"/>
          <w:szCs w:val="21"/>
          <w:highlight w:val="none"/>
          <w:lang w:val="zh-CN"/>
        </w:rPr>
      </w:pPr>
      <w:r>
        <w:rPr>
          <w:rFonts w:ascii="宋体" w:hAnsi="宋体" w:eastAsia="宋体" w:cs="仿宋_GB2312"/>
          <w:b/>
          <w:bCs/>
          <w:color w:val="auto"/>
          <w:kern w:val="0"/>
          <w:szCs w:val="21"/>
          <w:highlight w:val="none"/>
          <w:lang w:val="zh-CN"/>
        </w:rPr>
        <w:t>日期：  年  月   日</w:t>
      </w:r>
    </w:p>
    <w:p>
      <w:pPr>
        <w:rPr>
          <w:rFonts w:ascii="等线" w:hAnsi="等线" w:eastAsia="等线" w:cs="Times New Roman"/>
          <w:color w:val="auto"/>
          <w:highlight w:val="none"/>
        </w:rPr>
      </w:pPr>
    </w:p>
    <w:tbl>
      <w:tblPr>
        <w:tblStyle w:val="25"/>
        <w:tblW w:w="0" w:type="auto"/>
        <w:tblInd w:w="149"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95"/>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695" w:type="dxa"/>
          </w:tcPr>
          <w:p>
            <w:pPr>
              <w:adjustRightInd w:val="0"/>
              <w:snapToGrid w:val="0"/>
              <w:spacing w:line="288" w:lineRule="auto"/>
              <w:rPr>
                <w:rFonts w:ascii="宋体" w:hAnsi="宋体" w:eastAsia="宋体" w:cs="Times New Roman"/>
                <w:b/>
                <w:color w:val="auto"/>
                <w:spacing w:val="-6"/>
                <w:szCs w:val="21"/>
                <w:highlight w:val="none"/>
              </w:rPr>
            </w:pPr>
          </w:p>
        </w:tc>
      </w:tr>
    </w:tbl>
    <w:p>
      <w:pPr>
        <w:adjustRightInd w:val="0"/>
        <w:snapToGrid w:val="0"/>
        <w:spacing w:line="288" w:lineRule="auto"/>
        <w:rPr>
          <w:rFonts w:ascii="宋体" w:hAnsi="宋体" w:eastAsia="宋体" w:cs="Times New Roman"/>
          <w:b/>
          <w:color w:val="auto"/>
          <w:spacing w:val="-6"/>
          <w:szCs w:val="21"/>
          <w:highlight w:val="none"/>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apple-system">
    <w:altName w:val="微软雅黑"/>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Segoe Print"/>
    <w:panose1 w:val="00000000000000000000"/>
    <w:charset w:val="00"/>
    <w:family w:val="auto"/>
    <w:pitch w:val="default"/>
    <w:sig w:usb0="00000000" w:usb1="00000000" w:usb2="00000002" w:usb3="00000000" w:csb0="00000007" w:csb1="00000000"/>
  </w:font>
  <w:font w:name="ヒラギノ角ゴ Pro W3">
    <w:altName w:val="Yu Gothic"/>
    <w:panose1 w:val="00000000000000000000"/>
    <w:charset w:val="80"/>
    <w:family w:val="auto"/>
    <w:pitch w:val="default"/>
    <w:sig w:usb0="00000000" w:usb1="00000000" w:usb2="00000012" w:usb3="00000000" w:csb0="0002000D" w:csb1="00000000"/>
  </w:font>
  <w:font w:name="STHeiti">
    <w:altName w:val="微软雅黑"/>
    <w:panose1 w:val="00000000000000000000"/>
    <w:charset w:val="86"/>
    <w:family w:val="auto"/>
    <w:pitch w:val="default"/>
    <w:sig w:usb0="00000000" w:usb1="00000000" w:usb2="00000000" w:usb3="00000000" w:csb0="0004009F" w:csb1="DFD70000"/>
  </w:font>
  <w:font w:name="Hiragino Sans GB W3">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8"/>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6373227E"/>
    <w:multiLevelType w:val="singleLevel"/>
    <w:tmpl w:val="6373227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gyMzY5NWQ1ODliZTBkZGU1M2NmOTVhMGFiMjFkOWQifQ=="/>
  </w:docVars>
  <w:rsids>
    <w:rsidRoot w:val="00756626"/>
    <w:rsid w:val="000009E4"/>
    <w:rsid w:val="0000114F"/>
    <w:rsid w:val="0000436F"/>
    <w:rsid w:val="000062F4"/>
    <w:rsid w:val="00006469"/>
    <w:rsid w:val="00006CFD"/>
    <w:rsid w:val="000116E4"/>
    <w:rsid w:val="0001174E"/>
    <w:rsid w:val="00012C41"/>
    <w:rsid w:val="00013608"/>
    <w:rsid w:val="00013B07"/>
    <w:rsid w:val="00014530"/>
    <w:rsid w:val="00015995"/>
    <w:rsid w:val="00016D69"/>
    <w:rsid w:val="00022A3E"/>
    <w:rsid w:val="00034595"/>
    <w:rsid w:val="00037CC3"/>
    <w:rsid w:val="00037F12"/>
    <w:rsid w:val="000404C3"/>
    <w:rsid w:val="00041035"/>
    <w:rsid w:val="0004184A"/>
    <w:rsid w:val="00042FA2"/>
    <w:rsid w:val="00043D3F"/>
    <w:rsid w:val="0004610A"/>
    <w:rsid w:val="00046C0F"/>
    <w:rsid w:val="00047FBE"/>
    <w:rsid w:val="000505CC"/>
    <w:rsid w:val="000506FE"/>
    <w:rsid w:val="000536E0"/>
    <w:rsid w:val="00057E8D"/>
    <w:rsid w:val="000602CB"/>
    <w:rsid w:val="0006261A"/>
    <w:rsid w:val="00065AAC"/>
    <w:rsid w:val="00066C2F"/>
    <w:rsid w:val="00067CDC"/>
    <w:rsid w:val="0007061E"/>
    <w:rsid w:val="00074377"/>
    <w:rsid w:val="000765FF"/>
    <w:rsid w:val="00080197"/>
    <w:rsid w:val="00080E86"/>
    <w:rsid w:val="000814E9"/>
    <w:rsid w:val="00082DB5"/>
    <w:rsid w:val="00082FB1"/>
    <w:rsid w:val="0008372F"/>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6FA3"/>
    <w:rsid w:val="000A74CF"/>
    <w:rsid w:val="000A7D0F"/>
    <w:rsid w:val="000B1B92"/>
    <w:rsid w:val="000B5BC8"/>
    <w:rsid w:val="000C1DE2"/>
    <w:rsid w:val="000C1EF8"/>
    <w:rsid w:val="000C3537"/>
    <w:rsid w:val="000C558F"/>
    <w:rsid w:val="000C587E"/>
    <w:rsid w:val="000C5B11"/>
    <w:rsid w:val="000C67A6"/>
    <w:rsid w:val="000C7E4D"/>
    <w:rsid w:val="000D0B38"/>
    <w:rsid w:val="000D107B"/>
    <w:rsid w:val="000D4121"/>
    <w:rsid w:val="000D5BEC"/>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50C7"/>
    <w:rsid w:val="001273B1"/>
    <w:rsid w:val="00130294"/>
    <w:rsid w:val="00132E0C"/>
    <w:rsid w:val="001358FA"/>
    <w:rsid w:val="00136BCB"/>
    <w:rsid w:val="00137FB9"/>
    <w:rsid w:val="00145597"/>
    <w:rsid w:val="001466D3"/>
    <w:rsid w:val="001472FE"/>
    <w:rsid w:val="00147E13"/>
    <w:rsid w:val="00150DD3"/>
    <w:rsid w:val="00154E6E"/>
    <w:rsid w:val="00160F71"/>
    <w:rsid w:val="00160F8F"/>
    <w:rsid w:val="00162355"/>
    <w:rsid w:val="00162641"/>
    <w:rsid w:val="001629A8"/>
    <w:rsid w:val="00162B7F"/>
    <w:rsid w:val="00163375"/>
    <w:rsid w:val="001639E5"/>
    <w:rsid w:val="00164553"/>
    <w:rsid w:val="00164E88"/>
    <w:rsid w:val="00166D36"/>
    <w:rsid w:val="00166EDC"/>
    <w:rsid w:val="00167EC3"/>
    <w:rsid w:val="0017064E"/>
    <w:rsid w:val="00170DD1"/>
    <w:rsid w:val="00172304"/>
    <w:rsid w:val="00174F3E"/>
    <w:rsid w:val="0017684F"/>
    <w:rsid w:val="001768E5"/>
    <w:rsid w:val="0018079E"/>
    <w:rsid w:val="00182FEC"/>
    <w:rsid w:val="00183AD9"/>
    <w:rsid w:val="001865B0"/>
    <w:rsid w:val="00191976"/>
    <w:rsid w:val="001959A8"/>
    <w:rsid w:val="0019760B"/>
    <w:rsid w:val="00197EDA"/>
    <w:rsid w:val="001A1C51"/>
    <w:rsid w:val="001A24B8"/>
    <w:rsid w:val="001A2D63"/>
    <w:rsid w:val="001A2F81"/>
    <w:rsid w:val="001A3167"/>
    <w:rsid w:val="001A6903"/>
    <w:rsid w:val="001A736E"/>
    <w:rsid w:val="001B01EC"/>
    <w:rsid w:val="001B03B6"/>
    <w:rsid w:val="001B1220"/>
    <w:rsid w:val="001B1958"/>
    <w:rsid w:val="001B1EED"/>
    <w:rsid w:val="001B2007"/>
    <w:rsid w:val="001B2E94"/>
    <w:rsid w:val="001B3AE6"/>
    <w:rsid w:val="001B63B2"/>
    <w:rsid w:val="001B6AE4"/>
    <w:rsid w:val="001B6C0D"/>
    <w:rsid w:val="001C1474"/>
    <w:rsid w:val="001C2000"/>
    <w:rsid w:val="001C2933"/>
    <w:rsid w:val="001C36F9"/>
    <w:rsid w:val="001C3B71"/>
    <w:rsid w:val="001C4075"/>
    <w:rsid w:val="001C6036"/>
    <w:rsid w:val="001C7DD4"/>
    <w:rsid w:val="001D157A"/>
    <w:rsid w:val="001D2D58"/>
    <w:rsid w:val="001D7868"/>
    <w:rsid w:val="001E1516"/>
    <w:rsid w:val="001E1992"/>
    <w:rsid w:val="001E1EBA"/>
    <w:rsid w:val="001E3085"/>
    <w:rsid w:val="001E3D27"/>
    <w:rsid w:val="001F36AC"/>
    <w:rsid w:val="001F47BE"/>
    <w:rsid w:val="001F6B43"/>
    <w:rsid w:val="001F7274"/>
    <w:rsid w:val="002004E1"/>
    <w:rsid w:val="00200536"/>
    <w:rsid w:val="0020103C"/>
    <w:rsid w:val="00201125"/>
    <w:rsid w:val="00201321"/>
    <w:rsid w:val="00204F17"/>
    <w:rsid w:val="0020511E"/>
    <w:rsid w:val="002075A7"/>
    <w:rsid w:val="00210339"/>
    <w:rsid w:val="00211660"/>
    <w:rsid w:val="00213589"/>
    <w:rsid w:val="00217A68"/>
    <w:rsid w:val="00217ADB"/>
    <w:rsid w:val="00220252"/>
    <w:rsid w:val="00221BD1"/>
    <w:rsid w:val="00223595"/>
    <w:rsid w:val="00224BD6"/>
    <w:rsid w:val="002265A9"/>
    <w:rsid w:val="00230DA7"/>
    <w:rsid w:val="002336BD"/>
    <w:rsid w:val="00236327"/>
    <w:rsid w:val="00236937"/>
    <w:rsid w:val="002371E9"/>
    <w:rsid w:val="002402D1"/>
    <w:rsid w:val="002435F2"/>
    <w:rsid w:val="00243D1E"/>
    <w:rsid w:val="002460A0"/>
    <w:rsid w:val="00251F2E"/>
    <w:rsid w:val="002529BD"/>
    <w:rsid w:val="00252E3E"/>
    <w:rsid w:val="0025569A"/>
    <w:rsid w:val="00255E9B"/>
    <w:rsid w:val="00255F77"/>
    <w:rsid w:val="0025659F"/>
    <w:rsid w:val="00256E0C"/>
    <w:rsid w:val="002570E8"/>
    <w:rsid w:val="00257110"/>
    <w:rsid w:val="002607CF"/>
    <w:rsid w:val="00261C96"/>
    <w:rsid w:val="00262884"/>
    <w:rsid w:val="00263494"/>
    <w:rsid w:val="00263BCE"/>
    <w:rsid w:val="00264D84"/>
    <w:rsid w:val="00267917"/>
    <w:rsid w:val="00267A00"/>
    <w:rsid w:val="00272073"/>
    <w:rsid w:val="00275FBD"/>
    <w:rsid w:val="00282765"/>
    <w:rsid w:val="002831C7"/>
    <w:rsid w:val="00283AE2"/>
    <w:rsid w:val="00283EB5"/>
    <w:rsid w:val="002871B1"/>
    <w:rsid w:val="00295A38"/>
    <w:rsid w:val="00296AB0"/>
    <w:rsid w:val="002A17E3"/>
    <w:rsid w:val="002A35E5"/>
    <w:rsid w:val="002A5CFE"/>
    <w:rsid w:val="002A7085"/>
    <w:rsid w:val="002A799A"/>
    <w:rsid w:val="002B0296"/>
    <w:rsid w:val="002B1048"/>
    <w:rsid w:val="002B27F8"/>
    <w:rsid w:val="002B4AE9"/>
    <w:rsid w:val="002B7D0C"/>
    <w:rsid w:val="002C3342"/>
    <w:rsid w:val="002C33D1"/>
    <w:rsid w:val="002C5F5D"/>
    <w:rsid w:val="002C60A9"/>
    <w:rsid w:val="002D08AD"/>
    <w:rsid w:val="002D2EAF"/>
    <w:rsid w:val="002D2FCD"/>
    <w:rsid w:val="002D2FF9"/>
    <w:rsid w:val="002D3A28"/>
    <w:rsid w:val="002E094C"/>
    <w:rsid w:val="002E0BB4"/>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0A66"/>
    <w:rsid w:val="003117B9"/>
    <w:rsid w:val="00311A4B"/>
    <w:rsid w:val="00312BBF"/>
    <w:rsid w:val="00316C36"/>
    <w:rsid w:val="00317A81"/>
    <w:rsid w:val="00320EE9"/>
    <w:rsid w:val="00321487"/>
    <w:rsid w:val="003235A6"/>
    <w:rsid w:val="00327618"/>
    <w:rsid w:val="00330627"/>
    <w:rsid w:val="0033301D"/>
    <w:rsid w:val="00336F68"/>
    <w:rsid w:val="00336FDD"/>
    <w:rsid w:val="0033751E"/>
    <w:rsid w:val="0034093B"/>
    <w:rsid w:val="00341604"/>
    <w:rsid w:val="00341B97"/>
    <w:rsid w:val="00344040"/>
    <w:rsid w:val="0034465D"/>
    <w:rsid w:val="00347CBA"/>
    <w:rsid w:val="003502B4"/>
    <w:rsid w:val="003528DD"/>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0433"/>
    <w:rsid w:val="00392987"/>
    <w:rsid w:val="00392BF4"/>
    <w:rsid w:val="003940F4"/>
    <w:rsid w:val="003959FD"/>
    <w:rsid w:val="003961ED"/>
    <w:rsid w:val="0039799B"/>
    <w:rsid w:val="00397BE5"/>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3A5C"/>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3221"/>
    <w:rsid w:val="003F42B3"/>
    <w:rsid w:val="003F52EA"/>
    <w:rsid w:val="003F7C22"/>
    <w:rsid w:val="00400160"/>
    <w:rsid w:val="004011A4"/>
    <w:rsid w:val="00401E65"/>
    <w:rsid w:val="00403B44"/>
    <w:rsid w:val="00403FBB"/>
    <w:rsid w:val="00405332"/>
    <w:rsid w:val="0041002E"/>
    <w:rsid w:val="00413B01"/>
    <w:rsid w:val="0041400B"/>
    <w:rsid w:val="004142D4"/>
    <w:rsid w:val="00416A3D"/>
    <w:rsid w:val="004173F4"/>
    <w:rsid w:val="00417F83"/>
    <w:rsid w:val="00421693"/>
    <w:rsid w:val="00421A8E"/>
    <w:rsid w:val="004237F8"/>
    <w:rsid w:val="0042391B"/>
    <w:rsid w:val="00426923"/>
    <w:rsid w:val="004303C0"/>
    <w:rsid w:val="0043170C"/>
    <w:rsid w:val="004327AE"/>
    <w:rsid w:val="00432BE3"/>
    <w:rsid w:val="00433671"/>
    <w:rsid w:val="00435409"/>
    <w:rsid w:val="004367D9"/>
    <w:rsid w:val="004405C0"/>
    <w:rsid w:val="00440932"/>
    <w:rsid w:val="004430E8"/>
    <w:rsid w:val="0044335C"/>
    <w:rsid w:val="004457B0"/>
    <w:rsid w:val="00445D75"/>
    <w:rsid w:val="0045480E"/>
    <w:rsid w:val="00456743"/>
    <w:rsid w:val="00456DA5"/>
    <w:rsid w:val="00457EA2"/>
    <w:rsid w:val="00460CAF"/>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2F0"/>
    <w:rsid w:val="004866A5"/>
    <w:rsid w:val="00487F77"/>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C7239"/>
    <w:rsid w:val="004D0781"/>
    <w:rsid w:val="004D191A"/>
    <w:rsid w:val="004D2BC8"/>
    <w:rsid w:val="004D3156"/>
    <w:rsid w:val="004D3FD1"/>
    <w:rsid w:val="004D6D2F"/>
    <w:rsid w:val="004D71C3"/>
    <w:rsid w:val="004D7363"/>
    <w:rsid w:val="004E0369"/>
    <w:rsid w:val="004E373B"/>
    <w:rsid w:val="004E40A7"/>
    <w:rsid w:val="004E764E"/>
    <w:rsid w:val="004F1F7A"/>
    <w:rsid w:val="004F6FC7"/>
    <w:rsid w:val="004F749F"/>
    <w:rsid w:val="004F7DDD"/>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BCF"/>
    <w:rsid w:val="00530034"/>
    <w:rsid w:val="00530A6E"/>
    <w:rsid w:val="00530E18"/>
    <w:rsid w:val="00532DCE"/>
    <w:rsid w:val="00533573"/>
    <w:rsid w:val="0053482D"/>
    <w:rsid w:val="005349E7"/>
    <w:rsid w:val="00536EA4"/>
    <w:rsid w:val="005377CB"/>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4E22"/>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941"/>
    <w:rsid w:val="00597EA9"/>
    <w:rsid w:val="005A026D"/>
    <w:rsid w:val="005A2031"/>
    <w:rsid w:val="005A27BF"/>
    <w:rsid w:val="005A603C"/>
    <w:rsid w:val="005A6A8A"/>
    <w:rsid w:val="005A6C9A"/>
    <w:rsid w:val="005B2265"/>
    <w:rsid w:val="005B6DCA"/>
    <w:rsid w:val="005B7D64"/>
    <w:rsid w:val="005C1B0A"/>
    <w:rsid w:val="005C25EA"/>
    <w:rsid w:val="005C26DA"/>
    <w:rsid w:val="005D0C62"/>
    <w:rsid w:val="005D36AA"/>
    <w:rsid w:val="005D4D28"/>
    <w:rsid w:val="005D5F6E"/>
    <w:rsid w:val="005D7DA7"/>
    <w:rsid w:val="005E1ABE"/>
    <w:rsid w:val="005E2D92"/>
    <w:rsid w:val="005E504F"/>
    <w:rsid w:val="005E5251"/>
    <w:rsid w:val="005E632D"/>
    <w:rsid w:val="005E74BA"/>
    <w:rsid w:val="005F1144"/>
    <w:rsid w:val="005F14E1"/>
    <w:rsid w:val="005F2651"/>
    <w:rsid w:val="005F2D6F"/>
    <w:rsid w:val="005F3D9D"/>
    <w:rsid w:val="005F531A"/>
    <w:rsid w:val="005F5528"/>
    <w:rsid w:val="005F65C8"/>
    <w:rsid w:val="005F70AB"/>
    <w:rsid w:val="005F7DB1"/>
    <w:rsid w:val="005F7F4E"/>
    <w:rsid w:val="00602E5E"/>
    <w:rsid w:val="0060397B"/>
    <w:rsid w:val="006070EC"/>
    <w:rsid w:val="006072E8"/>
    <w:rsid w:val="00611AFB"/>
    <w:rsid w:val="00612D9B"/>
    <w:rsid w:val="006135DB"/>
    <w:rsid w:val="006143BF"/>
    <w:rsid w:val="006153AB"/>
    <w:rsid w:val="006175EF"/>
    <w:rsid w:val="006252C4"/>
    <w:rsid w:val="00627588"/>
    <w:rsid w:val="006277FA"/>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382D"/>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07DC"/>
    <w:rsid w:val="006B1767"/>
    <w:rsid w:val="006B4735"/>
    <w:rsid w:val="006B60FC"/>
    <w:rsid w:val="006C0103"/>
    <w:rsid w:val="006C1090"/>
    <w:rsid w:val="006C2C6E"/>
    <w:rsid w:val="006C3E32"/>
    <w:rsid w:val="006C4D6A"/>
    <w:rsid w:val="006C5E79"/>
    <w:rsid w:val="006C6CB7"/>
    <w:rsid w:val="006C7249"/>
    <w:rsid w:val="006D3FAD"/>
    <w:rsid w:val="006D584E"/>
    <w:rsid w:val="006D5DA2"/>
    <w:rsid w:val="006D7100"/>
    <w:rsid w:val="006E098A"/>
    <w:rsid w:val="006E0B30"/>
    <w:rsid w:val="006E0F3D"/>
    <w:rsid w:val="006E4AF2"/>
    <w:rsid w:val="006E4EDF"/>
    <w:rsid w:val="006E6008"/>
    <w:rsid w:val="006F1A49"/>
    <w:rsid w:val="006F2BC8"/>
    <w:rsid w:val="006F34B7"/>
    <w:rsid w:val="006F4883"/>
    <w:rsid w:val="006F5738"/>
    <w:rsid w:val="006F6B94"/>
    <w:rsid w:val="00700424"/>
    <w:rsid w:val="00701FAE"/>
    <w:rsid w:val="00702E4C"/>
    <w:rsid w:val="007068E0"/>
    <w:rsid w:val="00710E91"/>
    <w:rsid w:val="0071276D"/>
    <w:rsid w:val="00712B38"/>
    <w:rsid w:val="00716277"/>
    <w:rsid w:val="007164C7"/>
    <w:rsid w:val="0071668C"/>
    <w:rsid w:val="00716C53"/>
    <w:rsid w:val="0071784C"/>
    <w:rsid w:val="0072034D"/>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3C30"/>
    <w:rsid w:val="00756626"/>
    <w:rsid w:val="007572BE"/>
    <w:rsid w:val="00757AB0"/>
    <w:rsid w:val="00763093"/>
    <w:rsid w:val="00764B19"/>
    <w:rsid w:val="00765853"/>
    <w:rsid w:val="0076760A"/>
    <w:rsid w:val="007709F6"/>
    <w:rsid w:val="00774D1E"/>
    <w:rsid w:val="007765A6"/>
    <w:rsid w:val="00777132"/>
    <w:rsid w:val="00781FE8"/>
    <w:rsid w:val="00782776"/>
    <w:rsid w:val="00784092"/>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9799C"/>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428F"/>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3703"/>
    <w:rsid w:val="007E5D59"/>
    <w:rsid w:val="007E6466"/>
    <w:rsid w:val="007E6782"/>
    <w:rsid w:val="007E74B9"/>
    <w:rsid w:val="007E7D3E"/>
    <w:rsid w:val="007F1E7D"/>
    <w:rsid w:val="007F3874"/>
    <w:rsid w:val="007F46A2"/>
    <w:rsid w:val="007F4F71"/>
    <w:rsid w:val="007F5783"/>
    <w:rsid w:val="007F58B9"/>
    <w:rsid w:val="007F73C5"/>
    <w:rsid w:val="007F7402"/>
    <w:rsid w:val="0080168B"/>
    <w:rsid w:val="00803689"/>
    <w:rsid w:val="008051C0"/>
    <w:rsid w:val="00805478"/>
    <w:rsid w:val="00806034"/>
    <w:rsid w:val="008062F5"/>
    <w:rsid w:val="00806C75"/>
    <w:rsid w:val="00810B33"/>
    <w:rsid w:val="008115C4"/>
    <w:rsid w:val="00814392"/>
    <w:rsid w:val="008143E7"/>
    <w:rsid w:val="008147B0"/>
    <w:rsid w:val="00814D6D"/>
    <w:rsid w:val="0081666D"/>
    <w:rsid w:val="00816F86"/>
    <w:rsid w:val="00817559"/>
    <w:rsid w:val="00824E42"/>
    <w:rsid w:val="00826BEC"/>
    <w:rsid w:val="008309E3"/>
    <w:rsid w:val="0083275D"/>
    <w:rsid w:val="00832A91"/>
    <w:rsid w:val="008331E4"/>
    <w:rsid w:val="00833B3B"/>
    <w:rsid w:val="00834263"/>
    <w:rsid w:val="0083518C"/>
    <w:rsid w:val="00835258"/>
    <w:rsid w:val="00836C7B"/>
    <w:rsid w:val="00837077"/>
    <w:rsid w:val="00837A11"/>
    <w:rsid w:val="008400F7"/>
    <w:rsid w:val="00842E01"/>
    <w:rsid w:val="00843CE6"/>
    <w:rsid w:val="00844B85"/>
    <w:rsid w:val="00845785"/>
    <w:rsid w:val="0084594D"/>
    <w:rsid w:val="0084629B"/>
    <w:rsid w:val="008470A5"/>
    <w:rsid w:val="008524BA"/>
    <w:rsid w:val="00854FBA"/>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B766B"/>
    <w:rsid w:val="008C23E0"/>
    <w:rsid w:val="008C2FF9"/>
    <w:rsid w:val="008C3D8A"/>
    <w:rsid w:val="008C3FF0"/>
    <w:rsid w:val="008C56F5"/>
    <w:rsid w:val="008C59F4"/>
    <w:rsid w:val="008C6787"/>
    <w:rsid w:val="008C7394"/>
    <w:rsid w:val="008C7810"/>
    <w:rsid w:val="008C789D"/>
    <w:rsid w:val="008D0FB0"/>
    <w:rsid w:val="008D2DB0"/>
    <w:rsid w:val="008D3747"/>
    <w:rsid w:val="008D6BE2"/>
    <w:rsid w:val="008E0100"/>
    <w:rsid w:val="008E3FD6"/>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948"/>
    <w:rsid w:val="00912B21"/>
    <w:rsid w:val="0091365F"/>
    <w:rsid w:val="00917842"/>
    <w:rsid w:val="009207E0"/>
    <w:rsid w:val="00920B8E"/>
    <w:rsid w:val="00921DF6"/>
    <w:rsid w:val="00924893"/>
    <w:rsid w:val="00926422"/>
    <w:rsid w:val="009302F3"/>
    <w:rsid w:val="00934006"/>
    <w:rsid w:val="009369AF"/>
    <w:rsid w:val="00937328"/>
    <w:rsid w:val="0093779E"/>
    <w:rsid w:val="00940228"/>
    <w:rsid w:val="00945580"/>
    <w:rsid w:val="009461B5"/>
    <w:rsid w:val="00950D6E"/>
    <w:rsid w:val="009548AD"/>
    <w:rsid w:val="00956637"/>
    <w:rsid w:val="0095717F"/>
    <w:rsid w:val="0096020D"/>
    <w:rsid w:val="00961952"/>
    <w:rsid w:val="009652E1"/>
    <w:rsid w:val="009700EA"/>
    <w:rsid w:val="00973324"/>
    <w:rsid w:val="00973450"/>
    <w:rsid w:val="00975C50"/>
    <w:rsid w:val="00976106"/>
    <w:rsid w:val="009816FF"/>
    <w:rsid w:val="009837EC"/>
    <w:rsid w:val="009845F3"/>
    <w:rsid w:val="00986D49"/>
    <w:rsid w:val="00990633"/>
    <w:rsid w:val="00991551"/>
    <w:rsid w:val="00994B9D"/>
    <w:rsid w:val="009A2069"/>
    <w:rsid w:val="009A24DD"/>
    <w:rsid w:val="009A506D"/>
    <w:rsid w:val="009A55BF"/>
    <w:rsid w:val="009A73F9"/>
    <w:rsid w:val="009B0065"/>
    <w:rsid w:val="009B0ACF"/>
    <w:rsid w:val="009B2CDC"/>
    <w:rsid w:val="009B4623"/>
    <w:rsid w:val="009B4FED"/>
    <w:rsid w:val="009B68FA"/>
    <w:rsid w:val="009B6FEB"/>
    <w:rsid w:val="009C2D3A"/>
    <w:rsid w:val="009C428B"/>
    <w:rsid w:val="009C5F48"/>
    <w:rsid w:val="009C62B5"/>
    <w:rsid w:val="009D1398"/>
    <w:rsid w:val="009D4E08"/>
    <w:rsid w:val="009D5CF6"/>
    <w:rsid w:val="009D62DB"/>
    <w:rsid w:val="009D79D9"/>
    <w:rsid w:val="009E0216"/>
    <w:rsid w:val="009E0D54"/>
    <w:rsid w:val="009E2C98"/>
    <w:rsid w:val="009E49F2"/>
    <w:rsid w:val="009E5DE6"/>
    <w:rsid w:val="009E6E7D"/>
    <w:rsid w:val="009E7376"/>
    <w:rsid w:val="009F00CA"/>
    <w:rsid w:val="009F1AD2"/>
    <w:rsid w:val="009F5445"/>
    <w:rsid w:val="009F6E40"/>
    <w:rsid w:val="00A01CA9"/>
    <w:rsid w:val="00A02B70"/>
    <w:rsid w:val="00A02EC0"/>
    <w:rsid w:val="00A0310D"/>
    <w:rsid w:val="00A0388A"/>
    <w:rsid w:val="00A11D23"/>
    <w:rsid w:val="00A12BFB"/>
    <w:rsid w:val="00A131C6"/>
    <w:rsid w:val="00A13BEB"/>
    <w:rsid w:val="00A14643"/>
    <w:rsid w:val="00A153E2"/>
    <w:rsid w:val="00A168D3"/>
    <w:rsid w:val="00A208BD"/>
    <w:rsid w:val="00A20C0F"/>
    <w:rsid w:val="00A23ACE"/>
    <w:rsid w:val="00A24843"/>
    <w:rsid w:val="00A24A64"/>
    <w:rsid w:val="00A25BD1"/>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616FB"/>
    <w:rsid w:val="00A62074"/>
    <w:rsid w:val="00A626B0"/>
    <w:rsid w:val="00A632E7"/>
    <w:rsid w:val="00A63A9C"/>
    <w:rsid w:val="00A63F72"/>
    <w:rsid w:val="00A66EBD"/>
    <w:rsid w:val="00A72B3B"/>
    <w:rsid w:val="00A73039"/>
    <w:rsid w:val="00A7388F"/>
    <w:rsid w:val="00A739E7"/>
    <w:rsid w:val="00A75C85"/>
    <w:rsid w:val="00A81A17"/>
    <w:rsid w:val="00A83CAF"/>
    <w:rsid w:val="00A8478E"/>
    <w:rsid w:val="00A85D86"/>
    <w:rsid w:val="00A867EB"/>
    <w:rsid w:val="00A91A61"/>
    <w:rsid w:val="00A91F9F"/>
    <w:rsid w:val="00A93921"/>
    <w:rsid w:val="00A93BEF"/>
    <w:rsid w:val="00A94BE5"/>
    <w:rsid w:val="00AA1C1B"/>
    <w:rsid w:val="00AA1EC4"/>
    <w:rsid w:val="00AA26BF"/>
    <w:rsid w:val="00AA4EEB"/>
    <w:rsid w:val="00AA6158"/>
    <w:rsid w:val="00AB0CAA"/>
    <w:rsid w:val="00AB0DB9"/>
    <w:rsid w:val="00AB197A"/>
    <w:rsid w:val="00AB538C"/>
    <w:rsid w:val="00AB6351"/>
    <w:rsid w:val="00AC0C26"/>
    <w:rsid w:val="00AC2484"/>
    <w:rsid w:val="00AC2AE1"/>
    <w:rsid w:val="00AC729C"/>
    <w:rsid w:val="00AC72F9"/>
    <w:rsid w:val="00AD15D6"/>
    <w:rsid w:val="00AD3A6E"/>
    <w:rsid w:val="00AD4215"/>
    <w:rsid w:val="00AD454A"/>
    <w:rsid w:val="00AD73AB"/>
    <w:rsid w:val="00AD7AC4"/>
    <w:rsid w:val="00AE109C"/>
    <w:rsid w:val="00AE14D1"/>
    <w:rsid w:val="00AE2D51"/>
    <w:rsid w:val="00AE344D"/>
    <w:rsid w:val="00AE48F6"/>
    <w:rsid w:val="00AE5218"/>
    <w:rsid w:val="00AE5853"/>
    <w:rsid w:val="00AE607F"/>
    <w:rsid w:val="00AE6143"/>
    <w:rsid w:val="00AE6479"/>
    <w:rsid w:val="00AE65DE"/>
    <w:rsid w:val="00AF02D2"/>
    <w:rsid w:val="00AF0A8C"/>
    <w:rsid w:val="00AF0D11"/>
    <w:rsid w:val="00AF2EB1"/>
    <w:rsid w:val="00AF4159"/>
    <w:rsid w:val="00AF476D"/>
    <w:rsid w:val="00AF47F0"/>
    <w:rsid w:val="00AF4A70"/>
    <w:rsid w:val="00AF4C17"/>
    <w:rsid w:val="00AF57C7"/>
    <w:rsid w:val="00AF7D17"/>
    <w:rsid w:val="00AF7E39"/>
    <w:rsid w:val="00AF7E5B"/>
    <w:rsid w:val="00B016AA"/>
    <w:rsid w:val="00B02CEA"/>
    <w:rsid w:val="00B03E42"/>
    <w:rsid w:val="00B11414"/>
    <w:rsid w:val="00B1458A"/>
    <w:rsid w:val="00B14D72"/>
    <w:rsid w:val="00B2224D"/>
    <w:rsid w:val="00B228EA"/>
    <w:rsid w:val="00B26485"/>
    <w:rsid w:val="00B27103"/>
    <w:rsid w:val="00B27134"/>
    <w:rsid w:val="00B27466"/>
    <w:rsid w:val="00B31493"/>
    <w:rsid w:val="00B3468F"/>
    <w:rsid w:val="00B408F4"/>
    <w:rsid w:val="00B41A65"/>
    <w:rsid w:val="00B42A3F"/>
    <w:rsid w:val="00B44146"/>
    <w:rsid w:val="00B5172B"/>
    <w:rsid w:val="00B5208F"/>
    <w:rsid w:val="00B5382A"/>
    <w:rsid w:val="00B54056"/>
    <w:rsid w:val="00B54F8A"/>
    <w:rsid w:val="00B5680A"/>
    <w:rsid w:val="00B56D12"/>
    <w:rsid w:val="00B608E3"/>
    <w:rsid w:val="00B6179A"/>
    <w:rsid w:val="00B63121"/>
    <w:rsid w:val="00B64886"/>
    <w:rsid w:val="00B6513B"/>
    <w:rsid w:val="00B66247"/>
    <w:rsid w:val="00B6671E"/>
    <w:rsid w:val="00B709E0"/>
    <w:rsid w:val="00B70A8E"/>
    <w:rsid w:val="00B71159"/>
    <w:rsid w:val="00B724F3"/>
    <w:rsid w:val="00B76833"/>
    <w:rsid w:val="00B76BE5"/>
    <w:rsid w:val="00B774D4"/>
    <w:rsid w:val="00B80080"/>
    <w:rsid w:val="00B83888"/>
    <w:rsid w:val="00B8482A"/>
    <w:rsid w:val="00B852B1"/>
    <w:rsid w:val="00B85628"/>
    <w:rsid w:val="00B878AA"/>
    <w:rsid w:val="00B87F7A"/>
    <w:rsid w:val="00B90814"/>
    <w:rsid w:val="00B90B33"/>
    <w:rsid w:val="00B91985"/>
    <w:rsid w:val="00B91B56"/>
    <w:rsid w:val="00B94AC5"/>
    <w:rsid w:val="00B962D4"/>
    <w:rsid w:val="00B96B37"/>
    <w:rsid w:val="00BA1A4F"/>
    <w:rsid w:val="00BA1D36"/>
    <w:rsid w:val="00BA396F"/>
    <w:rsid w:val="00BA3CDF"/>
    <w:rsid w:val="00BA4D43"/>
    <w:rsid w:val="00BA74CC"/>
    <w:rsid w:val="00BB0B3D"/>
    <w:rsid w:val="00BB360E"/>
    <w:rsid w:val="00BB5F21"/>
    <w:rsid w:val="00BB5FAE"/>
    <w:rsid w:val="00BC1A71"/>
    <w:rsid w:val="00BC2783"/>
    <w:rsid w:val="00BC38C1"/>
    <w:rsid w:val="00BC48DB"/>
    <w:rsid w:val="00BC4928"/>
    <w:rsid w:val="00BC4A6C"/>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6255"/>
    <w:rsid w:val="00BE7F67"/>
    <w:rsid w:val="00BF3D5C"/>
    <w:rsid w:val="00C01687"/>
    <w:rsid w:val="00C02080"/>
    <w:rsid w:val="00C02627"/>
    <w:rsid w:val="00C03DE1"/>
    <w:rsid w:val="00C040C7"/>
    <w:rsid w:val="00C04314"/>
    <w:rsid w:val="00C049FB"/>
    <w:rsid w:val="00C072F6"/>
    <w:rsid w:val="00C07B07"/>
    <w:rsid w:val="00C10A57"/>
    <w:rsid w:val="00C111CD"/>
    <w:rsid w:val="00C11B1B"/>
    <w:rsid w:val="00C12647"/>
    <w:rsid w:val="00C12F52"/>
    <w:rsid w:val="00C1310A"/>
    <w:rsid w:val="00C14020"/>
    <w:rsid w:val="00C2067F"/>
    <w:rsid w:val="00C2096F"/>
    <w:rsid w:val="00C21AEB"/>
    <w:rsid w:val="00C25898"/>
    <w:rsid w:val="00C266F1"/>
    <w:rsid w:val="00C270E3"/>
    <w:rsid w:val="00C31323"/>
    <w:rsid w:val="00C32230"/>
    <w:rsid w:val="00C32F32"/>
    <w:rsid w:val="00C33147"/>
    <w:rsid w:val="00C338B0"/>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C72"/>
    <w:rsid w:val="00C77FD8"/>
    <w:rsid w:val="00C81DC4"/>
    <w:rsid w:val="00C8490D"/>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B6F8D"/>
    <w:rsid w:val="00CC100D"/>
    <w:rsid w:val="00CC1CB3"/>
    <w:rsid w:val="00CC370C"/>
    <w:rsid w:val="00CC37F5"/>
    <w:rsid w:val="00CC4070"/>
    <w:rsid w:val="00CC477F"/>
    <w:rsid w:val="00CC4A5C"/>
    <w:rsid w:val="00CC5DA0"/>
    <w:rsid w:val="00CD05FA"/>
    <w:rsid w:val="00CD137D"/>
    <w:rsid w:val="00CD1509"/>
    <w:rsid w:val="00CD1574"/>
    <w:rsid w:val="00CD15DC"/>
    <w:rsid w:val="00CD4CE1"/>
    <w:rsid w:val="00CD5120"/>
    <w:rsid w:val="00CD674E"/>
    <w:rsid w:val="00CD6C86"/>
    <w:rsid w:val="00CD6CAD"/>
    <w:rsid w:val="00CD7100"/>
    <w:rsid w:val="00CE1BC2"/>
    <w:rsid w:val="00CE2E6F"/>
    <w:rsid w:val="00CE35C4"/>
    <w:rsid w:val="00CE3C16"/>
    <w:rsid w:val="00CE6FB6"/>
    <w:rsid w:val="00CE7AD9"/>
    <w:rsid w:val="00CF0498"/>
    <w:rsid w:val="00CF32A8"/>
    <w:rsid w:val="00CF3576"/>
    <w:rsid w:val="00CF4740"/>
    <w:rsid w:val="00CF4781"/>
    <w:rsid w:val="00CF4FAD"/>
    <w:rsid w:val="00CF6826"/>
    <w:rsid w:val="00CF7A2E"/>
    <w:rsid w:val="00D004A9"/>
    <w:rsid w:val="00D00847"/>
    <w:rsid w:val="00D02590"/>
    <w:rsid w:val="00D03363"/>
    <w:rsid w:val="00D04AA5"/>
    <w:rsid w:val="00D1199A"/>
    <w:rsid w:val="00D13B8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6D80"/>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2EAB"/>
    <w:rsid w:val="00D867C7"/>
    <w:rsid w:val="00D93388"/>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76D98"/>
    <w:rsid w:val="00E8199F"/>
    <w:rsid w:val="00E81C2D"/>
    <w:rsid w:val="00E826D9"/>
    <w:rsid w:val="00E84626"/>
    <w:rsid w:val="00E849B4"/>
    <w:rsid w:val="00E84C89"/>
    <w:rsid w:val="00E85DFB"/>
    <w:rsid w:val="00E8613C"/>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58A6"/>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4626"/>
    <w:rsid w:val="00F0522D"/>
    <w:rsid w:val="00F06AEE"/>
    <w:rsid w:val="00F10907"/>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56E8D"/>
    <w:rsid w:val="00F612B8"/>
    <w:rsid w:val="00F61515"/>
    <w:rsid w:val="00F6239F"/>
    <w:rsid w:val="00F63B33"/>
    <w:rsid w:val="00F65007"/>
    <w:rsid w:val="00F65257"/>
    <w:rsid w:val="00F66744"/>
    <w:rsid w:val="00F7009B"/>
    <w:rsid w:val="00F70D99"/>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5663"/>
    <w:rsid w:val="00F9692B"/>
    <w:rsid w:val="00FA15C6"/>
    <w:rsid w:val="00FA3B2F"/>
    <w:rsid w:val="00FA3C67"/>
    <w:rsid w:val="00FA4722"/>
    <w:rsid w:val="00FA4BE6"/>
    <w:rsid w:val="00FA52DE"/>
    <w:rsid w:val="00FA5BCA"/>
    <w:rsid w:val="00FA5F22"/>
    <w:rsid w:val="00FA616D"/>
    <w:rsid w:val="00FB4062"/>
    <w:rsid w:val="00FB44A9"/>
    <w:rsid w:val="00FB4F62"/>
    <w:rsid w:val="00FB5459"/>
    <w:rsid w:val="00FB625A"/>
    <w:rsid w:val="00FB69F4"/>
    <w:rsid w:val="00FC0078"/>
    <w:rsid w:val="00FC3127"/>
    <w:rsid w:val="00FC59A5"/>
    <w:rsid w:val="00FD1977"/>
    <w:rsid w:val="00FD1F23"/>
    <w:rsid w:val="00FD3E41"/>
    <w:rsid w:val="00FD4001"/>
    <w:rsid w:val="00FD4A9E"/>
    <w:rsid w:val="00FD55B1"/>
    <w:rsid w:val="00FD648A"/>
    <w:rsid w:val="00FD6717"/>
    <w:rsid w:val="00FE056B"/>
    <w:rsid w:val="00FE0D9E"/>
    <w:rsid w:val="00FE1EE7"/>
    <w:rsid w:val="00FE5A7E"/>
    <w:rsid w:val="00FE63AE"/>
    <w:rsid w:val="00FF1712"/>
    <w:rsid w:val="00FF3198"/>
    <w:rsid w:val="00FF5A34"/>
    <w:rsid w:val="00FF63E1"/>
    <w:rsid w:val="00FF6F04"/>
    <w:rsid w:val="010033FE"/>
    <w:rsid w:val="01285229"/>
    <w:rsid w:val="01F81427"/>
    <w:rsid w:val="03F93561"/>
    <w:rsid w:val="05D34727"/>
    <w:rsid w:val="08931933"/>
    <w:rsid w:val="0B4A1776"/>
    <w:rsid w:val="0C786503"/>
    <w:rsid w:val="0D1A04C9"/>
    <w:rsid w:val="10757130"/>
    <w:rsid w:val="112B34AD"/>
    <w:rsid w:val="11FF5827"/>
    <w:rsid w:val="16E17EEF"/>
    <w:rsid w:val="18090C43"/>
    <w:rsid w:val="18FB5F15"/>
    <w:rsid w:val="1AB7094D"/>
    <w:rsid w:val="1B321622"/>
    <w:rsid w:val="1F9C38D3"/>
    <w:rsid w:val="20767551"/>
    <w:rsid w:val="21DB64E2"/>
    <w:rsid w:val="221C4C30"/>
    <w:rsid w:val="229437C5"/>
    <w:rsid w:val="22A70B6C"/>
    <w:rsid w:val="23C14303"/>
    <w:rsid w:val="23FF4622"/>
    <w:rsid w:val="27432BC1"/>
    <w:rsid w:val="279166E9"/>
    <w:rsid w:val="27F0275A"/>
    <w:rsid w:val="28580092"/>
    <w:rsid w:val="28BC23D4"/>
    <w:rsid w:val="2AA10ED5"/>
    <w:rsid w:val="2ADA0518"/>
    <w:rsid w:val="2C921974"/>
    <w:rsid w:val="2DBE14C9"/>
    <w:rsid w:val="2F6A64D8"/>
    <w:rsid w:val="30616EA9"/>
    <w:rsid w:val="31A44D82"/>
    <w:rsid w:val="32BE120D"/>
    <w:rsid w:val="330C0EF9"/>
    <w:rsid w:val="33506DE6"/>
    <w:rsid w:val="35A54CED"/>
    <w:rsid w:val="36566C1F"/>
    <w:rsid w:val="37534CA7"/>
    <w:rsid w:val="37D824F1"/>
    <w:rsid w:val="3B0C4DFA"/>
    <w:rsid w:val="3C4D26C6"/>
    <w:rsid w:val="3D044EFC"/>
    <w:rsid w:val="3E6946AD"/>
    <w:rsid w:val="3EB60CB3"/>
    <w:rsid w:val="3EC436F9"/>
    <w:rsid w:val="3EE5278A"/>
    <w:rsid w:val="3F740895"/>
    <w:rsid w:val="3FB93DC6"/>
    <w:rsid w:val="402A691C"/>
    <w:rsid w:val="422E66F3"/>
    <w:rsid w:val="4275164D"/>
    <w:rsid w:val="430A3262"/>
    <w:rsid w:val="450340D1"/>
    <w:rsid w:val="46A824B9"/>
    <w:rsid w:val="46BB170B"/>
    <w:rsid w:val="47510906"/>
    <w:rsid w:val="495D70F7"/>
    <w:rsid w:val="4B7D5F80"/>
    <w:rsid w:val="4BF40741"/>
    <w:rsid w:val="4C5E019B"/>
    <w:rsid w:val="4F64249F"/>
    <w:rsid w:val="4F6E1200"/>
    <w:rsid w:val="4FEE189E"/>
    <w:rsid w:val="50B60EBE"/>
    <w:rsid w:val="52D4770C"/>
    <w:rsid w:val="53F038EA"/>
    <w:rsid w:val="556A3869"/>
    <w:rsid w:val="58DE75A3"/>
    <w:rsid w:val="59BA69E3"/>
    <w:rsid w:val="5A661DF4"/>
    <w:rsid w:val="5ACF0178"/>
    <w:rsid w:val="5C3E17F9"/>
    <w:rsid w:val="5D3A6920"/>
    <w:rsid w:val="5D8135CC"/>
    <w:rsid w:val="600446EC"/>
    <w:rsid w:val="600D2EE6"/>
    <w:rsid w:val="621760F6"/>
    <w:rsid w:val="62246B60"/>
    <w:rsid w:val="630067A6"/>
    <w:rsid w:val="644F1ACD"/>
    <w:rsid w:val="67BFC3A0"/>
    <w:rsid w:val="67FF1998"/>
    <w:rsid w:val="680D1D99"/>
    <w:rsid w:val="69431270"/>
    <w:rsid w:val="6A7F4F75"/>
    <w:rsid w:val="6ACA16F9"/>
    <w:rsid w:val="6B16774A"/>
    <w:rsid w:val="6ECE2681"/>
    <w:rsid w:val="6F830388"/>
    <w:rsid w:val="721274B7"/>
    <w:rsid w:val="72340F9C"/>
    <w:rsid w:val="774152C9"/>
    <w:rsid w:val="793070F8"/>
    <w:rsid w:val="79D825C1"/>
    <w:rsid w:val="7B5D131E"/>
    <w:rsid w:val="7DB41B16"/>
    <w:rsid w:val="7DEB79E2"/>
    <w:rsid w:val="7DFC5027"/>
    <w:rsid w:val="7E002D54"/>
    <w:rsid w:val="7E48238A"/>
    <w:rsid w:val="7EF59D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5">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6">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paragraph" w:styleId="7">
    <w:name w:val="heading 4"/>
    <w:basedOn w:val="1"/>
    <w:next w:val="1"/>
    <w:qFormat/>
    <w:uiPriority w:val="9"/>
    <w:pPr>
      <w:keepNext/>
      <w:keepLines/>
      <w:spacing w:before="280" w:after="290"/>
      <w:outlineLvl w:val="3"/>
    </w:pPr>
    <w:rPr>
      <w:rFonts w:ascii="Calibri Light" w:hAnsi="Calibri Light" w:eastAsia="微软雅黑"/>
      <w:b/>
      <w:bCs/>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84"/>
    <w:unhideWhenUsed/>
    <w:qFormat/>
    <w:uiPriority w:val="99"/>
    <w:pPr>
      <w:spacing w:after="120"/>
    </w:pPr>
    <w:rPr>
      <w:rFonts w:ascii="Times New Roman" w:hAnsi="Times New Roman" w:eastAsia="宋体" w:cs="Times New Roman"/>
      <w:sz w:val="28"/>
      <w:szCs w:val="24"/>
    </w:rPr>
  </w:style>
  <w:style w:type="paragraph" w:customStyle="1" w:styleId="3">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8">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9">
    <w:name w:val="Normal Indent"/>
    <w:basedOn w:val="1"/>
    <w:next w:val="1"/>
    <w:link w:val="48"/>
    <w:qFormat/>
    <w:uiPriority w:val="0"/>
    <w:pPr>
      <w:ind w:firstLine="420"/>
    </w:pPr>
    <w:rPr>
      <w:rFonts w:eastAsia="宋体"/>
    </w:rPr>
  </w:style>
  <w:style w:type="paragraph" w:styleId="10">
    <w:name w:val="caption"/>
    <w:basedOn w:val="1"/>
    <w:next w:val="1"/>
    <w:qFormat/>
    <w:uiPriority w:val="0"/>
    <w:pPr>
      <w:spacing w:before="152" w:after="160"/>
    </w:pPr>
    <w:rPr>
      <w:rFonts w:ascii="Arial" w:hAnsi="Arial" w:eastAsia="黑体" w:cs="Arial"/>
      <w:sz w:val="20"/>
      <w:szCs w:val="20"/>
    </w:rPr>
  </w:style>
  <w:style w:type="paragraph" w:styleId="11">
    <w:name w:val="Document Map"/>
    <w:basedOn w:val="1"/>
    <w:link w:val="45"/>
    <w:unhideWhenUsed/>
    <w:qFormat/>
    <w:uiPriority w:val="99"/>
    <w:rPr>
      <w:rFonts w:ascii="宋体"/>
      <w:sz w:val="18"/>
      <w:szCs w:val="18"/>
    </w:rPr>
  </w:style>
  <w:style w:type="paragraph" w:styleId="12">
    <w:name w:val="annotation text"/>
    <w:basedOn w:val="1"/>
    <w:link w:val="81"/>
    <w:unhideWhenUsed/>
    <w:qFormat/>
    <w:uiPriority w:val="99"/>
    <w:pPr>
      <w:jc w:val="left"/>
    </w:pPr>
  </w:style>
  <w:style w:type="paragraph" w:styleId="13">
    <w:name w:val="Body Text Indent"/>
    <w:basedOn w:val="1"/>
    <w:link w:val="72"/>
    <w:qFormat/>
    <w:uiPriority w:val="0"/>
    <w:pPr>
      <w:spacing w:line="200" w:lineRule="atLeast"/>
      <w:ind w:firstLine="301"/>
    </w:pPr>
    <w:rPr>
      <w:rFonts w:ascii="宋体" w:hAnsi="Courier New"/>
      <w:spacing w:val="-4"/>
      <w:sz w:val="18"/>
    </w:r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6">
    <w:name w:val="Date"/>
    <w:basedOn w:val="1"/>
    <w:next w:val="1"/>
    <w:link w:val="87"/>
    <w:qFormat/>
    <w:uiPriority w:val="0"/>
    <w:pPr>
      <w:ind w:left="2500" w:leftChars="2500"/>
    </w:pPr>
    <w:rPr>
      <w:rFonts w:ascii="Times New Roman" w:hAnsi="Times New Roman" w:eastAsia="楷体_GB2312" w:cs="Times New Roman"/>
      <w:sz w:val="32"/>
      <w:szCs w:val="20"/>
    </w:rPr>
  </w:style>
  <w:style w:type="paragraph" w:styleId="17">
    <w:name w:val="Balloon Text"/>
    <w:basedOn w:val="1"/>
    <w:link w:val="85"/>
    <w:qFormat/>
    <w:uiPriority w:val="0"/>
    <w:rPr>
      <w:rFonts w:ascii="Times New Roman" w:hAnsi="Times New Roman" w:eastAsia="宋体" w:cs="Times New Roman"/>
      <w:sz w:val="18"/>
      <w:szCs w:val="18"/>
    </w:rPr>
  </w:style>
  <w:style w:type="paragraph" w:styleId="18">
    <w:name w:val="footer"/>
    <w:basedOn w:val="1"/>
    <w:link w:val="38"/>
    <w:unhideWhenUsed/>
    <w:qFormat/>
    <w:uiPriority w:val="99"/>
    <w:pPr>
      <w:tabs>
        <w:tab w:val="center" w:pos="4153"/>
        <w:tab w:val="right" w:pos="8306"/>
      </w:tabs>
      <w:snapToGrid w:val="0"/>
      <w:jc w:val="left"/>
    </w:pPr>
    <w:rPr>
      <w:sz w:val="18"/>
      <w:szCs w:val="18"/>
    </w:rPr>
  </w:style>
  <w:style w:type="paragraph" w:styleId="19">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List"/>
    <w:basedOn w:val="1"/>
    <w:qFormat/>
    <w:uiPriority w:val="0"/>
    <w:pPr>
      <w:ind w:left="200" w:hanging="200" w:hangingChars="200"/>
    </w:pPr>
    <w:rPr>
      <w:rFonts w:ascii="Times New Roman" w:hAnsi="Times New Roman" w:eastAsia="宋体" w:cs="Times New Roman"/>
      <w:sz w:val="28"/>
      <w:szCs w:val="24"/>
    </w:rPr>
  </w:style>
  <w:style w:type="paragraph" w:styleId="21">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2">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3">
    <w:name w:val="annotation subject"/>
    <w:basedOn w:val="12"/>
    <w:next w:val="12"/>
    <w:link w:val="58"/>
    <w:unhideWhenUsed/>
    <w:qFormat/>
    <w:uiPriority w:val="99"/>
    <w:rPr>
      <w:b/>
      <w:bCs/>
      <w:sz w:val="28"/>
      <w:szCs w:val="24"/>
    </w:rPr>
  </w:style>
  <w:style w:type="paragraph" w:styleId="24">
    <w:name w:val="Body Text First Indent 2"/>
    <w:basedOn w:val="13"/>
    <w:link w:val="89"/>
    <w:unhideWhenUsed/>
    <w:qFormat/>
    <w:uiPriority w:val="99"/>
    <w:pPr>
      <w:ind w:firstLine="420"/>
    </w:p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19"/>
    <w:qFormat/>
    <w:uiPriority w:val="99"/>
    <w:rPr>
      <w:sz w:val="18"/>
      <w:szCs w:val="18"/>
    </w:rPr>
  </w:style>
  <w:style w:type="character" w:customStyle="1" w:styleId="38">
    <w:name w:val="页脚 字符"/>
    <w:basedOn w:val="27"/>
    <w:link w:val="18"/>
    <w:qFormat/>
    <w:uiPriority w:val="99"/>
    <w:rPr>
      <w:sz w:val="18"/>
      <w:szCs w:val="18"/>
    </w:rPr>
  </w:style>
  <w:style w:type="character" w:customStyle="1" w:styleId="39">
    <w:name w:val="标题 1 字符"/>
    <w:basedOn w:val="27"/>
    <w:link w:val="4"/>
    <w:qFormat/>
    <w:uiPriority w:val="9"/>
    <w:rPr>
      <w:rFonts w:ascii="Times New Roman" w:hAnsi="Times New Roman" w:eastAsia="宋体" w:cs="Times New Roman"/>
      <w:b/>
      <w:bCs/>
      <w:kern w:val="44"/>
      <w:sz w:val="44"/>
      <w:szCs w:val="44"/>
    </w:rPr>
  </w:style>
  <w:style w:type="character" w:customStyle="1" w:styleId="40">
    <w:name w:val="标题 2 字符"/>
    <w:basedOn w:val="27"/>
    <w:link w:val="5"/>
    <w:qFormat/>
    <w:uiPriority w:val="9"/>
    <w:rPr>
      <w:rFonts w:ascii="Cambria" w:hAnsi="Cambria" w:eastAsia="宋体" w:cs="Times New Roman"/>
      <w:b/>
      <w:bCs/>
      <w:sz w:val="32"/>
      <w:szCs w:val="32"/>
    </w:rPr>
  </w:style>
  <w:style w:type="character" w:customStyle="1" w:styleId="41">
    <w:name w:val="标题 3 字符"/>
    <w:basedOn w:val="27"/>
    <w:link w:val="6"/>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1"/>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9"/>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5"/>
    <w:qFormat/>
    <w:uiPriority w:val="99"/>
    <w:rPr>
      <w:rFonts w:ascii="宋体" w:hAnsi="Courier New"/>
      <w:sz w:val="24"/>
      <w:szCs w:val="24"/>
    </w:rPr>
  </w:style>
  <w:style w:type="character" w:customStyle="1" w:styleId="58">
    <w:name w:val="批注主题 字符"/>
    <w:link w:val="23"/>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1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1"/>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81">
    <w:name w:val="批注文字 字符1"/>
    <w:basedOn w:val="27"/>
    <w:link w:val="12"/>
    <w:semiHidden/>
    <w:qFormat/>
    <w:uiPriority w:val="99"/>
  </w:style>
  <w:style w:type="character" w:customStyle="1" w:styleId="82">
    <w:name w:val="批注主题 字符1"/>
    <w:basedOn w:val="81"/>
    <w:semiHidden/>
    <w:qFormat/>
    <w:uiPriority w:val="99"/>
    <w:rPr>
      <w:b/>
      <w:bCs/>
    </w:rPr>
  </w:style>
  <w:style w:type="character" w:customStyle="1" w:styleId="83">
    <w:name w:val="文档结构图 字符1"/>
    <w:basedOn w:val="27"/>
    <w:semiHidden/>
    <w:qFormat/>
    <w:uiPriority w:val="99"/>
    <w:rPr>
      <w:rFonts w:ascii="Microsoft YaHei UI" w:eastAsia="Microsoft YaHei UI"/>
      <w:sz w:val="18"/>
      <w:szCs w:val="18"/>
    </w:rPr>
  </w:style>
  <w:style w:type="character" w:customStyle="1" w:styleId="84">
    <w:name w:val="正文文本 字符"/>
    <w:basedOn w:val="27"/>
    <w:link w:val="2"/>
    <w:qFormat/>
    <w:uiPriority w:val="99"/>
    <w:rPr>
      <w:rFonts w:ascii="Times New Roman" w:hAnsi="Times New Roman" w:eastAsia="宋体" w:cs="Times New Roman"/>
      <w:sz w:val="28"/>
      <w:szCs w:val="24"/>
    </w:rPr>
  </w:style>
  <w:style w:type="character" w:customStyle="1" w:styleId="85">
    <w:name w:val="批注框文本 字符"/>
    <w:basedOn w:val="27"/>
    <w:link w:val="17"/>
    <w:qFormat/>
    <w:uiPriority w:val="0"/>
    <w:rPr>
      <w:rFonts w:ascii="Times New Roman" w:hAnsi="Times New Roman" w:eastAsia="宋体" w:cs="Times New Roman"/>
      <w:sz w:val="18"/>
      <w:szCs w:val="18"/>
    </w:rPr>
  </w:style>
  <w:style w:type="character" w:customStyle="1" w:styleId="86">
    <w:name w:val="正文文本缩进 字符3"/>
    <w:basedOn w:val="27"/>
    <w:semiHidden/>
    <w:qFormat/>
    <w:uiPriority w:val="99"/>
  </w:style>
  <w:style w:type="character" w:customStyle="1" w:styleId="87">
    <w:name w:val="日期 字符"/>
    <w:basedOn w:val="27"/>
    <w:link w:val="16"/>
    <w:qFormat/>
    <w:uiPriority w:val="0"/>
    <w:rPr>
      <w:rFonts w:ascii="Times New Roman" w:hAnsi="Times New Roman" w:eastAsia="楷体_GB2312" w:cs="Times New Roman"/>
      <w:sz w:val="32"/>
      <w:szCs w:val="20"/>
    </w:rPr>
  </w:style>
  <w:style w:type="character" w:customStyle="1" w:styleId="88">
    <w:name w:val="纯文本 字符3"/>
    <w:basedOn w:val="27"/>
    <w:semiHidden/>
    <w:qFormat/>
    <w:uiPriority w:val="99"/>
    <w:rPr>
      <w:rFonts w:hAnsi="Courier New" w:cs="Courier New" w:asciiTheme="minorEastAsia"/>
    </w:rPr>
  </w:style>
  <w:style w:type="character" w:customStyle="1" w:styleId="89">
    <w:name w:val="正文文本首行缩进 2 字符"/>
    <w:basedOn w:val="86"/>
    <w:link w:val="24"/>
    <w:qFormat/>
    <w:uiPriority w:val="99"/>
    <w:rPr>
      <w:rFonts w:ascii="宋体" w:hAnsi="Courier New"/>
      <w:spacing w:val="-4"/>
      <w:sz w:val="18"/>
    </w:rPr>
  </w:style>
  <w:style w:type="character" w:customStyle="1" w:styleId="90">
    <w:name w:val="z-窗体底端 字符1"/>
    <w:basedOn w:val="27"/>
    <w:semiHidden/>
    <w:qFormat/>
    <w:uiPriority w:val="99"/>
    <w:rPr>
      <w:rFonts w:ascii="Arial" w:hAnsi="Arial" w:cs="Arial"/>
      <w:vanish/>
      <w:sz w:val="16"/>
      <w:szCs w:val="16"/>
    </w:rPr>
  </w:style>
  <w:style w:type="paragraph" w:customStyle="1" w:styleId="91">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2">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3">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5">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6">
    <w:name w:val="Char Char Char Char1"/>
    <w:basedOn w:val="1"/>
    <w:qFormat/>
    <w:uiPriority w:val="0"/>
    <w:rPr>
      <w:rFonts w:ascii="Tahoma" w:hAnsi="Tahoma" w:eastAsia="宋体" w:cs="Times New Roman"/>
      <w:sz w:val="24"/>
      <w:szCs w:val="20"/>
    </w:rPr>
  </w:style>
  <w:style w:type="paragraph" w:customStyle="1" w:styleId="97">
    <w:name w:val="彩色列表 - 强调文字颜色 11"/>
    <w:basedOn w:val="1"/>
    <w:qFormat/>
    <w:uiPriority w:val="34"/>
    <w:pPr>
      <w:ind w:firstLine="420" w:firstLineChars="200"/>
    </w:pPr>
    <w:rPr>
      <w:rFonts w:ascii="Calibri" w:hAnsi="Calibri" w:eastAsia="宋体" w:cs="Times New Roman"/>
    </w:rPr>
  </w:style>
  <w:style w:type="paragraph" w:customStyle="1" w:styleId="98">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99">
    <w:name w:val="正文2"/>
    <w:basedOn w:val="1"/>
    <w:link w:val="108"/>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1">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2">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3">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4">
    <w:name w:val="标题 10"/>
    <w:basedOn w:val="5"/>
    <w:qFormat/>
    <w:uiPriority w:val="0"/>
    <w:pPr>
      <w:jc w:val="center"/>
    </w:pPr>
    <w:rPr>
      <w:kern w:val="0"/>
    </w:rPr>
  </w:style>
  <w:style w:type="character" w:customStyle="1" w:styleId="105">
    <w:name w:val="未处理的提及1"/>
    <w:semiHidden/>
    <w:unhideWhenUsed/>
    <w:qFormat/>
    <w:uiPriority w:val="99"/>
    <w:rPr>
      <w:color w:val="605E5C"/>
      <w:shd w:val="clear" w:color="auto" w:fill="E1DFDD"/>
    </w:rPr>
  </w:style>
  <w:style w:type="character" w:customStyle="1" w:styleId="106">
    <w:name w:val="未处理的提及2"/>
    <w:basedOn w:val="27"/>
    <w:semiHidden/>
    <w:unhideWhenUsed/>
    <w:qFormat/>
    <w:uiPriority w:val="99"/>
    <w:rPr>
      <w:color w:val="605E5C"/>
      <w:shd w:val="clear" w:color="auto" w:fill="E1DFDD"/>
    </w:rPr>
  </w:style>
  <w:style w:type="character" w:customStyle="1" w:styleId="107">
    <w:name w:val="未处理的提及3"/>
    <w:basedOn w:val="27"/>
    <w:semiHidden/>
    <w:unhideWhenUsed/>
    <w:qFormat/>
    <w:uiPriority w:val="99"/>
    <w:rPr>
      <w:color w:val="605E5C"/>
      <w:shd w:val="clear" w:color="auto" w:fill="E1DFDD"/>
    </w:rPr>
  </w:style>
  <w:style w:type="character" w:customStyle="1" w:styleId="108">
    <w:name w:val="正文2 Char Char"/>
    <w:link w:val="99"/>
    <w:qFormat/>
    <w:uiPriority w:val="0"/>
    <w:rPr>
      <w:kern w:val="2"/>
      <w:sz w:val="24"/>
    </w:rPr>
  </w:style>
  <w:style w:type="table" w:customStyle="1" w:styleId="109">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
    <w:name w:val="font31"/>
    <w:qFormat/>
    <w:uiPriority w:val="0"/>
    <w:rPr>
      <w:rFonts w:hint="eastAsia" w:ascii="宋体" w:hAnsi="宋体" w:eastAsia="宋体" w:cs="宋体"/>
      <w:color w:val="000000"/>
      <w:sz w:val="18"/>
      <w:szCs w:val="18"/>
      <w:u w:val="none"/>
    </w:rPr>
  </w:style>
  <w:style w:type="character" w:customStyle="1" w:styleId="111">
    <w:name w:val="font21"/>
    <w:qFormat/>
    <w:uiPriority w:val="0"/>
    <w:rPr>
      <w:rFonts w:ascii="STHeiti" w:hAnsi="STHeiti" w:eastAsia="STHeiti" w:cs="STHeiti"/>
      <w:color w:val="000000"/>
      <w:sz w:val="22"/>
      <w:szCs w:val="22"/>
      <w:u w:val="none"/>
    </w:rPr>
  </w:style>
  <w:style w:type="character" w:customStyle="1" w:styleId="112">
    <w:name w:val="font11"/>
    <w:basedOn w:val="27"/>
    <w:qFormat/>
    <w:uiPriority w:val="0"/>
    <w:rPr>
      <w:rFonts w:hint="eastAsia" w:ascii="宋体" w:hAnsi="宋体" w:eastAsia="宋体" w:cs="宋体"/>
      <w:color w:val="000000"/>
      <w:sz w:val="22"/>
      <w:szCs w:val="22"/>
      <w:u w:val="none"/>
    </w:rPr>
  </w:style>
  <w:style w:type="character" w:customStyle="1" w:styleId="113">
    <w:name w:val="font41"/>
    <w:basedOn w:val="27"/>
    <w:qFormat/>
    <w:uiPriority w:val="0"/>
    <w:rPr>
      <w:rFonts w:hint="default" w:ascii="Hiragino Sans GB W3" w:hAnsi="Hiragino Sans GB W3" w:eastAsia="Hiragino Sans GB W3" w:cs="Hiragino Sans GB W3"/>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7207</Words>
  <Characters>41080</Characters>
  <Lines>342</Lines>
  <Paragraphs>96</Paragraphs>
  <TotalTime>1</TotalTime>
  <ScaleCrop>false</ScaleCrop>
  <LinksUpToDate>false</LinksUpToDate>
  <CharactersWithSpaces>48191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2023-11-14T04:14:00Z</dcterms:created>
  <dc:creator>Data</dc:creator>
  <cp:lastModifiedBy>A-day</cp:lastModifiedBy>
  <cp:lastPrinted>2022-10-31T16:58:00Z</cp:lastPrinted>
  <dcterms:modified xsi:type="dcterms:W3CDTF">2023-11-16T05:13:09Z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C838E8830FC149B09B9A8B8981AB8CEC_13</vt:lpwstr>
  </property>
</Properties>
</file>