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浙江经济职业技术学院</w:t>
      </w:r>
    </w:p>
    <w:p>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财会金融技能竞赛平台</w:t>
      </w:r>
    </w:p>
    <w:p>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（智能财税、财务会计等实训平台）</w:t>
      </w: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财会金融技能竞赛平台（智能财税、财务会计等实训平台）</w:t>
      </w: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QSZB-Z(H)-B22388(CS)</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人：浙江经济职业技术学院</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Times New Roman"/>
          <w:b/>
          <w:color w:val="auto"/>
          <w:spacing w:val="-6"/>
          <w:sz w:val="30"/>
          <w:szCs w:val="30"/>
          <w:highlight w:val="none"/>
          <w:lang w:eastAsia="zh-CN"/>
        </w:rPr>
        <w:t>[2022]33900号</w:t>
      </w:r>
    </w:p>
    <w:p>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widowControl/>
        <w:jc w:val="left"/>
        <w:rPr>
          <w:color w:val="auto"/>
          <w:highlight w:val="none"/>
        </w:rPr>
      </w:pPr>
    </w:p>
    <w:p>
      <w:pPr>
        <w:widowControl/>
        <w:jc w:val="left"/>
        <w:rPr>
          <w:color w:val="auto"/>
          <w:highlight w:val="none"/>
        </w:rPr>
        <w:sectPr>
          <w:headerReference r:id="rId5" w:type="default"/>
          <w:footerReference r:id="rId6" w:type="default"/>
          <w:pgSz w:w="11906" w:h="16838"/>
          <w:pgMar w:top="1247" w:right="1247" w:bottom="1247" w:left="1247" w:header="142" w:footer="725" w:gutter="0"/>
          <w:pgNumType w:start="1"/>
          <w:cols w:space="425" w:num="1"/>
          <w:docGrid w:type="lines" w:linePitch="312" w:charSpace="0"/>
        </w:sectPr>
      </w:pPr>
    </w:p>
    <w:p>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财会金融技能竞赛平台（智能财税、财务会计等实训平台）</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2022年10月13日13:30:00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rPr>
          <w:b/>
          <w:color w:val="auto"/>
          <w:sz w:val="21"/>
          <w:szCs w:val="21"/>
          <w:highlight w:val="none"/>
        </w:rPr>
      </w:pPr>
      <w:bookmarkStart w:id="0" w:name="_Toc35393621"/>
      <w:bookmarkStart w:id="1" w:name="_Toc35393790"/>
      <w:bookmarkStart w:id="2" w:name="_Toc28359002"/>
      <w:bookmarkStart w:id="3" w:name="_Toc28359079"/>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QSZB-Z(H)-B22388(CS)</w:t>
      </w:r>
    </w:p>
    <w:p>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财会金融技能竞赛平台（智能财税、财务会计等实训平台）</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预算金额：3</w:t>
      </w:r>
      <w:r>
        <w:rPr>
          <w:rFonts w:hint="eastAsia"/>
          <w:color w:val="auto"/>
          <w:sz w:val="21"/>
          <w:szCs w:val="21"/>
          <w:highlight w:val="none"/>
          <w:lang w:val="en-US" w:eastAsia="zh-CN"/>
        </w:rPr>
        <w:t>38</w:t>
      </w:r>
      <w:r>
        <w:rPr>
          <w:rFonts w:hint="eastAsia"/>
          <w:color w:val="auto"/>
          <w:sz w:val="21"/>
          <w:szCs w:val="21"/>
          <w:highlight w:val="none"/>
        </w:rPr>
        <w:t>000元；</w:t>
      </w:r>
    </w:p>
    <w:p>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5.</w:t>
      </w:r>
      <w:r>
        <w:rPr>
          <w:rFonts w:hint="eastAsia"/>
          <w:color w:val="auto"/>
          <w:sz w:val="21"/>
          <w:szCs w:val="21"/>
          <w:highlight w:val="none"/>
        </w:rPr>
        <w:t>最高限价：</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val="en-US" w:eastAsia="zh-CN"/>
        </w:rPr>
        <w:t>标项一：200</w:t>
      </w:r>
      <w:r>
        <w:rPr>
          <w:rFonts w:hint="eastAsia"/>
          <w:color w:val="auto"/>
          <w:sz w:val="21"/>
          <w:szCs w:val="21"/>
          <w:highlight w:val="none"/>
        </w:rPr>
        <w:t>000元；</w:t>
      </w:r>
    </w:p>
    <w:p>
      <w:pPr>
        <w:adjustRightInd w:val="0"/>
        <w:snapToGrid w:val="0"/>
        <w:spacing w:line="288" w:lineRule="auto"/>
        <w:ind w:firstLine="420" w:firstLineChars="200"/>
        <w:rPr>
          <w:color w:val="auto"/>
          <w:highlight w:val="none"/>
        </w:rPr>
      </w:pPr>
      <w:r>
        <w:rPr>
          <w:rFonts w:hint="eastAsia"/>
          <w:color w:val="auto"/>
          <w:sz w:val="21"/>
          <w:szCs w:val="21"/>
          <w:highlight w:val="none"/>
          <w:lang w:val="en-US" w:eastAsia="zh-CN"/>
        </w:rPr>
        <w:t>标项二：138</w:t>
      </w:r>
      <w:r>
        <w:rPr>
          <w:rFonts w:hint="eastAsia"/>
          <w:color w:val="auto"/>
          <w:sz w:val="21"/>
          <w:szCs w:val="21"/>
          <w:highlight w:val="none"/>
        </w:rPr>
        <w:t>000元；</w:t>
      </w:r>
    </w:p>
    <w:p>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6.</w:t>
      </w:r>
      <w:r>
        <w:rPr>
          <w:rFonts w:hint="eastAsia"/>
          <w:color w:val="auto"/>
          <w:sz w:val="21"/>
          <w:szCs w:val="21"/>
          <w:highlight w:val="none"/>
        </w:rPr>
        <w:t>合同履约期限：</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val="en-US" w:eastAsia="zh-CN"/>
        </w:rPr>
        <w:t>标项一签订合同后15个工作日内交货</w:t>
      </w:r>
    </w:p>
    <w:p>
      <w:pPr>
        <w:pStyle w:val="2"/>
        <w:ind w:firstLine="420" w:firstLineChars="200"/>
        <w:rPr>
          <w:color w:val="auto"/>
          <w:highlight w:val="none"/>
        </w:rPr>
      </w:pPr>
      <w:r>
        <w:rPr>
          <w:rFonts w:hint="eastAsia"/>
          <w:color w:val="auto"/>
          <w:sz w:val="21"/>
          <w:szCs w:val="21"/>
          <w:highlight w:val="none"/>
          <w:lang w:val="en-US" w:eastAsia="zh-CN"/>
        </w:rPr>
        <w:t>标项二签订合同后7个工作日内交货</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8"/>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8"/>
        <w:gridCol w:w="3468"/>
        <w:gridCol w:w="732"/>
        <w:gridCol w:w="660"/>
        <w:gridCol w:w="2736"/>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88"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标项</w:t>
            </w:r>
          </w:p>
        </w:tc>
        <w:tc>
          <w:tcPr>
            <w:tcW w:w="3468"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名称</w:t>
            </w:r>
          </w:p>
        </w:tc>
        <w:tc>
          <w:tcPr>
            <w:tcW w:w="732"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数量</w:t>
            </w:r>
          </w:p>
        </w:tc>
        <w:tc>
          <w:tcPr>
            <w:tcW w:w="660"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单位</w:t>
            </w:r>
          </w:p>
        </w:tc>
        <w:tc>
          <w:tcPr>
            <w:tcW w:w="273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简要技术需求或服务要求</w:t>
            </w:r>
          </w:p>
        </w:tc>
        <w:tc>
          <w:tcPr>
            <w:tcW w:w="1409"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color w:val="auto"/>
                <w:sz w:val="21"/>
                <w:szCs w:val="21"/>
                <w:highlight w:val="none"/>
                <w:lang w:val="en-US" w:eastAsia="zh-CN"/>
              </w:rPr>
            </w:pPr>
            <w:r>
              <w:rPr>
                <w:rFonts w:hint="eastAsia"/>
                <w:b/>
                <w:color w:val="auto"/>
                <w:sz w:val="21"/>
                <w:szCs w:val="21"/>
                <w:highlight w:val="none"/>
                <w:lang w:val="en-US" w:eastAsia="zh-CN"/>
              </w:rPr>
              <w:t>最高限价</w:t>
            </w:r>
          </w:p>
          <w:p>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sz w:val="21"/>
                <w:szCs w:val="21"/>
                <w:highlight w:val="none"/>
                <w:lang w:val="en-US" w:eastAsia="zh-CN"/>
              </w:rPr>
            </w:pPr>
            <w:r>
              <w:rPr>
                <w:rFonts w:hint="eastAsia"/>
                <w:b/>
                <w:color w:val="auto"/>
                <w:sz w:val="21"/>
                <w:szCs w:val="21"/>
                <w:highlight w:val="none"/>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88"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Cs/>
                <w:color w:val="auto"/>
                <w:sz w:val="21"/>
                <w:szCs w:val="21"/>
                <w:highlight w:val="none"/>
              </w:rPr>
            </w:pPr>
            <w:r>
              <w:rPr>
                <w:rFonts w:hint="eastAsia"/>
                <w:bCs/>
                <w:color w:val="auto"/>
                <w:sz w:val="21"/>
                <w:szCs w:val="21"/>
                <w:highlight w:val="none"/>
              </w:rPr>
              <w:t>1</w:t>
            </w:r>
          </w:p>
        </w:tc>
        <w:tc>
          <w:tcPr>
            <w:tcW w:w="3468" w:type="dxa"/>
            <w:tcBorders>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b w:val="0"/>
                <w:bCs w:val="0"/>
                <w:color w:val="auto"/>
                <w:sz w:val="21"/>
                <w:szCs w:val="21"/>
                <w:highlight w:val="none"/>
              </w:rPr>
            </w:pPr>
            <w:r>
              <w:rPr>
                <w:rFonts w:hint="eastAsia" w:asciiTheme="minorEastAsia" w:hAnsiTheme="minorEastAsia"/>
                <w:b w:val="0"/>
                <w:bCs w:val="0"/>
                <w:color w:val="auto"/>
                <w:sz w:val="21"/>
                <w:szCs w:val="21"/>
                <w:highlight w:val="none"/>
              </w:rPr>
              <w:t>智能财税—财务管理技能训练平台</w:t>
            </w:r>
          </w:p>
        </w:tc>
        <w:tc>
          <w:tcPr>
            <w:tcW w:w="732"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bCs/>
                <w:color w:val="auto"/>
                <w:sz w:val="21"/>
                <w:szCs w:val="21"/>
                <w:highlight w:val="none"/>
              </w:rPr>
            </w:pPr>
            <w:r>
              <w:rPr>
                <w:rFonts w:hint="eastAsia" w:ascii="宋体" w:hAnsi="宋体" w:eastAsia="宋体"/>
                <w:b/>
                <w:color w:val="auto"/>
                <w:sz w:val="21"/>
                <w:szCs w:val="21"/>
                <w:highlight w:val="none"/>
              </w:rPr>
              <w:t>1</w:t>
            </w:r>
          </w:p>
        </w:tc>
        <w:tc>
          <w:tcPr>
            <w:tcW w:w="66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bCs/>
                <w:color w:val="auto"/>
                <w:sz w:val="21"/>
                <w:szCs w:val="21"/>
                <w:highlight w:val="none"/>
              </w:rPr>
            </w:pPr>
            <w:r>
              <w:rPr>
                <w:rFonts w:hint="eastAsia" w:ascii="宋体" w:hAnsi="宋体" w:eastAsia="宋体"/>
                <w:b/>
                <w:color w:val="auto"/>
                <w:sz w:val="21"/>
                <w:szCs w:val="21"/>
                <w:highlight w:val="none"/>
              </w:rPr>
              <w:t>套</w:t>
            </w:r>
          </w:p>
        </w:tc>
        <w:tc>
          <w:tcPr>
            <w:tcW w:w="2736" w:type="dxa"/>
            <w:tcBorders>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详见采购需求</w:t>
            </w:r>
          </w:p>
        </w:tc>
        <w:tc>
          <w:tcPr>
            <w:tcW w:w="1409" w:type="dxa"/>
            <w:tcBorders>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color w:val="auto"/>
                <w:sz w:val="21"/>
                <w:szCs w:val="21"/>
                <w:highlight w:val="none"/>
              </w:rPr>
            </w:pPr>
            <w:r>
              <w:rPr>
                <w:rFonts w:hint="eastAsia" w:ascii="宋体" w:hAnsi="宋体" w:eastAsia="宋体"/>
                <w:b/>
                <w:color w:val="auto"/>
                <w:sz w:val="21"/>
                <w:szCs w:val="21"/>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88"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2</w:t>
            </w:r>
          </w:p>
        </w:tc>
        <w:tc>
          <w:tcPr>
            <w:tcW w:w="3468" w:type="dxa"/>
            <w:tcBorders>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b w:val="0"/>
                <w:bCs w:val="0"/>
                <w:color w:val="auto"/>
                <w:sz w:val="21"/>
                <w:szCs w:val="21"/>
                <w:highlight w:val="none"/>
              </w:rPr>
            </w:pPr>
            <w:r>
              <w:rPr>
                <w:rFonts w:hint="eastAsia" w:ascii="宋体" w:hAnsi="宋体" w:eastAsia="宋体"/>
                <w:b w:val="0"/>
                <w:bCs w:val="0"/>
                <w:color w:val="auto"/>
                <w:sz w:val="21"/>
                <w:szCs w:val="21"/>
                <w:highlight w:val="none"/>
              </w:rPr>
              <w:t>财务会计技能竞赛分岗实训平台</w:t>
            </w:r>
          </w:p>
        </w:tc>
        <w:tc>
          <w:tcPr>
            <w:tcW w:w="732"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bCs/>
                <w:color w:val="auto"/>
                <w:sz w:val="21"/>
                <w:szCs w:val="21"/>
                <w:highlight w:val="none"/>
              </w:rPr>
            </w:pPr>
            <w:r>
              <w:rPr>
                <w:rFonts w:hint="eastAsia" w:ascii="宋体" w:hAnsi="宋体" w:eastAsia="宋体"/>
                <w:b/>
                <w:color w:val="auto"/>
                <w:sz w:val="21"/>
                <w:szCs w:val="21"/>
                <w:highlight w:val="none"/>
              </w:rPr>
              <w:t>1</w:t>
            </w:r>
          </w:p>
        </w:tc>
        <w:tc>
          <w:tcPr>
            <w:tcW w:w="66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bCs/>
                <w:color w:val="auto"/>
                <w:sz w:val="21"/>
                <w:szCs w:val="21"/>
                <w:highlight w:val="none"/>
              </w:rPr>
            </w:pPr>
            <w:r>
              <w:rPr>
                <w:rFonts w:hint="eastAsia" w:ascii="宋体" w:hAnsi="宋体" w:eastAsia="宋体"/>
                <w:b/>
                <w:color w:val="auto"/>
                <w:sz w:val="21"/>
                <w:szCs w:val="21"/>
                <w:highlight w:val="none"/>
              </w:rPr>
              <w:t>套</w:t>
            </w:r>
          </w:p>
        </w:tc>
        <w:tc>
          <w:tcPr>
            <w:tcW w:w="2736" w:type="dxa"/>
            <w:tcBorders>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bCs/>
                <w:color w:val="auto"/>
                <w:sz w:val="21"/>
                <w:szCs w:val="21"/>
                <w:highlight w:val="none"/>
              </w:rPr>
            </w:pPr>
            <w:r>
              <w:rPr>
                <w:rFonts w:hint="eastAsia"/>
                <w:bCs/>
                <w:color w:val="auto"/>
                <w:sz w:val="21"/>
                <w:szCs w:val="21"/>
                <w:highlight w:val="none"/>
                <w:lang w:val="en-US" w:eastAsia="zh-CN"/>
              </w:rPr>
              <w:t>详见采购需求</w:t>
            </w:r>
          </w:p>
        </w:tc>
        <w:tc>
          <w:tcPr>
            <w:tcW w:w="1409" w:type="dxa"/>
            <w:tcBorders>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color w:val="auto"/>
                <w:sz w:val="21"/>
                <w:szCs w:val="21"/>
                <w:highlight w:val="none"/>
              </w:rPr>
            </w:pPr>
            <w:r>
              <w:rPr>
                <w:rFonts w:hint="eastAsia" w:ascii="宋体" w:hAnsi="宋体" w:eastAsia="宋体"/>
                <w:b/>
                <w:color w:val="auto"/>
                <w:sz w:val="21"/>
                <w:szCs w:val="21"/>
                <w:highlight w:val="none"/>
              </w:rPr>
              <w:t>13.8</w:t>
            </w:r>
          </w:p>
        </w:tc>
      </w:tr>
    </w:tbl>
    <w:p>
      <w:pPr>
        <w:adjustRightInd w:val="0"/>
        <w:snapToGrid w:val="0"/>
        <w:spacing w:line="288" w:lineRule="auto"/>
        <w:rPr>
          <w:b/>
          <w:color w:val="auto"/>
          <w:sz w:val="21"/>
          <w:szCs w:val="21"/>
          <w:highlight w:val="none"/>
        </w:rPr>
      </w:pPr>
      <w:bookmarkStart w:id="5" w:name="_Toc28359003"/>
      <w:bookmarkStart w:id="6" w:name="_Toc28359080"/>
      <w:bookmarkStart w:id="7" w:name="_Toc35393791"/>
      <w:bookmarkStart w:id="8" w:name="_Toc35393622"/>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2.落实政府采购政策需满足的资格要求：无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28359005"/>
      <w:bookmarkStart w:id="14" w:name="_Toc28359082"/>
      <w:bookmarkStart w:id="15" w:name="_Toc35393624"/>
      <w:bookmarkStart w:id="16" w:name="_Toc35393793"/>
      <w:r>
        <w:rPr>
          <w:rFonts w:hint="eastAsia"/>
          <w:color w:val="auto"/>
          <w:sz w:val="21"/>
          <w:szCs w:val="21"/>
          <w:highlight w:val="none"/>
        </w:rPr>
        <w:t>时间：2022年</w:t>
      </w:r>
      <w:r>
        <w:rPr>
          <w:rFonts w:hint="eastAsia"/>
          <w:color w:val="auto"/>
          <w:sz w:val="21"/>
          <w:szCs w:val="21"/>
          <w:highlight w:val="none"/>
          <w:lang w:val="en-US" w:eastAsia="zh-CN"/>
        </w:rPr>
        <w:t>9</w:t>
      </w:r>
      <w:r>
        <w:rPr>
          <w:rFonts w:hint="eastAsia"/>
          <w:color w:val="auto"/>
          <w:sz w:val="21"/>
          <w:szCs w:val="21"/>
          <w:highlight w:val="none"/>
        </w:rPr>
        <w:t>月</w:t>
      </w:r>
      <w:r>
        <w:rPr>
          <w:rFonts w:hint="eastAsia"/>
          <w:color w:val="auto"/>
          <w:sz w:val="21"/>
          <w:szCs w:val="21"/>
          <w:highlight w:val="none"/>
          <w:lang w:val="en-US" w:eastAsia="zh-CN"/>
        </w:rPr>
        <w:t>30</w:t>
      </w:r>
      <w:r>
        <w:rPr>
          <w:rFonts w:hint="eastAsia"/>
          <w:color w:val="auto"/>
          <w:sz w:val="21"/>
          <w:szCs w:val="21"/>
          <w:highlight w:val="none"/>
        </w:rPr>
        <w:t>日至</w:t>
      </w:r>
      <w:r>
        <w:rPr>
          <w:rFonts w:hint="eastAsia"/>
          <w:color w:val="auto"/>
          <w:sz w:val="21"/>
          <w:szCs w:val="21"/>
          <w:highlight w:val="none"/>
          <w:lang w:eastAsia="zh-CN"/>
        </w:rPr>
        <w:t>2022年10月13日</w:t>
      </w:r>
      <w:r>
        <w:rPr>
          <w:rFonts w:hint="eastAsia"/>
          <w:color w:val="auto"/>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2022年10月13日13:30:00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pPr>
        <w:adjustRightInd w:val="0"/>
        <w:snapToGrid w:val="0"/>
        <w:spacing w:line="288" w:lineRule="auto"/>
        <w:rPr>
          <w:b/>
          <w:color w:val="auto"/>
          <w:sz w:val="21"/>
          <w:szCs w:val="21"/>
          <w:highlight w:val="none"/>
        </w:rPr>
      </w:pPr>
      <w:bookmarkStart w:id="17" w:name="_Toc35393794"/>
      <w:bookmarkStart w:id="18" w:name="_Toc28359084"/>
      <w:bookmarkStart w:id="19" w:name="_Toc28359007"/>
      <w:bookmarkStart w:id="20" w:name="_Toc35393625"/>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2022年10月13日13:30:00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w:t>
      </w:r>
      <w:r>
        <w:rPr>
          <w:rFonts w:hint="eastAsia" w:cs="Times New Roman"/>
          <w:color w:val="auto"/>
          <w:sz w:val="21"/>
          <w:szCs w:val="21"/>
          <w:highlight w:val="none"/>
          <w:lang w:val="en-US" w:eastAsia="zh-CN"/>
        </w:rPr>
        <w:t>21</w:t>
      </w:r>
      <w:r>
        <w:rPr>
          <w:rFonts w:hint="eastAsia" w:cs="Times New Roman"/>
          <w:color w:val="auto"/>
          <w:sz w:val="21"/>
          <w:szCs w:val="21"/>
          <w:highlight w:val="none"/>
        </w:rPr>
        <w:t>楼（求是招标会议室</w:t>
      </w:r>
      <w:r>
        <w:rPr>
          <w:rFonts w:hint="eastAsia" w:cs="Times New Roman"/>
          <w:color w:val="auto"/>
          <w:sz w:val="21"/>
          <w:szCs w:val="21"/>
          <w:highlight w:val="none"/>
          <w:lang w:val="en-US" w:eastAsia="zh-CN"/>
        </w:rPr>
        <w:t>4</w:t>
      </w:r>
      <w:r>
        <w:rPr>
          <w:rFonts w:hint="eastAsia" w:cs="Times New Roman"/>
          <w:color w:val="auto"/>
          <w:sz w:val="21"/>
          <w:szCs w:val="21"/>
          <w:highlight w:val="none"/>
        </w:rPr>
        <w:t>）</w:t>
      </w:r>
    </w:p>
    <w:p>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28359008"/>
      <w:bookmarkStart w:id="25" w:name="_Toc35393627"/>
      <w:bookmarkStart w:id="26" w:name="_Toc28359085"/>
      <w:bookmarkStart w:id="27" w:name="_Toc35393796"/>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名称：浙江经济职业技术学院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地址：杭州市钱塘区</w:t>
      </w:r>
      <w:r>
        <w:rPr>
          <w:rFonts w:hint="eastAsia"/>
          <w:color w:val="auto"/>
          <w:sz w:val="21"/>
          <w:szCs w:val="21"/>
          <w:highlight w:val="none"/>
          <w:lang w:val="en-US" w:eastAsia="zh-CN"/>
        </w:rPr>
        <w:t>白杨街道</w:t>
      </w:r>
      <w:r>
        <w:rPr>
          <w:rFonts w:hint="eastAsia"/>
          <w:color w:val="auto"/>
          <w:sz w:val="21"/>
          <w:szCs w:val="21"/>
          <w:highlight w:val="none"/>
        </w:rPr>
        <w:t>学正街66号</w:t>
      </w:r>
    </w:p>
    <w:p>
      <w:pPr>
        <w:adjustRightInd w:val="0"/>
        <w:snapToGrid w:val="0"/>
        <w:spacing w:line="288" w:lineRule="auto"/>
        <w:ind w:firstLine="424" w:firstLineChars="202"/>
        <w:rPr>
          <w:rFonts w:hint="eastAsia"/>
          <w:color w:val="auto"/>
          <w:sz w:val="21"/>
          <w:szCs w:val="21"/>
          <w:highlight w:val="none"/>
          <w:lang w:val="en-US" w:eastAsia="zh-CN"/>
        </w:rPr>
      </w:pPr>
      <w:r>
        <w:rPr>
          <w:rFonts w:hint="eastAsia"/>
          <w:color w:val="auto"/>
          <w:sz w:val="21"/>
          <w:szCs w:val="21"/>
          <w:highlight w:val="none"/>
        </w:rPr>
        <w:t>项目联系人（询问）：殷</w:t>
      </w:r>
      <w:r>
        <w:rPr>
          <w:rFonts w:hint="eastAsia"/>
          <w:color w:val="auto"/>
          <w:sz w:val="21"/>
          <w:szCs w:val="21"/>
          <w:highlight w:val="none"/>
          <w:lang w:val="en-US" w:eastAsia="zh-CN"/>
        </w:rPr>
        <w:t>老师</w:t>
      </w:r>
      <w:r>
        <w:rPr>
          <w:rFonts w:hint="eastAsia"/>
          <w:color w:val="auto"/>
          <w:sz w:val="21"/>
          <w:szCs w:val="21"/>
          <w:highlight w:val="none"/>
        </w:rPr>
        <w:t xml:space="preserve"> </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项目联系方式（询问）：13646827796</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质疑联系人：郑老师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质疑联系方式：0571-86928231</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项目联系人（询问）：杨立凯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项目联系方式（询问）：0571-87670301</w:t>
      </w:r>
    </w:p>
    <w:p>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val="en-US" w:eastAsia="zh-CN"/>
        </w:rPr>
        <w:t>蒋敏芝</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jc w:val="left"/>
        <w:outlineLvl w:val="1"/>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标项一：智能财税—财务管理技能训练平台</w:t>
      </w:r>
    </w:p>
    <w:p>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8"/>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政策名称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1</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政府采购进口产品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2</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3</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eastAsia="宋体"/>
                <w:b/>
                <w:bCs/>
                <w:color w:val="auto"/>
                <w:sz w:val="21"/>
                <w:szCs w:val="21"/>
                <w:highlight w:val="none"/>
                <w:lang w:eastAsia="zh-CN"/>
              </w:rPr>
            </w:pPr>
            <w:r>
              <w:rPr>
                <w:rFonts w:hint="eastAsia"/>
                <w:color w:val="auto"/>
                <w:sz w:val="21"/>
                <w:szCs w:val="21"/>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4</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18"/>
                <w:highlight w:val="none"/>
              </w:rPr>
            </w:pPr>
            <w:r>
              <w:rPr>
                <w:rFonts w:hint="eastAsia"/>
                <w:color w:val="auto"/>
                <w:sz w:val="21"/>
                <w:szCs w:val="18"/>
                <w:highlight w:val="none"/>
              </w:rPr>
              <w:t>政府采购支持科技创新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eastAsia="宋体"/>
                <w:color w:val="auto"/>
                <w:sz w:val="21"/>
                <w:szCs w:val="18"/>
                <w:highlight w:val="none"/>
                <w:lang w:eastAsia="zh-CN"/>
              </w:rPr>
            </w:pPr>
            <w:r>
              <w:rPr>
                <w:rFonts w:hint="eastAsia"/>
                <w:color w:val="auto"/>
                <w:sz w:val="21"/>
                <w:szCs w:val="18"/>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5</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提供材料详见磋商文件第六章“报价文件”</w:t>
            </w:r>
          </w:p>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本项目属性为：货物</w:t>
            </w:r>
          </w:p>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采购标的对应的中小企业划分标准所属行业：软件和信息技术服务业</w:t>
            </w:r>
          </w:p>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中小企业划型标准：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6</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政府采购支持监狱企业发展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s="Times New Roman"/>
                <w:b/>
                <w:bCs/>
                <w:color w:val="auto"/>
                <w:sz w:val="21"/>
                <w:szCs w:val="21"/>
                <w:highlight w:val="none"/>
              </w:rPr>
            </w:pPr>
            <w:r>
              <w:rPr>
                <w:rFonts w:hint="eastAsia"/>
                <w:color w:val="auto"/>
                <w:sz w:val="21"/>
                <w:szCs w:val="21"/>
                <w:highlight w:val="none"/>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7</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政府采购促进残疾人就业</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提供材料详见磋商文件第六章“报价文件”</w:t>
            </w:r>
          </w:p>
        </w:tc>
      </w:tr>
      <w:bookmarkEnd w:id="29"/>
    </w:tbl>
    <w:p>
      <w:pPr>
        <w:adjustRightInd w:val="0"/>
        <w:snapToGrid w:val="0"/>
        <w:spacing w:line="288" w:lineRule="auto"/>
        <w:jc w:val="left"/>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8"/>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pacing w:val="-6"/>
                <w:kern w:val="0"/>
                <w:sz w:val="21"/>
                <w:szCs w:val="21"/>
                <w:highlight w:val="none"/>
              </w:rPr>
            </w:pPr>
            <w:r>
              <w:rPr>
                <w:rFonts w:hint="eastAsia"/>
                <w:color w:val="auto"/>
                <w:spacing w:val="-6"/>
                <w:kern w:val="0"/>
                <w:sz w:val="21"/>
                <w:szCs w:val="21"/>
                <w:highlight w:val="none"/>
              </w:rPr>
              <w:t>1.合同签订后一周内，成交供应商向采购人提交合同总价1%的履约保证金，履约保证金在合同履约期间无违约情形的，项目验收结束后，于一周内退还（不计息）；</w:t>
            </w:r>
          </w:p>
          <w:p>
            <w:pPr>
              <w:keepNext w:val="0"/>
              <w:keepLines w:val="0"/>
              <w:suppressLineNumbers w:val="0"/>
              <w:adjustRightInd w:val="0"/>
              <w:snapToGrid w:val="0"/>
              <w:spacing w:before="0" w:beforeAutospacing="0" w:after="0" w:afterAutospacing="0" w:line="288" w:lineRule="auto"/>
              <w:ind w:left="0" w:right="0"/>
              <w:rPr>
                <w:rFonts w:hint="eastAsia"/>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1.预付款：</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1.1.支付条件：供应商提交银行、保险公司等金融机构出具的预付款保函；</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1.2.支付时间、数额：合同生效且供应商出具预付款保函后七个工作日内，采购人向成交供应商支付合同金额40%的预付款。</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备注：签订合同时，供应商明确表示无需预付款或者主动要求降低预付款比例的，采购单位可不适用前述规定。</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2.项目完成后，经采购人验收合格后，采购人自收到发票后7个工作日内，支付至合同金额的100%。</w:t>
            </w:r>
          </w:p>
        </w:tc>
      </w:tr>
      <w:bookmarkEnd w:id="30"/>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8"/>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bookmarkStart w:id="31" w:name="_Hlk97039632"/>
            <w:r>
              <w:rPr>
                <w:rFonts w:hint="eastAsia"/>
                <w:b/>
                <w:bCs/>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合同签订后</w:t>
            </w:r>
            <w:r>
              <w:rPr>
                <w:rFonts w:hint="eastAsia"/>
                <w:color w:val="auto"/>
                <w:sz w:val="21"/>
                <w:szCs w:val="21"/>
                <w:highlight w:val="none"/>
                <w:lang w:val="en-US" w:eastAsia="zh-CN"/>
              </w:rPr>
              <w:t>15</w:t>
            </w:r>
            <w:r>
              <w:rPr>
                <w:rFonts w:hint="eastAsia"/>
                <w:color w:val="auto"/>
                <w:sz w:val="21"/>
                <w:szCs w:val="21"/>
                <w:highlight w:val="none"/>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w:t>
            </w:r>
            <w:r>
              <w:rPr>
                <w:rFonts w:hint="eastAsia"/>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1.在质保期内，供应商应对货物出现的质量及安全问题负责处理解决并承担一切费用。</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2.质保期内出现无法排除的故障，供应商需无条件更换同型号产品。</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3.质保期满后，供应商继续为采购人服务，仅收取零配件成本费。</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4.因人为因素出现的故障不在免费</w:t>
            </w:r>
            <w:r>
              <w:rPr>
                <w:rFonts w:hint="eastAsia"/>
                <w:color w:val="auto"/>
                <w:sz w:val="21"/>
                <w:szCs w:val="21"/>
                <w:highlight w:val="none"/>
                <w:lang w:val="en-US" w:eastAsia="zh-CN"/>
              </w:rPr>
              <w:t>维护</w:t>
            </w:r>
            <w:r>
              <w:rPr>
                <w:rFonts w:hint="eastAsia"/>
                <w:color w:val="auto"/>
                <w:sz w:val="21"/>
                <w:szCs w:val="21"/>
                <w:highlight w:val="none"/>
              </w:rPr>
              <w:t>范围内。</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u w:val="single"/>
              </w:rPr>
            </w:pPr>
            <w:r>
              <w:rPr>
                <w:rFonts w:hint="eastAsia"/>
                <w:color w:val="auto"/>
                <w:sz w:val="21"/>
                <w:szCs w:val="21"/>
                <w:highlight w:val="none"/>
              </w:rPr>
              <w:t>5.</w:t>
            </w:r>
            <w:r>
              <w:rPr>
                <w:rFonts w:hint="eastAsia"/>
                <w:color w:val="auto"/>
                <w:sz w:val="21"/>
                <w:szCs w:val="21"/>
                <w:highlight w:val="none"/>
                <w:u w:val="single"/>
              </w:rPr>
              <w:t>如在使用过程中发生质量问题，供应商</w:t>
            </w:r>
            <w:r>
              <w:rPr>
                <w:rFonts w:hint="eastAsia"/>
                <w:color w:val="auto"/>
                <w:sz w:val="21"/>
                <w:szCs w:val="21"/>
                <w:highlight w:val="none"/>
                <w:u w:val="single"/>
                <w:lang w:val="en-US" w:eastAsia="zh-CN"/>
              </w:rPr>
              <w:t>维护</w:t>
            </w:r>
            <w:r>
              <w:rPr>
                <w:rFonts w:hint="eastAsia"/>
                <w:color w:val="auto"/>
                <w:sz w:val="21"/>
                <w:szCs w:val="21"/>
                <w:highlight w:val="none"/>
                <w:u w:val="single"/>
              </w:rPr>
              <w:t>响应时间： 2 小时以内；</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u w:val="single"/>
              </w:rPr>
            </w:pPr>
            <w:r>
              <w:rPr>
                <w:rFonts w:hint="eastAsia"/>
                <w:color w:val="auto"/>
                <w:sz w:val="21"/>
                <w:szCs w:val="21"/>
                <w:highlight w:val="none"/>
                <w:u w:val="single"/>
              </w:rPr>
              <w:t>电话技术支持时间： 4 小时以内；</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u w:val="single"/>
              </w:rPr>
              <w:t>若需上门</w:t>
            </w:r>
            <w:r>
              <w:rPr>
                <w:rFonts w:hint="eastAsia"/>
                <w:color w:val="auto"/>
                <w:sz w:val="21"/>
                <w:szCs w:val="21"/>
                <w:highlight w:val="none"/>
                <w:u w:val="single"/>
                <w:lang w:val="en-US" w:eastAsia="zh-CN"/>
              </w:rPr>
              <w:t>维护</w:t>
            </w:r>
            <w:r>
              <w:rPr>
                <w:rFonts w:hint="eastAsia"/>
                <w:color w:val="auto"/>
                <w:sz w:val="21"/>
                <w:szCs w:val="21"/>
                <w:highlight w:val="none"/>
                <w:u w:val="single"/>
              </w:rPr>
              <w:t>，则在： 12 小时内到达现场并进行</w:t>
            </w:r>
            <w:r>
              <w:rPr>
                <w:rFonts w:hint="eastAsia"/>
                <w:color w:val="auto"/>
                <w:sz w:val="21"/>
                <w:szCs w:val="21"/>
                <w:highlight w:val="none"/>
                <w:u w:val="single"/>
                <w:lang w:val="en-US" w:eastAsia="zh-CN"/>
              </w:rPr>
              <w:t>维护</w:t>
            </w:r>
            <w:r>
              <w:rPr>
                <w:rFonts w:hint="eastAsia"/>
                <w:color w:val="auto"/>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1.验收由采购人负责实施；</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2.验收依据：</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2.1合同、磋商文件、响应文件；</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2.2供应商提供的技术规格、经采购人认可的合同货物的有效检验文件；</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2.3供应商响应文件中提供的经采购人认可的合同货物的验收标准（符合中国有关的国家、地方、行业标准）和检测办法及相应检测手段。</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4.验收合格的条件：</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4.1所供货物符合产品标准和合同的要求；</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4.2在进行测试和验收过程中发现的问题已被解决并得到采购人的认可；</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4.3合同中规定的所有货物和材料均已交付；</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4.4所供货物已通过使用单位组织的验收；</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1.供应商应按磋商文件规定的货物性能、技术要求、质量标准向采购人提供未经使用的全新产品，符合国家法律规定和技术规格、质量标准的出厂原装合格产品。</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2.技术支持：</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供应商应及时提供合同货物软件的升级，提供合同货物新功能和应用的资料。</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 xml:space="preserve">3.安装调试： </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3.1安装地点：采购人指定地点；</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3.2安装完成时间：接到采购人通知后在规定时间内完成安装和调试，如在规定的时间内由于供应商的原因不能完成安装和调试，供应商应承担由此给采购人造成的损失；</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3.3如供应商委托国内代理（或其他机构）负责安装或配合安装应在签约时指明，但供应商仍要对合同货物及其安装质量负全部责任；</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3.4安装标准：符合我国国家有关技术规范要求和技术标准，所有的软件和硬件必须保证同时安装到位；</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3.5供应商免费提供合同货物的安装服务；</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3.6供应商在响应文件中应提供安装调试计划、对安装场地和环境的要求。</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4.供应商应提供质保期满后主要零部件报价单、质保期满后维护费、软件升级及其相关服务内容；</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5.供货时提供有关的全套技术文件。</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6.</w:t>
            </w:r>
            <w:r>
              <w:rPr>
                <w:rFonts w:hint="eastAsia" w:cs="Times New Roman"/>
                <w:color w:val="auto"/>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供应商应对采购人的操作人员、维修人员免费进行培训；</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供应商应提供相应的培训计划；</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上述内容的实现方式、时间、地点、人数应在响应文件中详细说明。</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需执行的国家相关标准、行业标准、地方标准或者其他标准、规范：</w:t>
      </w:r>
      <w:bookmarkStart w:id="32" w:name="_Hlk97039652"/>
      <w:r>
        <w:rPr>
          <w:rFonts w:hint="eastAsia"/>
          <w:color w:val="auto"/>
          <w:sz w:val="21"/>
          <w:szCs w:val="21"/>
          <w:highlight w:val="none"/>
        </w:rPr>
        <w:t>如技术要求中未注明需执行的国家相关标准、行业标准、地方标准或者其他标准、规范的，执行最新标准、规范。</w:t>
      </w:r>
      <w:bookmarkEnd w:id="32"/>
    </w:p>
    <w:p>
      <w:pPr>
        <w:adjustRightInd w:val="0"/>
        <w:snapToGrid w:val="0"/>
        <w:spacing w:line="288" w:lineRule="auto"/>
        <w:rPr>
          <w:b/>
          <w:bCs/>
          <w:color w:val="auto"/>
          <w:sz w:val="21"/>
          <w:szCs w:val="21"/>
          <w:highlight w:val="none"/>
        </w:rPr>
      </w:pPr>
      <w:r>
        <w:rPr>
          <w:b/>
          <w:bCs/>
          <w:color w:val="auto"/>
          <w:sz w:val="21"/>
          <w:szCs w:val="21"/>
          <w:highlight w:val="none"/>
        </w:rPr>
        <w:t>2</w:t>
      </w:r>
      <w:r>
        <w:rPr>
          <w:rFonts w:hint="eastAsia"/>
          <w:b/>
          <w:bCs/>
          <w:color w:val="auto"/>
          <w:sz w:val="21"/>
          <w:szCs w:val="21"/>
          <w:highlight w:val="none"/>
        </w:rPr>
        <w:t>.需实现的功能或者目标：</w:t>
      </w:r>
      <w:r>
        <w:rPr>
          <w:rFonts w:hint="eastAsia"/>
          <w:b w:val="0"/>
          <w:bCs w:val="0"/>
          <w:color w:val="auto"/>
          <w:sz w:val="21"/>
          <w:szCs w:val="21"/>
          <w:highlight w:val="none"/>
        </w:rPr>
        <w:t>智能财税技能测评平台是面向高校财务会计类和财政税务类专业学生开发的一款集教学、训练、测评等功能为一体的财务、税务、管理会计技能综合训练系统。</w:t>
      </w:r>
    </w:p>
    <w:p>
      <w:pPr>
        <w:adjustRightInd w:val="0"/>
        <w:snapToGrid w:val="0"/>
        <w:spacing w:line="288" w:lineRule="auto"/>
        <w:rPr>
          <w:rFonts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732"/>
        <w:gridCol w:w="633"/>
        <w:gridCol w:w="632"/>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6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6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0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智能财税—财务管理技能训练平台</w:t>
            </w:r>
          </w:p>
        </w:tc>
        <w:tc>
          <w:tcPr>
            <w:tcW w:w="6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000" w:type="dxa"/>
          </w:tcPr>
          <w:p>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一、总体要求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智能财税技能测评平台是面向高校财务会计类和财政税务类专业学生开发的一款集教学、训练、测评等功能为一体的财务、税务、管理会计技能综合训练系统。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财务管理技能训练采用团队方式，分为四个岗位，分别为预算管理岗、成本管理岗、投资融资岗、财务分析岗。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本项目“智能财税技能测评平台”需提供软件安装程序并进行本地化部署，训练题目不少于5套，每套题量应在120–150分钟内完成。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本项目应提供配套的“智能财税技能训练管理系统”和“智能财税业务操作系统教学版”，并提供3年免费云服务。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鉴于本项目采用混合部署，“智能财税技能训练管理系统”和“智能财税业务操作系统教学版”可不要求产品交付和本地化部署。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本项目不限注册用户数，限同时在线用户数100。</w:t>
            </w:r>
          </w:p>
          <w:p>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二、技术规格</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（一）平台技术要求</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1、要求系统采用B/S架构，无需安装客户端，可支持的第三方插件及版本Adobe Flash Player，可支持的浏览器及版本Chrome61/Safari 9/Firefox40以上 32位/64位，使用时只要打开chrome浏览器即可轻松实现所有操作。</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2、要求使用mysql开源数据库，可通过水平扩展来达到高可用性和高性能。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采用当前流行的SpringBoot,SpringCloud,Mybatis技术框架，展现层需要通过vue和相关标签实现，实现前后端分离；模型层通过Java接口及实现类来实现；与数据库的接口采用轻量级封装Mybatis提供的接口；系统所有操作都具备系统日志与业务日志级别。</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4、要求系统可以抵御常用攻击手段，如sql注入，CSRF、XSS等。</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5、要求使用redis缓存数据库来进行用户数据的缓存，增加系统响应速度并优化用户的体验。</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6、要求使用多用户的统一登录口，系统管理员、教师、学生统一登陆口，只需输入各自的用户名及密码即可登录。</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7、系统可在线升级，在联网情况下支持系统功能远程升级和题库的更新升级，无需现场升级更新。</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8、系统采用混合云服务器部署。</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（二）教师端功能要求</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1.技能训练管理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1.1报名管理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录入学生的报名信息、从教学教务管理中导入已有学生。</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1.2学生分组</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对报名的学生进行分组、设置队长，由队长来设置每位队员的岗位。</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1.3训练管理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系统中已经存在的训练分为未开通、进行中、已结束三种状态。</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新建训练时，可以设置开始时间、结束时间、训练时长、训练模式、选择试卷、选择考生、最少答题时间、是否显示成绩等信息。</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可根据实际使用场景修改学生岗位。岗位决定了考生只能操作哪一类试题。</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训练模式分为单次练习模式和循环练习模式。单次练习模式支持限定训练时长，登录时间不限，即在一定时间段内考生可以随时登录系统参与训练，训练时长固定，时间到训练结束，不能重复答题；循环练习模式下不限制训练操作次数，只要是在训练时间内，考生任何时候都可以登录练习。</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1.4选取训练包。</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支持教师选取一套训练包，进行训练。</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2.实操练习</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2.1学生登录系统后选择存在的训练项目，学生根据创建训练时分配的不同岗位或全岗位进入系统答题。</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2.2如果学生角色为全角色，可以操作训练中的所有试题。如果为某一岗位，只能操作自己所属角色对应的试题，不能操作其他角色对应的试题。</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2.3训练过程中如果遇到突然断电关机、误操作关闭浏览器等非正常结束训练，考生可以重新登录系统进入答题，答题记录自动恢复到关闭前的最后一道已保存的试题。</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3.统计分析</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3.1统计分析主要对系统中完成状态的训练信息进行统计。</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3.2统计分析中可以查看某场训练的应训人数、实训人数、平均分等信息。</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3.3对于某个考生，可以查看包含训练时间、总成绩、单题成绩等详细的训练信息。</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（三）学生端功能要求</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学生端应能支持测评训练要求，系统应具有预算管理模块、成本管理模块、公司金融模块、大数据财务分析模块。</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1.预算管理模块</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10.1业务计划</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根据企业预算目标和经营预期，修订或设计相应的预算计划。</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10.2预算编制</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根据市场需求、销售情况、款项回收情况、生产能力等数据编制全面预算。</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10.3预算控制</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通过跟踪预算使用情况，采取适当的方法控制预算使用，对出现的异常情况及时予以建议和调整。</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10.4预算分析</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对预算执行实际数与预算数之间的差异进行分析。</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2.成本管理模块</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11.1成本计划</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根据企业成本控制目标和经营预期，确定产品标准成本。</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11.2成本核算</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根据产品的材料购入与耗用、人工、制造费用等成本的支出情况计算产品成本。</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11.3成本控制</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通过跟踪材料购入与耗用、人工、制造费用等成本的支出情况，将标准成本应用到产品生产过程的成本控制中，并采取适当的方法控制生产制造成本，对出现的异常差异情况及时予以建议和纠正。</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11.4成本分析</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定期将实际成本与标准成本进行比较，分析差异数据的性质及形成原因；定期对产品成本构成情况进行分析，确定影响产品成本的主要因素；将成本数据与往年、同业数据比较，分析存在差异的原因。</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3.公司金融模块</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12.1应收账款保理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掌握应收账款保理业务流程，确定筹集资金的数量，选择应收账款保理方案，制定对应的偿还计划，对保理业务进行监控。</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12.2债券、股权融资</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核算融资成本，并结合企业资本结构选择合适的融资方案。</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12.3项目投资</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利用投资项目财务评价指标，对不同的项目投资方案进行分析决策；根据给定的证券购买价格，通过计算证券价值、证券投资收益率，进行证券投资分析决策。</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4.大数据财务分析模块</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13.1财务报表分析</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依据企业的资产负债表、利润表、现金流量表，运用数据分析工具进行绝对值和相对值的比较分析，并与行业大数据进行比较。</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13.2财务指标分析</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依据获取的财务数据，运用数据分析工具，完成偿债能力、营运能力、盈利能力和发展能力分析，并完成可视化呈现。</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运用杜邦分析、沃尔评分法，利用大数据工具，分析计算某一企业的综合财务指标，并与行业综合财务指标进行对比分析。</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三、训练包要求</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1.为配合训练需要，测评平台应包含财务管理与大数据应用模块的训练内容。</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2.本模块应包含5套题目，支撑智能财税技能测评训练。</w:t>
            </w:r>
          </w:p>
        </w:tc>
      </w:tr>
    </w:tbl>
    <w:p>
      <w:pPr>
        <w:widowControl/>
        <w:adjustRightInd w:val="0"/>
        <w:snapToGrid w:val="0"/>
        <w:spacing w:line="288" w:lineRule="auto"/>
        <w:jc w:val="left"/>
        <w:rPr>
          <w:bCs/>
          <w:color w:val="auto"/>
          <w:spacing w:val="-6"/>
          <w:kern w:val="0"/>
          <w:sz w:val="21"/>
          <w:szCs w:val="21"/>
          <w:highlight w:val="none"/>
        </w:rPr>
      </w:pPr>
    </w:p>
    <w:p>
      <w:pPr>
        <w:spacing w:line="288" w:lineRule="auto"/>
        <w:rPr>
          <w:b/>
          <w:bCs/>
          <w:color w:val="auto"/>
          <w:sz w:val="21"/>
          <w:szCs w:val="21"/>
          <w:highlight w:val="none"/>
        </w:rPr>
      </w:pPr>
      <w:r>
        <w:rPr>
          <w:rFonts w:hint="eastAsia"/>
          <w:b/>
          <w:bCs/>
          <w:color w:val="auto"/>
          <w:sz w:val="21"/>
          <w:szCs w:val="21"/>
          <w:highlight w:val="none"/>
        </w:rPr>
        <w:t>四、演示：</w:t>
      </w:r>
    </w:p>
    <w:p>
      <w:pPr>
        <w:keepNext w:val="0"/>
        <w:keepLines w:val="0"/>
        <w:widowControl w:val="0"/>
        <w:suppressLineNumbers w:val="0"/>
        <w:spacing w:before="0" w:beforeAutospacing="0" w:after="0" w:afterAutospacing="0" w:line="288" w:lineRule="auto"/>
        <w:ind w:left="0" w:right="0"/>
        <w:jc w:val="left"/>
        <w:rPr>
          <w:color w:val="auto"/>
          <w:sz w:val="21"/>
          <w:szCs w:val="21"/>
          <w:highlight w:val="none"/>
          <w:lang w:val="en-US"/>
        </w:rPr>
      </w:pPr>
      <w:r>
        <w:rPr>
          <w:rFonts w:hint="eastAsia" w:ascii="宋体" w:hAnsi="宋体" w:eastAsia="宋体" w:cs="宋体"/>
          <w:b/>
          <w:bCs/>
          <w:color w:val="auto"/>
          <w:spacing w:val="-6"/>
          <w:kern w:val="2"/>
          <w:sz w:val="21"/>
          <w:szCs w:val="21"/>
          <w:highlight w:val="none"/>
          <w:lang w:val="en-US" w:eastAsia="zh-CN" w:bidi="ar"/>
        </w:rPr>
        <w:t>演示要求1</w:t>
      </w:r>
      <w:r>
        <w:rPr>
          <w:rFonts w:hint="eastAsia" w:ascii="宋体" w:hAnsi="宋体" w:eastAsia="宋体" w:cs="宋体"/>
          <w:color w:val="auto"/>
          <w:spacing w:val="-6"/>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如果学生角色为全角色，可以操作训练中的所有试题。如果为某一岗位，只能操作自己所属角色对应的试题，不能操作其他角色对应的试题。</w:t>
      </w:r>
    </w:p>
    <w:p>
      <w:pPr>
        <w:keepNext w:val="0"/>
        <w:keepLines w:val="0"/>
        <w:widowControl w:val="0"/>
        <w:suppressLineNumbers w:val="0"/>
        <w:spacing w:before="0" w:beforeAutospacing="0" w:after="0" w:afterAutospacing="0"/>
        <w:ind w:left="0" w:right="0"/>
        <w:jc w:val="both"/>
        <w:rPr>
          <w:color w:val="auto"/>
          <w:spacing w:val="-6"/>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演示要求2</w:t>
      </w:r>
      <w:r>
        <w:rPr>
          <w:rFonts w:hint="eastAsia" w:ascii="宋体" w:hAnsi="宋体" w:eastAsia="宋体" w:cs="宋体"/>
          <w:color w:val="auto"/>
          <w:spacing w:val="-6"/>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教师端：统计分析中可以查看某场训练的应训人数、实训人数、平均分等信息。</w:t>
      </w:r>
    </w:p>
    <w:p>
      <w:pPr>
        <w:keepNext w:val="0"/>
        <w:keepLines w:val="0"/>
        <w:widowControl w:val="0"/>
        <w:suppressLineNumbers w:val="0"/>
        <w:spacing w:before="0" w:beforeAutospacing="0" w:after="0" w:afterAutospacing="0" w:line="288" w:lineRule="auto"/>
        <w:ind w:left="0" w:right="0"/>
        <w:jc w:val="left"/>
        <w:rPr>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演示要求3</w:t>
      </w:r>
      <w:r>
        <w:rPr>
          <w:rFonts w:hint="eastAsia" w:ascii="宋体" w:hAnsi="宋体" w:eastAsia="宋体" w:cs="宋体"/>
          <w:color w:val="auto"/>
          <w:kern w:val="2"/>
          <w:sz w:val="21"/>
          <w:szCs w:val="21"/>
          <w:highlight w:val="none"/>
          <w:lang w:val="en-US" w:eastAsia="zh-CN" w:bidi="ar"/>
        </w:rPr>
        <w:t>：财务管理技能训练采用团队方式，分为四个岗位，分别为预算管理岗、成本管理岗、投资融资岗、财务分析岗。</w:t>
      </w:r>
    </w:p>
    <w:p>
      <w:pPr>
        <w:keepNext w:val="0"/>
        <w:keepLines w:val="0"/>
        <w:widowControl w:val="0"/>
        <w:suppressLineNumbers w:val="0"/>
        <w:spacing w:before="0" w:beforeAutospacing="0" w:after="0" w:afterAutospacing="0"/>
        <w:ind w:left="0" w:right="0"/>
        <w:jc w:val="both"/>
        <w:rPr>
          <w:color w:val="auto"/>
          <w:spacing w:val="-6"/>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演示要求4</w:t>
      </w:r>
      <w:r>
        <w:rPr>
          <w:rFonts w:hint="eastAsia" w:ascii="宋体" w:hAnsi="宋体" w:eastAsia="宋体" w:cs="宋体"/>
          <w:color w:val="auto"/>
          <w:spacing w:val="-6"/>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学生端：系统具有预算管理模块、成本管理模块、公司金融模块、大数据财务分析模块。</w:t>
      </w:r>
    </w:p>
    <w:p>
      <w:pPr>
        <w:keepNext w:val="0"/>
        <w:keepLines w:val="0"/>
        <w:widowControl w:val="0"/>
        <w:suppressLineNumbers w:val="0"/>
        <w:spacing w:before="0" w:beforeAutospacing="0" w:after="0" w:afterAutospacing="0" w:line="288" w:lineRule="auto"/>
        <w:ind w:left="0" w:right="0"/>
        <w:jc w:val="left"/>
        <w:rPr>
          <w:color w:val="auto"/>
          <w:spacing w:val="-6"/>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演示要求5</w:t>
      </w:r>
      <w:r>
        <w:rPr>
          <w:rFonts w:hint="eastAsia" w:ascii="宋体" w:hAnsi="宋体" w:eastAsia="宋体" w:cs="宋体"/>
          <w:color w:val="auto"/>
          <w:spacing w:val="-6"/>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预算管理模块包含预算编制、预算分析、预算控制模块。</w:t>
      </w:r>
    </w:p>
    <w:p>
      <w:pPr>
        <w:keepNext w:val="0"/>
        <w:keepLines w:val="0"/>
        <w:widowControl w:val="0"/>
        <w:suppressLineNumbers w:val="0"/>
        <w:spacing w:before="0" w:beforeAutospacing="0" w:after="0" w:afterAutospacing="0" w:line="288" w:lineRule="auto"/>
        <w:ind w:left="0" w:right="0"/>
        <w:jc w:val="left"/>
        <w:rPr>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演示要求6：</w:t>
      </w:r>
      <w:r>
        <w:rPr>
          <w:rFonts w:hint="eastAsia" w:ascii="宋体" w:hAnsi="宋体" w:eastAsia="宋体" w:cs="宋体"/>
          <w:color w:val="auto"/>
          <w:kern w:val="2"/>
          <w:sz w:val="21"/>
          <w:szCs w:val="21"/>
          <w:highlight w:val="none"/>
          <w:lang w:val="en-US" w:eastAsia="zh-CN" w:bidi="ar"/>
        </w:rPr>
        <w:t>成本管理模块包含成本计划、成本核算、成本控制、成本分析模块。</w:t>
      </w:r>
    </w:p>
    <w:p>
      <w:pPr>
        <w:keepNext w:val="0"/>
        <w:keepLines w:val="0"/>
        <w:widowControl w:val="0"/>
        <w:suppressLineNumbers w:val="0"/>
        <w:spacing w:before="0" w:beforeAutospacing="0" w:after="0" w:afterAutospacing="0" w:line="288" w:lineRule="auto"/>
        <w:ind w:left="0" w:right="0"/>
        <w:jc w:val="left"/>
        <w:rPr>
          <w:color w:val="auto"/>
          <w:spacing w:val="-6"/>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演示要求7</w:t>
      </w:r>
      <w:r>
        <w:rPr>
          <w:rFonts w:hint="eastAsia" w:ascii="宋体" w:hAnsi="宋体" w:eastAsia="宋体" w:cs="宋体"/>
          <w:color w:val="auto"/>
          <w:spacing w:val="-6"/>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公司金融模块包含应收账款保理、债券股权融资、项目投资模块。</w:t>
      </w:r>
    </w:p>
    <w:p>
      <w:pPr>
        <w:keepNext w:val="0"/>
        <w:keepLines w:val="0"/>
        <w:widowControl w:val="0"/>
        <w:suppressLineNumbers w:val="0"/>
        <w:spacing w:before="0" w:beforeAutospacing="0" w:after="0" w:afterAutospacing="0" w:line="288" w:lineRule="auto"/>
        <w:ind w:left="0" w:right="0"/>
        <w:jc w:val="left"/>
        <w:rPr>
          <w:color w:val="auto"/>
          <w:spacing w:val="-6"/>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演示要求8</w:t>
      </w:r>
      <w:r>
        <w:rPr>
          <w:rFonts w:hint="eastAsia" w:ascii="宋体" w:hAnsi="宋体" w:eastAsia="宋体" w:cs="宋体"/>
          <w:color w:val="auto"/>
          <w:spacing w:val="-6"/>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大数据财务分析模块：依据获取的财务数据，运用数据分析工具，完成偿债能力、营运能力、盈利能力和发展能力分析，并完成可视化呈现。</w:t>
      </w:r>
    </w:p>
    <w:p>
      <w:pPr>
        <w:keepNext w:val="0"/>
        <w:keepLines w:val="0"/>
        <w:widowControl w:val="0"/>
        <w:suppressLineNumbers w:val="0"/>
        <w:spacing w:before="0" w:beforeAutospacing="0" w:after="0" w:afterAutospacing="0"/>
        <w:ind w:left="0" w:right="0"/>
        <w:jc w:val="both"/>
        <w:rPr>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演示要求9</w:t>
      </w:r>
      <w:r>
        <w:rPr>
          <w:rFonts w:hint="eastAsia" w:ascii="宋体" w:hAnsi="宋体" w:eastAsia="宋体" w:cs="宋体"/>
          <w:color w:val="auto"/>
          <w:spacing w:val="-6"/>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测评平台包含财务管理与大数据应用模块的训练内容。</w:t>
      </w:r>
    </w:p>
    <w:p>
      <w:pPr>
        <w:keepNext w:val="0"/>
        <w:keepLines w:val="0"/>
        <w:widowControl/>
        <w:suppressLineNumbers w:val="0"/>
        <w:jc w:val="left"/>
        <w:rPr>
          <w:color w:val="auto"/>
          <w:highlight w:val="none"/>
        </w:rPr>
      </w:pPr>
      <w:r>
        <w:rPr>
          <w:rFonts w:hint="eastAsia" w:ascii="宋体" w:hAnsi="宋体" w:eastAsia="宋体" w:cs="宋体"/>
          <w:b/>
          <w:bCs/>
          <w:color w:val="auto"/>
          <w:kern w:val="2"/>
          <w:sz w:val="21"/>
          <w:szCs w:val="21"/>
          <w:highlight w:val="none"/>
          <w:lang w:val="en-US" w:eastAsia="zh-CN" w:bidi="ar"/>
        </w:rPr>
        <w:t>演示要求10</w:t>
      </w:r>
      <w:r>
        <w:rPr>
          <w:rFonts w:hint="eastAsia" w:ascii="宋体" w:hAnsi="宋体" w:eastAsia="宋体" w:cs="宋体"/>
          <w:color w:val="auto"/>
          <w:spacing w:val="-6"/>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测评平台含5套题目。</w:t>
      </w:r>
    </w:p>
    <w:p>
      <w:pPr>
        <w:pStyle w:val="2"/>
        <w:rPr>
          <w:color w:val="auto"/>
          <w:highlight w:val="none"/>
        </w:rPr>
      </w:pPr>
    </w:p>
    <w:p>
      <w:pPr>
        <w:spacing w:line="288" w:lineRule="auto"/>
        <w:jc w:val="left"/>
        <w:rPr>
          <w:color w:val="auto"/>
          <w:spacing w:val="-6"/>
          <w:sz w:val="21"/>
          <w:szCs w:val="21"/>
          <w:highlight w:val="none"/>
        </w:rPr>
      </w:pPr>
      <w:r>
        <w:rPr>
          <w:rFonts w:hint="eastAsia"/>
          <w:color w:val="auto"/>
          <w:spacing w:val="-6"/>
          <w:sz w:val="21"/>
          <w:szCs w:val="21"/>
          <w:highlight w:val="none"/>
        </w:rPr>
        <w:t>（二）演示U盘</w:t>
      </w:r>
    </w:p>
    <w:p>
      <w:pPr>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1.根据“电子交易/不见面开评标”原则，响应方需将上述演示要求系统演示及讲解过程录制视频，该录制视频演示时长不超过</w:t>
      </w:r>
      <w:r>
        <w:rPr>
          <w:color w:val="auto"/>
          <w:spacing w:val="-6"/>
          <w:sz w:val="21"/>
          <w:szCs w:val="21"/>
          <w:highlight w:val="none"/>
        </w:rPr>
        <w:t>10</w:t>
      </w:r>
      <w:r>
        <w:rPr>
          <w:rFonts w:hint="eastAsia"/>
          <w:color w:val="auto"/>
          <w:spacing w:val="-6"/>
          <w:sz w:val="21"/>
          <w:szCs w:val="21"/>
          <w:highlight w:val="none"/>
        </w:rPr>
        <w:t>分钟以mp4格式存储于U盘；响应方须自行核验U盘中的视频能正常播放，保证视频无需转码即可直接用主流播放器打开播放。</w:t>
      </w:r>
    </w:p>
    <w:p>
      <w:pPr>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2.演示U盘可以EMS或顺丰邮寄形式在响应截止时间前递交，演示U盘应当密封包装并在包装上标注演示U盘、投标项目名称、标项、响应方名称并加盖公章。</w:t>
      </w:r>
    </w:p>
    <w:p>
      <w:pPr>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3.未按磋商文件要求提供演示U盘及演示内容，导致专家无法正常评审的风险由响应方自行承担。</w:t>
      </w:r>
    </w:p>
    <w:p>
      <w:pPr>
        <w:spacing w:line="288" w:lineRule="auto"/>
        <w:ind w:firstLine="420" w:firstLineChars="200"/>
        <w:jc w:val="left"/>
        <w:rPr>
          <w:color w:val="auto"/>
          <w:spacing w:val="-6"/>
          <w:sz w:val="21"/>
          <w:szCs w:val="21"/>
          <w:highlight w:val="none"/>
        </w:rPr>
      </w:pPr>
      <w:r>
        <w:rPr>
          <w:rFonts w:hint="eastAsia"/>
          <w:color w:val="auto"/>
          <w:sz w:val="21"/>
          <w:szCs w:val="21"/>
          <w:highlight w:val="none"/>
        </w:rPr>
        <w:t>▲</w:t>
      </w:r>
      <w:r>
        <w:rPr>
          <w:rFonts w:hint="eastAsia"/>
          <w:color w:val="auto"/>
          <w:spacing w:val="-6"/>
          <w:sz w:val="21"/>
          <w:szCs w:val="21"/>
          <w:highlight w:val="none"/>
        </w:rPr>
        <w:t>4.</w:t>
      </w:r>
      <w:r>
        <w:rPr>
          <w:rFonts w:hint="eastAsia" w:ascii="宋体" w:hAnsi="宋体" w:eastAsia="宋体" w:cs="宋体"/>
          <w:b/>
          <w:bCs/>
          <w:color w:val="auto"/>
          <w:spacing w:val="-6"/>
          <w:kern w:val="2"/>
          <w:sz w:val="21"/>
          <w:szCs w:val="21"/>
          <w:highlight w:val="none"/>
          <w:lang w:val="en-US" w:eastAsia="zh-CN" w:bidi="ar"/>
        </w:rPr>
        <w:t>未提供演示的，</w:t>
      </w:r>
      <w:r>
        <w:rPr>
          <w:rFonts w:hint="eastAsia" w:cs="宋体"/>
          <w:b/>
          <w:bCs/>
          <w:color w:val="auto"/>
          <w:spacing w:val="-6"/>
          <w:kern w:val="2"/>
          <w:sz w:val="21"/>
          <w:szCs w:val="21"/>
          <w:highlight w:val="none"/>
          <w:lang w:val="en-US" w:eastAsia="zh-CN" w:bidi="ar"/>
        </w:rPr>
        <w:t>响应无效</w:t>
      </w:r>
      <w:r>
        <w:rPr>
          <w:color w:val="auto"/>
          <w:highlight w:val="none"/>
        </w:rPr>
        <w:commentReference w:id="0"/>
      </w:r>
      <w:r>
        <w:rPr>
          <w:rFonts w:hint="eastAsia"/>
          <w:color w:val="auto"/>
          <w:spacing w:val="-6"/>
          <w:sz w:val="21"/>
          <w:szCs w:val="21"/>
          <w:highlight w:val="none"/>
        </w:rPr>
        <w:t xml:space="preserve">。 </w:t>
      </w:r>
    </w:p>
    <w:p>
      <w:pPr>
        <w:adjustRightInd w:val="0"/>
        <w:snapToGrid w:val="0"/>
        <w:spacing w:line="288" w:lineRule="auto"/>
        <w:rPr>
          <w:rFonts w:cs="Times New Roman"/>
          <w:b/>
          <w:bCs/>
          <w:color w:val="auto"/>
          <w:sz w:val="21"/>
          <w:szCs w:val="21"/>
          <w:highlight w:val="none"/>
        </w:rPr>
      </w:pPr>
    </w:p>
    <w:p>
      <w:pPr>
        <w:adjustRightInd w:val="0"/>
        <w:snapToGrid w:val="0"/>
        <w:spacing w:line="288" w:lineRule="auto"/>
        <w:rPr>
          <w:rFonts w:cs="Times New Roman"/>
          <w:b/>
          <w:bCs/>
          <w:color w:val="auto"/>
          <w:sz w:val="21"/>
          <w:szCs w:val="21"/>
          <w:highlight w:val="none"/>
        </w:rPr>
      </w:pPr>
    </w:p>
    <w:p>
      <w:pPr>
        <w:adjustRightInd w:val="0"/>
        <w:snapToGrid w:val="0"/>
        <w:spacing w:line="288" w:lineRule="auto"/>
        <w:jc w:val="left"/>
        <w:outlineLvl w:val="1"/>
        <w:rPr>
          <w:rFonts w:hint="eastAsia" w:eastAsia="宋体"/>
          <w:b/>
          <w:bCs/>
          <w:color w:val="auto"/>
          <w:sz w:val="21"/>
          <w:szCs w:val="21"/>
          <w:highlight w:val="none"/>
          <w:lang w:val="en-US" w:eastAsia="zh-CN"/>
        </w:rPr>
      </w:pPr>
      <w:r>
        <w:rPr>
          <w:rFonts w:cs="Times New Roman"/>
          <w:color w:val="auto"/>
          <w:sz w:val="21"/>
          <w:szCs w:val="21"/>
          <w:highlight w:val="none"/>
        </w:rPr>
        <w:br w:type="page"/>
      </w:r>
      <w:r>
        <w:rPr>
          <w:rFonts w:hint="eastAsia"/>
          <w:b/>
          <w:bCs/>
          <w:color w:val="auto"/>
          <w:sz w:val="21"/>
          <w:szCs w:val="21"/>
          <w:highlight w:val="none"/>
          <w:lang w:val="en-US" w:eastAsia="zh-CN"/>
        </w:rPr>
        <w:t>标项二：财务会计技能竞赛分岗实训平台</w:t>
      </w:r>
    </w:p>
    <w:p>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8"/>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序号</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政策名称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1</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政府采购进口产品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2</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3</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eastAsia="宋体"/>
                <w:b/>
                <w:bCs/>
                <w:color w:val="auto"/>
                <w:sz w:val="21"/>
                <w:szCs w:val="21"/>
                <w:highlight w:val="none"/>
                <w:lang w:eastAsia="zh-CN"/>
              </w:rPr>
            </w:pPr>
            <w:r>
              <w:rPr>
                <w:rFonts w:hint="eastAsia"/>
                <w:color w:val="auto"/>
                <w:sz w:val="21"/>
                <w:szCs w:val="21"/>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4</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18"/>
                <w:highlight w:val="none"/>
              </w:rPr>
            </w:pPr>
            <w:r>
              <w:rPr>
                <w:rFonts w:hint="eastAsia"/>
                <w:color w:val="auto"/>
                <w:sz w:val="21"/>
                <w:szCs w:val="18"/>
                <w:highlight w:val="none"/>
              </w:rPr>
              <w:t>政府采购支持科技创新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eastAsia="宋体"/>
                <w:color w:val="auto"/>
                <w:sz w:val="21"/>
                <w:szCs w:val="18"/>
                <w:highlight w:val="none"/>
                <w:lang w:eastAsia="zh-CN"/>
              </w:rPr>
            </w:pPr>
            <w:r>
              <w:rPr>
                <w:rFonts w:hint="eastAsia"/>
                <w:color w:val="auto"/>
                <w:sz w:val="21"/>
                <w:szCs w:val="18"/>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5</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提供材料详见磋商文件第六章“报价文件”</w:t>
            </w:r>
          </w:p>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本项目属性为：货物</w:t>
            </w:r>
          </w:p>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采购标的对应的中小企业划分标准所属行业：软件和信息技术服务业</w:t>
            </w:r>
          </w:p>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b/>
                <w:bCs/>
                <w:color w:val="auto"/>
                <w:sz w:val="21"/>
                <w:szCs w:val="21"/>
                <w:highlight w:val="none"/>
              </w:rPr>
              <w:t>中小企业划型标准：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6</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政府采购支持监狱企业发展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s="Times New Roman"/>
                <w:b/>
                <w:bCs/>
                <w:color w:val="auto"/>
                <w:sz w:val="21"/>
                <w:szCs w:val="21"/>
                <w:highlight w:val="none"/>
              </w:rPr>
            </w:pPr>
            <w:r>
              <w:rPr>
                <w:rFonts w:hint="eastAsia"/>
                <w:color w:val="auto"/>
                <w:sz w:val="21"/>
                <w:szCs w:val="21"/>
                <w:highlight w:val="none"/>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7</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政府采购促进残疾人就业</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提供材料详见磋商文件第六章“报价文件”</w:t>
            </w:r>
          </w:p>
        </w:tc>
      </w:tr>
    </w:tbl>
    <w:p>
      <w:pPr>
        <w:adjustRightInd w:val="0"/>
        <w:snapToGrid w:val="0"/>
        <w:spacing w:line="288" w:lineRule="auto"/>
        <w:jc w:val="left"/>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8"/>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pacing w:val="-6"/>
                <w:kern w:val="0"/>
                <w:sz w:val="21"/>
                <w:szCs w:val="21"/>
                <w:highlight w:val="none"/>
              </w:rPr>
            </w:pPr>
            <w:r>
              <w:rPr>
                <w:rFonts w:hint="eastAsia"/>
                <w:color w:val="auto"/>
                <w:spacing w:val="-6"/>
                <w:kern w:val="0"/>
                <w:sz w:val="21"/>
                <w:szCs w:val="21"/>
                <w:highlight w:val="none"/>
              </w:rPr>
              <w:t>1.合同签订后一周内，成交供应商向采购人提交合同总价1%的履约保证金，履约保证金在合同履约期间无违约情形的，项目验收结束后，于一周内退还（不计息）；</w:t>
            </w:r>
          </w:p>
          <w:p>
            <w:pPr>
              <w:keepNext w:val="0"/>
              <w:keepLines w:val="0"/>
              <w:suppressLineNumbers w:val="0"/>
              <w:adjustRightInd w:val="0"/>
              <w:snapToGrid w:val="0"/>
              <w:spacing w:before="0" w:beforeAutospacing="0" w:after="0" w:afterAutospacing="0" w:line="288" w:lineRule="auto"/>
              <w:ind w:left="0" w:right="0"/>
              <w:rPr>
                <w:rFonts w:hint="eastAsia"/>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1.预付款：</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1.1.支付条件：供应商提交银行、保险公司等金融机构出具的预付款保函；</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1.2.支付时间、数额：合同生效且供应商出具预付款保函后七个工作日内，采购人向成交供应商支付合同金额40%的预付款。</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备注：签订合同时，供应商明确表示无需预付款或者主动要求降低预付款比例的，采购单位可不适用前述规定。</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color w:val="auto"/>
                <w:spacing w:val="-6"/>
                <w:kern w:val="0"/>
                <w:sz w:val="21"/>
                <w:szCs w:val="21"/>
                <w:highlight w:val="none"/>
              </w:rPr>
            </w:pPr>
            <w:r>
              <w:rPr>
                <w:rFonts w:hint="eastAsia"/>
                <w:color w:val="auto"/>
                <w:spacing w:val="-6"/>
                <w:kern w:val="0"/>
                <w:sz w:val="21"/>
                <w:szCs w:val="21"/>
                <w:highlight w:val="none"/>
              </w:rPr>
              <w:t>2.项目完成后，经采购人验收合格后，采购人自收到发票后7个工作日内，支付至合同金额的100%。</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8"/>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合同签订后</w:t>
            </w:r>
            <w:r>
              <w:rPr>
                <w:rFonts w:hint="eastAsia"/>
                <w:color w:val="auto"/>
                <w:sz w:val="21"/>
                <w:szCs w:val="21"/>
                <w:highlight w:val="none"/>
                <w:lang w:val="en-US" w:eastAsia="zh-CN"/>
              </w:rPr>
              <w:t>7</w:t>
            </w:r>
            <w:r>
              <w:rPr>
                <w:rFonts w:hint="eastAsia"/>
                <w:color w:val="auto"/>
                <w:sz w:val="21"/>
                <w:szCs w:val="21"/>
                <w:highlight w:val="none"/>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color w:val="auto"/>
                <w:sz w:val="21"/>
                <w:szCs w:val="21"/>
                <w:highlight w:val="none"/>
              </w:rPr>
              <w:t>▲</w:t>
            </w:r>
            <w:r>
              <w:rPr>
                <w:rFonts w:hint="eastAsia"/>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1.在质保期内，供应商应对货物出现的质量及安全问题负责处理解决并承担一切费用。</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2.质保期内出现无法排除的故障，供应商需无条件更换同型号产品。</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3.质保期满后，供应商继续为采购人服务，仅收取零配件成本费。</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4.因人为因素出现的故障不在免费</w:t>
            </w:r>
            <w:r>
              <w:rPr>
                <w:rFonts w:hint="eastAsia"/>
                <w:color w:val="auto"/>
                <w:sz w:val="21"/>
                <w:szCs w:val="21"/>
                <w:highlight w:val="none"/>
                <w:lang w:val="en-US" w:eastAsia="zh-CN"/>
              </w:rPr>
              <w:t>维护</w:t>
            </w:r>
            <w:r>
              <w:rPr>
                <w:rFonts w:hint="eastAsia"/>
                <w:color w:val="auto"/>
                <w:sz w:val="21"/>
                <w:szCs w:val="21"/>
                <w:highlight w:val="none"/>
              </w:rPr>
              <w:t>范围内。</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u w:val="single"/>
              </w:rPr>
            </w:pPr>
            <w:r>
              <w:rPr>
                <w:rFonts w:hint="eastAsia"/>
                <w:color w:val="auto"/>
                <w:sz w:val="21"/>
                <w:szCs w:val="21"/>
                <w:highlight w:val="none"/>
              </w:rPr>
              <w:t>5.</w:t>
            </w:r>
            <w:r>
              <w:rPr>
                <w:rFonts w:hint="eastAsia"/>
                <w:color w:val="auto"/>
                <w:sz w:val="21"/>
                <w:szCs w:val="21"/>
                <w:highlight w:val="none"/>
                <w:u w:val="single"/>
              </w:rPr>
              <w:t>如在使用过程中发生质量问题，供应商</w:t>
            </w:r>
            <w:r>
              <w:rPr>
                <w:rFonts w:hint="eastAsia"/>
                <w:color w:val="auto"/>
                <w:sz w:val="21"/>
                <w:szCs w:val="21"/>
                <w:highlight w:val="none"/>
                <w:u w:val="single"/>
                <w:lang w:val="en-US" w:eastAsia="zh-CN"/>
              </w:rPr>
              <w:t>维护</w:t>
            </w:r>
            <w:r>
              <w:rPr>
                <w:rFonts w:hint="eastAsia"/>
                <w:color w:val="auto"/>
                <w:sz w:val="21"/>
                <w:szCs w:val="21"/>
                <w:highlight w:val="none"/>
                <w:u w:val="single"/>
              </w:rPr>
              <w:t>响应时间： 2 小时以内；</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u w:val="single"/>
              </w:rPr>
            </w:pPr>
            <w:r>
              <w:rPr>
                <w:rFonts w:hint="eastAsia"/>
                <w:color w:val="auto"/>
                <w:sz w:val="21"/>
                <w:szCs w:val="21"/>
                <w:highlight w:val="none"/>
                <w:u w:val="single"/>
              </w:rPr>
              <w:t>电话技术支持时间： 4 小时以内；</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u w:val="single"/>
              </w:rPr>
              <w:t>若需上门</w:t>
            </w:r>
            <w:r>
              <w:rPr>
                <w:rFonts w:hint="eastAsia"/>
                <w:color w:val="auto"/>
                <w:sz w:val="21"/>
                <w:szCs w:val="21"/>
                <w:highlight w:val="none"/>
                <w:u w:val="single"/>
                <w:lang w:val="en-US" w:eastAsia="zh-CN"/>
              </w:rPr>
              <w:t>维护</w:t>
            </w:r>
            <w:r>
              <w:rPr>
                <w:rFonts w:hint="eastAsia"/>
                <w:color w:val="auto"/>
                <w:sz w:val="21"/>
                <w:szCs w:val="21"/>
                <w:highlight w:val="none"/>
                <w:u w:val="single"/>
              </w:rPr>
              <w:t>，则在： 12 小时内到达现场并进行</w:t>
            </w:r>
            <w:r>
              <w:rPr>
                <w:rFonts w:hint="eastAsia"/>
                <w:color w:val="auto"/>
                <w:sz w:val="21"/>
                <w:szCs w:val="21"/>
                <w:highlight w:val="none"/>
                <w:u w:val="single"/>
                <w:lang w:val="en-US" w:eastAsia="zh-CN"/>
              </w:rPr>
              <w:t>维护</w:t>
            </w:r>
            <w:r>
              <w:rPr>
                <w:rFonts w:hint="eastAsia"/>
                <w:color w:val="auto"/>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1.验收由采购人负责实施；</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2.验收依据：</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2.1合同、磋商文件、响应文件；</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2.2供应商提供的技术规格、经采购人认可的合同货物的有效检验文件；</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2.3供应商响应文件中提供的经采购人认可的合同货物的验收标准（符合中国有关的国家、地方、行业标准）和检测办法及相应检测手段。</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4.验收合格的条件：</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4.1所供货物符合产品标准和合同的要求；</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4.2在进行测试和验收过程中发现的问题已被解决并得到采购人的认可；</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4.3合同中规定的所有货物和材料均已交付；</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4.4所供货物已通过使用单位组织的验收；</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1.供应商应按磋商文件规定的货物性能、技术要求、质量标准向采购人提供未经使用的全新产品，符合国家法律规定和技术规格、质量标准的出厂原装合格产品。</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2.技术支持：</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供应商应及时提供合同货物软件的升级，提供合同货物新功能和应用的资料。</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 xml:space="preserve">3.安装调试： </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3.1安装地点：采购人指定地点；</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3.2安装完成时间：接到采购人通知后在规定时间内完成安装和调试，如在规定的时间内由于供应商的原因不能完成安装和调试，供应商应承担由此给采购人造成的损失；</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3.3如供应商委托国内代理（或其他机构）负责安装或配合安装应在签约时指明，但供应商仍要对合同货物及其安装质量负全部责任；</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3.4安装标准：符合我国国家有关技术规范要求和技术标准，所有的软件和硬件必须保证同时安装到位；</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3.5供应商免费提供合同货物的安装服务；</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3.6供应商在响应文件中应提供安装调试计划、对安装场地和环境的要求。</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4.供应商应提供质保期满后主要零部件报价单、质保期满后维护费、软件升级及其相关服务内容；</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5.供货时提供有关的全套技术文件。</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6.</w:t>
            </w:r>
            <w:r>
              <w:rPr>
                <w:rFonts w:hint="eastAsia" w:cs="Times New Roman"/>
                <w:color w:val="auto"/>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供应商应对采购人的操作人员、维修人员免费进行培训；</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供应商应提供相应的培训计划；</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上述内容的实现方式、时间、地点、人数应在响应文件中详细说明。</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需执行的国家相关标准、行业标准、地方标准或者其他标准、规范：</w:t>
      </w:r>
      <w:r>
        <w:rPr>
          <w:rFonts w:hint="eastAsia"/>
          <w:color w:val="auto"/>
          <w:sz w:val="21"/>
          <w:szCs w:val="21"/>
          <w:highlight w:val="none"/>
        </w:rPr>
        <w:t>如技术要求中未注明需执行的国家相关标准、行业标准、地方标准或者其他标准、规范的，执行最新标准、规范。</w:t>
      </w:r>
    </w:p>
    <w:p>
      <w:pPr>
        <w:adjustRightInd w:val="0"/>
        <w:snapToGrid w:val="0"/>
        <w:spacing w:line="288" w:lineRule="auto"/>
        <w:rPr>
          <w:b/>
          <w:bCs/>
          <w:color w:val="auto"/>
          <w:sz w:val="21"/>
          <w:szCs w:val="21"/>
          <w:highlight w:val="none"/>
        </w:rPr>
      </w:pPr>
      <w:r>
        <w:rPr>
          <w:b/>
          <w:bCs/>
          <w:color w:val="auto"/>
          <w:sz w:val="21"/>
          <w:szCs w:val="21"/>
          <w:highlight w:val="none"/>
        </w:rPr>
        <w:t>2</w:t>
      </w:r>
      <w:r>
        <w:rPr>
          <w:rFonts w:hint="eastAsia"/>
          <w:b/>
          <w:bCs/>
          <w:color w:val="auto"/>
          <w:sz w:val="21"/>
          <w:szCs w:val="21"/>
          <w:highlight w:val="none"/>
        </w:rPr>
        <w:t>.需实现的功能或者目标：财务会计技能竞赛分岗实训平台根据全国高等职业教育会计专业教学资源库项目所确定的教学内容范围，参照高职会计专业教学标准确定的课程体系和教学内容，以最新财税法规、制度和行业标准、规范为依据，依据高职会计大赛规程确定的经济业务范围、以培养学生的岗位胜任力为目标，涵盖资金出纳、成本会计、审核会计、会计主管四个岗位实训及学习资源。以中小型企业业务内容和处理程序、代理记账公司业务内容和处理程序、集团财务共享中心的业务内容和处理程序为依据，实现题库内容与实务工作对应，知识点与技能点对应，在巩固理论基础的同时，让学生提前感知财会知识点在实务工作中的应用，满足财会专业核心课程“教、学、练、训、考”的理实一体化教学需求。</w:t>
      </w:r>
    </w:p>
    <w:p>
      <w:pPr>
        <w:adjustRightInd w:val="0"/>
        <w:snapToGrid w:val="0"/>
        <w:spacing w:line="288" w:lineRule="auto"/>
        <w:rPr>
          <w:rFonts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732"/>
        <w:gridCol w:w="633"/>
        <w:gridCol w:w="632"/>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6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6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0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财务会计技能竞赛分岗实训平台</w:t>
            </w:r>
          </w:p>
        </w:tc>
        <w:tc>
          <w:tcPr>
            <w:tcW w:w="6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6000" w:type="dxa"/>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一、技术参数指标</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1.平台为B/S网络版，兼容主流浏览器，安装机房服务器，学生电脑直接通过网页访问使用，无用户数量限制，方便所有相关专业学生使用。平台支持互联网应用模式，可7*24小时使用。</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2.使用主流数据库：MySQL5.6，按业务需要支持横向扩展，支持分库、分表、读写分离等。</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3.软件基于JAVA J2EE技术开发，三层式架构，实现高可用性、安全性、可扩展性和可靠性。既可运行在windows操作系统，也可以运行在 unix 、 linux 等操作系统上。</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4.系统应用采用MVC架构，展现层通过HTML实现；控制层通过Controller实现；模型层通过Java标准类来实现；与数据库的接口采用对JDBC进行轻量级封装的DAO提供的接口。并采用ajax局部刷新技术提高操作体验。</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系统所有操作通过LogBack记录操作日志；层与层之间关联采用松耦合框架技术实现业务。以业务模型为中心，实现数据、业务逻辑和展现分离；通过对业务的统筹分组达到系统的模块化和可配置化；通过对系统不同层次的管理增强了系统的稳定性、兼容性。</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6.系统对学生提交的答题结果实时进行评分，支持实时成绩查询，分数段统计，考场监控，成绩分析。</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7.平台设有功能工具箱，涵盖计算器、金融计算器，EXCEL插件等实用工具，学生可通过EXCEL插件直接在表单上自由运算及运用函数公式计算。</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8.平台支持单选题、多选题、判断题、实训题、业务题、银行题、报税题、综合题、Excel题，前置题型（需要前面的任务做完才能解锁），让出题更加灵活；题目可以在不同角色中流转。</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9.支持案例库导入导出复制。</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10.全新的单据整理题型，支持系统整理和二维码整理，让用户更加真实地体验到单据整理到填写凭证的财务实操过程。进行审核并进行批准或驳回等操作。</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具有模糊答案功能，即允许学生采用和标准答案不同的正确答案表达方式（比如：1、人民币大写“元”“整”和“圆”“正”互认，现金支票用途“提现”和“取现”“提取现金”等互认），允许学生答案行顺序与标准答案不同（比如会计分录多借多贷时允许借和贷各行分录顺序不同），评分系统能够智能识别互认为正确，而不是僵化的只要和正确答案不一样就判错。</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12.比赛开始时间可设定按固定时间开启和现场动态开启两种方式。</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13.具有IP筛选功能，教师可设置比赛场次只允许指定的IP段能进入比赛，方便教师监控。</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14.比赛结束后，可查看选手做题情况，支持四个岗位查看各自的做题情况或者切换岗位查看。</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15.具有比赛成绩分析功能，可查看每个业务题的最高分、最低分、平均分信息。</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16.对于学生误点击结束竞赛的，支持由管理员在后台恢复为继续比赛状态，且原有答题数据还在。</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17.管理员可设定是否允许学生在答题结束后查看做题结果。</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18.老师可以自己新编实训案例，也可从已有的案例库中复制案例进行修改生成新的实训案例，背景单据可采用新增或从背景单据库复制的方式生成。</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19.设置正确答案时，支持设定单据的某些空格无需填写；支持单据某行出现个别空格错误时全行都错的评分规则。</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20.具有单据查询功能，方便学生实训时查询前面的业务数据，在实训界面就可以通过单据查询索引到所需要的单据。</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21.可以查看团队其他成员实训数据。</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22.软件提供仿真税务、银行功能。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23.采用云财务平台，模拟企业财务共享中心，从建账、凭证编制、审核、过账、自动结转损益、结账到生成账簿、报表，培养学生信息化运用能力。</w:t>
            </w:r>
          </w:p>
          <w:p>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24.</w:t>
            </w:r>
            <w:r>
              <w:rPr>
                <w:rFonts w:hint="eastAsia" w:ascii="宋体" w:hAnsi="宋体" w:eastAsia="宋体" w:cs="宋体"/>
                <w:color w:val="auto"/>
                <w:kern w:val="2"/>
                <w:sz w:val="21"/>
                <w:szCs w:val="21"/>
                <w:highlight w:val="none"/>
                <w:lang w:val="en-US" w:eastAsia="zh-CN" w:bidi="ar"/>
              </w:rPr>
              <w:t>平台报表公式默认已设置好，也支持自定义编制财务报表公式，强化学生对账表取值逻辑的理解。</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25.平台提供竞赛和练习两种模式，练习模式任务完成可以直接查看答案和解析。竞赛模式可以控制结束竞赛后是否显示成绩，查看做题结果。</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平台可以设置一人多岗和多人分岗两种实训模式，一人多岗模式下，单个人可以在平台内随意切换不同角色进行实训，便于熟悉不同岗位实训任务；多人分岗模式下通过各岗位分工协作完成既定任务，培养团队协作精神，两种模式满足学生不同实训需求。</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27.竞赛重置功能后台灵活控制，用户可以在竞赛未结束前多次练习。</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28.平台支持用户批量导入、批量导出、批量生成。</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29.支持最终分数导出团队成绩，单岗成绩。</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30.账套凭证判分权重灵活设置。</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二、预置企业案例内容：</w:t>
            </w:r>
          </w:p>
          <w:p>
            <w:pPr>
              <w:keepNext w:val="0"/>
              <w:keepLines w:val="0"/>
              <w:widowControl w:val="0"/>
              <w:suppressLineNumbers w:val="0"/>
              <w:spacing w:before="0" w:beforeAutospacing="0" w:after="0" w:afterAutospacing="0"/>
              <w:ind w:left="0" w:right="0"/>
              <w:jc w:val="both"/>
              <w:rPr>
                <w:rFonts w:hint="eastAsia"/>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1.预置案例库结合高职会计专业教学标准确定的课程体系和教学内容，适用于已执行新金融准则、新收入准则和新租赁准则的企业等最新财税法规为依据，模拟制造业企业的会计业务处理能力。</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平台预置5家企业案例，其中，成本核算及分析方面，结合实际企业的采购、生产、销售等流程，在高职会计专业教材的基础上对实训内容进行强化及补充，此外，为了顺应最新政策，案例中还新增了诸多关于新金融准则、新收入准则和新租赁准则的内容，更好的满足教师教学及学生实训需求。</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预置案例根据企业内部控制制度要求，按资金出纳岗位、成本会计、审核会计、会计主管四个岗位设置，以一家制造业一整个月完整的经济业务为主线，以企业会计核算工作过程为设计依据，按照“银行结算单据填制、票据整理、成本核算、原始凭证及记账凭证的编制、网银付款、成本分析、纳税筹划、报表编制、纳税申报表的填制”等会计核算工作任务为内容。</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三、各模块主要功能：</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1.赛务模块主要功能：包括参赛人员信息管理、竞赛过程管理、案例导入和成绩管理。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2.结果提交模块主要功能：选手根据竞赛要求在比赛结果提交平台直接提交结果，保存在服务器上，系统自动实时评分。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3.赛题传输模块主要功能：企业案例录入等相关设置，选手按要求可自动阅览。</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四、大数据财务岗课赛训综合教学平台</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平台基于设定的背景企业，业务内容来自于企业实际，以财务会计（共享财务）、业务财务职能层级为主线，将财务共享中心创新组织模式，财务大数据分析跨界融合。业务按一般企业财务会计、财务共享中心财务岗位群设计。考核内容包括：在线票据整理、 银行结算单据填制、网银办理、会计核算、业务审核、智能成本核算及分析、纳税筹划、纳税申报、RPA财务机器人流程设计、企业业财一体化设计（基于内控业务设计）、财务大数据分析等技能。 </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2.平台预置5家实训企业案例资料如下:</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【案例名称】XX有限公司  </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【案例类型】财务会计与大数据财务分析实训案例</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【岗位名称】资金管理、成本管理、审核主管、财务主管</w:t>
            </w:r>
          </w:p>
        </w:tc>
      </w:tr>
    </w:tbl>
    <w:p>
      <w:pPr>
        <w:widowControl/>
        <w:adjustRightInd w:val="0"/>
        <w:snapToGrid w:val="0"/>
        <w:spacing w:line="288" w:lineRule="auto"/>
        <w:jc w:val="left"/>
        <w:rPr>
          <w:bCs/>
          <w:color w:val="auto"/>
          <w:spacing w:val="-6"/>
          <w:kern w:val="0"/>
          <w:sz w:val="21"/>
          <w:szCs w:val="21"/>
          <w:highlight w:val="none"/>
        </w:rPr>
      </w:pPr>
    </w:p>
    <w:p>
      <w:pPr>
        <w:spacing w:line="288" w:lineRule="auto"/>
        <w:rPr>
          <w:b/>
          <w:bCs/>
          <w:color w:val="auto"/>
          <w:sz w:val="21"/>
          <w:szCs w:val="21"/>
          <w:highlight w:val="none"/>
        </w:rPr>
      </w:pPr>
      <w:r>
        <w:rPr>
          <w:rFonts w:hint="eastAsia"/>
          <w:b/>
          <w:bCs/>
          <w:color w:val="auto"/>
          <w:sz w:val="21"/>
          <w:szCs w:val="21"/>
          <w:highlight w:val="none"/>
        </w:rPr>
        <w:t>四、演示：</w:t>
      </w:r>
    </w:p>
    <w:p>
      <w:pPr>
        <w:spacing w:line="288" w:lineRule="auto"/>
        <w:jc w:val="left"/>
        <w:rPr>
          <w:color w:val="auto"/>
          <w:spacing w:val="-6"/>
          <w:sz w:val="21"/>
          <w:szCs w:val="21"/>
          <w:highlight w:val="none"/>
        </w:rPr>
      </w:pPr>
      <w:r>
        <w:rPr>
          <w:rFonts w:hint="eastAsia"/>
          <w:color w:val="auto"/>
          <w:spacing w:val="-6"/>
          <w:sz w:val="21"/>
          <w:szCs w:val="21"/>
          <w:highlight w:val="none"/>
        </w:rPr>
        <w:t>（一）演示内容：</w:t>
      </w:r>
    </w:p>
    <w:p>
      <w:pPr>
        <w:keepNext w:val="0"/>
        <w:keepLines w:val="0"/>
        <w:widowControl w:val="0"/>
        <w:suppressLineNumbers w:val="0"/>
        <w:spacing w:before="0" w:beforeAutospacing="0" w:after="0" w:afterAutospacing="0" w:line="288" w:lineRule="auto"/>
        <w:ind w:left="0" w:right="0"/>
        <w:jc w:val="left"/>
        <w:rPr>
          <w:color w:val="auto"/>
          <w:sz w:val="21"/>
          <w:szCs w:val="21"/>
          <w:highlight w:val="none"/>
          <w:lang w:val="en-US"/>
        </w:rPr>
      </w:pPr>
      <w:r>
        <w:rPr>
          <w:rFonts w:hint="eastAsia" w:ascii="宋体" w:hAnsi="宋体" w:eastAsia="宋体" w:cs="宋体"/>
          <w:b/>
          <w:bCs/>
          <w:color w:val="auto"/>
          <w:spacing w:val="-6"/>
          <w:kern w:val="2"/>
          <w:sz w:val="21"/>
          <w:szCs w:val="21"/>
          <w:highlight w:val="none"/>
          <w:lang w:val="en-US" w:eastAsia="zh-CN" w:bidi="ar"/>
        </w:rPr>
        <w:t>演示要求1</w:t>
      </w:r>
      <w:r>
        <w:rPr>
          <w:rFonts w:hint="eastAsia" w:ascii="宋体" w:hAnsi="宋体" w:eastAsia="宋体" w:cs="宋体"/>
          <w:color w:val="auto"/>
          <w:spacing w:val="-6"/>
          <w:kern w:val="2"/>
          <w:sz w:val="21"/>
          <w:szCs w:val="21"/>
          <w:highlight w:val="none"/>
          <w:lang w:val="en-US" w:eastAsia="zh-CN" w:bidi="ar"/>
        </w:rPr>
        <w:t>：平台设有功能工具箱，涵盖计算器、金融计算器，EXCEL插件等实用工具，学生可通过EXCEL插件直接在表单上自由运算及运用函数公式计算。</w:t>
      </w:r>
    </w:p>
    <w:p>
      <w:pPr>
        <w:keepNext w:val="0"/>
        <w:keepLines w:val="0"/>
        <w:widowControl w:val="0"/>
        <w:suppressLineNumbers w:val="0"/>
        <w:spacing w:before="0" w:beforeAutospacing="0" w:after="0" w:afterAutospacing="0" w:line="288" w:lineRule="auto"/>
        <w:ind w:left="0" w:right="0"/>
        <w:jc w:val="left"/>
        <w:rPr>
          <w:color w:val="auto"/>
          <w:spacing w:val="-6"/>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演示要求2</w:t>
      </w:r>
      <w:r>
        <w:rPr>
          <w:rFonts w:hint="eastAsia" w:ascii="宋体" w:hAnsi="宋体" w:eastAsia="宋体" w:cs="宋体"/>
          <w:color w:val="auto"/>
          <w:spacing w:val="-6"/>
          <w:kern w:val="2"/>
          <w:sz w:val="21"/>
          <w:szCs w:val="21"/>
          <w:highlight w:val="none"/>
          <w:lang w:val="en-US" w:eastAsia="zh-CN" w:bidi="ar"/>
        </w:rPr>
        <w:t>：平台支持单选题、多选题、判断题、实训题、业务题、银行题、报税题、综合题、Excel题，前置题型（需要前面的任务做完才能解锁），让出题更加灵活；题目可以在不同角色中流转。</w:t>
      </w:r>
    </w:p>
    <w:p>
      <w:pPr>
        <w:keepNext w:val="0"/>
        <w:keepLines w:val="0"/>
        <w:widowControl w:val="0"/>
        <w:suppressLineNumbers w:val="0"/>
        <w:spacing w:before="0" w:beforeAutospacing="0" w:after="0" w:afterAutospacing="0" w:line="288" w:lineRule="auto"/>
        <w:ind w:left="0" w:right="0"/>
        <w:jc w:val="left"/>
        <w:rPr>
          <w:color w:val="auto"/>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演示要求3</w:t>
      </w:r>
      <w:r>
        <w:rPr>
          <w:rFonts w:hint="eastAsia" w:ascii="宋体" w:hAnsi="宋体" w:eastAsia="宋体" w:cs="宋体"/>
          <w:color w:val="auto"/>
          <w:kern w:val="2"/>
          <w:sz w:val="21"/>
          <w:szCs w:val="21"/>
          <w:highlight w:val="none"/>
          <w:lang w:val="en-US" w:eastAsia="zh-CN" w:bidi="ar"/>
        </w:rPr>
        <w:t>：全新的单据整理题型，支持系统整理和二维码整理，让用户更加真实地体验到单据整理到填写凭证的财务实操过程。进行审核并进行批准或驳回等操作。</w:t>
      </w:r>
    </w:p>
    <w:p>
      <w:pPr>
        <w:keepNext w:val="0"/>
        <w:keepLines w:val="0"/>
        <w:widowControl w:val="0"/>
        <w:suppressLineNumbers w:val="0"/>
        <w:spacing w:before="0" w:beforeAutospacing="0" w:after="0" w:afterAutospacing="0" w:line="288" w:lineRule="auto"/>
        <w:ind w:left="0" w:right="0"/>
        <w:jc w:val="left"/>
        <w:rPr>
          <w:color w:val="auto"/>
          <w:spacing w:val="-6"/>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演示要求4</w:t>
      </w:r>
      <w:r>
        <w:rPr>
          <w:rFonts w:hint="eastAsia" w:ascii="宋体" w:hAnsi="宋体" w:eastAsia="宋体" w:cs="宋体"/>
          <w:color w:val="auto"/>
          <w:spacing w:val="-6"/>
          <w:kern w:val="2"/>
          <w:sz w:val="21"/>
          <w:szCs w:val="21"/>
          <w:highlight w:val="none"/>
          <w:lang w:val="en-US" w:eastAsia="zh-CN" w:bidi="ar"/>
        </w:rPr>
        <w:t>：比赛开始时间可设定按固定时间开启和现场动态开启两种方式。</w:t>
      </w:r>
    </w:p>
    <w:p>
      <w:pPr>
        <w:keepNext w:val="0"/>
        <w:keepLines w:val="0"/>
        <w:widowControl w:val="0"/>
        <w:suppressLineNumbers w:val="0"/>
        <w:spacing w:before="0" w:beforeAutospacing="0" w:after="0" w:afterAutospacing="0" w:line="288" w:lineRule="auto"/>
        <w:ind w:left="0" w:right="0"/>
        <w:jc w:val="left"/>
        <w:rPr>
          <w:color w:val="auto"/>
          <w:spacing w:val="-6"/>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演示要求5</w:t>
      </w:r>
      <w:r>
        <w:rPr>
          <w:rFonts w:hint="eastAsia" w:ascii="宋体" w:hAnsi="宋体" w:eastAsia="宋体" w:cs="宋体"/>
          <w:color w:val="auto"/>
          <w:spacing w:val="-6"/>
          <w:kern w:val="2"/>
          <w:sz w:val="21"/>
          <w:szCs w:val="21"/>
          <w:highlight w:val="none"/>
          <w:lang w:val="en-US" w:eastAsia="zh-CN" w:bidi="ar"/>
        </w:rPr>
        <w:t>：设置正确答案时，支持设定单据的某些空格无需填写；支持单据某行出现个别空格错误时全行都错的评分规则。</w:t>
      </w:r>
    </w:p>
    <w:p>
      <w:pPr>
        <w:keepNext w:val="0"/>
        <w:keepLines w:val="0"/>
        <w:widowControl w:val="0"/>
        <w:suppressLineNumbers w:val="0"/>
        <w:spacing w:before="0" w:beforeAutospacing="0" w:after="0" w:afterAutospacing="0" w:line="288" w:lineRule="auto"/>
        <w:ind w:left="0" w:right="0"/>
        <w:jc w:val="left"/>
        <w:rPr>
          <w:color w:val="auto"/>
          <w:spacing w:val="-6"/>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演示要求6：</w:t>
      </w:r>
      <w:r>
        <w:rPr>
          <w:rFonts w:hint="eastAsia" w:ascii="宋体" w:hAnsi="宋体" w:eastAsia="宋体" w:cs="宋体"/>
          <w:color w:val="auto"/>
          <w:spacing w:val="-6"/>
          <w:kern w:val="2"/>
          <w:sz w:val="21"/>
          <w:szCs w:val="21"/>
          <w:highlight w:val="none"/>
          <w:lang w:val="en-US" w:eastAsia="zh-CN" w:bidi="ar"/>
        </w:rPr>
        <w:t>采用云财务平台，模拟企业财务共享中心，从建账、凭证编制、审核、过账、自动结转损益、结账到生成账簿、报表，培养学生信息化运用能力。</w:t>
      </w:r>
    </w:p>
    <w:p>
      <w:pPr>
        <w:keepNext w:val="0"/>
        <w:keepLines w:val="0"/>
        <w:widowControl w:val="0"/>
        <w:suppressLineNumbers w:val="0"/>
        <w:spacing w:before="0" w:beforeAutospacing="0" w:after="0" w:afterAutospacing="0" w:line="288" w:lineRule="auto"/>
        <w:ind w:left="0" w:right="0"/>
        <w:jc w:val="left"/>
        <w:rPr>
          <w:color w:val="auto"/>
          <w:spacing w:val="-6"/>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演示要求7</w:t>
      </w:r>
      <w:r>
        <w:rPr>
          <w:rFonts w:hint="eastAsia" w:ascii="宋体" w:hAnsi="宋体" w:eastAsia="宋体" w:cs="宋体"/>
          <w:color w:val="auto"/>
          <w:spacing w:val="-6"/>
          <w:kern w:val="2"/>
          <w:sz w:val="21"/>
          <w:szCs w:val="21"/>
          <w:highlight w:val="none"/>
          <w:lang w:val="en-US" w:eastAsia="zh-CN" w:bidi="ar"/>
        </w:rPr>
        <w:t>：平台报表公式默认已设置好，也支持自定义编制财务报表公式，强化学生对账表取值逻辑的理解。</w:t>
      </w:r>
    </w:p>
    <w:p>
      <w:pPr>
        <w:keepNext w:val="0"/>
        <w:keepLines w:val="0"/>
        <w:widowControl w:val="0"/>
        <w:suppressLineNumbers w:val="0"/>
        <w:spacing w:before="0" w:beforeAutospacing="0" w:after="0" w:afterAutospacing="0" w:line="288" w:lineRule="auto"/>
        <w:ind w:left="0" w:right="0"/>
        <w:jc w:val="left"/>
        <w:rPr>
          <w:color w:val="auto"/>
          <w:spacing w:val="-6"/>
          <w:sz w:val="21"/>
          <w:szCs w:val="21"/>
          <w:highlight w:val="none"/>
          <w:lang w:val="en-US"/>
        </w:rPr>
      </w:pPr>
      <w:r>
        <w:rPr>
          <w:rFonts w:hint="eastAsia" w:ascii="宋体" w:hAnsi="宋体" w:eastAsia="宋体" w:cs="宋体"/>
          <w:b/>
          <w:bCs/>
          <w:color w:val="auto"/>
          <w:kern w:val="2"/>
          <w:sz w:val="21"/>
          <w:szCs w:val="21"/>
          <w:highlight w:val="none"/>
          <w:lang w:val="en-US" w:eastAsia="zh-CN" w:bidi="ar"/>
        </w:rPr>
        <w:t>演示要求8</w:t>
      </w:r>
      <w:r>
        <w:rPr>
          <w:rFonts w:hint="eastAsia" w:ascii="宋体" w:hAnsi="宋体" w:eastAsia="宋体" w:cs="宋体"/>
          <w:color w:val="auto"/>
          <w:spacing w:val="-6"/>
          <w:kern w:val="2"/>
          <w:sz w:val="21"/>
          <w:szCs w:val="21"/>
          <w:highlight w:val="none"/>
          <w:lang w:val="en-US" w:eastAsia="zh-CN" w:bidi="ar"/>
        </w:rPr>
        <w:t>：平台提供竞赛和练习两种模式，练习模式任务完成可以直接查看答案和解析。竞赛模式可以控制结束竞赛后是否显示成绩，查看做题结果。</w:t>
      </w:r>
    </w:p>
    <w:p>
      <w:pPr>
        <w:pStyle w:val="2"/>
        <w:rPr>
          <w:color w:val="auto"/>
          <w:highlight w:val="none"/>
        </w:rPr>
      </w:pPr>
    </w:p>
    <w:p>
      <w:pPr>
        <w:spacing w:line="288" w:lineRule="auto"/>
        <w:jc w:val="left"/>
        <w:rPr>
          <w:color w:val="auto"/>
          <w:spacing w:val="-6"/>
          <w:sz w:val="21"/>
          <w:szCs w:val="21"/>
          <w:highlight w:val="none"/>
        </w:rPr>
      </w:pPr>
      <w:r>
        <w:rPr>
          <w:rFonts w:hint="eastAsia"/>
          <w:color w:val="auto"/>
          <w:spacing w:val="-6"/>
          <w:sz w:val="21"/>
          <w:szCs w:val="21"/>
          <w:highlight w:val="none"/>
        </w:rPr>
        <w:t>（二）演示U盘</w:t>
      </w:r>
    </w:p>
    <w:p>
      <w:pPr>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1.根据“电子交易/不见面开评标”原则，响应方需将上述演示要求系统演示及讲解过程录制视频，该录制视频演示时长不超过</w:t>
      </w:r>
      <w:r>
        <w:rPr>
          <w:color w:val="auto"/>
          <w:spacing w:val="-6"/>
          <w:sz w:val="21"/>
          <w:szCs w:val="21"/>
          <w:highlight w:val="none"/>
        </w:rPr>
        <w:t>10</w:t>
      </w:r>
      <w:r>
        <w:rPr>
          <w:rFonts w:hint="eastAsia"/>
          <w:color w:val="auto"/>
          <w:spacing w:val="-6"/>
          <w:sz w:val="21"/>
          <w:szCs w:val="21"/>
          <w:highlight w:val="none"/>
        </w:rPr>
        <w:t>分钟以mp4格式存储于U盘；响应方须自行核验U盘中的视频能正常播放，保证视频无需转码即可直接用主流播放器打开播放。</w:t>
      </w:r>
    </w:p>
    <w:p>
      <w:pPr>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2.演示U盘可以EMS或顺丰邮寄形式在响应截止时间前递交，演示U盘应当密封包装并在包装上标注演示U盘、投标项目名称、标项、响应方名称并加盖公章。</w:t>
      </w:r>
    </w:p>
    <w:p>
      <w:pPr>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3.未按磋商文件要求提供演示U盘及演示内容，导致专家无法正常评审的风险由响应方自行承担。</w:t>
      </w:r>
    </w:p>
    <w:p>
      <w:pPr>
        <w:spacing w:line="288" w:lineRule="auto"/>
        <w:ind w:firstLine="420" w:firstLineChars="200"/>
        <w:jc w:val="left"/>
        <w:rPr>
          <w:color w:val="auto"/>
          <w:spacing w:val="-6"/>
          <w:sz w:val="21"/>
          <w:szCs w:val="21"/>
          <w:highlight w:val="none"/>
        </w:rPr>
      </w:pPr>
      <w:r>
        <w:rPr>
          <w:rFonts w:hint="eastAsia"/>
          <w:color w:val="auto"/>
          <w:sz w:val="21"/>
          <w:szCs w:val="21"/>
          <w:highlight w:val="none"/>
        </w:rPr>
        <w:t>▲</w:t>
      </w:r>
      <w:r>
        <w:rPr>
          <w:rFonts w:hint="eastAsia"/>
          <w:color w:val="auto"/>
          <w:spacing w:val="-6"/>
          <w:sz w:val="21"/>
          <w:szCs w:val="21"/>
          <w:highlight w:val="none"/>
        </w:rPr>
        <w:t xml:space="preserve">4.未提供演示，磋商响应无效。 </w:t>
      </w:r>
    </w:p>
    <w:p>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条款号</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内容</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适用范围</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本磋商文件适用于浙江经济职业技术学院</w:t>
            </w:r>
            <w:r>
              <w:rPr>
                <w:rFonts w:hint="eastAsia"/>
                <w:color w:val="auto"/>
                <w:sz w:val="21"/>
                <w:szCs w:val="21"/>
                <w:highlight w:val="none"/>
                <w:lang w:eastAsia="zh-CN"/>
              </w:rPr>
              <w:t>财会金融技能竞赛平台（智能财税、财务会计等实训平台）</w:t>
            </w:r>
            <w:r>
              <w:rPr>
                <w:rFonts w:hint="eastAsia"/>
                <w:color w:val="auto"/>
                <w:sz w:val="21"/>
                <w:szCs w:val="21"/>
                <w:highlight w:val="none"/>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采购方式</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竞争性磋商委托</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1.▲供应商授权代表必须为供应商本单位在职职工，并提供2021年12月（含）以后任意一月社保缴纳证明（授权代表为法定代表人可不提供）。</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（四）</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磋商费用</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1.不论磋商结果如何，供应商均应自行承担所有与磋商有关的全部费用；</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bookmarkStart w:id="33" w:name="_Hlk71808378"/>
            <w:r>
              <w:rPr>
                <w:rFonts w:hint="eastAsia"/>
                <w:color w:val="auto"/>
                <w:sz w:val="21"/>
                <w:szCs w:val="21"/>
                <w:highlight w:val="none"/>
              </w:rPr>
              <w:t>4.代理服务费收费标准（差额累进）：</w:t>
            </w:r>
          </w:p>
          <w:tbl>
            <w:tblPr>
              <w:tblStyle w:val="19"/>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100以下</w:t>
                  </w:r>
                </w:p>
              </w:tc>
              <w:tc>
                <w:tcPr>
                  <w:tcW w:w="233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1.2</w:t>
                  </w:r>
                </w:p>
              </w:tc>
            </w:tr>
            <w:bookmarkEnd w:id="33"/>
          </w:tbl>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 xml:space="preserve"> 不足叁仟元按叁仟元收取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（六）</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联合体响应</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（七）</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转包与分包</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1.本项目不允许转包；</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（八）</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b/>
                <w:bCs/>
                <w:color w:val="auto"/>
                <w:sz w:val="21"/>
                <w:szCs w:val="21"/>
                <w:highlight w:val="none"/>
              </w:rPr>
              <w:t>信用记录</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bCs/>
                <w:color w:val="auto"/>
                <w:sz w:val="21"/>
                <w:szCs w:val="21"/>
                <w:highlight w:val="none"/>
              </w:rPr>
            </w:pPr>
            <w:bookmarkStart w:id="34"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（1）查询渠道：“信用中国”（www.creditchina.gov.cn）、“中国政府采购网”（www.ccgp.gov.cn）；</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（2）信用信息查询记录和证据留存具体方式：采购代理机构经办人和监督人员将查询网页打印、签名与其他采购文件一并保存；</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（九）</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b/>
                <w:bCs/>
                <w:color w:val="auto"/>
                <w:sz w:val="21"/>
                <w:szCs w:val="21"/>
                <w:highlight w:val="none"/>
              </w:rPr>
              <w:t>资格审查要求的资格证明材料(均需加盖公章)：</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（1）有效的法人或者其他组织的营业执照等证明文件，自然人的身份证明</w:t>
            </w: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rPr>
            </w:pPr>
            <w:r>
              <w:rPr>
                <w:rFonts w:hint="eastAsia" w:cs="Times New Roman"/>
                <w:color w:val="auto"/>
                <w:sz w:val="21"/>
                <w:szCs w:val="21"/>
                <w:highlight w:val="none"/>
              </w:rPr>
              <w:t>（2）符合参加政府采购活动应当具备的一般条件的承诺函</w:t>
            </w: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z w:val="21"/>
                <w:szCs w:val="21"/>
                <w:highlight w:val="none"/>
              </w:rPr>
            </w:pPr>
            <w:r>
              <w:rPr>
                <w:rFonts w:hint="eastAsia" w:cs="Times New Roman"/>
                <w:color w:val="auto"/>
                <w:sz w:val="21"/>
                <w:szCs w:val="21"/>
                <w:highlight w:val="none"/>
              </w:rPr>
              <w:t>（3）落实政府采购政策需满足的资格要求：无</w:t>
            </w:r>
          </w:p>
          <w:p>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cs="Times New Roman"/>
                <w:color w:val="auto"/>
                <w:sz w:val="21"/>
                <w:szCs w:val="21"/>
                <w:highlight w:val="none"/>
              </w:rPr>
              <w:t>（4）本项目的特定资格要求证明材料：无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b/>
                <w:bCs/>
                <w:color w:val="auto"/>
                <w:sz w:val="21"/>
                <w:szCs w:val="21"/>
                <w:highlight w:val="none"/>
              </w:rPr>
              <w:t>响应文件份数</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firstLine="422" w:firstLineChars="200"/>
              <w:jc w:val="left"/>
              <w:rPr>
                <w:rFonts w:hint="eastAsia"/>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杨立凯）收，电话：0571-87670301，寄出后将（快递单号、项目名称、公司名称、联系方式等相关信息）发至：zb02@qszb.net，以便查收）。</w:t>
            </w:r>
          </w:p>
          <w:p>
            <w:pPr>
              <w:keepNext w:val="0"/>
              <w:keepLines w:val="0"/>
              <w:suppressLineNumbers w:val="0"/>
              <w:adjustRightInd w:val="0"/>
              <w:snapToGrid w:val="0"/>
              <w:spacing w:before="0" w:beforeAutospacing="0" w:after="0" w:afterAutospacing="0" w:line="288" w:lineRule="auto"/>
              <w:ind w:left="0" w:right="0" w:firstLine="422" w:firstLineChars="200"/>
              <w:jc w:val="left"/>
              <w:rPr>
                <w:rFonts w:hint="eastAsia"/>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b/>
                <w:bCs/>
                <w:color w:val="auto"/>
                <w:sz w:val="21"/>
                <w:szCs w:val="21"/>
                <w:highlight w:val="none"/>
              </w:rPr>
              <w:t>磋商报价</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2.本次磋商采用人民币报价；</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3.最后磋商报价是履行合同的最终价格，有关本项目实施所涉及的一切费用均计入报价。</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▲4.采购人将以合同形式有偿取得货物或服务，不接受供应商给予的赠品、回扣或者与采购无关的其他商品、服务。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b/>
                <w:bCs/>
                <w:color w:val="auto"/>
                <w:sz w:val="21"/>
                <w:szCs w:val="21"/>
                <w:highlight w:val="none"/>
              </w:rPr>
              <w:t>响应有效期</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评审方法和评审标准</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详见“第四章  评审方法和评审标准”。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（十四）</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评审结果公示</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（十五）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签订合同</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bookmarkStart w:id="35"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5"/>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本磋商文件适用于浙江经济职业技术学院</w:t>
      </w:r>
      <w:r>
        <w:rPr>
          <w:rFonts w:hint="eastAsia"/>
          <w:color w:val="auto"/>
          <w:sz w:val="21"/>
          <w:szCs w:val="21"/>
          <w:highlight w:val="none"/>
          <w:lang w:eastAsia="zh-CN"/>
        </w:rPr>
        <w:t>财会金融技能竞赛平台（智能财税、财务会计等实训平台）</w:t>
      </w:r>
      <w:r>
        <w:rPr>
          <w:rFonts w:hint="eastAsia"/>
          <w:color w:val="auto"/>
          <w:sz w:val="21"/>
          <w:szCs w:val="21"/>
          <w:highlight w:val="none"/>
        </w:rPr>
        <w:t>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1.“采购人”系指浙江经济职业技术学院；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color w:val="auto"/>
          <w:sz w:val="21"/>
          <w:szCs w:val="21"/>
          <w:highlight w:val="none"/>
        </w:rPr>
      </w:pPr>
      <w:bookmarkStart w:id="36"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6"/>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9"/>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100以下</w:t>
            </w:r>
          </w:p>
        </w:tc>
        <w:tc>
          <w:tcPr>
            <w:tcW w:w="233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1.2</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 xml:space="preserve"> 不足叁仟元按叁仟元收取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pPr>
        <w:spacing w:line="288" w:lineRule="auto"/>
        <w:ind w:firstLine="420" w:firstLineChars="200"/>
        <w:rPr>
          <w:rFonts w:cs="Times New Roman"/>
          <w:color w:val="auto"/>
          <w:sz w:val="21"/>
          <w:szCs w:val="22"/>
          <w:highlight w:val="none"/>
        </w:rPr>
      </w:pPr>
      <w:bookmarkStart w:id="37" w:name="_Hlk104288918"/>
      <w:r>
        <w:rPr>
          <w:rFonts w:hint="eastAsia" w:cs="Times New Roman"/>
          <w:color w:val="auto"/>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38" w:name="_Hlk92273406"/>
      <w:bookmarkStart w:id="39"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8"/>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9"/>
    <w:p>
      <w:pPr>
        <w:adjustRightInd w:val="0"/>
        <w:snapToGrid w:val="0"/>
        <w:spacing w:line="288" w:lineRule="auto"/>
        <w:outlineLvl w:val="2"/>
        <w:rPr>
          <w:b/>
          <w:color w:val="auto"/>
          <w:spacing w:val="-6"/>
          <w:kern w:val="0"/>
          <w:sz w:val="21"/>
          <w:szCs w:val="21"/>
          <w:highlight w:val="none"/>
        </w:rPr>
      </w:pPr>
      <w:bookmarkStart w:id="40"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3.支持科技创新</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4.支持中小企业发展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40"/>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cs="Times New Roman"/>
          <w:color w:val="auto"/>
          <w:spacing w:val="-6"/>
          <w:sz w:val="21"/>
          <w:szCs w:val="21"/>
          <w:highlight w:val="none"/>
        </w:rPr>
      </w:pPr>
      <w:bookmarkStart w:id="42"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42"/>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如供应商提供的产品技术支持材料与采购需求偏离表响应不一致，以产品技术支持材料为准。</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3" w:name="_Hlk96329193"/>
      <w:r>
        <w:rPr>
          <w:rFonts w:hint="eastAsia"/>
          <w:color w:val="auto"/>
          <w:sz w:val="21"/>
          <w:szCs w:val="21"/>
          <w:highlight w:val="none"/>
        </w:rPr>
        <w:t>，供应商应写全称。</w:t>
      </w:r>
      <w:bookmarkEnd w:id="43"/>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杨立凯）收，电话：0571-87670301，寄出后将（快递单号、项目名称、公司名称、联系方式等相关信息）发至：zb02@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采购人将以合同形式有偿取得货物或服务，不接受供应商给予的赠品、回扣或者与采购无关的其他商品、服务</w:t>
      </w:r>
      <w:r>
        <w:rPr>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pPr>
        <w:adjustRightInd w:val="0"/>
        <w:snapToGrid w:val="0"/>
        <w:spacing w:line="288" w:lineRule="auto"/>
        <w:ind w:firstLine="420" w:firstLineChars="200"/>
        <w:rPr>
          <w:color w:val="auto"/>
          <w:sz w:val="21"/>
          <w:szCs w:val="21"/>
          <w:highlight w:val="none"/>
        </w:rPr>
      </w:pPr>
      <w:bookmarkStart w:id="44" w:name="_Hlk97039899"/>
      <w:r>
        <w:rPr>
          <w:rFonts w:hint="eastAsia"/>
          <w:color w:val="auto"/>
          <w:sz w:val="21"/>
          <w:szCs w:val="21"/>
          <w:highlight w:val="none"/>
        </w:rPr>
        <w:t>未响应磋商文件“▲”标记条款要求的，响应无效。</w:t>
      </w:r>
    </w:p>
    <w:bookmarkEnd w:id="44"/>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bookmarkStart w:id="45" w:name="_Hlk97039841"/>
      <w:r>
        <w:rPr>
          <w:rFonts w:hint="eastAsia"/>
          <w:color w:val="auto"/>
          <w:sz w:val="21"/>
          <w:szCs w:val="21"/>
          <w:highlight w:val="none"/>
        </w:rPr>
        <w:t>（3）资格文件未按要求签署、盖章的。</w:t>
      </w:r>
    </w:p>
    <w:bookmarkEnd w:id="45"/>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（2）未提供或未按要求提供响应函、法定代表人授权委托书；</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highlight w:val="none"/>
        </w:rPr>
      </w:pPr>
    </w:p>
    <w:p>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提交磋商记录，并由其法定代表人或授权代表签名或者加盖公章。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供应商的磋商内容无法通过政府采购云平台上传的，可在规定时间内（不少于半小时）通过指定的电子邮箱（zb02@qszb.net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）第三条第一、四项情形的，提交最后报价的供应商可以为</w:t>
      </w:r>
      <w:r>
        <w:rPr>
          <w:rFonts w:cs="Arial"/>
          <w:color w:val="auto"/>
          <w:kern w:val="0"/>
          <w:sz w:val="21"/>
          <w:szCs w:val="21"/>
          <w:highlight w:val="none"/>
        </w:rPr>
        <w:t>2家。</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46"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编写评标报告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一、评审方法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numPr>
          <w:ilvl w:val="0"/>
          <w:numId w:val="1"/>
        </w:num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评审标准</w:t>
      </w:r>
    </w:p>
    <w:p>
      <w:pPr>
        <w:numPr>
          <w:ilvl w:val="0"/>
          <w:numId w:val="0"/>
        </w:numPr>
        <w:adjustRightInd w:val="0"/>
        <w:snapToGrid w:val="0"/>
        <w:spacing w:line="288" w:lineRule="auto"/>
        <w:outlineLvl w:val="1"/>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 xml:space="preserve">标项一： </w:t>
      </w:r>
    </w:p>
    <w:tbl>
      <w:tblPr>
        <w:tblStyle w:val="1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61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评审因素</w:t>
            </w:r>
          </w:p>
        </w:tc>
        <w:tc>
          <w:tcPr>
            <w:tcW w:w="612" w:type="dxa"/>
            <w:vAlign w:val="center"/>
          </w:tcPr>
          <w:p>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分值</w:t>
            </w:r>
          </w:p>
        </w:tc>
        <w:tc>
          <w:tcPr>
            <w:tcW w:w="7371" w:type="dxa"/>
            <w:vAlign w:val="center"/>
          </w:tcPr>
          <w:p>
            <w:pPr>
              <w:pStyle w:val="42"/>
              <w:keepNext w:val="0"/>
              <w:keepLines w:val="0"/>
              <w:suppressLineNumbers w:val="0"/>
              <w:spacing w:before="0" w:beforeAutospacing="0" w:after="0" w:afterAutospacing="0" w:line="288" w:lineRule="auto"/>
              <w:ind w:left="0" w:right="0"/>
              <w:rPr>
                <w:rFonts w:hint="default" w:ascii="宋体" w:eastAsia="宋体"/>
                <w:color w:val="auto"/>
                <w:spacing w:val="-6"/>
                <w:sz w:val="21"/>
                <w:szCs w:val="21"/>
                <w:highlight w:val="none"/>
              </w:rPr>
            </w:pPr>
            <w:r>
              <w:rPr>
                <w:rFonts w:ascii="宋体" w:eastAsia="宋体"/>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pPr>
              <w:pStyle w:val="42"/>
              <w:keepNext w:val="0"/>
              <w:keepLines w:val="0"/>
              <w:suppressLineNumbers w:val="0"/>
              <w:spacing w:before="0" w:beforeAutospacing="0" w:after="0" w:afterAutospacing="0" w:line="288" w:lineRule="auto"/>
              <w:ind w:left="0" w:right="0"/>
              <w:jc w:val="left"/>
              <w:rPr>
                <w:rFonts w:hint="default" w:ascii="宋体" w:eastAsia="宋体"/>
                <w:color w:val="auto"/>
                <w:spacing w:val="-6"/>
                <w:sz w:val="21"/>
                <w:szCs w:val="21"/>
                <w:highlight w:val="none"/>
              </w:rPr>
            </w:pPr>
            <w:r>
              <w:rPr>
                <w:rFonts w:ascii="宋体" w:eastAsia="宋体"/>
                <w:b/>
                <w:bCs/>
                <w:color w:val="auto"/>
                <w:spacing w:val="-6"/>
                <w:kern w:val="2"/>
                <w:sz w:val="21"/>
                <w:szCs w:val="21"/>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tcBorders>
              <w:top w:val="single" w:color="auto" w:sz="4" w:space="0"/>
              <w:left w:val="single" w:color="auto" w:sz="4" w:space="0"/>
              <w:bottom w:val="single" w:color="auto" w:sz="4" w:space="0"/>
              <w:right w:val="single" w:color="auto" w:sz="4" w:space="0"/>
            </w:tcBorders>
            <w:vAlign w:val="center"/>
          </w:tcPr>
          <w:p>
            <w:pPr>
              <w:pStyle w:val="9"/>
              <w:keepNext w:val="0"/>
              <w:keepLines w:val="0"/>
              <w:suppressLineNumbers w:val="0"/>
              <w:spacing w:before="0" w:beforeAutospacing="0" w:after="0" w:afterAutospacing="0" w:line="288" w:lineRule="auto"/>
              <w:ind w:left="0" w:right="0" w:firstLine="0"/>
              <w:jc w:val="center"/>
              <w:rPr>
                <w:rFonts w:hint="eastAsia" w:hAnsi="宋体"/>
                <w:color w:val="auto"/>
                <w:spacing w:val="-6"/>
                <w:sz w:val="21"/>
                <w:szCs w:val="21"/>
                <w:highlight w:val="none"/>
              </w:rPr>
            </w:pPr>
            <w:r>
              <w:rPr>
                <w:rFonts w:hint="eastAsia" w:hAnsi="宋体"/>
                <w:b/>
                <w:bCs/>
                <w:color w:val="auto"/>
                <w:spacing w:val="-6"/>
                <w:sz w:val="21"/>
                <w:szCs w:val="21"/>
                <w:highlight w:val="none"/>
              </w:rPr>
              <w:t>最后磋商报价</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30</w:t>
            </w:r>
          </w:p>
        </w:tc>
        <w:tc>
          <w:tcPr>
            <w:tcW w:w="737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suppressLineNumbers w:val="0"/>
              <w:spacing w:before="0" w:beforeAutospacing="0" w:after="0" w:afterAutospacing="0"/>
              <w:ind w:left="0" w:right="0" w:firstLine="0"/>
              <w:rPr>
                <w:rFonts w:hint="eastAsia" w:hAnsi="宋体"/>
                <w:color w:val="auto"/>
                <w:spacing w:val="-6"/>
                <w:sz w:val="21"/>
                <w:szCs w:val="21"/>
                <w:highlight w:val="none"/>
              </w:rPr>
            </w:pPr>
            <w:r>
              <w:rPr>
                <w:rFonts w:hint="eastAsia" w:hAnsi="宋体"/>
                <w:color w:val="auto"/>
                <w:spacing w:val="-6"/>
                <w:sz w:val="21"/>
                <w:szCs w:val="21"/>
                <w:highlight w:val="none"/>
              </w:rPr>
              <w:t>价格分采用低价优先法计算，即满足磋商文件要求且最后磋商报价最低的供应商的价格为磋商基准价，其价格分为满分。其他供应商的价格分统一按照下列公式计算：</w:t>
            </w:r>
          </w:p>
          <w:p>
            <w:pPr>
              <w:pStyle w:val="9"/>
              <w:keepNext w:val="0"/>
              <w:keepLines w:val="0"/>
              <w:suppressLineNumbers w:val="0"/>
              <w:spacing w:before="0" w:beforeAutospacing="0" w:after="0" w:afterAutospacing="0"/>
              <w:ind w:left="0" w:right="0" w:firstLine="0"/>
              <w:rPr>
                <w:rFonts w:hint="eastAsia" w:hAnsi="宋体"/>
                <w:color w:val="auto"/>
                <w:spacing w:val="-6"/>
                <w:sz w:val="21"/>
                <w:szCs w:val="21"/>
                <w:highlight w:val="none"/>
              </w:rPr>
            </w:pPr>
            <w:r>
              <w:rPr>
                <w:rFonts w:hint="eastAsia" w:hAnsi="宋体"/>
                <w:color w:val="auto"/>
                <w:spacing w:val="-6"/>
                <w:sz w:val="21"/>
                <w:szCs w:val="21"/>
                <w:highlight w:val="none"/>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pPr>
              <w:pStyle w:val="42"/>
              <w:keepNext w:val="0"/>
              <w:keepLines w:val="0"/>
              <w:suppressLineNumbers w:val="0"/>
              <w:spacing w:before="0" w:beforeAutospacing="0" w:after="0" w:afterAutospacing="0" w:line="288" w:lineRule="auto"/>
              <w:ind w:left="0" w:right="0"/>
              <w:jc w:val="left"/>
              <w:rPr>
                <w:rFonts w:hint="default" w:ascii="宋体" w:eastAsia="宋体"/>
                <w:color w:val="auto"/>
                <w:spacing w:val="-6"/>
                <w:sz w:val="21"/>
                <w:szCs w:val="21"/>
                <w:highlight w:val="none"/>
              </w:rPr>
            </w:pPr>
            <w:r>
              <w:rPr>
                <w:rFonts w:ascii="宋体" w:eastAsia="宋体"/>
                <w:b/>
                <w:bCs/>
                <w:color w:val="auto"/>
                <w:spacing w:val="-6"/>
                <w:sz w:val="21"/>
                <w:szCs w:val="21"/>
                <w:highlight w:val="none"/>
              </w:rPr>
              <w:t>商务分（8分）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体系认证</w:t>
            </w:r>
          </w:p>
        </w:tc>
        <w:tc>
          <w:tcPr>
            <w:tcW w:w="612"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1</w:t>
            </w:r>
          </w:p>
        </w:tc>
        <w:tc>
          <w:tcPr>
            <w:tcW w:w="7371" w:type="dxa"/>
            <w:vAlign w:val="center"/>
          </w:tcPr>
          <w:p>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供应商或制造商具有有效的ISO质量管理体系认证的得1分；</w:t>
            </w:r>
          </w:p>
          <w:p>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说明：投标文件中提供证书扫描件及www.cnca.gov.cn“认证结果”查询截图，不提供或不符合要求不得分。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质保期</w:t>
            </w:r>
          </w:p>
        </w:tc>
        <w:tc>
          <w:tcPr>
            <w:tcW w:w="612"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2</w:t>
            </w:r>
          </w:p>
        </w:tc>
        <w:tc>
          <w:tcPr>
            <w:tcW w:w="7371" w:type="dxa"/>
            <w:vAlign w:val="center"/>
          </w:tcPr>
          <w:p>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在满足磋商文件要求的基础上每延长一年加1分，最多加2分，延长时间不足一年的不计入加分，质保期不满足磋商文件要求的响应无效。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业绩</w:t>
            </w:r>
          </w:p>
        </w:tc>
        <w:tc>
          <w:tcPr>
            <w:tcW w:w="612"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3</w:t>
            </w:r>
          </w:p>
        </w:tc>
        <w:tc>
          <w:tcPr>
            <w:tcW w:w="7371" w:type="dxa"/>
            <w:vAlign w:val="center"/>
          </w:tcPr>
          <w:p>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供应商自2019年1月1日以来（以合同签订时间为准）同类合同业绩（以提供的完整合同扫描件为准）：每提供1份合同业绩得0.5分，最高得3分。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知识产权</w:t>
            </w:r>
          </w:p>
        </w:tc>
        <w:tc>
          <w:tcPr>
            <w:tcW w:w="612"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2</w:t>
            </w:r>
          </w:p>
        </w:tc>
        <w:tc>
          <w:tcPr>
            <w:tcW w:w="7371" w:type="dxa"/>
            <w:vAlign w:val="center"/>
          </w:tcPr>
          <w:p>
            <w:pPr>
              <w:keepNext w:val="0"/>
              <w:keepLines w:val="0"/>
              <w:suppressLineNumbers w:val="0"/>
              <w:spacing w:before="0" w:beforeAutospacing="0" w:after="0" w:afterAutospacing="0" w:line="288" w:lineRule="auto"/>
              <w:ind w:left="0" w:right="0"/>
              <w:rPr>
                <w:rFonts w:hint="eastAsia" w:eastAsia="宋体"/>
                <w:color w:val="auto"/>
                <w:sz w:val="21"/>
                <w:szCs w:val="21"/>
                <w:highlight w:val="none"/>
                <w:lang w:eastAsia="zh-CN"/>
              </w:rPr>
            </w:pPr>
            <w:r>
              <w:rPr>
                <w:rFonts w:hint="eastAsia"/>
                <w:color w:val="auto"/>
                <w:sz w:val="21"/>
                <w:szCs w:val="21"/>
                <w:highlight w:val="none"/>
              </w:rPr>
              <w:t>供应商或制造商具有与</w:t>
            </w:r>
            <w:r>
              <w:rPr>
                <w:rFonts w:hint="eastAsia"/>
                <w:color w:val="auto"/>
                <w:sz w:val="21"/>
                <w:szCs w:val="21"/>
                <w:highlight w:val="none"/>
                <w:lang w:val="en-US" w:eastAsia="zh-CN"/>
              </w:rPr>
              <w:t>本项目相关的软件著作权登记证书，每提供一份得1分，最高得2分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pPr>
              <w:pStyle w:val="9"/>
              <w:keepNext w:val="0"/>
              <w:keepLines w:val="0"/>
              <w:suppressLineNumbers w:val="0"/>
              <w:spacing w:before="0" w:beforeAutospacing="0" w:after="0" w:afterAutospacing="0" w:line="288" w:lineRule="auto"/>
              <w:ind w:left="0" w:right="0" w:firstLine="0"/>
              <w:jc w:val="left"/>
              <w:rPr>
                <w:rFonts w:hint="eastAsia" w:hAnsi="宋体"/>
                <w:color w:val="auto"/>
                <w:spacing w:val="-6"/>
                <w:sz w:val="21"/>
                <w:szCs w:val="21"/>
                <w:highlight w:val="none"/>
              </w:rPr>
            </w:pPr>
            <w:r>
              <w:rPr>
                <w:rFonts w:hint="eastAsia" w:hAnsi="宋体"/>
                <w:b/>
                <w:bCs/>
                <w:color w:val="auto"/>
                <w:spacing w:val="-6"/>
                <w:sz w:val="21"/>
                <w:szCs w:val="21"/>
                <w:highlight w:val="none"/>
              </w:rPr>
              <w:t>技术分（62分）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r>
              <w:rPr>
                <w:rFonts w:hint="eastAsia"/>
                <w:b/>
                <w:bCs/>
                <w:color w:val="auto"/>
                <w:spacing w:val="-6"/>
                <w:sz w:val="21"/>
                <w:szCs w:val="21"/>
                <w:highlight w:val="none"/>
              </w:rPr>
              <w:t>响应程度</w:t>
            </w: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12</w:t>
            </w:r>
          </w:p>
        </w:tc>
        <w:tc>
          <w:tcPr>
            <w:tcW w:w="7371"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不符合（负偏离）技术要求中标注“</w:t>
            </w:r>
            <w:r>
              <w:rPr>
                <w:rFonts w:hint="eastAsia"/>
                <w:b/>
                <w:color w:val="auto"/>
                <w:spacing w:val="-6"/>
                <w:sz w:val="21"/>
                <w:szCs w:val="21"/>
                <w:highlight w:val="none"/>
              </w:rPr>
              <w:t>▲</w:t>
            </w:r>
            <w:r>
              <w:rPr>
                <w:rFonts w:hint="eastAsia"/>
                <w:color w:val="auto"/>
                <w:sz w:val="21"/>
                <w:szCs w:val="21"/>
                <w:highlight w:val="none"/>
              </w:rPr>
              <w:t>”条款（不可偏离）的投标无效；</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满足招标文件明确的全部技术条款要求的该项得满分；</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技术条款低于技术要求（负偏离）的每项扣</w:t>
            </w:r>
            <w:r>
              <w:rPr>
                <w:rFonts w:hint="eastAsia"/>
                <w:color w:val="auto"/>
                <w:sz w:val="21"/>
                <w:szCs w:val="21"/>
                <w:highlight w:val="none"/>
                <w:lang w:val="en-US" w:eastAsia="zh-CN"/>
              </w:rPr>
              <w:t>2</w:t>
            </w:r>
            <w:r>
              <w:rPr>
                <w:rFonts w:hint="eastAsia"/>
                <w:color w:val="auto"/>
                <w:sz w:val="21"/>
                <w:szCs w:val="21"/>
                <w:highlight w:val="none"/>
              </w:rPr>
              <w:t>分；</w:t>
            </w:r>
          </w:p>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负偏离</w:t>
            </w:r>
            <w:r>
              <w:rPr>
                <w:rFonts w:hint="eastAsia"/>
                <w:color w:val="auto"/>
                <w:sz w:val="21"/>
                <w:szCs w:val="21"/>
                <w:highlight w:val="none"/>
                <w:lang w:val="en-US" w:eastAsia="zh-CN"/>
              </w:rPr>
              <w:t>6</w:t>
            </w:r>
            <w:r>
              <w:rPr>
                <w:rFonts w:hint="eastAsia"/>
                <w:color w:val="auto"/>
                <w:sz w:val="21"/>
                <w:szCs w:val="21"/>
                <w:highlight w:val="none"/>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57" w:type="dxa"/>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r>
              <w:rPr>
                <w:rFonts w:hint="eastAsia"/>
                <w:b/>
                <w:bCs/>
                <w:color w:val="auto"/>
                <w:spacing w:val="-6"/>
                <w:sz w:val="21"/>
                <w:szCs w:val="21"/>
                <w:highlight w:val="none"/>
              </w:rPr>
              <w:t>演示</w:t>
            </w: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20</w:t>
            </w:r>
          </w:p>
        </w:tc>
        <w:tc>
          <w:tcPr>
            <w:tcW w:w="7371" w:type="dxa"/>
            <w:vAlign w:val="center"/>
          </w:tcPr>
          <w:p>
            <w:pPr>
              <w:keepNext w:val="0"/>
              <w:keepLines w:val="0"/>
              <w:suppressLineNumbers w:val="0"/>
              <w:spacing w:before="0" w:beforeAutospacing="0" w:after="0" w:afterAutospacing="0" w:line="288" w:lineRule="auto"/>
              <w:ind w:left="0" w:right="0"/>
              <w:jc w:val="left"/>
              <w:rPr>
                <w:rFonts w:hint="eastAsia"/>
                <w:color w:val="auto"/>
                <w:spacing w:val="-6"/>
                <w:sz w:val="21"/>
                <w:szCs w:val="21"/>
                <w:highlight w:val="none"/>
              </w:rPr>
            </w:pPr>
            <w:r>
              <w:rPr>
                <w:rFonts w:hint="eastAsia"/>
                <w:color w:val="auto"/>
                <w:spacing w:val="-6"/>
                <w:sz w:val="21"/>
                <w:szCs w:val="21"/>
                <w:highlight w:val="none"/>
              </w:rPr>
              <w:t>供应商须按第二章采购需求“演示内容”中的内容进行演示，</w:t>
            </w:r>
          </w:p>
          <w:p>
            <w:pPr>
              <w:keepNext w:val="0"/>
              <w:keepLines w:val="0"/>
              <w:suppressLineNumbers w:val="0"/>
              <w:spacing w:before="0" w:beforeAutospacing="0" w:after="0" w:afterAutospacing="0" w:line="288" w:lineRule="auto"/>
              <w:ind w:left="0" w:right="0"/>
              <w:jc w:val="left"/>
              <w:rPr>
                <w:rFonts w:hint="eastAsia"/>
                <w:color w:val="auto"/>
                <w:spacing w:val="-6"/>
                <w:sz w:val="21"/>
                <w:szCs w:val="21"/>
                <w:highlight w:val="none"/>
              </w:rPr>
            </w:pPr>
            <w:r>
              <w:rPr>
                <w:rFonts w:hint="eastAsia" w:ascii="宋体" w:hAnsi="宋体" w:eastAsia="宋体" w:cs="宋体"/>
                <w:color w:val="auto"/>
                <w:spacing w:val="-6"/>
                <w:kern w:val="2"/>
                <w:sz w:val="21"/>
                <w:szCs w:val="21"/>
                <w:highlight w:val="none"/>
                <w:lang w:val="en-US" w:eastAsia="zh-CN" w:bidi="ar"/>
              </w:rPr>
              <w:t>标项二每项最高2.5分，共8项，总计20分。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7" w:type="dxa"/>
            <w:vMerge w:val="restart"/>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r>
              <w:rPr>
                <w:rFonts w:hint="eastAsia"/>
                <w:b/>
                <w:bCs/>
                <w:color w:val="auto"/>
                <w:spacing w:val="-6"/>
                <w:sz w:val="21"/>
                <w:szCs w:val="21"/>
                <w:highlight w:val="none"/>
              </w:rPr>
              <w:t>技术方案</w:t>
            </w:r>
          </w:p>
        </w:tc>
        <w:tc>
          <w:tcPr>
            <w:tcW w:w="612" w:type="dxa"/>
            <w:vAlign w:val="center"/>
          </w:tcPr>
          <w:p>
            <w:pPr>
              <w:keepNext w:val="0"/>
              <w:keepLines w:val="0"/>
              <w:suppressLineNumbers w:val="0"/>
              <w:spacing w:before="0" w:beforeAutospacing="0" w:after="0" w:afterAutospacing="0"/>
              <w:ind w:left="0" w:right="0"/>
              <w:jc w:val="center"/>
              <w:rPr>
                <w:rFonts w:hint="eastAsia" w:eastAsia="宋体"/>
                <w:color w:val="auto"/>
                <w:spacing w:val="-6"/>
                <w:sz w:val="21"/>
                <w:szCs w:val="21"/>
                <w:highlight w:val="none"/>
                <w:lang w:eastAsia="zh-CN"/>
              </w:rPr>
            </w:pPr>
            <w:r>
              <w:rPr>
                <w:rFonts w:hint="eastAsia"/>
                <w:color w:val="auto"/>
                <w:spacing w:val="-6"/>
                <w:sz w:val="21"/>
                <w:szCs w:val="21"/>
                <w:highlight w:val="none"/>
                <w:lang w:val="en-US" w:eastAsia="zh-CN"/>
              </w:rPr>
              <w:t>7</w:t>
            </w:r>
          </w:p>
        </w:tc>
        <w:tc>
          <w:tcPr>
            <w:tcW w:w="7371" w:type="dxa"/>
            <w:vAlign w:val="center"/>
          </w:tcPr>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1.项目背景和需求（</w:t>
            </w:r>
            <w:r>
              <w:rPr>
                <w:rFonts w:hint="eastAsia"/>
                <w:color w:val="auto"/>
                <w:sz w:val="21"/>
                <w:szCs w:val="21"/>
                <w:highlight w:val="none"/>
                <w:lang w:val="en-US" w:eastAsia="zh-CN"/>
              </w:rPr>
              <w:t>3</w:t>
            </w:r>
            <w:r>
              <w:rPr>
                <w:rFonts w:hint="eastAsia"/>
                <w:color w:val="auto"/>
                <w:sz w:val="21"/>
                <w:szCs w:val="21"/>
                <w:highlight w:val="none"/>
              </w:rPr>
              <w:t>分）；</w:t>
            </w:r>
          </w:p>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2.总体设计框架（2分）；</w:t>
            </w:r>
          </w:p>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3.重点业务流程（2分）。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7" w:type="dxa"/>
            <w:vMerge w:val="continue"/>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p>
        </w:tc>
        <w:tc>
          <w:tcPr>
            <w:tcW w:w="612" w:type="dxa"/>
            <w:vAlign w:val="center"/>
          </w:tcPr>
          <w:p>
            <w:pPr>
              <w:keepNext w:val="0"/>
              <w:keepLines w:val="0"/>
              <w:suppressLineNumbers w:val="0"/>
              <w:spacing w:before="0" w:beforeAutospacing="0" w:after="0" w:afterAutospacing="0"/>
              <w:ind w:left="0" w:right="0"/>
              <w:jc w:val="center"/>
              <w:rPr>
                <w:rFonts w:hint="eastAsia" w:eastAsia="宋体"/>
                <w:color w:val="auto"/>
                <w:spacing w:val="-6"/>
                <w:sz w:val="21"/>
                <w:szCs w:val="21"/>
                <w:highlight w:val="none"/>
                <w:lang w:eastAsia="zh-CN"/>
              </w:rPr>
            </w:pPr>
            <w:r>
              <w:rPr>
                <w:rFonts w:hint="eastAsia"/>
                <w:color w:val="auto"/>
                <w:spacing w:val="-6"/>
                <w:sz w:val="21"/>
                <w:szCs w:val="21"/>
                <w:highlight w:val="none"/>
              </w:rPr>
              <w:t>1</w:t>
            </w:r>
            <w:r>
              <w:rPr>
                <w:rFonts w:hint="eastAsia"/>
                <w:color w:val="auto"/>
                <w:spacing w:val="-6"/>
                <w:sz w:val="21"/>
                <w:szCs w:val="21"/>
                <w:highlight w:val="none"/>
                <w:lang w:val="en-US" w:eastAsia="zh-CN"/>
              </w:rPr>
              <w:t>1</w:t>
            </w:r>
          </w:p>
        </w:tc>
        <w:tc>
          <w:tcPr>
            <w:tcW w:w="7371" w:type="dxa"/>
            <w:vAlign w:val="center"/>
          </w:tcPr>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项目实施方案的合理性、可行性：</w:t>
            </w:r>
          </w:p>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1.管理方案（2分）；</w:t>
            </w:r>
          </w:p>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2.测试方案（2分）；</w:t>
            </w:r>
          </w:p>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3.系统运维（</w:t>
            </w:r>
            <w:r>
              <w:rPr>
                <w:rFonts w:hint="eastAsia"/>
                <w:color w:val="auto"/>
                <w:sz w:val="21"/>
                <w:szCs w:val="21"/>
                <w:highlight w:val="none"/>
                <w:lang w:val="en-US" w:eastAsia="zh-CN"/>
              </w:rPr>
              <w:t>3</w:t>
            </w:r>
            <w:r>
              <w:rPr>
                <w:rFonts w:hint="eastAsia"/>
                <w:color w:val="auto"/>
                <w:sz w:val="21"/>
                <w:szCs w:val="21"/>
                <w:highlight w:val="none"/>
              </w:rPr>
              <w:t>分）。</w:t>
            </w:r>
          </w:p>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4.进度控制计划（2分）</w:t>
            </w:r>
          </w:p>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5.验收方案（2分）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7" w:type="dxa"/>
            <w:vMerge w:val="continue"/>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2</w:t>
            </w:r>
          </w:p>
        </w:tc>
        <w:tc>
          <w:tcPr>
            <w:tcW w:w="7371" w:type="dxa"/>
            <w:vAlign w:val="center"/>
          </w:tcPr>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培训计划的全面性、针对性，包括培训流程、培训方式、培训对象、培训内容、培训日程等。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Merge w:val="continue"/>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3</w:t>
            </w:r>
          </w:p>
        </w:tc>
        <w:tc>
          <w:tcPr>
            <w:tcW w:w="7371" w:type="dxa"/>
            <w:vAlign w:val="center"/>
          </w:tcPr>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售后服务方案的全面性、针对性，包括服务内容、服务承诺、响应时间、服务方式、人员配备、应急服务等。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Merge w:val="restart"/>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r>
              <w:rPr>
                <w:rFonts w:hint="eastAsia"/>
                <w:b/>
                <w:bCs/>
                <w:color w:val="auto"/>
                <w:spacing w:val="-6"/>
                <w:sz w:val="21"/>
                <w:szCs w:val="21"/>
                <w:highlight w:val="none"/>
              </w:rPr>
              <w:t>服务团队</w:t>
            </w: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2</w:t>
            </w:r>
          </w:p>
        </w:tc>
        <w:tc>
          <w:tcPr>
            <w:tcW w:w="7371" w:type="dxa"/>
            <w:vAlign w:val="center"/>
          </w:tcPr>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项目负责人的专业素质、技术能力同类项目实施经验情况（响应文件中提供技术负责人人员履历、资质证书扫描件、2021年1月至今任意一月依法缴纳社会保障资金的证明材料）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Merge w:val="continue"/>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3</w:t>
            </w:r>
          </w:p>
        </w:tc>
        <w:tc>
          <w:tcPr>
            <w:tcW w:w="7371" w:type="dxa"/>
            <w:vAlign w:val="center"/>
          </w:tcPr>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除技术负责人外其他专业技术人员组成、数量、专业素质、技术能力、经验等情况（响应文件中提供其他专业技术人员人员履历、资质证书扫描件、2021年1月至今任意一月依法缴纳社会保障资金的证明材料）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r>
              <w:rPr>
                <w:rFonts w:hint="eastAsia"/>
                <w:b/>
                <w:bCs/>
                <w:color w:val="auto"/>
                <w:sz w:val="21"/>
                <w:szCs w:val="21"/>
                <w:highlight w:val="none"/>
              </w:rPr>
              <w:t>合理化建议</w:t>
            </w: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2</w:t>
            </w:r>
          </w:p>
        </w:tc>
        <w:tc>
          <w:tcPr>
            <w:tcW w:w="7371" w:type="dxa"/>
            <w:vAlign w:val="center"/>
          </w:tcPr>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提供的优惠措施、合理化建议和改进措施的合理性、可行性等，不提供不得分。</w:t>
            </w:r>
          </w:p>
        </w:tc>
      </w:tr>
    </w:tbl>
    <w:p>
      <w:pPr>
        <w:numPr>
          <w:ilvl w:val="0"/>
          <w:numId w:val="0"/>
        </w:numPr>
        <w:adjustRightInd w:val="0"/>
        <w:snapToGrid w:val="0"/>
        <w:spacing w:line="288" w:lineRule="auto"/>
        <w:outlineLvl w:val="1"/>
        <w:rPr>
          <w:rFonts w:hint="eastAsia"/>
          <w:b/>
          <w:bCs/>
          <w:color w:val="auto"/>
          <w:sz w:val="21"/>
          <w:szCs w:val="21"/>
          <w:highlight w:val="none"/>
          <w:lang w:val="en-US" w:eastAsia="zh-CN"/>
        </w:rPr>
      </w:pPr>
    </w:p>
    <w:p>
      <w:pPr>
        <w:numPr>
          <w:ilvl w:val="0"/>
          <w:numId w:val="0"/>
        </w:numPr>
        <w:adjustRightInd w:val="0"/>
        <w:snapToGrid w:val="0"/>
        <w:spacing w:line="288" w:lineRule="auto"/>
        <w:outlineLvl w:val="1"/>
        <w:rPr>
          <w:rFonts w:hint="eastAsia"/>
          <w:b/>
          <w:bCs/>
          <w:color w:val="auto"/>
          <w:sz w:val="21"/>
          <w:szCs w:val="21"/>
          <w:highlight w:val="none"/>
          <w:lang w:val="en-US" w:eastAsia="zh-CN"/>
        </w:rPr>
      </w:pPr>
    </w:p>
    <w:p>
      <w:pPr>
        <w:numPr>
          <w:ilvl w:val="0"/>
          <w:numId w:val="0"/>
        </w:numPr>
        <w:adjustRightInd w:val="0"/>
        <w:snapToGrid w:val="0"/>
        <w:spacing w:line="288" w:lineRule="auto"/>
        <w:outlineLvl w:val="1"/>
        <w:rPr>
          <w:rFonts w:hint="eastAsia"/>
          <w:b/>
          <w:bCs/>
          <w:color w:val="auto"/>
          <w:sz w:val="21"/>
          <w:szCs w:val="21"/>
          <w:highlight w:val="none"/>
          <w:lang w:val="en-US" w:eastAsia="zh-CN"/>
        </w:rPr>
      </w:pPr>
      <w:r>
        <w:rPr>
          <w:rFonts w:hint="eastAsia"/>
          <w:b/>
          <w:bCs/>
          <w:color w:val="auto"/>
          <w:sz w:val="21"/>
          <w:szCs w:val="21"/>
          <w:highlight w:val="none"/>
          <w:lang w:val="en-US" w:eastAsia="zh-CN"/>
        </w:rPr>
        <w:t>标项二</w:t>
      </w:r>
    </w:p>
    <w:tbl>
      <w:tblPr>
        <w:tblStyle w:val="1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61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评审因素</w:t>
            </w:r>
          </w:p>
        </w:tc>
        <w:tc>
          <w:tcPr>
            <w:tcW w:w="612" w:type="dxa"/>
            <w:vAlign w:val="center"/>
          </w:tcPr>
          <w:p>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分值</w:t>
            </w:r>
          </w:p>
        </w:tc>
        <w:tc>
          <w:tcPr>
            <w:tcW w:w="7371" w:type="dxa"/>
            <w:vAlign w:val="center"/>
          </w:tcPr>
          <w:p>
            <w:pPr>
              <w:pStyle w:val="42"/>
              <w:keepNext w:val="0"/>
              <w:keepLines w:val="0"/>
              <w:suppressLineNumbers w:val="0"/>
              <w:spacing w:before="0" w:beforeAutospacing="0" w:after="0" w:afterAutospacing="0" w:line="288" w:lineRule="auto"/>
              <w:ind w:left="0" w:right="0"/>
              <w:rPr>
                <w:rFonts w:hint="default" w:ascii="宋体" w:eastAsia="宋体"/>
                <w:color w:val="auto"/>
                <w:spacing w:val="-6"/>
                <w:sz w:val="21"/>
                <w:szCs w:val="21"/>
                <w:highlight w:val="none"/>
              </w:rPr>
            </w:pPr>
            <w:r>
              <w:rPr>
                <w:rFonts w:ascii="宋体" w:eastAsia="宋体"/>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pPr>
              <w:pStyle w:val="42"/>
              <w:keepNext w:val="0"/>
              <w:keepLines w:val="0"/>
              <w:suppressLineNumbers w:val="0"/>
              <w:spacing w:before="0" w:beforeAutospacing="0" w:after="0" w:afterAutospacing="0" w:line="288" w:lineRule="auto"/>
              <w:ind w:left="0" w:right="0"/>
              <w:jc w:val="left"/>
              <w:rPr>
                <w:rFonts w:hint="default" w:ascii="宋体" w:eastAsia="宋体"/>
                <w:color w:val="auto"/>
                <w:spacing w:val="-6"/>
                <w:sz w:val="21"/>
                <w:szCs w:val="21"/>
                <w:highlight w:val="none"/>
              </w:rPr>
            </w:pPr>
            <w:r>
              <w:rPr>
                <w:rFonts w:ascii="宋体" w:eastAsia="宋体"/>
                <w:b/>
                <w:bCs/>
                <w:color w:val="auto"/>
                <w:spacing w:val="-6"/>
                <w:kern w:val="2"/>
                <w:sz w:val="21"/>
                <w:szCs w:val="21"/>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tcBorders>
              <w:top w:val="single" w:color="auto" w:sz="4" w:space="0"/>
              <w:left w:val="single" w:color="auto" w:sz="4" w:space="0"/>
              <w:bottom w:val="single" w:color="auto" w:sz="4" w:space="0"/>
              <w:right w:val="single" w:color="auto" w:sz="4" w:space="0"/>
            </w:tcBorders>
            <w:vAlign w:val="center"/>
          </w:tcPr>
          <w:p>
            <w:pPr>
              <w:pStyle w:val="9"/>
              <w:keepNext w:val="0"/>
              <w:keepLines w:val="0"/>
              <w:suppressLineNumbers w:val="0"/>
              <w:spacing w:before="0" w:beforeAutospacing="0" w:after="0" w:afterAutospacing="0" w:line="288" w:lineRule="auto"/>
              <w:ind w:left="0" w:right="0" w:firstLine="0"/>
              <w:jc w:val="center"/>
              <w:rPr>
                <w:rFonts w:hint="eastAsia" w:hAnsi="宋体"/>
                <w:color w:val="auto"/>
                <w:spacing w:val="-6"/>
                <w:sz w:val="21"/>
                <w:szCs w:val="21"/>
                <w:highlight w:val="none"/>
              </w:rPr>
            </w:pPr>
            <w:r>
              <w:rPr>
                <w:rFonts w:hint="eastAsia" w:hAnsi="宋体"/>
                <w:b/>
                <w:bCs/>
                <w:color w:val="auto"/>
                <w:spacing w:val="-6"/>
                <w:sz w:val="21"/>
                <w:szCs w:val="21"/>
                <w:highlight w:val="none"/>
              </w:rPr>
              <w:t>最后磋商报价</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jc w:val="center"/>
              <w:rPr>
                <w:rFonts w:hint="eastAsia"/>
                <w:color w:val="auto"/>
                <w:spacing w:val="-6"/>
                <w:sz w:val="21"/>
                <w:szCs w:val="21"/>
                <w:highlight w:val="none"/>
              </w:rPr>
            </w:pPr>
            <w:r>
              <w:rPr>
                <w:rFonts w:hint="eastAsia"/>
                <w:color w:val="auto"/>
                <w:spacing w:val="-6"/>
                <w:sz w:val="21"/>
                <w:szCs w:val="21"/>
                <w:highlight w:val="none"/>
              </w:rPr>
              <w:t>30</w:t>
            </w:r>
          </w:p>
        </w:tc>
        <w:tc>
          <w:tcPr>
            <w:tcW w:w="737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suppressLineNumbers w:val="0"/>
              <w:spacing w:before="0" w:beforeAutospacing="0" w:after="0" w:afterAutospacing="0"/>
              <w:ind w:left="0" w:right="0" w:firstLine="0"/>
              <w:rPr>
                <w:rFonts w:hint="eastAsia" w:hAnsi="宋体"/>
                <w:color w:val="auto"/>
                <w:spacing w:val="-6"/>
                <w:sz w:val="21"/>
                <w:szCs w:val="21"/>
                <w:highlight w:val="none"/>
              </w:rPr>
            </w:pPr>
            <w:r>
              <w:rPr>
                <w:rFonts w:hint="eastAsia" w:hAnsi="宋体"/>
                <w:color w:val="auto"/>
                <w:spacing w:val="-6"/>
                <w:sz w:val="21"/>
                <w:szCs w:val="21"/>
                <w:highlight w:val="none"/>
              </w:rPr>
              <w:t>价格分采用低价优先法计算，即满足磋商文件要求且最后磋商报价最低的供应商的价格为磋商基准价，其价格分为满分。其他供应商的价格分统一按照下列公式计算：</w:t>
            </w:r>
          </w:p>
          <w:p>
            <w:pPr>
              <w:pStyle w:val="9"/>
              <w:keepNext w:val="0"/>
              <w:keepLines w:val="0"/>
              <w:suppressLineNumbers w:val="0"/>
              <w:spacing w:before="0" w:beforeAutospacing="0" w:after="0" w:afterAutospacing="0"/>
              <w:ind w:left="0" w:right="0" w:firstLine="0"/>
              <w:rPr>
                <w:rFonts w:hint="eastAsia" w:hAnsi="宋体"/>
                <w:color w:val="auto"/>
                <w:spacing w:val="-6"/>
                <w:sz w:val="21"/>
                <w:szCs w:val="21"/>
                <w:highlight w:val="none"/>
              </w:rPr>
            </w:pPr>
            <w:r>
              <w:rPr>
                <w:rFonts w:hint="eastAsia" w:hAnsi="宋体"/>
                <w:color w:val="auto"/>
                <w:spacing w:val="-6"/>
                <w:sz w:val="21"/>
                <w:szCs w:val="21"/>
                <w:highlight w:val="none"/>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pPr>
              <w:pStyle w:val="42"/>
              <w:keepNext w:val="0"/>
              <w:keepLines w:val="0"/>
              <w:suppressLineNumbers w:val="0"/>
              <w:spacing w:before="0" w:beforeAutospacing="0" w:after="0" w:afterAutospacing="0" w:line="288" w:lineRule="auto"/>
              <w:ind w:left="0" w:right="0"/>
              <w:jc w:val="left"/>
              <w:rPr>
                <w:rFonts w:hint="default" w:ascii="宋体" w:eastAsia="宋体"/>
                <w:color w:val="auto"/>
                <w:spacing w:val="-6"/>
                <w:sz w:val="21"/>
                <w:szCs w:val="21"/>
                <w:highlight w:val="none"/>
              </w:rPr>
            </w:pPr>
            <w:r>
              <w:rPr>
                <w:rFonts w:ascii="宋体" w:eastAsia="宋体"/>
                <w:b/>
                <w:bCs/>
                <w:color w:val="auto"/>
                <w:spacing w:val="-6"/>
                <w:sz w:val="21"/>
                <w:szCs w:val="21"/>
                <w:highlight w:val="none"/>
              </w:rPr>
              <w:t>商务分（8分）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体系认证</w:t>
            </w:r>
          </w:p>
        </w:tc>
        <w:tc>
          <w:tcPr>
            <w:tcW w:w="612"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1</w:t>
            </w:r>
          </w:p>
        </w:tc>
        <w:tc>
          <w:tcPr>
            <w:tcW w:w="7371" w:type="dxa"/>
            <w:vAlign w:val="center"/>
          </w:tcPr>
          <w:p>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供应商或制造商具有有效的ISO质量管理体系认证的得1分；</w:t>
            </w:r>
          </w:p>
          <w:p>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说明：投标文件中提供证书扫描件及www.cnca.gov.cn“认证结果”查询截图，不提供或不符合要求不得分。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质保期</w:t>
            </w:r>
          </w:p>
        </w:tc>
        <w:tc>
          <w:tcPr>
            <w:tcW w:w="612"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2</w:t>
            </w:r>
          </w:p>
        </w:tc>
        <w:tc>
          <w:tcPr>
            <w:tcW w:w="7371" w:type="dxa"/>
            <w:vAlign w:val="center"/>
          </w:tcPr>
          <w:p>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在满足磋商文件要求的基础上每延长一年加1分，最多加2分，延长时间不足一年的不计入加分，质保期不满足磋商文件要求的响应无效。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业绩</w:t>
            </w:r>
          </w:p>
        </w:tc>
        <w:tc>
          <w:tcPr>
            <w:tcW w:w="612"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3</w:t>
            </w:r>
          </w:p>
        </w:tc>
        <w:tc>
          <w:tcPr>
            <w:tcW w:w="7371" w:type="dxa"/>
            <w:vAlign w:val="center"/>
          </w:tcPr>
          <w:p>
            <w:pPr>
              <w:keepNext w:val="0"/>
              <w:keepLines w:val="0"/>
              <w:suppressLineNumbers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供应商自2019年1月1日以来（以合同签订时间为准）同类合同业绩（以提供的完整合同扫描件为准）：每提供1份合同业绩得0.5分，最高得3分。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知识产权</w:t>
            </w:r>
          </w:p>
        </w:tc>
        <w:tc>
          <w:tcPr>
            <w:tcW w:w="612" w:type="dxa"/>
            <w:vAlign w:val="center"/>
          </w:tcPr>
          <w:p>
            <w:pPr>
              <w:keepNext w:val="0"/>
              <w:keepLines w:val="0"/>
              <w:suppressLineNumbers w:val="0"/>
              <w:spacing w:before="0" w:beforeAutospacing="0" w:after="0" w:afterAutospacing="0" w:line="288" w:lineRule="auto"/>
              <w:ind w:left="0" w:right="0"/>
              <w:jc w:val="center"/>
              <w:rPr>
                <w:rFonts w:hint="eastAsia"/>
                <w:color w:val="auto"/>
                <w:sz w:val="21"/>
                <w:szCs w:val="21"/>
                <w:highlight w:val="none"/>
              </w:rPr>
            </w:pPr>
            <w:r>
              <w:rPr>
                <w:rFonts w:hint="eastAsia"/>
                <w:color w:val="auto"/>
                <w:sz w:val="21"/>
                <w:szCs w:val="21"/>
                <w:highlight w:val="none"/>
              </w:rPr>
              <w:t>2</w:t>
            </w:r>
          </w:p>
        </w:tc>
        <w:tc>
          <w:tcPr>
            <w:tcW w:w="7371" w:type="dxa"/>
            <w:vAlign w:val="center"/>
          </w:tcPr>
          <w:p>
            <w:pPr>
              <w:keepNext w:val="0"/>
              <w:keepLines w:val="0"/>
              <w:suppressLineNumbers w:val="0"/>
              <w:spacing w:before="0" w:beforeAutospacing="0" w:after="0" w:afterAutospacing="0" w:line="288" w:lineRule="auto"/>
              <w:ind w:left="0" w:right="0"/>
              <w:rPr>
                <w:rFonts w:hint="eastAsia" w:eastAsia="宋体"/>
                <w:color w:val="auto"/>
                <w:sz w:val="21"/>
                <w:szCs w:val="21"/>
                <w:highlight w:val="none"/>
                <w:lang w:eastAsia="zh-CN"/>
              </w:rPr>
            </w:pPr>
            <w:r>
              <w:rPr>
                <w:rFonts w:hint="eastAsia"/>
                <w:color w:val="auto"/>
                <w:sz w:val="21"/>
                <w:szCs w:val="21"/>
                <w:highlight w:val="none"/>
              </w:rPr>
              <w:t>供应商或制造商具有与</w:t>
            </w:r>
            <w:r>
              <w:rPr>
                <w:rFonts w:hint="eastAsia"/>
                <w:color w:val="auto"/>
                <w:sz w:val="21"/>
                <w:szCs w:val="21"/>
                <w:highlight w:val="none"/>
                <w:lang w:val="en-US" w:eastAsia="zh-CN"/>
              </w:rPr>
              <w:t>本项目相关的软件著作权登记证书，每提供一份得1分，最高得2分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pPr>
              <w:pStyle w:val="9"/>
              <w:keepNext w:val="0"/>
              <w:keepLines w:val="0"/>
              <w:suppressLineNumbers w:val="0"/>
              <w:spacing w:before="0" w:beforeAutospacing="0" w:after="0" w:afterAutospacing="0" w:line="288" w:lineRule="auto"/>
              <w:ind w:left="0" w:right="0" w:firstLine="0"/>
              <w:jc w:val="left"/>
              <w:rPr>
                <w:rFonts w:hint="eastAsia" w:hAnsi="宋体"/>
                <w:color w:val="auto"/>
                <w:spacing w:val="-6"/>
                <w:sz w:val="21"/>
                <w:szCs w:val="21"/>
                <w:highlight w:val="none"/>
              </w:rPr>
            </w:pPr>
            <w:r>
              <w:rPr>
                <w:rFonts w:hint="eastAsia" w:hAnsi="宋体"/>
                <w:b/>
                <w:bCs/>
                <w:color w:val="auto"/>
                <w:spacing w:val="-6"/>
                <w:sz w:val="21"/>
                <w:szCs w:val="21"/>
                <w:highlight w:val="none"/>
              </w:rPr>
              <w:t>技术分（62分）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r>
              <w:rPr>
                <w:rFonts w:hint="eastAsia"/>
                <w:b/>
                <w:bCs/>
                <w:color w:val="auto"/>
                <w:spacing w:val="-6"/>
                <w:sz w:val="21"/>
                <w:szCs w:val="21"/>
                <w:highlight w:val="none"/>
              </w:rPr>
              <w:t>响应程度</w:t>
            </w: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12</w:t>
            </w:r>
          </w:p>
        </w:tc>
        <w:tc>
          <w:tcPr>
            <w:tcW w:w="7371" w:type="dxa"/>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不符合（负偏离）技术要求中标注“</w:t>
            </w:r>
            <w:r>
              <w:rPr>
                <w:rFonts w:hint="eastAsia"/>
                <w:b/>
                <w:color w:val="auto"/>
                <w:spacing w:val="-6"/>
                <w:sz w:val="21"/>
                <w:szCs w:val="21"/>
                <w:highlight w:val="none"/>
              </w:rPr>
              <w:t>▲</w:t>
            </w:r>
            <w:r>
              <w:rPr>
                <w:rFonts w:hint="eastAsia"/>
                <w:color w:val="auto"/>
                <w:sz w:val="21"/>
                <w:szCs w:val="21"/>
                <w:highlight w:val="none"/>
              </w:rPr>
              <w:t>”条款（不可偏离）的投标无效；</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满足招标文件明确的全部技术条款要求的该项得满分；</w:t>
            </w:r>
          </w:p>
          <w:p>
            <w:pPr>
              <w:keepNext w:val="0"/>
              <w:keepLines w:val="0"/>
              <w:suppressLineNumbers w:val="0"/>
              <w:adjustRightInd w:val="0"/>
              <w:snapToGrid w:val="0"/>
              <w:spacing w:before="0" w:beforeAutospacing="0" w:after="0" w:afterAutospacing="0" w:line="288" w:lineRule="auto"/>
              <w:ind w:left="0" w:right="0"/>
              <w:rPr>
                <w:rFonts w:hint="eastAsia"/>
                <w:color w:val="auto"/>
                <w:sz w:val="21"/>
                <w:szCs w:val="21"/>
                <w:highlight w:val="none"/>
              </w:rPr>
            </w:pPr>
            <w:r>
              <w:rPr>
                <w:rFonts w:hint="eastAsia"/>
                <w:color w:val="auto"/>
                <w:sz w:val="21"/>
                <w:szCs w:val="21"/>
                <w:highlight w:val="none"/>
              </w:rPr>
              <w:t>技术条款低于技术要求（负偏离）的每项扣</w:t>
            </w:r>
            <w:r>
              <w:rPr>
                <w:rFonts w:hint="eastAsia"/>
                <w:color w:val="auto"/>
                <w:sz w:val="21"/>
                <w:szCs w:val="21"/>
                <w:highlight w:val="none"/>
                <w:lang w:val="en-US" w:eastAsia="zh-CN"/>
              </w:rPr>
              <w:t>2</w:t>
            </w:r>
            <w:r>
              <w:rPr>
                <w:rFonts w:hint="eastAsia"/>
                <w:color w:val="auto"/>
                <w:sz w:val="21"/>
                <w:szCs w:val="21"/>
                <w:highlight w:val="none"/>
              </w:rPr>
              <w:t>分；</w:t>
            </w:r>
          </w:p>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负偏离</w:t>
            </w:r>
            <w:r>
              <w:rPr>
                <w:rFonts w:hint="eastAsia"/>
                <w:color w:val="auto"/>
                <w:sz w:val="21"/>
                <w:szCs w:val="21"/>
                <w:highlight w:val="none"/>
                <w:lang w:val="en-US" w:eastAsia="zh-CN"/>
              </w:rPr>
              <w:t>6</w:t>
            </w:r>
            <w:bookmarkStart w:id="66" w:name="_GoBack"/>
            <w:bookmarkEnd w:id="66"/>
            <w:r>
              <w:rPr>
                <w:rFonts w:hint="eastAsia"/>
                <w:color w:val="auto"/>
                <w:sz w:val="21"/>
                <w:szCs w:val="21"/>
                <w:highlight w:val="none"/>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57" w:type="dxa"/>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r>
              <w:rPr>
                <w:rFonts w:hint="eastAsia"/>
                <w:b/>
                <w:bCs/>
                <w:color w:val="auto"/>
                <w:spacing w:val="-6"/>
                <w:sz w:val="21"/>
                <w:szCs w:val="21"/>
                <w:highlight w:val="none"/>
              </w:rPr>
              <w:t>演示</w:t>
            </w: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20</w:t>
            </w:r>
          </w:p>
        </w:tc>
        <w:tc>
          <w:tcPr>
            <w:tcW w:w="7371" w:type="dxa"/>
            <w:vAlign w:val="center"/>
          </w:tcPr>
          <w:p>
            <w:pPr>
              <w:keepNext w:val="0"/>
              <w:keepLines w:val="0"/>
              <w:suppressLineNumbers w:val="0"/>
              <w:spacing w:before="0" w:beforeAutospacing="0" w:after="0" w:afterAutospacing="0" w:line="288" w:lineRule="auto"/>
              <w:ind w:left="0" w:right="0"/>
              <w:jc w:val="left"/>
              <w:rPr>
                <w:rFonts w:hint="eastAsia"/>
                <w:color w:val="auto"/>
                <w:spacing w:val="-6"/>
                <w:sz w:val="21"/>
                <w:szCs w:val="21"/>
                <w:highlight w:val="none"/>
              </w:rPr>
            </w:pPr>
            <w:r>
              <w:rPr>
                <w:rFonts w:hint="eastAsia"/>
                <w:color w:val="auto"/>
                <w:spacing w:val="-6"/>
                <w:sz w:val="21"/>
                <w:szCs w:val="21"/>
                <w:highlight w:val="none"/>
              </w:rPr>
              <w:t>供应商须按第二章采购需求“演示内容”中的内容进行演示，</w:t>
            </w:r>
          </w:p>
          <w:p>
            <w:pPr>
              <w:keepNext w:val="0"/>
              <w:keepLines w:val="0"/>
              <w:suppressLineNumbers w:val="0"/>
              <w:spacing w:before="0" w:beforeAutospacing="0" w:after="0" w:afterAutospacing="0" w:line="288" w:lineRule="auto"/>
              <w:ind w:left="0" w:right="0"/>
              <w:jc w:val="left"/>
              <w:rPr>
                <w:rFonts w:hint="eastAsia"/>
                <w:color w:val="auto"/>
                <w:spacing w:val="-6"/>
                <w:sz w:val="21"/>
                <w:szCs w:val="21"/>
                <w:highlight w:val="none"/>
              </w:rPr>
            </w:pPr>
            <w:r>
              <w:rPr>
                <w:rFonts w:hint="eastAsia" w:ascii="宋体" w:hAnsi="宋体" w:eastAsia="宋体" w:cs="宋体"/>
                <w:color w:val="auto"/>
                <w:spacing w:val="-6"/>
                <w:kern w:val="2"/>
                <w:sz w:val="21"/>
                <w:szCs w:val="21"/>
                <w:highlight w:val="none"/>
                <w:lang w:val="en-US" w:eastAsia="zh-CN" w:bidi="ar"/>
              </w:rPr>
              <w:t>每项最高2.5分，共8项，总计20分。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7" w:type="dxa"/>
            <w:vMerge w:val="restart"/>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r>
              <w:rPr>
                <w:rFonts w:hint="eastAsia"/>
                <w:b/>
                <w:bCs/>
                <w:color w:val="auto"/>
                <w:spacing w:val="-6"/>
                <w:sz w:val="21"/>
                <w:szCs w:val="21"/>
                <w:highlight w:val="none"/>
              </w:rPr>
              <w:t>技术方案</w:t>
            </w:r>
          </w:p>
        </w:tc>
        <w:tc>
          <w:tcPr>
            <w:tcW w:w="612" w:type="dxa"/>
            <w:vAlign w:val="center"/>
          </w:tcPr>
          <w:p>
            <w:pPr>
              <w:keepNext w:val="0"/>
              <w:keepLines w:val="0"/>
              <w:suppressLineNumbers w:val="0"/>
              <w:spacing w:before="0" w:beforeAutospacing="0" w:after="0" w:afterAutospacing="0"/>
              <w:ind w:left="0" w:right="0"/>
              <w:jc w:val="center"/>
              <w:rPr>
                <w:rFonts w:hint="eastAsia" w:eastAsia="宋体"/>
                <w:color w:val="auto"/>
                <w:spacing w:val="-6"/>
                <w:sz w:val="21"/>
                <w:szCs w:val="21"/>
                <w:highlight w:val="none"/>
                <w:lang w:eastAsia="zh-CN"/>
              </w:rPr>
            </w:pPr>
            <w:r>
              <w:rPr>
                <w:rFonts w:hint="eastAsia"/>
                <w:color w:val="auto"/>
                <w:spacing w:val="-6"/>
                <w:sz w:val="21"/>
                <w:szCs w:val="21"/>
                <w:highlight w:val="none"/>
                <w:lang w:val="en-US" w:eastAsia="zh-CN"/>
              </w:rPr>
              <w:t>7</w:t>
            </w:r>
          </w:p>
        </w:tc>
        <w:tc>
          <w:tcPr>
            <w:tcW w:w="7371" w:type="dxa"/>
            <w:vAlign w:val="center"/>
          </w:tcPr>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1.项目背景和需求（</w:t>
            </w:r>
            <w:r>
              <w:rPr>
                <w:rFonts w:hint="eastAsia"/>
                <w:color w:val="auto"/>
                <w:sz w:val="21"/>
                <w:szCs w:val="21"/>
                <w:highlight w:val="none"/>
                <w:lang w:val="en-US" w:eastAsia="zh-CN"/>
              </w:rPr>
              <w:t>3</w:t>
            </w:r>
            <w:r>
              <w:rPr>
                <w:rFonts w:hint="eastAsia"/>
                <w:color w:val="auto"/>
                <w:sz w:val="21"/>
                <w:szCs w:val="21"/>
                <w:highlight w:val="none"/>
              </w:rPr>
              <w:t>分）；</w:t>
            </w:r>
          </w:p>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2.总体设计框架（2分）；</w:t>
            </w:r>
          </w:p>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3.重点业务流程（2分）。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7" w:type="dxa"/>
            <w:vMerge w:val="continue"/>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p>
        </w:tc>
        <w:tc>
          <w:tcPr>
            <w:tcW w:w="612" w:type="dxa"/>
            <w:vAlign w:val="center"/>
          </w:tcPr>
          <w:p>
            <w:pPr>
              <w:keepNext w:val="0"/>
              <w:keepLines w:val="0"/>
              <w:suppressLineNumbers w:val="0"/>
              <w:spacing w:before="0" w:beforeAutospacing="0" w:after="0" w:afterAutospacing="0"/>
              <w:ind w:left="0" w:right="0"/>
              <w:jc w:val="center"/>
              <w:rPr>
                <w:rFonts w:hint="eastAsia" w:eastAsia="宋体"/>
                <w:color w:val="auto"/>
                <w:spacing w:val="-6"/>
                <w:sz w:val="21"/>
                <w:szCs w:val="21"/>
                <w:highlight w:val="none"/>
                <w:lang w:eastAsia="zh-CN"/>
              </w:rPr>
            </w:pPr>
            <w:r>
              <w:rPr>
                <w:rFonts w:hint="eastAsia"/>
                <w:color w:val="auto"/>
                <w:spacing w:val="-6"/>
                <w:sz w:val="21"/>
                <w:szCs w:val="21"/>
                <w:highlight w:val="none"/>
              </w:rPr>
              <w:t>1</w:t>
            </w:r>
            <w:r>
              <w:rPr>
                <w:rFonts w:hint="eastAsia"/>
                <w:color w:val="auto"/>
                <w:spacing w:val="-6"/>
                <w:sz w:val="21"/>
                <w:szCs w:val="21"/>
                <w:highlight w:val="none"/>
                <w:lang w:val="en-US" w:eastAsia="zh-CN"/>
              </w:rPr>
              <w:t>1</w:t>
            </w:r>
          </w:p>
        </w:tc>
        <w:tc>
          <w:tcPr>
            <w:tcW w:w="7371" w:type="dxa"/>
            <w:vAlign w:val="center"/>
          </w:tcPr>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项目实施方案的合理性、可行性：</w:t>
            </w:r>
          </w:p>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1.管理方案（2分）；</w:t>
            </w:r>
          </w:p>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2.测试方案（2分）；</w:t>
            </w:r>
          </w:p>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3.系统运维（</w:t>
            </w:r>
            <w:r>
              <w:rPr>
                <w:rFonts w:hint="eastAsia"/>
                <w:color w:val="auto"/>
                <w:sz w:val="21"/>
                <w:szCs w:val="21"/>
                <w:highlight w:val="none"/>
                <w:lang w:val="en-US" w:eastAsia="zh-CN"/>
              </w:rPr>
              <w:t>3</w:t>
            </w:r>
            <w:r>
              <w:rPr>
                <w:rFonts w:hint="eastAsia"/>
                <w:color w:val="auto"/>
                <w:sz w:val="21"/>
                <w:szCs w:val="21"/>
                <w:highlight w:val="none"/>
              </w:rPr>
              <w:t>分）。</w:t>
            </w:r>
          </w:p>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4.进度控制计划（2分）</w:t>
            </w:r>
          </w:p>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5.验收方案（2分）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7" w:type="dxa"/>
            <w:vMerge w:val="continue"/>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2</w:t>
            </w:r>
          </w:p>
        </w:tc>
        <w:tc>
          <w:tcPr>
            <w:tcW w:w="7371" w:type="dxa"/>
            <w:vAlign w:val="center"/>
          </w:tcPr>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培训计划的全面性、针对性，包括培训流程、培训方式、培训对象、培训内容、培训日程等。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Merge w:val="continue"/>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3</w:t>
            </w:r>
          </w:p>
        </w:tc>
        <w:tc>
          <w:tcPr>
            <w:tcW w:w="7371" w:type="dxa"/>
            <w:vAlign w:val="center"/>
          </w:tcPr>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售后服务方案的全面性、针对性，包括服务内容、服务承诺、响应时间、服务方式、人员配备、应急服务等。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Merge w:val="restart"/>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r>
              <w:rPr>
                <w:rFonts w:hint="eastAsia"/>
                <w:b/>
                <w:bCs/>
                <w:color w:val="auto"/>
                <w:spacing w:val="-6"/>
                <w:sz w:val="21"/>
                <w:szCs w:val="21"/>
                <w:highlight w:val="none"/>
              </w:rPr>
              <w:t>服务团队</w:t>
            </w: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2</w:t>
            </w:r>
          </w:p>
        </w:tc>
        <w:tc>
          <w:tcPr>
            <w:tcW w:w="7371" w:type="dxa"/>
            <w:vAlign w:val="center"/>
          </w:tcPr>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项目负责人的专业素质、技术能力同类项目实施经验情况（响应文件中提供技术负责人人员履历、资质证书扫描件、2021年1月至今任意一月依法缴纳社会保障资金的证明材料）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Merge w:val="continue"/>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3</w:t>
            </w:r>
          </w:p>
        </w:tc>
        <w:tc>
          <w:tcPr>
            <w:tcW w:w="7371" w:type="dxa"/>
            <w:vAlign w:val="center"/>
          </w:tcPr>
          <w:p>
            <w:pPr>
              <w:keepNext w:val="0"/>
              <w:keepLines w:val="0"/>
              <w:suppressLineNumbers w:val="0"/>
              <w:spacing w:before="0" w:beforeAutospacing="0" w:after="0" w:afterAutospacing="0"/>
              <w:ind w:left="0" w:right="0"/>
              <w:rPr>
                <w:rFonts w:hint="eastAsia"/>
                <w:color w:val="auto"/>
                <w:sz w:val="21"/>
                <w:szCs w:val="21"/>
                <w:highlight w:val="none"/>
              </w:rPr>
            </w:pPr>
            <w:r>
              <w:rPr>
                <w:rFonts w:hint="eastAsia"/>
                <w:color w:val="auto"/>
                <w:sz w:val="21"/>
                <w:szCs w:val="21"/>
                <w:highlight w:val="none"/>
              </w:rPr>
              <w:t>除技术负责人外其他专业技术人员组成、数量、专业素质、技术能力、经验等情况（响应文件中提供其他专业技术人员人员履历、资质证书扫描件、2021年1月至今任意一月依法缴纳社会保障资金的证明材料）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keepNext w:val="0"/>
              <w:keepLines w:val="0"/>
              <w:suppressLineNumbers w:val="0"/>
              <w:spacing w:before="0" w:beforeAutospacing="0" w:after="0" w:afterAutospacing="0"/>
              <w:ind w:left="0" w:right="0"/>
              <w:jc w:val="center"/>
              <w:rPr>
                <w:rFonts w:hint="eastAsia"/>
                <w:b/>
                <w:bCs/>
                <w:color w:val="auto"/>
                <w:spacing w:val="-6"/>
                <w:sz w:val="21"/>
                <w:szCs w:val="21"/>
                <w:highlight w:val="none"/>
              </w:rPr>
            </w:pPr>
            <w:r>
              <w:rPr>
                <w:rFonts w:hint="eastAsia"/>
                <w:b/>
                <w:bCs/>
                <w:color w:val="auto"/>
                <w:sz w:val="21"/>
                <w:szCs w:val="21"/>
                <w:highlight w:val="none"/>
              </w:rPr>
              <w:t>合理化建议</w:t>
            </w:r>
          </w:p>
        </w:tc>
        <w:tc>
          <w:tcPr>
            <w:tcW w:w="612" w:type="dxa"/>
            <w:vAlign w:val="center"/>
          </w:tcPr>
          <w:p>
            <w:pPr>
              <w:keepNext w:val="0"/>
              <w:keepLines w:val="0"/>
              <w:suppressLineNumbers w:val="0"/>
              <w:spacing w:before="0" w:beforeAutospacing="0" w:after="0" w:afterAutospacing="0"/>
              <w:ind w:left="0" w:right="0"/>
              <w:jc w:val="center"/>
              <w:rPr>
                <w:rFonts w:hint="eastAsia"/>
                <w:color w:val="auto"/>
                <w:spacing w:val="-6"/>
                <w:sz w:val="21"/>
                <w:szCs w:val="21"/>
                <w:highlight w:val="none"/>
              </w:rPr>
            </w:pPr>
            <w:r>
              <w:rPr>
                <w:rFonts w:hint="eastAsia"/>
                <w:color w:val="auto"/>
                <w:spacing w:val="-6"/>
                <w:sz w:val="21"/>
                <w:szCs w:val="21"/>
                <w:highlight w:val="none"/>
              </w:rPr>
              <w:t>2</w:t>
            </w:r>
          </w:p>
        </w:tc>
        <w:tc>
          <w:tcPr>
            <w:tcW w:w="7371" w:type="dxa"/>
            <w:vAlign w:val="center"/>
          </w:tcPr>
          <w:p>
            <w:pPr>
              <w:keepNext w:val="0"/>
              <w:keepLines w:val="0"/>
              <w:suppressLineNumbers w:val="0"/>
              <w:spacing w:before="0" w:beforeAutospacing="0" w:after="0" w:afterAutospacing="0"/>
              <w:ind w:left="0" w:right="0"/>
              <w:rPr>
                <w:rFonts w:hint="eastAsia"/>
                <w:color w:val="auto"/>
                <w:spacing w:val="-6"/>
                <w:sz w:val="21"/>
                <w:szCs w:val="21"/>
                <w:highlight w:val="none"/>
              </w:rPr>
            </w:pPr>
            <w:r>
              <w:rPr>
                <w:rFonts w:hint="eastAsia"/>
                <w:color w:val="auto"/>
                <w:sz w:val="21"/>
                <w:szCs w:val="21"/>
                <w:highlight w:val="none"/>
              </w:rPr>
              <w:t>提供的优惠措施、合理化建议和改进措施的合理性、可行性等，不提供不得分。</w:t>
            </w:r>
          </w:p>
        </w:tc>
      </w:tr>
    </w:tbl>
    <w:p>
      <w:pPr>
        <w:adjustRightInd w:val="0"/>
        <w:snapToGrid w:val="0"/>
        <w:spacing w:line="288" w:lineRule="auto"/>
        <w:jc w:val="left"/>
        <w:rPr>
          <w:b/>
          <w:color w:val="auto"/>
          <w:sz w:val="21"/>
          <w:szCs w:val="21"/>
          <w:highlight w:val="none"/>
        </w:rPr>
      </w:pPr>
      <w:r>
        <w:rPr>
          <w:rFonts w:hint="eastAsia"/>
          <w:b/>
          <w:color w:val="auto"/>
          <w:sz w:val="21"/>
          <w:szCs w:val="21"/>
          <w:highlight w:val="none"/>
        </w:rPr>
        <w:t>说明</w:t>
      </w:r>
      <w:r>
        <w:rPr>
          <w:b/>
          <w:color w:val="auto"/>
          <w:sz w:val="21"/>
          <w:szCs w:val="21"/>
          <w:highlight w:val="none"/>
        </w:rPr>
        <w:t>：</w:t>
      </w:r>
    </w:p>
    <w:p>
      <w:pPr>
        <w:adjustRightInd w:val="0"/>
        <w:snapToGrid w:val="0"/>
        <w:spacing w:line="288" w:lineRule="auto"/>
        <w:jc w:val="left"/>
        <w:rPr>
          <w:rFonts w:cs="Times New Roman"/>
          <w:b/>
          <w:color w:val="auto"/>
          <w:sz w:val="21"/>
          <w:szCs w:val="21"/>
          <w:highlight w:val="none"/>
        </w:rPr>
      </w:pPr>
      <w:r>
        <w:rPr>
          <w:rFonts w:cs="Times New Roman"/>
          <w:b/>
          <w:color w:val="auto"/>
          <w:sz w:val="21"/>
          <w:szCs w:val="21"/>
          <w:highlight w:val="none"/>
        </w:rPr>
        <w:t>1.</w:t>
      </w:r>
      <w:r>
        <w:rPr>
          <w:rFonts w:hint="eastAsia" w:cs="Times New Roman"/>
          <w:b/>
          <w:color w:val="auto"/>
          <w:sz w:val="21"/>
          <w:szCs w:val="21"/>
          <w:highlight w:val="none"/>
        </w:rPr>
        <w:t>根据《政府采购促进中小企业发展管理办法》（财库〔2020〕46号）、《关于进一步加大政府采购支持中小企业力度的通知》（财库〔</w:t>
      </w:r>
      <w:r>
        <w:rPr>
          <w:rFonts w:cs="Times New Roman"/>
          <w:b/>
          <w:color w:val="auto"/>
          <w:sz w:val="21"/>
          <w:szCs w:val="21"/>
          <w:highlight w:val="none"/>
        </w:rPr>
        <w:t>2022〕19号）、</w:t>
      </w:r>
      <w:r>
        <w:rPr>
          <w:rFonts w:hint="eastAsia" w:cs="Times New Roman"/>
          <w:b/>
          <w:color w:val="auto"/>
          <w:sz w:val="21"/>
          <w:szCs w:val="21"/>
          <w:highlight w:val="none"/>
        </w:rPr>
        <w:t>《浙江省财政厅关于进一步加大政府采购支持中小企业力度</w:t>
      </w:r>
      <w:r>
        <w:rPr>
          <w:rFonts w:cs="Times New Roman"/>
          <w:b/>
          <w:color w:val="auto"/>
          <w:sz w:val="21"/>
          <w:szCs w:val="21"/>
          <w:highlight w:val="none"/>
        </w:rPr>
        <w:t xml:space="preserve"> 助力扎实稳住经济的通知》（浙财采监〔2022〕8号）</w:t>
      </w:r>
      <w:r>
        <w:rPr>
          <w:rFonts w:hint="eastAsia" w:cs="Times New Roman"/>
          <w:b/>
          <w:color w:val="auto"/>
          <w:sz w:val="21"/>
          <w:szCs w:val="21"/>
          <w:highlight w:val="none"/>
        </w:rPr>
        <w:t>的规定：</w:t>
      </w:r>
    </w:p>
    <w:p>
      <w:pPr>
        <w:adjustRightInd w:val="0"/>
        <w:snapToGrid w:val="0"/>
        <w:spacing w:line="288" w:lineRule="auto"/>
        <w:jc w:val="left"/>
        <w:rPr>
          <w:rFonts w:cs="Times New Roman"/>
          <w:b/>
          <w:color w:val="auto"/>
          <w:sz w:val="21"/>
          <w:szCs w:val="21"/>
          <w:highlight w:val="none"/>
        </w:rPr>
      </w:pPr>
      <w:r>
        <w:rPr>
          <w:rFonts w:hint="eastAsia" w:cs="Times New Roman"/>
          <w:b/>
          <w:color w:val="auto"/>
          <w:sz w:val="21"/>
          <w:szCs w:val="21"/>
          <w:highlight w:val="none"/>
        </w:rPr>
        <w:t>对符合规定的小微企业报价给予</w:t>
      </w:r>
      <w:r>
        <w:rPr>
          <w:rFonts w:cs="Times New Roman"/>
          <w:b/>
          <w:color w:val="auto"/>
          <w:sz w:val="21"/>
          <w:szCs w:val="21"/>
          <w:highlight w:val="none"/>
        </w:rPr>
        <w:t>20</w:t>
      </w:r>
      <w:r>
        <w:rPr>
          <w:rFonts w:hint="eastAsia" w:cs="Times New Roman"/>
          <w:b/>
          <w:color w:val="auto"/>
          <w:sz w:val="21"/>
          <w:szCs w:val="21"/>
          <w:highlight w:val="none"/>
        </w:rPr>
        <w:t>%的扣除后计算价格得分。</w:t>
      </w:r>
    </w:p>
    <w:p>
      <w:pPr>
        <w:adjustRightInd w:val="0"/>
        <w:snapToGrid w:val="0"/>
        <w:spacing w:line="288" w:lineRule="auto"/>
        <w:ind w:firstLine="396" w:firstLineChars="200"/>
        <w:jc w:val="left"/>
        <w:rPr>
          <w:b/>
          <w:color w:val="auto"/>
          <w:sz w:val="21"/>
          <w:szCs w:val="21"/>
          <w:highlight w:val="none"/>
        </w:rPr>
      </w:pPr>
      <w:r>
        <w:rPr>
          <w:rFonts w:hint="eastAsia" w:cs="Times New Roman"/>
          <w:color w:val="auto"/>
          <w:spacing w:val="-6"/>
          <w:sz w:val="21"/>
          <w:szCs w:val="21"/>
          <w:highlight w:val="none"/>
          <w:u w:val="single"/>
        </w:rPr>
        <w:t>注：对于联合协议或者分包意向协议约定小微企业的合同份额占到合同总金额30%以上的，对联合体或者大中型企业的报价给予</w:t>
      </w:r>
      <w:r>
        <w:rPr>
          <w:rFonts w:cs="Times New Roman"/>
          <w:color w:val="auto"/>
          <w:spacing w:val="-6"/>
          <w:sz w:val="21"/>
          <w:szCs w:val="21"/>
          <w:highlight w:val="none"/>
          <w:u w:val="single"/>
        </w:rPr>
        <w:t>6</w:t>
      </w:r>
      <w:r>
        <w:rPr>
          <w:rFonts w:hint="eastAsia" w:cs="Times New Roman"/>
          <w:color w:val="auto"/>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cs="Times New Roman"/>
          <w:b/>
          <w:bCs/>
          <w:color w:val="auto"/>
          <w:spacing w:val="-6"/>
          <w:sz w:val="21"/>
          <w:szCs w:val="21"/>
          <w:highlight w:val="none"/>
        </w:rPr>
      </w:pPr>
      <w:bookmarkStart w:id="47" w:name="_Hlk81817373"/>
      <w:bookmarkStart w:id="48" w:name="_Hlk81817387"/>
      <w:r>
        <w:rPr>
          <w:rFonts w:hint="eastAsia" w:cs="Times New Roman"/>
          <w:b/>
          <w:bCs/>
          <w:color w:val="auto"/>
          <w:spacing w:val="-6"/>
          <w:sz w:val="21"/>
          <w:szCs w:val="21"/>
          <w:highlight w:val="none"/>
        </w:rPr>
        <w:t>2</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w:t>
      </w:r>
      <w:r>
        <w:rPr>
          <w:rFonts w:cs="Times New Roman"/>
          <w:b/>
          <w:bCs/>
          <w:color w:val="auto"/>
          <w:spacing w:val="-6"/>
          <w:sz w:val="21"/>
          <w:szCs w:val="21"/>
          <w:highlight w:val="none"/>
        </w:rPr>
        <w:t>关于政府采购支持监狱企业发展有关问题的通知</w:t>
      </w:r>
      <w:r>
        <w:rPr>
          <w:rFonts w:hint="eastAsia" w:cs="Times New Roman"/>
          <w:b/>
          <w:bCs/>
          <w:color w:val="auto"/>
          <w:spacing w:val="-6"/>
          <w:sz w:val="21"/>
          <w:szCs w:val="21"/>
          <w:highlight w:val="none"/>
        </w:rPr>
        <w:t>》（</w:t>
      </w:r>
      <w:r>
        <w:rPr>
          <w:rFonts w:cs="Times New Roman"/>
          <w:b/>
          <w:bCs/>
          <w:color w:val="auto"/>
          <w:spacing w:val="-6"/>
          <w:sz w:val="21"/>
          <w:szCs w:val="21"/>
          <w:highlight w:val="none"/>
        </w:rPr>
        <w:t>财库[2014]68号</w:t>
      </w:r>
      <w:r>
        <w:rPr>
          <w:rFonts w:hint="eastAsia" w:cs="Times New Roman"/>
          <w:b/>
          <w:bCs/>
          <w:color w:val="auto"/>
          <w:spacing w:val="-6"/>
          <w:sz w:val="21"/>
          <w:szCs w:val="21"/>
          <w:highlight w:val="none"/>
        </w:rPr>
        <w:t>）的规定，</w:t>
      </w:r>
      <w:r>
        <w:rPr>
          <w:rFonts w:hint="eastAsia"/>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47"/>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3</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根据《关于促进残疾人就业政府采购政策的通知》（财库[2017]141号）的规定，</w:t>
      </w:r>
      <w:r>
        <w:rPr>
          <w:rFonts w:hint="eastAsia"/>
          <w:color w:val="auto"/>
          <w:sz w:val="21"/>
          <w:szCs w:val="21"/>
          <w:highlight w:val="none"/>
        </w:rPr>
        <w:t>符合条件的残疾人福利性单位在参加政府采购活动时，提供财库</w:t>
      </w:r>
      <w:r>
        <w:rPr>
          <w:color w:val="auto"/>
          <w:sz w:val="21"/>
          <w:szCs w:val="21"/>
          <w:highlight w:val="none"/>
        </w:rPr>
        <w:t>[2017]141号</w:t>
      </w:r>
      <w:r>
        <w:rPr>
          <w:rFonts w:hint="eastAsia"/>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color w:val="auto"/>
          <w:spacing w:val="-6"/>
          <w:sz w:val="21"/>
          <w:szCs w:val="21"/>
          <w:highlight w:val="none"/>
        </w:rPr>
        <w:t>残疾人福利性单位属于小型、微型企业的，不重复享受政策。</w:t>
      </w:r>
    </w:p>
    <w:bookmarkEnd w:id="48"/>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pStyle w:val="11"/>
        <w:snapToGrid w:val="0"/>
        <w:spacing w:line="360" w:lineRule="auto"/>
        <w:jc w:val="center"/>
        <w:rPr>
          <w:rFonts w:ascii="仿宋" w:hAnsi="仿宋" w:eastAsia="仿宋"/>
          <w:color w:val="auto"/>
          <w:highlight w:val="none"/>
        </w:rPr>
      </w:pPr>
      <w:r>
        <w:rPr>
          <w:rFonts w:hint="eastAsia" w:ascii="宋体" w:hAnsi="宋体" w:eastAsia="宋体" w:cs="宋体"/>
          <w:color w:val="auto"/>
          <w:sz w:val="32"/>
          <w:szCs w:val="32"/>
          <w:highlight w:val="none"/>
        </w:rPr>
        <w:t>浙江经济职业技术学院采购合同(2022版)</w:t>
      </w:r>
    </w:p>
    <w:p>
      <w:pPr>
        <w:pStyle w:val="11"/>
        <w:snapToGrid w:val="0"/>
        <w:spacing w:line="360" w:lineRule="auto"/>
        <w:jc w:val="center"/>
        <w:rPr>
          <w:rFonts w:ascii="仿宋_GB2312" w:eastAsia="仿宋_GB2312"/>
          <w:color w:val="auto"/>
          <w:highlight w:val="none"/>
        </w:rPr>
      </w:pPr>
    </w:p>
    <w:p>
      <w:pPr>
        <w:pStyle w:val="11"/>
        <w:snapToGrid w:val="0"/>
        <w:spacing w:line="360" w:lineRule="auto"/>
        <w:jc w:val="center"/>
        <w:rPr>
          <w:rFonts w:ascii="仿宋" w:hAnsi="仿宋" w:eastAsia="仿宋"/>
          <w:color w:val="auto"/>
          <w:highlight w:val="none"/>
        </w:rPr>
      </w:pPr>
      <w:r>
        <w:rPr>
          <w:rFonts w:hint="eastAsia" w:ascii="仿宋_GB2312" w:eastAsia="仿宋_GB2312"/>
          <w:color w:val="auto"/>
          <w:highlight w:val="none"/>
        </w:rPr>
        <w:t xml:space="preserve">            </w:t>
      </w:r>
      <w:r>
        <w:rPr>
          <w:rFonts w:hint="eastAsia" w:ascii="仿宋" w:hAnsi="仿宋" w:eastAsia="仿宋"/>
          <w:color w:val="auto"/>
          <w:highlight w:val="none"/>
        </w:rPr>
        <w:t>合同编号：</w:t>
      </w:r>
    </w:p>
    <w:p>
      <w:pPr>
        <w:pStyle w:val="11"/>
        <w:snapToGrid w:val="0"/>
        <w:spacing w:line="360" w:lineRule="auto"/>
        <w:jc w:val="center"/>
        <w:rPr>
          <w:rFonts w:ascii="仿宋" w:hAnsi="仿宋" w:eastAsia="仿宋"/>
          <w:color w:val="auto"/>
          <w:highlight w:val="none"/>
        </w:rPr>
      </w:pPr>
      <w:r>
        <w:rPr>
          <w:rFonts w:hint="eastAsia" w:ascii="仿宋" w:hAnsi="仿宋" w:eastAsia="仿宋"/>
          <w:color w:val="auto"/>
          <w:highlight w:val="none"/>
        </w:rPr>
        <w:t xml:space="preserve">            确认书号：</w:t>
      </w:r>
      <w:r>
        <w:rPr>
          <w:rFonts w:ascii="仿宋" w:hAnsi="仿宋" w:eastAsia="仿宋"/>
          <w:color w:val="auto"/>
          <w:highlight w:val="none"/>
        </w:rPr>
        <w:t xml:space="preserve"> </w:t>
      </w:r>
    </w:p>
    <w:p>
      <w:pPr>
        <w:spacing w:line="520" w:lineRule="exact"/>
        <w:ind w:firstLine="241" w:firstLineChars="100"/>
        <w:rPr>
          <w:rFonts w:ascii="仿宋" w:hAnsi="仿宋" w:eastAsia="仿宋"/>
          <w:color w:val="auto"/>
          <w:highlight w:val="none"/>
        </w:rPr>
      </w:pPr>
      <w:r>
        <w:rPr>
          <w:rFonts w:hint="eastAsia" w:ascii="仿宋" w:hAnsi="仿宋" w:eastAsia="仿宋"/>
          <w:b/>
          <w:bCs/>
          <w:color w:val="auto"/>
          <w:highlight w:val="none"/>
        </w:rPr>
        <w:t>甲方</w:t>
      </w:r>
      <w:r>
        <w:rPr>
          <w:rFonts w:hint="eastAsia" w:ascii="仿宋" w:hAnsi="仿宋" w:eastAsia="仿宋"/>
          <w:color w:val="auto"/>
          <w:highlight w:val="none"/>
        </w:rPr>
        <w:t xml:space="preserve">（采购人）：浙江经济职业技术学院 </w:t>
      </w:r>
    </w:p>
    <w:p>
      <w:pPr>
        <w:spacing w:line="520" w:lineRule="exact"/>
        <w:ind w:firstLine="241" w:firstLineChars="100"/>
        <w:rPr>
          <w:rFonts w:ascii="仿宋" w:hAnsi="仿宋" w:eastAsia="仿宋"/>
          <w:color w:val="auto"/>
          <w:highlight w:val="none"/>
        </w:rPr>
      </w:pPr>
      <w:r>
        <w:rPr>
          <w:rFonts w:hint="eastAsia" w:ascii="仿宋" w:hAnsi="仿宋" w:eastAsia="仿宋"/>
          <w:b/>
          <w:bCs/>
          <w:color w:val="auto"/>
          <w:highlight w:val="none"/>
        </w:rPr>
        <w:t>乙方</w:t>
      </w:r>
      <w:r>
        <w:rPr>
          <w:rFonts w:hint="eastAsia" w:ascii="仿宋" w:hAnsi="仿宋" w:eastAsia="仿宋"/>
          <w:color w:val="auto"/>
          <w:highlight w:val="none"/>
        </w:rPr>
        <w:t xml:space="preserve">（供应商）：                    </w:t>
      </w:r>
    </w:p>
    <w:p>
      <w:pPr>
        <w:spacing w:line="520" w:lineRule="exact"/>
        <w:ind w:firstLine="241" w:firstLineChars="100"/>
        <w:rPr>
          <w:rFonts w:ascii="仿宋" w:hAnsi="仿宋" w:eastAsia="仿宋"/>
          <w:color w:val="auto"/>
          <w:highlight w:val="none"/>
        </w:rPr>
      </w:pPr>
      <w:r>
        <w:rPr>
          <w:rFonts w:hint="eastAsia" w:ascii="仿宋" w:hAnsi="仿宋" w:eastAsia="仿宋"/>
          <w:b/>
          <w:bCs/>
          <w:color w:val="auto"/>
          <w:highlight w:val="none"/>
        </w:rPr>
        <w:t>鉴 证 方:</w:t>
      </w:r>
      <w:r>
        <w:rPr>
          <w:rFonts w:hint="eastAsia" w:ascii="仿宋" w:hAnsi="仿宋" w:eastAsia="仿宋"/>
          <w:color w:val="auto"/>
          <w:highlight w:val="none"/>
        </w:rPr>
        <w:t xml:space="preserve"> </w:t>
      </w:r>
    </w:p>
    <w:p>
      <w:pPr>
        <w:pStyle w:val="11"/>
        <w:adjustRightInd w:val="0"/>
        <w:snapToGrid w:val="0"/>
        <w:spacing w:line="460" w:lineRule="exact"/>
        <w:rPr>
          <w:rFonts w:ascii="仿宋" w:hAnsi="仿宋" w:eastAsia="仿宋"/>
          <w:b/>
          <w:snapToGrid w:val="0"/>
          <w:color w:val="auto"/>
          <w:kern w:val="0"/>
          <w:highlight w:val="none"/>
        </w:rPr>
      </w:pPr>
      <w:r>
        <w:rPr>
          <w:rFonts w:hint="eastAsia" w:ascii="仿宋" w:hAnsi="仿宋" w:eastAsia="仿宋"/>
          <w:snapToGrid w:val="0"/>
          <w:color w:val="auto"/>
          <w:kern w:val="0"/>
          <w:highlight w:val="none"/>
        </w:rPr>
        <w:t>甲、乙双方根据</w:t>
      </w:r>
      <w:r>
        <w:rPr>
          <w:rFonts w:hint="eastAsia" w:ascii="仿宋" w:hAnsi="仿宋" w:eastAsia="仿宋"/>
          <w:snapToGrid w:val="0"/>
          <w:color w:val="auto"/>
          <w:kern w:val="0"/>
          <w:highlight w:val="none"/>
          <w:u w:val="single"/>
        </w:rPr>
        <w:t xml:space="preserve">        </w:t>
      </w:r>
      <w:r>
        <w:rPr>
          <w:rFonts w:hint="eastAsia" w:ascii="仿宋" w:hAnsi="仿宋" w:eastAsia="仿宋"/>
          <w:snapToGrid w:val="0"/>
          <w:color w:val="auto"/>
          <w:kern w:val="0"/>
          <w:highlight w:val="none"/>
        </w:rPr>
        <w:t>关于</w:t>
      </w:r>
      <w:r>
        <w:rPr>
          <w:rFonts w:hint="eastAsia" w:ascii="仿宋" w:hAnsi="仿宋" w:eastAsia="仿宋"/>
          <w:snapToGrid w:val="0"/>
          <w:color w:val="auto"/>
          <w:kern w:val="0"/>
          <w:highlight w:val="none"/>
          <w:u w:val="single"/>
        </w:rPr>
        <w:t xml:space="preserve">        </w:t>
      </w:r>
      <w:r>
        <w:rPr>
          <w:rFonts w:hint="eastAsia" w:ascii="仿宋" w:hAnsi="仿宋" w:eastAsia="仿宋"/>
          <w:color w:val="auto"/>
          <w:highlight w:val="none"/>
        </w:rPr>
        <w:t>项目编号为</w:t>
      </w:r>
      <w:r>
        <w:rPr>
          <w:rFonts w:hint="eastAsia" w:ascii="仿宋" w:hAnsi="仿宋" w:eastAsia="仿宋"/>
          <w:snapToGrid w:val="0"/>
          <w:color w:val="auto"/>
          <w:kern w:val="0"/>
          <w:highlight w:val="none"/>
          <w:u w:val="single"/>
        </w:rPr>
        <w:t xml:space="preserve">           </w:t>
      </w:r>
      <w:r>
        <w:rPr>
          <w:rFonts w:hint="eastAsia" w:ascii="仿宋" w:hAnsi="仿宋" w:eastAsia="仿宋"/>
          <w:color w:val="auto"/>
          <w:highlight w:val="none"/>
        </w:rPr>
        <w:t>的</w:t>
      </w:r>
      <w:r>
        <w:rPr>
          <w:rFonts w:hint="eastAsia" w:ascii="仿宋" w:hAnsi="仿宋" w:eastAsia="仿宋"/>
          <w:snapToGrid w:val="0"/>
          <w:color w:val="auto"/>
          <w:kern w:val="0"/>
          <w:highlight w:val="none"/>
        </w:rPr>
        <w:t>项目招标的结果，签署本合同。</w:t>
      </w:r>
    </w:p>
    <w:p>
      <w:pPr>
        <w:pStyle w:val="11"/>
        <w:adjustRightInd w:val="0"/>
        <w:snapToGrid w:val="0"/>
        <w:spacing w:line="460" w:lineRule="exact"/>
        <w:ind w:firstLine="513" w:firstLineChars="213"/>
        <w:outlineLvl w:val="0"/>
        <w:rPr>
          <w:rFonts w:ascii="仿宋" w:hAnsi="仿宋" w:eastAsia="仿宋"/>
          <w:b/>
          <w:color w:val="auto"/>
          <w:highlight w:val="none"/>
        </w:rPr>
      </w:pPr>
      <w:r>
        <w:rPr>
          <w:rFonts w:hint="eastAsia" w:ascii="仿宋" w:hAnsi="仿宋" w:eastAsia="仿宋"/>
          <w:b/>
          <w:snapToGrid w:val="0"/>
          <w:color w:val="auto"/>
          <w:kern w:val="0"/>
          <w:highlight w:val="none"/>
        </w:rPr>
        <w:t>一、货物(服务）内容</w:t>
      </w:r>
      <w:r>
        <w:rPr>
          <w:rFonts w:hint="eastAsia" w:ascii="仿宋" w:hAnsi="仿宋" w:eastAsia="仿宋"/>
          <w:b/>
          <w:color w:val="auto"/>
          <w:highlight w:val="none"/>
        </w:rPr>
        <w:t>及合同价格</w:t>
      </w:r>
    </w:p>
    <w:p>
      <w:pPr>
        <w:pStyle w:val="11"/>
        <w:adjustRightInd w:val="0"/>
        <w:snapToGrid w:val="0"/>
        <w:spacing w:line="460" w:lineRule="exact"/>
        <w:ind w:right="960" w:firstLine="511" w:firstLineChars="213"/>
        <w:jc w:val="right"/>
        <w:rPr>
          <w:rFonts w:ascii="仿宋" w:hAnsi="仿宋" w:eastAsia="仿宋"/>
          <w:color w:val="auto"/>
          <w:highlight w:val="none"/>
        </w:rPr>
      </w:pPr>
      <w:r>
        <w:rPr>
          <w:rFonts w:hint="eastAsia" w:ascii="仿宋" w:hAnsi="仿宋" w:eastAsia="仿宋"/>
          <w:color w:val="auto"/>
          <w:highlight w:val="none"/>
        </w:rPr>
        <w:t xml:space="preserve">金额单位：元 </w:t>
      </w:r>
    </w:p>
    <w:tbl>
      <w:tblPr>
        <w:tblStyle w:val="18"/>
        <w:tblW w:w="94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412"/>
        <w:gridCol w:w="6"/>
        <w:gridCol w:w="1275"/>
        <w:gridCol w:w="1276"/>
        <w:gridCol w:w="141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23" w:type="dxa"/>
            <w:vAlign w:val="center"/>
          </w:tcPr>
          <w:p>
            <w:pPr>
              <w:pStyle w:val="11"/>
              <w:keepNext w:val="0"/>
              <w:keepLines w:val="0"/>
              <w:suppressLineNumbers w:val="0"/>
              <w:snapToGrid w:val="0"/>
              <w:spacing w:before="0" w:beforeAutospacing="0" w:after="0" w:afterAutospacing="0" w:line="460" w:lineRule="exact"/>
              <w:ind w:left="0" w:right="0"/>
              <w:jc w:val="center"/>
              <w:rPr>
                <w:rFonts w:hint="eastAsia" w:ascii="仿宋" w:hAnsi="仿宋" w:eastAsia="仿宋"/>
                <w:color w:val="auto"/>
                <w:highlight w:val="none"/>
              </w:rPr>
            </w:pPr>
            <w:r>
              <w:rPr>
                <w:rFonts w:hint="eastAsia" w:ascii="仿宋" w:hAnsi="仿宋" w:eastAsia="仿宋"/>
                <w:color w:val="auto"/>
                <w:highlight w:val="none"/>
              </w:rPr>
              <w:t>货物（服务）名称</w:t>
            </w:r>
          </w:p>
        </w:tc>
        <w:tc>
          <w:tcPr>
            <w:tcW w:w="1418" w:type="dxa"/>
            <w:gridSpan w:val="2"/>
            <w:vAlign w:val="center"/>
          </w:tcPr>
          <w:p>
            <w:pPr>
              <w:pStyle w:val="11"/>
              <w:keepNext w:val="0"/>
              <w:keepLines w:val="0"/>
              <w:suppressLineNumbers w:val="0"/>
              <w:snapToGrid w:val="0"/>
              <w:spacing w:before="0" w:beforeAutospacing="0" w:after="0" w:afterAutospacing="0" w:line="460" w:lineRule="exact"/>
              <w:ind w:left="0" w:right="0"/>
              <w:jc w:val="center"/>
              <w:rPr>
                <w:rFonts w:hint="eastAsia" w:ascii="仿宋" w:hAnsi="仿宋" w:eastAsia="仿宋"/>
                <w:color w:val="auto"/>
                <w:highlight w:val="none"/>
              </w:rPr>
            </w:pPr>
            <w:r>
              <w:rPr>
                <w:rFonts w:hint="eastAsia" w:ascii="仿宋" w:hAnsi="仿宋" w:eastAsia="仿宋"/>
                <w:color w:val="auto"/>
                <w:highlight w:val="none"/>
              </w:rPr>
              <w:t>型号规格</w:t>
            </w:r>
          </w:p>
        </w:tc>
        <w:tc>
          <w:tcPr>
            <w:tcW w:w="1275" w:type="dxa"/>
            <w:vAlign w:val="center"/>
          </w:tcPr>
          <w:p>
            <w:pPr>
              <w:pStyle w:val="11"/>
              <w:keepNext w:val="0"/>
              <w:keepLines w:val="0"/>
              <w:suppressLineNumbers w:val="0"/>
              <w:snapToGrid w:val="0"/>
              <w:spacing w:before="0" w:beforeAutospacing="0" w:after="0" w:afterAutospacing="0" w:line="460" w:lineRule="exact"/>
              <w:ind w:left="0" w:right="0"/>
              <w:jc w:val="center"/>
              <w:rPr>
                <w:rFonts w:hint="eastAsia" w:ascii="仿宋" w:hAnsi="仿宋" w:eastAsia="仿宋"/>
                <w:color w:val="auto"/>
                <w:highlight w:val="none"/>
              </w:rPr>
            </w:pPr>
            <w:r>
              <w:rPr>
                <w:rFonts w:hint="eastAsia" w:ascii="仿宋" w:hAnsi="仿宋" w:eastAsia="仿宋"/>
                <w:color w:val="auto"/>
                <w:highlight w:val="none"/>
              </w:rPr>
              <w:t>配置要求</w:t>
            </w:r>
          </w:p>
        </w:tc>
        <w:tc>
          <w:tcPr>
            <w:tcW w:w="1276" w:type="dxa"/>
            <w:vAlign w:val="center"/>
          </w:tcPr>
          <w:p>
            <w:pPr>
              <w:pStyle w:val="11"/>
              <w:keepNext w:val="0"/>
              <w:keepLines w:val="0"/>
              <w:suppressLineNumbers w:val="0"/>
              <w:snapToGrid w:val="0"/>
              <w:spacing w:before="0" w:beforeAutospacing="0" w:after="0" w:afterAutospacing="0" w:line="460" w:lineRule="exact"/>
              <w:ind w:left="-108" w:right="0"/>
              <w:jc w:val="center"/>
              <w:rPr>
                <w:rFonts w:hint="eastAsia" w:ascii="仿宋" w:hAnsi="仿宋" w:eastAsia="仿宋"/>
                <w:color w:val="auto"/>
                <w:highlight w:val="none"/>
              </w:rPr>
            </w:pPr>
            <w:r>
              <w:rPr>
                <w:rFonts w:hint="eastAsia" w:ascii="仿宋" w:hAnsi="仿宋" w:eastAsia="仿宋"/>
                <w:color w:val="auto"/>
                <w:highlight w:val="none"/>
              </w:rPr>
              <w:t>数量</w:t>
            </w:r>
          </w:p>
        </w:tc>
        <w:tc>
          <w:tcPr>
            <w:tcW w:w="1418" w:type="dxa"/>
            <w:vAlign w:val="center"/>
          </w:tcPr>
          <w:p>
            <w:pPr>
              <w:pStyle w:val="11"/>
              <w:keepNext w:val="0"/>
              <w:keepLines w:val="0"/>
              <w:suppressLineNumbers w:val="0"/>
              <w:snapToGrid w:val="0"/>
              <w:spacing w:before="0" w:beforeAutospacing="0" w:after="0" w:afterAutospacing="0" w:line="460" w:lineRule="exact"/>
              <w:ind w:left="-108" w:right="0"/>
              <w:jc w:val="center"/>
              <w:rPr>
                <w:rFonts w:hint="eastAsia" w:ascii="仿宋" w:hAnsi="仿宋" w:eastAsia="仿宋"/>
                <w:color w:val="auto"/>
                <w:highlight w:val="none"/>
              </w:rPr>
            </w:pPr>
            <w:r>
              <w:rPr>
                <w:rFonts w:hint="eastAsia" w:ascii="仿宋" w:hAnsi="仿宋" w:eastAsia="仿宋"/>
                <w:color w:val="auto"/>
                <w:highlight w:val="none"/>
              </w:rPr>
              <w:t>单价</w:t>
            </w:r>
          </w:p>
        </w:tc>
        <w:tc>
          <w:tcPr>
            <w:tcW w:w="2007" w:type="dxa"/>
          </w:tcPr>
          <w:p>
            <w:pPr>
              <w:pStyle w:val="11"/>
              <w:keepNext w:val="0"/>
              <w:keepLines w:val="0"/>
              <w:suppressLineNumbers w:val="0"/>
              <w:snapToGrid w:val="0"/>
              <w:spacing w:before="0" w:beforeAutospacing="0" w:after="0" w:afterAutospacing="0" w:line="460" w:lineRule="exact"/>
              <w:ind w:left="-108" w:right="0"/>
              <w:jc w:val="center"/>
              <w:rPr>
                <w:rFonts w:hint="eastAsia" w:ascii="仿宋" w:hAnsi="仿宋" w:eastAsia="仿宋"/>
                <w:color w:val="auto"/>
                <w:highlight w:val="none"/>
              </w:rPr>
            </w:pPr>
            <w:r>
              <w:rPr>
                <w:rFonts w:hint="eastAsia" w:ascii="仿宋" w:hAnsi="仿宋" w:eastAsia="仿宋"/>
                <w:color w:val="auto"/>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pPr>
              <w:keepNext w:val="0"/>
              <w:keepLines w:val="0"/>
              <w:suppressLineNumbers w:val="0"/>
              <w:spacing w:before="0" w:beforeAutospacing="0" w:after="0" w:afterAutospacing="0" w:line="460" w:lineRule="exact"/>
              <w:ind w:left="0" w:right="0"/>
              <w:jc w:val="center"/>
              <w:rPr>
                <w:rFonts w:hint="eastAsia" w:ascii="仿宋" w:hAnsi="仿宋" w:eastAsia="仿宋"/>
                <w:color w:val="auto"/>
                <w:highlight w:val="none"/>
              </w:rPr>
            </w:pPr>
          </w:p>
        </w:tc>
        <w:tc>
          <w:tcPr>
            <w:tcW w:w="1412" w:type="dxa"/>
            <w:vAlign w:val="center"/>
          </w:tcPr>
          <w:p>
            <w:pPr>
              <w:keepNext w:val="0"/>
              <w:keepLines w:val="0"/>
              <w:suppressLineNumbers w:val="0"/>
              <w:spacing w:before="0" w:beforeAutospacing="0" w:after="0" w:afterAutospacing="0" w:line="460" w:lineRule="exact"/>
              <w:ind w:left="0" w:right="0" w:firstLine="511" w:firstLineChars="213"/>
              <w:jc w:val="center"/>
              <w:rPr>
                <w:rFonts w:hint="eastAsia" w:ascii="仿宋" w:hAnsi="仿宋" w:eastAsia="仿宋"/>
                <w:color w:val="auto"/>
                <w:highlight w:val="none"/>
              </w:rPr>
            </w:pPr>
          </w:p>
        </w:tc>
        <w:tc>
          <w:tcPr>
            <w:tcW w:w="1281" w:type="dxa"/>
            <w:gridSpan w:val="2"/>
            <w:vAlign w:val="center"/>
          </w:tcPr>
          <w:p>
            <w:pPr>
              <w:keepNext w:val="0"/>
              <w:keepLines w:val="0"/>
              <w:suppressLineNumbers w:val="0"/>
              <w:spacing w:before="0" w:beforeAutospacing="0" w:after="0" w:afterAutospacing="0" w:line="460" w:lineRule="exact"/>
              <w:ind w:left="0" w:right="0" w:firstLine="511" w:firstLineChars="213"/>
              <w:jc w:val="center"/>
              <w:rPr>
                <w:rFonts w:hint="eastAsia" w:ascii="仿宋" w:hAnsi="仿宋" w:eastAsia="仿宋"/>
                <w:color w:val="auto"/>
                <w:highlight w:val="none"/>
              </w:rPr>
            </w:pPr>
          </w:p>
        </w:tc>
        <w:tc>
          <w:tcPr>
            <w:tcW w:w="1276" w:type="dxa"/>
            <w:vAlign w:val="center"/>
          </w:tcPr>
          <w:p>
            <w:pPr>
              <w:keepNext w:val="0"/>
              <w:keepLines w:val="0"/>
              <w:suppressLineNumbers w:val="0"/>
              <w:spacing w:before="0" w:beforeAutospacing="0" w:after="0" w:afterAutospacing="0" w:line="460" w:lineRule="exact"/>
              <w:ind w:left="0" w:right="0"/>
              <w:jc w:val="center"/>
              <w:rPr>
                <w:rFonts w:hint="eastAsia" w:ascii="仿宋" w:hAnsi="仿宋" w:eastAsia="仿宋"/>
                <w:color w:val="auto"/>
                <w:highlight w:val="none"/>
              </w:rPr>
            </w:pPr>
          </w:p>
        </w:tc>
        <w:tc>
          <w:tcPr>
            <w:tcW w:w="1418" w:type="dxa"/>
            <w:vAlign w:val="center"/>
          </w:tcPr>
          <w:p>
            <w:pPr>
              <w:pStyle w:val="40"/>
              <w:keepNext w:val="0"/>
              <w:keepLines w:val="0"/>
              <w:suppressLineNumbers w:val="0"/>
              <w:spacing w:before="0" w:beforeAutospacing="0" w:after="120" w:afterAutospacing="0" w:line="460" w:lineRule="exact"/>
              <w:ind w:left="0" w:right="0" w:firstLine="240" w:firstLineChars="100"/>
              <w:jc w:val="both"/>
              <w:rPr>
                <w:rFonts w:hint="eastAsia" w:ascii="仿宋" w:hAnsi="仿宋" w:eastAsia="仿宋"/>
                <w:color w:val="auto"/>
                <w:szCs w:val="24"/>
                <w:highlight w:val="none"/>
              </w:rPr>
            </w:pPr>
          </w:p>
        </w:tc>
        <w:tc>
          <w:tcPr>
            <w:tcW w:w="2007" w:type="dxa"/>
          </w:tcPr>
          <w:p>
            <w:pPr>
              <w:pStyle w:val="40"/>
              <w:keepNext w:val="0"/>
              <w:keepLines w:val="0"/>
              <w:suppressLineNumbers w:val="0"/>
              <w:spacing w:before="0" w:beforeAutospacing="0" w:after="120" w:afterAutospacing="0" w:line="460" w:lineRule="exact"/>
              <w:ind w:left="0" w:right="0" w:firstLine="240" w:firstLineChars="100"/>
              <w:jc w:val="both"/>
              <w:rPr>
                <w:rFonts w:hint="eastAsia" w:ascii="仿宋" w:hAnsi="仿宋" w:eastAsia="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pPr>
              <w:keepNext w:val="0"/>
              <w:keepLines w:val="0"/>
              <w:suppressLineNumbers w:val="0"/>
              <w:spacing w:before="0" w:beforeAutospacing="0" w:after="0" w:afterAutospacing="0" w:line="460" w:lineRule="exact"/>
              <w:ind w:left="0" w:right="0"/>
              <w:jc w:val="center"/>
              <w:rPr>
                <w:rFonts w:hint="eastAsia" w:ascii="仿宋" w:hAnsi="仿宋" w:eastAsia="仿宋"/>
                <w:color w:val="auto"/>
                <w:highlight w:val="none"/>
              </w:rPr>
            </w:pPr>
          </w:p>
        </w:tc>
        <w:tc>
          <w:tcPr>
            <w:tcW w:w="1412" w:type="dxa"/>
            <w:vAlign w:val="center"/>
          </w:tcPr>
          <w:p>
            <w:pPr>
              <w:keepNext w:val="0"/>
              <w:keepLines w:val="0"/>
              <w:suppressLineNumbers w:val="0"/>
              <w:spacing w:before="0" w:beforeAutospacing="0" w:after="0" w:afterAutospacing="0" w:line="460" w:lineRule="exact"/>
              <w:ind w:left="0" w:right="0" w:firstLine="511" w:firstLineChars="213"/>
              <w:jc w:val="center"/>
              <w:rPr>
                <w:rFonts w:hint="eastAsia" w:ascii="仿宋" w:hAnsi="仿宋" w:eastAsia="仿宋"/>
                <w:color w:val="auto"/>
                <w:highlight w:val="none"/>
              </w:rPr>
            </w:pPr>
          </w:p>
        </w:tc>
        <w:tc>
          <w:tcPr>
            <w:tcW w:w="1281" w:type="dxa"/>
            <w:gridSpan w:val="2"/>
            <w:vAlign w:val="center"/>
          </w:tcPr>
          <w:p>
            <w:pPr>
              <w:keepNext w:val="0"/>
              <w:keepLines w:val="0"/>
              <w:suppressLineNumbers w:val="0"/>
              <w:spacing w:before="0" w:beforeAutospacing="0" w:after="0" w:afterAutospacing="0" w:line="460" w:lineRule="exact"/>
              <w:ind w:left="0" w:right="0" w:firstLine="511" w:firstLineChars="213"/>
              <w:jc w:val="center"/>
              <w:rPr>
                <w:rFonts w:hint="eastAsia" w:ascii="仿宋" w:hAnsi="仿宋" w:eastAsia="仿宋"/>
                <w:color w:val="auto"/>
                <w:highlight w:val="none"/>
              </w:rPr>
            </w:pPr>
          </w:p>
        </w:tc>
        <w:tc>
          <w:tcPr>
            <w:tcW w:w="1276" w:type="dxa"/>
            <w:vAlign w:val="center"/>
          </w:tcPr>
          <w:p>
            <w:pPr>
              <w:keepNext w:val="0"/>
              <w:keepLines w:val="0"/>
              <w:suppressLineNumbers w:val="0"/>
              <w:spacing w:before="0" w:beforeAutospacing="0" w:after="0" w:afterAutospacing="0" w:line="460" w:lineRule="exact"/>
              <w:ind w:left="0" w:right="0"/>
              <w:jc w:val="center"/>
              <w:rPr>
                <w:rFonts w:hint="eastAsia" w:ascii="仿宋" w:hAnsi="仿宋" w:eastAsia="仿宋"/>
                <w:color w:val="auto"/>
                <w:highlight w:val="none"/>
              </w:rPr>
            </w:pPr>
          </w:p>
        </w:tc>
        <w:tc>
          <w:tcPr>
            <w:tcW w:w="1418" w:type="dxa"/>
            <w:vAlign w:val="center"/>
          </w:tcPr>
          <w:p>
            <w:pPr>
              <w:pStyle w:val="40"/>
              <w:keepNext w:val="0"/>
              <w:keepLines w:val="0"/>
              <w:suppressLineNumbers w:val="0"/>
              <w:spacing w:before="0" w:beforeAutospacing="0" w:after="120" w:afterAutospacing="0" w:line="460" w:lineRule="exact"/>
              <w:ind w:left="0" w:right="0" w:firstLine="240" w:firstLineChars="100"/>
              <w:jc w:val="both"/>
              <w:rPr>
                <w:rFonts w:hint="eastAsia" w:ascii="仿宋" w:hAnsi="仿宋" w:eastAsia="仿宋"/>
                <w:color w:val="auto"/>
                <w:szCs w:val="24"/>
                <w:highlight w:val="none"/>
              </w:rPr>
            </w:pPr>
          </w:p>
        </w:tc>
        <w:tc>
          <w:tcPr>
            <w:tcW w:w="2007" w:type="dxa"/>
          </w:tcPr>
          <w:p>
            <w:pPr>
              <w:pStyle w:val="40"/>
              <w:keepNext w:val="0"/>
              <w:keepLines w:val="0"/>
              <w:suppressLineNumbers w:val="0"/>
              <w:spacing w:before="0" w:beforeAutospacing="0" w:after="120" w:afterAutospacing="0" w:line="460" w:lineRule="exact"/>
              <w:ind w:left="0" w:right="0" w:firstLine="240" w:firstLineChars="100"/>
              <w:jc w:val="both"/>
              <w:rPr>
                <w:rFonts w:hint="eastAsia" w:ascii="仿宋" w:hAnsi="仿宋" w:eastAsia="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417" w:type="dxa"/>
            <w:gridSpan w:val="7"/>
          </w:tcPr>
          <w:p>
            <w:pPr>
              <w:pStyle w:val="11"/>
              <w:keepNext w:val="0"/>
              <w:keepLines w:val="0"/>
              <w:suppressLineNumbers w:val="0"/>
              <w:snapToGrid w:val="0"/>
              <w:spacing w:before="0" w:beforeAutospacing="0" w:after="0" w:afterAutospacing="0" w:line="460" w:lineRule="exact"/>
              <w:ind w:left="0" w:right="0"/>
              <w:rPr>
                <w:rFonts w:hint="eastAsia" w:ascii="仿宋" w:hAnsi="仿宋" w:eastAsia="仿宋"/>
                <w:color w:val="auto"/>
                <w:highlight w:val="none"/>
              </w:rPr>
            </w:pPr>
            <w:r>
              <w:rPr>
                <w:rFonts w:hint="eastAsia" w:ascii="仿宋" w:hAnsi="仿宋" w:eastAsia="仿宋" w:cs="仿宋"/>
                <w:color w:val="auto"/>
                <w:highlight w:val="none"/>
              </w:rPr>
              <w:t>合同总价大写：                 小写：￥</w:t>
            </w:r>
          </w:p>
        </w:tc>
      </w:tr>
    </w:tbl>
    <w:p>
      <w:pPr>
        <w:pStyle w:val="11"/>
        <w:snapToGrid w:val="0"/>
        <w:spacing w:line="460" w:lineRule="exact"/>
        <w:ind w:left="-204" w:leftChars="-85" w:firstLine="511" w:firstLineChars="213"/>
        <w:rPr>
          <w:rFonts w:ascii="仿宋" w:hAnsi="仿宋" w:eastAsia="仿宋"/>
          <w:b/>
          <w:color w:val="auto"/>
          <w:highlight w:val="none"/>
          <w:u w:val="single"/>
        </w:rPr>
      </w:pPr>
      <w:r>
        <w:rPr>
          <w:rFonts w:hint="eastAsia" w:ascii="仿宋" w:hAnsi="仿宋" w:eastAsia="仿宋"/>
          <w:color w:val="auto"/>
          <w:highlight w:val="none"/>
        </w:rPr>
        <w:t>注：1、商品型号、数量、配置要求及使用单位地址等详见附件清单，附件</w:t>
      </w:r>
      <w:r>
        <w:rPr>
          <w:rFonts w:hint="eastAsia" w:ascii="仿宋" w:hAnsi="仿宋" w:eastAsia="仿宋"/>
          <w:color w:val="auto"/>
          <w:highlight w:val="none"/>
          <w:u w:val="single"/>
        </w:rPr>
        <w:t xml:space="preserve">     </w:t>
      </w:r>
      <w:r>
        <w:rPr>
          <w:rFonts w:hint="eastAsia" w:ascii="仿宋" w:hAnsi="仿宋" w:eastAsia="仿宋"/>
          <w:color w:val="auto"/>
          <w:highlight w:val="none"/>
        </w:rPr>
        <w:t>是本合同的有效组成部分。</w:t>
      </w:r>
    </w:p>
    <w:p>
      <w:pPr>
        <w:autoSpaceDE w:val="0"/>
        <w:autoSpaceDN w:val="0"/>
        <w:adjustRightInd w:val="0"/>
        <w:ind w:firstLine="600" w:firstLineChars="250"/>
        <w:jc w:val="left"/>
        <w:rPr>
          <w:rFonts w:ascii="仿宋" w:hAnsi="仿宋" w:eastAsia="仿宋"/>
          <w:color w:val="auto"/>
          <w:highlight w:val="none"/>
        </w:rPr>
      </w:pPr>
      <w:r>
        <w:rPr>
          <w:rFonts w:hint="eastAsia" w:ascii="仿宋" w:hAnsi="仿宋" w:eastAsia="仿宋"/>
          <w:color w:val="auto"/>
          <w:highlight w:val="none"/>
        </w:rPr>
        <w:t>　2、以上合同总价包含货物（服务）到达甲方用户并能正常使用所需的一切费用，包括但不限于商品购置费、包装费、运输费、装卸费、保险费、检验费、安装调试费、验收费、技术服务费、培训费以及保修费、税费等。</w:t>
      </w:r>
    </w:p>
    <w:p>
      <w:pPr>
        <w:pStyle w:val="11"/>
        <w:adjustRightInd w:val="0"/>
        <w:snapToGrid w:val="0"/>
        <w:spacing w:line="460" w:lineRule="exact"/>
        <w:ind w:firstLine="513" w:firstLineChars="213"/>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二、技术资料</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1、乙方应按招标文件规定的时间向甲方提供使用货物（服务）的有关技术资料。</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adjustRightInd w:val="0"/>
        <w:snapToGrid w:val="0"/>
        <w:spacing w:line="460" w:lineRule="exact"/>
        <w:ind w:firstLine="477" w:firstLineChars="198"/>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三、知识产权</w:t>
      </w:r>
    </w:p>
    <w:p>
      <w:pPr>
        <w:pStyle w:val="11"/>
        <w:adjustRightInd w:val="0"/>
        <w:snapToGrid w:val="0"/>
        <w:spacing w:line="460" w:lineRule="exact"/>
        <w:ind w:firstLine="511" w:firstLineChars="213"/>
        <w:rPr>
          <w:rFonts w:ascii="仿宋" w:hAnsi="仿宋" w:eastAsia="仿宋"/>
          <w:bCs/>
          <w:snapToGrid w:val="0"/>
          <w:color w:val="auto"/>
          <w:kern w:val="0"/>
          <w:highlight w:val="none"/>
        </w:rPr>
      </w:pPr>
      <w:r>
        <w:rPr>
          <w:rFonts w:hint="eastAsia" w:ascii="仿宋" w:hAnsi="仿宋" w:eastAsia="仿宋"/>
          <w:snapToGrid w:val="0"/>
          <w:color w:val="auto"/>
          <w:kern w:val="0"/>
          <w:highlight w:val="none"/>
        </w:rPr>
        <w:t>乙方应保证所提供的货物（服务）或其任何一部分均不会侵犯任何第三方的知识产权</w:t>
      </w:r>
      <w:r>
        <w:rPr>
          <w:rFonts w:hint="eastAsia" w:ascii="仿宋" w:hAnsi="仿宋" w:eastAsia="仿宋"/>
          <w:bCs/>
          <w:snapToGrid w:val="0"/>
          <w:color w:val="auto"/>
          <w:kern w:val="0"/>
          <w:highlight w:val="none"/>
        </w:rPr>
        <w:t>。</w:t>
      </w:r>
    </w:p>
    <w:p>
      <w:pPr>
        <w:pStyle w:val="11"/>
        <w:adjustRightInd w:val="0"/>
        <w:snapToGrid w:val="0"/>
        <w:spacing w:line="460" w:lineRule="exact"/>
        <w:ind w:firstLine="477" w:firstLineChars="198"/>
        <w:outlineLvl w:val="0"/>
        <w:rPr>
          <w:rFonts w:ascii="仿宋" w:hAnsi="仿宋" w:eastAsia="仿宋"/>
          <w:snapToGrid w:val="0"/>
          <w:color w:val="auto"/>
          <w:kern w:val="0"/>
          <w:highlight w:val="none"/>
          <w:u w:val="single"/>
        </w:rPr>
      </w:pPr>
      <w:r>
        <w:rPr>
          <w:rFonts w:hint="eastAsia" w:ascii="仿宋" w:hAnsi="仿宋" w:eastAsia="仿宋"/>
          <w:b/>
          <w:snapToGrid w:val="0"/>
          <w:color w:val="auto"/>
          <w:kern w:val="0"/>
          <w:highlight w:val="none"/>
        </w:rPr>
        <w:t>四、产权担保</w:t>
      </w:r>
    </w:p>
    <w:p>
      <w:pPr>
        <w:pStyle w:val="11"/>
        <w:adjustRightInd w:val="0"/>
        <w:snapToGrid w:val="0"/>
        <w:spacing w:line="460" w:lineRule="exact"/>
        <w:ind w:firstLine="511" w:firstLineChars="213"/>
        <w:rPr>
          <w:rFonts w:ascii="仿宋" w:hAnsi="仿宋" w:eastAsia="仿宋"/>
          <w:snapToGrid w:val="0"/>
          <w:color w:val="auto"/>
          <w:kern w:val="0"/>
          <w:highlight w:val="none"/>
          <w:u w:val="single"/>
        </w:rPr>
      </w:pPr>
      <w:r>
        <w:rPr>
          <w:rFonts w:hint="eastAsia" w:ascii="仿宋" w:hAnsi="仿宋" w:eastAsia="仿宋"/>
          <w:snapToGrid w:val="0"/>
          <w:color w:val="auto"/>
          <w:kern w:val="0"/>
          <w:highlight w:val="none"/>
        </w:rPr>
        <w:t>乙方保证所交付的货物（服务）的所有权完全属于乙方且无任何抵押、查封等产权瑕疵。</w:t>
      </w:r>
    </w:p>
    <w:p>
      <w:pPr>
        <w:pStyle w:val="11"/>
        <w:adjustRightInd w:val="0"/>
        <w:snapToGrid w:val="0"/>
        <w:spacing w:line="460" w:lineRule="exact"/>
        <w:ind w:firstLine="477" w:firstLineChars="198"/>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五、转包或分包</w:t>
      </w:r>
    </w:p>
    <w:p>
      <w:pPr>
        <w:adjustRightInd w:val="0"/>
        <w:snapToGrid w:val="0"/>
        <w:spacing w:before="156" w:beforeLines="50" w:after="156" w:afterLines="50"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本合同范围的货物（服务），应由乙方直接供应，不得转让他人供应，否则，甲方有权解除合同，没收履约保证金并追究乙方的违约责任。</w:t>
      </w:r>
    </w:p>
    <w:p>
      <w:pPr>
        <w:pStyle w:val="11"/>
        <w:adjustRightInd w:val="0"/>
        <w:snapToGrid w:val="0"/>
        <w:spacing w:line="460" w:lineRule="exact"/>
        <w:ind w:firstLine="513" w:firstLineChars="213"/>
        <w:outlineLvl w:val="0"/>
        <w:rPr>
          <w:rFonts w:ascii="仿宋" w:hAnsi="仿宋" w:eastAsia="仿宋"/>
          <w:snapToGrid w:val="0"/>
          <w:color w:val="auto"/>
          <w:kern w:val="0"/>
          <w:highlight w:val="none"/>
        </w:rPr>
      </w:pPr>
      <w:r>
        <w:rPr>
          <w:rFonts w:hint="eastAsia" w:ascii="仿宋" w:hAnsi="仿宋" w:eastAsia="仿宋"/>
          <w:b/>
          <w:snapToGrid w:val="0"/>
          <w:color w:val="auto"/>
          <w:kern w:val="0"/>
          <w:highlight w:val="none"/>
        </w:rPr>
        <w:t>六、质保期和履约保证金</w:t>
      </w:r>
    </w:p>
    <w:p>
      <w:pPr>
        <w:pStyle w:val="11"/>
        <w:adjustRightInd w:val="0"/>
        <w:snapToGrid w:val="0"/>
        <w:spacing w:line="460" w:lineRule="exact"/>
        <w:ind w:firstLine="480" w:firstLineChars="200"/>
        <w:jc w:val="left"/>
        <w:rPr>
          <w:rFonts w:ascii="仿宋" w:hAnsi="仿宋" w:eastAsia="仿宋"/>
          <w:snapToGrid w:val="0"/>
          <w:color w:val="auto"/>
          <w:kern w:val="0"/>
          <w:highlight w:val="none"/>
        </w:rPr>
      </w:pPr>
      <w:r>
        <w:rPr>
          <w:rFonts w:hint="eastAsia" w:ascii="仿宋" w:hAnsi="仿宋" w:eastAsia="仿宋"/>
          <w:snapToGrid w:val="0"/>
          <w:color w:val="auto"/>
          <w:kern w:val="0"/>
          <w:highlight w:val="none"/>
        </w:rPr>
        <w:t>1、质保期</w:t>
      </w:r>
      <w:r>
        <w:rPr>
          <w:rFonts w:hint="eastAsia" w:ascii="仿宋" w:hAnsi="仿宋" w:eastAsia="仿宋"/>
          <w:snapToGrid w:val="0"/>
          <w:color w:val="auto"/>
          <w:kern w:val="0"/>
          <w:highlight w:val="none"/>
          <w:u w:val="single"/>
        </w:rPr>
        <w:t xml:space="preserve">    </w:t>
      </w:r>
      <w:r>
        <w:rPr>
          <w:rFonts w:hint="eastAsia" w:ascii="仿宋" w:hAnsi="仿宋" w:eastAsia="仿宋"/>
          <w:snapToGrid w:val="0"/>
          <w:color w:val="auto"/>
          <w:kern w:val="0"/>
          <w:highlight w:val="none"/>
        </w:rPr>
        <w:t>年。（自交货验收合格之日起计）</w:t>
      </w:r>
    </w:p>
    <w:p>
      <w:pPr>
        <w:pStyle w:val="11"/>
        <w:adjustRightInd w:val="0"/>
        <w:snapToGrid w:val="0"/>
        <w:spacing w:line="460" w:lineRule="exact"/>
        <w:ind w:firstLine="480" w:firstLineChars="200"/>
        <w:rPr>
          <w:rFonts w:ascii="仿宋" w:hAnsi="仿宋" w:eastAsia="仿宋"/>
          <w:snapToGrid w:val="0"/>
          <w:color w:val="auto"/>
          <w:kern w:val="0"/>
          <w:highlight w:val="none"/>
        </w:rPr>
      </w:pPr>
      <w:r>
        <w:rPr>
          <w:rFonts w:hint="eastAsia" w:ascii="仿宋" w:hAnsi="仿宋" w:eastAsia="仿宋"/>
          <w:snapToGrid w:val="0"/>
          <w:color w:val="auto"/>
          <w:kern w:val="0"/>
          <w:highlight w:val="none"/>
        </w:rPr>
        <w:t>2、履约保证金</w:t>
      </w:r>
      <w:r>
        <w:rPr>
          <w:rFonts w:hint="eastAsia" w:ascii="仿宋" w:hAnsi="仿宋" w:eastAsia="仿宋"/>
          <w:snapToGrid w:val="0"/>
          <w:color w:val="auto"/>
          <w:kern w:val="0"/>
          <w:highlight w:val="none"/>
          <w:u w:val="single"/>
        </w:rPr>
        <w:t xml:space="preserve">       </w:t>
      </w:r>
      <w:r>
        <w:rPr>
          <w:rFonts w:hint="eastAsia" w:ascii="仿宋" w:hAnsi="仿宋" w:eastAsia="仿宋"/>
          <w:snapToGrid w:val="0"/>
          <w:color w:val="auto"/>
          <w:kern w:val="0"/>
          <w:highlight w:val="none"/>
        </w:rPr>
        <w:t>元。履约保证金</w:t>
      </w:r>
      <w:r>
        <w:rPr>
          <w:rFonts w:hint="eastAsia" w:ascii="仿宋" w:hAnsi="仿宋" w:eastAsia="仿宋"/>
          <w:color w:val="auto"/>
          <w:highlight w:val="none"/>
        </w:rPr>
        <w:t>自本合同签订之日起5日内</w:t>
      </w:r>
      <w:r>
        <w:rPr>
          <w:rFonts w:hint="eastAsia" w:ascii="仿宋" w:hAnsi="仿宋" w:eastAsia="仿宋"/>
          <w:snapToGrid w:val="0"/>
          <w:color w:val="auto"/>
          <w:kern w:val="0"/>
          <w:highlight w:val="none"/>
        </w:rPr>
        <w:t>交至</w:t>
      </w:r>
      <w:r>
        <w:rPr>
          <w:rFonts w:hint="eastAsia" w:ascii="仿宋" w:hAnsi="仿宋" w:eastAsia="仿宋"/>
          <w:bCs/>
          <w:color w:val="auto"/>
          <w:highlight w:val="none"/>
        </w:rPr>
        <w:t>甲方</w:t>
      </w:r>
      <w:r>
        <w:rPr>
          <w:rFonts w:hint="eastAsia" w:ascii="仿宋" w:hAnsi="仿宋" w:eastAsia="仿宋"/>
          <w:snapToGrid w:val="0"/>
          <w:color w:val="auto"/>
          <w:kern w:val="0"/>
          <w:highlight w:val="none"/>
        </w:rPr>
        <w:t>处，在合同约定交货验收合格之日起5个工作日内无息退还。</w:t>
      </w:r>
    </w:p>
    <w:p>
      <w:pPr>
        <w:pStyle w:val="11"/>
        <w:adjustRightInd w:val="0"/>
        <w:snapToGrid w:val="0"/>
        <w:spacing w:line="460" w:lineRule="exact"/>
        <w:ind w:firstLine="513" w:firstLineChars="213"/>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七、交货期、交货方式及交货地点</w:t>
      </w:r>
    </w:p>
    <w:p>
      <w:pPr>
        <w:pStyle w:val="11"/>
        <w:adjustRightInd w:val="0"/>
        <w:snapToGrid w:val="0"/>
        <w:spacing w:line="460" w:lineRule="exact"/>
        <w:ind w:firstLine="511" w:firstLineChars="213"/>
        <w:rPr>
          <w:rFonts w:ascii="仿宋" w:hAnsi="仿宋" w:eastAsia="仿宋"/>
          <w:bCs/>
          <w:snapToGrid w:val="0"/>
          <w:color w:val="auto"/>
          <w:kern w:val="0"/>
          <w:highlight w:val="none"/>
        </w:rPr>
      </w:pPr>
      <w:r>
        <w:rPr>
          <w:rFonts w:hint="eastAsia" w:ascii="仿宋" w:hAnsi="仿宋" w:eastAsia="仿宋"/>
          <w:bCs/>
          <w:snapToGrid w:val="0"/>
          <w:color w:val="auto"/>
          <w:kern w:val="0"/>
          <w:highlight w:val="none"/>
        </w:rPr>
        <w:t>1、 交货期：签订合同</w:t>
      </w:r>
      <w:r>
        <w:rPr>
          <w:rFonts w:hint="eastAsia" w:ascii="仿宋" w:hAnsi="仿宋" w:eastAsia="仿宋"/>
          <w:snapToGrid w:val="0"/>
          <w:color w:val="auto"/>
          <w:kern w:val="0"/>
          <w:highlight w:val="none"/>
          <w:u w:val="single"/>
        </w:rPr>
        <w:t xml:space="preserve">    </w:t>
      </w:r>
      <w:r>
        <w:rPr>
          <w:rFonts w:hint="eastAsia" w:ascii="仿宋" w:hAnsi="仿宋" w:eastAsia="仿宋"/>
          <w:bCs/>
          <w:snapToGrid w:val="0"/>
          <w:color w:val="auto"/>
          <w:kern w:val="0"/>
          <w:highlight w:val="none"/>
        </w:rPr>
        <w:t>个工作日内</w:t>
      </w:r>
    </w:p>
    <w:p>
      <w:pPr>
        <w:pStyle w:val="11"/>
        <w:adjustRightInd w:val="0"/>
        <w:snapToGrid w:val="0"/>
        <w:spacing w:line="460" w:lineRule="exact"/>
        <w:ind w:firstLine="511" w:firstLineChars="213"/>
        <w:rPr>
          <w:rFonts w:ascii="仿宋" w:hAnsi="仿宋" w:eastAsia="仿宋"/>
          <w:bCs/>
          <w:snapToGrid w:val="0"/>
          <w:color w:val="auto"/>
          <w:kern w:val="0"/>
          <w:highlight w:val="none"/>
        </w:rPr>
      </w:pPr>
      <w:r>
        <w:rPr>
          <w:rFonts w:hint="eastAsia" w:ascii="仿宋" w:hAnsi="仿宋" w:eastAsia="仿宋"/>
          <w:bCs/>
          <w:snapToGrid w:val="0"/>
          <w:color w:val="auto"/>
          <w:kern w:val="0"/>
          <w:highlight w:val="none"/>
        </w:rPr>
        <w:t>2、 交货方式：</w:t>
      </w:r>
      <w:r>
        <w:rPr>
          <w:rFonts w:hint="eastAsia" w:ascii="仿宋" w:hAnsi="仿宋" w:eastAsia="仿宋"/>
          <w:snapToGrid w:val="0"/>
          <w:color w:val="auto"/>
          <w:kern w:val="0"/>
          <w:highlight w:val="none"/>
        </w:rPr>
        <w:t>乙方负责送货上门，并承担相关费用</w:t>
      </w:r>
    </w:p>
    <w:p>
      <w:pPr>
        <w:pStyle w:val="11"/>
        <w:adjustRightInd w:val="0"/>
        <w:snapToGrid w:val="0"/>
        <w:spacing w:line="460" w:lineRule="exact"/>
        <w:ind w:firstLine="511" w:firstLineChars="213"/>
        <w:rPr>
          <w:rFonts w:ascii="仿宋" w:hAnsi="仿宋" w:eastAsia="仿宋"/>
          <w:b/>
          <w:snapToGrid w:val="0"/>
          <w:color w:val="auto"/>
          <w:kern w:val="0"/>
          <w:highlight w:val="none"/>
        </w:rPr>
      </w:pPr>
      <w:r>
        <w:rPr>
          <w:rFonts w:hint="eastAsia" w:ascii="仿宋" w:hAnsi="仿宋" w:eastAsia="仿宋"/>
          <w:bCs/>
          <w:snapToGrid w:val="0"/>
          <w:color w:val="auto"/>
          <w:kern w:val="0"/>
          <w:highlight w:val="none"/>
        </w:rPr>
        <w:t>3、 交货地点：甲方指定地点</w:t>
      </w:r>
    </w:p>
    <w:p>
      <w:pPr>
        <w:pStyle w:val="11"/>
        <w:adjustRightInd w:val="0"/>
        <w:snapToGrid w:val="0"/>
        <w:spacing w:line="460" w:lineRule="exact"/>
        <w:ind w:firstLine="513" w:firstLineChars="213"/>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八、货款支付</w:t>
      </w:r>
    </w:p>
    <w:p>
      <w:pPr>
        <w:pStyle w:val="11"/>
        <w:adjustRightInd w:val="0"/>
        <w:snapToGrid w:val="0"/>
        <w:spacing w:line="460" w:lineRule="exact"/>
        <w:ind w:firstLine="511" w:firstLineChars="213"/>
        <w:rPr>
          <w:rFonts w:ascii="仿宋" w:hAnsi="仿宋" w:eastAsia="仿宋"/>
          <w:bCs/>
          <w:snapToGrid w:val="0"/>
          <w:color w:val="auto"/>
          <w:kern w:val="0"/>
          <w:highlight w:val="none"/>
        </w:rPr>
      </w:pPr>
      <w:r>
        <w:rPr>
          <w:rFonts w:hint="eastAsia" w:ascii="仿宋" w:hAnsi="仿宋" w:eastAsia="仿宋"/>
          <w:bCs/>
          <w:snapToGrid w:val="0"/>
          <w:color w:val="auto"/>
          <w:kern w:val="0"/>
          <w:highlight w:val="none"/>
        </w:rPr>
        <w:t xml:space="preserve"> 付款方式：</w:t>
      </w:r>
    </w:p>
    <w:p>
      <w:pPr>
        <w:pStyle w:val="11"/>
        <w:adjustRightInd w:val="0"/>
        <w:snapToGrid w:val="0"/>
        <w:spacing w:line="460" w:lineRule="exact"/>
        <w:ind w:firstLine="511" w:firstLineChars="213"/>
        <w:rPr>
          <w:rFonts w:ascii="仿宋" w:hAnsi="仿宋" w:eastAsia="仿宋"/>
          <w:bCs/>
          <w:snapToGrid w:val="0"/>
          <w:color w:val="auto"/>
          <w:kern w:val="0"/>
          <w:highlight w:val="none"/>
        </w:rPr>
      </w:pPr>
      <w:r>
        <w:rPr>
          <w:rFonts w:hint="eastAsia" w:ascii="仿宋" w:hAnsi="仿宋" w:eastAsia="仿宋"/>
          <w:bCs/>
          <w:snapToGrid w:val="0"/>
          <w:color w:val="auto"/>
          <w:kern w:val="0"/>
          <w:highlight w:val="none"/>
        </w:rPr>
        <w:t>1、合同签订后5个工作日内，合同总价的（1%）作为履约保证金，验收合格之日起</w:t>
      </w:r>
      <w:r>
        <w:rPr>
          <w:rFonts w:hint="eastAsia" w:ascii="仿宋" w:hAnsi="仿宋" w:eastAsia="仿宋"/>
          <w:snapToGrid w:val="0"/>
          <w:color w:val="auto"/>
          <w:kern w:val="0"/>
          <w:highlight w:val="none"/>
        </w:rPr>
        <w:t>5个工作日内无息退还</w:t>
      </w:r>
      <w:r>
        <w:rPr>
          <w:rFonts w:hint="eastAsia" w:ascii="仿宋" w:hAnsi="仿宋" w:eastAsia="仿宋"/>
          <w:bCs/>
          <w:snapToGrid w:val="0"/>
          <w:color w:val="auto"/>
          <w:kern w:val="0"/>
          <w:highlight w:val="none"/>
        </w:rPr>
        <w:t>；</w:t>
      </w:r>
    </w:p>
    <w:p>
      <w:pPr>
        <w:pStyle w:val="11"/>
        <w:adjustRightInd w:val="0"/>
        <w:snapToGrid w:val="0"/>
        <w:spacing w:line="460" w:lineRule="exact"/>
        <w:ind w:firstLine="511" w:firstLineChars="213"/>
        <w:rPr>
          <w:rFonts w:ascii="仿宋" w:hAnsi="仿宋" w:eastAsia="仿宋"/>
          <w:bCs/>
          <w:snapToGrid w:val="0"/>
          <w:color w:val="auto"/>
          <w:kern w:val="0"/>
          <w:highlight w:val="none"/>
        </w:rPr>
      </w:pPr>
      <w:r>
        <w:rPr>
          <w:rFonts w:hint="eastAsia" w:ascii="仿宋" w:hAnsi="仿宋" w:eastAsia="仿宋"/>
          <w:bCs/>
          <w:snapToGrid w:val="0"/>
          <w:color w:val="auto"/>
          <w:kern w:val="0"/>
          <w:highlight w:val="none"/>
        </w:rPr>
        <w:t>2、□</w:t>
      </w:r>
      <w:r>
        <w:rPr>
          <w:rFonts w:hint="eastAsia" w:ascii="仿宋" w:hAnsi="仿宋" w:eastAsia="仿宋"/>
          <w:snapToGrid w:val="0"/>
          <w:color w:val="auto"/>
          <w:kern w:val="0"/>
          <w:highlight w:val="none"/>
        </w:rPr>
        <w:t>⑴甲方已收到履约保证金，并</w:t>
      </w:r>
      <w:r>
        <w:rPr>
          <w:rFonts w:hint="eastAsia" w:ascii="仿宋" w:hAnsi="仿宋" w:eastAsia="仿宋"/>
          <w:bCs/>
          <w:snapToGrid w:val="0"/>
          <w:color w:val="auto"/>
          <w:kern w:val="0"/>
          <w:highlight w:val="none"/>
        </w:rPr>
        <w:t>货物（服务）到达签收后5个工作日内支付合同总价的</w:t>
      </w:r>
      <w:r>
        <w:rPr>
          <w:rFonts w:hint="eastAsia" w:ascii="仿宋" w:hAnsi="仿宋" w:eastAsia="仿宋"/>
          <w:bCs/>
          <w:snapToGrid w:val="0"/>
          <w:color w:val="auto"/>
          <w:kern w:val="0"/>
          <w:highlight w:val="none"/>
          <w:u w:val="single"/>
        </w:rPr>
        <w:t xml:space="preserve">    %</w:t>
      </w:r>
      <w:r>
        <w:rPr>
          <w:rFonts w:hint="eastAsia" w:ascii="仿宋" w:hAnsi="仿宋" w:eastAsia="仿宋"/>
          <w:bCs/>
          <w:snapToGrid w:val="0"/>
          <w:color w:val="auto"/>
          <w:kern w:val="0"/>
          <w:highlight w:val="none"/>
        </w:rPr>
        <w:t>，安装、调试完成并验收合格后，支付剩余</w:t>
      </w:r>
      <w:r>
        <w:rPr>
          <w:rFonts w:hint="eastAsia" w:ascii="仿宋" w:hAnsi="仿宋" w:eastAsia="仿宋"/>
          <w:bCs/>
          <w:snapToGrid w:val="0"/>
          <w:color w:val="auto"/>
          <w:kern w:val="0"/>
          <w:highlight w:val="none"/>
          <w:u w:val="single"/>
        </w:rPr>
        <w:t xml:space="preserve">   %</w:t>
      </w:r>
      <w:r>
        <w:rPr>
          <w:rFonts w:hint="eastAsia" w:ascii="仿宋" w:hAnsi="仿宋" w:eastAsia="仿宋"/>
          <w:bCs/>
          <w:snapToGrid w:val="0"/>
          <w:color w:val="auto"/>
          <w:kern w:val="0"/>
          <w:highlight w:val="none"/>
        </w:rPr>
        <w:t>；所有款项的支付须在乙方向甲方提供发票并在甲方履行财政相关资金审批手续后方可进行。</w:t>
      </w:r>
    </w:p>
    <w:p>
      <w:pPr>
        <w:pStyle w:val="11"/>
        <w:adjustRightInd w:val="0"/>
        <w:snapToGrid w:val="0"/>
        <w:spacing w:line="460" w:lineRule="exact"/>
        <w:ind w:firstLine="720" w:firstLineChars="300"/>
        <w:rPr>
          <w:rFonts w:ascii="仿宋" w:hAnsi="仿宋" w:eastAsia="仿宋"/>
          <w:bCs/>
          <w:snapToGrid w:val="0"/>
          <w:color w:val="auto"/>
          <w:kern w:val="0"/>
          <w:highlight w:val="none"/>
        </w:rPr>
      </w:pPr>
      <w:r>
        <w:rPr>
          <w:rFonts w:hint="eastAsia" w:ascii="仿宋" w:hAnsi="仿宋" w:eastAsia="仿宋"/>
          <w:snapToGrid w:val="0"/>
          <w:color w:val="auto"/>
          <w:kern w:val="0"/>
          <w:highlight w:val="none"/>
        </w:rPr>
        <w:t>□⑵甲方已收到履约保证金，并</w:t>
      </w:r>
      <w:r>
        <w:rPr>
          <w:rFonts w:hint="eastAsia" w:ascii="仿宋" w:hAnsi="仿宋" w:eastAsia="仿宋"/>
          <w:bCs/>
          <w:snapToGrid w:val="0"/>
          <w:color w:val="auto"/>
          <w:kern w:val="0"/>
          <w:highlight w:val="none"/>
        </w:rPr>
        <w:t>货物（服务期满）到达签收、安装、调试完成并验收合格后，全款支付；所有款项的支付须在乙方向甲方提供发票并在甲方履行财政相关资金审批手续后方可进行。</w:t>
      </w:r>
    </w:p>
    <w:p>
      <w:pPr>
        <w:adjustRightInd w:val="0"/>
        <w:snapToGrid w:val="0"/>
        <w:spacing w:before="156" w:beforeLines="50" w:after="156" w:afterLines="50" w:line="460" w:lineRule="exact"/>
        <w:ind w:firstLine="513" w:firstLineChars="213"/>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九、税费</w:t>
      </w:r>
    </w:p>
    <w:p>
      <w:pPr>
        <w:adjustRightInd w:val="0"/>
        <w:snapToGrid w:val="0"/>
        <w:spacing w:before="156" w:beforeLines="50" w:after="156" w:afterLines="50"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本合同执行中相关的一切税费均由乙方负担。</w:t>
      </w:r>
    </w:p>
    <w:p>
      <w:pPr>
        <w:pStyle w:val="11"/>
        <w:adjustRightInd w:val="0"/>
        <w:snapToGrid w:val="0"/>
        <w:spacing w:line="460" w:lineRule="exact"/>
        <w:ind w:firstLine="477" w:firstLineChars="198"/>
        <w:outlineLvl w:val="0"/>
        <w:rPr>
          <w:rFonts w:ascii="仿宋" w:hAnsi="仿宋" w:eastAsia="仿宋"/>
          <w:snapToGrid w:val="0"/>
          <w:color w:val="auto"/>
          <w:kern w:val="0"/>
          <w:highlight w:val="none"/>
        </w:rPr>
      </w:pPr>
      <w:r>
        <w:rPr>
          <w:rFonts w:hint="eastAsia" w:ascii="仿宋" w:hAnsi="仿宋" w:eastAsia="仿宋"/>
          <w:b/>
          <w:snapToGrid w:val="0"/>
          <w:color w:val="auto"/>
          <w:kern w:val="0"/>
          <w:highlight w:val="none"/>
        </w:rPr>
        <w:t>十、质量保证及售后服务</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2、 乙方提供的货物（服务）在质保期内因本身的质量问题发生故障，乙方应负责免费更换。对达不到技术要求者，根据实际情况，经双方协商，可按以下办法处理：</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⑴更换：由乙方承担所发生的全部费用。</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⑵贬值处理：由甲乙双方合议定价。</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⑶退货处理：乙方应退还甲方支付的合同款，同时应承担该货物的直接费用（运输、保险、检验、货款利息及银行手续费等）。</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3、 在质保期内，乙方应对货物（服务）出现的质量及安全问题负责处理解决并承担一切费用。</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4、上述的货物（服务）在质保期内免费保修，因人为因素出现的故障不在免费保修范围内。超过保修期的机器设备，终生维修，维修时只收部件成本费。</w:t>
      </w:r>
    </w:p>
    <w:p>
      <w:pPr>
        <w:pStyle w:val="11"/>
        <w:adjustRightInd w:val="0"/>
        <w:snapToGrid w:val="0"/>
        <w:spacing w:line="460" w:lineRule="exact"/>
        <w:ind w:firstLine="513" w:firstLineChars="213"/>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十一、调试和验收</w:t>
      </w:r>
    </w:p>
    <w:p>
      <w:pPr>
        <w:pStyle w:val="11"/>
        <w:adjustRightInd w:val="0"/>
        <w:snapToGrid w:val="0"/>
        <w:spacing w:line="460" w:lineRule="exact"/>
        <w:ind w:firstLine="511" w:firstLineChars="213"/>
        <w:jc w:val="left"/>
        <w:rPr>
          <w:rFonts w:ascii="仿宋" w:hAnsi="仿宋" w:eastAsia="仿宋"/>
          <w:snapToGrid w:val="0"/>
          <w:color w:val="auto"/>
          <w:kern w:val="0"/>
          <w:highlight w:val="none"/>
        </w:rPr>
      </w:pPr>
      <w:r>
        <w:rPr>
          <w:rFonts w:hint="eastAsia" w:ascii="仿宋" w:hAnsi="仿宋" w:eastAsia="仿宋"/>
          <w:snapToGrid w:val="0"/>
          <w:color w:val="auto"/>
          <w:kern w:val="0"/>
          <w:highlight w:val="none"/>
        </w:rPr>
        <w:t>1、 甲方对乙方提交的货物（服务）依据招标文件上的技术规格要求和国家有关质量标准进行现场验收。货物到达（服务期满）后，甲方需在五个工作日内验收。</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2、 乙方交割前应对产品作出全面检查和对验收文件进行整理，并列出清单，作为甲方收货验收和使用的技术条件依据，检验的结果应随货物交甲方。</w:t>
      </w:r>
    </w:p>
    <w:p>
      <w:pPr>
        <w:pStyle w:val="11"/>
        <w:adjustRightInd w:val="0"/>
        <w:snapToGrid w:val="0"/>
        <w:spacing w:line="460" w:lineRule="exact"/>
        <w:ind w:firstLine="511" w:firstLineChars="213"/>
        <w:rPr>
          <w:rFonts w:ascii="仿宋" w:hAnsi="仿宋" w:eastAsia="仿宋"/>
          <w:snapToGrid w:val="0"/>
          <w:color w:val="auto"/>
          <w:kern w:val="0"/>
          <w:highlight w:val="none"/>
          <w:u w:val="single"/>
        </w:rPr>
      </w:pPr>
      <w:r>
        <w:rPr>
          <w:rFonts w:hint="eastAsia" w:ascii="仿宋" w:hAnsi="仿宋" w:eastAsia="仿宋"/>
          <w:snapToGrid w:val="0"/>
          <w:color w:val="auto"/>
          <w:kern w:val="0"/>
          <w:highlight w:val="none"/>
        </w:rPr>
        <w:t>3、 甲方对乙方提供的货物（服务）在使用前进行调试时，乙方需负责安装并培训甲方的使用操作人员，并协助甲方一起调试，直到符合技术要求，甲方才做最终验收。</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4、 对技术复杂的货物(服务)，甲方应请国家认可的专业检测机构参与验收，并由其出具质量检测报告。</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5、 验收时乙方在现场，验收完毕后作出验收结果报告；验收费用由乙方负责。</w:t>
      </w:r>
    </w:p>
    <w:p>
      <w:pPr>
        <w:pStyle w:val="11"/>
        <w:adjustRightInd w:val="0"/>
        <w:snapToGrid w:val="0"/>
        <w:spacing w:line="460" w:lineRule="exact"/>
        <w:ind w:firstLine="513" w:firstLineChars="213"/>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十二、货物包装</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1、 乙方应在货物发运前对其进行满足运输距离、防潮、防震、防锈和防破损装卸等要求包装，以保证货物安全运达甲方指定地点。</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2、 使用说明书、质量检验证明书、随配附件和工具以及清单一并附于货物内。</w:t>
      </w:r>
    </w:p>
    <w:p>
      <w:pPr>
        <w:pStyle w:val="11"/>
        <w:adjustRightInd w:val="0"/>
        <w:snapToGrid w:val="0"/>
        <w:spacing w:line="460" w:lineRule="exact"/>
        <w:ind w:firstLine="513" w:firstLineChars="213"/>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十三、违约责任</w:t>
      </w:r>
    </w:p>
    <w:p>
      <w:pPr>
        <w:pStyle w:val="11"/>
        <w:adjustRightInd w:val="0"/>
        <w:snapToGrid w:val="0"/>
        <w:spacing w:line="460" w:lineRule="exact"/>
        <w:ind w:left="1"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1、 甲方无正当理由拒收货物（服务）的，甲方向乙方偿付拒收货款总值的百分之五的违约金。</w:t>
      </w:r>
    </w:p>
    <w:p>
      <w:pPr>
        <w:pStyle w:val="11"/>
        <w:adjustRightInd w:val="0"/>
        <w:snapToGrid w:val="0"/>
        <w:spacing w:line="460" w:lineRule="exact"/>
        <w:ind w:left="1"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2、 甲方无故逾期验收和办理货款支付手续的,甲方应按逾期付款总额每日万分之五向乙方支付违约金。</w:t>
      </w:r>
    </w:p>
    <w:p>
      <w:pPr>
        <w:pStyle w:val="11"/>
        <w:adjustRightInd w:val="0"/>
        <w:snapToGrid w:val="0"/>
        <w:spacing w:line="460" w:lineRule="exact"/>
        <w:ind w:left="1"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 xml:space="preserve">3、 乙方逾期交付货物（服务）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1"/>
        <w:adjustRightInd w:val="0"/>
        <w:snapToGrid w:val="0"/>
        <w:spacing w:line="460" w:lineRule="exact"/>
        <w:ind w:left="1"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4、 乙方所交的货物（服务）品种、型号、规格、技术参数、质量不符合合同规定及招标文件规定标准的，甲方有权拒收该货物（服务），乙方愿意更换货物（服务）但逾期交货的，按乙方逾期交货处理。乙方拒绝更换货物（服务）的，甲方可单方面解除合同。</w:t>
      </w:r>
    </w:p>
    <w:p>
      <w:pPr>
        <w:pStyle w:val="11"/>
        <w:adjustRightInd w:val="0"/>
        <w:snapToGrid w:val="0"/>
        <w:spacing w:line="460" w:lineRule="exact"/>
        <w:ind w:firstLine="513" w:firstLineChars="213"/>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十四、不可抗力事件处理</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1、 在合同有效期内，任何一方因不可抗力事件导致不能履行合同，则合同履行期可延长，其延长期与不可抗力影响期相同。</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2、 不可抗力事件发生后，应立即通知对方，并寄送有关权威机构出具的证明。</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3、 不可抗力事件延续120天以上，双方应通过友好协商，确定是否继续履行合同。</w:t>
      </w:r>
    </w:p>
    <w:p>
      <w:pPr>
        <w:pStyle w:val="11"/>
        <w:adjustRightInd w:val="0"/>
        <w:snapToGrid w:val="0"/>
        <w:spacing w:line="460" w:lineRule="exact"/>
        <w:ind w:firstLine="513" w:firstLineChars="213"/>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十五、诉讼</w:t>
      </w:r>
    </w:p>
    <w:p>
      <w:pPr>
        <w:pStyle w:val="11"/>
        <w:adjustRightInd w:val="0"/>
        <w:snapToGrid w:val="0"/>
        <w:spacing w:line="460" w:lineRule="exact"/>
        <w:ind w:left="2"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双方在执行合同中所发生的一切争议，应通过协商解决。如协商不成，可向甲方所在地法院起诉。</w:t>
      </w:r>
    </w:p>
    <w:p>
      <w:pPr>
        <w:pStyle w:val="11"/>
        <w:adjustRightInd w:val="0"/>
        <w:snapToGrid w:val="0"/>
        <w:spacing w:line="460" w:lineRule="exact"/>
        <w:ind w:firstLine="513" w:firstLineChars="213"/>
        <w:outlineLvl w:val="0"/>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十六、合同生效及其它</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1、 合同经甲、乙、鉴证方三方签名并加盖单位公章后生效。</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2、合同执行中涉及采购资金和采购内容修改或补充的，须签订书面补充协议，并经报政府采购监督管理部门备案后，方可作为主合同不可分割的一部分。</w:t>
      </w:r>
    </w:p>
    <w:p>
      <w:pPr>
        <w:pStyle w:val="11"/>
        <w:adjustRightInd w:val="0"/>
        <w:snapToGrid w:val="0"/>
        <w:spacing w:line="460" w:lineRule="exact"/>
        <w:ind w:firstLine="511" w:firstLineChars="213"/>
        <w:rPr>
          <w:rFonts w:ascii="仿宋" w:hAnsi="仿宋" w:eastAsia="仿宋"/>
          <w:snapToGrid w:val="0"/>
          <w:color w:val="auto"/>
          <w:kern w:val="0"/>
          <w:highlight w:val="none"/>
        </w:rPr>
      </w:pPr>
      <w:r>
        <w:rPr>
          <w:rFonts w:hint="eastAsia" w:ascii="仿宋" w:hAnsi="仿宋" w:eastAsia="仿宋"/>
          <w:snapToGrid w:val="0"/>
          <w:color w:val="auto"/>
          <w:kern w:val="0"/>
          <w:highlight w:val="none"/>
        </w:rPr>
        <w:t>3、招标文件、投标文件与本合同具有同等法律效力。</w:t>
      </w:r>
    </w:p>
    <w:p>
      <w:pPr>
        <w:pStyle w:val="11"/>
        <w:adjustRightInd w:val="0"/>
        <w:snapToGrid w:val="0"/>
        <w:spacing w:line="460" w:lineRule="exact"/>
        <w:ind w:firstLine="480" w:firstLineChars="200"/>
        <w:rPr>
          <w:rFonts w:ascii="仿宋" w:hAnsi="仿宋" w:eastAsia="仿宋"/>
          <w:snapToGrid w:val="0"/>
          <w:color w:val="auto"/>
          <w:kern w:val="0"/>
          <w:highlight w:val="none"/>
        </w:rPr>
      </w:pPr>
      <w:r>
        <w:rPr>
          <w:rFonts w:hint="eastAsia" w:ascii="仿宋" w:hAnsi="仿宋" w:eastAsia="仿宋"/>
          <w:snapToGrid w:val="0"/>
          <w:color w:val="auto"/>
          <w:kern w:val="0"/>
          <w:highlight w:val="none"/>
        </w:rPr>
        <w:t>4、本合同未尽事宜，遵照《中华人民共和国民法典》有关条文执行。</w:t>
      </w:r>
    </w:p>
    <w:p>
      <w:pPr>
        <w:pStyle w:val="11"/>
        <w:adjustRightInd w:val="0"/>
        <w:snapToGrid w:val="0"/>
        <w:spacing w:line="460" w:lineRule="exact"/>
        <w:ind w:left="2" w:leftChars="1" w:firstLine="480" w:firstLineChars="200"/>
        <w:rPr>
          <w:rFonts w:ascii="仿宋" w:hAnsi="仿宋" w:eastAsia="仿宋"/>
          <w:snapToGrid w:val="0"/>
          <w:color w:val="auto"/>
          <w:kern w:val="0"/>
          <w:highlight w:val="none"/>
        </w:rPr>
      </w:pPr>
      <w:r>
        <w:rPr>
          <w:rFonts w:hint="eastAsia" w:ascii="仿宋" w:hAnsi="仿宋" w:eastAsia="仿宋"/>
          <w:snapToGrid w:val="0"/>
          <w:color w:val="auto"/>
          <w:kern w:val="0"/>
          <w:highlight w:val="none"/>
        </w:rPr>
        <w:t>5、本合同一式六份，具有同等法律效力，甲方三份、乙方二份、鉴证方一份。</w:t>
      </w:r>
    </w:p>
    <w:p>
      <w:pPr>
        <w:pStyle w:val="11"/>
        <w:adjustRightInd w:val="0"/>
        <w:snapToGrid w:val="0"/>
        <w:spacing w:line="460" w:lineRule="exact"/>
        <w:rPr>
          <w:rFonts w:ascii="仿宋" w:hAnsi="仿宋" w:eastAsia="仿宋"/>
          <w:snapToGrid w:val="0"/>
          <w:color w:val="auto"/>
          <w:kern w:val="0"/>
          <w:highlight w:val="none"/>
        </w:rPr>
      </w:pPr>
      <w:r>
        <w:rPr>
          <w:rFonts w:hint="eastAsia" w:ascii="仿宋" w:hAnsi="仿宋" w:eastAsia="仿宋"/>
          <w:snapToGrid w:val="0"/>
          <w:color w:val="auto"/>
          <w:kern w:val="0"/>
          <w:highlight w:val="none"/>
        </w:rPr>
        <w:br w:type="page"/>
      </w:r>
    </w:p>
    <w:p>
      <w:pPr>
        <w:pStyle w:val="11"/>
        <w:adjustRightInd w:val="0"/>
        <w:snapToGrid w:val="0"/>
        <w:spacing w:line="460" w:lineRule="exact"/>
        <w:rPr>
          <w:rFonts w:ascii="仿宋" w:hAnsi="仿宋" w:eastAsia="仿宋"/>
          <w:snapToGrid w:val="0"/>
          <w:color w:val="auto"/>
          <w:kern w:val="0"/>
          <w:highlight w:val="none"/>
        </w:rPr>
      </w:pPr>
      <w:r>
        <w:rPr>
          <w:rFonts w:ascii="仿宋" w:hAnsi="仿宋" w:eastAsia="仿宋"/>
          <w:b/>
          <w:snapToGrid w:val="0"/>
          <w:color w:val="auto"/>
          <w:kern w:val="0"/>
          <w:highlight w:val="none"/>
        </w:rPr>
        <w:t>此页无正文</w:t>
      </w:r>
      <w:r>
        <w:rPr>
          <w:rFonts w:hint="eastAsia" w:ascii="仿宋" w:hAnsi="仿宋" w:eastAsia="仿宋"/>
          <w:b/>
          <w:snapToGrid w:val="0"/>
          <w:color w:val="auto"/>
          <w:kern w:val="0"/>
          <w:highlight w:val="none"/>
        </w:rPr>
        <w:t>，</w:t>
      </w:r>
      <w:r>
        <w:rPr>
          <w:rFonts w:ascii="仿宋" w:hAnsi="仿宋" w:eastAsia="仿宋"/>
          <w:b/>
          <w:snapToGrid w:val="0"/>
          <w:color w:val="auto"/>
          <w:kern w:val="0"/>
          <w:highlight w:val="none"/>
        </w:rPr>
        <w:t>为</w:t>
      </w:r>
      <w:r>
        <w:rPr>
          <w:rFonts w:hint="eastAsia" w:ascii="仿宋" w:hAnsi="仿宋" w:eastAsia="仿宋"/>
          <w:b/>
          <w:snapToGrid w:val="0"/>
          <w:color w:val="auto"/>
          <w:kern w:val="0"/>
          <w:highlight w:val="none"/>
        </w:rPr>
        <w:t>《</w:t>
      </w:r>
      <w:r>
        <w:rPr>
          <w:rFonts w:hint="eastAsia" w:ascii="仿宋" w:hAnsi="仿宋" w:eastAsia="仿宋"/>
          <w:b/>
          <w:color w:val="auto"/>
          <w:highlight w:val="none"/>
        </w:rPr>
        <w:t>浙江经济职业技术学院采购合同</w:t>
      </w:r>
      <w:r>
        <w:rPr>
          <w:rFonts w:hint="eastAsia" w:ascii="仿宋" w:hAnsi="仿宋" w:eastAsia="仿宋"/>
          <w:b/>
          <w:snapToGrid w:val="0"/>
          <w:color w:val="auto"/>
          <w:kern w:val="0"/>
          <w:highlight w:val="none"/>
        </w:rPr>
        <w:t>》的签署页。</w:t>
      </w:r>
    </w:p>
    <w:p>
      <w:pPr>
        <w:pStyle w:val="11"/>
        <w:adjustRightInd w:val="0"/>
        <w:snapToGrid w:val="0"/>
        <w:spacing w:line="360" w:lineRule="auto"/>
        <w:ind w:left="2" w:leftChars="1" w:firstLine="480" w:firstLineChars="200"/>
        <w:rPr>
          <w:rFonts w:ascii="仿宋" w:hAnsi="仿宋" w:eastAsia="仿宋"/>
          <w:snapToGrid w:val="0"/>
          <w:color w:val="auto"/>
          <w:kern w:val="0"/>
          <w:highlight w:val="none"/>
        </w:rPr>
      </w:pPr>
    </w:p>
    <w:p>
      <w:pPr>
        <w:spacing w:line="360" w:lineRule="auto"/>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甲方（盖章）：</w:t>
      </w:r>
      <w:r>
        <w:rPr>
          <w:rFonts w:hint="eastAsia" w:ascii="仿宋" w:hAnsi="仿宋" w:eastAsia="仿宋"/>
          <w:b/>
          <w:color w:val="auto"/>
          <w:highlight w:val="none"/>
        </w:rPr>
        <w:t>浙江经济职业技术学院</w:t>
      </w:r>
      <w:r>
        <w:rPr>
          <w:rFonts w:hint="eastAsia" w:ascii="仿宋" w:hAnsi="仿宋" w:eastAsia="仿宋"/>
          <w:b/>
          <w:snapToGrid w:val="0"/>
          <w:color w:val="auto"/>
          <w:kern w:val="0"/>
          <w:highlight w:val="none"/>
        </w:rPr>
        <w:t xml:space="preserve">        </w:t>
      </w:r>
    </w:p>
    <w:p>
      <w:pPr>
        <w:spacing w:line="360" w:lineRule="auto"/>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 xml:space="preserve">统一社会信用代码： </w:t>
      </w:r>
      <w:r>
        <w:rPr>
          <w:rFonts w:ascii="仿宋" w:hAnsi="仿宋" w:eastAsia="仿宋"/>
          <w:b/>
          <w:snapToGrid w:val="0"/>
          <w:color w:val="auto"/>
          <w:kern w:val="0"/>
          <w:highlight w:val="none"/>
        </w:rPr>
        <w:t>123300004700552172</w:t>
      </w:r>
    </w:p>
    <w:p>
      <w:pPr>
        <w:spacing w:line="360" w:lineRule="auto"/>
        <w:rPr>
          <w:rFonts w:ascii="仿宋" w:hAnsi="仿宋" w:eastAsia="仿宋"/>
          <w:snapToGrid w:val="0"/>
          <w:color w:val="auto"/>
          <w:kern w:val="0"/>
          <w:highlight w:val="none"/>
        </w:rPr>
      </w:pPr>
      <w:r>
        <w:rPr>
          <w:rFonts w:hint="eastAsia" w:ascii="仿宋" w:hAnsi="仿宋" w:eastAsia="仿宋"/>
          <w:snapToGrid w:val="0"/>
          <w:color w:val="auto"/>
          <w:kern w:val="0"/>
          <w:highlight w:val="none"/>
        </w:rPr>
        <w:t>地址：</w:t>
      </w:r>
      <w:r>
        <w:rPr>
          <w:rFonts w:hint="eastAsia" w:ascii="仿宋" w:hAnsi="仿宋" w:eastAsia="仿宋"/>
          <w:color w:val="auto"/>
          <w:highlight w:val="none"/>
        </w:rPr>
        <w:t>杭州钱塘区学正街66号</w:t>
      </w:r>
      <w:r>
        <w:rPr>
          <w:rFonts w:hint="eastAsia" w:ascii="仿宋" w:hAnsi="仿宋" w:eastAsia="仿宋"/>
          <w:snapToGrid w:val="0"/>
          <w:color w:val="auto"/>
          <w:kern w:val="0"/>
          <w:highlight w:val="none"/>
        </w:rPr>
        <w:t xml:space="preserve">          </w:t>
      </w:r>
    </w:p>
    <w:p>
      <w:pPr>
        <w:spacing w:line="360" w:lineRule="auto"/>
        <w:rPr>
          <w:rFonts w:ascii="仿宋" w:hAnsi="仿宋" w:eastAsia="仿宋"/>
          <w:color w:val="auto"/>
          <w:highlight w:val="none"/>
        </w:rPr>
      </w:pPr>
      <w:r>
        <w:rPr>
          <w:rFonts w:hint="eastAsia" w:ascii="仿宋" w:hAnsi="仿宋" w:eastAsia="仿宋"/>
          <w:color w:val="auto"/>
          <w:highlight w:val="none"/>
        </w:rPr>
        <w:t>开户行：中国银行杭州钱塘区支行</w:t>
      </w:r>
    </w:p>
    <w:p>
      <w:pPr>
        <w:spacing w:line="360" w:lineRule="auto"/>
        <w:rPr>
          <w:rFonts w:ascii="仿宋" w:hAnsi="仿宋" w:eastAsia="仿宋"/>
          <w:snapToGrid w:val="0"/>
          <w:color w:val="auto"/>
          <w:kern w:val="0"/>
          <w:highlight w:val="none"/>
        </w:rPr>
      </w:pPr>
      <w:r>
        <w:rPr>
          <w:rFonts w:hint="eastAsia" w:ascii="仿宋" w:hAnsi="仿宋" w:eastAsia="仿宋"/>
          <w:color w:val="auto"/>
          <w:highlight w:val="none"/>
        </w:rPr>
        <w:t>帐号：354558326973</w:t>
      </w:r>
      <w:r>
        <w:rPr>
          <w:rFonts w:hint="eastAsia" w:ascii="仿宋" w:hAnsi="仿宋" w:eastAsia="仿宋"/>
          <w:snapToGrid w:val="0"/>
          <w:color w:val="auto"/>
          <w:kern w:val="0"/>
          <w:highlight w:val="none"/>
        </w:rPr>
        <w:t xml:space="preserve"> </w:t>
      </w:r>
    </w:p>
    <w:p>
      <w:pPr>
        <w:spacing w:line="360" w:lineRule="auto"/>
        <w:rPr>
          <w:rFonts w:ascii="仿宋" w:hAnsi="仿宋" w:eastAsia="仿宋"/>
          <w:snapToGrid w:val="0"/>
          <w:color w:val="auto"/>
          <w:kern w:val="0"/>
          <w:highlight w:val="none"/>
        </w:rPr>
      </w:pPr>
      <w:r>
        <w:rPr>
          <w:rFonts w:hint="eastAsia" w:ascii="仿宋" w:hAnsi="仿宋" w:eastAsia="仿宋"/>
          <w:snapToGrid w:val="0"/>
          <w:color w:val="auto"/>
          <w:kern w:val="0"/>
          <w:highlight w:val="none"/>
        </w:rPr>
        <w:t>法定（授权）代表人：</w:t>
      </w:r>
    </w:p>
    <w:p>
      <w:pPr>
        <w:spacing w:line="360" w:lineRule="auto"/>
        <w:rPr>
          <w:rFonts w:ascii="仿宋" w:hAnsi="仿宋" w:eastAsia="仿宋"/>
          <w:snapToGrid w:val="0"/>
          <w:color w:val="auto"/>
          <w:kern w:val="0"/>
          <w:highlight w:val="none"/>
        </w:rPr>
      </w:pPr>
    </w:p>
    <w:p>
      <w:pPr>
        <w:spacing w:line="360" w:lineRule="auto"/>
        <w:rPr>
          <w:rFonts w:ascii="仿宋" w:hAnsi="仿宋" w:eastAsia="仿宋"/>
          <w:snapToGrid w:val="0"/>
          <w:color w:val="auto"/>
          <w:kern w:val="0"/>
          <w:highlight w:val="none"/>
        </w:rPr>
      </w:pPr>
      <w:r>
        <w:rPr>
          <w:rFonts w:hint="eastAsia" w:ascii="仿宋" w:hAnsi="仿宋" w:eastAsia="仿宋"/>
          <w:snapToGrid w:val="0"/>
          <w:color w:val="auto"/>
          <w:kern w:val="0"/>
          <w:highlight w:val="none"/>
        </w:rPr>
        <w:t xml:space="preserve">项目所属部门代表人：   </w:t>
      </w:r>
    </w:p>
    <w:p>
      <w:pPr>
        <w:pStyle w:val="11"/>
        <w:adjustRightInd w:val="0"/>
        <w:snapToGrid w:val="0"/>
        <w:spacing w:line="360" w:lineRule="auto"/>
        <w:rPr>
          <w:rFonts w:ascii="仿宋" w:hAnsi="仿宋" w:eastAsia="仿宋"/>
          <w:snapToGrid w:val="0"/>
          <w:color w:val="auto"/>
          <w:kern w:val="0"/>
          <w:highlight w:val="none"/>
        </w:rPr>
      </w:pPr>
      <w:r>
        <w:rPr>
          <w:rFonts w:hint="eastAsia" w:ascii="仿宋" w:hAnsi="仿宋" w:eastAsia="仿宋"/>
          <w:snapToGrid w:val="0"/>
          <w:color w:val="auto"/>
          <w:kern w:val="0"/>
          <w:highlight w:val="none"/>
        </w:rPr>
        <w:t xml:space="preserve">签名日期：     年   月   日          </w:t>
      </w:r>
    </w:p>
    <w:p>
      <w:pPr>
        <w:pStyle w:val="11"/>
        <w:adjustRightInd w:val="0"/>
        <w:snapToGrid w:val="0"/>
        <w:spacing w:line="360" w:lineRule="auto"/>
        <w:rPr>
          <w:rFonts w:ascii="仿宋" w:hAnsi="仿宋" w:eastAsia="仿宋"/>
          <w:snapToGrid w:val="0"/>
          <w:color w:val="auto"/>
          <w:kern w:val="0"/>
          <w:highlight w:val="none"/>
        </w:rPr>
      </w:pPr>
      <w:r>
        <w:rPr>
          <w:rFonts w:hint="eastAsia" w:ascii="仿宋" w:hAnsi="仿宋" w:eastAsia="仿宋"/>
          <w:snapToGrid w:val="0"/>
          <w:color w:val="auto"/>
          <w:kern w:val="0"/>
          <w:highlight w:val="none"/>
        </w:rPr>
        <w:t xml:space="preserve"> </w:t>
      </w:r>
    </w:p>
    <w:p>
      <w:pPr>
        <w:pStyle w:val="11"/>
        <w:adjustRightInd w:val="0"/>
        <w:snapToGrid w:val="0"/>
        <w:spacing w:line="360" w:lineRule="auto"/>
        <w:rPr>
          <w:rFonts w:ascii="仿宋" w:hAnsi="仿宋" w:eastAsia="仿宋"/>
          <w:b/>
          <w:color w:val="auto"/>
          <w:highlight w:val="none"/>
        </w:rPr>
      </w:pPr>
      <w:r>
        <w:rPr>
          <w:rFonts w:hint="eastAsia" w:ascii="仿宋" w:hAnsi="仿宋" w:eastAsia="仿宋"/>
          <w:b/>
          <w:color w:val="auto"/>
          <w:highlight w:val="none"/>
        </w:rPr>
        <w:t>乙方（盖章）：</w:t>
      </w:r>
    </w:p>
    <w:p>
      <w:pPr>
        <w:pStyle w:val="11"/>
        <w:adjustRightInd w:val="0"/>
        <w:snapToGrid w:val="0"/>
        <w:spacing w:line="360" w:lineRule="auto"/>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统一社会信用代码：</w:t>
      </w:r>
    </w:p>
    <w:p>
      <w:pPr>
        <w:pStyle w:val="11"/>
        <w:adjustRightInd w:val="0"/>
        <w:snapToGrid w:val="0"/>
        <w:spacing w:line="360" w:lineRule="auto"/>
        <w:rPr>
          <w:rFonts w:ascii="仿宋" w:hAnsi="仿宋" w:eastAsia="仿宋"/>
          <w:color w:val="auto"/>
          <w:highlight w:val="none"/>
        </w:rPr>
      </w:pPr>
      <w:r>
        <w:rPr>
          <w:rFonts w:hint="eastAsia" w:ascii="仿宋" w:hAnsi="仿宋" w:eastAsia="仿宋"/>
          <w:color w:val="auto"/>
          <w:highlight w:val="none"/>
        </w:rPr>
        <w:t xml:space="preserve">地址： </w:t>
      </w:r>
    </w:p>
    <w:p>
      <w:pPr>
        <w:pStyle w:val="11"/>
        <w:adjustRightInd w:val="0"/>
        <w:snapToGrid w:val="0"/>
        <w:spacing w:line="360" w:lineRule="auto"/>
        <w:rPr>
          <w:rFonts w:ascii="仿宋" w:hAnsi="仿宋" w:eastAsia="仿宋"/>
          <w:color w:val="auto"/>
          <w:highlight w:val="none"/>
        </w:rPr>
      </w:pPr>
      <w:r>
        <w:rPr>
          <w:rFonts w:hint="eastAsia" w:ascii="仿宋" w:hAnsi="仿宋" w:eastAsia="仿宋"/>
          <w:color w:val="auto"/>
          <w:highlight w:val="none"/>
        </w:rPr>
        <w:t>开户行：</w:t>
      </w:r>
    </w:p>
    <w:p>
      <w:pPr>
        <w:pStyle w:val="11"/>
        <w:adjustRightInd w:val="0"/>
        <w:snapToGrid w:val="0"/>
        <w:spacing w:line="360" w:lineRule="auto"/>
        <w:rPr>
          <w:rFonts w:ascii="仿宋" w:hAnsi="仿宋" w:eastAsia="仿宋"/>
          <w:color w:val="auto"/>
          <w:highlight w:val="none"/>
        </w:rPr>
      </w:pPr>
      <w:r>
        <w:rPr>
          <w:rFonts w:hint="eastAsia" w:ascii="仿宋" w:hAnsi="仿宋" w:eastAsia="仿宋"/>
          <w:color w:val="auto"/>
          <w:highlight w:val="none"/>
        </w:rPr>
        <w:t>开户帐号：</w:t>
      </w:r>
    </w:p>
    <w:p>
      <w:pPr>
        <w:pStyle w:val="11"/>
        <w:adjustRightInd w:val="0"/>
        <w:snapToGrid w:val="0"/>
        <w:spacing w:line="360" w:lineRule="auto"/>
        <w:rPr>
          <w:rFonts w:ascii="仿宋" w:hAnsi="仿宋" w:eastAsia="仿宋"/>
          <w:color w:val="auto"/>
          <w:highlight w:val="none"/>
        </w:rPr>
      </w:pPr>
      <w:r>
        <w:rPr>
          <w:rFonts w:hint="eastAsia" w:ascii="仿宋" w:hAnsi="仿宋" w:eastAsia="仿宋"/>
          <w:color w:val="auto"/>
          <w:highlight w:val="none"/>
        </w:rPr>
        <w:t>法定（授权）代表人：</w:t>
      </w:r>
    </w:p>
    <w:p>
      <w:pPr>
        <w:pStyle w:val="11"/>
        <w:adjustRightInd w:val="0"/>
        <w:snapToGrid w:val="0"/>
        <w:spacing w:line="360" w:lineRule="auto"/>
        <w:rPr>
          <w:rFonts w:ascii="仿宋" w:hAnsi="仿宋" w:eastAsia="仿宋"/>
          <w:color w:val="auto"/>
          <w:highlight w:val="none"/>
        </w:rPr>
      </w:pPr>
      <w:r>
        <w:rPr>
          <w:rFonts w:hint="eastAsia" w:ascii="仿宋" w:hAnsi="仿宋" w:eastAsia="仿宋"/>
          <w:color w:val="auto"/>
          <w:highlight w:val="none"/>
        </w:rPr>
        <w:t>签名日期：      年   月   日</w:t>
      </w:r>
    </w:p>
    <w:p>
      <w:pPr>
        <w:pStyle w:val="11"/>
        <w:adjustRightInd w:val="0"/>
        <w:snapToGrid w:val="0"/>
        <w:spacing w:line="360" w:lineRule="auto"/>
        <w:rPr>
          <w:rFonts w:ascii="仿宋" w:hAnsi="仿宋" w:eastAsia="仿宋"/>
          <w:color w:val="auto"/>
          <w:highlight w:val="none"/>
        </w:rPr>
      </w:pPr>
    </w:p>
    <w:p>
      <w:pPr>
        <w:pStyle w:val="11"/>
        <w:adjustRightInd w:val="0"/>
        <w:snapToGrid w:val="0"/>
        <w:spacing w:line="360" w:lineRule="auto"/>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合同鉴证方（盖章）:</w:t>
      </w:r>
    </w:p>
    <w:p>
      <w:pPr>
        <w:pStyle w:val="11"/>
        <w:adjustRightInd w:val="0"/>
        <w:snapToGrid w:val="0"/>
        <w:spacing w:line="360" w:lineRule="auto"/>
        <w:rPr>
          <w:rFonts w:ascii="仿宋" w:hAnsi="仿宋" w:eastAsia="仿宋"/>
          <w:b/>
          <w:snapToGrid w:val="0"/>
          <w:color w:val="auto"/>
          <w:kern w:val="0"/>
          <w:highlight w:val="none"/>
        </w:rPr>
      </w:pPr>
      <w:r>
        <w:rPr>
          <w:rFonts w:hint="eastAsia" w:ascii="仿宋" w:hAnsi="仿宋" w:eastAsia="仿宋"/>
          <w:b/>
          <w:snapToGrid w:val="0"/>
          <w:color w:val="auto"/>
          <w:kern w:val="0"/>
          <w:highlight w:val="none"/>
        </w:rPr>
        <w:t>统一社会信用代码：</w:t>
      </w:r>
    </w:p>
    <w:p>
      <w:pPr>
        <w:pStyle w:val="11"/>
        <w:adjustRightInd w:val="0"/>
        <w:snapToGrid w:val="0"/>
        <w:spacing w:line="360" w:lineRule="auto"/>
        <w:rPr>
          <w:rFonts w:ascii="仿宋" w:hAnsi="仿宋" w:eastAsia="仿宋"/>
          <w:snapToGrid w:val="0"/>
          <w:color w:val="auto"/>
          <w:kern w:val="0"/>
          <w:highlight w:val="none"/>
        </w:rPr>
      </w:pPr>
      <w:r>
        <w:rPr>
          <w:rFonts w:hint="eastAsia" w:ascii="仿宋" w:hAnsi="仿宋" w:eastAsia="仿宋"/>
          <w:snapToGrid w:val="0"/>
          <w:color w:val="auto"/>
          <w:kern w:val="0"/>
          <w:highlight w:val="none"/>
        </w:rPr>
        <w:t>法定代表人或主要负责人:</w:t>
      </w:r>
    </w:p>
    <w:p>
      <w:pPr>
        <w:pStyle w:val="11"/>
        <w:adjustRightInd w:val="0"/>
        <w:snapToGrid w:val="0"/>
        <w:spacing w:line="360" w:lineRule="auto"/>
        <w:rPr>
          <w:rFonts w:ascii="仿宋" w:hAnsi="仿宋" w:eastAsia="仿宋"/>
          <w:snapToGrid w:val="0"/>
          <w:color w:val="auto"/>
          <w:kern w:val="0"/>
          <w:sz w:val="28"/>
          <w:szCs w:val="28"/>
          <w:highlight w:val="none"/>
        </w:rPr>
      </w:pPr>
      <w:r>
        <w:rPr>
          <w:rFonts w:hint="eastAsia" w:ascii="仿宋" w:hAnsi="仿宋" w:eastAsia="仿宋"/>
          <w:snapToGrid w:val="0"/>
          <w:color w:val="auto"/>
          <w:kern w:val="0"/>
          <w:highlight w:val="none"/>
        </w:rPr>
        <w:t>鉴证日期:       年    月   日</w:t>
      </w:r>
    </w:p>
    <w:p>
      <w:pPr>
        <w:rPr>
          <w:color w:val="auto"/>
          <w:highlight w:val="none"/>
        </w:rPr>
        <w:sectPr>
          <w:footerReference r:id="rId7" w:type="default"/>
          <w:pgSz w:w="11906" w:h="16838"/>
          <w:pgMar w:top="1247" w:right="1247" w:bottom="1247" w:left="1247" w:header="85" w:footer="850" w:gutter="0"/>
          <w:cols w:space="720" w:num="1"/>
          <w:docGrid w:type="lines" w:linePitch="312" w:charSpace="0"/>
        </w:sectPr>
      </w:pPr>
    </w:p>
    <w:p>
      <w:pPr>
        <w:rPr>
          <w:color w:val="auto"/>
          <w:highlight w:val="none"/>
        </w:rPr>
      </w:pPr>
      <w:r>
        <w:rPr>
          <w:rFonts w:hint="eastAsia"/>
          <w:b/>
          <w:bCs/>
          <w:color w:val="auto"/>
          <w:highlight w:val="none"/>
        </w:rPr>
        <w:t>附件清单：</w:t>
      </w:r>
      <w:r>
        <w:rPr>
          <w:rFonts w:hint="eastAsia"/>
          <w:b/>
          <w:bCs/>
          <w:color w:val="auto"/>
          <w:highlight w:val="none"/>
          <w:u w:val="single"/>
        </w:rPr>
        <w:t xml:space="preserve">      </w:t>
      </w:r>
      <w:r>
        <w:rPr>
          <w:rFonts w:hint="eastAsia"/>
          <w:color w:val="auto"/>
          <w:highlight w:val="none"/>
        </w:rPr>
        <w:t xml:space="preserve"> </w:t>
      </w:r>
    </w:p>
    <w:p>
      <w:pPr>
        <w:rPr>
          <w:b/>
          <w:bCs/>
          <w:color w:val="auto"/>
          <w:highlight w:val="none"/>
        </w:rPr>
      </w:pPr>
      <w:r>
        <w:rPr>
          <w:rFonts w:hint="eastAsia"/>
          <w:color w:val="auto"/>
          <w:highlight w:val="none"/>
        </w:rPr>
        <w:t xml:space="preserve">                                                                                           人民币：元</w:t>
      </w:r>
    </w:p>
    <w:tbl>
      <w:tblPr>
        <w:tblStyle w:val="18"/>
        <w:tblW w:w="14490"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072"/>
        <w:gridCol w:w="1134"/>
        <w:gridCol w:w="1560"/>
        <w:gridCol w:w="1559"/>
        <w:gridCol w:w="5386"/>
        <w:gridCol w:w="1057"/>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keepNext w:val="0"/>
              <w:keepLines w:val="0"/>
              <w:widowControl/>
              <w:suppressLineNumbers w:val="0"/>
              <w:spacing w:before="0" w:beforeAutospacing="0" w:after="0" w:afterAutospacing="0"/>
              <w:ind w:left="0" w:right="0"/>
              <w:jc w:val="center"/>
              <w:rPr>
                <w:rFonts w:hint="eastAsia" w:cs="仿宋"/>
                <w:b/>
                <w:color w:val="auto"/>
                <w:kern w:val="0"/>
                <w:highlight w:val="none"/>
              </w:rPr>
            </w:pPr>
            <w:r>
              <w:rPr>
                <w:rFonts w:hint="eastAsia" w:cs="仿宋"/>
                <w:b/>
                <w:color w:val="auto"/>
                <w:kern w:val="0"/>
                <w:highlight w:val="none"/>
              </w:rPr>
              <w:t>序号</w:t>
            </w:r>
          </w:p>
        </w:tc>
        <w:tc>
          <w:tcPr>
            <w:tcW w:w="2072" w:type="dxa"/>
            <w:vAlign w:val="center"/>
          </w:tcPr>
          <w:p>
            <w:pPr>
              <w:keepNext w:val="0"/>
              <w:keepLines w:val="0"/>
              <w:widowControl/>
              <w:suppressLineNumbers w:val="0"/>
              <w:spacing w:before="0" w:beforeAutospacing="0" w:after="0" w:afterAutospacing="0"/>
              <w:ind w:left="0" w:right="0"/>
              <w:jc w:val="center"/>
              <w:rPr>
                <w:rFonts w:hint="eastAsia" w:cs="仿宋"/>
                <w:b/>
                <w:color w:val="auto"/>
                <w:kern w:val="0"/>
                <w:highlight w:val="none"/>
              </w:rPr>
            </w:pPr>
            <w:r>
              <w:rPr>
                <w:rFonts w:hint="eastAsia" w:cs="仿宋"/>
                <w:b/>
                <w:color w:val="auto"/>
                <w:kern w:val="0"/>
                <w:highlight w:val="none"/>
              </w:rPr>
              <w:t>货物（服务）名称</w:t>
            </w:r>
          </w:p>
        </w:tc>
        <w:tc>
          <w:tcPr>
            <w:tcW w:w="1134" w:type="dxa"/>
            <w:vAlign w:val="center"/>
          </w:tcPr>
          <w:p>
            <w:pPr>
              <w:keepNext w:val="0"/>
              <w:keepLines w:val="0"/>
              <w:widowControl/>
              <w:suppressLineNumbers w:val="0"/>
              <w:spacing w:before="50" w:beforeAutospacing="0" w:after="50" w:afterAutospacing="0"/>
              <w:ind w:left="0" w:right="0"/>
              <w:jc w:val="center"/>
              <w:rPr>
                <w:rFonts w:hint="eastAsia" w:cs="仿宋"/>
                <w:b/>
                <w:color w:val="auto"/>
                <w:kern w:val="0"/>
                <w:highlight w:val="none"/>
              </w:rPr>
            </w:pPr>
            <w:r>
              <w:rPr>
                <w:rFonts w:hint="eastAsia" w:cs="仿宋"/>
                <w:b/>
                <w:color w:val="auto"/>
                <w:kern w:val="0"/>
                <w:highlight w:val="none"/>
              </w:rPr>
              <w:t>品牌</w:t>
            </w:r>
          </w:p>
        </w:tc>
        <w:tc>
          <w:tcPr>
            <w:tcW w:w="1560" w:type="dxa"/>
            <w:vAlign w:val="center"/>
          </w:tcPr>
          <w:p>
            <w:pPr>
              <w:keepNext w:val="0"/>
              <w:keepLines w:val="0"/>
              <w:widowControl/>
              <w:suppressLineNumbers w:val="0"/>
              <w:spacing w:before="50" w:beforeAutospacing="0" w:after="50" w:afterAutospacing="0"/>
              <w:ind w:left="0" w:right="0"/>
              <w:jc w:val="center"/>
              <w:rPr>
                <w:rFonts w:hint="eastAsia" w:cs="仿宋"/>
                <w:b/>
                <w:color w:val="auto"/>
                <w:kern w:val="0"/>
                <w:highlight w:val="none"/>
              </w:rPr>
            </w:pPr>
            <w:r>
              <w:rPr>
                <w:rFonts w:hint="eastAsia" w:cs="仿宋"/>
                <w:b/>
                <w:color w:val="auto"/>
                <w:kern w:val="0"/>
                <w:highlight w:val="none"/>
              </w:rPr>
              <w:t>规格型号</w:t>
            </w:r>
          </w:p>
        </w:tc>
        <w:tc>
          <w:tcPr>
            <w:tcW w:w="1559" w:type="dxa"/>
            <w:vAlign w:val="center"/>
          </w:tcPr>
          <w:p>
            <w:pPr>
              <w:keepNext w:val="0"/>
              <w:keepLines w:val="0"/>
              <w:widowControl/>
              <w:suppressLineNumbers w:val="0"/>
              <w:spacing w:before="50" w:beforeAutospacing="0" w:after="50" w:afterAutospacing="0"/>
              <w:ind w:left="0" w:right="0"/>
              <w:jc w:val="center"/>
              <w:rPr>
                <w:rFonts w:hint="eastAsia" w:cs="仿宋"/>
                <w:b/>
                <w:color w:val="auto"/>
                <w:kern w:val="0"/>
                <w:highlight w:val="none"/>
              </w:rPr>
            </w:pPr>
            <w:r>
              <w:rPr>
                <w:rFonts w:hint="eastAsia" w:cs="仿宋"/>
                <w:b/>
                <w:color w:val="auto"/>
                <w:kern w:val="0"/>
                <w:highlight w:val="none"/>
              </w:rPr>
              <w:t>单位及数量</w:t>
            </w:r>
          </w:p>
        </w:tc>
        <w:tc>
          <w:tcPr>
            <w:tcW w:w="5386" w:type="dxa"/>
            <w:vAlign w:val="center"/>
          </w:tcPr>
          <w:p>
            <w:pPr>
              <w:keepNext w:val="0"/>
              <w:keepLines w:val="0"/>
              <w:widowControl/>
              <w:suppressLineNumbers w:val="0"/>
              <w:spacing w:before="0" w:beforeAutospacing="0" w:after="0" w:afterAutospacing="0"/>
              <w:ind w:left="0" w:right="0"/>
              <w:jc w:val="center"/>
              <w:rPr>
                <w:rFonts w:hint="eastAsia" w:cs="仿宋"/>
                <w:b/>
                <w:color w:val="auto"/>
                <w:kern w:val="0"/>
                <w:highlight w:val="none"/>
              </w:rPr>
            </w:pPr>
            <w:r>
              <w:rPr>
                <w:rFonts w:hint="eastAsia" w:cs="仿宋"/>
                <w:b/>
                <w:color w:val="auto"/>
                <w:kern w:val="0"/>
                <w:highlight w:val="none"/>
              </w:rPr>
              <w:t>性能及指标</w:t>
            </w:r>
          </w:p>
        </w:tc>
        <w:tc>
          <w:tcPr>
            <w:tcW w:w="1057" w:type="dxa"/>
            <w:vAlign w:val="center"/>
          </w:tcPr>
          <w:p>
            <w:pPr>
              <w:keepNext w:val="0"/>
              <w:keepLines w:val="0"/>
              <w:widowControl/>
              <w:suppressLineNumbers w:val="0"/>
              <w:spacing w:before="0" w:beforeAutospacing="0" w:after="0" w:afterAutospacing="0"/>
              <w:ind w:left="0" w:right="0"/>
              <w:jc w:val="center"/>
              <w:rPr>
                <w:rFonts w:hint="eastAsia" w:cs="仿宋"/>
                <w:b/>
                <w:color w:val="auto"/>
                <w:kern w:val="0"/>
                <w:highlight w:val="none"/>
              </w:rPr>
            </w:pPr>
            <w:r>
              <w:rPr>
                <w:rFonts w:hint="eastAsia" w:cs="仿宋"/>
                <w:b/>
                <w:color w:val="auto"/>
                <w:kern w:val="0"/>
                <w:highlight w:val="none"/>
              </w:rPr>
              <w:t>单价</w:t>
            </w:r>
          </w:p>
        </w:tc>
        <w:tc>
          <w:tcPr>
            <w:tcW w:w="1170" w:type="dxa"/>
            <w:vAlign w:val="center"/>
          </w:tcPr>
          <w:p>
            <w:pPr>
              <w:keepNext w:val="0"/>
              <w:keepLines w:val="0"/>
              <w:widowControl/>
              <w:suppressLineNumbers w:val="0"/>
              <w:spacing w:before="0" w:beforeAutospacing="0" w:after="0" w:afterAutospacing="0"/>
              <w:ind w:left="0" w:right="0"/>
              <w:jc w:val="center"/>
              <w:rPr>
                <w:rFonts w:hint="eastAsia" w:cs="仿宋"/>
                <w:b/>
                <w:color w:val="auto"/>
                <w:kern w:val="0"/>
                <w:highlight w:val="none"/>
              </w:rPr>
            </w:pPr>
            <w:r>
              <w:rPr>
                <w:rFonts w:hint="eastAsia" w:cs="仿宋"/>
                <w:b/>
                <w:color w:val="auto"/>
                <w:kern w:val="0"/>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keepNext w:val="0"/>
              <w:keepLines w:val="0"/>
              <w:widowControl/>
              <w:suppressLineNumbers w:val="0"/>
              <w:spacing w:before="0" w:beforeAutospacing="0" w:after="0" w:afterAutospacing="0"/>
              <w:ind w:left="0" w:right="0"/>
              <w:jc w:val="center"/>
              <w:rPr>
                <w:rFonts w:hint="eastAsia" w:cs="仿宋"/>
                <w:color w:val="auto"/>
                <w:kern w:val="0"/>
                <w:highlight w:val="none"/>
              </w:rPr>
            </w:pPr>
            <w:r>
              <w:rPr>
                <w:rFonts w:hint="eastAsia" w:cs="仿宋"/>
                <w:color w:val="auto"/>
                <w:kern w:val="0"/>
                <w:highlight w:val="none"/>
              </w:rPr>
              <w:t>1</w:t>
            </w:r>
          </w:p>
        </w:tc>
        <w:tc>
          <w:tcPr>
            <w:tcW w:w="2072" w:type="dxa"/>
            <w:vAlign w:val="center"/>
          </w:tcPr>
          <w:p>
            <w:pPr>
              <w:keepNext w:val="0"/>
              <w:keepLines w:val="0"/>
              <w:suppressLineNumbers w:val="0"/>
              <w:spacing w:before="0" w:beforeAutospacing="0" w:after="0" w:afterAutospacing="0"/>
              <w:ind w:left="0" w:right="0"/>
              <w:rPr>
                <w:rFonts w:hint="eastAsia"/>
                <w:color w:val="auto"/>
                <w:highlight w:val="none"/>
              </w:rPr>
            </w:pPr>
          </w:p>
        </w:tc>
        <w:tc>
          <w:tcPr>
            <w:tcW w:w="1134"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6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5386" w:type="dxa"/>
            <w:vAlign w:val="center"/>
          </w:tcPr>
          <w:p>
            <w:pPr>
              <w:keepNext w:val="0"/>
              <w:keepLines w:val="0"/>
              <w:suppressLineNumbers w:val="0"/>
              <w:spacing w:before="0" w:beforeAutospacing="0" w:after="0" w:afterAutospacing="0"/>
              <w:ind w:left="0" w:right="0"/>
              <w:jc w:val="left"/>
              <w:rPr>
                <w:rFonts w:hint="eastAsia"/>
                <w:color w:val="auto"/>
                <w:highlight w:val="none"/>
              </w:rPr>
            </w:pPr>
          </w:p>
        </w:tc>
        <w:tc>
          <w:tcPr>
            <w:tcW w:w="1057"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7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keepNext w:val="0"/>
              <w:keepLines w:val="0"/>
              <w:widowControl/>
              <w:suppressLineNumbers w:val="0"/>
              <w:spacing w:before="0" w:beforeAutospacing="0" w:after="0" w:afterAutospacing="0"/>
              <w:ind w:left="0" w:right="0"/>
              <w:jc w:val="center"/>
              <w:rPr>
                <w:rFonts w:hint="eastAsia" w:cs="仿宋"/>
                <w:color w:val="auto"/>
                <w:kern w:val="0"/>
                <w:highlight w:val="none"/>
              </w:rPr>
            </w:pPr>
            <w:r>
              <w:rPr>
                <w:rFonts w:hint="eastAsia" w:cs="仿宋"/>
                <w:color w:val="auto"/>
                <w:kern w:val="0"/>
                <w:highlight w:val="none"/>
              </w:rPr>
              <w:t>2</w:t>
            </w:r>
          </w:p>
        </w:tc>
        <w:tc>
          <w:tcPr>
            <w:tcW w:w="2072" w:type="dxa"/>
            <w:vAlign w:val="center"/>
          </w:tcPr>
          <w:p>
            <w:pPr>
              <w:keepNext w:val="0"/>
              <w:keepLines w:val="0"/>
              <w:suppressLineNumbers w:val="0"/>
              <w:spacing w:before="0" w:beforeAutospacing="0" w:after="0" w:afterAutospacing="0"/>
              <w:ind w:left="0" w:right="0"/>
              <w:rPr>
                <w:rFonts w:hint="eastAsia"/>
                <w:color w:val="auto"/>
                <w:highlight w:val="none"/>
              </w:rPr>
            </w:pPr>
          </w:p>
        </w:tc>
        <w:tc>
          <w:tcPr>
            <w:tcW w:w="1134"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6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5386" w:type="dxa"/>
            <w:vAlign w:val="center"/>
          </w:tcPr>
          <w:p>
            <w:pPr>
              <w:keepNext w:val="0"/>
              <w:keepLines w:val="0"/>
              <w:suppressLineNumbers w:val="0"/>
              <w:spacing w:before="0" w:beforeAutospacing="0" w:after="0" w:afterAutospacing="0"/>
              <w:ind w:left="0" w:right="0"/>
              <w:jc w:val="left"/>
              <w:rPr>
                <w:rFonts w:hint="eastAsia"/>
                <w:color w:val="auto"/>
                <w:highlight w:val="none"/>
              </w:rPr>
            </w:pPr>
          </w:p>
        </w:tc>
        <w:tc>
          <w:tcPr>
            <w:tcW w:w="1057"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7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keepNext w:val="0"/>
              <w:keepLines w:val="0"/>
              <w:widowControl/>
              <w:suppressLineNumbers w:val="0"/>
              <w:spacing w:before="0" w:beforeAutospacing="0" w:after="0" w:afterAutospacing="0"/>
              <w:ind w:left="0" w:right="0"/>
              <w:jc w:val="center"/>
              <w:rPr>
                <w:rFonts w:hint="eastAsia" w:cs="仿宋"/>
                <w:color w:val="auto"/>
                <w:kern w:val="0"/>
                <w:highlight w:val="none"/>
              </w:rPr>
            </w:pPr>
            <w:r>
              <w:rPr>
                <w:rFonts w:hint="eastAsia" w:cs="仿宋"/>
                <w:color w:val="auto"/>
                <w:kern w:val="0"/>
                <w:highlight w:val="none"/>
              </w:rPr>
              <w:t>3</w:t>
            </w:r>
          </w:p>
        </w:tc>
        <w:tc>
          <w:tcPr>
            <w:tcW w:w="2072" w:type="dxa"/>
            <w:vAlign w:val="center"/>
          </w:tcPr>
          <w:p>
            <w:pPr>
              <w:keepNext w:val="0"/>
              <w:keepLines w:val="0"/>
              <w:suppressLineNumbers w:val="0"/>
              <w:spacing w:before="0" w:beforeAutospacing="0" w:after="0" w:afterAutospacing="0"/>
              <w:ind w:left="0" w:right="0"/>
              <w:rPr>
                <w:rFonts w:hint="eastAsia"/>
                <w:color w:val="auto"/>
                <w:highlight w:val="none"/>
              </w:rPr>
            </w:pPr>
          </w:p>
        </w:tc>
        <w:tc>
          <w:tcPr>
            <w:tcW w:w="1134"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6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5386" w:type="dxa"/>
            <w:vAlign w:val="center"/>
          </w:tcPr>
          <w:p>
            <w:pPr>
              <w:keepNext w:val="0"/>
              <w:keepLines w:val="0"/>
              <w:suppressLineNumbers w:val="0"/>
              <w:spacing w:before="0" w:beforeAutospacing="0" w:after="0" w:afterAutospacing="0"/>
              <w:ind w:left="0" w:right="0"/>
              <w:jc w:val="left"/>
              <w:rPr>
                <w:rFonts w:hint="eastAsia"/>
                <w:color w:val="auto"/>
                <w:highlight w:val="none"/>
              </w:rPr>
            </w:pPr>
          </w:p>
        </w:tc>
        <w:tc>
          <w:tcPr>
            <w:tcW w:w="1057"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7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keepNext w:val="0"/>
              <w:keepLines w:val="0"/>
              <w:widowControl/>
              <w:suppressLineNumbers w:val="0"/>
              <w:spacing w:before="0" w:beforeAutospacing="0" w:after="0" w:afterAutospacing="0"/>
              <w:ind w:left="0" w:right="0"/>
              <w:jc w:val="center"/>
              <w:rPr>
                <w:rFonts w:hint="eastAsia" w:cs="仿宋"/>
                <w:color w:val="auto"/>
                <w:kern w:val="0"/>
                <w:highlight w:val="none"/>
              </w:rPr>
            </w:pPr>
            <w:r>
              <w:rPr>
                <w:rFonts w:hint="eastAsia" w:cs="仿宋"/>
                <w:color w:val="auto"/>
                <w:kern w:val="0"/>
                <w:highlight w:val="none"/>
              </w:rPr>
              <w:t>4</w:t>
            </w:r>
          </w:p>
        </w:tc>
        <w:tc>
          <w:tcPr>
            <w:tcW w:w="2072" w:type="dxa"/>
            <w:vAlign w:val="center"/>
          </w:tcPr>
          <w:p>
            <w:pPr>
              <w:keepNext w:val="0"/>
              <w:keepLines w:val="0"/>
              <w:suppressLineNumbers w:val="0"/>
              <w:spacing w:before="0" w:beforeAutospacing="0" w:after="0" w:afterAutospacing="0"/>
              <w:ind w:left="0" w:right="0"/>
              <w:rPr>
                <w:rFonts w:hint="eastAsia"/>
                <w:color w:val="auto"/>
                <w:highlight w:val="none"/>
              </w:rPr>
            </w:pPr>
          </w:p>
        </w:tc>
        <w:tc>
          <w:tcPr>
            <w:tcW w:w="1134"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6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5386" w:type="dxa"/>
            <w:vAlign w:val="center"/>
          </w:tcPr>
          <w:p>
            <w:pPr>
              <w:keepNext w:val="0"/>
              <w:keepLines w:val="0"/>
              <w:suppressLineNumbers w:val="0"/>
              <w:spacing w:before="0" w:beforeAutospacing="0" w:after="0" w:afterAutospacing="0"/>
              <w:ind w:left="0" w:right="0"/>
              <w:rPr>
                <w:rFonts w:hint="eastAsia"/>
                <w:color w:val="auto"/>
                <w:highlight w:val="none"/>
              </w:rPr>
            </w:pPr>
          </w:p>
        </w:tc>
        <w:tc>
          <w:tcPr>
            <w:tcW w:w="1057"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7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keepNext w:val="0"/>
              <w:keepLines w:val="0"/>
              <w:widowControl/>
              <w:suppressLineNumbers w:val="0"/>
              <w:spacing w:before="0" w:beforeAutospacing="0" w:after="0" w:afterAutospacing="0"/>
              <w:ind w:left="0" w:right="0"/>
              <w:jc w:val="center"/>
              <w:rPr>
                <w:rFonts w:hint="eastAsia" w:cs="仿宋"/>
                <w:color w:val="auto"/>
                <w:kern w:val="0"/>
                <w:highlight w:val="none"/>
              </w:rPr>
            </w:pPr>
            <w:r>
              <w:rPr>
                <w:rFonts w:hint="eastAsia" w:cs="仿宋"/>
                <w:color w:val="auto"/>
                <w:kern w:val="0"/>
                <w:highlight w:val="none"/>
              </w:rPr>
              <w:t>5</w:t>
            </w:r>
          </w:p>
        </w:tc>
        <w:tc>
          <w:tcPr>
            <w:tcW w:w="2072" w:type="dxa"/>
            <w:vAlign w:val="center"/>
          </w:tcPr>
          <w:p>
            <w:pPr>
              <w:keepNext w:val="0"/>
              <w:keepLines w:val="0"/>
              <w:suppressLineNumbers w:val="0"/>
              <w:spacing w:before="0" w:beforeAutospacing="0" w:after="0" w:afterAutospacing="0"/>
              <w:ind w:left="0" w:right="0"/>
              <w:rPr>
                <w:rFonts w:hint="eastAsia"/>
                <w:color w:val="auto"/>
                <w:highlight w:val="none"/>
              </w:rPr>
            </w:pPr>
          </w:p>
        </w:tc>
        <w:tc>
          <w:tcPr>
            <w:tcW w:w="1134"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6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5386" w:type="dxa"/>
            <w:vAlign w:val="center"/>
          </w:tcPr>
          <w:p>
            <w:pPr>
              <w:keepNext w:val="0"/>
              <w:keepLines w:val="0"/>
              <w:suppressLineNumbers w:val="0"/>
              <w:spacing w:before="0" w:beforeAutospacing="0" w:after="0" w:afterAutospacing="0"/>
              <w:ind w:left="0" w:right="0"/>
              <w:jc w:val="left"/>
              <w:rPr>
                <w:rFonts w:hint="eastAsia"/>
                <w:color w:val="auto"/>
                <w:highlight w:val="none"/>
              </w:rPr>
            </w:pPr>
          </w:p>
        </w:tc>
        <w:tc>
          <w:tcPr>
            <w:tcW w:w="1057"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7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keepNext w:val="0"/>
              <w:keepLines w:val="0"/>
              <w:widowControl/>
              <w:suppressLineNumbers w:val="0"/>
              <w:spacing w:before="0" w:beforeAutospacing="0" w:after="0" w:afterAutospacing="0"/>
              <w:ind w:left="0" w:right="0"/>
              <w:jc w:val="center"/>
              <w:rPr>
                <w:rFonts w:hint="eastAsia" w:cs="仿宋"/>
                <w:color w:val="auto"/>
                <w:kern w:val="0"/>
                <w:highlight w:val="none"/>
              </w:rPr>
            </w:pPr>
            <w:r>
              <w:rPr>
                <w:rFonts w:hint="eastAsia" w:cs="仿宋"/>
                <w:color w:val="auto"/>
                <w:kern w:val="0"/>
                <w:highlight w:val="none"/>
              </w:rPr>
              <w:t>6</w:t>
            </w:r>
          </w:p>
        </w:tc>
        <w:tc>
          <w:tcPr>
            <w:tcW w:w="2072" w:type="dxa"/>
            <w:vAlign w:val="center"/>
          </w:tcPr>
          <w:p>
            <w:pPr>
              <w:keepNext w:val="0"/>
              <w:keepLines w:val="0"/>
              <w:suppressLineNumbers w:val="0"/>
              <w:spacing w:before="0" w:beforeAutospacing="0" w:after="0" w:afterAutospacing="0"/>
              <w:ind w:left="0" w:right="0"/>
              <w:rPr>
                <w:rFonts w:hint="eastAsia"/>
                <w:color w:val="auto"/>
                <w:highlight w:val="none"/>
              </w:rPr>
            </w:pPr>
          </w:p>
        </w:tc>
        <w:tc>
          <w:tcPr>
            <w:tcW w:w="1134"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6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5386" w:type="dxa"/>
            <w:vAlign w:val="center"/>
          </w:tcPr>
          <w:p>
            <w:pPr>
              <w:keepNext w:val="0"/>
              <w:keepLines w:val="0"/>
              <w:suppressLineNumbers w:val="0"/>
              <w:spacing w:before="0" w:beforeAutospacing="0" w:after="0" w:afterAutospacing="0"/>
              <w:ind w:left="0" w:right="0"/>
              <w:jc w:val="left"/>
              <w:rPr>
                <w:rFonts w:hint="eastAsia"/>
                <w:color w:val="auto"/>
                <w:highlight w:val="none"/>
              </w:rPr>
            </w:pPr>
          </w:p>
        </w:tc>
        <w:tc>
          <w:tcPr>
            <w:tcW w:w="1057"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7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keepNext w:val="0"/>
              <w:keepLines w:val="0"/>
              <w:widowControl/>
              <w:suppressLineNumbers w:val="0"/>
              <w:spacing w:before="0" w:beforeAutospacing="0" w:after="0" w:afterAutospacing="0"/>
              <w:ind w:left="0" w:right="0"/>
              <w:jc w:val="center"/>
              <w:rPr>
                <w:rFonts w:hint="eastAsia" w:cs="仿宋"/>
                <w:color w:val="auto"/>
                <w:kern w:val="0"/>
                <w:highlight w:val="none"/>
              </w:rPr>
            </w:pPr>
            <w:r>
              <w:rPr>
                <w:rFonts w:hint="eastAsia" w:cs="仿宋"/>
                <w:color w:val="auto"/>
                <w:kern w:val="0"/>
                <w:highlight w:val="none"/>
              </w:rPr>
              <w:t>7</w:t>
            </w:r>
          </w:p>
        </w:tc>
        <w:tc>
          <w:tcPr>
            <w:tcW w:w="2072" w:type="dxa"/>
            <w:vAlign w:val="center"/>
          </w:tcPr>
          <w:p>
            <w:pPr>
              <w:keepNext w:val="0"/>
              <w:keepLines w:val="0"/>
              <w:suppressLineNumbers w:val="0"/>
              <w:spacing w:before="0" w:beforeAutospacing="0" w:after="0" w:afterAutospacing="0"/>
              <w:ind w:left="0" w:right="0"/>
              <w:rPr>
                <w:rFonts w:hint="eastAsia"/>
                <w:color w:val="auto"/>
                <w:highlight w:val="none"/>
              </w:rPr>
            </w:pPr>
          </w:p>
        </w:tc>
        <w:tc>
          <w:tcPr>
            <w:tcW w:w="1134"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6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5386" w:type="dxa"/>
            <w:vAlign w:val="center"/>
          </w:tcPr>
          <w:p>
            <w:pPr>
              <w:keepNext w:val="0"/>
              <w:keepLines w:val="0"/>
              <w:suppressLineNumbers w:val="0"/>
              <w:spacing w:before="0" w:beforeAutospacing="0" w:after="0" w:afterAutospacing="0"/>
              <w:ind w:left="0" w:right="0"/>
              <w:jc w:val="left"/>
              <w:rPr>
                <w:rFonts w:hint="eastAsia"/>
                <w:color w:val="auto"/>
                <w:highlight w:val="none"/>
              </w:rPr>
            </w:pPr>
          </w:p>
        </w:tc>
        <w:tc>
          <w:tcPr>
            <w:tcW w:w="1057"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7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keepNext w:val="0"/>
              <w:keepLines w:val="0"/>
              <w:widowControl/>
              <w:suppressLineNumbers w:val="0"/>
              <w:spacing w:before="0" w:beforeAutospacing="0" w:after="0" w:afterAutospacing="0"/>
              <w:ind w:left="0" w:right="0"/>
              <w:jc w:val="center"/>
              <w:rPr>
                <w:rFonts w:hint="eastAsia" w:cs="仿宋"/>
                <w:color w:val="auto"/>
                <w:kern w:val="0"/>
                <w:highlight w:val="none"/>
              </w:rPr>
            </w:pPr>
            <w:r>
              <w:rPr>
                <w:rFonts w:hint="eastAsia" w:cs="仿宋"/>
                <w:color w:val="auto"/>
                <w:kern w:val="0"/>
                <w:highlight w:val="none"/>
              </w:rPr>
              <w:t>8</w:t>
            </w:r>
          </w:p>
        </w:tc>
        <w:tc>
          <w:tcPr>
            <w:tcW w:w="2072" w:type="dxa"/>
            <w:vAlign w:val="center"/>
          </w:tcPr>
          <w:p>
            <w:pPr>
              <w:keepNext w:val="0"/>
              <w:keepLines w:val="0"/>
              <w:suppressLineNumbers w:val="0"/>
              <w:spacing w:before="0" w:beforeAutospacing="0" w:after="0" w:afterAutospacing="0"/>
              <w:ind w:left="0" w:right="0"/>
              <w:rPr>
                <w:rFonts w:hint="eastAsia"/>
                <w:color w:val="auto"/>
                <w:highlight w:val="none"/>
              </w:rPr>
            </w:pPr>
          </w:p>
        </w:tc>
        <w:tc>
          <w:tcPr>
            <w:tcW w:w="1134"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6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5386" w:type="dxa"/>
            <w:vAlign w:val="center"/>
          </w:tcPr>
          <w:p>
            <w:pPr>
              <w:keepNext w:val="0"/>
              <w:keepLines w:val="0"/>
              <w:suppressLineNumbers w:val="0"/>
              <w:spacing w:before="0" w:beforeAutospacing="0" w:after="0" w:afterAutospacing="0"/>
              <w:ind w:left="0" w:right="0"/>
              <w:jc w:val="left"/>
              <w:rPr>
                <w:rFonts w:hint="eastAsia"/>
                <w:color w:val="auto"/>
                <w:highlight w:val="none"/>
              </w:rPr>
            </w:pPr>
          </w:p>
        </w:tc>
        <w:tc>
          <w:tcPr>
            <w:tcW w:w="1057"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7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keepNext w:val="0"/>
              <w:keepLines w:val="0"/>
              <w:widowControl/>
              <w:suppressLineNumbers w:val="0"/>
              <w:spacing w:before="0" w:beforeAutospacing="0" w:after="0" w:afterAutospacing="0"/>
              <w:ind w:left="0" w:right="0"/>
              <w:jc w:val="center"/>
              <w:rPr>
                <w:rFonts w:hint="eastAsia" w:cs="仿宋"/>
                <w:color w:val="auto"/>
                <w:kern w:val="0"/>
                <w:highlight w:val="none"/>
              </w:rPr>
            </w:pPr>
            <w:r>
              <w:rPr>
                <w:rFonts w:hint="eastAsia" w:cs="仿宋"/>
                <w:color w:val="auto"/>
                <w:kern w:val="0"/>
                <w:highlight w:val="none"/>
              </w:rPr>
              <w:t>9</w:t>
            </w:r>
          </w:p>
        </w:tc>
        <w:tc>
          <w:tcPr>
            <w:tcW w:w="2072" w:type="dxa"/>
            <w:vAlign w:val="center"/>
          </w:tcPr>
          <w:p>
            <w:pPr>
              <w:keepNext w:val="0"/>
              <w:keepLines w:val="0"/>
              <w:suppressLineNumbers w:val="0"/>
              <w:spacing w:before="0" w:beforeAutospacing="0" w:after="0" w:afterAutospacing="0"/>
              <w:ind w:left="0" w:right="0"/>
              <w:rPr>
                <w:rFonts w:hint="eastAsia"/>
                <w:color w:val="auto"/>
                <w:highlight w:val="none"/>
              </w:rPr>
            </w:pPr>
          </w:p>
        </w:tc>
        <w:tc>
          <w:tcPr>
            <w:tcW w:w="1134"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6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5386" w:type="dxa"/>
            <w:vAlign w:val="center"/>
          </w:tcPr>
          <w:p>
            <w:pPr>
              <w:keepNext w:val="0"/>
              <w:keepLines w:val="0"/>
              <w:suppressLineNumbers w:val="0"/>
              <w:spacing w:before="0" w:beforeAutospacing="0" w:after="0" w:afterAutospacing="0"/>
              <w:ind w:left="0" w:right="0"/>
              <w:jc w:val="left"/>
              <w:rPr>
                <w:rFonts w:hint="eastAsia"/>
                <w:color w:val="auto"/>
                <w:highlight w:val="none"/>
              </w:rPr>
            </w:pPr>
          </w:p>
        </w:tc>
        <w:tc>
          <w:tcPr>
            <w:tcW w:w="1057"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7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keepNext w:val="0"/>
              <w:keepLines w:val="0"/>
              <w:widowControl/>
              <w:suppressLineNumbers w:val="0"/>
              <w:spacing w:before="0" w:beforeAutospacing="0" w:after="0" w:afterAutospacing="0"/>
              <w:ind w:left="0" w:right="0"/>
              <w:jc w:val="center"/>
              <w:rPr>
                <w:rFonts w:hint="eastAsia" w:cs="仿宋"/>
                <w:color w:val="auto"/>
                <w:kern w:val="0"/>
                <w:highlight w:val="none"/>
              </w:rPr>
            </w:pPr>
            <w:r>
              <w:rPr>
                <w:rFonts w:hint="eastAsia" w:cs="仿宋"/>
                <w:color w:val="auto"/>
                <w:kern w:val="0"/>
                <w:highlight w:val="none"/>
              </w:rPr>
              <w:t>10</w:t>
            </w:r>
          </w:p>
        </w:tc>
        <w:tc>
          <w:tcPr>
            <w:tcW w:w="2072" w:type="dxa"/>
            <w:vAlign w:val="center"/>
          </w:tcPr>
          <w:p>
            <w:pPr>
              <w:keepNext w:val="0"/>
              <w:keepLines w:val="0"/>
              <w:suppressLineNumbers w:val="0"/>
              <w:spacing w:before="0" w:beforeAutospacing="0" w:after="0" w:afterAutospacing="0"/>
              <w:ind w:left="0" w:right="0"/>
              <w:rPr>
                <w:rFonts w:hint="eastAsia"/>
                <w:color w:val="auto"/>
                <w:highlight w:val="none"/>
              </w:rPr>
            </w:pPr>
          </w:p>
        </w:tc>
        <w:tc>
          <w:tcPr>
            <w:tcW w:w="1134"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6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5386" w:type="dxa"/>
            <w:vAlign w:val="center"/>
          </w:tcPr>
          <w:p>
            <w:pPr>
              <w:keepNext w:val="0"/>
              <w:keepLines w:val="0"/>
              <w:suppressLineNumbers w:val="0"/>
              <w:spacing w:before="0" w:beforeAutospacing="0" w:after="0" w:afterAutospacing="0"/>
              <w:ind w:left="0" w:right="0"/>
              <w:jc w:val="left"/>
              <w:rPr>
                <w:rFonts w:hint="eastAsia"/>
                <w:color w:val="auto"/>
                <w:highlight w:val="none"/>
              </w:rPr>
            </w:pPr>
          </w:p>
        </w:tc>
        <w:tc>
          <w:tcPr>
            <w:tcW w:w="1057"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c>
          <w:tcPr>
            <w:tcW w:w="1170" w:type="dxa"/>
            <w:vAlign w:val="center"/>
          </w:tcPr>
          <w:p>
            <w:pPr>
              <w:keepNext w:val="0"/>
              <w:keepLines w:val="0"/>
              <w:suppressLineNumbers w:val="0"/>
              <w:spacing w:before="0" w:beforeAutospacing="0" w:after="0" w:afterAutospacing="0"/>
              <w:ind w:left="0" w:right="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0" w:type="dxa"/>
            <w:gridSpan w:val="8"/>
            <w:vAlign w:val="center"/>
          </w:tcPr>
          <w:p>
            <w:pPr>
              <w:keepNext w:val="0"/>
              <w:keepLines w:val="0"/>
              <w:widowControl/>
              <w:suppressLineNumbers w:val="0"/>
              <w:spacing w:before="0" w:beforeAutospacing="0" w:after="0" w:afterAutospacing="0"/>
              <w:ind w:left="0" w:right="0"/>
              <w:rPr>
                <w:rFonts w:hint="eastAsia" w:cs="仿宋"/>
                <w:color w:val="auto"/>
                <w:kern w:val="0"/>
                <w:highlight w:val="none"/>
              </w:rPr>
            </w:pPr>
            <w:r>
              <w:rPr>
                <w:rFonts w:hint="eastAsia"/>
                <w:b/>
                <w:color w:val="auto"/>
                <w:highlight w:val="none"/>
              </w:rPr>
              <w:t xml:space="preserve">合计金额大写：                                             小写：￥ 元  </w:t>
            </w:r>
          </w:p>
        </w:tc>
      </w:tr>
    </w:tbl>
    <w:p>
      <w:pPr>
        <w:rPr>
          <w:b/>
          <w:bCs/>
          <w:color w:val="auto"/>
          <w:highlight w:val="none"/>
        </w:rPr>
        <w:sectPr>
          <w:footerReference r:id="rId8" w:type="default"/>
          <w:pgSz w:w="16838" w:h="11906" w:orient="landscape"/>
          <w:pgMar w:top="1247" w:right="1247" w:bottom="1247" w:left="1247" w:header="85" w:footer="867" w:gutter="0"/>
          <w:cols w:space="425" w:num="1"/>
          <w:docGrid w:type="lines" w:linePitch="312" w:charSpace="0"/>
        </w:sectPr>
      </w:pP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pPr>
        <w:adjustRightInd w:val="0"/>
        <w:snapToGrid w:val="0"/>
        <w:spacing w:line="288" w:lineRule="auto"/>
        <w:rPr>
          <w:color w:val="auto"/>
          <w:sz w:val="21"/>
          <w:szCs w:val="21"/>
          <w:highlight w:val="none"/>
        </w:rPr>
      </w:pPr>
    </w:p>
    <w:p>
      <w:pPr>
        <w:adjustRightInd w:val="0"/>
        <w:snapToGrid w:val="0"/>
        <w:spacing w:line="288" w:lineRule="auto"/>
        <w:ind w:firstLine="422" w:firstLineChars="200"/>
        <w:rPr>
          <w:b/>
          <w:bCs/>
          <w:color w:val="auto"/>
          <w:sz w:val="21"/>
          <w:szCs w:val="21"/>
          <w:highlight w:val="none"/>
        </w:rPr>
      </w:pPr>
      <w:bookmarkStart w:id="49"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49"/>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50"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证明材料：无</w:t>
      </w:r>
    </w:p>
    <w:p>
      <w:pPr>
        <w:adjustRightInd w:val="0"/>
        <w:snapToGrid w:val="0"/>
        <w:spacing w:line="288" w:lineRule="auto"/>
        <w:ind w:firstLine="398" w:firstLineChars="200"/>
        <w:rPr>
          <w:b/>
          <w:bCs/>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rPr>
        <w:t>材料</w:t>
      </w:r>
      <w:r>
        <w:rPr>
          <w:b/>
          <w:color w:val="auto"/>
          <w:spacing w:val="-6"/>
          <w:sz w:val="21"/>
          <w:szCs w:val="21"/>
          <w:highlight w:val="none"/>
        </w:rPr>
        <w:t>。</w:t>
      </w:r>
    </w:p>
    <w:p>
      <w:pPr>
        <w:adjustRightInd w:val="0"/>
        <w:snapToGrid w:val="0"/>
        <w:spacing w:line="288" w:lineRule="auto"/>
        <w:ind w:firstLine="422" w:firstLineChars="200"/>
        <w:rPr>
          <w:b/>
          <w:bCs/>
          <w:color w:val="auto"/>
          <w:sz w:val="21"/>
          <w:szCs w:val="21"/>
          <w:highlight w:val="none"/>
        </w:rPr>
      </w:pPr>
    </w:p>
    <w:bookmarkEnd w:id="5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）属于监狱企业的证明文件（若属于监狱企业）</w:t>
      </w:r>
    </w:p>
    <w:p>
      <w:pPr>
        <w:adjustRightInd w:val="0"/>
        <w:snapToGrid w:val="0"/>
        <w:spacing w:line="288" w:lineRule="auto"/>
        <w:ind w:firstLine="420" w:firstLineChars="200"/>
        <w:rPr>
          <w:color w:val="auto"/>
          <w:sz w:val="21"/>
          <w:szCs w:val="21"/>
          <w:highlight w:val="none"/>
        </w:rPr>
      </w:pPr>
      <w:bookmarkStart w:id="51" w:name="OLE_LINK13"/>
      <w:bookmarkStart w:id="52" w:name="OLE_LINK14"/>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）残疾人福利性单位声明函</w:t>
      </w:r>
      <w:bookmarkEnd w:id="51"/>
      <w:bookmarkEnd w:id="52"/>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）2021年12月（含）以后任意一月供应商授权代表社保缴纳证明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5）货物配置清单</w:t>
      </w:r>
    </w:p>
    <w:p>
      <w:pPr>
        <w:adjustRightInd w:val="0"/>
        <w:snapToGrid w:val="0"/>
        <w:spacing w:line="288" w:lineRule="auto"/>
        <w:ind w:firstLine="420" w:firstLineChars="200"/>
        <w:rPr>
          <w:rFonts w:hint="eastAsia"/>
          <w:color w:val="auto"/>
          <w:sz w:val="21"/>
          <w:szCs w:val="21"/>
          <w:highlight w:val="none"/>
        </w:rPr>
      </w:pPr>
      <w:bookmarkStart w:id="53" w:name="_Hlk71884196"/>
      <w:r>
        <w:rPr>
          <w:rFonts w:hint="eastAsia"/>
          <w:color w:val="auto"/>
          <w:sz w:val="21"/>
          <w:szCs w:val="21"/>
          <w:highlight w:val="none"/>
        </w:rPr>
        <w:t>（</w:t>
      </w:r>
      <w:r>
        <w:rPr>
          <w:rFonts w:hint="eastAsia"/>
          <w:color w:val="auto"/>
          <w:sz w:val="21"/>
          <w:szCs w:val="21"/>
          <w:highlight w:val="none"/>
          <w:lang w:val="en-US" w:eastAsia="zh-CN"/>
        </w:rPr>
        <w:t>6</w:t>
      </w:r>
      <w:r>
        <w:rPr>
          <w:color w:val="auto"/>
          <w:sz w:val="21"/>
          <w:szCs w:val="21"/>
          <w:highlight w:val="none"/>
        </w:rPr>
        <w:t>）</w:t>
      </w:r>
      <w:r>
        <w:rPr>
          <w:rFonts w:hint="eastAsia"/>
          <w:color w:val="auto"/>
          <w:sz w:val="21"/>
          <w:szCs w:val="21"/>
          <w:highlight w:val="none"/>
        </w:rPr>
        <w:t>技术方案</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7</w:t>
      </w:r>
      <w:r>
        <w:rPr>
          <w:color w:val="auto"/>
          <w:sz w:val="21"/>
          <w:szCs w:val="21"/>
          <w:highlight w:val="none"/>
        </w:rPr>
        <w:t>）</w:t>
      </w:r>
      <w:r>
        <w:rPr>
          <w:rFonts w:hint="eastAsia"/>
          <w:color w:val="auto"/>
          <w:sz w:val="21"/>
          <w:szCs w:val="21"/>
          <w:highlight w:val="none"/>
        </w:rPr>
        <w:t>服务团队</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8</w:t>
      </w:r>
      <w:r>
        <w:rPr>
          <w:color w:val="auto"/>
          <w:sz w:val="21"/>
          <w:szCs w:val="21"/>
          <w:highlight w:val="none"/>
        </w:rPr>
        <w:t>）</w:t>
      </w:r>
      <w:r>
        <w:rPr>
          <w:rFonts w:hint="eastAsia"/>
          <w:color w:val="auto"/>
          <w:sz w:val="21"/>
          <w:szCs w:val="21"/>
          <w:highlight w:val="none"/>
        </w:rPr>
        <w:t>合理化建议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9</w:t>
      </w:r>
      <w:r>
        <w:rPr>
          <w:rFonts w:hint="eastAsia"/>
          <w:color w:val="auto"/>
          <w:sz w:val="21"/>
          <w:szCs w:val="21"/>
          <w:highlight w:val="none"/>
        </w:rPr>
        <w:t>）供应商需要说明的其他文件和材料</w:t>
      </w:r>
      <w:bookmarkEnd w:id="53"/>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bookmarkStart w:id="54" w:name="_Hlk94097338"/>
      <w:r>
        <w:rPr>
          <w:rFonts w:hint="eastAsia"/>
          <w:b/>
          <w:bCs/>
          <w:color w:val="auto"/>
          <w:sz w:val="21"/>
          <w:szCs w:val="21"/>
          <w:highlight w:val="none"/>
        </w:rPr>
        <w:t>资格审查要求的资格证明材料(均需加盖公章)</w:t>
      </w:r>
    </w:p>
    <w:bookmarkEnd w:id="54"/>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t>说明：</w:t>
      </w:r>
    </w:p>
    <w:p>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shd w:val="clear" w:color="auto" w:fill="FFFFFF"/>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致：浙江经济职业技术学院、浙江求是招标代理有限公司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bookmarkStart w:id="55"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5"/>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3）落实政府采购政策需满足的资格要求：无</w:t>
      </w: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pPr>
        <w:adjustRightInd w:val="0"/>
        <w:snapToGrid w:val="0"/>
        <w:spacing w:line="288" w:lineRule="auto"/>
        <w:rPr>
          <w:color w:val="auto"/>
          <w:sz w:val="21"/>
          <w:szCs w:val="21"/>
          <w:highlight w:val="none"/>
        </w:rPr>
      </w:pPr>
      <w:r>
        <w:rPr>
          <w:rFonts w:hint="eastAsia"/>
          <w:color w:val="auto"/>
          <w:sz w:val="21"/>
          <w:szCs w:val="21"/>
          <w:highlight w:val="none"/>
        </w:rPr>
        <w:t>采 购 人：浙江经济职业技术学院</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财会金融技能竞赛平台（智能财税、财务会计等实训平台）</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QSZB-Z(H)-B22388(CS)</w:t>
      </w:r>
    </w:p>
    <w:tbl>
      <w:tblPr>
        <w:tblStyle w:val="18"/>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bookmarkStart w:id="56" w:name="_Hlk97040054"/>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规格型号</w:t>
            </w:r>
          </w:p>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left"/>
              <w:rPr>
                <w:rFonts w:hint="eastAsia"/>
                <w:b/>
                <w:bCs/>
                <w:color w:val="auto"/>
                <w:sz w:val="21"/>
                <w:szCs w:val="21"/>
                <w:highlight w:val="none"/>
              </w:rPr>
            </w:pPr>
            <w:r>
              <w:rPr>
                <w:rFonts w:hint="eastAsia" w:cs="Times New Roman"/>
                <w:b/>
                <w:color w:val="auto"/>
                <w:spacing w:val="-6"/>
                <w:sz w:val="21"/>
                <w:szCs w:val="21"/>
                <w:highlight w:val="none"/>
              </w:rPr>
              <w:t>说明：采购人将以合同形式有偿取得货物或服务，不接受供应商给予的赠品、回扣或者与采购无关的其他商品、服务。</w:t>
            </w:r>
          </w:p>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总价（人民币元）</w:t>
            </w:r>
          </w:p>
          <w:p>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b/>
                <w:bCs/>
                <w:color w:val="auto"/>
                <w:sz w:val="21"/>
                <w:szCs w:val="21"/>
                <w:highlight w:val="none"/>
              </w:rPr>
              <w:t>小写：_________________________</w:t>
            </w:r>
          </w:p>
          <w:p>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r>
              <w:rPr>
                <w:rFonts w:hint="eastAsia"/>
                <w:b/>
                <w:bCs/>
                <w:color w:val="auto"/>
                <w:sz w:val="21"/>
                <w:szCs w:val="21"/>
                <w:highlight w:val="none"/>
              </w:rPr>
              <w:t>大写：_________________________</w:t>
            </w:r>
          </w:p>
          <w:p>
            <w:pPr>
              <w:keepNext w:val="0"/>
              <w:keepLines w:val="0"/>
              <w:suppressLineNumbers w:val="0"/>
              <w:adjustRightInd w:val="0"/>
              <w:snapToGrid w:val="0"/>
              <w:spacing w:before="0" w:beforeAutospacing="0" w:after="0" w:afterAutospacing="0" w:line="288" w:lineRule="auto"/>
              <w:ind w:left="0" w:right="0"/>
              <w:rPr>
                <w:rFonts w:hint="eastAsia"/>
                <w:b/>
                <w:bCs/>
                <w:color w:val="auto"/>
                <w:sz w:val="21"/>
                <w:szCs w:val="21"/>
                <w:highlight w:val="none"/>
              </w:rPr>
            </w:pPr>
          </w:p>
        </w:tc>
      </w:tr>
      <w:bookmarkEnd w:id="56"/>
    </w:tbl>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bookmarkStart w:id="57" w:name="_Hlk97040072"/>
      <w:r>
        <w:rPr>
          <w:rFonts w:hint="eastAsia" w:cs="Times New Roman"/>
          <w:b/>
          <w:bCs/>
          <w:color w:val="auto"/>
          <w:spacing w:val="-6"/>
          <w:sz w:val="21"/>
          <w:szCs w:val="21"/>
          <w:highlight w:val="none"/>
        </w:rPr>
        <w:t>说明：</w:t>
      </w:r>
    </w:p>
    <w:p>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7"/>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w:t>
      </w:r>
      <w:r>
        <w:rPr>
          <w:b/>
          <w:bCs/>
          <w:color w:val="auto"/>
          <w:sz w:val="21"/>
          <w:szCs w:val="21"/>
          <w:highlight w:val="none"/>
        </w:rPr>
        <w:t>中小企业声明函（货物）</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color w:val="auto"/>
          <w:sz w:val="21"/>
          <w:szCs w:val="21"/>
          <w:highlight w:val="none"/>
        </w:rPr>
      </w:pPr>
      <w:r>
        <w:rPr>
          <w:i/>
          <w:color w:val="auto"/>
          <w:sz w:val="21"/>
          <w:szCs w:val="21"/>
          <w:highlight w:val="none"/>
          <w:u w:val="single"/>
        </w:rPr>
        <w:t>1. （标的名称）</w:t>
      </w:r>
      <w:r>
        <w:rPr>
          <w:i/>
          <w:color w:val="auto"/>
          <w:sz w:val="21"/>
          <w:szCs w:val="21"/>
          <w:highlight w:val="none"/>
        </w:rPr>
        <w:t xml:space="preserve"> </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采购文件中明确的所属行业）行业</w:t>
      </w:r>
      <w:r>
        <w:rPr>
          <w:color w:val="auto"/>
          <w:sz w:val="21"/>
          <w:szCs w:val="21"/>
          <w:highlight w:val="none"/>
        </w:rPr>
        <w:t>；制造商为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i/>
          <w:color w:val="auto"/>
          <w:sz w:val="21"/>
          <w:szCs w:val="21"/>
          <w:highlight w:val="none"/>
          <w:u w:val="single"/>
        </w:rPr>
        <w:t>2. （标的名称）</w:t>
      </w:r>
      <w:r>
        <w:rPr>
          <w:i/>
          <w:color w:val="auto"/>
          <w:sz w:val="21"/>
          <w:szCs w:val="21"/>
          <w:highlight w:val="none"/>
        </w:rPr>
        <w:t xml:space="preserve"> </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采购文件中明确的所属行业）行业</w:t>
      </w:r>
      <w:r>
        <w:rPr>
          <w:color w:val="auto"/>
          <w:sz w:val="21"/>
          <w:szCs w:val="21"/>
          <w:highlight w:val="none"/>
        </w:rPr>
        <w:t>；制造商为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rFonts w:hint="eastAsia"/>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bookmarkStart w:id="58" w:name="_Hlk71885339"/>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w:t>
      </w:r>
      <w:bookmarkStart w:id="59" w:name="_Hlk104288877"/>
      <w:r>
        <w:rPr>
          <w:rFonts w:hint="eastAsia" w:cs="Times New Roman"/>
          <w:color w:val="auto"/>
          <w:sz w:val="21"/>
          <w:szCs w:val="22"/>
          <w:highlight w:val="none"/>
        </w:rPr>
        <w:t>不享受中小企业扶持政策。</w:t>
      </w:r>
      <w:bookmarkEnd w:id="59"/>
      <w:r>
        <w:rPr>
          <w:color w:val="auto"/>
          <w:sz w:val="21"/>
          <w:szCs w:val="21"/>
          <w:highlight w:val="none"/>
        </w:rPr>
        <w:t>如项目包含“多件”标的物的，需按标的物项数逐项填写。</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bookmarkEnd w:id="58"/>
    </w:p>
    <w:p>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widowControl/>
        <w:adjustRightInd w:val="0"/>
        <w:snapToGrid w:val="0"/>
        <w:spacing w:line="288" w:lineRule="auto"/>
        <w:ind w:firstLine="495" w:firstLineChars="236"/>
        <w:jc w:val="left"/>
        <w:rPr>
          <w:color w:val="auto"/>
          <w:sz w:val="21"/>
          <w:szCs w:val="21"/>
          <w:highlight w:val="none"/>
        </w:rPr>
      </w:pPr>
      <w:r>
        <w:rPr>
          <w:color w:val="auto"/>
          <w:sz w:val="21"/>
          <w:szCs w:val="21"/>
          <w:highlight w:val="none"/>
        </w:rPr>
        <w:br w:type="page"/>
      </w:r>
    </w:p>
    <w:p>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w:t>
      </w:r>
      <w:r>
        <w:rPr>
          <w:b/>
          <w:bCs/>
          <w:color w:val="auto"/>
          <w:sz w:val="21"/>
          <w:szCs w:val="21"/>
          <w:highlight w:val="none"/>
        </w:rPr>
        <w:t>中小企业声明函（工程、服务）</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.（标的名称），属于（采购文件中明确的所属行业）；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rFonts w:hint="eastAsia"/>
          <w:i/>
          <w:color w:val="auto"/>
          <w:sz w:val="21"/>
          <w:szCs w:val="21"/>
          <w:highlight w:val="none"/>
          <w:u w:val="single"/>
        </w:rPr>
        <w:t>2</w:t>
      </w:r>
      <w:r>
        <w:rPr>
          <w:i/>
          <w:color w:val="auto"/>
          <w:sz w:val="21"/>
          <w:szCs w:val="21"/>
          <w:highlight w:val="none"/>
          <w:u w:val="single"/>
        </w:rPr>
        <w:t>.（标的名称）</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w:t>
      </w:r>
      <w:r>
        <w:rPr>
          <w:rFonts w:hint="eastAsia" w:cs="Times New Roman"/>
          <w:color w:val="auto"/>
          <w:sz w:val="21"/>
          <w:szCs w:val="22"/>
          <w:highlight w:val="none"/>
        </w:rPr>
        <w:t>不享受中小企业扶持政策。</w:t>
      </w:r>
      <w:r>
        <w:rPr>
          <w:color w:val="auto"/>
          <w:sz w:val="21"/>
          <w:szCs w:val="21"/>
          <w:highlight w:val="none"/>
        </w:rPr>
        <w:t>如项目包含“多件”标的物的，需按标的物项数逐项填写。</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w:t>
      </w:r>
      <w:r>
        <w:rPr>
          <w:b/>
          <w:color w:val="auto"/>
          <w:spacing w:val="-6"/>
          <w:sz w:val="21"/>
          <w:szCs w:val="21"/>
          <w:highlight w:val="none"/>
        </w:rPr>
        <w:t>3</w:t>
      </w:r>
      <w:r>
        <w:rPr>
          <w:rFonts w:hint="eastAsia"/>
          <w:b/>
          <w:color w:val="auto"/>
          <w:spacing w:val="-6"/>
          <w:sz w:val="21"/>
          <w:szCs w:val="21"/>
          <w:highlight w:val="none"/>
        </w:rPr>
        <w:t>）属于监狱企业的证明文件（若属于监狱企业）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）残疾人福利性单位声明函（若属于残疾人福利性单位）</w:t>
      </w:r>
    </w:p>
    <w:p>
      <w:pPr>
        <w:adjustRightInd w:val="0"/>
        <w:snapToGrid w:val="0"/>
        <w:spacing w:line="288" w:lineRule="auto"/>
        <w:rPr>
          <w:rFonts w:cs="Times New Roman"/>
          <w:b/>
          <w:color w:val="auto"/>
          <w:spacing w:val="6"/>
          <w:sz w:val="21"/>
          <w:szCs w:val="21"/>
          <w:highlight w:val="none"/>
        </w:rPr>
      </w:pP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致：浙江经济职业技术学院、浙江求是招标代理有限公司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z w:val="21"/>
          <w:szCs w:val="21"/>
          <w:highlight w:val="none"/>
        </w:rPr>
      </w:pPr>
      <w:bookmarkStart w:id="60"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浙江经济职业技术学院</w:t>
      </w:r>
      <w:r>
        <w:rPr>
          <w:rFonts w:hint="eastAsia" w:cs="Times New Roman"/>
          <w:bCs/>
          <w:color w:val="auto"/>
          <w:spacing w:val="-6"/>
          <w:sz w:val="21"/>
          <w:szCs w:val="21"/>
          <w:highlight w:val="none"/>
          <w:u w:val="single"/>
          <w:lang w:eastAsia="zh-CN"/>
        </w:rPr>
        <w:t>财会金融技能竞赛平台（智能财税、财务会计等实训平台）</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QSZB-Z(H)-B22388(CS)</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60"/>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9"/>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bookmarkStart w:id="61" w:name="_Hlk97040154"/>
            <w:r>
              <w:rPr>
                <w:rFonts w:hint="eastAsia" w:cs="Times New Roman"/>
                <w:color w:val="auto"/>
                <w:spacing w:val="-6"/>
                <w:kern w:val="0"/>
                <w:sz w:val="21"/>
                <w:szCs w:val="21"/>
                <w:highlight w:val="none"/>
              </w:rPr>
              <w:t>联系人：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spacing w:val="-6"/>
                <w:kern w:val="0"/>
                <w:sz w:val="21"/>
                <w:szCs w:val="21"/>
                <w:highlight w:val="none"/>
              </w:rPr>
            </w:pPr>
          </w:p>
        </w:tc>
      </w:tr>
      <w:bookmarkEnd w:id="61"/>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bookmarkStart w:id="62"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2"/>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）法定代表人授权委托书</w:t>
      </w:r>
    </w:p>
    <w:p>
      <w:pPr>
        <w:adjustRightInd w:val="0"/>
        <w:snapToGrid w:val="0"/>
        <w:spacing w:line="288" w:lineRule="auto"/>
        <w:rPr>
          <w:color w:val="auto"/>
          <w:sz w:val="21"/>
          <w:szCs w:val="21"/>
          <w:highlight w:val="none"/>
        </w:rPr>
      </w:pPr>
      <w:bookmarkStart w:id="63" w:name="_Hlk97040253"/>
      <w:r>
        <w:rPr>
          <w:rFonts w:hint="eastAsia"/>
          <w:color w:val="auto"/>
          <w:sz w:val="21"/>
          <w:szCs w:val="21"/>
          <w:highlight w:val="none"/>
        </w:rPr>
        <w:t>致：浙江经济职业技术学院、浙江求是招标代理有限公司</w:t>
      </w:r>
    </w:p>
    <w:p>
      <w:pPr>
        <w:adjustRightInd w:val="0"/>
        <w:snapToGrid w:val="0"/>
        <w:spacing w:line="288" w:lineRule="auto"/>
        <w:ind w:firstLine="396" w:firstLineChars="200"/>
        <w:rPr>
          <w:rFonts w:cs="Times New Roman"/>
          <w:bCs/>
          <w:color w:val="auto"/>
          <w:spacing w:val="-6"/>
          <w:sz w:val="21"/>
          <w:szCs w:val="21"/>
          <w:highlight w:val="none"/>
        </w:rPr>
      </w:pPr>
      <w:r>
        <w:rPr>
          <w:rFonts w:hint="eastAsia" w:cs="Times New Roman"/>
          <w:bCs/>
          <w:color w:val="auto"/>
          <w:spacing w:val="-6"/>
          <w:sz w:val="21"/>
          <w:szCs w:val="21"/>
          <w:highlight w:val="none"/>
        </w:rPr>
        <w:t>我</w:t>
      </w:r>
      <w:r>
        <w:rPr>
          <w:rFonts w:cs="Times New Roman"/>
          <w:color w:val="auto"/>
          <w:spacing w:val="-6"/>
          <w:sz w:val="21"/>
          <w:szCs w:val="21"/>
          <w:highlight w:val="none"/>
        </w:rPr>
        <w:t>________________</w:t>
      </w:r>
      <w:r>
        <w:rPr>
          <w:rFonts w:hint="eastAsia" w:cs="Times New Roman"/>
          <w:color w:val="auto"/>
          <w:spacing w:val="-6"/>
          <w:sz w:val="21"/>
          <w:szCs w:val="21"/>
          <w:highlight w:val="none"/>
        </w:rPr>
        <w:t>（</w:t>
      </w:r>
      <w:r>
        <w:rPr>
          <w:rFonts w:cs="Times New Roman"/>
          <w:bCs/>
          <w:color w:val="auto"/>
          <w:spacing w:val="-6"/>
          <w:sz w:val="21"/>
          <w:szCs w:val="21"/>
          <w:highlight w:val="none"/>
        </w:rPr>
        <w:t>姓名</w:t>
      </w:r>
      <w:r>
        <w:rPr>
          <w:rFonts w:hint="eastAsia" w:cs="Times New Roman"/>
          <w:bCs/>
          <w:color w:val="auto"/>
          <w:spacing w:val="-6"/>
          <w:sz w:val="21"/>
          <w:szCs w:val="21"/>
          <w:highlight w:val="none"/>
        </w:rPr>
        <w:t>）</w:t>
      </w:r>
      <w:r>
        <w:rPr>
          <w:rFonts w:cs="Times New Roman"/>
          <w:bCs/>
          <w:color w:val="auto"/>
          <w:spacing w:val="-6"/>
          <w:sz w:val="21"/>
          <w:szCs w:val="21"/>
          <w:highlight w:val="none"/>
        </w:rPr>
        <w:t>系</w:t>
      </w:r>
      <w:r>
        <w:rPr>
          <w:rFonts w:hint="eastAsia" w:cs="Times New Roman"/>
          <w:bCs/>
          <w:color w:val="auto"/>
          <w:spacing w:val="-6"/>
          <w:sz w:val="21"/>
          <w:szCs w:val="21"/>
          <w:highlight w:val="none"/>
        </w:rPr>
        <w:t>_________________________（供应商名称）</w:t>
      </w:r>
      <w:r>
        <w:rPr>
          <w:rFonts w:cs="Times New Roman"/>
          <w:bCs/>
          <w:color w:val="auto"/>
          <w:spacing w:val="-6"/>
          <w:sz w:val="21"/>
          <w:szCs w:val="21"/>
          <w:highlight w:val="none"/>
        </w:rPr>
        <w:t>的法定代表人，身份证</w:t>
      </w:r>
      <w:r>
        <w:rPr>
          <w:rFonts w:hint="eastAsia" w:cs="Times New Roman"/>
          <w:bCs/>
          <w:color w:val="auto"/>
          <w:spacing w:val="-6"/>
          <w:sz w:val="21"/>
          <w:szCs w:val="21"/>
          <w:highlight w:val="none"/>
        </w:rPr>
        <w:t>号码：_________________________________。</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现授权委托本单位在职职工：</w:t>
      </w:r>
      <w:r>
        <w:rPr>
          <w:rFonts w:cs="Times New Roman"/>
          <w:color w:val="auto"/>
          <w:spacing w:val="-6"/>
          <w:sz w:val="21"/>
          <w:szCs w:val="21"/>
          <w:highlight w:val="none"/>
        </w:rPr>
        <w:t>_________</w:t>
      </w:r>
      <w:r>
        <w:rPr>
          <w:rFonts w:hint="eastAsia" w:cs="Times New Roman"/>
          <w:color w:val="auto"/>
          <w:spacing w:val="-6"/>
          <w:sz w:val="21"/>
          <w:szCs w:val="21"/>
          <w:highlight w:val="none"/>
        </w:rPr>
        <w:t>（姓名），身份证号码：</w:t>
      </w:r>
      <w:r>
        <w:rPr>
          <w:rFonts w:cs="Times New Roman"/>
          <w:color w:val="auto"/>
          <w:spacing w:val="-6"/>
          <w:sz w:val="21"/>
          <w:szCs w:val="21"/>
          <w:highlight w:val="none"/>
        </w:rPr>
        <w:t>_______________</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浙江经济职业技术学院</w:t>
      </w:r>
      <w:r>
        <w:rPr>
          <w:rFonts w:hint="eastAsia" w:cs="Times New Roman"/>
          <w:bCs/>
          <w:color w:val="auto"/>
          <w:spacing w:val="-6"/>
          <w:sz w:val="21"/>
          <w:szCs w:val="21"/>
          <w:highlight w:val="none"/>
          <w:lang w:eastAsia="zh-CN"/>
        </w:rPr>
        <w:t>财会金融技能竞赛平台（智能财税、财务会计等实训平台）</w:t>
      </w:r>
      <w:r>
        <w:rPr>
          <w:rFonts w:hint="eastAsia" w:cs="Times New Roman"/>
          <w:bCs/>
          <w:color w:val="auto"/>
          <w:spacing w:val="-6"/>
          <w:sz w:val="21"/>
          <w:szCs w:val="21"/>
          <w:highlight w:val="none"/>
        </w:rPr>
        <w:t>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rPr>
        <w:t>的磋商活动，并代表我方全权办理针对上述项目的</w:t>
      </w:r>
      <w:r>
        <w:rPr>
          <w:rFonts w:hint="eastAsia"/>
          <w:color w:val="auto"/>
          <w:sz w:val="21"/>
          <w:szCs w:val="21"/>
          <w:highlight w:val="none"/>
        </w:rPr>
        <w:t>磋商文件开启、磋商、评审、签约等具体事务和签署相关文件。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我方对被授权人的签名负全部责任。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被授权人无转委托权，特此委托。</w:t>
      </w:r>
    </w:p>
    <w:p>
      <w:pPr>
        <w:adjustRightInd w:val="0"/>
        <w:snapToGrid w:val="0"/>
        <w:spacing w:line="288" w:lineRule="auto"/>
        <w:ind w:firstLine="420" w:firstLineChars="200"/>
        <w:rPr>
          <w:color w:val="auto"/>
          <w:sz w:val="21"/>
          <w:szCs w:val="21"/>
          <w:highlight w:val="none"/>
          <w:u w:val="single"/>
        </w:rPr>
      </w:pPr>
      <w:r>
        <w:rPr>
          <w:rFonts w:hint="eastAsia"/>
          <w:color w:val="auto"/>
          <w:sz w:val="21"/>
          <w:szCs w:val="21"/>
          <w:highlight w:val="none"/>
          <w:u w:val="single"/>
        </w:rPr>
        <w:t>▲供应商授权代表必须为供应商本单位在职职工，并提供</w:t>
      </w:r>
      <w:r>
        <w:rPr>
          <w:color w:val="auto"/>
          <w:sz w:val="21"/>
          <w:szCs w:val="21"/>
          <w:highlight w:val="none"/>
          <w:u w:val="single"/>
        </w:rPr>
        <w:t>2021年12月（含）以后任意一月社保缴纳证明</w:t>
      </w:r>
      <w:r>
        <w:rPr>
          <w:rFonts w:hint="eastAsia"/>
          <w:color w:val="auto"/>
          <w:sz w:val="21"/>
          <w:szCs w:val="21"/>
          <w:highlight w:val="none"/>
          <w:u w:val="singl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法定代表人（签名或盖章）：</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tbl>
      <w:tblPr>
        <w:tblStyle w:val="1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tcPr>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r>
              <w:rPr>
                <w:rFonts w:hint="eastAsia" w:cs="Times New Roman"/>
                <w:color w:val="auto"/>
                <w:kern w:val="0"/>
                <w:sz w:val="21"/>
                <w:szCs w:val="21"/>
                <w:highlight w:val="none"/>
              </w:rPr>
              <w:t>法定代表人身份证明：</w:t>
            </w: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r>
              <w:rPr>
                <w:rFonts w:hint="eastAsia" w:cs="Times New Roman"/>
                <w:color w:val="auto"/>
                <w:kern w:val="0"/>
                <w:sz w:val="21"/>
                <w:szCs w:val="21"/>
                <w:highlight w:val="none"/>
              </w:rPr>
              <w:t>授权代表身份证明：</w:t>
            </w: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s="Times New Roman"/>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p>
        </w:tc>
      </w:tr>
      <w:bookmarkEnd w:id="63"/>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）2021年12月（含）以后任意一月的供应商授权代表社保缴纳证明</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（授权代表为法定代表人可不提供）</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9"/>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36"/>
        <w:gridCol w:w="1250"/>
        <w:gridCol w:w="1394"/>
        <w:gridCol w:w="1233"/>
        <w:gridCol w:w="881"/>
        <w:gridCol w:w="97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序号</w:t>
            </w:r>
          </w:p>
        </w:tc>
        <w:tc>
          <w:tcPr>
            <w:tcW w:w="12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采购人</w:t>
            </w:r>
          </w:p>
        </w:tc>
        <w:tc>
          <w:tcPr>
            <w:tcW w:w="125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项目名称</w:t>
            </w:r>
          </w:p>
        </w:tc>
        <w:tc>
          <w:tcPr>
            <w:tcW w:w="139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数量</w:t>
            </w:r>
          </w:p>
        </w:tc>
        <w:tc>
          <w:tcPr>
            <w:tcW w:w="123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合同金额</w:t>
            </w:r>
          </w:p>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（万元）</w:t>
            </w:r>
          </w:p>
        </w:tc>
        <w:tc>
          <w:tcPr>
            <w:tcW w:w="8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附件页码</w:t>
            </w:r>
          </w:p>
        </w:tc>
        <w:tc>
          <w:tcPr>
            <w:tcW w:w="97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合同签订时间</w:t>
            </w:r>
          </w:p>
        </w:tc>
        <w:tc>
          <w:tcPr>
            <w:tcW w:w="166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采购人联系人</w:t>
            </w:r>
          </w:p>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39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3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7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66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39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3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7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66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39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3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7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66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5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39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23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8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97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166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pPr>
        <w:adjustRightInd w:val="0"/>
        <w:snapToGrid w:val="0"/>
        <w:spacing w:line="288" w:lineRule="auto"/>
        <w:rPr>
          <w:color w:val="auto"/>
          <w:sz w:val="21"/>
          <w:szCs w:val="21"/>
          <w:highlight w:val="none"/>
        </w:rPr>
      </w:pPr>
      <w:r>
        <w:rPr>
          <w:rFonts w:hint="eastAsia"/>
          <w:color w:val="auto"/>
          <w:sz w:val="21"/>
          <w:szCs w:val="21"/>
          <w:highlight w:val="none"/>
        </w:rPr>
        <w:t>采 购 人：浙江经济职业技术学院</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财会金融技能竞赛平台（智能财税、财务会计等实训平台）</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QSZB-Z(H)-B22388(CS)</w:t>
      </w:r>
    </w:p>
    <w:tbl>
      <w:tblPr>
        <w:tblStyle w:val="19"/>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200"/>
        <w:gridCol w:w="2836"/>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bookmarkStart w:id="64" w:name="_Hlk97040421"/>
            <w:r>
              <w:rPr>
                <w:rFonts w:hint="eastAsia"/>
                <w:b/>
                <w:bCs/>
                <w:color w:val="auto"/>
                <w:kern w:val="0"/>
                <w:sz w:val="21"/>
                <w:szCs w:val="21"/>
                <w:highlight w:val="none"/>
              </w:rPr>
              <w:t>序号</w:t>
            </w:r>
          </w:p>
        </w:tc>
        <w:tc>
          <w:tcPr>
            <w:tcW w:w="320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磋商文件要求</w:t>
            </w:r>
          </w:p>
        </w:tc>
        <w:tc>
          <w:tcPr>
            <w:tcW w:w="28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响应规格</w:t>
            </w:r>
          </w:p>
        </w:tc>
        <w:tc>
          <w:tcPr>
            <w:tcW w:w="235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b/>
                <w:bCs/>
                <w:color w:val="auto"/>
                <w:kern w:val="0"/>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eastAsia"/>
                <w:b/>
                <w:bCs/>
                <w:color w:val="auto"/>
                <w:kern w:val="0"/>
                <w:sz w:val="21"/>
                <w:szCs w:val="21"/>
                <w:highlight w:val="none"/>
              </w:rPr>
            </w:pPr>
            <w:r>
              <w:rPr>
                <w:rFonts w:hint="eastAsia"/>
                <w:b/>
                <w:bCs/>
                <w:color w:val="auto"/>
                <w:kern w:val="0"/>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w:t>
            </w:r>
          </w:p>
        </w:tc>
        <w:tc>
          <w:tcPr>
            <w:tcW w:w="320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8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35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2</w:t>
            </w:r>
          </w:p>
        </w:tc>
        <w:tc>
          <w:tcPr>
            <w:tcW w:w="320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8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35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w:t>
            </w:r>
          </w:p>
        </w:tc>
        <w:tc>
          <w:tcPr>
            <w:tcW w:w="320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8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35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b/>
                <w:bCs/>
                <w:color w:val="auto"/>
                <w:kern w:val="0"/>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w:t>
            </w:r>
          </w:p>
        </w:tc>
        <w:tc>
          <w:tcPr>
            <w:tcW w:w="320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8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35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2</w:t>
            </w:r>
          </w:p>
        </w:tc>
        <w:tc>
          <w:tcPr>
            <w:tcW w:w="320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8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35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w:t>
            </w:r>
          </w:p>
        </w:tc>
        <w:tc>
          <w:tcPr>
            <w:tcW w:w="320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8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35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b/>
                <w:bCs/>
                <w:color w:val="auto"/>
                <w:kern w:val="0"/>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1</w:t>
            </w:r>
          </w:p>
        </w:tc>
        <w:tc>
          <w:tcPr>
            <w:tcW w:w="320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8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35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2</w:t>
            </w:r>
          </w:p>
        </w:tc>
        <w:tc>
          <w:tcPr>
            <w:tcW w:w="320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8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35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r>
              <w:rPr>
                <w:rFonts w:hint="eastAsia"/>
                <w:color w:val="auto"/>
                <w:kern w:val="0"/>
                <w:sz w:val="21"/>
                <w:szCs w:val="21"/>
                <w:highlight w:val="none"/>
              </w:rPr>
              <w:t>……</w:t>
            </w:r>
          </w:p>
        </w:tc>
        <w:tc>
          <w:tcPr>
            <w:tcW w:w="320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83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c>
          <w:tcPr>
            <w:tcW w:w="2354"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color w:val="auto"/>
                <w:kern w:val="0"/>
                <w:sz w:val="21"/>
                <w:szCs w:val="21"/>
                <w:highlight w:val="none"/>
              </w:rPr>
            </w:pPr>
          </w:p>
        </w:tc>
      </w:tr>
      <w:bookmarkEnd w:id="64"/>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）货物配置清单</w:t>
      </w:r>
      <w:r>
        <w:rPr>
          <w:rFonts w:hint="eastAsia"/>
          <w:color w:val="auto"/>
          <w:sz w:val="21"/>
          <w:szCs w:val="21"/>
          <w:highlight w:val="none"/>
        </w:rPr>
        <w:t>（不含报价）</w:t>
      </w:r>
    </w:p>
    <w:p>
      <w:pPr>
        <w:adjustRightInd w:val="0"/>
        <w:snapToGrid w:val="0"/>
        <w:spacing w:line="288" w:lineRule="auto"/>
        <w:rPr>
          <w:color w:val="auto"/>
          <w:sz w:val="21"/>
          <w:szCs w:val="21"/>
          <w:highlight w:val="none"/>
        </w:rPr>
      </w:pPr>
    </w:p>
    <w:tbl>
      <w:tblPr>
        <w:tblStyle w:val="18"/>
        <w:tblW w:w="95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218"/>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品牌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规格型号</w:t>
            </w:r>
          </w:p>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r>
              <w:rPr>
                <w:rFonts w:hint="eastAsia"/>
                <w:b/>
                <w:bCs/>
                <w:color w:val="auto"/>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附：产品技术支持材料</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outlineLvl w:val="2"/>
        <w:rPr>
          <w:rFonts w:hint="eastAsia"/>
          <w:b/>
          <w:color w:val="auto"/>
          <w:spacing w:val="-6"/>
          <w:sz w:val="21"/>
          <w:szCs w:val="21"/>
          <w:highlight w:val="none"/>
        </w:rPr>
      </w:pPr>
      <w:bookmarkStart w:id="65" w:name="_Hlk71885757"/>
      <w:r>
        <w:rPr>
          <w:rFonts w:hint="eastAsia"/>
          <w:b/>
          <w:color w:val="auto"/>
          <w:spacing w:val="-6"/>
          <w:sz w:val="21"/>
          <w:szCs w:val="21"/>
          <w:highlight w:val="none"/>
        </w:rPr>
        <w:t>（6）技术方案</w:t>
      </w:r>
    </w:p>
    <w:p>
      <w:pP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rPr>
        <w:t>（7）服务团队</w:t>
      </w:r>
    </w:p>
    <w:p>
      <w:pP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rPr>
        <w:t>（8）合理化建议</w:t>
      </w: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rFonts w:hint="eastAsia"/>
          <w:b/>
          <w:color w:val="auto"/>
          <w:spacing w:val="-6"/>
          <w:sz w:val="21"/>
          <w:szCs w:val="21"/>
          <w:highlight w:val="none"/>
          <w:lang w:val="en-US" w:eastAsia="zh-CN"/>
        </w:rPr>
        <w:t>9</w:t>
      </w:r>
      <w:r>
        <w:rPr>
          <w:rFonts w:hint="eastAsia"/>
          <w:b/>
          <w:color w:val="auto"/>
          <w:spacing w:val="-6"/>
          <w:sz w:val="21"/>
          <w:szCs w:val="21"/>
          <w:highlight w:val="none"/>
        </w:rPr>
        <w:t>）供应商需要说明的其他文件和材料。</w:t>
      </w:r>
      <w:bookmarkEnd w:id="65"/>
    </w:p>
    <w:p>
      <w:pPr>
        <w:widowControl/>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pPr>
        <w:snapToGrid w:val="0"/>
        <w:spacing w:line="288" w:lineRule="auto"/>
        <w:rPr>
          <w:rFonts w:cs="仿宋_GB2312"/>
          <w:color w:val="auto"/>
          <w:sz w:val="21"/>
          <w:szCs w:val="21"/>
          <w:highlight w:val="none"/>
          <w:u w:val="single"/>
        </w:rPr>
      </w:pPr>
    </w:p>
    <w:p>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pPr>
        <w:snapToGrid w:val="0"/>
        <w:spacing w:line="288" w:lineRule="auto"/>
        <w:rPr>
          <w:b/>
          <w:bCs/>
          <w:color w:val="auto"/>
          <w:sz w:val="21"/>
          <w:szCs w:val="21"/>
          <w:highlight w:val="none"/>
        </w:rPr>
      </w:pPr>
    </w:p>
    <w:p>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color w:val="auto"/>
          <w:spacing w:val="-6"/>
          <w:sz w:val="21"/>
          <w:szCs w:val="21"/>
          <w:highlight w:val="none"/>
        </w:rPr>
      </w:pPr>
      <w:r>
        <w:rPr>
          <w:b/>
          <w:color w:val="auto"/>
          <w:spacing w:val="-6"/>
          <w:sz w:val="21"/>
          <w:szCs w:val="21"/>
          <w:highlight w:val="none"/>
        </w:rPr>
        <w:br w:type="page"/>
      </w:r>
    </w:p>
    <w:p>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Times New Roman"/>
          <w:b/>
          <w:bCs/>
          <w:color w:val="auto"/>
          <w:sz w:val="21"/>
          <w:szCs w:val="21"/>
          <w:highlight w:val="none"/>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pPr>
        <w:snapToGrid w:val="0"/>
        <w:spacing w:line="288" w:lineRule="auto"/>
        <w:rPr>
          <w:rFonts w:cs="仿宋_GB2312"/>
          <w:color w:val="auto"/>
          <w:kern w:val="0"/>
          <w:sz w:val="21"/>
          <w:szCs w:val="21"/>
          <w:highlight w:val="none"/>
          <w:lang w:val="zh-CN"/>
        </w:rPr>
      </w:pPr>
    </w:p>
    <w:p>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pPr>
        <w:snapToGrid w:val="0"/>
        <w:spacing w:line="288" w:lineRule="auto"/>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adjustRightInd w:val="0"/>
        <w:snapToGrid w:val="0"/>
        <w:spacing w:line="288" w:lineRule="auto"/>
        <w:rPr>
          <w:color w:val="auto"/>
          <w:highlight w:val="none"/>
        </w:rPr>
      </w:pPr>
    </w:p>
    <w:sectPr>
      <w:footerReference r:id="rId9" w:type="default"/>
      <w:pgSz w:w="11906" w:h="16838"/>
      <w:pgMar w:top="1247" w:right="1247" w:bottom="1247" w:left="1247" w:header="142" w:footer="725"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oung" w:date="2022-09-26T16:52:23Z" w:initials="Y">
    <w:p w14:paraId="2F2608C7">
      <w:pPr>
        <w:pStyle w:val="7"/>
        <w:rPr>
          <w:rFonts w:hint="eastAsia" w:eastAsia="宋体"/>
          <w:lang w:val="en-US" w:eastAsia="zh-CN"/>
        </w:rPr>
      </w:pPr>
      <w:r>
        <w:rPr>
          <w:rFonts w:hint="eastAsia"/>
          <w:lang w:val="en-US" w:eastAsia="zh-CN"/>
        </w:rPr>
        <w:t>财政有说法，建议不演示投标无效。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2608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LIGHT">
    <w:altName w:val="Calibri"/>
    <w:panose1 w:val="00000000000000000000"/>
    <w:charset w:val="00"/>
    <w:family w:val="auto"/>
    <w:pitch w:val="default"/>
    <w:sig w:usb0="00000000" w:usb1="00000000" w:usb2="00000000" w:usb3="00000000" w:csb0="00000000" w:csb1="00000000"/>
  </w:font>
  <w:font w:name="ヒラギノ角ゴ Pro W3">
    <w:altName w:val="HP Simplified Jpan"/>
    <w:panose1 w:val="00000000000000000000"/>
    <w:charset w:val="80"/>
    <w:family w:val="auto"/>
    <w:pitch w:val="default"/>
    <w:sig w:usb0="00000000" w:usb1="00000000" w:usb2="00000000" w:usb3="00000000" w:csb0="00160000" w:csb1="00000000"/>
  </w:font>
  <w:font w:name="Malgun Gothic Semilight">
    <w:panose1 w:val="020B0502040204020203"/>
    <w:charset w:val="86"/>
    <w:family w:val="auto"/>
    <w:pitch w:val="default"/>
    <w:sig w:usb0="900002AF" w:usb1="01D77CFB" w:usb2="00000012" w:usb3="00000000" w:csb0="203E01BD" w:csb1="D7FF0000"/>
  </w:font>
  <w:font w:name="HP Simplified Jpan">
    <w:panose1 w:val="020B0500000000000000"/>
    <w:charset w:val="86"/>
    <w:family w:val="auto"/>
    <w:pitch w:val="default"/>
    <w:sig w:usb0="E00002FF" w:usb1="38C7EDFA" w:usb2="00000012" w:usb3="00000000" w:csb0="2016019F" w:csb1="41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5500" cy="676275"/>
          <wp:effectExtent l="0" t="0" r="762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51DD7"/>
    <w:multiLevelType w:val="singleLevel"/>
    <w:tmpl w:val="C4C51DD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ung">
    <w15:presenceInfo w15:providerId="None" w15:userId="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90433"/>
    <w:rsid w:val="00096F1B"/>
    <w:rsid w:val="000D1CF8"/>
    <w:rsid w:val="000F01E3"/>
    <w:rsid w:val="001101B8"/>
    <w:rsid w:val="00135905"/>
    <w:rsid w:val="0016197C"/>
    <w:rsid w:val="0017776E"/>
    <w:rsid w:val="001B2AFF"/>
    <w:rsid w:val="00216C31"/>
    <w:rsid w:val="0023772A"/>
    <w:rsid w:val="00252BBD"/>
    <w:rsid w:val="00256B2D"/>
    <w:rsid w:val="00282AA7"/>
    <w:rsid w:val="002D5EF5"/>
    <w:rsid w:val="002F1F3F"/>
    <w:rsid w:val="00344B12"/>
    <w:rsid w:val="0035197B"/>
    <w:rsid w:val="00372439"/>
    <w:rsid w:val="00390EF3"/>
    <w:rsid w:val="003A4FDF"/>
    <w:rsid w:val="00494ECD"/>
    <w:rsid w:val="00616FFF"/>
    <w:rsid w:val="006E6002"/>
    <w:rsid w:val="007D76E4"/>
    <w:rsid w:val="00804072"/>
    <w:rsid w:val="008068FB"/>
    <w:rsid w:val="00822FEA"/>
    <w:rsid w:val="008772E5"/>
    <w:rsid w:val="008D6D65"/>
    <w:rsid w:val="009429A3"/>
    <w:rsid w:val="00962A6C"/>
    <w:rsid w:val="009675F7"/>
    <w:rsid w:val="009D3079"/>
    <w:rsid w:val="00A51506"/>
    <w:rsid w:val="00AA32BD"/>
    <w:rsid w:val="00AE5F71"/>
    <w:rsid w:val="00AE7589"/>
    <w:rsid w:val="00B004AC"/>
    <w:rsid w:val="00C33C47"/>
    <w:rsid w:val="00C429C1"/>
    <w:rsid w:val="00C766F5"/>
    <w:rsid w:val="00C77B49"/>
    <w:rsid w:val="00CA58A4"/>
    <w:rsid w:val="00EC091A"/>
    <w:rsid w:val="00F96C83"/>
    <w:rsid w:val="00FB661D"/>
    <w:rsid w:val="00FC3E6F"/>
    <w:rsid w:val="00FD32AD"/>
    <w:rsid w:val="01353548"/>
    <w:rsid w:val="03FC51CE"/>
    <w:rsid w:val="042C6668"/>
    <w:rsid w:val="05CC7F08"/>
    <w:rsid w:val="08976947"/>
    <w:rsid w:val="105145A6"/>
    <w:rsid w:val="10E50F3D"/>
    <w:rsid w:val="13EB1D73"/>
    <w:rsid w:val="1404040E"/>
    <w:rsid w:val="234D3959"/>
    <w:rsid w:val="2CF914F5"/>
    <w:rsid w:val="2E353FD9"/>
    <w:rsid w:val="2EA84230"/>
    <w:rsid w:val="305E2712"/>
    <w:rsid w:val="322559AC"/>
    <w:rsid w:val="32BB6C21"/>
    <w:rsid w:val="35FF0C43"/>
    <w:rsid w:val="366A11A2"/>
    <w:rsid w:val="382C747A"/>
    <w:rsid w:val="3A8D347B"/>
    <w:rsid w:val="3CA87FA2"/>
    <w:rsid w:val="45083D3F"/>
    <w:rsid w:val="4D9E7BA3"/>
    <w:rsid w:val="55905499"/>
    <w:rsid w:val="5720630A"/>
    <w:rsid w:val="5ABF38F0"/>
    <w:rsid w:val="5E280CE0"/>
    <w:rsid w:val="5F5537C9"/>
    <w:rsid w:val="63F93984"/>
    <w:rsid w:val="684F5C01"/>
    <w:rsid w:val="6AF84D92"/>
    <w:rsid w:val="6D7707BF"/>
    <w:rsid w:val="6D7B332E"/>
    <w:rsid w:val="6E361793"/>
    <w:rsid w:val="704C08A9"/>
    <w:rsid w:val="7135726F"/>
    <w:rsid w:val="71E7601A"/>
    <w:rsid w:val="72827B73"/>
    <w:rsid w:val="75635D0A"/>
    <w:rsid w:val="77C03C3B"/>
    <w:rsid w:val="7B534D02"/>
    <w:rsid w:val="7BBF7587"/>
    <w:rsid w:val="7D3C183E"/>
    <w:rsid w:val="CFF75214"/>
    <w:rsid w:val="FC6EA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next w:val="4"/>
    <w:link w:val="24"/>
    <w:unhideWhenUsed/>
    <w:qFormat/>
    <w:uiPriority w:val="99"/>
    <w:pPr>
      <w:tabs>
        <w:tab w:val="center" w:pos="4153"/>
        <w:tab w:val="right" w:pos="8306"/>
      </w:tabs>
      <w:snapToGrid w:val="0"/>
      <w:jc w:val="left"/>
    </w:pPr>
    <w:rPr>
      <w:sz w:val="18"/>
      <w:szCs w:val="18"/>
    </w:rPr>
  </w:style>
  <w:style w:type="paragraph" w:styleId="4">
    <w:name w:val="toc 2"/>
    <w:basedOn w:val="1"/>
    <w:next w:val="1"/>
    <w:unhideWhenUsed/>
    <w:qFormat/>
    <w:uiPriority w:val="39"/>
    <w:pPr>
      <w:ind w:left="200" w:leftChars="200"/>
    </w:pPr>
  </w:style>
  <w:style w:type="paragraph" w:styleId="7">
    <w:name w:val="annotation text"/>
    <w:basedOn w:val="1"/>
    <w:link w:val="25"/>
    <w:unhideWhenUsed/>
    <w:qFormat/>
    <w:uiPriority w:val="99"/>
    <w:pPr>
      <w:jc w:val="left"/>
    </w:pPr>
    <w:rPr>
      <w:rFonts w:ascii="Times New Roman" w:hAnsi="Times New Roman" w:cs="Times New Roman"/>
      <w:sz w:val="28"/>
    </w:rPr>
  </w:style>
  <w:style w:type="paragraph" w:styleId="8">
    <w:name w:val="Body Text"/>
    <w:basedOn w:val="1"/>
    <w:next w:val="1"/>
    <w:link w:val="38"/>
    <w:qFormat/>
    <w:uiPriority w:val="0"/>
    <w:pPr>
      <w:spacing w:after="120"/>
    </w:pPr>
  </w:style>
  <w:style w:type="paragraph" w:styleId="9">
    <w:name w:val="Body Text Indent"/>
    <w:basedOn w:val="1"/>
    <w:next w:val="10"/>
    <w:link w:val="28"/>
    <w:qFormat/>
    <w:uiPriority w:val="0"/>
    <w:pPr>
      <w:spacing w:line="200" w:lineRule="atLeast"/>
      <w:ind w:firstLine="301"/>
    </w:pPr>
    <w:rPr>
      <w:rFonts w:hAnsi="Courier New" w:cs="Times New Roman"/>
      <w:spacing w:val="-4"/>
      <w:sz w:val="18"/>
      <w:szCs w:val="20"/>
    </w:rPr>
  </w:style>
  <w:style w:type="paragraph" w:styleId="10">
    <w:name w:val="Body Text First Indent 2"/>
    <w:basedOn w:val="9"/>
    <w:next w:val="1"/>
    <w:unhideWhenUsed/>
    <w:qFormat/>
    <w:uiPriority w:val="99"/>
    <w:pPr>
      <w:ind w:firstLine="420"/>
    </w:pPr>
  </w:style>
  <w:style w:type="paragraph" w:styleId="11">
    <w:name w:val="Plain Text"/>
    <w:basedOn w:val="1"/>
    <w:link w:val="39"/>
    <w:semiHidden/>
    <w:unhideWhenUsed/>
    <w:qFormat/>
    <w:uiPriority w:val="99"/>
    <w:rPr>
      <w:rFonts w:hAnsi="Courier New" w:cs="Courier New" w:asciiTheme="minorEastAsia" w:eastAsiaTheme="minorEastAsia"/>
    </w:rPr>
  </w:style>
  <w:style w:type="paragraph" w:styleId="12">
    <w:name w:val="Balloon Text"/>
    <w:basedOn w:val="1"/>
    <w:link w:val="27"/>
    <w:qFormat/>
    <w:uiPriority w:val="0"/>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kern w:val="0"/>
    </w:rPr>
  </w:style>
  <w:style w:type="paragraph" w:styleId="16">
    <w:name w:val="annotation subject"/>
    <w:basedOn w:val="7"/>
    <w:next w:val="7"/>
    <w:link w:val="36"/>
    <w:semiHidden/>
    <w:unhideWhenUsed/>
    <w:qFormat/>
    <w:uiPriority w:val="0"/>
    <w:rPr>
      <w:rFonts w:ascii="宋体" w:hAnsi="宋体" w:cs="宋体"/>
      <w:b/>
      <w:bCs/>
      <w:sz w:val="24"/>
    </w:rPr>
  </w:style>
  <w:style w:type="paragraph" w:styleId="17">
    <w:name w:val="Body Text First Indent"/>
    <w:basedOn w:val="8"/>
    <w:qFormat/>
    <w:uiPriority w:val="0"/>
    <w:pPr>
      <w:ind w:firstLine="420" w:firstLineChars="100"/>
    </w:pPr>
  </w:style>
  <w:style w:type="table" w:styleId="19">
    <w:name w:val="Table Grid"/>
    <w:basedOn w:val="1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u w:val="single"/>
    </w:rPr>
  </w:style>
  <w:style w:type="character" w:styleId="22">
    <w:name w:val="annotation reference"/>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3"/>
    <w:qFormat/>
    <w:uiPriority w:val="99"/>
    <w:rPr>
      <w:sz w:val="18"/>
      <w:szCs w:val="18"/>
    </w:rPr>
  </w:style>
  <w:style w:type="character" w:customStyle="1" w:styleId="25">
    <w:name w:val="批注文字 字符"/>
    <w:basedOn w:val="20"/>
    <w:link w:val="7"/>
    <w:qFormat/>
    <w:uiPriority w:val="99"/>
    <w:rPr>
      <w:rFonts w:ascii="Times New Roman" w:hAnsi="Times New Roman" w:eastAsia="宋体" w:cs="Times New Roman"/>
      <w:sz w:val="28"/>
      <w:szCs w:val="24"/>
    </w:rPr>
  </w:style>
  <w:style w:type="character" w:customStyle="1" w:styleId="26">
    <w:name w:val="正文文本缩进 字符"/>
    <w:basedOn w:val="20"/>
    <w:qFormat/>
    <w:uiPriority w:val="0"/>
    <w:rPr>
      <w:rFonts w:ascii="宋体" w:hAnsi="宋体" w:eastAsia="宋体" w:cs="宋体"/>
      <w:sz w:val="24"/>
      <w:szCs w:val="24"/>
    </w:rPr>
  </w:style>
  <w:style w:type="character" w:customStyle="1" w:styleId="27">
    <w:name w:val="批注框文本 字符"/>
    <w:basedOn w:val="20"/>
    <w:link w:val="12"/>
    <w:qFormat/>
    <w:uiPriority w:val="0"/>
    <w:rPr>
      <w:rFonts w:ascii="宋体" w:hAnsi="宋体" w:eastAsia="宋体" w:cs="宋体"/>
      <w:sz w:val="18"/>
      <w:szCs w:val="18"/>
    </w:rPr>
  </w:style>
  <w:style w:type="character" w:customStyle="1" w:styleId="28">
    <w:name w:val="正文文本缩进 字符1"/>
    <w:link w:val="9"/>
    <w:qFormat/>
    <w:uiPriority w:val="0"/>
    <w:rPr>
      <w:rFonts w:ascii="宋体" w:hAnsi="Courier New" w:eastAsia="宋体" w:cs="Times New Roman"/>
      <w:spacing w:val="-4"/>
      <w:sz w:val="18"/>
      <w:szCs w:val="20"/>
    </w:rPr>
  </w:style>
  <w:style w:type="character" w:customStyle="1" w:styleId="29">
    <w:name w:val="正文文本缩进 字符2"/>
    <w:qFormat/>
    <w:uiPriority w:val="0"/>
    <w:rPr>
      <w:rFonts w:ascii="宋体" w:hAnsi="Courier New"/>
      <w:spacing w:val="-4"/>
      <w:kern w:val="2"/>
      <w:sz w:val="18"/>
    </w:rPr>
  </w:style>
  <w:style w:type="character" w:customStyle="1" w:styleId="30">
    <w:name w:val="未处理的提及1"/>
    <w:basedOn w:val="20"/>
    <w:semiHidden/>
    <w:unhideWhenUsed/>
    <w:qFormat/>
    <w:uiPriority w:val="99"/>
    <w:rPr>
      <w:color w:val="605E5C"/>
      <w:shd w:val="clear" w:color="auto" w:fill="E1DFDD"/>
    </w:rPr>
  </w:style>
  <w:style w:type="paragraph" w:styleId="31">
    <w:name w:val="List Paragraph"/>
    <w:basedOn w:val="1"/>
    <w:qFormat/>
    <w:uiPriority w:val="99"/>
    <w:pPr>
      <w:ind w:firstLine="420" w:firstLineChars="200"/>
    </w:pPr>
  </w:style>
  <w:style w:type="paragraph" w:customStyle="1" w:styleId="32">
    <w:name w:val="纯文本1"/>
    <w:basedOn w:val="33"/>
    <w:next w:val="11"/>
    <w:link w:val="35"/>
    <w:qFormat/>
    <w:uiPriority w:val="99"/>
    <w:pPr>
      <w:spacing w:before="156" w:beforeLines="50" w:after="156" w:afterLines="50" w:line="400" w:lineRule="atLeast"/>
    </w:pPr>
    <w:rPr>
      <w:rFonts w:hAnsi="Courier New"/>
    </w:rPr>
  </w:style>
  <w:style w:type="paragraph" w:customStyle="1" w:styleId="33">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34">
    <w:name w:val="纯文本 字符"/>
    <w:basedOn w:val="20"/>
    <w:qFormat/>
    <w:uiPriority w:val="0"/>
    <w:rPr>
      <w:rFonts w:ascii="宋体" w:hAnsi="Courier New" w:eastAsia="宋体" w:cs="Courier New"/>
      <w:kern w:val="2"/>
      <w:sz w:val="24"/>
      <w:szCs w:val="24"/>
    </w:rPr>
  </w:style>
  <w:style w:type="character" w:customStyle="1" w:styleId="35">
    <w:name w:val="纯文本 字符1"/>
    <w:link w:val="32"/>
    <w:qFormat/>
    <w:uiPriority w:val="99"/>
    <w:rPr>
      <w:rFonts w:ascii="宋体" w:hAnsi="Courier New" w:eastAsia="宋体" w:cs="Times New Roman"/>
      <w:kern w:val="2"/>
      <w:sz w:val="24"/>
      <w:szCs w:val="24"/>
    </w:rPr>
  </w:style>
  <w:style w:type="character" w:customStyle="1" w:styleId="36">
    <w:name w:val="批注主题 字符"/>
    <w:basedOn w:val="25"/>
    <w:link w:val="16"/>
    <w:semiHidden/>
    <w:qFormat/>
    <w:uiPriority w:val="0"/>
    <w:rPr>
      <w:rFonts w:ascii="宋体" w:hAnsi="宋体" w:eastAsia="宋体" w:cs="宋体"/>
      <w:b/>
      <w:bCs/>
      <w:sz w:val="24"/>
      <w:szCs w:val="24"/>
    </w:rPr>
  </w:style>
  <w:style w:type="character" w:customStyle="1" w:styleId="37">
    <w:name w:val="未处理的提及2"/>
    <w:basedOn w:val="20"/>
    <w:semiHidden/>
    <w:unhideWhenUsed/>
    <w:qFormat/>
    <w:uiPriority w:val="99"/>
    <w:rPr>
      <w:color w:val="605E5C"/>
      <w:shd w:val="clear" w:color="auto" w:fill="E1DFDD"/>
    </w:rPr>
  </w:style>
  <w:style w:type="character" w:customStyle="1" w:styleId="38">
    <w:name w:val="正文文本 字符"/>
    <w:basedOn w:val="20"/>
    <w:link w:val="8"/>
    <w:qFormat/>
    <w:uiPriority w:val="0"/>
    <w:rPr>
      <w:rFonts w:ascii="宋体" w:hAnsi="宋体" w:eastAsia="宋体" w:cs="宋体"/>
      <w:sz w:val="24"/>
      <w:szCs w:val="24"/>
    </w:rPr>
  </w:style>
  <w:style w:type="character" w:customStyle="1" w:styleId="39">
    <w:name w:val="纯文本 字符2"/>
    <w:basedOn w:val="20"/>
    <w:link w:val="11"/>
    <w:semiHidden/>
    <w:qFormat/>
    <w:uiPriority w:val="99"/>
    <w:rPr>
      <w:rFonts w:hAnsi="Courier New" w:cs="Courier New" w:asciiTheme="minorEastAsia"/>
      <w:sz w:val="24"/>
      <w:szCs w:val="24"/>
    </w:rPr>
  </w:style>
  <w:style w:type="paragraph" w:customStyle="1" w:styleId="40">
    <w:name w:val="Proposals body"/>
    <w:basedOn w:val="1"/>
    <w:next w:val="1"/>
    <w:qFormat/>
    <w:uiPriority w:val="0"/>
    <w:pPr>
      <w:widowControl/>
      <w:spacing w:line="360" w:lineRule="auto"/>
      <w:jc w:val="left"/>
    </w:pPr>
    <w:rPr>
      <w:rFonts w:hAnsi="Times New Roman"/>
      <w:snapToGrid w:val="0"/>
      <w:color w:val="000000"/>
      <w:kern w:val="0"/>
      <w:szCs w:val="20"/>
    </w:rPr>
  </w:style>
  <w:style w:type="paragraph" w:customStyle="1" w:styleId="41">
    <w:name w:val="修订1"/>
    <w:hidden/>
    <w:semiHidden/>
    <w:qFormat/>
    <w:uiPriority w:val="99"/>
    <w:rPr>
      <w:rFonts w:ascii="宋体" w:hAnsi="宋体" w:eastAsia="宋体" w:cs="宋体"/>
      <w:kern w:val="2"/>
      <w:sz w:val="24"/>
      <w:szCs w:val="24"/>
      <w:lang w:val="en-US" w:eastAsia="zh-CN" w:bidi="ar-SA"/>
    </w:rPr>
  </w:style>
  <w:style w:type="paragraph" w:customStyle="1" w:styleId="42">
    <w:name w:val="表内文字"/>
    <w:basedOn w:val="1"/>
    <w:qFormat/>
    <w:uiPriority w:val="0"/>
    <w:pPr>
      <w:tabs>
        <w:tab w:val="left" w:pos="1418"/>
      </w:tabs>
      <w:spacing w:line="360" w:lineRule="auto"/>
      <w:jc w:val="center"/>
    </w:pPr>
    <w:rPr>
      <w:rFonts w:hint="eastAsia" w:ascii="仿宋_GB2312" w:hAnsi="Calibri" w:eastAsia="仿宋_GB2312" w:cs="Times New Roman"/>
      <w:spacing w:val="-2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36844</Words>
  <Characters>38710</Characters>
  <Lines>323</Lines>
  <Paragraphs>91</Paragraphs>
  <TotalTime>13</TotalTime>
  <ScaleCrop>false</ScaleCrop>
  <LinksUpToDate>false</LinksUpToDate>
  <CharactersWithSpaces>39824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2022-08-08T11:50:00Z</dcterms:created>
  <dc:creator>j hj</dc:creator>
  <cp:lastModifiedBy>林心怡</cp:lastModifiedBy>
  <dcterms:modified xsi:type="dcterms:W3CDTF">2022-09-30T06:48:27Z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8B3D34E26D054BED981D7A6A66C181CB</vt:lpwstr>
  </property>
</Properties>
</file>