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bookmarkStart w:id="46" w:name="_GoBack"/>
      <w:r>
        <w:rPr>
          <w:rFonts w:ascii="楷体" w:hAnsi="楷体" w:eastAsia="楷体" w:cs="Times New Roman"/>
          <w:b/>
          <w:color w:val="auto"/>
          <w:spacing w:val="-6"/>
          <w:sz w:val="44"/>
          <w:szCs w:val="44"/>
          <w:highlight w:val="none"/>
        </w:rPr>
        <w:softHyphen/>
      </w: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2022国际青年艺术周视觉设计、主视觉线下展览搭建制作</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项目名称：2022国际青年艺术周视觉设计、主视觉线下展览搭建制作</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QSZB-Z(F)-C22120(CS)</w:t>
      </w:r>
      <w:r>
        <w:rPr>
          <w:rFonts w:hint="eastAsia" w:ascii="楷体" w:hAnsi="楷体" w:eastAsia="楷体" w:cs="楷体"/>
          <w:b/>
          <w:bCs/>
          <w:color w:val="auto"/>
          <w:sz w:val="30"/>
          <w:szCs w:val="30"/>
          <w:highlight w:val="none"/>
        </w:rPr>
        <w:t xml:space="preserve">  </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lang w:eastAsia="zh-CN"/>
        </w:rPr>
        <w:t>[2022]25813号</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602" w:firstLineChars="200"/>
        <w:rPr>
          <w:rFonts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2022国际青年艺术周视觉设计、主视觉线下展览搭建制作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2022年</w:t>
      </w:r>
      <w:r>
        <w:rPr>
          <w:rFonts w:hint="eastAsia"/>
          <w:b/>
          <w:color w:val="auto"/>
          <w:sz w:val="21"/>
          <w:szCs w:val="21"/>
          <w:highlight w:val="none"/>
          <w:u w:val="single"/>
          <w:lang w:val="en-US" w:eastAsia="zh-CN"/>
        </w:rPr>
        <w:t>5</w:t>
      </w:r>
      <w:r>
        <w:rPr>
          <w:rFonts w:hint="eastAsia"/>
          <w:b/>
          <w:color w:val="auto"/>
          <w:sz w:val="21"/>
          <w:szCs w:val="21"/>
          <w:highlight w:val="none"/>
          <w:u w:val="single"/>
        </w:rPr>
        <w:t>月</w:t>
      </w:r>
      <w:r>
        <w:rPr>
          <w:rFonts w:hint="eastAsia"/>
          <w:b/>
          <w:color w:val="auto"/>
          <w:sz w:val="21"/>
          <w:szCs w:val="21"/>
          <w:highlight w:val="none"/>
          <w:u w:val="single"/>
          <w:lang w:val="en-US" w:eastAsia="zh-CN"/>
        </w:rPr>
        <w:t>23</w:t>
      </w:r>
      <w:r>
        <w:rPr>
          <w:rFonts w:hint="eastAsia"/>
          <w:b/>
          <w:color w:val="auto"/>
          <w:sz w:val="21"/>
          <w:szCs w:val="21"/>
          <w:highlight w:val="none"/>
          <w:u w:val="single"/>
        </w:rPr>
        <w:t>日</w:t>
      </w:r>
      <w:r>
        <w:rPr>
          <w:rFonts w:hint="eastAsia"/>
          <w:b/>
          <w:color w:val="auto"/>
          <w:sz w:val="21"/>
          <w:szCs w:val="21"/>
          <w:highlight w:val="none"/>
          <w:u w:val="single"/>
          <w:lang w:val="en-US" w:eastAsia="zh-CN"/>
        </w:rPr>
        <w:t>9</w:t>
      </w:r>
      <w:r>
        <w:rPr>
          <w:rFonts w:hint="eastAsia"/>
          <w:b/>
          <w:color w:val="auto"/>
          <w:sz w:val="21"/>
          <w:szCs w:val="21"/>
          <w:highlight w:val="none"/>
          <w:u w:val="single"/>
        </w:rPr>
        <w:t xml:space="preserve">:30:00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28359079"/>
      <w:bookmarkStart w:id="1" w:name="_Toc28359002"/>
      <w:bookmarkStart w:id="2" w:name="_Toc35393621"/>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QSZB-Z(F)-C22120(CS)</w:t>
      </w:r>
      <w:r>
        <w:rPr>
          <w:rFonts w:hint="eastAsia"/>
          <w:bCs/>
          <w:color w:val="auto"/>
          <w:sz w:val="21"/>
          <w:szCs w:val="21"/>
          <w:highlight w:val="none"/>
        </w:rPr>
        <w:t xml:space="preserve">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项目名称：2022国际青年艺术周视觉设计、主视觉线下展览搭建制作</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预算金额：1191350元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最高限价：1191350元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合同履约期限：合同签订后，在202</w:t>
      </w:r>
      <w:r>
        <w:rPr>
          <w:rFonts w:hint="eastAsia"/>
          <w:color w:val="auto"/>
          <w:sz w:val="21"/>
          <w:szCs w:val="21"/>
          <w:highlight w:val="none"/>
          <w:lang w:val="en-US" w:eastAsia="zh-CN"/>
        </w:rPr>
        <w:t>2</w:t>
      </w:r>
      <w:r>
        <w:rPr>
          <w:rFonts w:hint="eastAsia"/>
          <w:color w:val="auto"/>
          <w:sz w:val="21"/>
          <w:szCs w:val="21"/>
          <w:highlight w:val="none"/>
        </w:rPr>
        <w:t>年6月1日前完成视觉设计、主视觉线下展览搭建制作以及相关，期间设计制作时间及制作完成时间由采购人确定。</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2"/>
        <w:gridCol w:w="3376"/>
        <w:gridCol w:w="1192"/>
        <w:gridCol w:w="971"/>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36"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753"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619"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504"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585"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36"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1753"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2022国际青年艺术周视觉设计、主视觉线下展览搭建制作</w:t>
            </w:r>
          </w:p>
        </w:tc>
        <w:tc>
          <w:tcPr>
            <w:tcW w:w="619" w:type="pct"/>
            <w:tcBorders>
              <w:tl2br w:val="nil"/>
              <w:tr2bl w:val="nil"/>
            </w:tcBorders>
            <w:vAlign w:val="center"/>
          </w:tcPr>
          <w:p>
            <w:pPr>
              <w:spacing w:line="288" w:lineRule="auto"/>
              <w:jc w:val="center"/>
              <w:rPr>
                <w:bCs/>
                <w:color w:val="auto"/>
                <w:sz w:val="21"/>
                <w:szCs w:val="21"/>
                <w:highlight w:val="none"/>
              </w:rPr>
            </w:pPr>
            <w:r>
              <w:rPr>
                <w:rFonts w:hint="eastAsia"/>
                <w:bCs/>
                <w:color w:val="auto"/>
                <w:sz w:val="21"/>
                <w:szCs w:val="21"/>
                <w:highlight w:val="none"/>
              </w:rPr>
              <w:t>1</w:t>
            </w:r>
          </w:p>
        </w:tc>
        <w:tc>
          <w:tcPr>
            <w:tcW w:w="504" w:type="pct"/>
            <w:tcBorders>
              <w:tl2br w:val="nil"/>
              <w:tr2bl w:val="nil"/>
            </w:tcBorders>
            <w:vAlign w:val="center"/>
          </w:tcPr>
          <w:p>
            <w:pPr>
              <w:spacing w:line="288" w:lineRule="auto"/>
              <w:jc w:val="center"/>
              <w:rPr>
                <w:bCs/>
                <w:color w:val="auto"/>
                <w:sz w:val="21"/>
                <w:szCs w:val="21"/>
                <w:highlight w:val="none"/>
              </w:rPr>
            </w:pPr>
            <w:r>
              <w:rPr>
                <w:bCs/>
                <w:color w:val="auto"/>
                <w:sz w:val="21"/>
                <w:szCs w:val="21"/>
                <w:highlight w:val="none"/>
              </w:rPr>
              <w:t>项</w:t>
            </w:r>
          </w:p>
        </w:tc>
        <w:tc>
          <w:tcPr>
            <w:tcW w:w="1585"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详见采购需求</w:t>
            </w:r>
          </w:p>
        </w:tc>
      </w:tr>
    </w:tbl>
    <w:p>
      <w:pPr>
        <w:adjustRightInd w:val="0"/>
        <w:snapToGrid w:val="0"/>
        <w:spacing w:line="288" w:lineRule="auto"/>
        <w:rPr>
          <w:b/>
          <w:color w:val="auto"/>
          <w:sz w:val="21"/>
          <w:szCs w:val="21"/>
          <w:highlight w:val="none"/>
        </w:rPr>
      </w:pPr>
      <w:bookmarkStart w:id="5" w:name="_Toc28359080"/>
      <w:bookmarkStart w:id="6" w:name="_Toc35393622"/>
      <w:bookmarkStart w:id="7" w:name="_Toc35393791"/>
      <w:bookmarkStart w:id="8" w:name="_Toc28359003"/>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2.落实政府采购政策需满足的资格要求：本项目整体专门面向中小企业采购。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本项目采购标的为：服务，采购标的对应的中小企业划分标准所属行业：其他未列明行业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35393793"/>
      <w:bookmarkStart w:id="14" w:name="_Toc28359005"/>
      <w:bookmarkStart w:id="15" w:name="_Toc28359082"/>
      <w:bookmarkStart w:id="16" w:name="_Toc35393624"/>
      <w:r>
        <w:rPr>
          <w:rFonts w:hint="eastAsia"/>
          <w:color w:val="auto"/>
          <w:sz w:val="21"/>
          <w:szCs w:val="21"/>
          <w:highlight w:val="none"/>
        </w:rPr>
        <w:t>时间：2022年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12</w:t>
      </w:r>
      <w:r>
        <w:rPr>
          <w:rFonts w:hint="eastAsia"/>
          <w:color w:val="auto"/>
          <w:sz w:val="21"/>
          <w:szCs w:val="21"/>
          <w:highlight w:val="none"/>
        </w:rPr>
        <w:t>日至2022年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截止时间：2022年</w:t>
      </w:r>
      <w:r>
        <w:rPr>
          <w:rFonts w:hint="eastAsia"/>
          <w:bCs/>
          <w:color w:val="auto"/>
          <w:sz w:val="21"/>
          <w:szCs w:val="21"/>
          <w:highlight w:val="none"/>
          <w:lang w:val="en-US" w:eastAsia="zh-CN"/>
        </w:rPr>
        <w:t>5</w:t>
      </w:r>
      <w:r>
        <w:rPr>
          <w:rFonts w:hint="eastAsia"/>
          <w:bCs/>
          <w:color w:val="auto"/>
          <w:sz w:val="21"/>
          <w:szCs w:val="21"/>
          <w:highlight w:val="none"/>
        </w:rPr>
        <w:t>月</w:t>
      </w:r>
      <w:r>
        <w:rPr>
          <w:rFonts w:hint="eastAsia"/>
          <w:bCs/>
          <w:color w:val="auto"/>
          <w:sz w:val="21"/>
          <w:szCs w:val="21"/>
          <w:highlight w:val="none"/>
          <w:lang w:val="en-US" w:eastAsia="zh-CN"/>
        </w:rPr>
        <w:t>23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rPr>
          <w:b/>
          <w:color w:val="auto"/>
          <w:sz w:val="21"/>
          <w:szCs w:val="21"/>
          <w:highlight w:val="none"/>
        </w:rPr>
      </w:pPr>
      <w:bookmarkStart w:id="17" w:name="_Toc28359084"/>
      <w:bookmarkStart w:id="18" w:name="_Toc35393794"/>
      <w:bookmarkStart w:id="19" w:name="_Toc28359007"/>
      <w:bookmarkStart w:id="20" w:name="_Toc35393625"/>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开启时间：2022年</w:t>
      </w:r>
      <w:r>
        <w:rPr>
          <w:rFonts w:hint="eastAsia"/>
          <w:bCs/>
          <w:color w:val="auto"/>
          <w:sz w:val="21"/>
          <w:szCs w:val="21"/>
          <w:highlight w:val="none"/>
          <w:lang w:val="en-US" w:eastAsia="zh-CN"/>
        </w:rPr>
        <w:t>5</w:t>
      </w:r>
      <w:r>
        <w:rPr>
          <w:rFonts w:hint="eastAsia"/>
          <w:bCs/>
          <w:color w:val="auto"/>
          <w:sz w:val="21"/>
          <w:szCs w:val="21"/>
          <w:highlight w:val="none"/>
        </w:rPr>
        <w:t>月</w:t>
      </w:r>
      <w:r>
        <w:rPr>
          <w:rFonts w:hint="eastAsia"/>
          <w:bCs/>
          <w:color w:val="auto"/>
          <w:sz w:val="21"/>
          <w:szCs w:val="21"/>
          <w:highlight w:val="none"/>
          <w:lang w:val="en-US" w:eastAsia="zh-CN"/>
        </w:rPr>
        <w:t>23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/杭州市西湖区玉古路173号中田大厦11楼（求是招标会议室1）</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Toc28359085"/>
      <w:bookmarkStart w:id="24" w:name="_Toc35393627"/>
      <w:bookmarkStart w:id="25" w:name="_Toc35393796"/>
      <w:bookmarkStart w:id="26"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7"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424" w:firstLineChars="202"/>
        <w:rPr>
          <w:color w:val="auto"/>
          <w:sz w:val="21"/>
          <w:szCs w:val="21"/>
          <w:highlight w:val="none"/>
        </w:rPr>
      </w:pPr>
      <w:bookmarkStart w:id="28" w:name="_Toc32532"/>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采购人名称：</w:t>
      </w:r>
      <w:bookmarkEnd w:id="28"/>
      <w:r>
        <w:rPr>
          <w:rFonts w:hint="eastAsia"/>
          <w:color w:val="auto"/>
          <w:sz w:val="21"/>
          <w:szCs w:val="21"/>
          <w:highlight w:val="none"/>
        </w:rPr>
        <w:t>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联系人：韩老师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联系方式：0571-87164620</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质疑联系方式：0571-86027612</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w:t>
            </w:r>
            <w:r>
              <w:rPr>
                <w:rFonts w:cs="Times New Roman"/>
                <w:color w:val="auto"/>
                <w:spacing w:val="-6"/>
                <w:sz w:val="21"/>
                <w:szCs w:val="21"/>
                <w:highlight w:val="none"/>
              </w:rPr>
              <w:t>支持创新发展</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本项目采购标的为：服务，采购标的对应的中小企业划分标准所属行业：其他未列明行业</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bookmarkEnd w:id="29"/>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9"/>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，且供应商已向采购人提交银行、保险公司等金融机构出具的预付款保函的，采购人向供应商支付合同总价的4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w:t>
            </w:r>
            <w:r>
              <w:rPr>
                <w:color w:val="auto"/>
                <w:spacing w:val="-6"/>
                <w:kern w:val="0"/>
                <w:sz w:val="21"/>
                <w:szCs w:val="21"/>
                <w:highlight w:val="none"/>
              </w:rPr>
              <w:t>6</w:t>
            </w:r>
            <w:r>
              <w:rPr>
                <w:rFonts w:hint="eastAsia"/>
                <w:color w:val="auto"/>
                <w:spacing w:val="-6"/>
                <w:kern w:val="0"/>
                <w:sz w:val="21"/>
                <w:szCs w:val="21"/>
                <w:highlight w:val="none"/>
              </w:rPr>
              <w:t>0%。</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w:t>
      </w:r>
    </w:p>
    <w:p>
      <w:pPr>
        <w:pStyle w:val="2"/>
        <w:spacing w:line="300" w:lineRule="auto"/>
        <w:rPr>
          <w:rFonts w:ascii="宋体" w:hAnsi="宋体" w:cs="宋体"/>
          <w:b/>
          <w:color w:val="auto"/>
          <w:sz w:val="21"/>
          <w:szCs w:val="21"/>
          <w:highlight w:val="none"/>
        </w:rPr>
      </w:pPr>
      <w:r>
        <w:rPr>
          <w:rFonts w:hint="eastAsia" w:ascii="宋体" w:hAnsi="宋体" w:cs="宋体"/>
          <w:b/>
          <w:color w:val="auto"/>
          <w:sz w:val="21"/>
          <w:szCs w:val="21"/>
          <w:highlight w:val="none"/>
        </w:rPr>
        <w:t>（一）基本要求</w:t>
      </w:r>
    </w:p>
    <w:p>
      <w:pPr>
        <w:pStyle w:val="25"/>
        <w:ind w:left="0"/>
        <w:rPr>
          <w:rFonts w:ascii="宋体" w:hAnsi="宋体" w:cs="宋体"/>
          <w:b/>
          <w:color w:val="auto"/>
          <w:szCs w:val="21"/>
          <w:highlight w:val="none"/>
        </w:rPr>
      </w:pPr>
      <w:r>
        <w:rPr>
          <w:rFonts w:hint="eastAsia" w:ascii="宋体" w:hAnsi="宋体" w:cs="宋体"/>
          <w:b/>
          <w:color w:val="auto"/>
          <w:szCs w:val="21"/>
          <w:highlight w:val="none"/>
        </w:rPr>
        <w:t>服务时间：合同签订后，在202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年6月1日前完成视觉设计、主视觉线下展览搭建制作以及相关，期间设计制作时间及制作完成时间由采购人确定。</w:t>
      </w:r>
    </w:p>
    <w:p>
      <w:pPr>
        <w:rPr>
          <w:color w:val="auto"/>
          <w:highlight w:val="none"/>
        </w:rPr>
      </w:pPr>
      <w:r>
        <w:rPr>
          <w:rFonts w:hint="eastAsia"/>
          <w:b/>
          <w:color w:val="auto"/>
          <w:sz w:val="21"/>
          <w:szCs w:val="21"/>
          <w:highlight w:val="none"/>
        </w:rPr>
        <w:t>服务地点：杭州</w:t>
      </w:r>
    </w:p>
    <w:p>
      <w:pPr>
        <w:pStyle w:val="25"/>
        <w:rPr>
          <w:color w:val="auto"/>
          <w:highlight w:val="none"/>
        </w:rPr>
      </w:pPr>
    </w:p>
    <w:p>
      <w:pPr>
        <w:pStyle w:val="2"/>
        <w:spacing w:line="300" w:lineRule="auto"/>
        <w:rPr>
          <w:rFonts w:ascii="宋体" w:hAnsi="宋体" w:cs="宋体"/>
          <w:b/>
          <w:color w:val="auto"/>
          <w:sz w:val="21"/>
          <w:szCs w:val="21"/>
          <w:highlight w:val="none"/>
        </w:rPr>
      </w:pPr>
      <w:r>
        <w:rPr>
          <w:rFonts w:hint="eastAsia" w:ascii="宋体" w:hAnsi="宋体" w:cs="宋体"/>
          <w:b/>
          <w:color w:val="auto"/>
          <w:sz w:val="21"/>
          <w:szCs w:val="21"/>
          <w:highlight w:val="none"/>
        </w:rPr>
        <w:t>（二）2022国际青年艺术周视觉设计</w:t>
      </w:r>
    </w:p>
    <w:p>
      <w:pPr>
        <w:pStyle w:val="25"/>
        <w:ind w:left="0"/>
        <w:rPr>
          <w:color w:val="auto"/>
          <w:highlight w:val="none"/>
        </w:rPr>
      </w:pPr>
      <w:r>
        <w:rPr>
          <w:rFonts w:hint="eastAsia" w:ascii="宋体" w:hAnsi="宋体" w:cs="宋体"/>
          <w:b/>
          <w:color w:val="auto"/>
          <w:szCs w:val="21"/>
          <w:highlight w:val="none"/>
        </w:rPr>
        <w:t>1.服务清单，包括但不限于以下内容：</w:t>
      </w:r>
    </w:p>
    <w:tbl>
      <w:tblPr>
        <w:tblStyle w:val="19"/>
        <w:tblW w:w="5000" w:type="pct"/>
        <w:tblInd w:w="0" w:type="dxa"/>
        <w:tblLayout w:type="fixed"/>
        <w:tblCellMar>
          <w:top w:w="0" w:type="dxa"/>
          <w:left w:w="108" w:type="dxa"/>
          <w:bottom w:w="0" w:type="dxa"/>
          <w:right w:w="108" w:type="dxa"/>
        </w:tblCellMar>
      </w:tblPr>
      <w:tblGrid>
        <w:gridCol w:w="683"/>
        <w:gridCol w:w="1033"/>
        <w:gridCol w:w="2623"/>
        <w:gridCol w:w="4473"/>
        <w:gridCol w:w="816"/>
      </w:tblGrid>
      <w:tr>
        <w:tblPrEx>
          <w:tblCellMar>
            <w:top w:w="0" w:type="dxa"/>
            <w:left w:w="108" w:type="dxa"/>
            <w:bottom w:w="0" w:type="dxa"/>
            <w:right w:w="108" w:type="dxa"/>
          </w:tblCellMar>
        </w:tblPrEx>
        <w:trPr>
          <w:trHeight w:val="6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分类</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项目</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内容</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视觉形象设计</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主视觉形象整体策划与创意</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整体策划与主题创意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6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主视觉形象规范设计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标志、标准字体、色彩规范、标志标准规范、组合规范、辅助图形等基础设计系统</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主视觉海报创意与设计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静态海报(线下及线上）</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6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动态线上海报：10s版本，20s版本，1080*1920，原创音乐，Mp4或mov格式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6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学院宣传屏幕设计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视频创作1份，要求1080*1920（竖），时长不少于20s，原创音乐，Mp4或mov格式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20秒</w:t>
            </w:r>
          </w:p>
        </w:tc>
      </w:tr>
      <w:tr>
        <w:tblPrEx>
          <w:tblCellMar>
            <w:top w:w="0" w:type="dxa"/>
            <w:left w:w="108" w:type="dxa"/>
            <w:bottom w:w="0" w:type="dxa"/>
            <w:right w:w="108" w:type="dxa"/>
          </w:tblCellMar>
        </w:tblPrEx>
        <w:trPr>
          <w:trHeight w:val="81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展馆主视觉形象延展设计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活动现场与外围形象设计，共6个场馆，每个场地展板规范（主视觉与单元组合），并根据展览场地的实际情况做适配与调整；</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展馆视觉形象导引系统设计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视觉形象应用于各个展馆的空间导引系统设计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线上媒体宣传等设计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微信客户端、相关网站等各个媒体宣传途径的设计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9</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各个场馆地图设计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总览地图及6个展览场馆的地图设计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12</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综合物料设计</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邀请函设计（纸质）</w:t>
            </w:r>
          </w:p>
        </w:tc>
        <w:tc>
          <w:tcPr>
            <w:tcW w:w="2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活动前期宣传、活动期间、后期宣传的综合物料进行整体设计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13</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H5邀请函设计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14</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作品标签设计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作品标签（获奖）设计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16</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工作牌（布展证、工作证、嘉宾证、媒体证、志愿者证）设计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17</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汽车通行证（轿车、大巴、公交）设计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18</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志愿者证书设计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19</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宣传用帽子设计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1顶</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20</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文化衫设计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1件</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21</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手环设计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1组</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22</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手提袋设计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23</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徽章设计</w:t>
            </w:r>
          </w:p>
        </w:tc>
        <w:tc>
          <w:tcPr>
            <w:tcW w:w="2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24</w:t>
            </w:r>
          </w:p>
        </w:tc>
        <w:tc>
          <w:tcPr>
            <w:tcW w:w="536"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综合物料制作</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请柬制作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210*285mm，250g特种纸，四色+特殊工艺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400套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25</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作品标签制作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100*140mm，室内写真覆哑膜裱KT板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26</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作品标签（获奖）制作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100*140mm，室内写真覆哑膜裱KT板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27</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工作牌（布展证、工作证、嘉宾证、媒体证、志愿者证）制作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100*145mm，PVC双色印刷，挂绳丝网印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3000张</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28</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汽车通行证（轿车）制作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210*285mm，200g特种纸，四色</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50张</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29</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汽车通行证（大巴、公交）制作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297*420mm，室内写真覆哑膜裱KT板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10张</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志愿者证书制作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210*285mm，200g特种纸，四色</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400张</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31</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宣传用帽子制作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全棉金属扣帽子，通用码</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1500顶</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33</w:t>
            </w:r>
          </w:p>
        </w:tc>
        <w:tc>
          <w:tcPr>
            <w:tcW w:w="53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手环制作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合成纸手环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34</w:t>
            </w:r>
          </w:p>
        </w:tc>
        <w:tc>
          <w:tcPr>
            <w:tcW w:w="536" w:type="pct"/>
            <w:tcBorders>
              <w:top w:val="nil"/>
              <w:left w:val="single" w:color="000000" w:sz="4" w:space="0"/>
              <w:bottom w:val="nil"/>
              <w:right w:val="single" w:color="000000" w:sz="4" w:space="0"/>
            </w:tcBorders>
            <w:shd w:val="clear" w:color="auto" w:fill="auto"/>
            <w:noWrap/>
            <w:vAlign w:val="center"/>
          </w:tcPr>
          <w:p>
            <w:pP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手提袋制作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杜邦纸，肩带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35</w:t>
            </w:r>
          </w:p>
        </w:tc>
        <w:tc>
          <w:tcPr>
            <w:tcW w:w="536" w:type="pct"/>
            <w:tcBorders>
              <w:top w:val="nil"/>
              <w:left w:val="single" w:color="000000" w:sz="4" w:space="0"/>
              <w:bottom w:val="single" w:color="000000" w:sz="4" w:space="0"/>
              <w:right w:val="single" w:color="000000" w:sz="4" w:space="0"/>
            </w:tcBorders>
            <w:shd w:val="clear" w:color="auto" w:fill="auto"/>
            <w:noWrap/>
            <w:vAlign w:val="center"/>
          </w:tcPr>
          <w:p>
            <w:pP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徽章制作</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冲压电镀、立体压铸、烤漆工艺、平顶扣</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1500个</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36</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导览手册设计</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导览册整体设计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导览册整体策划设计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37</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地图、图表、插图设计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图表设计逻辑清晰、便于阅读，插图美观</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30幅</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38</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封面封底设计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封面设计新颖、美观、有创意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2P</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39</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内页排版设计</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内页编排设计美观、符合阅读习惯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46P</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40</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文字编辑、校对</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文字编辑专业，富有逻辑，章节段落清晰，便于阅读</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1套</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42</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导览手册制作</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导览册打样</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打样样册，校对文字、色彩等</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3000本</w:t>
            </w: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43</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制版费、印刷费、特种工艺费</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专色印刷、四色印刷</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44</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导览册纸张</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带涂布特种纸，封面250克，内页157克</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9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45</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导览册装订</w:t>
            </w:r>
          </w:p>
        </w:tc>
        <w:tc>
          <w:tcPr>
            <w:tcW w:w="2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骑马钉</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r>
    </w:tbl>
    <w:p>
      <w:pPr>
        <w:pStyle w:val="25"/>
        <w:ind w:left="0"/>
        <w:rPr>
          <w:rFonts w:ascii="宋体" w:hAnsi="宋体" w:cs="宋体"/>
          <w:b/>
          <w:color w:val="auto"/>
          <w:szCs w:val="21"/>
          <w:highlight w:val="none"/>
        </w:rPr>
      </w:pPr>
    </w:p>
    <w:p>
      <w:pPr>
        <w:pStyle w:val="25"/>
        <w:ind w:left="0"/>
        <w:rPr>
          <w:rFonts w:ascii="宋体" w:hAnsi="宋体" w:cs="宋体"/>
          <w:b/>
          <w:color w:val="auto"/>
          <w:szCs w:val="21"/>
          <w:highlight w:val="none"/>
        </w:rPr>
      </w:pPr>
      <w:r>
        <w:rPr>
          <w:rFonts w:hint="eastAsia" w:ascii="宋体" w:hAnsi="宋体" w:cs="宋体"/>
          <w:b/>
          <w:color w:val="auto"/>
          <w:szCs w:val="21"/>
          <w:highlight w:val="none"/>
        </w:rPr>
        <w:t>2.具体内容:</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202</w:t>
      </w:r>
      <w:r>
        <w:rPr>
          <w:rFonts w:cs="Times New Roman"/>
          <w:color w:val="auto"/>
          <w:sz w:val="21"/>
          <w:szCs w:val="21"/>
          <w:highlight w:val="none"/>
        </w:rPr>
        <w:t xml:space="preserve">2青艺周视觉设计方案需要针对所需视觉宣传内容进行整体的策划与设计，兼顾线下与线上传播、静态与动态传播的特点，突显线上传播的整体效果，以动态视觉为主。投标人负责创意并设计，要求: </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(1)</w:t>
      </w:r>
      <w:r>
        <w:rPr>
          <w:rFonts w:hint="eastAsia"/>
          <w:color w:val="auto"/>
          <w:kern w:val="0"/>
          <w:sz w:val="21"/>
          <w:szCs w:val="21"/>
          <w:highlight w:val="none"/>
          <w:lang w:bidi="ar"/>
        </w:rPr>
        <w:t xml:space="preserve"> 主视觉形象整体策划与创意：</w:t>
      </w:r>
      <w:r>
        <w:rPr>
          <w:rFonts w:cs="Times New Roman"/>
          <w:color w:val="auto"/>
          <w:sz w:val="21"/>
          <w:szCs w:val="21"/>
          <w:highlight w:val="none"/>
        </w:rPr>
        <w:t>对毕业展所需的主视觉系统进行整体策划与主题创意</w:t>
      </w:r>
      <w:r>
        <w:rPr>
          <w:rFonts w:hint="eastAsia" w:cs="Times New Roman"/>
          <w:color w:val="auto"/>
          <w:sz w:val="21"/>
          <w:szCs w:val="21"/>
          <w:highlight w:val="none"/>
        </w:rPr>
        <w:t>；</w:t>
      </w:r>
      <w:r>
        <w:rPr>
          <w:rFonts w:cs="Times New Roman"/>
          <w:color w:val="auto"/>
          <w:sz w:val="21"/>
          <w:szCs w:val="21"/>
          <w:highlight w:val="none"/>
        </w:rPr>
        <w:t xml:space="preserve"> </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w:t>
      </w:r>
      <w:r>
        <w:rPr>
          <w:rFonts w:hint="eastAsia"/>
          <w:color w:val="auto"/>
          <w:kern w:val="0"/>
          <w:sz w:val="21"/>
          <w:szCs w:val="21"/>
          <w:highlight w:val="none"/>
          <w:lang w:bidi="ar"/>
        </w:rPr>
        <w:t xml:space="preserve"> 主视觉形象规范设计：</w:t>
      </w:r>
      <w:r>
        <w:rPr>
          <w:rFonts w:cs="Times New Roman"/>
          <w:color w:val="auto"/>
          <w:sz w:val="21"/>
          <w:szCs w:val="21"/>
          <w:highlight w:val="none"/>
        </w:rPr>
        <w:t>完成毕业展主视觉标志设计、标准字体、色彩规范、标志标准、组合规范、辅助图形等基础设计</w:t>
      </w:r>
      <w:r>
        <w:rPr>
          <w:rFonts w:hint="eastAsia" w:cs="Times New Roman"/>
          <w:color w:val="auto"/>
          <w:sz w:val="21"/>
          <w:szCs w:val="21"/>
          <w:highlight w:val="none"/>
        </w:rPr>
        <w:t>的规范制定；</w:t>
      </w:r>
      <w:r>
        <w:rPr>
          <w:rFonts w:cs="Times New Roman"/>
          <w:color w:val="auto"/>
          <w:sz w:val="21"/>
          <w:szCs w:val="21"/>
          <w:highlight w:val="none"/>
        </w:rPr>
        <w:t xml:space="preserve"> </w:t>
      </w:r>
    </w:p>
    <w:p>
      <w:pPr>
        <w:adjustRightInd w:val="0"/>
        <w:snapToGrid w:val="0"/>
        <w:spacing w:line="288" w:lineRule="auto"/>
        <w:ind w:firstLine="420" w:firstLineChars="200"/>
        <w:rPr>
          <w:rFonts w:hint="eastAsia"/>
          <w:color w:val="auto"/>
          <w:kern w:val="0"/>
          <w:sz w:val="21"/>
          <w:szCs w:val="21"/>
          <w:highlight w:val="none"/>
          <w:lang w:bidi="ar"/>
        </w:rPr>
      </w:pPr>
      <w:r>
        <w:rPr>
          <w:rFonts w:hint="eastAsia" w:cs="Times New Roman"/>
          <w:color w:val="auto"/>
          <w:sz w:val="21"/>
          <w:szCs w:val="21"/>
          <w:highlight w:val="none"/>
        </w:rPr>
        <w:t>(3)</w:t>
      </w:r>
      <w:r>
        <w:rPr>
          <w:rFonts w:hint="eastAsia"/>
          <w:color w:val="auto"/>
          <w:kern w:val="0"/>
          <w:sz w:val="21"/>
          <w:szCs w:val="21"/>
          <w:highlight w:val="none"/>
          <w:lang w:bidi="ar"/>
        </w:rPr>
        <w:t xml:space="preserve"> 主视觉海报创意与设计</w:t>
      </w:r>
      <w:r>
        <w:rPr>
          <w:rFonts w:hint="eastAsia" w:cs="Times New Roman"/>
          <w:color w:val="auto"/>
          <w:sz w:val="21"/>
          <w:szCs w:val="21"/>
          <w:highlight w:val="none"/>
        </w:rPr>
        <w:t>：</w:t>
      </w:r>
      <w:r>
        <w:rPr>
          <w:rFonts w:cs="Times New Roman"/>
          <w:color w:val="auto"/>
          <w:sz w:val="21"/>
          <w:szCs w:val="21"/>
          <w:highlight w:val="none"/>
        </w:rPr>
        <w:t>其中线下静态海报一份、线上静态海报一份。线</w:t>
      </w:r>
      <w:r>
        <w:rPr>
          <w:rFonts w:hint="eastAsia" w:cs="Times New Roman"/>
          <w:color w:val="auto"/>
          <w:sz w:val="21"/>
          <w:szCs w:val="21"/>
          <w:highlight w:val="none"/>
        </w:rPr>
        <w:t>上</w:t>
      </w:r>
      <w:r>
        <w:rPr>
          <w:rFonts w:hint="eastAsia"/>
          <w:color w:val="auto"/>
          <w:kern w:val="0"/>
          <w:sz w:val="21"/>
          <w:szCs w:val="21"/>
          <w:highlight w:val="none"/>
          <w:lang w:bidi="ar"/>
        </w:rPr>
        <w:t>动态海报10s版本，20s版本，1080*1920，原创音乐，Mp4或mov格式；</w:t>
      </w:r>
    </w:p>
    <w:p>
      <w:pPr>
        <w:adjustRightInd w:val="0"/>
        <w:snapToGrid w:val="0"/>
        <w:spacing w:line="288" w:lineRule="auto"/>
        <w:ind w:firstLine="420" w:firstLineChars="200"/>
        <w:rPr>
          <w:rFonts w:hint="eastAsia"/>
          <w:color w:val="auto"/>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 xml:space="preserve">) </w:t>
      </w:r>
      <w:r>
        <w:rPr>
          <w:rFonts w:cs="Times New Roman"/>
          <w:color w:val="auto"/>
          <w:sz w:val="21"/>
          <w:szCs w:val="21"/>
          <w:highlight w:val="none"/>
        </w:rPr>
        <w:t>学院宣传屏幕(竖屏)</w:t>
      </w:r>
      <w:r>
        <w:rPr>
          <w:rFonts w:hint="eastAsia" w:cs="Times New Roman"/>
          <w:color w:val="auto"/>
          <w:sz w:val="21"/>
          <w:szCs w:val="21"/>
          <w:highlight w:val="none"/>
        </w:rPr>
        <w:t>设计：</w:t>
      </w:r>
      <w:r>
        <w:rPr>
          <w:rFonts w:cs="Times New Roman"/>
          <w:color w:val="auto"/>
          <w:sz w:val="21"/>
          <w:szCs w:val="21"/>
          <w:highlight w:val="none"/>
        </w:rPr>
        <w:t>视频创作</w:t>
      </w:r>
      <w:r>
        <w:rPr>
          <w:rFonts w:hint="eastAsia" w:cs="Times New Roman"/>
          <w:color w:val="auto"/>
          <w:sz w:val="21"/>
          <w:szCs w:val="21"/>
          <w:highlight w:val="none"/>
        </w:rPr>
        <w:t>1</w:t>
      </w:r>
      <w:r>
        <w:rPr>
          <w:rFonts w:cs="Times New Roman"/>
          <w:color w:val="auto"/>
          <w:sz w:val="21"/>
          <w:szCs w:val="21"/>
          <w:highlight w:val="none"/>
        </w:rPr>
        <w:t>份，要求</w:t>
      </w:r>
      <w:r>
        <w:rPr>
          <w:rFonts w:hint="eastAsia" w:cs="Times New Roman"/>
          <w:color w:val="auto"/>
          <w:sz w:val="21"/>
          <w:szCs w:val="21"/>
          <w:highlight w:val="none"/>
        </w:rPr>
        <w:t xml:space="preserve">1080*1920 </w:t>
      </w:r>
      <w:r>
        <w:rPr>
          <w:rFonts w:cs="Times New Roman"/>
          <w:color w:val="auto"/>
          <w:sz w:val="21"/>
          <w:szCs w:val="21"/>
          <w:highlight w:val="none"/>
        </w:rPr>
        <w:t>(竖)，时长不少于</w:t>
      </w:r>
      <w:r>
        <w:rPr>
          <w:rFonts w:hint="eastAsia" w:cs="Times New Roman"/>
          <w:color w:val="auto"/>
          <w:sz w:val="21"/>
          <w:szCs w:val="21"/>
          <w:highlight w:val="none"/>
        </w:rPr>
        <w:t>20s,</w:t>
      </w:r>
      <w:r>
        <w:rPr>
          <w:rFonts w:cs="Times New Roman"/>
          <w:color w:val="auto"/>
          <w:sz w:val="21"/>
          <w:szCs w:val="21"/>
          <w:highlight w:val="none"/>
        </w:rPr>
        <w:t>原创音乐与音效，</w:t>
      </w:r>
      <w:r>
        <w:rPr>
          <w:rFonts w:hint="eastAsia" w:cs="Times New Roman"/>
          <w:color w:val="auto"/>
          <w:sz w:val="21"/>
          <w:szCs w:val="21"/>
          <w:highlight w:val="none"/>
        </w:rPr>
        <w:t>Mp4</w:t>
      </w:r>
      <w:r>
        <w:rPr>
          <w:rFonts w:cs="Times New Roman"/>
          <w:color w:val="auto"/>
          <w:sz w:val="21"/>
          <w:szCs w:val="21"/>
          <w:highlight w:val="none"/>
        </w:rPr>
        <w:t>或</w:t>
      </w:r>
      <w:r>
        <w:rPr>
          <w:rFonts w:hint="eastAsia" w:cs="Times New Roman"/>
          <w:color w:val="auto"/>
          <w:sz w:val="21"/>
          <w:szCs w:val="21"/>
          <w:highlight w:val="none"/>
        </w:rPr>
        <w:t>mov</w:t>
      </w:r>
      <w:r>
        <w:rPr>
          <w:rFonts w:cs="Times New Roman"/>
          <w:color w:val="auto"/>
          <w:sz w:val="21"/>
          <w:szCs w:val="21"/>
          <w:highlight w:val="none"/>
        </w:rPr>
        <w:t>格式</w:t>
      </w:r>
      <w:r>
        <w:rPr>
          <w:rFonts w:hint="eastAsia" w:cs="Times New Roman"/>
          <w:color w:val="auto"/>
          <w:sz w:val="21"/>
          <w:szCs w:val="21"/>
          <w:highlight w:val="none"/>
        </w:rPr>
        <w:t>；</w:t>
      </w:r>
      <w:r>
        <w:rPr>
          <w:rFonts w:cs="Times New Roman"/>
          <w:color w:val="auto"/>
          <w:sz w:val="21"/>
          <w:szCs w:val="21"/>
          <w:highlight w:val="none"/>
        </w:rPr>
        <w:t xml:space="preserve"> </w:t>
      </w:r>
    </w:p>
    <w:p>
      <w:pPr>
        <w:adjustRightInd w:val="0"/>
        <w:snapToGrid w:val="0"/>
        <w:spacing w:line="288" w:lineRule="auto"/>
        <w:ind w:firstLine="420" w:firstLineChars="200"/>
        <w:rPr>
          <w:rFonts w:hint="eastAsia"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5</w:t>
      </w:r>
      <w:r>
        <w:rPr>
          <w:rFonts w:hint="eastAsia" w:cs="Times New Roman"/>
          <w:color w:val="auto"/>
          <w:sz w:val="21"/>
          <w:szCs w:val="21"/>
          <w:highlight w:val="none"/>
        </w:rPr>
        <w:t xml:space="preserve">) </w:t>
      </w:r>
      <w:r>
        <w:rPr>
          <w:rFonts w:hint="eastAsia"/>
          <w:color w:val="auto"/>
          <w:kern w:val="0"/>
          <w:sz w:val="21"/>
          <w:szCs w:val="21"/>
          <w:highlight w:val="none"/>
          <w:lang w:bidi="ar"/>
        </w:rPr>
        <w:t>展馆主视觉形象延展设计：</w:t>
      </w:r>
      <w:r>
        <w:rPr>
          <w:rFonts w:cs="Times New Roman"/>
          <w:color w:val="auto"/>
          <w:sz w:val="21"/>
          <w:szCs w:val="21"/>
          <w:highlight w:val="none"/>
        </w:rPr>
        <w:t>活动的各个展馆及外</w:t>
      </w:r>
      <w:r>
        <w:rPr>
          <w:rFonts w:hint="eastAsia" w:cs="Times New Roman"/>
          <w:color w:val="auto"/>
          <w:sz w:val="21"/>
          <w:szCs w:val="21"/>
          <w:highlight w:val="none"/>
        </w:rPr>
        <w:t>部</w:t>
      </w:r>
      <w:r>
        <w:rPr>
          <w:rFonts w:cs="Times New Roman"/>
          <w:color w:val="auto"/>
          <w:sz w:val="21"/>
          <w:szCs w:val="21"/>
          <w:highlight w:val="none"/>
        </w:rPr>
        <w:t>环境进行统一的视觉形象设计，共</w:t>
      </w:r>
      <w:r>
        <w:rPr>
          <w:rFonts w:hint="eastAsia" w:cs="Times New Roman"/>
          <w:color w:val="auto"/>
          <w:sz w:val="21"/>
          <w:szCs w:val="21"/>
          <w:highlight w:val="none"/>
        </w:rPr>
        <w:t>6</w:t>
      </w:r>
      <w:r>
        <w:rPr>
          <w:rFonts w:cs="Times New Roman"/>
          <w:color w:val="auto"/>
          <w:sz w:val="21"/>
          <w:szCs w:val="21"/>
          <w:highlight w:val="none"/>
        </w:rPr>
        <w:t>个场地，每个场地</w:t>
      </w:r>
      <w:r>
        <w:rPr>
          <w:rFonts w:hint="eastAsia" w:cs="Times New Roman"/>
          <w:color w:val="auto"/>
          <w:sz w:val="21"/>
          <w:szCs w:val="21"/>
          <w:highlight w:val="none"/>
        </w:rPr>
        <w:t>设计制作</w:t>
      </w:r>
      <w:r>
        <w:rPr>
          <w:rFonts w:cs="Times New Roman"/>
          <w:color w:val="auto"/>
          <w:sz w:val="21"/>
          <w:szCs w:val="21"/>
          <w:highlight w:val="none"/>
        </w:rPr>
        <w:t>展板规范(主视觉与单元组合)，并根据展览场地的实际情况做适配与调整</w:t>
      </w:r>
      <w:r>
        <w:rPr>
          <w:rFonts w:hint="eastAsia" w:cs="Times New Roman"/>
          <w:color w:val="auto"/>
          <w:sz w:val="21"/>
          <w:szCs w:val="21"/>
          <w:highlight w:val="none"/>
        </w:rPr>
        <w:t>；</w:t>
      </w:r>
    </w:p>
    <w:p>
      <w:pPr>
        <w:adjustRightInd w:val="0"/>
        <w:snapToGrid w:val="0"/>
        <w:spacing w:line="288" w:lineRule="auto"/>
        <w:ind w:firstLine="420"/>
        <w:rPr>
          <w:rFonts w:hint="eastAsia" w:cs="Times New Roman"/>
          <w:color w:val="auto"/>
          <w:sz w:val="21"/>
          <w:szCs w:val="21"/>
          <w:highlight w:val="none"/>
        </w:rPr>
      </w:pPr>
      <w:r>
        <w:rPr>
          <w:rFonts w:hint="eastAsia" w:cs="Times New Roman"/>
          <w:color w:val="auto"/>
          <w:sz w:val="21"/>
          <w:szCs w:val="21"/>
          <w:highlight w:val="none"/>
        </w:rPr>
        <w:t>(6) 展馆视觉形象导引系统设计：活动的6个展馆场地，设计空间导引系统和参观动线，</w:t>
      </w:r>
      <w:r>
        <w:rPr>
          <w:rFonts w:cs="Times New Roman"/>
          <w:color w:val="auto"/>
          <w:sz w:val="21"/>
          <w:szCs w:val="21"/>
          <w:highlight w:val="none"/>
        </w:rPr>
        <w:t>并根据展览场地的实际情况做适配与调整</w:t>
      </w:r>
      <w:r>
        <w:rPr>
          <w:rFonts w:hint="eastAsia" w:cs="Times New Roman"/>
          <w:color w:val="auto"/>
          <w:sz w:val="21"/>
          <w:szCs w:val="21"/>
          <w:highlight w:val="none"/>
        </w:rPr>
        <w:t>；</w:t>
      </w:r>
    </w:p>
    <w:p>
      <w:pPr>
        <w:adjustRightInd w:val="0"/>
        <w:snapToGrid w:val="0"/>
        <w:spacing w:line="288" w:lineRule="auto"/>
        <w:ind w:firstLine="420"/>
        <w:rPr>
          <w:rFonts w:hint="eastAsia" w:cs="Times New Roman"/>
          <w:color w:val="auto"/>
          <w:sz w:val="21"/>
          <w:szCs w:val="21"/>
          <w:highlight w:val="none"/>
        </w:rPr>
      </w:pPr>
      <w:r>
        <w:rPr>
          <w:rFonts w:hint="eastAsia" w:cs="Times New Roman"/>
          <w:color w:val="auto"/>
          <w:sz w:val="21"/>
          <w:szCs w:val="21"/>
          <w:highlight w:val="none"/>
        </w:rPr>
        <w:t xml:space="preserve">(7) </w:t>
      </w:r>
      <w:r>
        <w:rPr>
          <w:rFonts w:hint="eastAsia"/>
          <w:color w:val="auto"/>
          <w:kern w:val="0"/>
          <w:sz w:val="21"/>
          <w:szCs w:val="21"/>
          <w:highlight w:val="none"/>
          <w:lang w:bidi="ar"/>
        </w:rPr>
        <w:t>线上媒体宣传等设计：微信客户端、相关网站等各个媒体宣传途径的设计，包括媒体发布的文字编</w:t>
      </w:r>
      <w:r>
        <w:rPr>
          <w:rFonts w:hint="eastAsia" w:cs="Times New Roman"/>
          <w:color w:val="auto"/>
          <w:sz w:val="21"/>
          <w:szCs w:val="21"/>
          <w:highlight w:val="none"/>
        </w:rPr>
        <w:t>辑、校对等工作内容；</w:t>
      </w:r>
    </w:p>
    <w:p>
      <w:pPr>
        <w:adjustRightInd w:val="0"/>
        <w:snapToGrid w:val="0"/>
        <w:spacing w:line="288" w:lineRule="auto"/>
        <w:ind w:firstLine="420"/>
        <w:rPr>
          <w:rFonts w:hint="eastAsia" w:cs="Times New Roman"/>
          <w:color w:val="auto"/>
          <w:sz w:val="21"/>
          <w:szCs w:val="21"/>
          <w:highlight w:val="none"/>
        </w:rPr>
      </w:pPr>
      <w:r>
        <w:rPr>
          <w:rFonts w:hint="eastAsia" w:cs="Times New Roman"/>
          <w:color w:val="auto"/>
          <w:sz w:val="21"/>
          <w:szCs w:val="21"/>
          <w:highlight w:val="none"/>
        </w:rPr>
        <w:t xml:space="preserve">(8) 各个场馆地图设计：总览地图及6个展览场馆的地图设计； </w:t>
      </w:r>
    </w:p>
    <w:p>
      <w:pPr>
        <w:adjustRightInd w:val="0"/>
        <w:snapToGrid w:val="0"/>
        <w:spacing w:line="288" w:lineRule="auto"/>
        <w:rPr>
          <w:color w:val="auto"/>
          <w:highlight w:val="none"/>
          <w:lang w:bidi="ar"/>
        </w:rPr>
      </w:pPr>
      <w:r>
        <w:rPr>
          <w:rFonts w:hint="eastAsia" w:cs="Times New Roman"/>
          <w:color w:val="auto"/>
          <w:sz w:val="21"/>
          <w:szCs w:val="21"/>
          <w:highlight w:val="none"/>
        </w:rPr>
        <w:t xml:space="preserve">    (9) 综合物料设计：</w:t>
      </w:r>
      <w:r>
        <w:rPr>
          <w:rFonts w:hint="eastAsia"/>
          <w:color w:val="auto"/>
          <w:kern w:val="0"/>
          <w:sz w:val="21"/>
          <w:szCs w:val="21"/>
          <w:highlight w:val="none"/>
          <w:lang w:bidi="ar"/>
        </w:rPr>
        <w:t>活动前期宣传、活动期间、后期宣传的综合物料进行整体设计，内容包括邀请函设计（纸质）、H5邀请函设计、作品标签设计、作品标签（获奖）设计、工作牌（布展证、工作证、嘉宾证、媒体证、志愿者证）设计、汽车通行证（轿车、大巴、公交）设计、志愿者证书设计、宣传用帽子设计、文化衫设计、手环设计、手提袋设计、徽章设计等；</w:t>
      </w:r>
    </w:p>
    <w:p>
      <w:pPr>
        <w:adjustRightInd w:val="0"/>
        <w:snapToGrid w:val="0"/>
        <w:spacing w:line="288" w:lineRule="auto"/>
        <w:ind w:firstLine="420"/>
        <w:rPr>
          <w:rFonts w:hint="eastAsia"/>
          <w:color w:val="auto"/>
          <w:kern w:val="0"/>
          <w:sz w:val="21"/>
          <w:szCs w:val="21"/>
          <w:highlight w:val="none"/>
          <w:lang w:bidi="ar"/>
        </w:rPr>
      </w:pPr>
      <w:r>
        <w:rPr>
          <w:rFonts w:hint="eastAsia" w:cs="Times New Roman"/>
          <w:color w:val="auto"/>
          <w:sz w:val="21"/>
          <w:szCs w:val="21"/>
          <w:highlight w:val="none"/>
        </w:rPr>
        <w:t xml:space="preserve">(10) </w:t>
      </w:r>
      <w:r>
        <w:rPr>
          <w:rFonts w:hint="eastAsia"/>
          <w:color w:val="auto"/>
          <w:kern w:val="0"/>
          <w:sz w:val="21"/>
          <w:szCs w:val="21"/>
          <w:highlight w:val="none"/>
          <w:lang w:bidi="ar"/>
        </w:rPr>
        <w:t>综合物料制作：活动前期宣传、活动期间、后期宣传的综合物料进行制作，内容包括请柬制作400套、作品标签制作3000个、作品标签（获奖）制作100个、工作牌（布展证、工作证、嘉宾证、媒体证、志愿者证）制作3000张、汽车通行证（轿车）制作50张、汽车通行证（大巴、公交）制作10张、志愿者证书制作400张、宣传用帽子制作1500顶、手环制作1500个、手提袋制作1500个、徽章制作1500个等；</w:t>
      </w:r>
    </w:p>
    <w:p>
      <w:pPr>
        <w:adjustRightInd w:val="0"/>
        <w:snapToGrid w:val="0"/>
        <w:spacing w:line="288" w:lineRule="auto"/>
        <w:ind w:firstLine="420"/>
        <w:rPr>
          <w:color w:val="auto"/>
          <w:highlight w:val="none"/>
          <w:lang w:bidi="ar"/>
        </w:rPr>
      </w:pPr>
      <w:r>
        <w:rPr>
          <w:rFonts w:hint="eastAsia"/>
          <w:color w:val="auto"/>
          <w:kern w:val="0"/>
          <w:sz w:val="21"/>
          <w:szCs w:val="21"/>
          <w:highlight w:val="none"/>
          <w:lang w:bidi="ar"/>
        </w:rPr>
        <w:t>(11) 导览手册设计：要求导览册与展览主视觉形象风格统一；手册图表设计逻辑清晰、便于阅读，插图美观；封面设计新颖、美观、有创意；内页编排设计美观、符合阅读习惯；文字编辑专业，富有逻辑，章节段落清晰，便于阅读；</w:t>
      </w:r>
    </w:p>
    <w:p>
      <w:pPr>
        <w:adjustRightInd w:val="0"/>
        <w:snapToGrid w:val="0"/>
        <w:spacing w:line="288" w:lineRule="auto"/>
        <w:ind w:firstLine="420"/>
        <w:rPr>
          <w:rFonts w:hint="eastAsia"/>
          <w:color w:val="auto"/>
          <w:highlight w:val="none"/>
          <w:lang w:bidi="ar"/>
        </w:rPr>
      </w:pPr>
      <w:r>
        <w:rPr>
          <w:rFonts w:hint="eastAsia"/>
          <w:color w:val="auto"/>
          <w:kern w:val="0"/>
          <w:sz w:val="21"/>
          <w:szCs w:val="21"/>
          <w:highlight w:val="none"/>
          <w:lang w:bidi="ar"/>
        </w:rPr>
        <w:t>(12) 导览手册制作：对导览册进行印刷制作，四色和专色印刷结合，采用带涂布的特种纸张，骑马钉装订。</w:t>
      </w:r>
    </w:p>
    <w:p>
      <w:pPr>
        <w:pStyle w:val="2"/>
        <w:rPr>
          <w:rFonts w:hint="eastAsia"/>
          <w:color w:val="auto"/>
          <w:highlight w:val="none"/>
          <w:lang w:bidi="ar"/>
        </w:rPr>
      </w:pPr>
    </w:p>
    <w:p>
      <w:pPr>
        <w:pStyle w:val="2"/>
        <w:spacing w:line="300" w:lineRule="auto"/>
        <w:rPr>
          <w:rFonts w:ascii="宋体" w:hAnsi="宋体" w:cs="宋体"/>
          <w:b/>
          <w:color w:val="auto"/>
          <w:sz w:val="21"/>
          <w:szCs w:val="21"/>
          <w:highlight w:val="none"/>
        </w:rPr>
      </w:pPr>
      <w:r>
        <w:rPr>
          <w:rFonts w:hint="eastAsia" w:ascii="宋体" w:hAnsi="宋体" w:cs="宋体"/>
          <w:b/>
          <w:color w:val="auto"/>
          <w:sz w:val="21"/>
          <w:szCs w:val="21"/>
          <w:highlight w:val="none"/>
        </w:rPr>
        <w:t>（三）主视觉线下展览搭建制作</w:t>
      </w:r>
    </w:p>
    <w:p>
      <w:pPr>
        <w:pStyle w:val="25"/>
        <w:ind w:left="0"/>
        <w:rPr>
          <w:color w:val="auto"/>
          <w:highlight w:val="none"/>
        </w:rPr>
      </w:pPr>
      <w:r>
        <w:rPr>
          <w:rFonts w:hint="eastAsia" w:ascii="宋体" w:hAnsi="宋体" w:cs="宋体"/>
          <w:b/>
          <w:color w:val="auto"/>
          <w:szCs w:val="21"/>
          <w:highlight w:val="none"/>
        </w:rPr>
        <w:t>1.服务清单，包括但不限于以下内容：</w:t>
      </w:r>
    </w:p>
    <w:tbl>
      <w:tblPr>
        <w:tblStyle w:val="19"/>
        <w:tblW w:w="4993" w:type="pct"/>
        <w:tblInd w:w="0" w:type="dxa"/>
        <w:tblLayout w:type="autofit"/>
        <w:tblCellMar>
          <w:top w:w="0" w:type="dxa"/>
          <w:left w:w="108" w:type="dxa"/>
          <w:bottom w:w="0" w:type="dxa"/>
          <w:right w:w="108" w:type="dxa"/>
        </w:tblCellMar>
      </w:tblPr>
      <w:tblGrid>
        <w:gridCol w:w="991"/>
        <w:gridCol w:w="2526"/>
        <w:gridCol w:w="4627"/>
        <w:gridCol w:w="1471"/>
      </w:tblGrid>
      <w:tr>
        <w:tblPrEx>
          <w:tblCellMar>
            <w:top w:w="0" w:type="dxa"/>
            <w:left w:w="108" w:type="dxa"/>
            <w:bottom w:w="0" w:type="dxa"/>
            <w:right w:w="108" w:type="dxa"/>
          </w:tblCellMar>
        </w:tblPrEx>
        <w:trPr>
          <w:trHeight w:val="2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内容</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制作规范与说明</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r>
      <w:tr>
        <w:trPr>
          <w:trHeight w:val="80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各展览单元视觉形象制作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2000*3000*600mm、2000*3000*600mm、1500*3000*600mm、木结构写真覆面，多模块组合</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12</w:t>
            </w:r>
          </w:p>
        </w:tc>
      </w:tr>
      <w:tr>
        <w:tblPrEx>
          <w:tblCellMar>
            <w:top w:w="0" w:type="dxa"/>
            <w:left w:w="108" w:type="dxa"/>
            <w:bottom w:w="0" w:type="dxa"/>
            <w:right w:w="108" w:type="dxa"/>
          </w:tblCellMar>
        </w:tblPrEx>
        <w:trPr>
          <w:trHeight w:val="84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各单元导视牌制作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铝合金架竖式立牌，加厚防晃，内覆1000*2000mm，KT板写真</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60</w:t>
            </w:r>
          </w:p>
        </w:tc>
      </w:tr>
      <w:tr>
        <w:trPr>
          <w:trHeight w:val="54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道旗制作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2500*550mm，户外写真</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80</w:t>
            </w:r>
          </w:p>
        </w:tc>
      </w:tr>
      <w:tr>
        <w:tblPrEx>
          <w:tblCellMar>
            <w:top w:w="0" w:type="dxa"/>
            <w:left w:w="108" w:type="dxa"/>
            <w:bottom w:w="0" w:type="dxa"/>
            <w:right w:w="108" w:type="dxa"/>
          </w:tblCellMar>
        </w:tblPrEx>
        <w:trPr>
          <w:trHeight w:val="54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地贴制作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1000*1000mm，户外写真背胶</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120</w:t>
            </w:r>
          </w:p>
        </w:tc>
      </w:tr>
      <w:tr>
        <w:tblPrEx>
          <w:tblCellMar>
            <w:top w:w="0" w:type="dxa"/>
            <w:left w:w="108" w:type="dxa"/>
            <w:bottom w:w="0" w:type="dxa"/>
            <w:right w:w="108" w:type="dxa"/>
          </w:tblCellMar>
        </w:tblPrEx>
        <w:trPr>
          <w:trHeight w:val="54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喷绘制作</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黑底哑光环保喷绘及安装（出血另计）</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1000</w:t>
            </w:r>
          </w:p>
        </w:tc>
      </w:tr>
      <w:tr>
        <w:tblPrEx>
          <w:tblCellMar>
            <w:top w:w="0" w:type="dxa"/>
            <w:left w:w="108" w:type="dxa"/>
            <w:bottom w:w="0" w:type="dxa"/>
            <w:right w:w="108" w:type="dxa"/>
          </w:tblCellMar>
        </w:tblPrEx>
        <w:trPr>
          <w:trHeight w:val="2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桁架租赁</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桁架钢架网状结构</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600</w:t>
            </w:r>
          </w:p>
        </w:tc>
      </w:tr>
      <w:tr>
        <w:tblPrEx>
          <w:tblCellMar>
            <w:top w:w="0" w:type="dxa"/>
            <w:left w:w="108" w:type="dxa"/>
            <w:bottom w:w="0" w:type="dxa"/>
            <w:right w:w="108" w:type="dxa"/>
          </w:tblCellMar>
        </w:tblPrEx>
        <w:trPr>
          <w:trHeight w:val="2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人工</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搭建工人</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80</w:t>
            </w:r>
          </w:p>
        </w:tc>
      </w:tr>
      <w:tr>
        <w:tblPrEx>
          <w:tblCellMar>
            <w:top w:w="0" w:type="dxa"/>
            <w:left w:w="108" w:type="dxa"/>
            <w:bottom w:w="0" w:type="dxa"/>
            <w:right w:w="108" w:type="dxa"/>
          </w:tblCellMar>
        </w:tblPrEx>
        <w:trPr>
          <w:trHeight w:val="2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运输</w:t>
            </w:r>
          </w:p>
        </w:tc>
        <w:tc>
          <w:tcPr>
            <w:tcW w:w="2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运输货车</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w:t>
            </w:r>
          </w:p>
        </w:tc>
      </w:tr>
    </w:tbl>
    <w:p>
      <w:pPr>
        <w:pStyle w:val="6"/>
        <w:ind w:firstLine="0"/>
        <w:rPr>
          <w:color w:val="auto"/>
          <w:highlight w:val="none"/>
        </w:rPr>
      </w:pPr>
    </w:p>
    <w:p>
      <w:pPr>
        <w:pStyle w:val="25"/>
        <w:ind w:left="0"/>
        <w:rPr>
          <w:rFonts w:ascii="宋体" w:hAnsi="宋体" w:cs="宋体"/>
          <w:b/>
          <w:color w:val="auto"/>
          <w:szCs w:val="21"/>
          <w:highlight w:val="none"/>
        </w:rPr>
      </w:pPr>
      <w:r>
        <w:rPr>
          <w:rFonts w:hint="eastAsia" w:ascii="宋体" w:hAnsi="宋体" w:cs="宋体"/>
          <w:b/>
          <w:color w:val="auto"/>
          <w:szCs w:val="21"/>
          <w:highlight w:val="none"/>
        </w:rPr>
        <w:t>2.具体内容</w:t>
      </w:r>
    </w:p>
    <w:p>
      <w:pPr>
        <w:pStyle w:val="6"/>
        <w:rPr>
          <w:rFonts w:hint="eastAsia"/>
          <w:color w:val="auto"/>
          <w:kern w:val="0"/>
          <w:szCs w:val="21"/>
          <w:highlight w:val="none"/>
          <w:lang w:bidi="ar"/>
        </w:rPr>
      </w:pPr>
      <w:r>
        <w:rPr>
          <w:rFonts w:hint="eastAsia" w:cs="Times New Roman"/>
          <w:color w:val="auto"/>
          <w:szCs w:val="21"/>
          <w:highlight w:val="none"/>
        </w:rPr>
        <w:t>(1)</w:t>
      </w:r>
      <w:r>
        <w:rPr>
          <w:rFonts w:hint="eastAsia"/>
          <w:color w:val="auto"/>
          <w:kern w:val="0"/>
          <w:szCs w:val="21"/>
          <w:highlight w:val="none"/>
          <w:lang w:bidi="ar"/>
        </w:rPr>
        <w:t xml:space="preserve"> </w:t>
      </w:r>
      <w:r>
        <w:rPr>
          <w:rFonts w:hint="eastAsia"/>
          <w:color w:val="auto"/>
          <w:kern w:val="0"/>
          <w:szCs w:val="21"/>
          <w:highlight w:val="none"/>
          <w:lang w:bidi="ar"/>
        </w:rPr>
        <w:t>各展览单元视觉形象制作</w:t>
      </w:r>
      <w:r>
        <w:rPr>
          <w:rFonts w:hint="eastAsia"/>
          <w:color w:val="auto"/>
          <w:kern w:val="0"/>
          <w:szCs w:val="21"/>
          <w:highlight w:val="none"/>
          <w:lang w:bidi="ar"/>
        </w:rPr>
        <w:t>：各个展馆的视觉形象搭建制作，</w:t>
      </w:r>
      <w:r>
        <w:rPr>
          <w:rFonts w:hint="eastAsia"/>
          <w:color w:val="auto"/>
          <w:kern w:val="0"/>
          <w:szCs w:val="21"/>
          <w:highlight w:val="none"/>
          <w:lang w:bidi="ar"/>
        </w:rPr>
        <w:t>木结构写真覆面，多模块组合</w:t>
      </w:r>
      <w:r>
        <w:rPr>
          <w:rFonts w:hint="eastAsia"/>
          <w:color w:val="auto"/>
          <w:kern w:val="0"/>
          <w:szCs w:val="21"/>
          <w:highlight w:val="none"/>
          <w:lang w:bidi="ar"/>
        </w:rPr>
        <w:t>；</w:t>
      </w:r>
    </w:p>
    <w:p>
      <w:pPr>
        <w:pStyle w:val="6"/>
        <w:ind w:firstLine="0"/>
        <w:rPr>
          <w:rFonts w:hint="eastAsia"/>
          <w:color w:val="auto"/>
          <w:kern w:val="0"/>
          <w:szCs w:val="21"/>
          <w:highlight w:val="none"/>
          <w:lang w:bidi="ar"/>
        </w:rPr>
      </w:pPr>
      <w:r>
        <w:rPr>
          <w:rFonts w:hint="eastAsia" w:cs="Times New Roman"/>
          <w:color w:val="auto"/>
          <w:szCs w:val="21"/>
          <w:highlight w:val="none"/>
        </w:rPr>
        <w:t xml:space="preserve">    (2) </w:t>
      </w:r>
      <w:r>
        <w:rPr>
          <w:rFonts w:hint="eastAsia"/>
          <w:color w:val="auto"/>
          <w:kern w:val="0"/>
          <w:szCs w:val="21"/>
          <w:highlight w:val="none"/>
          <w:lang w:bidi="ar"/>
        </w:rPr>
        <w:t>各单元导视牌制作：</w:t>
      </w:r>
      <w:r>
        <w:rPr>
          <w:rFonts w:hint="eastAsia"/>
          <w:color w:val="auto"/>
          <w:kern w:val="0"/>
          <w:szCs w:val="21"/>
          <w:highlight w:val="none"/>
          <w:lang w:bidi="ar"/>
        </w:rPr>
        <w:t>各个展馆的导视牌制作，</w:t>
      </w:r>
      <w:r>
        <w:rPr>
          <w:rFonts w:hint="eastAsia"/>
          <w:color w:val="auto"/>
          <w:kern w:val="0"/>
          <w:szCs w:val="21"/>
          <w:highlight w:val="none"/>
          <w:lang w:bidi="ar"/>
        </w:rPr>
        <w:t>合金架竖式立牌形式，加厚防晃，KT板写真；</w:t>
      </w:r>
    </w:p>
    <w:p>
      <w:pPr>
        <w:pStyle w:val="6"/>
        <w:rPr>
          <w:rFonts w:hint="eastAsia"/>
          <w:color w:val="auto"/>
          <w:kern w:val="0"/>
          <w:szCs w:val="21"/>
          <w:highlight w:val="none"/>
          <w:lang w:bidi="ar"/>
        </w:rPr>
      </w:pPr>
      <w:r>
        <w:rPr>
          <w:rFonts w:hint="eastAsia" w:cs="Times New Roman"/>
          <w:color w:val="auto"/>
          <w:szCs w:val="21"/>
          <w:highlight w:val="none"/>
        </w:rPr>
        <w:t xml:space="preserve">(3) </w:t>
      </w:r>
      <w:r>
        <w:rPr>
          <w:rFonts w:hint="eastAsia"/>
          <w:color w:val="auto"/>
          <w:kern w:val="0"/>
          <w:szCs w:val="21"/>
          <w:highlight w:val="none"/>
          <w:lang w:bidi="ar"/>
        </w:rPr>
        <w:t>道旗制作：</w:t>
      </w:r>
      <w:r>
        <w:rPr>
          <w:rFonts w:hint="eastAsia"/>
          <w:color w:val="auto"/>
          <w:kern w:val="0"/>
          <w:szCs w:val="21"/>
          <w:highlight w:val="none"/>
          <w:lang w:bidi="ar"/>
        </w:rPr>
        <w:t>各个展馆的外围道路两旁的道旗制作，户外写真；</w:t>
      </w:r>
    </w:p>
    <w:p>
      <w:pPr>
        <w:pStyle w:val="6"/>
        <w:rPr>
          <w:rFonts w:hint="eastAsia"/>
          <w:color w:val="auto"/>
          <w:kern w:val="0"/>
          <w:szCs w:val="21"/>
          <w:highlight w:val="none"/>
          <w:lang w:bidi="ar"/>
        </w:rPr>
      </w:pPr>
      <w:r>
        <w:rPr>
          <w:rFonts w:hint="eastAsia" w:cs="Times New Roman"/>
          <w:color w:val="auto"/>
          <w:szCs w:val="21"/>
          <w:highlight w:val="none"/>
        </w:rPr>
        <w:t>(4) 地贴</w:t>
      </w:r>
      <w:r>
        <w:rPr>
          <w:rFonts w:hint="eastAsia"/>
          <w:color w:val="auto"/>
          <w:kern w:val="0"/>
          <w:szCs w:val="21"/>
          <w:highlight w:val="none"/>
          <w:lang w:bidi="ar"/>
        </w:rPr>
        <w:t>制作：</w:t>
      </w:r>
      <w:r>
        <w:rPr>
          <w:rFonts w:hint="eastAsia"/>
          <w:color w:val="auto"/>
          <w:kern w:val="0"/>
          <w:szCs w:val="21"/>
          <w:highlight w:val="none"/>
          <w:lang w:bidi="ar"/>
        </w:rPr>
        <w:t>各个展馆的形象宣传地贴制作，以及参观路径指引制作，</w:t>
      </w:r>
      <w:r>
        <w:rPr>
          <w:rFonts w:hint="eastAsia"/>
          <w:color w:val="auto"/>
          <w:kern w:val="0"/>
          <w:szCs w:val="21"/>
          <w:highlight w:val="none"/>
          <w:lang w:bidi="ar"/>
        </w:rPr>
        <w:t>户外写真背胶</w:t>
      </w:r>
      <w:r>
        <w:rPr>
          <w:rFonts w:hint="eastAsia"/>
          <w:color w:val="auto"/>
          <w:kern w:val="0"/>
          <w:szCs w:val="21"/>
          <w:highlight w:val="none"/>
          <w:lang w:bidi="ar"/>
        </w:rPr>
        <w:t>；</w:t>
      </w:r>
    </w:p>
    <w:p>
      <w:pPr>
        <w:pStyle w:val="6"/>
        <w:rPr>
          <w:rFonts w:hint="eastAsia"/>
          <w:color w:val="auto"/>
          <w:kern w:val="0"/>
          <w:szCs w:val="21"/>
          <w:highlight w:val="none"/>
          <w:lang w:bidi="ar"/>
        </w:rPr>
      </w:pPr>
      <w:r>
        <w:rPr>
          <w:rFonts w:hint="eastAsia" w:cs="Times New Roman"/>
          <w:color w:val="auto"/>
          <w:szCs w:val="21"/>
          <w:highlight w:val="none"/>
        </w:rPr>
        <w:t xml:space="preserve">(5) </w:t>
      </w:r>
      <w:r>
        <w:rPr>
          <w:rFonts w:hint="eastAsia"/>
          <w:color w:val="auto"/>
          <w:kern w:val="0"/>
          <w:szCs w:val="21"/>
          <w:highlight w:val="none"/>
          <w:lang w:bidi="ar"/>
        </w:rPr>
        <w:t>喷绘制作：黑底哑光环保喷绘及安装；</w:t>
      </w:r>
    </w:p>
    <w:p>
      <w:pPr>
        <w:pStyle w:val="6"/>
        <w:rPr>
          <w:rFonts w:hint="eastAsia"/>
          <w:color w:val="auto"/>
          <w:kern w:val="0"/>
          <w:szCs w:val="21"/>
          <w:highlight w:val="none"/>
          <w:lang w:bidi="ar"/>
        </w:rPr>
      </w:pPr>
      <w:r>
        <w:rPr>
          <w:rFonts w:hint="eastAsia" w:cs="Times New Roman"/>
          <w:color w:val="auto"/>
          <w:szCs w:val="21"/>
          <w:highlight w:val="none"/>
        </w:rPr>
        <w:t xml:space="preserve">(6) </w:t>
      </w:r>
      <w:r>
        <w:rPr>
          <w:rFonts w:hint="eastAsia"/>
          <w:color w:val="auto"/>
          <w:kern w:val="0"/>
          <w:szCs w:val="21"/>
          <w:highlight w:val="none"/>
          <w:lang w:bidi="ar"/>
        </w:rPr>
        <w:t>桁架租赁：桁架钢架网状结构的租赁成本计算；</w:t>
      </w:r>
    </w:p>
    <w:p>
      <w:pPr>
        <w:pStyle w:val="6"/>
        <w:rPr>
          <w:rFonts w:hint="eastAsia"/>
          <w:color w:val="auto"/>
          <w:kern w:val="0"/>
          <w:szCs w:val="21"/>
          <w:highlight w:val="none"/>
          <w:lang w:bidi="ar"/>
        </w:rPr>
      </w:pPr>
      <w:r>
        <w:rPr>
          <w:rFonts w:hint="eastAsia" w:cs="Times New Roman"/>
          <w:color w:val="auto"/>
          <w:szCs w:val="21"/>
          <w:highlight w:val="none"/>
        </w:rPr>
        <w:t xml:space="preserve">(7) </w:t>
      </w:r>
      <w:r>
        <w:rPr>
          <w:rFonts w:hint="eastAsia"/>
          <w:color w:val="auto"/>
          <w:kern w:val="0"/>
          <w:szCs w:val="21"/>
          <w:highlight w:val="none"/>
          <w:lang w:bidi="ar"/>
        </w:rPr>
        <w:t>人工：搭建工人的人工成本计算；</w:t>
      </w:r>
    </w:p>
    <w:p>
      <w:pPr>
        <w:pStyle w:val="6"/>
        <w:rPr>
          <w:rFonts w:hint="eastAsia"/>
          <w:color w:val="auto"/>
          <w:kern w:val="0"/>
          <w:szCs w:val="21"/>
          <w:highlight w:val="none"/>
          <w:lang w:bidi="ar"/>
        </w:rPr>
      </w:pPr>
      <w:r>
        <w:rPr>
          <w:rFonts w:hint="eastAsia" w:cs="Times New Roman"/>
          <w:color w:val="auto"/>
          <w:szCs w:val="21"/>
          <w:highlight w:val="none"/>
        </w:rPr>
        <w:t xml:space="preserve">(8) </w:t>
      </w:r>
      <w:r>
        <w:rPr>
          <w:rFonts w:hint="eastAsia"/>
          <w:color w:val="auto"/>
          <w:kern w:val="0"/>
          <w:szCs w:val="21"/>
          <w:highlight w:val="none"/>
          <w:lang w:bidi="ar"/>
        </w:rPr>
        <w:t>运输：以上现场制作内容的运输成本计算；</w:t>
      </w:r>
    </w:p>
    <w:p>
      <w:pPr>
        <w:pStyle w:val="6"/>
        <w:ind w:firstLine="0"/>
        <w:rPr>
          <w:rFonts w:hint="eastAsia"/>
          <w:color w:val="auto"/>
          <w:highlight w:val="none"/>
        </w:rPr>
      </w:pPr>
    </w:p>
    <w:p>
      <w:pPr>
        <w:spacing w:line="288" w:lineRule="auto"/>
        <w:rPr>
          <w:b/>
          <w:color w:val="auto"/>
          <w:sz w:val="21"/>
          <w:szCs w:val="21"/>
          <w:highlight w:val="none"/>
        </w:rPr>
      </w:pPr>
      <w:r>
        <w:rPr>
          <w:rFonts w:hint="eastAsia"/>
          <w:b/>
          <w:color w:val="auto"/>
          <w:sz w:val="21"/>
          <w:szCs w:val="21"/>
          <w:highlight w:val="none"/>
        </w:rPr>
        <w:t>注：</w:t>
      </w:r>
    </w:p>
    <w:p>
      <w:pPr>
        <w:pStyle w:val="32"/>
        <w:numPr>
          <w:ilvl w:val="0"/>
          <w:numId w:val="1"/>
        </w:numPr>
        <w:adjustRightInd w:val="0"/>
        <w:snapToGrid w:val="0"/>
        <w:spacing w:line="288" w:lineRule="auto"/>
        <w:ind w:firstLineChars="0"/>
        <w:rPr>
          <w:b/>
          <w:color w:val="auto"/>
          <w:sz w:val="21"/>
          <w:szCs w:val="21"/>
          <w:highlight w:val="none"/>
        </w:rPr>
      </w:pPr>
      <w:r>
        <w:rPr>
          <w:rFonts w:hint="eastAsia"/>
          <w:b/>
          <w:color w:val="auto"/>
          <w:sz w:val="21"/>
          <w:szCs w:val="21"/>
          <w:highlight w:val="none"/>
        </w:rPr>
        <w:t>如服务要求中未特别注明需执行的国家相关标准、行业标准、地方标准或者其他标准、规范，则统一执行最新标准、规范。</w:t>
      </w:r>
    </w:p>
    <w:p>
      <w:pPr>
        <w:pStyle w:val="18"/>
        <w:rPr>
          <w:color w:val="auto"/>
          <w:highlight w:val="none"/>
        </w:rPr>
      </w:pPr>
    </w:p>
    <w:p>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本磋商文件适用于中国美术学院2022国际青年艺术周视觉设计、主视觉线下展览搭建制作的磋商、评审、成交、验收、合同履约、付款等（法律、法规另有规定的，从其规定）。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bookmarkEnd w:id="31"/>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中小企业声明函（若属于中小企业）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采购人将以合同形式有偿取得货物或服务，不接受供应商给予的赠品、回扣或者与采购无关的其他商品、服务</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本磋商文件适用于中国美术学院2022国际青年艺术周视觉设计、主视觉线下展览搭建制作的磋商、评审、成交、验收、合同履约、付款等（法律、法规另有规定的，从其规定）。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3" w:name="_Hlk92273406"/>
      <w:bookmarkStart w:id="34"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3"/>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4"/>
    <w:p>
      <w:pPr>
        <w:adjustRightInd w:val="0"/>
        <w:snapToGrid w:val="0"/>
        <w:spacing w:line="288" w:lineRule="auto"/>
        <w:outlineLvl w:val="2"/>
        <w:rPr>
          <w:b/>
          <w:color w:val="auto"/>
          <w:spacing w:val="-6"/>
          <w:kern w:val="0"/>
          <w:sz w:val="21"/>
          <w:szCs w:val="21"/>
          <w:highlight w:val="none"/>
        </w:rPr>
      </w:pPr>
      <w:bookmarkStart w:id="35"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5"/>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ind w:firstLine="396" w:firstLineChars="200"/>
        <w:jc w:val="left"/>
        <w:rPr>
          <w:rFonts w:cs="Times New Roman"/>
          <w:color w:val="auto"/>
          <w:spacing w:val="-6"/>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6" w:name="_Hlk96329193"/>
      <w:r>
        <w:rPr>
          <w:rFonts w:hint="eastAsia"/>
          <w:color w:val="auto"/>
          <w:sz w:val="21"/>
          <w:szCs w:val="21"/>
          <w:highlight w:val="none"/>
        </w:rPr>
        <w:t>，供应商应写全称。</w:t>
      </w:r>
      <w:bookmarkEnd w:id="36"/>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pStyle w:val="11"/>
        <w:adjustRightInd w:val="0"/>
        <w:snapToGrid w:val="0"/>
        <w:spacing w:before="0" w:beforeLines="0" w:after="0" w:afterLines="0" w:line="288" w:lineRule="auto"/>
        <w:ind w:firstLine="420" w:firstLineChars="200"/>
        <w:jc w:val="left"/>
        <w:rPr>
          <w:rFonts w:hAnsi="宋体" w:eastAsia="宋体"/>
          <w:color w:val="auto"/>
          <w:sz w:val="21"/>
          <w:szCs w:val="21"/>
          <w:highlight w:val="none"/>
        </w:rPr>
      </w:pPr>
      <w:r>
        <w:rPr>
          <w:rFonts w:hint="eastAsia" w:hAnsi="宋体" w:eastAsia="宋体" w:cs="宋体"/>
          <w:color w:val="auto"/>
          <w:sz w:val="21"/>
          <w:szCs w:val="21"/>
          <w:highlight w:val="none"/>
        </w:rPr>
        <w:t>▲4</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采购人将以合同形式有偿取得货物或服务，不接受供应商给予的赠品、回扣或者与采购无关的其他商品、服务</w:t>
      </w:r>
      <w:r>
        <w:rPr>
          <w:rFonts w:hAnsi="宋体" w:eastAsia="宋体" w:cs="宋体"/>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未响应磋商文件“▲”标记条款要求的，响应无效。</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2" w:firstLineChars="201"/>
        <w:jc w:val="left"/>
        <w:rPr>
          <w:rFonts w:cs="Arial"/>
          <w:color w:val="auto"/>
          <w:kern w:val="0"/>
          <w:sz w:val="21"/>
          <w:szCs w:val="21"/>
          <w:highlight w:val="none"/>
        </w:rPr>
      </w:pPr>
      <w:r>
        <w:rPr>
          <w:rFonts w:cs="Arial"/>
          <w:color w:val="auto"/>
          <w:kern w:val="0"/>
          <w:sz w:val="21"/>
          <w:szCs w:val="21"/>
          <w:highlight w:val="none"/>
        </w:rPr>
        <w:t>信用信息查询渠道及截止时间：采购机构将通过“信用中国”网站(www.creditchina.gov.cn)、中国政府采购网(www.ccgp.gov.cn)渠道查询供应商</w:t>
      </w:r>
      <w:r>
        <w:rPr>
          <w:rFonts w:hint="eastAsia" w:cs="Arial"/>
          <w:color w:val="auto"/>
          <w:kern w:val="0"/>
          <w:sz w:val="21"/>
          <w:szCs w:val="21"/>
          <w:highlight w:val="none"/>
        </w:rPr>
        <w:t>响应</w:t>
      </w:r>
      <w:r>
        <w:rPr>
          <w:rFonts w:cs="Arial"/>
          <w:color w:val="auto"/>
          <w:kern w:val="0"/>
          <w:sz w:val="21"/>
          <w:szCs w:val="21"/>
          <w:highlight w:val="none"/>
        </w:rPr>
        <w:t>截止时间当天的信用记录。</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37"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7"/>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r>
        <w:rPr>
          <w:rFonts w:hint="eastAsia" w:cs="Times New Roman"/>
          <w:bCs/>
          <w:color w:val="auto"/>
          <w:spacing w:val="-6"/>
          <w:sz w:val="21"/>
          <w:szCs w:val="21"/>
          <w:highlight w:val="none"/>
        </w:rPr>
        <w:t>出现并列第一名时由采购人确认成交供应商或采购人授权磋商小组按抽签方式确认成交供应商。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二、评审标准</w:t>
      </w:r>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color w:val="auto"/>
                <w:spacing w:val="-6"/>
                <w:sz w:val="21"/>
                <w:szCs w:val="21"/>
                <w:highlight w:val="none"/>
              </w:rPr>
            </w:pPr>
            <w:bookmarkStart w:id="38" w:name="_Hlk81817387"/>
            <w:r>
              <w:rPr>
                <w:rFonts w:hint="eastAsia"/>
                <w:b/>
                <w:color w:val="auto"/>
                <w:spacing w:val="-6"/>
                <w:sz w:val="21"/>
                <w:szCs w:val="21"/>
                <w:highlight w:val="none"/>
              </w:rPr>
              <w:t>评审因素</w:t>
            </w:r>
          </w:p>
        </w:tc>
        <w:tc>
          <w:tcPr>
            <w:tcW w:w="709" w:type="dxa"/>
            <w:vAlign w:val="center"/>
          </w:tcPr>
          <w:p>
            <w:pPr>
              <w:jc w:val="center"/>
              <w:rPr>
                <w:b/>
                <w:color w:val="auto"/>
                <w:spacing w:val="-6"/>
                <w:sz w:val="21"/>
                <w:szCs w:val="21"/>
                <w:highlight w:val="none"/>
              </w:rPr>
            </w:pPr>
            <w:r>
              <w:rPr>
                <w:rFonts w:hint="eastAsia"/>
                <w:b/>
                <w:color w:val="auto"/>
                <w:spacing w:val="-6"/>
                <w:sz w:val="21"/>
                <w:szCs w:val="21"/>
                <w:highlight w:val="none"/>
              </w:rPr>
              <w:t>分值</w:t>
            </w:r>
          </w:p>
        </w:tc>
        <w:tc>
          <w:tcPr>
            <w:tcW w:w="7087" w:type="dxa"/>
            <w:vAlign w:val="center"/>
          </w:tcPr>
          <w:p>
            <w:pPr>
              <w:pStyle w:val="37"/>
              <w:spacing w:line="240" w:lineRule="auto"/>
              <w:rPr>
                <w:rFonts w:hint="default" w:ascii="宋体" w:eastAsia="宋体"/>
                <w:b/>
                <w:color w:val="auto"/>
                <w:spacing w:val="-6"/>
                <w:sz w:val="21"/>
                <w:szCs w:val="21"/>
                <w:highlight w:val="none"/>
              </w:rPr>
            </w:pPr>
            <w:r>
              <w:rPr>
                <w:rFonts w:asci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37"/>
              <w:spacing w:line="240" w:lineRule="auto"/>
              <w:jc w:val="both"/>
              <w:rPr>
                <w:rFonts w:hint="default" w:ascii="宋体" w:eastAsia="宋体"/>
                <w:color w:val="auto"/>
                <w:spacing w:val="-6"/>
                <w:sz w:val="21"/>
                <w:szCs w:val="21"/>
                <w:highlight w:val="none"/>
              </w:rPr>
            </w:pPr>
            <w:r>
              <w:rPr>
                <w:rFonts w:ascii="宋体" w:eastAsia="宋体"/>
                <w:b/>
                <w:bCs/>
                <w:color w:val="auto"/>
                <w:spacing w:val="-6"/>
                <w:kern w:val="2"/>
                <w:sz w:val="21"/>
                <w:szCs w:val="21"/>
                <w:highlight w:val="none"/>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磋商响应报价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10</w:t>
            </w:r>
          </w:p>
        </w:tc>
        <w:tc>
          <w:tcPr>
            <w:tcW w:w="7087" w:type="dxa"/>
            <w:tcBorders>
              <w:top w:val="single" w:color="auto" w:sz="4" w:space="0"/>
              <w:left w:val="single" w:color="auto" w:sz="4" w:space="0"/>
              <w:bottom w:val="single" w:color="auto" w:sz="4" w:space="0"/>
              <w:right w:val="single" w:color="auto" w:sz="4" w:space="0"/>
            </w:tcBorders>
            <w:vAlign w:val="center"/>
          </w:tcPr>
          <w:p>
            <w:pPr>
              <w:pStyle w:val="9"/>
              <w:ind w:firstLine="0"/>
              <w:rPr>
                <w:rFonts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价格分采用低价优先法计算，即满足磋商文件要求且磋商响应报价最低的报价为磋商基准价，其他磋商响应供应商的价格分按照下列公式计算：</w:t>
            </w:r>
          </w:p>
          <w:p>
            <w:pPr>
              <w:rPr>
                <w:color w:val="auto"/>
                <w:spacing w:val="-6"/>
                <w:sz w:val="21"/>
                <w:szCs w:val="21"/>
                <w:highlight w:val="none"/>
              </w:rPr>
            </w:pPr>
            <w:r>
              <w:rPr>
                <w:rFonts w:hint="eastAsia"/>
                <w:color w:val="auto"/>
                <w:spacing w:val="-6"/>
                <w:sz w:val="21"/>
                <w:szCs w:val="21"/>
                <w:highlight w:val="none"/>
              </w:rPr>
              <w:t>价格分=（磋商基准价/磋商响应报价）×10%×100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37"/>
              <w:spacing w:line="240" w:lineRule="auto"/>
              <w:jc w:val="both"/>
              <w:rPr>
                <w:rFonts w:hint="default" w:ascii="宋体" w:eastAsia="宋体"/>
                <w:b/>
                <w:color w:val="auto"/>
                <w:spacing w:val="-6"/>
                <w:sz w:val="21"/>
                <w:szCs w:val="21"/>
                <w:highlight w:val="none"/>
              </w:rPr>
            </w:pPr>
            <w:r>
              <w:rPr>
                <w:rFonts w:ascii="宋体" w:eastAsia="宋体"/>
                <w:b/>
                <w:color w:val="auto"/>
                <w:spacing w:val="-6"/>
                <w:sz w:val="21"/>
                <w:szCs w:val="21"/>
                <w:highlight w:val="none"/>
              </w:rPr>
              <w:t>商务分（3分）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z w:val="21"/>
                <w:szCs w:val="21"/>
                <w:highlight w:val="none"/>
              </w:rPr>
              <w:t>体系认证</w:t>
            </w: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2</w:t>
            </w:r>
          </w:p>
        </w:tc>
        <w:tc>
          <w:tcPr>
            <w:tcW w:w="7087" w:type="dxa"/>
            <w:vAlign w:val="center"/>
          </w:tcPr>
          <w:p>
            <w:pPr>
              <w:rPr>
                <w:color w:val="auto"/>
                <w:spacing w:val="-6"/>
                <w:sz w:val="21"/>
                <w:szCs w:val="21"/>
                <w:highlight w:val="none"/>
              </w:rPr>
            </w:pPr>
            <w:r>
              <w:rPr>
                <w:rFonts w:hint="eastAsia"/>
                <w:color w:val="auto"/>
                <w:sz w:val="21"/>
                <w:szCs w:val="21"/>
                <w:highlight w:val="none"/>
              </w:rPr>
              <w:t>供应商具有有效的质量管理体系认证证书的得2分（响应文件中提供复印件，不提供不得分，原件备查）。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pacing w:val="-6"/>
                <w:sz w:val="21"/>
                <w:szCs w:val="21"/>
                <w:highlight w:val="none"/>
              </w:rPr>
            </w:pPr>
            <w:r>
              <w:rPr>
                <w:rFonts w:hint="eastAsia"/>
                <w:b/>
                <w:bCs/>
                <w:color w:val="auto"/>
                <w:sz w:val="21"/>
                <w:szCs w:val="21"/>
                <w:highlight w:val="none"/>
              </w:rPr>
              <w:t>业绩</w:t>
            </w: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1</w:t>
            </w:r>
          </w:p>
        </w:tc>
        <w:tc>
          <w:tcPr>
            <w:tcW w:w="7087" w:type="dxa"/>
            <w:vAlign w:val="center"/>
          </w:tcPr>
          <w:p>
            <w:pPr>
              <w:rPr>
                <w:color w:val="auto"/>
                <w:spacing w:val="-6"/>
                <w:sz w:val="21"/>
                <w:szCs w:val="21"/>
                <w:highlight w:val="none"/>
              </w:rPr>
            </w:pPr>
            <w:r>
              <w:rPr>
                <w:rFonts w:hint="eastAsia"/>
                <w:color w:val="auto"/>
                <w:sz w:val="21"/>
                <w:szCs w:val="21"/>
                <w:highlight w:val="none"/>
              </w:rPr>
              <w:t>供应商自2019年1月1日以来（以合同签订时间为准）同类项目业绩（以提供的合同复印件为准）：每提供1份合同业绩得0.5分，最高得1分。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9"/>
              <w:spacing w:line="240" w:lineRule="auto"/>
              <w:ind w:firstLine="0"/>
              <w:rPr>
                <w:rFonts w:hAnsi="宋体"/>
                <w:color w:val="auto"/>
                <w:spacing w:val="-6"/>
                <w:sz w:val="21"/>
                <w:szCs w:val="21"/>
                <w:highlight w:val="none"/>
              </w:rPr>
            </w:pPr>
            <w:r>
              <w:rPr>
                <w:rFonts w:hint="eastAsia" w:hAnsi="宋体"/>
                <w:b/>
                <w:color w:val="auto"/>
                <w:spacing w:val="-6"/>
                <w:sz w:val="21"/>
                <w:szCs w:val="21"/>
                <w:highlight w:val="none"/>
              </w:rPr>
              <w:t>技术分</w:t>
            </w:r>
            <w:r>
              <w:rPr>
                <w:rFonts w:hAnsi="宋体"/>
                <w:b/>
                <w:color w:val="auto"/>
                <w:spacing w:val="-6"/>
                <w:sz w:val="21"/>
                <w:szCs w:val="21"/>
                <w:highlight w:val="none"/>
              </w:rPr>
              <w:t>（</w:t>
            </w:r>
            <w:r>
              <w:rPr>
                <w:rFonts w:hint="eastAsia" w:hAnsi="宋体"/>
                <w:b/>
                <w:color w:val="auto"/>
                <w:spacing w:val="-6"/>
                <w:sz w:val="21"/>
                <w:szCs w:val="21"/>
                <w:highlight w:val="none"/>
              </w:rPr>
              <w:t>87</w:t>
            </w:r>
            <w:r>
              <w:rPr>
                <w:rFonts w:hAnsi="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adjustRightInd w:val="0"/>
              <w:snapToGrid w:val="0"/>
              <w:spacing w:line="288" w:lineRule="auto"/>
              <w:jc w:val="center"/>
              <w:rPr>
                <w:color w:val="auto"/>
                <w:spacing w:val="-6"/>
                <w:sz w:val="21"/>
                <w:szCs w:val="21"/>
                <w:highlight w:val="none"/>
              </w:rPr>
            </w:pPr>
            <w:r>
              <w:rPr>
                <w:rFonts w:hint="eastAsia"/>
                <w:b/>
                <w:bCs/>
                <w:color w:val="auto"/>
                <w:sz w:val="21"/>
                <w:szCs w:val="21"/>
                <w:highlight w:val="none"/>
              </w:rPr>
              <w:t>技术响应程度</w:t>
            </w:r>
          </w:p>
        </w:tc>
        <w:tc>
          <w:tcPr>
            <w:tcW w:w="709"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7</w:t>
            </w:r>
          </w:p>
        </w:tc>
        <w:tc>
          <w:tcPr>
            <w:tcW w:w="7087"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不符合（负偏离）技术要求中标注“▲”条款（不可偏离）的响应无效；</w:t>
            </w:r>
          </w:p>
          <w:p>
            <w:pPr>
              <w:adjustRightInd w:val="0"/>
              <w:snapToGrid w:val="0"/>
              <w:spacing w:line="288" w:lineRule="auto"/>
              <w:rPr>
                <w:color w:val="auto"/>
                <w:sz w:val="21"/>
                <w:szCs w:val="21"/>
                <w:highlight w:val="none"/>
              </w:rPr>
            </w:pPr>
            <w:r>
              <w:rPr>
                <w:rFonts w:hint="eastAsia"/>
                <w:color w:val="auto"/>
                <w:sz w:val="21"/>
                <w:szCs w:val="21"/>
                <w:highlight w:val="none"/>
              </w:rPr>
              <w:t>满足磋商文件明确的全部技术条款要求的</w:t>
            </w:r>
            <w:r>
              <w:rPr>
                <w:rFonts w:hint="eastAsia" w:cs="Times New Roman"/>
                <w:color w:val="auto"/>
                <w:sz w:val="21"/>
                <w:szCs w:val="21"/>
                <w:highlight w:val="none"/>
              </w:rPr>
              <w:t>该项得满分</w:t>
            </w:r>
            <w:r>
              <w:rPr>
                <w:rFonts w:hint="eastAsia"/>
                <w:color w:val="auto"/>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技术条款低于技术要求（负偏离）的每项扣1分；</w:t>
            </w:r>
          </w:p>
          <w:p>
            <w:pPr>
              <w:adjustRightInd w:val="0"/>
              <w:snapToGrid w:val="0"/>
              <w:spacing w:line="288" w:lineRule="auto"/>
              <w:rPr>
                <w:color w:val="auto"/>
                <w:sz w:val="21"/>
                <w:szCs w:val="21"/>
                <w:highlight w:val="none"/>
              </w:rPr>
            </w:pPr>
            <w:r>
              <w:rPr>
                <w:rFonts w:hint="eastAsia"/>
                <w:color w:val="auto"/>
                <w:sz w:val="21"/>
                <w:szCs w:val="21"/>
                <w:highlight w:val="none"/>
              </w:rPr>
              <w:t>负偏离8项及以上的响应无效。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pacing w:val="-6"/>
                <w:sz w:val="21"/>
                <w:szCs w:val="21"/>
                <w:highlight w:val="none"/>
              </w:rPr>
            </w:pPr>
            <w:r>
              <w:rPr>
                <w:rFonts w:hint="eastAsia"/>
                <w:b/>
                <w:bCs/>
                <w:color w:val="auto"/>
                <w:spacing w:val="-6"/>
                <w:sz w:val="21"/>
                <w:szCs w:val="21"/>
                <w:highlight w:val="none"/>
              </w:rPr>
              <w:t>主视觉整体策划与创意</w:t>
            </w:r>
          </w:p>
        </w:tc>
        <w:tc>
          <w:tcPr>
            <w:tcW w:w="709" w:type="dxa"/>
            <w:vAlign w:val="center"/>
          </w:tcPr>
          <w:p>
            <w:pPr>
              <w:jc w:val="center"/>
              <w:rPr>
                <w:b/>
                <w:bCs/>
                <w:color w:val="auto"/>
                <w:spacing w:val="-6"/>
                <w:sz w:val="21"/>
                <w:szCs w:val="21"/>
                <w:highlight w:val="none"/>
              </w:rPr>
            </w:pPr>
            <w:r>
              <w:rPr>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pacing w:val="-6"/>
                <w:sz w:val="21"/>
                <w:szCs w:val="21"/>
                <w:highlight w:val="none"/>
              </w:rPr>
              <w:t>主视觉整体策划与创意</w:t>
            </w:r>
            <w:r>
              <w:rPr>
                <w:rFonts w:hint="eastAsia"/>
                <w:color w:val="auto"/>
                <w:sz w:val="21"/>
                <w:szCs w:val="21"/>
                <w:highlight w:val="none"/>
              </w:rPr>
              <w:t>的合理性、可行性及与</w:t>
            </w:r>
            <w:r>
              <w:rPr>
                <w:rFonts w:hint="eastAsia"/>
                <w:color w:val="auto"/>
                <w:spacing w:val="-6"/>
                <w:sz w:val="21"/>
                <w:szCs w:val="21"/>
                <w:highlight w:val="none"/>
              </w:rPr>
              <w:t>青艺周主题的契合度。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pacing w:val="-6"/>
                <w:sz w:val="21"/>
                <w:szCs w:val="21"/>
                <w:highlight w:val="none"/>
              </w:rPr>
            </w:pPr>
            <w:r>
              <w:rPr>
                <w:rFonts w:hint="eastAsia"/>
                <w:b/>
                <w:bCs/>
                <w:color w:val="auto"/>
                <w:spacing w:val="-6"/>
                <w:sz w:val="21"/>
                <w:szCs w:val="21"/>
                <w:highlight w:val="none"/>
              </w:rPr>
              <w:t>视频创作</w:t>
            </w:r>
          </w:p>
        </w:tc>
        <w:tc>
          <w:tcPr>
            <w:tcW w:w="709" w:type="dxa"/>
            <w:vAlign w:val="center"/>
          </w:tcPr>
          <w:p>
            <w:pPr>
              <w:jc w:val="center"/>
              <w:rPr>
                <w:b/>
                <w:bCs/>
                <w:color w:val="auto"/>
                <w:spacing w:val="-6"/>
                <w:sz w:val="21"/>
                <w:szCs w:val="21"/>
                <w:highlight w:val="none"/>
              </w:rPr>
            </w:pPr>
            <w:r>
              <w:rPr>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pacing w:val="-6"/>
                <w:sz w:val="21"/>
                <w:szCs w:val="21"/>
                <w:highlight w:val="none"/>
              </w:rPr>
              <w:t>视频创作方案的合理性、可行性。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z w:val="21"/>
                <w:szCs w:val="21"/>
                <w:highlight w:val="none"/>
              </w:rPr>
              <w:t>服务方案</w:t>
            </w: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1</w:t>
            </w:r>
            <w:r>
              <w:rPr>
                <w:b/>
                <w:bCs/>
                <w:color w:val="auto"/>
                <w:spacing w:val="-6"/>
                <w:sz w:val="21"/>
                <w:szCs w:val="21"/>
                <w:highlight w:val="none"/>
              </w:rPr>
              <w:t>5</w:t>
            </w:r>
          </w:p>
        </w:tc>
        <w:tc>
          <w:tcPr>
            <w:tcW w:w="7087" w:type="dxa"/>
            <w:vAlign w:val="center"/>
          </w:tcPr>
          <w:p>
            <w:pPr>
              <w:rPr>
                <w:color w:val="auto"/>
                <w:spacing w:val="-6"/>
                <w:sz w:val="21"/>
                <w:szCs w:val="21"/>
                <w:highlight w:val="none"/>
              </w:rPr>
            </w:pPr>
            <w:r>
              <w:rPr>
                <w:rFonts w:hint="eastAsia"/>
                <w:color w:val="auto"/>
                <w:sz w:val="21"/>
                <w:szCs w:val="21"/>
                <w:highlight w:val="none"/>
              </w:rPr>
              <w:t>根据采购人项目类型针对性服务方案是否专业、切实可行、高效务实，其中服务项目和标准（5分），工作方法（5分），现场组织安排等（5分）。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5</w:t>
            </w:r>
          </w:p>
        </w:tc>
        <w:tc>
          <w:tcPr>
            <w:tcW w:w="7087" w:type="dxa"/>
            <w:vAlign w:val="center"/>
          </w:tcPr>
          <w:p>
            <w:pPr>
              <w:rPr>
                <w:color w:val="auto"/>
                <w:spacing w:val="-6"/>
                <w:sz w:val="21"/>
                <w:szCs w:val="21"/>
                <w:highlight w:val="none"/>
              </w:rPr>
            </w:pPr>
            <w:r>
              <w:rPr>
                <w:rFonts w:hint="eastAsia"/>
                <w:color w:val="auto"/>
                <w:sz w:val="21"/>
                <w:szCs w:val="21"/>
                <w:highlight w:val="none"/>
              </w:rPr>
              <w:t>各展览单元视觉形象设计的措施及方案。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pacing w:val="-6"/>
                <w:sz w:val="21"/>
                <w:szCs w:val="21"/>
                <w:highlight w:val="none"/>
              </w:rPr>
              <w:t>设计及制作</w:t>
            </w: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pacing w:val="-6"/>
                <w:sz w:val="21"/>
                <w:szCs w:val="21"/>
                <w:highlight w:val="none"/>
              </w:rPr>
            </w:pPr>
            <w:r>
              <w:rPr>
                <w:rFonts w:hint="eastAsia"/>
                <w:color w:val="auto"/>
                <w:sz w:val="21"/>
                <w:szCs w:val="21"/>
                <w:highlight w:val="none"/>
              </w:rPr>
              <w:t>物料设计新颖、独特创新、符合本次国际青年艺术周主题等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pacing w:val="-6"/>
                <w:sz w:val="21"/>
                <w:szCs w:val="21"/>
                <w:highlight w:val="none"/>
              </w:rPr>
            </w:pPr>
            <w:r>
              <w:rPr>
                <w:rFonts w:hint="eastAsia"/>
                <w:color w:val="auto"/>
                <w:sz w:val="21"/>
                <w:szCs w:val="21"/>
                <w:highlight w:val="none"/>
              </w:rPr>
              <w:t>物料等物品制作是否精美、优质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z w:val="21"/>
                <w:szCs w:val="21"/>
                <w:highlight w:val="none"/>
              </w:rPr>
              <w:t>导览手册设计新颖、独特创新、符合本次国际青年艺术周主题等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z w:val="21"/>
                <w:szCs w:val="21"/>
                <w:highlight w:val="none"/>
              </w:rPr>
              <w:t>导览手册制作是否精美、优质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运维服务</w:t>
            </w:r>
          </w:p>
        </w:tc>
        <w:tc>
          <w:tcPr>
            <w:tcW w:w="709" w:type="dxa"/>
            <w:vAlign w:val="center"/>
          </w:tcPr>
          <w:p>
            <w:pPr>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rPr>
                <w:color w:val="auto"/>
                <w:sz w:val="21"/>
                <w:szCs w:val="21"/>
                <w:highlight w:val="none"/>
              </w:rPr>
            </w:pPr>
            <w:r>
              <w:rPr>
                <w:rFonts w:hint="eastAsia"/>
                <w:bCs/>
                <w:color w:val="auto"/>
                <w:spacing w:val="-6"/>
                <w:sz w:val="21"/>
                <w:szCs w:val="21"/>
                <w:highlight w:val="none"/>
              </w:rPr>
              <w:t>供应商</w:t>
            </w:r>
            <w:r>
              <w:rPr>
                <w:rFonts w:hint="eastAsia"/>
                <w:color w:val="auto"/>
                <w:sz w:val="21"/>
                <w:szCs w:val="21"/>
                <w:highlight w:val="none"/>
              </w:rPr>
              <w:t>的运维服务力量及技术支持情况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应急及安全保障等</w:t>
            </w:r>
          </w:p>
        </w:tc>
        <w:tc>
          <w:tcPr>
            <w:tcW w:w="709" w:type="dxa"/>
            <w:vAlign w:val="center"/>
          </w:tcPr>
          <w:p>
            <w:pPr>
              <w:jc w:val="center"/>
              <w:rPr>
                <w:b/>
                <w:bCs/>
                <w:color w:val="auto"/>
                <w:sz w:val="21"/>
                <w:szCs w:val="21"/>
                <w:highlight w:val="none"/>
              </w:rPr>
            </w:pPr>
            <w:r>
              <w:rPr>
                <w:rFonts w:hint="eastAsia"/>
                <w:b/>
                <w:bCs/>
                <w:color w:val="auto"/>
                <w:sz w:val="21"/>
                <w:szCs w:val="21"/>
                <w:highlight w:val="none"/>
              </w:rPr>
              <w:t>10</w:t>
            </w:r>
          </w:p>
        </w:tc>
        <w:tc>
          <w:tcPr>
            <w:tcW w:w="7087" w:type="dxa"/>
            <w:vAlign w:val="center"/>
          </w:tcPr>
          <w:p>
            <w:pPr>
              <w:rPr>
                <w:color w:val="auto"/>
                <w:sz w:val="21"/>
                <w:szCs w:val="21"/>
                <w:highlight w:val="none"/>
              </w:rPr>
            </w:pPr>
            <w:r>
              <w:rPr>
                <w:rFonts w:hint="eastAsia"/>
                <w:color w:val="auto"/>
                <w:sz w:val="21"/>
                <w:szCs w:val="21"/>
                <w:highlight w:val="none"/>
              </w:rPr>
              <w:t>应急方案、安全保障（包括但不限于应急管理组织机构及保障活动参与人员人身与财物安全的措施等)，其中应急方案（5分），安全保障措施（5分）。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拟投入人员</w:t>
            </w:r>
          </w:p>
        </w:tc>
        <w:tc>
          <w:tcPr>
            <w:tcW w:w="709" w:type="dxa"/>
            <w:vAlign w:val="center"/>
          </w:tcPr>
          <w:p>
            <w:pPr>
              <w:jc w:val="center"/>
              <w:rPr>
                <w:b/>
                <w:bCs/>
                <w:color w:val="auto"/>
                <w:sz w:val="21"/>
                <w:szCs w:val="21"/>
                <w:highlight w:val="none"/>
              </w:rPr>
            </w:pPr>
            <w:r>
              <w:rPr>
                <w:rFonts w:hint="eastAsia"/>
                <w:b/>
                <w:bCs/>
                <w:color w:val="auto"/>
                <w:sz w:val="21"/>
                <w:szCs w:val="21"/>
                <w:highlight w:val="none"/>
              </w:rPr>
              <w:t>10</w:t>
            </w:r>
          </w:p>
        </w:tc>
        <w:tc>
          <w:tcPr>
            <w:tcW w:w="7087" w:type="dxa"/>
            <w:vAlign w:val="center"/>
          </w:tcPr>
          <w:p>
            <w:pPr>
              <w:rPr>
                <w:color w:val="auto"/>
                <w:sz w:val="21"/>
                <w:szCs w:val="21"/>
                <w:highlight w:val="none"/>
              </w:rPr>
            </w:pPr>
            <w:r>
              <w:rPr>
                <w:rFonts w:hint="eastAsia"/>
                <w:color w:val="auto"/>
                <w:sz w:val="21"/>
                <w:szCs w:val="21"/>
                <w:highlight w:val="none"/>
              </w:rPr>
              <w:t>项目负责人的经验、资历、资质情况（5分）。</w:t>
            </w:r>
          </w:p>
          <w:p>
            <w:pPr>
              <w:rPr>
                <w:color w:val="auto"/>
                <w:sz w:val="21"/>
                <w:szCs w:val="21"/>
                <w:highlight w:val="none"/>
              </w:rPr>
            </w:pPr>
            <w:r>
              <w:rPr>
                <w:rFonts w:hint="eastAsia"/>
                <w:color w:val="auto"/>
                <w:sz w:val="21"/>
                <w:szCs w:val="21"/>
                <w:highlight w:val="none"/>
              </w:rPr>
              <w:t>项目组人员的配备是否合理、有无类似经验、资质情况等（5分）。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合理化建议和改进措施</w:t>
            </w:r>
          </w:p>
        </w:tc>
        <w:tc>
          <w:tcPr>
            <w:tcW w:w="709"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adjustRightInd w:val="0"/>
              <w:snapToGrid w:val="0"/>
              <w:rPr>
                <w:color w:val="auto"/>
                <w:sz w:val="21"/>
                <w:szCs w:val="21"/>
                <w:highlight w:val="none"/>
              </w:rPr>
            </w:pPr>
            <w:r>
              <w:rPr>
                <w:rFonts w:hint="eastAsia"/>
                <w:color w:val="auto"/>
                <w:sz w:val="21"/>
                <w:szCs w:val="21"/>
                <w:highlight w:val="none"/>
              </w:rPr>
              <w:t>根据</w:t>
            </w:r>
            <w:r>
              <w:rPr>
                <w:rFonts w:hint="eastAsia"/>
                <w:bCs/>
                <w:color w:val="auto"/>
                <w:spacing w:val="-6"/>
                <w:sz w:val="21"/>
                <w:szCs w:val="21"/>
                <w:highlight w:val="none"/>
              </w:rPr>
              <w:t>供应商</w:t>
            </w:r>
            <w:r>
              <w:rPr>
                <w:rFonts w:hint="eastAsia"/>
                <w:color w:val="auto"/>
                <w:sz w:val="21"/>
                <w:szCs w:val="21"/>
                <w:highlight w:val="none"/>
              </w:rPr>
              <w:t>对本项目的合理化建议和改进措施的合理性，可行性。</w:t>
            </w:r>
          </w:p>
        </w:tc>
      </w:tr>
    </w:tbl>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p>
    <w:bookmarkEnd w:id="38"/>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中国美术学院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项目名称：2022国际青年艺术周视觉设计、主视觉线下展览搭建制作</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QSZB-Z(F)-C22120(CS)</w:t>
      </w:r>
      <w:r>
        <w:rPr>
          <w:rFonts w:hint="eastAsia" w:cs="Times New Roman"/>
          <w:b/>
          <w:bCs/>
          <w:color w:val="auto"/>
          <w:spacing w:val="-6"/>
          <w:sz w:val="21"/>
          <w:szCs w:val="21"/>
          <w:highlight w:val="none"/>
        </w:rPr>
        <w:t xml:space="preserve">  </w:t>
      </w: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采购计划文号：</w:t>
      </w:r>
      <w:r>
        <w:rPr>
          <w:rFonts w:hint="eastAsia" w:cs="Times New Roman"/>
          <w:b/>
          <w:bCs/>
          <w:color w:val="auto"/>
          <w:spacing w:val="-6"/>
          <w:sz w:val="21"/>
          <w:szCs w:val="21"/>
          <w:highlight w:val="none"/>
          <w:lang w:eastAsia="zh-CN"/>
        </w:rPr>
        <w:t>[2022]25813号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spacing w:line="300" w:lineRule="auto"/>
        <w:ind w:firstLine="420" w:firstLineChars="200"/>
        <w:rPr>
          <w:color w:val="auto"/>
          <w:sz w:val="21"/>
          <w:szCs w:val="21"/>
          <w:highlight w:val="none"/>
        </w:rPr>
      </w:pPr>
      <w:r>
        <w:rPr>
          <w:rFonts w:hint="eastAsia"/>
          <w:color w:val="auto"/>
          <w:sz w:val="21"/>
          <w:szCs w:val="21"/>
          <w:highlight w:val="none"/>
        </w:rPr>
        <w:t>经采购代理机构对</w:t>
      </w:r>
      <w:r>
        <w:rPr>
          <w:rFonts w:hint="eastAsia"/>
          <w:color w:val="auto"/>
          <w:sz w:val="21"/>
          <w:szCs w:val="21"/>
          <w:highlight w:val="none"/>
          <w:u w:val="single"/>
        </w:rPr>
        <w:t xml:space="preserve"> 2022国际青年艺术周视觉设计、主视觉线下展览搭建制作 </w:t>
      </w:r>
      <w:r>
        <w:rPr>
          <w:rFonts w:hint="eastAsia"/>
          <w:color w:val="auto"/>
          <w:sz w:val="21"/>
          <w:szCs w:val="21"/>
          <w:highlight w:val="none"/>
        </w:rPr>
        <w:t>采购项目通过</w:t>
      </w:r>
      <w:r>
        <w:rPr>
          <w:color w:val="auto"/>
          <w:sz w:val="21"/>
          <w:szCs w:val="21"/>
          <w:highlight w:val="none"/>
          <w:u w:val="single"/>
        </w:rPr>
        <w:t xml:space="preserve"> 竞争性磋商</w:t>
      </w:r>
      <w:r>
        <w:rPr>
          <w:rFonts w:hint="eastAsia"/>
          <w:color w:val="auto"/>
          <w:sz w:val="21"/>
          <w:szCs w:val="21"/>
          <w:highlight w:val="none"/>
          <w:u w:val="single"/>
        </w:rPr>
        <w:t xml:space="preserve"> </w:t>
      </w:r>
      <w:r>
        <w:rPr>
          <w:rFonts w:hint="eastAsia"/>
          <w:color w:val="auto"/>
          <w:sz w:val="21"/>
          <w:szCs w:val="21"/>
          <w:highlight w:val="none"/>
        </w:rPr>
        <w:t>方式采购，确定</w:t>
      </w:r>
      <w:r>
        <w:rPr>
          <w:rFonts w:hint="eastAsia"/>
          <w:color w:val="auto"/>
          <w:spacing w:val="-6"/>
          <w:sz w:val="21"/>
          <w:szCs w:val="21"/>
          <w:highlight w:val="none"/>
          <w:u w:val="single"/>
        </w:rPr>
        <w:t xml:space="preserve">   </w:t>
      </w:r>
      <w:r>
        <w:rPr>
          <w:rFonts w:hint="eastAsia"/>
          <w:color w:val="auto"/>
          <w:sz w:val="21"/>
          <w:szCs w:val="21"/>
          <w:highlight w:val="none"/>
        </w:rPr>
        <w:t>为成交单位，甲、乙双方友好协商，达成以下条款：</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一</w:t>
      </w:r>
      <w:r>
        <w:rPr>
          <w:rFonts w:hint="eastAsia" w:hAnsi="宋体"/>
          <w:b/>
          <w:color w:val="auto"/>
          <w:sz w:val="21"/>
          <w:szCs w:val="21"/>
          <w:highlight w:val="none"/>
        </w:rPr>
        <w:t>：</w:t>
      </w:r>
      <w:r>
        <w:rPr>
          <w:rFonts w:hAnsi="宋体"/>
          <w:b/>
          <w:color w:val="auto"/>
          <w:sz w:val="21"/>
          <w:szCs w:val="21"/>
          <w:highlight w:val="none"/>
        </w:rPr>
        <w:t>服务内容和要求</w:t>
      </w:r>
    </w:p>
    <w:p>
      <w:pPr>
        <w:snapToGrid w:val="0"/>
        <w:spacing w:line="288" w:lineRule="auto"/>
        <w:ind w:firstLine="420" w:firstLineChars="200"/>
        <w:rPr>
          <w:color w:val="auto"/>
          <w:sz w:val="21"/>
          <w:szCs w:val="21"/>
          <w:highlight w:val="none"/>
        </w:rPr>
      </w:pPr>
      <w:r>
        <w:rPr>
          <w:rFonts w:hint="eastAsia"/>
          <w:color w:val="auto"/>
          <w:sz w:val="21"/>
          <w:szCs w:val="21"/>
          <w:highlight w:val="none"/>
        </w:rPr>
        <w:t>1.</w:t>
      </w:r>
    </w:p>
    <w:p>
      <w:pPr>
        <w:snapToGrid w:val="0"/>
        <w:spacing w:line="288" w:lineRule="auto"/>
        <w:ind w:firstLine="420" w:firstLineChars="200"/>
        <w:rPr>
          <w:color w:val="auto"/>
          <w:sz w:val="21"/>
          <w:szCs w:val="21"/>
          <w:highlight w:val="none"/>
        </w:rPr>
      </w:pPr>
      <w:r>
        <w:rPr>
          <w:rFonts w:hint="eastAsia"/>
          <w:color w:val="auto"/>
          <w:sz w:val="21"/>
          <w:szCs w:val="21"/>
          <w:highlight w:val="none"/>
        </w:rPr>
        <w:t>2.</w:t>
      </w:r>
    </w:p>
    <w:p>
      <w:pPr>
        <w:snapToGrid w:val="0"/>
        <w:spacing w:line="288" w:lineRule="auto"/>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二</w:t>
      </w:r>
      <w:r>
        <w:rPr>
          <w:rFonts w:hint="eastAsia" w:hAnsi="宋体"/>
          <w:b/>
          <w:color w:val="auto"/>
          <w:sz w:val="21"/>
          <w:szCs w:val="21"/>
          <w:highlight w:val="none"/>
        </w:rPr>
        <w:t>：</w:t>
      </w:r>
      <w:r>
        <w:rPr>
          <w:rFonts w:hAnsi="宋体"/>
          <w:b/>
          <w:color w:val="auto"/>
          <w:sz w:val="21"/>
          <w:szCs w:val="21"/>
          <w:highlight w:val="none"/>
        </w:rPr>
        <w:t>合同履行时间、履行地点和合同金额</w:t>
      </w:r>
    </w:p>
    <w:p>
      <w:pPr>
        <w:snapToGrid w:val="0"/>
        <w:spacing w:line="288" w:lineRule="auto"/>
        <w:ind w:firstLine="420" w:firstLineChars="200"/>
        <w:rPr>
          <w:color w:val="auto"/>
          <w:sz w:val="21"/>
          <w:szCs w:val="21"/>
          <w:highlight w:val="none"/>
        </w:rPr>
      </w:pPr>
      <w:r>
        <w:rPr>
          <w:rFonts w:hint="eastAsia"/>
          <w:color w:val="auto"/>
          <w:sz w:val="21"/>
          <w:szCs w:val="21"/>
          <w:highlight w:val="none"/>
        </w:rPr>
        <w:t>1.履行时间：</w:t>
      </w:r>
      <w:r>
        <w:rPr>
          <w:rFonts w:hint="eastAsia"/>
          <w:color w:val="auto"/>
          <w:sz w:val="21"/>
          <w:szCs w:val="21"/>
          <w:highlight w:val="none"/>
          <w:u w:val="single"/>
        </w:rPr>
        <w:t xml:space="preserve">                </w:t>
      </w:r>
      <w:r>
        <w:rPr>
          <w:rFonts w:hint="eastAsia"/>
          <w:color w:val="auto"/>
          <w:sz w:val="21"/>
          <w:szCs w:val="21"/>
          <w:highlight w:val="none"/>
        </w:rPr>
        <w:t xml:space="preserve">； </w:t>
      </w:r>
    </w:p>
    <w:p>
      <w:pPr>
        <w:snapToGrid w:val="0"/>
        <w:spacing w:line="288" w:lineRule="auto"/>
        <w:ind w:firstLine="420" w:firstLineChars="200"/>
        <w:rPr>
          <w:color w:val="auto"/>
          <w:sz w:val="21"/>
          <w:szCs w:val="21"/>
          <w:highlight w:val="none"/>
        </w:rPr>
      </w:pPr>
      <w:r>
        <w:rPr>
          <w:rFonts w:hint="eastAsia"/>
          <w:color w:val="auto"/>
          <w:sz w:val="21"/>
          <w:szCs w:val="21"/>
          <w:highlight w:val="none"/>
        </w:rPr>
        <w:t>2.履行地点：</w:t>
      </w:r>
      <w:r>
        <w:rPr>
          <w:rFonts w:hint="eastAsia"/>
          <w:color w:val="auto"/>
          <w:sz w:val="21"/>
          <w:szCs w:val="21"/>
          <w:highlight w:val="none"/>
          <w:u w:val="single"/>
        </w:rPr>
        <w:t xml:space="preserve">                </w:t>
      </w:r>
      <w:r>
        <w:rPr>
          <w:rFonts w:hint="eastAsia"/>
          <w:color w:val="auto"/>
          <w:sz w:val="21"/>
          <w:szCs w:val="21"/>
          <w:highlight w:val="none"/>
        </w:rPr>
        <w:t>；</w:t>
      </w:r>
    </w:p>
    <w:p>
      <w:pPr>
        <w:snapToGrid w:val="0"/>
        <w:spacing w:line="288" w:lineRule="auto"/>
        <w:ind w:firstLine="420" w:firstLineChars="200"/>
        <w:rPr>
          <w:color w:val="auto"/>
          <w:sz w:val="21"/>
          <w:szCs w:val="21"/>
          <w:highlight w:val="none"/>
        </w:rPr>
      </w:pPr>
      <w:r>
        <w:rPr>
          <w:rFonts w:hint="eastAsia"/>
          <w:color w:val="auto"/>
          <w:sz w:val="21"/>
          <w:szCs w:val="21"/>
          <w:highlight w:val="none"/>
        </w:rPr>
        <w:t>3.本合同金额为（大写）：</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u w:val="single"/>
        </w:rPr>
        <w:t xml:space="preserve">            </w:t>
      </w:r>
      <w:r>
        <w:rPr>
          <w:rFonts w:hint="eastAsia"/>
          <w:color w:val="auto"/>
          <w:sz w:val="21"/>
          <w:szCs w:val="21"/>
          <w:highlight w:val="none"/>
        </w:rPr>
        <w:t>元）人民币。本合同的价款为含税价。</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三</w:t>
      </w:r>
      <w:r>
        <w:rPr>
          <w:rFonts w:hint="eastAsia" w:hAnsi="宋体"/>
          <w:b/>
          <w:color w:val="auto"/>
          <w:sz w:val="21"/>
          <w:szCs w:val="21"/>
          <w:highlight w:val="none"/>
        </w:rPr>
        <w:t>：</w:t>
      </w:r>
      <w:r>
        <w:rPr>
          <w:rFonts w:hAnsi="宋体"/>
          <w:b/>
          <w:color w:val="auto"/>
          <w:sz w:val="21"/>
          <w:szCs w:val="21"/>
          <w:highlight w:val="none"/>
        </w:rPr>
        <w:t>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乙方应按</w:t>
      </w:r>
      <w:r>
        <w:rPr>
          <w:rFonts w:hint="eastAsia" w:hAnsi="宋体"/>
          <w:color w:val="auto"/>
          <w:sz w:val="21"/>
          <w:szCs w:val="21"/>
          <w:highlight w:val="none"/>
        </w:rPr>
        <w:t>公开招标文件</w:t>
      </w:r>
      <w:r>
        <w:rPr>
          <w:rFonts w:hAnsi="宋体"/>
          <w:color w:val="auto"/>
          <w:sz w:val="21"/>
          <w:szCs w:val="21"/>
          <w:highlight w:val="none"/>
        </w:rPr>
        <w:t>规定的时间向甲方提供有关技术资料。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.未经</w:t>
      </w:r>
      <w:r>
        <w:rPr>
          <w:rFonts w:hAnsi="宋体"/>
          <w:color w:val="auto"/>
          <w:sz w:val="21"/>
          <w:szCs w:val="21"/>
          <w:highlight w:val="none"/>
        </w:rPr>
        <w:t>甲方事先书面同意，乙方不得将</w:t>
      </w:r>
      <w:r>
        <w:rPr>
          <w:rFonts w:hint="eastAsia" w:hAnsi="宋体"/>
          <w:color w:val="auto"/>
          <w:sz w:val="21"/>
          <w:szCs w:val="21"/>
          <w:highlight w:val="none"/>
        </w:rPr>
        <w:t>与本合同及有关的</w:t>
      </w:r>
      <w:r>
        <w:rPr>
          <w:rFonts w:hAnsi="宋体"/>
          <w:color w:val="auto"/>
          <w:sz w:val="21"/>
          <w:szCs w:val="21"/>
          <w:highlight w:val="none"/>
        </w:rPr>
        <w:t>任何合同条文、规格、计划、图纸、样品或资料提供给</w:t>
      </w:r>
      <w:r>
        <w:rPr>
          <w:rFonts w:hint="eastAsia" w:hAnsi="宋体"/>
          <w:color w:val="auto"/>
          <w:sz w:val="21"/>
          <w:szCs w:val="21"/>
          <w:highlight w:val="none"/>
        </w:rPr>
        <w:t>任何第三方</w:t>
      </w:r>
      <w:r>
        <w:rPr>
          <w:rFonts w:hAnsi="宋体"/>
          <w:color w:val="auto"/>
          <w:sz w:val="21"/>
          <w:szCs w:val="21"/>
          <w:highlight w:val="none"/>
        </w:rPr>
        <w:t>。即使向履行本合同有关的人员提供，也应注意保密并限于履行合同的必需范围。</w:t>
      </w:r>
    </w:p>
    <w:p>
      <w:pPr>
        <w:pStyle w:val="11"/>
        <w:snapToGrid w:val="0"/>
        <w:spacing w:before="0" w:beforeLines="0" w:after="0" w:afterLines="0" w:line="288" w:lineRule="auto"/>
        <w:ind w:firstLine="420" w:firstLineChars="200"/>
        <w:rPr>
          <w:rFonts w:hAnsi="宋体"/>
          <w:bCs/>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乙方应保证提供服务过程中不会侵犯任何第三方的知识产权</w:t>
      </w:r>
      <w:r>
        <w:rPr>
          <w:rFonts w:hint="eastAsia" w:hAnsi="宋体"/>
          <w:bCs/>
          <w:color w:val="auto"/>
          <w:sz w:val="21"/>
          <w:szCs w:val="21"/>
          <w:highlight w:val="none"/>
        </w:rPr>
        <w:t>，否则甲方有权解除本合同，拒绝支付合同价款，并要求乙方赔偿所有损失。</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四：转包或分包</w:t>
      </w:r>
    </w:p>
    <w:p>
      <w:pPr>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.本合同范围的服务，应由</w:t>
      </w:r>
      <w:r>
        <w:rPr>
          <w:color w:val="auto"/>
          <w:sz w:val="21"/>
          <w:szCs w:val="21"/>
          <w:highlight w:val="none"/>
        </w:rPr>
        <w:t>乙</w:t>
      </w:r>
      <w:r>
        <w:rPr>
          <w:rFonts w:hint="eastAsia"/>
          <w:color w:val="auto"/>
          <w:sz w:val="21"/>
          <w:szCs w:val="21"/>
          <w:highlight w:val="none"/>
        </w:rPr>
        <w:t>方直接完成，不得转让给任何第三方；</w:t>
      </w:r>
    </w:p>
    <w:p>
      <w:pPr>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.除非得到甲方的书面同意，</w:t>
      </w:r>
      <w:r>
        <w:rPr>
          <w:color w:val="auto"/>
          <w:sz w:val="21"/>
          <w:szCs w:val="21"/>
          <w:highlight w:val="none"/>
        </w:rPr>
        <w:t>乙</w:t>
      </w:r>
      <w:r>
        <w:rPr>
          <w:rFonts w:hint="eastAsia"/>
          <w:color w:val="auto"/>
          <w:sz w:val="21"/>
          <w:szCs w:val="21"/>
          <w:highlight w:val="none"/>
        </w:rPr>
        <w:t>方不得将本合同范围的服务全部或部分转包分包给任何第三方完成；</w:t>
      </w:r>
    </w:p>
    <w:p>
      <w:pPr>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.乙方转让或转包分包的，甲方有权解除合同和拒付（或要求乙方退还）合同价款，并没收履约保证金和追究乙方的违约责任。</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五：</w:t>
      </w:r>
      <w:r>
        <w:rPr>
          <w:rFonts w:hAnsi="宋体"/>
          <w:b/>
          <w:color w:val="auto"/>
          <w:sz w:val="21"/>
          <w:szCs w:val="21"/>
          <w:highlight w:val="none"/>
        </w:rPr>
        <w:t>款项支付</w:t>
      </w:r>
    </w:p>
    <w:p>
      <w:pPr>
        <w:pStyle w:val="11"/>
        <w:snapToGrid w:val="0"/>
        <w:spacing w:before="0" w:beforeLines="0" w:after="0" w:afterLines="0" w:line="288" w:lineRule="auto"/>
        <w:ind w:firstLine="420"/>
        <w:rPr>
          <w:rFonts w:hAnsi="宋体" w:cs="宋体"/>
          <w:b/>
          <w:bCs/>
          <w:color w:val="auto"/>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，且乙方已向甲方提交银行、保险公司等金融机构出具的预付款保函的，甲方向乙方支付合同总价的4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%；项目履约完成，经甲方验收合格后，收到发票后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，甲方向乙方支付合同总价的</w:t>
      </w:r>
      <w:r>
        <w:rPr>
          <w:color w:val="auto"/>
          <w:spacing w:val="-6"/>
          <w:kern w:val="0"/>
          <w:sz w:val="21"/>
          <w:szCs w:val="21"/>
          <w:highlight w:val="none"/>
        </w:rPr>
        <w:t>6</w:t>
      </w:r>
      <w:r>
        <w:rPr>
          <w:rFonts w:hint="eastAsia"/>
          <w:color w:val="auto"/>
          <w:spacing w:val="-6"/>
          <w:kern w:val="0"/>
          <w:sz w:val="21"/>
          <w:szCs w:val="21"/>
          <w:highlight w:val="none"/>
        </w:rPr>
        <w:t>0%。</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质量保证及后续服务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w:t>
      </w:r>
      <w:r>
        <w:rPr>
          <w:rFonts w:hint="eastAsia" w:hAnsi="宋体"/>
          <w:color w:val="auto"/>
          <w:sz w:val="21"/>
          <w:szCs w:val="21"/>
          <w:highlight w:val="none"/>
        </w:rPr>
        <w:t>公开招标文件</w:t>
      </w:r>
      <w:r>
        <w:rPr>
          <w:rFonts w:hAnsi="宋体"/>
          <w:color w:val="auto"/>
          <w:sz w:val="21"/>
          <w:szCs w:val="21"/>
          <w:highlight w:val="none"/>
        </w:rPr>
        <w:t>规定向甲方提供服务。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验收不合格的，或在服务质量保证期内出现问题</w:t>
      </w:r>
      <w:r>
        <w:rPr>
          <w:rFonts w:hAnsi="宋体"/>
          <w:color w:val="auto"/>
          <w:sz w:val="21"/>
          <w:szCs w:val="21"/>
          <w:highlight w:val="none"/>
        </w:rPr>
        <w:t>，乙方应负责免费提供后续服务。</w:t>
      </w:r>
      <w:r>
        <w:rPr>
          <w:rFonts w:hint="eastAsia" w:hAnsi="宋体"/>
          <w:color w:val="auto"/>
          <w:sz w:val="21"/>
          <w:szCs w:val="21"/>
          <w:highlight w:val="none"/>
        </w:rPr>
        <w:t>对达不到服务要求的，根据实际情况，甲方有权自行选择以下办法处理：</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重做：由乙方承担所发生的全部费用</w:t>
      </w:r>
      <w:r>
        <w:rPr>
          <w:rFonts w:hint="eastAsia" w:hAnsi="宋体"/>
          <w:color w:val="auto"/>
          <w:sz w:val="21"/>
          <w:szCs w:val="21"/>
          <w:highlight w:val="none"/>
        </w:rPr>
        <w:t>，并承担所有损失</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解除合同</w:t>
      </w:r>
      <w:r>
        <w:rPr>
          <w:rFonts w:hint="eastAsia" w:hAnsi="宋体"/>
          <w:color w:val="auto"/>
          <w:sz w:val="21"/>
          <w:szCs w:val="21"/>
          <w:highlight w:val="none"/>
        </w:rPr>
        <w:t>：甲方拒付（或要求乙方退还）合同价款</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4.在服务质量保证期内，乙方应对出现的质量及安全问题负责处理解决并承担一切费用。</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七：</w:t>
      </w:r>
      <w:r>
        <w:rPr>
          <w:rFonts w:hAnsi="宋体"/>
          <w:b/>
          <w:color w:val="auto"/>
          <w:sz w:val="21"/>
          <w:szCs w:val="21"/>
          <w:highlight w:val="none"/>
        </w:rPr>
        <w:t>违约责任</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w:t>
      </w:r>
      <w:r>
        <w:rPr>
          <w:rFonts w:hint="eastAsia" w:hAnsi="宋体"/>
          <w:color w:val="auto"/>
          <w:sz w:val="21"/>
          <w:szCs w:val="21"/>
          <w:highlight w:val="none"/>
        </w:rPr>
        <w:t>绝</w:t>
      </w:r>
      <w:r>
        <w:rPr>
          <w:rFonts w:hAnsi="宋体"/>
          <w:color w:val="auto"/>
          <w:sz w:val="21"/>
          <w:szCs w:val="21"/>
          <w:highlight w:val="none"/>
        </w:rPr>
        <w:t>接受服务的，甲方</w:t>
      </w:r>
      <w:r>
        <w:rPr>
          <w:rFonts w:hint="eastAsia" w:hAnsi="宋体"/>
          <w:color w:val="auto"/>
          <w:sz w:val="21"/>
          <w:szCs w:val="21"/>
          <w:highlight w:val="none"/>
        </w:rPr>
        <w:t>应</w:t>
      </w:r>
      <w:r>
        <w:rPr>
          <w:rFonts w:hAnsi="宋体"/>
          <w:color w:val="auto"/>
          <w:sz w:val="21"/>
          <w:szCs w:val="21"/>
          <w:highlight w:val="none"/>
        </w:rPr>
        <w:t>向乙方</w:t>
      </w:r>
      <w:r>
        <w:rPr>
          <w:rFonts w:hint="eastAsia" w:hAnsi="宋体"/>
          <w:color w:val="auto"/>
          <w:sz w:val="21"/>
          <w:szCs w:val="21"/>
          <w:highlight w:val="none"/>
        </w:rPr>
        <w:t>支</w:t>
      </w:r>
      <w:r>
        <w:rPr>
          <w:rFonts w:hAnsi="宋体"/>
          <w:color w:val="auto"/>
          <w:sz w:val="21"/>
          <w:szCs w:val="21"/>
          <w:highlight w:val="none"/>
        </w:rPr>
        <w:t>付合同</w:t>
      </w:r>
      <w:r>
        <w:rPr>
          <w:rFonts w:hint="eastAsia" w:hAnsi="宋体"/>
          <w:color w:val="auto"/>
          <w:sz w:val="21"/>
          <w:szCs w:val="21"/>
          <w:highlight w:val="none"/>
        </w:rPr>
        <w:t>总价款</w:t>
      </w:r>
      <w:r>
        <w:rPr>
          <w:rFonts w:hAnsi="宋体"/>
          <w:color w:val="auto"/>
          <w:sz w:val="21"/>
          <w:szCs w:val="21"/>
          <w:highlight w:val="none"/>
        </w:rPr>
        <w:t>百分之五</w:t>
      </w:r>
      <w:r>
        <w:rPr>
          <w:rFonts w:hint="eastAsia" w:hAnsi="宋体"/>
          <w:color w:val="auto"/>
          <w:sz w:val="21"/>
          <w:szCs w:val="21"/>
          <w:highlight w:val="none"/>
        </w:rPr>
        <w:t>的</w:t>
      </w:r>
      <w:r>
        <w:rPr>
          <w:rFonts w:hAnsi="宋体"/>
          <w:color w:val="auto"/>
          <w:sz w:val="21"/>
          <w:szCs w:val="21"/>
          <w:highlight w:val="none"/>
        </w:rPr>
        <w:t>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w:t>
      </w:r>
      <w:r>
        <w:rPr>
          <w:rFonts w:hint="eastAsia" w:hAnsi="宋体"/>
          <w:color w:val="auto"/>
          <w:sz w:val="21"/>
          <w:szCs w:val="21"/>
          <w:highlight w:val="none"/>
        </w:rPr>
        <w:t>逾期</w:t>
      </w:r>
      <w:r>
        <w:rPr>
          <w:rFonts w:hAnsi="宋体"/>
          <w:color w:val="auto"/>
          <w:sz w:val="21"/>
          <w:szCs w:val="21"/>
          <w:highlight w:val="none"/>
        </w:rPr>
        <w:t>付款的</w:t>
      </w:r>
      <w:r>
        <w:rPr>
          <w:rFonts w:hint="eastAsia" w:hAnsi="宋体"/>
          <w:color w:val="auto"/>
          <w:sz w:val="21"/>
          <w:szCs w:val="21"/>
          <w:highlight w:val="none"/>
        </w:rPr>
        <w:t>，</w:t>
      </w:r>
      <w:r>
        <w:rPr>
          <w:rFonts w:hAnsi="宋体"/>
          <w:color w:val="auto"/>
          <w:sz w:val="21"/>
          <w:szCs w:val="21"/>
          <w:highlight w:val="none"/>
        </w:rPr>
        <w:t>应按逾期付款</w:t>
      </w:r>
      <w:r>
        <w:rPr>
          <w:rFonts w:hint="eastAsia" w:hAnsi="宋体"/>
          <w:color w:val="auto"/>
          <w:sz w:val="21"/>
          <w:szCs w:val="21"/>
          <w:highlight w:val="none"/>
        </w:rPr>
        <w:t>金</w:t>
      </w:r>
      <w:r>
        <w:rPr>
          <w:rFonts w:hAnsi="宋体"/>
          <w:color w:val="auto"/>
          <w:sz w:val="21"/>
          <w:szCs w:val="21"/>
          <w:highlight w:val="none"/>
        </w:rPr>
        <w:t>额</w:t>
      </w:r>
      <w:r>
        <w:rPr>
          <w:rFonts w:hint="eastAsia" w:hAnsi="宋体"/>
          <w:color w:val="auto"/>
          <w:sz w:val="21"/>
          <w:szCs w:val="21"/>
          <w:highlight w:val="none"/>
        </w:rPr>
        <w:t>的</w:t>
      </w:r>
      <w:r>
        <w:rPr>
          <w:rFonts w:hAnsi="宋体"/>
          <w:color w:val="auto"/>
          <w:sz w:val="21"/>
          <w:szCs w:val="21"/>
          <w:highlight w:val="none"/>
        </w:rPr>
        <w:t>万分之五每</w:t>
      </w:r>
      <w:r>
        <w:rPr>
          <w:rFonts w:hint="eastAsia" w:hAnsi="宋体"/>
          <w:color w:val="auto"/>
          <w:sz w:val="21"/>
          <w:szCs w:val="21"/>
          <w:highlight w:val="none"/>
        </w:rPr>
        <w:t>日</w:t>
      </w:r>
      <w:r>
        <w:rPr>
          <w:rFonts w:hAnsi="宋体"/>
          <w:color w:val="auto"/>
          <w:sz w:val="21"/>
          <w:szCs w:val="21"/>
          <w:highlight w:val="none"/>
        </w:rPr>
        <w:t>支付违约金。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w:t>
      </w:r>
      <w:r>
        <w:rPr>
          <w:rFonts w:hint="eastAsia" w:hAnsi="宋体"/>
          <w:color w:val="auto"/>
          <w:sz w:val="21"/>
          <w:szCs w:val="21"/>
          <w:highlight w:val="none"/>
        </w:rPr>
        <w:t>逾期履行合同义务的，应按合同总价款的</w:t>
      </w:r>
      <w:r>
        <w:rPr>
          <w:rFonts w:hAnsi="宋体"/>
          <w:color w:val="auto"/>
          <w:sz w:val="21"/>
          <w:szCs w:val="21"/>
          <w:highlight w:val="none"/>
        </w:rPr>
        <w:t>千分之六</w:t>
      </w:r>
      <w:r>
        <w:rPr>
          <w:rFonts w:hint="eastAsia" w:hAnsi="宋体"/>
          <w:color w:val="auto"/>
          <w:sz w:val="21"/>
          <w:szCs w:val="21"/>
          <w:highlight w:val="none"/>
        </w:rPr>
        <w:t>每日支付</w:t>
      </w:r>
      <w:r>
        <w:rPr>
          <w:rFonts w:hAnsi="宋体"/>
          <w:color w:val="auto"/>
          <w:sz w:val="21"/>
          <w:szCs w:val="21"/>
          <w:highlight w:val="none"/>
        </w:rPr>
        <w:t>违约金。乙方</w:t>
      </w:r>
      <w:r>
        <w:rPr>
          <w:rFonts w:hint="eastAsia" w:hAnsi="宋体"/>
          <w:color w:val="auto"/>
          <w:sz w:val="21"/>
          <w:szCs w:val="21"/>
          <w:highlight w:val="none"/>
        </w:rPr>
        <w:t>逾期</w:t>
      </w:r>
      <w:r>
        <w:rPr>
          <w:rFonts w:hAnsi="宋体"/>
          <w:color w:val="auto"/>
          <w:sz w:val="21"/>
          <w:szCs w:val="21"/>
          <w:highlight w:val="none"/>
        </w:rPr>
        <w:t>10个工作日</w:t>
      </w:r>
      <w:r>
        <w:rPr>
          <w:rFonts w:hint="eastAsia" w:hAnsi="宋体"/>
          <w:color w:val="auto"/>
          <w:sz w:val="21"/>
          <w:szCs w:val="21"/>
          <w:highlight w:val="none"/>
        </w:rPr>
        <w:t>及以上履行合同义务的</w:t>
      </w:r>
      <w:r>
        <w:rPr>
          <w:rFonts w:hAnsi="宋体"/>
          <w:color w:val="auto"/>
          <w:sz w:val="21"/>
          <w:szCs w:val="21"/>
          <w:highlight w:val="none"/>
        </w:rPr>
        <w:t>，甲方</w:t>
      </w:r>
      <w:r>
        <w:rPr>
          <w:rFonts w:hint="eastAsia" w:hAnsi="宋体"/>
          <w:color w:val="auto"/>
          <w:sz w:val="21"/>
          <w:szCs w:val="21"/>
          <w:highlight w:val="none"/>
        </w:rPr>
        <w:t>有权</w:t>
      </w:r>
      <w:r>
        <w:rPr>
          <w:rFonts w:hAnsi="宋体"/>
          <w:color w:val="auto"/>
          <w:sz w:val="21"/>
          <w:szCs w:val="21"/>
          <w:highlight w:val="none"/>
        </w:rPr>
        <w:t>解除本合同，</w:t>
      </w:r>
      <w:r>
        <w:rPr>
          <w:rFonts w:hint="eastAsia" w:hAnsi="宋体"/>
          <w:color w:val="auto"/>
          <w:sz w:val="21"/>
          <w:szCs w:val="21"/>
          <w:highlight w:val="none"/>
        </w:rPr>
        <w:t>并拒付（或要求乙方退还）合同价款，</w:t>
      </w:r>
      <w:r>
        <w:rPr>
          <w:rFonts w:hAnsi="宋体"/>
          <w:color w:val="auto"/>
          <w:sz w:val="21"/>
          <w:szCs w:val="21"/>
          <w:highlight w:val="none"/>
        </w:rPr>
        <w:t>乙方应</w:t>
      </w:r>
      <w:r>
        <w:rPr>
          <w:rFonts w:hint="eastAsia" w:hAnsi="宋体"/>
          <w:color w:val="auto"/>
          <w:sz w:val="21"/>
          <w:szCs w:val="21"/>
          <w:highlight w:val="none"/>
        </w:rPr>
        <w:t>按</w:t>
      </w:r>
      <w:r>
        <w:rPr>
          <w:rFonts w:hAnsi="宋体"/>
          <w:color w:val="auto"/>
          <w:sz w:val="21"/>
          <w:szCs w:val="21"/>
          <w:highlight w:val="none"/>
        </w:rPr>
        <w:t>合同总</w:t>
      </w:r>
      <w:r>
        <w:rPr>
          <w:rFonts w:hint="eastAsia" w:hAnsi="宋体"/>
          <w:color w:val="auto"/>
          <w:sz w:val="21"/>
          <w:szCs w:val="21"/>
          <w:highlight w:val="none"/>
        </w:rPr>
        <w:t>价款的6</w:t>
      </w:r>
      <w:r>
        <w:rPr>
          <w:rFonts w:hAnsi="宋体"/>
          <w:color w:val="auto"/>
          <w:sz w:val="21"/>
          <w:szCs w:val="21"/>
          <w:highlight w:val="none"/>
        </w:rPr>
        <w:t>%</w:t>
      </w:r>
      <w:r>
        <w:rPr>
          <w:rFonts w:hint="eastAsia" w:hAnsi="宋体"/>
          <w:color w:val="auto"/>
          <w:sz w:val="21"/>
          <w:szCs w:val="21"/>
          <w:highlight w:val="none"/>
        </w:rPr>
        <w:t>向甲方支付</w:t>
      </w:r>
      <w:r>
        <w:rPr>
          <w:rFonts w:hAnsi="宋体"/>
          <w:color w:val="auto"/>
          <w:sz w:val="21"/>
          <w:szCs w:val="21"/>
          <w:highlight w:val="none"/>
        </w:rPr>
        <w:t>违约金，造成甲方损失的，乙方</w:t>
      </w:r>
      <w:r>
        <w:rPr>
          <w:rFonts w:hint="eastAsia" w:hAnsi="宋体"/>
          <w:color w:val="auto"/>
          <w:sz w:val="21"/>
          <w:szCs w:val="21"/>
          <w:highlight w:val="none"/>
        </w:rPr>
        <w:t>应</w:t>
      </w:r>
      <w:r>
        <w:rPr>
          <w:rFonts w:hAnsi="宋体"/>
          <w:color w:val="auto"/>
          <w:sz w:val="21"/>
          <w:szCs w:val="21"/>
          <w:highlight w:val="none"/>
        </w:rPr>
        <w:t xml:space="preserve">承担赔偿责任。 </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八：争议的解决</w:t>
      </w:r>
    </w:p>
    <w:p>
      <w:pPr>
        <w:spacing w:line="288" w:lineRule="auto"/>
        <w:ind w:right="26" w:rightChars="11" w:firstLine="396" w:firstLineChars="200"/>
        <w:rPr>
          <w:color w:val="auto"/>
          <w:spacing w:val="-6"/>
          <w:sz w:val="21"/>
          <w:highlight w:val="none"/>
        </w:rPr>
      </w:pPr>
      <w:r>
        <w:rPr>
          <w:rFonts w:hint="eastAsia"/>
          <w:color w:val="auto"/>
          <w:spacing w:val="-6"/>
          <w:sz w:val="21"/>
          <w:highlight w:val="none"/>
        </w:rPr>
        <w:t>本合同未尽事宜由三方协商解决，如协商不成，三方同意将本合同引起的争议提交杭州仲裁委员会仲裁解决，仲裁为终局。</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九：合同的生效</w:t>
      </w:r>
    </w:p>
    <w:p>
      <w:pPr>
        <w:spacing w:line="288" w:lineRule="auto"/>
        <w:ind w:firstLine="396" w:firstLineChars="200"/>
        <w:rPr>
          <w:color w:val="auto"/>
          <w:spacing w:val="-6"/>
          <w:sz w:val="21"/>
          <w:highlight w:val="none"/>
        </w:rPr>
      </w:pPr>
      <w:r>
        <w:rPr>
          <w:rFonts w:hint="eastAsia"/>
          <w:color w:val="auto"/>
          <w:spacing w:val="-6"/>
          <w:sz w:val="21"/>
          <w:highlight w:val="none"/>
        </w:rPr>
        <w:t>1.合同经三方法定代表人或授权代表签字并加盖单位公章后生效。</w:t>
      </w:r>
    </w:p>
    <w:p>
      <w:pPr>
        <w:spacing w:line="288" w:lineRule="auto"/>
        <w:ind w:firstLine="396" w:firstLineChars="200"/>
        <w:rPr>
          <w:color w:val="auto"/>
          <w:spacing w:val="-6"/>
          <w:sz w:val="21"/>
          <w:highlight w:val="none"/>
        </w:rPr>
      </w:pPr>
      <w:r>
        <w:rPr>
          <w:rFonts w:hint="eastAsia"/>
          <w:color w:val="auto"/>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color w:val="auto"/>
          <w:spacing w:val="-6"/>
          <w:sz w:val="21"/>
          <w:highlight w:val="none"/>
        </w:rPr>
      </w:pPr>
      <w:r>
        <w:rPr>
          <w:rFonts w:hint="eastAsia"/>
          <w:color w:val="auto"/>
          <w:spacing w:val="-6"/>
          <w:sz w:val="21"/>
          <w:highlight w:val="none"/>
        </w:rPr>
        <w:t>3.本合同未尽事宜，遵照《合同法》有关条文执行。</w:t>
      </w:r>
    </w:p>
    <w:p>
      <w:pPr>
        <w:spacing w:line="288" w:lineRule="auto"/>
        <w:ind w:firstLine="396" w:firstLineChars="200"/>
        <w:rPr>
          <w:color w:val="auto"/>
          <w:spacing w:val="-6"/>
          <w:sz w:val="21"/>
          <w:highlight w:val="none"/>
        </w:rPr>
      </w:pPr>
      <w:r>
        <w:rPr>
          <w:rFonts w:hint="eastAsia"/>
          <w:color w:val="auto"/>
          <w:spacing w:val="-6"/>
          <w:sz w:val="21"/>
          <w:highlight w:val="none"/>
        </w:rPr>
        <w:t>4.本合同一式五份，乙方、采购代理机构各执壹份，甲方执叁份。</w:t>
      </w:r>
    </w:p>
    <w:p>
      <w:pPr>
        <w:spacing w:line="288" w:lineRule="auto"/>
        <w:ind w:firstLine="398" w:firstLineChars="200"/>
        <w:rPr>
          <w:b/>
          <w:color w:val="auto"/>
          <w:spacing w:val="-6"/>
          <w:sz w:val="21"/>
          <w:highlight w:val="none"/>
        </w:rPr>
      </w:pPr>
      <w:r>
        <w:rPr>
          <w:rFonts w:hint="eastAsia"/>
          <w:b/>
          <w:color w:val="auto"/>
          <w:spacing w:val="-6"/>
          <w:sz w:val="21"/>
          <w:highlight w:val="none"/>
        </w:rPr>
        <w:t>5.与本合同有关公开招标文件、响应文件及记录同本合同具有同等法律效果。</w:t>
      </w:r>
    </w:p>
    <w:p>
      <w:pPr>
        <w:adjustRightInd w:val="0"/>
        <w:snapToGrid w:val="0"/>
        <w:spacing w:line="288" w:lineRule="auto"/>
        <w:rPr>
          <w:rFonts w:cs="Times New Roman"/>
          <w:color w:val="auto"/>
          <w:spacing w:val="-6"/>
          <w:sz w:val="21"/>
          <w:szCs w:val="21"/>
          <w:highlight w:val="none"/>
        </w:rPr>
      </w:pP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39"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40"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color w:val="auto"/>
          <w:sz w:val="21"/>
          <w:szCs w:val="21"/>
          <w:highlight w:val="none"/>
        </w:rPr>
        <w:t>1）中小企业声明函（若属于中小企业）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2）属于监狱企业的证明文件（若属于监狱企业）</w:t>
      </w:r>
    </w:p>
    <w:p>
      <w:pPr>
        <w:adjustRightInd w:val="0"/>
        <w:snapToGrid w:val="0"/>
        <w:spacing w:line="288" w:lineRule="auto"/>
        <w:ind w:firstLine="420" w:firstLineChars="200"/>
        <w:rPr>
          <w:b/>
          <w:bCs/>
          <w:color w:val="auto"/>
          <w:sz w:val="21"/>
          <w:szCs w:val="21"/>
          <w:highlight w:val="none"/>
        </w:rPr>
      </w:pPr>
      <w:bookmarkStart w:id="41" w:name="OLE_LINK14"/>
      <w:bookmarkStart w:id="42" w:name="OLE_LINK13"/>
      <w:r>
        <w:rPr>
          <w:rFonts w:hint="eastAsia"/>
          <w:color w:val="auto"/>
          <w:sz w:val="21"/>
          <w:szCs w:val="21"/>
          <w:highlight w:val="none"/>
        </w:rPr>
        <w:t>3）残疾人福利性单位声明函</w:t>
      </w:r>
      <w:bookmarkEnd w:id="41"/>
      <w:bookmarkEnd w:id="42"/>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bookmarkEnd w:id="4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color w:val="auto"/>
          <w:sz w:val="21"/>
          <w:szCs w:val="21"/>
          <w:highlight w:val="none"/>
        </w:rPr>
      </w:pPr>
      <w:bookmarkStart w:id="43" w:name="_Hlk71884196"/>
      <w:r>
        <w:rPr>
          <w:rFonts w:hint="eastAsia"/>
          <w:color w:val="auto"/>
          <w:sz w:val="21"/>
          <w:szCs w:val="21"/>
          <w:highlight w:val="none"/>
        </w:rPr>
        <w:t>（</w:t>
      </w:r>
      <w:r>
        <w:rPr>
          <w:color w:val="auto"/>
          <w:sz w:val="21"/>
          <w:szCs w:val="21"/>
          <w:highlight w:val="none"/>
        </w:rPr>
        <w:t>6）技术方案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43"/>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44" w:name="_Hlk94097338"/>
      <w:r>
        <w:rPr>
          <w:rFonts w:hint="eastAsia"/>
          <w:b/>
          <w:bCs/>
          <w:color w:val="auto"/>
          <w:sz w:val="21"/>
          <w:szCs w:val="21"/>
          <w:highlight w:val="none"/>
        </w:rPr>
        <w:t>资格审查要求的资格证明材料(均需加盖公章)</w:t>
      </w:r>
    </w:p>
    <w:bookmarkEnd w:id="44"/>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rPr>
        <w:t>服务</w:t>
      </w:r>
      <w:r>
        <w:rPr>
          <w:b/>
          <w:bCs/>
          <w:color w:val="auto"/>
          <w:sz w:val="21"/>
          <w:szCs w:val="21"/>
          <w:highlight w:val="none"/>
        </w:rPr>
        <w:t>）</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rFonts w:cs="Times New Roman"/>
          <w:i/>
          <w:color w:val="auto"/>
          <w:sz w:val="21"/>
          <w:szCs w:val="21"/>
          <w:highlight w:val="none"/>
          <w:u w:val="single"/>
        </w:rPr>
      </w:pPr>
      <w:r>
        <w:rPr>
          <w:rFonts w:hint="eastAsia" w:cs="Times New Roman"/>
          <w:i/>
          <w:color w:val="auto"/>
          <w:sz w:val="21"/>
          <w:szCs w:val="21"/>
          <w:highlight w:val="none"/>
          <w:u w:val="single"/>
        </w:rPr>
        <w:t>1</w:t>
      </w:r>
      <w:r>
        <w:rPr>
          <w:rFonts w:cs="Times New Roman"/>
          <w:i/>
          <w:color w:val="auto"/>
          <w:sz w:val="21"/>
          <w:szCs w:val="21"/>
          <w:highlight w:val="none"/>
          <w:u w:val="single"/>
        </w:rPr>
        <w:t>.（标的名称），属于（</w:t>
      </w:r>
      <w:r>
        <w:rPr>
          <w:rFonts w:cs="Times New Roman"/>
          <w:i/>
          <w:color w:val="auto"/>
          <w:sz w:val="21"/>
          <w:szCs w:val="21"/>
          <w:highlight w:val="none"/>
          <w:u w:val="single"/>
        </w:rPr>
        <w:t>采购文件中明确的所属行业</w:t>
      </w:r>
      <w:r>
        <w:rPr>
          <w:rFonts w:cs="Times New Roman"/>
          <w:i/>
          <w:color w:val="auto"/>
          <w:sz w:val="21"/>
          <w:szCs w:val="21"/>
          <w:highlight w:val="none"/>
          <w:u w:val="single"/>
        </w:rPr>
        <w:t>）；</w:t>
      </w:r>
      <w:r>
        <w:rPr>
          <w:rFonts w:cs="Times New Roman"/>
          <w:color w:val="auto"/>
          <w:sz w:val="21"/>
          <w:szCs w:val="21"/>
          <w:highlight w:val="none"/>
        </w:rPr>
        <w:t>承建（承接）企业为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hint="eastAsia" w:cs="Times New Roman"/>
          <w:i/>
          <w:color w:val="auto"/>
          <w:sz w:val="21"/>
          <w:szCs w:val="21"/>
          <w:highlight w:val="none"/>
          <w:u w:val="single"/>
        </w:rPr>
        <w:t>2</w:t>
      </w:r>
      <w:r>
        <w:rPr>
          <w:rFonts w:cs="Times New Roman"/>
          <w:i/>
          <w:color w:val="auto"/>
          <w:sz w:val="21"/>
          <w:szCs w:val="21"/>
          <w:highlight w:val="none"/>
          <w:u w:val="single"/>
        </w:rPr>
        <w:t>.（标的名称）</w:t>
      </w:r>
      <w:r>
        <w:rPr>
          <w:rFonts w:cs="Times New Roman"/>
          <w:color w:val="auto"/>
          <w:sz w:val="21"/>
          <w:szCs w:val="21"/>
          <w:highlight w:val="none"/>
        </w:rPr>
        <w:t>，属于</w:t>
      </w:r>
      <w:r>
        <w:rPr>
          <w:rFonts w:cs="Times New Roman"/>
          <w:i/>
          <w:color w:val="auto"/>
          <w:sz w:val="21"/>
          <w:szCs w:val="21"/>
          <w:highlight w:val="none"/>
        </w:rPr>
        <w:t>（</w:t>
      </w:r>
      <w:r>
        <w:rPr>
          <w:rFonts w:cs="Times New Roman"/>
          <w:i/>
          <w:color w:val="auto"/>
          <w:sz w:val="21"/>
          <w:szCs w:val="21"/>
          <w:highlight w:val="none"/>
          <w:u w:val="single"/>
        </w:rPr>
        <w:t>采购文件中明确的所属行业</w:t>
      </w:r>
      <w:r>
        <w:rPr>
          <w:rFonts w:cs="Times New Roman"/>
          <w:i/>
          <w:color w:val="auto"/>
          <w:sz w:val="21"/>
          <w:szCs w:val="21"/>
          <w:highlight w:val="none"/>
          <w:u w:val="single"/>
        </w:rPr>
        <w:t>）</w:t>
      </w:r>
      <w:r>
        <w:rPr>
          <w:rFonts w:cs="Times New Roman"/>
          <w:color w:val="auto"/>
          <w:sz w:val="21"/>
          <w:szCs w:val="21"/>
          <w:highlight w:val="none"/>
        </w:rPr>
        <w:t>；承建（承接）企业为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企业名称（盖章）：</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《中小企业声明函》填写不全的，视为未提供《中小企业声明函》（从业人员、营业收入、资产总额在中小企业划型标准规定中不涉及的除外），不享受价格优惠。</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项目名称：2022国际青年艺术周视觉设计、主视觉线下展览搭建制作</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QSZB-Z(F)-C22120(CS)</w:t>
      </w:r>
      <w:r>
        <w:rPr>
          <w:rFonts w:hint="eastAsia"/>
          <w:color w:val="auto"/>
          <w:sz w:val="21"/>
          <w:szCs w:val="21"/>
          <w:highlight w:val="none"/>
        </w:rPr>
        <w:t xml:space="preserve">  </w:t>
      </w:r>
    </w:p>
    <w:tbl>
      <w:tblPr>
        <w:tblStyle w:val="19"/>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中国美术学院2022国际青年艺术周视觉设计、主视觉线下展览搭建制作</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QSZB-Z(F)-C22120(CS)</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联系人：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职务：</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手机：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电子邮箱：</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银行账号：</w:t>
            </w:r>
          </w:p>
        </w:tc>
        <w:tc>
          <w:tcPr>
            <w:tcW w:w="6808" w:type="dxa"/>
          </w:tcPr>
          <w:p>
            <w:pPr>
              <w:adjustRightInd w:val="0"/>
              <w:snapToGrid w:val="0"/>
              <w:spacing w:line="288" w:lineRule="auto"/>
              <w:rPr>
                <w:rFonts w:cs="Times New Roman"/>
                <w:color w:val="auto"/>
                <w:spacing w:val="-6"/>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r>
        <w:rPr>
          <w:rFonts w:hint="eastAsia"/>
          <w:color w:val="auto"/>
          <w:sz w:val="21"/>
          <w:szCs w:val="21"/>
          <w:highlight w:val="none"/>
        </w:rPr>
        <w:t>致：中国美术学院、浙江求是招标代理有限公司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中国美术学院2022国际青年艺术周视觉设计、主视觉线下展览搭建制作标项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2020年12月（含）以后任意一月社保缴纳证明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法定代表人身份证明：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授权代表身份证明：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）2020年12月（含）以后任意一月的供应商授权代表社保缴纳证明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26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w:t>
            </w:r>
          </w:p>
        </w:tc>
        <w:tc>
          <w:tcPr>
            <w:tcW w:w="12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43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89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c>
          <w:tcPr>
            <w:tcW w:w="99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71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采购人联系人</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项目名称：2022国际青年艺术周视觉设计、主视觉线下展览搭建制作</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QSZB-Z(F)-C22120(CS)</w:t>
      </w:r>
      <w:r>
        <w:rPr>
          <w:rFonts w:hint="eastAsia"/>
          <w:color w:val="auto"/>
          <w:sz w:val="21"/>
          <w:szCs w:val="21"/>
          <w:highlight w:val="non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bookmarkStart w:id="45"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（7）供应商需要说明的其他文件和材料。</w:t>
      </w:r>
      <w:bookmarkEnd w:id="45"/>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附件2</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3%的扣除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adjustRightInd w:val="0"/>
        <w:snapToGrid w:val="0"/>
        <w:spacing w:line="288" w:lineRule="auto"/>
        <w:rPr>
          <w:b/>
          <w:color w:val="auto"/>
          <w:spacing w:val="-6"/>
          <w:sz w:val="21"/>
          <w:szCs w:val="21"/>
          <w:highlight w:val="none"/>
        </w:rPr>
      </w:pPr>
    </w:p>
    <w:bookmarkEnd w:id="46"/>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359EB"/>
    <w:multiLevelType w:val="multilevel"/>
    <w:tmpl w:val="6AE359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52BA5"/>
    <w:rsid w:val="00071F0A"/>
    <w:rsid w:val="000767D0"/>
    <w:rsid w:val="00081FB8"/>
    <w:rsid w:val="00083A4C"/>
    <w:rsid w:val="00084812"/>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6819"/>
    <w:rsid w:val="000F74F6"/>
    <w:rsid w:val="000F7F44"/>
    <w:rsid w:val="00110E4C"/>
    <w:rsid w:val="0012475B"/>
    <w:rsid w:val="00127812"/>
    <w:rsid w:val="0013073F"/>
    <w:rsid w:val="001407E0"/>
    <w:rsid w:val="001409BF"/>
    <w:rsid w:val="00142487"/>
    <w:rsid w:val="0014452E"/>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5BEB"/>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7DC5"/>
    <w:rsid w:val="003544E6"/>
    <w:rsid w:val="003554CF"/>
    <w:rsid w:val="003574D9"/>
    <w:rsid w:val="0036448F"/>
    <w:rsid w:val="003715FC"/>
    <w:rsid w:val="0037467E"/>
    <w:rsid w:val="003866DD"/>
    <w:rsid w:val="003875B9"/>
    <w:rsid w:val="00391308"/>
    <w:rsid w:val="00393A98"/>
    <w:rsid w:val="00395B34"/>
    <w:rsid w:val="00395EE3"/>
    <w:rsid w:val="00396158"/>
    <w:rsid w:val="00396C6A"/>
    <w:rsid w:val="003A29CB"/>
    <w:rsid w:val="003A3B4B"/>
    <w:rsid w:val="003B7308"/>
    <w:rsid w:val="003C00F7"/>
    <w:rsid w:val="003D2A8D"/>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631C"/>
    <w:rsid w:val="00447307"/>
    <w:rsid w:val="00447892"/>
    <w:rsid w:val="0045716B"/>
    <w:rsid w:val="00460410"/>
    <w:rsid w:val="00462F48"/>
    <w:rsid w:val="00467FA3"/>
    <w:rsid w:val="0047650F"/>
    <w:rsid w:val="00477C08"/>
    <w:rsid w:val="0048411A"/>
    <w:rsid w:val="00487FA3"/>
    <w:rsid w:val="004A7850"/>
    <w:rsid w:val="004B27EF"/>
    <w:rsid w:val="004B43AB"/>
    <w:rsid w:val="004B5D4B"/>
    <w:rsid w:val="004C0583"/>
    <w:rsid w:val="004C10D2"/>
    <w:rsid w:val="004C28D6"/>
    <w:rsid w:val="004C519D"/>
    <w:rsid w:val="004C5538"/>
    <w:rsid w:val="004D29E5"/>
    <w:rsid w:val="004E0163"/>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392F"/>
    <w:rsid w:val="005E541A"/>
    <w:rsid w:val="005E606B"/>
    <w:rsid w:val="005F0EB3"/>
    <w:rsid w:val="005F1491"/>
    <w:rsid w:val="005F54EF"/>
    <w:rsid w:val="00602E69"/>
    <w:rsid w:val="00604B99"/>
    <w:rsid w:val="00605A26"/>
    <w:rsid w:val="00616EEB"/>
    <w:rsid w:val="00623375"/>
    <w:rsid w:val="00630726"/>
    <w:rsid w:val="00631899"/>
    <w:rsid w:val="00632793"/>
    <w:rsid w:val="006366F0"/>
    <w:rsid w:val="00647F07"/>
    <w:rsid w:val="006576BA"/>
    <w:rsid w:val="00660F95"/>
    <w:rsid w:val="00665775"/>
    <w:rsid w:val="00676C52"/>
    <w:rsid w:val="00680911"/>
    <w:rsid w:val="00680A5B"/>
    <w:rsid w:val="006A039B"/>
    <w:rsid w:val="006A5664"/>
    <w:rsid w:val="006A5A5D"/>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6ACF"/>
    <w:rsid w:val="007873F4"/>
    <w:rsid w:val="007904D7"/>
    <w:rsid w:val="00791767"/>
    <w:rsid w:val="007A2CA3"/>
    <w:rsid w:val="007B160C"/>
    <w:rsid w:val="007B606B"/>
    <w:rsid w:val="007C2F9C"/>
    <w:rsid w:val="007C537A"/>
    <w:rsid w:val="007D1444"/>
    <w:rsid w:val="007D2661"/>
    <w:rsid w:val="007E240F"/>
    <w:rsid w:val="007E681D"/>
    <w:rsid w:val="007F10BF"/>
    <w:rsid w:val="007F2E8B"/>
    <w:rsid w:val="007F4804"/>
    <w:rsid w:val="00800ABA"/>
    <w:rsid w:val="00800FCE"/>
    <w:rsid w:val="00810FA6"/>
    <w:rsid w:val="008133A4"/>
    <w:rsid w:val="00814C63"/>
    <w:rsid w:val="00822876"/>
    <w:rsid w:val="008316E0"/>
    <w:rsid w:val="00840283"/>
    <w:rsid w:val="00840FE7"/>
    <w:rsid w:val="00841ADD"/>
    <w:rsid w:val="00843675"/>
    <w:rsid w:val="00851510"/>
    <w:rsid w:val="008634FB"/>
    <w:rsid w:val="008639D0"/>
    <w:rsid w:val="00882EE8"/>
    <w:rsid w:val="008A34A6"/>
    <w:rsid w:val="008B218D"/>
    <w:rsid w:val="008B6837"/>
    <w:rsid w:val="008B71DF"/>
    <w:rsid w:val="008C688F"/>
    <w:rsid w:val="008D5940"/>
    <w:rsid w:val="008D737F"/>
    <w:rsid w:val="008D741F"/>
    <w:rsid w:val="008E0CE8"/>
    <w:rsid w:val="008E337A"/>
    <w:rsid w:val="008E4BFF"/>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B67"/>
    <w:rsid w:val="00953C5E"/>
    <w:rsid w:val="00957D35"/>
    <w:rsid w:val="009637F6"/>
    <w:rsid w:val="009653D9"/>
    <w:rsid w:val="00966E9D"/>
    <w:rsid w:val="00967418"/>
    <w:rsid w:val="00981D3A"/>
    <w:rsid w:val="009875B5"/>
    <w:rsid w:val="00993DBA"/>
    <w:rsid w:val="009949B7"/>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E4C1D"/>
    <w:rsid w:val="00A03AD8"/>
    <w:rsid w:val="00A07A45"/>
    <w:rsid w:val="00A142D1"/>
    <w:rsid w:val="00A22CF0"/>
    <w:rsid w:val="00A2408D"/>
    <w:rsid w:val="00A249C0"/>
    <w:rsid w:val="00A30675"/>
    <w:rsid w:val="00A33906"/>
    <w:rsid w:val="00A35229"/>
    <w:rsid w:val="00A40AAC"/>
    <w:rsid w:val="00A42750"/>
    <w:rsid w:val="00A42C00"/>
    <w:rsid w:val="00A549DF"/>
    <w:rsid w:val="00A6088B"/>
    <w:rsid w:val="00A64554"/>
    <w:rsid w:val="00A732F4"/>
    <w:rsid w:val="00A73C39"/>
    <w:rsid w:val="00A76EBE"/>
    <w:rsid w:val="00A819DE"/>
    <w:rsid w:val="00A81A32"/>
    <w:rsid w:val="00A82257"/>
    <w:rsid w:val="00A86E0A"/>
    <w:rsid w:val="00A9606B"/>
    <w:rsid w:val="00A96BAB"/>
    <w:rsid w:val="00AA0EF3"/>
    <w:rsid w:val="00AA1886"/>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E7AEE"/>
    <w:rsid w:val="00AF26F2"/>
    <w:rsid w:val="00AF74F9"/>
    <w:rsid w:val="00B02F83"/>
    <w:rsid w:val="00B04CC6"/>
    <w:rsid w:val="00B058CE"/>
    <w:rsid w:val="00B06C53"/>
    <w:rsid w:val="00B102AE"/>
    <w:rsid w:val="00B10592"/>
    <w:rsid w:val="00B13329"/>
    <w:rsid w:val="00B13F59"/>
    <w:rsid w:val="00B145EA"/>
    <w:rsid w:val="00B22B41"/>
    <w:rsid w:val="00B255CB"/>
    <w:rsid w:val="00B273E5"/>
    <w:rsid w:val="00B27D5F"/>
    <w:rsid w:val="00B34DE9"/>
    <w:rsid w:val="00B35964"/>
    <w:rsid w:val="00B3599C"/>
    <w:rsid w:val="00B368F7"/>
    <w:rsid w:val="00B43EB1"/>
    <w:rsid w:val="00B44156"/>
    <w:rsid w:val="00B461A3"/>
    <w:rsid w:val="00B46901"/>
    <w:rsid w:val="00B60372"/>
    <w:rsid w:val="00B700A7"/>
    <w:rsid w:val="00B75F72"/>
    <w:rsid w:val="00B76572"/>
    <w:rsid w:val="00B80B79"/>
    <w:rsid w:val="00B8265D"/>
    <w:rsid w:val="00B82769"/>
    <w:rsid w:val="00B83D54"/>
    <w:rsid w:val="00BA1344"/>
    <w:rsid w:val="00BA20EE"/>
    <w:rsid w:val="00BA23C3"/>
    <w:rsid w:val="00BA5574"/>
    <w:rsid w:val="00BA5B33"/>
    <w:rsid w:val="00BB537B"/>
    <w:rsid w:val="00BC0A2A"/>
    <w:rsid w:val="00BC0C37"/>
    <w:rsid w:val="00BC60C5"/>
    <w:rsid w:val="00BC69B9"/>
    <w:rsid w:val="00BD1071"/>
    <w:rsid w:val="00BD48DF"/>
    <w:rsid w:val="00BD4A95"/>
    <w:rsid w:val="00BD6DF5"/>
    <w:rsid w:val="00BF12A4"/>
    <w:rsid w:val="00BF16BF"/>
    <w:rsid w:val="00BF7858"/>
    <w:rsid w:val="00C00275"/>
    <w:rsid w:val="00C06714"/>
    <w:rsid w:val="00C06A4F"/>
    <w:rsid w:val="00C127D1"/>
    <w:rsid w:val="00C16A0C"/>
    <w:rsid w:val="00C23F1B"/>
    <w:rsid w:val="00C31136"/>
    <w:rsid w:val="00C32739"/>
    <w:rsid w:val="00C409EC"/>
    <w:rsid w:val="00C419D0"/>
    <w:rsid w:val="00C43452"/>
    <w:rsid w:val="00C43EC7"/>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473A"/>
    <w:rsid w:val="00D549C3"/>
    <w:rsid w:val="00D57999"/>
    <w:rsid w:val="00D63B7F"/>
    <w:rsid w:val="00D6455C"/>
    <w:rsid w:val="00D6559F"/>
    <w:rsid w:val="00D66B50"/>
    <w:rsid w:val="00D70BAD"/>
    <w:rsid w:val="00D722AC"/>
    <w:rsid w:val="00D80A2C"/>
    <w:rsid w:val="00D87236"/>
    <w:rsid w:val="00D91A7B"/>
    <w:rsid w:val="00D92F42"/>
    <w:rsid w:val="00D930C1"/>
    <w:rsid w:val="00D938F4"/>
    <w:rsid w:val="00D96E37"/>
    <w:rsid w:val="00DA38EB"/>
    <w:rsid w:val="00DA4676"/>
    <w:rsid w:val="00DA499E"/>
    <w:rsid w:val="00DA6115"/>
    <w:rsid w:val="00DA66D7"/>
    <w:rsid w:val="00DB0427"/>
    <w:rsid w:val="00DB252D"/>
    <w:rsid w:val="00DB7001"/>
    <w:rsid w:val="00DC7855"/>
    <w:rsid w:val="00DD03A9"/>
    <w:rsid w:val="00DD08CA"/>
    <w:rsid w:val="00DD2AFA"/>
    <w:rsid w:val="00DD3361"/>
    <w:rsid w:val="00DD6BD6"/>
    <w:rsid w:val="00DD6C5E"/>
    <w:rsid w:val="00DE0018"/>
    <w:rsid w:val="00DE276C"/>
    <w:rsid w:val="00DE402D"/>
    <w:rsid w:val="00DF07C2"/>
    <w:rsid w:val="00DF205A"/>
    <w:rsid w:val="00DF3A0D"/>
    <w:rsid w:val="00DF40BC"/>
    <w:rsid w:val="00DF4C43"/>
    <w:rsid w:val="00DF5142"/>
    <w:rsid w:val="00E02718"/>
    <w:rsid w:val="00E02BC1"/>
    <w:rsid w:val="00E03F07"/>
    <w:rsid w:val="00E06FA8"/>
    <w:rsid w:val="00E07963"/>
    <w:rsid w:val="00E12310"/>
    <w:rsid w:val="00E17C9D"/>
    <w:rsid w:val="00E26AFE"/>
    <w:rsid w:val="00E26F8C"/>
    <w:rsid w:val="00E30E42"/>
    <w:rsid w:val="00E3206B"/>
    <w:rsid w:val="00E36D93"/>
    <w:rsid w:val="00E370E0"/>
    <w:rsid w:val="00E5038C"/>
    <w:rsid w:val="00E51DCB"/>
    <w:rsid w:val="00E53AA7"/>
    <w:rsid w:val="00E565AC"/>
    <w:rsid w:val="00E66BFD"/>
    <w:rsid w:val="00E702BC"/>
    <w:rsid w:val="00E7371B"/>
    <w:rsid w:val="00E9083B"/>
    <w:rsid w:val="00E92EC6"/>
    <w:rsid w:val="00E9327B"/>
    <w:rsid w:val="00E97A1F"/>
    <w:rsid w:val="00EA2CC6"/>
    <w:rsid w:val="00EA7038"/>
    <w:rsid w:val="00EC0E91"/>
    <w:rsid w:val="00EC2506"/>
    <w:rsid w:val="00EC5481"/>
    <w:rsid w:val="00ED1063"/>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51E5"/>
    <w:rsid w:val="00F26B94"/>
    <w:rsid w:val="00F31217"/>
    <w:rsid w:val="00F31415"/>
    <w:rsid w:val="00F40CB5"/>
    <w:rsid w:val="00F54B3E"/>
    <w:rsid w:val="00F5586F"/>
    <w:rsid w:val="00F60635"/>
    <w:rsid w:val="00F62803"/>
    <w:rsid w:val="00F64962"/>
    <w:rsid w:val="00F742BF"/>
    <w:rsid w:val="00F75E1B"/>
    <w:rsid w:val="00F80014"/>
    <w:rsid w:val="00F80F99"/>
    <w:rsid w:val="00F824DA"/>
    <w:rsid w:val="00F9106A"/>
    <w:rsid w:val="00F94DF0"/>
    <w:rsid w:val="00FA1F1C"/>
    <w:rsid w:val="00FB1975"/>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104C02"/>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B16C5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AA4067"/>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D24677"/>
    <w:rsid w:val="18F37C5C"/>
    <w:rsid w:val="190D2A36"/>
    <w:rsid w:val="191C5EFD"/>
    <w:rsid w:val="19295D46"/>
    <w:rsid w:val="19311F7B"/>
    <w:rsid w:val="19335297"/>
    <w:rsid w:val="195041F3"/>
    <w:rsid w:val="198978FC"/>
    <w:rsid w:val="19BE5EE1"/>
    <w:rsid w:val="19D115FD"/>
    <w:rsid w:val="19F84096"/>
    <w:rsid w:val="1A477CEF"/>
    <w:rsid w:val="1AAF3421"/>
    <w:rsid w:val="1AB23249"/>
    <w:rsid w:val="1AC828CA"/>
    <w:rsid w:val="1AE20BCB"/>
    <w:rsid w:val="1AE2213E"/>
    <w:rsid w:val="1B855CC2"/>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9F662A"/>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097234"/>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9EE5AE7"/>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863241"/>
    <w:rsid w:val="2CDC7E42"/>
    <w:rsid w:val="2CF652E7"/>
    <w:rsid w:val="2D1153A4"/>
    <w:rsid w:val="2D614DC2"/>
    <w:rsid w:val="2DA22BE2"/>
    <w:rsid w:val="2E2758AF"/>
    <w:rsid w:val="2E3F744B"/>
    <w:rsid w:val="2E4D3DC5"/>
    <w:rsid w:val="2E7942E2"/>
    <w:rsid w:val="2F0F13BF"/>
    <w:rsid w:val="2F0F2FF0"/>
    <w:rsid w:val="2F0F3ED9"/>
    <w:rsid w:val="2F5D35AA"/>
    <w:rsid w:val="2F713FC3"/>
    <w:rsid w:val="30116C8D"/>
    <w:rsid w:val="302B091D"/>
    <w:rsid w:val="302F07D9"/>
    <w:rsid w:val="30376BB9"/>
    <w:rsid w:val="307A6BF4"/>
    <w:rsid w:val="31186EB7"/>
    <w:rsid w:val="3148427E"/>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82695"/>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670585"/>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5F09AF"/>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8AE7F32"/>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864E8F"/>
    <w:rsid w:val="4D9B2A2A"/>
    <w:rsid w:val="4DBE7DFA"/>
    <w:rsid w:val="4DC10903"/>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62080"/>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8365D"/>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C24E9F"/>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7F1CD3"/>
    <w:rsid w:val="63F818AF"/>
    <w:rsid w:val="64097F81"/>
    <w:rsid w:val="642928A3"/>
    <w:rsid w:val="643F5712"/>
    <w:rsid w:val="64474946"/>
    <w:rsid w:val="648864C8"/>
    <w:rsid w:val="64AC0F65"/>
    <w:rsid w:val="64AC4D21"/>
    <w:rsid w:val="64DE6188"/>
    <w:rsid w:val="64EA3740"/>
    <w:rsid w:val="651B20F1"/>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60678E"/>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792F18"/>
    <w:rsid w:val="6E981498"/>
    <w:rsid w:val="6EDD44D5"/>
    <w:rsid w:val="6EE53D65"/>
    <w:rsid w:val="6F0462AF"/>
    <w:rsid w:val="6F5B536E"/>
    <w:rsid w:val="6F6C5A34"/>
    <w:rsid w:val="6F862021"/>
    <w:rsid w:val="6FDB67F5"/>
    <w:rsid w:val="6FEB7F4E"/>
    <w:rsid w:val="701B7A5A"/>
    <w:rsid w:val="70580981"/>
    <w:rsid w:val="70710D73"/>
    <w:rsid w:val="7075449C"/>
    <w:rsid w:val="7093328D"/>
    <w:rsid w:val="70B94757"/>
    <w:rsid w:val="70CF457E"/>
    <w:rsid w:val="71493E4B"/>
    <w:rsid w:val="71A14605"/>
    <w:rsid w:val="722A7E86"/>
    <w:rsid w:val="723356D8"/>
    <w:rsid w:val="723B1117"/>
    <w:rsid w:val="724F76A0"/>
    <w:rsid w:val="725F7831"/>
    <w:rsid w:val="726208DF"/>
    <w:rsid w:val="727B04D4"/>
    <w:rsid w:val="727B4099"/>
    <w:rsid w:val="72A94047"/>
    <w:rsid w:val="730B3575"/>
    <w:rsid w:val="73734FD6"/>
    <w:rsid w:val="73A83D47"/>
    <w:rsid w:val="73AF252F"/>
    <w:rsid w:val="73EE04C5"/>
    <w:rsid w:val="740E4978"/>
    <w:rsid w:val="745844E5"/>
    <w:rsid w:val="74694643"/>
    <w:rsid w:val="74CE1CE7"/>
    <w:rsid w:val="750A4D76"/>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CD69D7"/>
    <w:rsid w:val="7CD64B89"/>
    <w:rsid w:val="7CFD1F85"/>
    <w:rsid w:val="7D1136F7"/>
    <w:rsid w:val="7D851B58"/>
    <w:rsid w:val="7DCD0FCE"/>
    <w:rsid w:val="7E2010C6"/>
    <w:rsid w:val="7E4F352C"/>
    <w:rsid w:val="7E7C6572"/>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ind w:firstLine="420"/>
    </w:pPr>
    <w:rPr>
      <w:sz w:val="21"/>
      <w:szCs w:val="20"/>
    </w:rPr>
  </w:style>
  <w:style w:type="paragraph" w:styleId="7">
    <w:name w:val="annotation text"/>
    <w:basedOn w:val="1"/>
    <w:link w:val="27"/>
    <w:unhideWhenUsed/>
    <w:qFormat/>
    <w:uiPriority w:val="99"/>
    <w:pPr>
      <w:jc w:val="left"/>
    </w:pPr>
    <w:rPr>
      <w:rFonts w:ascii="Times New Roman" w:hAnsi="Times New Roman" w:cs="Times New Roman"/>
      <w:sz w:val="28"/>
    </w:rPr>
  </w:style>
  <w:style w:type="paragraph" w:styleId="8">
    <w:name w:val="Body Text"/>
    <w:basedOn w:val="1"/>
    <w:next w:val="1"/>
    <w:unhideWhenUsed/>
    <w:qFormat/>
    <w:uiPriority w:val="99"/>
    <w:pPr>
      <w:spacing w:after="120"/>
    </w:pPr>
    <w:rPr>
      <w:rFonts w:ascii="Times New Roman" w:hAnsi="Times New Roman" w:cs="Times New Roman"/>
      <w:sz w:val="28"/>
    </w:rPr>
  </w:style>
  <w:style w:type="paragraph" w:styleId="9">
    <w:name w:val="Body Text Indent"/>
    <w:basedOn w:val="1"/>
    <w:next w:val="10"/>
    <w:link w:val="28"/>
    <w:qFormat/>
    <w:uiPriority w:val="0"/>
    <w:pPr>
      <w:spacing w:line="200" w:lineRule="atLeast"/>
      <w:ind w:firstLine="301"/>
    </w:pPr>
    <w:rPr>
      <w:rFonts w:hAnsi="Courier New" w:cs="Times New Roman"/>
      <w:spacing w:val="-4"/>
      <w:sz w:val="18"/>
      <w:szCs w:val="20"/>
    </w:rPr>
  </w:style>
  <w:style w:type="paragraph" w:styleId="10">
    <w:name w:val="envelope return"/>
    <w:basedOn w:val="1"/>
    <w:qFormat/>
    <w:uiPriority w:val="0"/>
    <w:pPr>
      <w:snapToGrid w:val="0"/>
    </w:pPr>
    <w:rPr>
      <w:rFonts w:ascii="Arial" w:hAnsi="Arial"/>
    </w:rPr>
  </w:style>
  <w:style w:type="paragraph" w:styleId="11">
    <w:name w:val="Plain Text"/>
    <w:basedOn w:val="1"/>
    <w:link w:val="35"/>
    <w:qFormat/>
    <w:uiPriority w:val="99"/>
    <w:pPr>
      <w:spacing w:before="156" w:beforeLines="50" w:after="156" w:afterLines="50" w:line="400" w:lineRule="atLeast"/>
    </w:pPr>
    <w:rPr>
      <w:rFonts w:hAnsi="Courier New" w:eastAsiaTheme="minorEastAsia" w:cstheme="minorBidi"/>
    </w:rPr>
  </w:style>
  <w:style w:type="paragraph" w:styleId="12">
    <w:name w:val="Balloon Text"/>
    <w:basedOn w:val="1"/>
    <w:link w:val="26"/>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widowControl/>
      <w:spacing w:before="100" w:beforeAutospacing="1" w:after="100" w:afterAutospacing="1"/>
      <w:jc w:val="left"/>
    </w:pPr>
    <w:rPr>
      <w:kern w:val="0"/>
    </w:rPr>
  </w:style>
  <w:style w:type="paragraph" w:styleId="16">
    <w:name w:val="annotation subject"/>
    <w:basedOn w:val="7"/>
    <w:next w:val="7"/>
    <w:link w:val="36"/>
    <w:semiHidden/>
    <w:unhideWhenUsed/>
    <w:qFormat/>
    <w:uiPriority w:val="0"/>
    <w:rPr>
      <w:rFonts w:ascii="宋体" w:hAnsi="宋体" w:cs="宋体"/>
      <w:b/>
      <w:bCs/>
      <w:sz w:val="24"/>
    </w:rPr>
  </w:style>
  <w:style w:type="paragraph" w:styleId="17">
    <w:name w:val="Body Text First Indent"/>
    <w:basedOn w:val="8"/>
    <w:next w:val="1"/>
    <w:qFormat/>
    <w:uiPriority w:val="0"/>
    <w:pPr>
      <w:ind w:firstLine="420" w:firstLineChars="100"/>
    </w:pPr>
    <w:rPr>
      <w:kern w:val="0"/>
      <w:sz w:val="21"/>
      <w:szCs w:val="21"/>
    </w:rPr>
  </w:style>
  <w:style w:type="paragraph" w:styleId="18">
    <w:name w:val="Body Text First Indent 2"/>
    <w:basedOn w:val="9"/>
    <w:next w:val="1"/>
    <w:unhideWhenUsed/>
    <w:qFormat/>
    <w:uiPriority w:val="99"/>
    <w:pPr>
      <w:ind w:firstLine="42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eastAsia="Arial"/>
    </w:rPr>
  </w:style>
  <w:style w:type="character" w:styleId="23">
    <w:name w:val="Hyperlink"/>
    <w:basedOn w:val="21"/>
    <w:unhideWhenUsed/>
    <w:qFormat/>
    <w:uiPriority w:val="99"/>
    <w:rPr>
      <w:color w:val="0000FF"/>
      <w:u w:val="single"/>
    </w:rPr>
  </w:style>
  <w:style w:type="character" w:styleId="24">
    <w:name w:val="annotation reference"/>
    <w:unhideWhenUsed/>
    <w:qFormat/>
    <w:uiPriority w:val="99"/>
    <w:rPr>
      <w:sz w:val="21"/>
      <w:szCs w:val="21"/>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
    <w:name w:val="批注框文本字符"/>
    <w:basedOn w:val="21"/>
    <w:link w:val="12"/>
    <w:qFormat/>
    <w:uiPriority w:val="0"/>
    <w:rPr>
      <w:rFonts w:ascii="宋体" w:hAnsi="宋体" w:cs="宋体"/>
      <w:kern w:val="2"/>
      <w:sz w:val="18"/>
      <w:szCs w:val="18"/>
    </w:rPr>
  </w:style>
  <w:style w:type="character" w:customStyle="1" w:styleId="27">
    <w:name w:val="批注文字字符"/>
    <w:basedOn w:val="21"/>
    <w:link w:val="7"/>
    <w:qFormat/>
    <w:uiPriority w:val="99"/>
    <w:rPr>
      <w:kern w:val="2"/>
      <w:sz w:val="28"/>
      <w:szCs w:val="24"/>
    </w:rPr>
  </w:style>
  <w:style w:type="character" w:customStyle="1" w:styleId="28">
    <w:name w:val="正文文本缩进字符"/>
    <w:link w:val="9"/>
    <w:qFormat/>
    <w:uiPriority w:val="0"/>
    <w:rPr>
      <w:rFonts w:ascii="宋体" w:hAnsi="Courier New"/>
      <w:spacing w:val="-4"/>
      <w:kern w:val="2"/>
      <w:sz w:val="18"/>
    </w:rPr>
  </w:style>
  <w:style w:type="character" w:customStyle="1" w:styleId="29">
    <w:name w:val="正文文本缩进 字符"/>
    <w:basedOn w:val="21"/>
    <w:qFormat/>
    <w:uiPriority w:val="0"/>
    <w:rPr>
      <w:rFonts w:ascii="宋体" w:hAnsi="宋体" w:cs="宋体"/>
      <w:kern w:val="2"/>
      <w:sz w:val="24"/>
      <w:szCs w:val="24"/>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21"/>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页脚字符"/>
    <w:basedOn w:val="21"/>
    <w:link w:val="13"/>
    <w:qFormat/>
    <w:uiPriority w:val="99"/>
    <w:rPr>
      <w:rFonts w:ascii="宋体" w:hAnsi="宋体" w:cs="宋体"/>
      <w:kern w:val="2"/>
      <w:sz w:val="18"/>
      <w:szCs w:val="24"/>
    </w:rPr>
  </w:style>
  <w:style w:type="character" w:customStyle="1" w:styleId="34">
    <w:name w:val="纯文本 字符"/>
    <w:basedOn w:val="21"/>
    <w:qFormat/>
    <w:uiPriority w:val="0"/>
    <w:rPr>
      <w:rFonts w:hAnsi="Courier New" w:cs="Courier New" w:asciiTheme="minorEastAsia" w:eastAsiaTheme="minorEastAsia"/>
      <w:kern w:val="2"/>
      <w:sz w:val="24"/>
      <w:szCs w:val="24"/>
    </w:rPr>
  </w:style>
  <w:style w:type="character" w:customStyle="1" w:styleId="35">
    <w:name w:val="纯文本字符"/>
    <w:link w:val="11"/>
    <w:qFormat/>
    <w:uiPriority w:val="99"/>
    <w:rPr>
      <w:rFonts w:ascii="宋体" w:hAnsi="Courier New" w:eastAsiaTheme="minorEastAsia" w:cstheme="minorBidi"/>
      <w:kern w:val="2"/>
      <w:sz w:val="24"/>
      <w:szCs w:val="24"/>
    </w:rPr>
  </w:style>
  <w:style w:type="character" w:customStyle="1" w:styleId="36">
    <w:name w:val="批注主题字符"/>
    <w:basedOn w:val="27"/>
    <w:link w:val="16"/>
    <w:semiHidden/>
    <w:qFormat/>
    <w:uiPriority w:val="0"/>
    <w:rPr>
      <w:rFonts w:ascii="宋体" w:hAnsi="宋体" w:cs="宋体"/>
      <w:b/>
      <w:bCs/>
      <w:kern w:val="2"/>
      <w:sz w:val="24"/>
      <w:szCs w:val="24"/>
    </w:rPr>
  </w:style>
  <w:style w:type="paragraph" w:customStyle="1" w:styleId="37">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38">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0">
    <w:name w:val="font2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8F31D-7CB2-2C42-98A4-ACE34929A013}">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4253</Words>
  <Characters>24248</Characters>
  <Lines>202</Lines>
  <Paragraphs>56</Paragraphs>
  <TotalTime>1</TotalTime>
  <ScaleCrop>false</ScaleCrop>
  <LinksUpToDate>false</LinksUpToDate>
  <CharactersWithSpaces>28445</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2022-05-10T12:46:00Z</dcterms:created>
  <dc:creator>Administrator</dc:creator>
  <cp:lastModifiedBy>A-day</cp:lastModifiedBy>
  <cp:lastPrinted>2020-04-01T05:56:00Z</cp:lastPrinted>
  <dcterms:modified xsi:type="dcterms:W3CDTF">2022-05-12T09:29:33Z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1FEA08D6CC1646EA9AB55F3690B74F08</vt:lpwstr>
  </property>
</Properties>
</file>