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浙江外国语学院</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2023年外文期刊</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2023年外文期刊</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bookmarkStart w:id="57" w:name="_GoBack"/>
      <w:r>
        <w:rPr>
          <w:rFonts w:hint="eastAsia" w:ascii="楷体" w:hAnsi="楷体" w:eastAsia="楷体" w:cs="Times New Roman"/>
          <w:b/>
          <w:color w:val="auto"/>
          <w:spacing w:val="-6"/>
          <w:sz w:val="30"/>
          <w:szCs w:val="30"/>
          <w:highlight w:val="none"/>
          <w:lang w:eastAsia="zh-CN"/>
        </w:rPr>
        <w:t>QSZB-Z(H)-B22093(GK)</w:t>
      </w:r>
      <w:bookmarkEnd w:id="57"/>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浙江外国语学院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[2022]21278号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outlineLvl w:val="0"/>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2023年外文期刊</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2022年5月18日9:00:00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QSZB-Z(H)-B22093(GK)</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2023年外文期刊</w:t>
      </w:r>
    </w:p>
    <w:bookmarkEnd w:id="4"/>
    <w:p>
      <w:pPr>
        <w:adjustRightInd w:val="0"/>
        <w:snapToGrid w:val="0"/>
        <w:spacing w:line="288" w:lineRule="auto"/>
        <w:ind w:firstLine="420" w:firstLineChars="200"/>
        <w:rPr>
          <w:rFonts w:ascii="宋体" w:hAnsi="宋体" w:eastAsia="宋体" w:cs="Times New Roman"/>
          <w:color w:val="auto"/>
          <w:szCs w:val="21"/>
          <w:highlight w:val="none"/>
        </w:rPr>
      </w:pPr>
      <w:bookmarkStart w:id="5" w:name="_Toc28359003"/>
      <w:bookmarkStart w:id="6" w:name="_Toc35393791"/>
      <w:bookmarkStart w:id="7" w:name="_Toc28359080"/>
      <w:bookmarkStart w:id="8" w:name="_Toc35393622"/>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426000</w:t>
      </w:r>
      <w:r>
        <w:rPr>
          <w:rFonts w:hint="eastAsia"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426000</w:t>
      </w:r>
      <w:r>
        <w:rPr>
          <w:rFonts w:hint="eastAsia"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.合同履行期限：</w:t>
      </w:r>
      <w:r>
        <w:rPr>
          <w:rFonts w:hint="eastAsia" w:ascii="宋体" w:hAnsi="宋体" w:eastAsia="宋体" w:cs="Times New Roman"/>
          <w:color w:val="auto"/>
          <w:szCs w:val="21"/>
          <w:highlight w:val="none"/>
          <w:lang w:val="en-US" w:eastAsia="zh-CN"/>
        </w:rPr>
        <w:t>2023年1月1日至所订期刊全部到馆为止</w:t>
      </w:r>
      <w:r>
        <w:rPr>
          <w:rFonts w:hint="eastAsia"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.本项目（是）接受联合体响应。</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7.采购需求：</w:t>
      </w:r>
    </w:p>
    <w:p>
      <w:pPr>
        <w:spacing w:line="288" w:lineRule="auto"/>
        <w:ind w:firstLine="420" w:firstLineChars="200"/>
        <w:rPr>
          <w:rFonts w:hint="eastAsia" w:ascii="宋体" w:hAnsi="宋体" w:eastAsia="宋体" w:cs="宋体"/>
          <w:color w:val="auto"/>
          <w:szCs w:val="21"/>
          <w:highlight w:val="none"/>
        </w:rPr>
      </w:pP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标项一</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数量：1</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Times New Roman"/>
          <w:color w:val="auto"/>
          <w:szCs w:val="21"/>
          <w:highlight w:val="none"/>
          <w:lang w:val="en-US" w:eastAsia="zh-CN"/>
        </w:rPr>
        <w:t>426000</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Cs w:val="21"/>
          <w:highlight w:val="none"/>
          <w:lang w:val="en-US" w:eastAsia="zh-CN"/>
        </w:rPr>
        <w:t>详见采购需求</w:t>
      </w:r>
      <w:r>
        <w:rPr>
          <w:rFonts w:hint="eastAsia" w:ascii="宋体" w:hAnsi="宋体" w:eastAsia="宋体" w:cs="宋体"/>
          <w:color w:val="auto"/>
          <w:szCs w:val="21"/>
          <w:highlight w:val="none"/>
        </w:rPr>
        <w:t>。</w:t>
      </w:r>
    </w:p>
    <w:p>
      <w:pPr>
        <w:spacing w:line="288"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103</w:t>
      </w:r>
      <w:r>
        <w:rPr>
          <w:rFonts w:hint="eastAsia" w:ascii="宋体" w:hAnsi="宋体" w:eastAsia="宋体" w:cs="宋体"/>
          <w:color w:val="auto"/>
          <w:szCs w:val="21"/>
          <w:highlight w:val="none"/>
        </w:rPr>
        <w:t>%（折扣数）</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t>
      </w:r>
      <w:r>
        <w:rPr>
          <w:rFonts w:ascii="宋体" w:hAnsi="宋体" w:eastAsia="宋体" w:cs="Times New Roman"/>
          <w:bCs/>
          <w:color w:val="auto"/>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3.本项目的特定资格要求：具有有效的《出版物经营许可证》</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2022年</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月</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2022年5月18日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w:t>
      </w:r>
      <w:r>
        <w:rPr>
          <w:rFonts w:ascii="宋体" w:hAnsi="宋体" w:eastAsia="宋体" w:cs="Times New Roman"/>
          <w:color w:val="auto"/>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2022年5月18日9:00:00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2022年5月18日9:00:00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楼（求是招标会议室</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7"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color w:val="auto"/>
          <w:szCs w:val="21"/>
          <w:highlight w:val="none"/>
        </w:rPr>
      </w:pPr>
      <w:bookmarkStart w:id="28" w:name="_Toc35393627"/>
      <w:bookmarkStart w:id="29" w:name="_Toc28359008"/>
      <w:bookmarkStart w:id="30" w:name="_Toc28359085"/>
      <w:bookmarkStart w:id="31"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名称：浙江外国语学院</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联系人：郭老师</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联系方式：0571-88213025</w:t>
      </w:r>
    </w:p>
    <w:p>
      <w:pPr>
        <w:adjustRightInd w:val="0"/>
        <w:snapToGrid w:val="0"/>
        <w:spacing w:line="288" w:lineRule="auto"/>
        <w:ind w:firstLine="283" w:firstLineChars="135"/>
        <w:rPr>
          <w:rFonts w:ascii="宋体" w:hAnsi="宋体" w:eastAsia="宋体" w:cs="Times New Roman"/>
          <w:color w:val="auto"/>
          <w:szCs w:val="21"/>
          <w:highlight w:val="none"/>
        </w:rPr>
      </w:pPr>
      <w:bookmarkStart w:id="32" w:name="_Hlk83818603"/>
      <w:r>
        <w:rPr>
          <w:rFonts w:hint="eastAsia" w:ascii="宋体" w:hAnsi="宋体" w:eastAsia="宋体" w:cs="Times New Roman"/>
          <w:color w:val="auto"/>
          <w:szCs w:val="21"/>
          <w:highlight w:val="none"/>
        </w:rPr>
        <w:t>项目联系人：袁老师</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项目联系方式：0571-</w:t>
      </w:r>
      <w:r>
        <w:rPr>
          <w:rFonts w:ascii="宋体" w:hAnsi="宋体" w:eastAsia="宋体" w:cs="Times New Roman"/>
          <w:color w:val="auto"/>
          <w:szCs w:val="21"/>
          <w:highlight w:val="none"/>
        </w:rPr>
        <w:t>88213101</w:t>
      </w:r>
    </w:p>
    <w:bookmarkEnd w:id="32"/>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质疑联系人：吴老师</w:t>
      </w:r>
    </w:p>
    <w:p>
      <w:pP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质疑联系方法：0571-88213026</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地址：杭州市西湖区玉古路173号中田大厦11楼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陈应俭、</w:t>
      </w:r>
      <w:r>
        <w:rPr>
          <w:rFonts w:hint="eastAsia" w:ascii="宋体" w:hAnsi="宋体" w:eastAsia="宋体" w:cs="Times New Roman"/>
          <w:bCs/>
          <w:color w:val="auto"/>
          <w:spacing w:val="-6"/>
          <w:szCs w:val="21"/>
          <w:highlight w:val="none"/>
        </w:rPr>
        <w:t>杨立凯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项目联系方式（询问）：0571-87670301</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3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w:t>
            </w:r>
            <w:r>
              <w:rPr>
                <w:rFonts w:ascii="宋体" w:hAnsi="宋体" w:eastAsia="宋体" w:cs="Times New Roman"/>
                <w:color w:val="auto"/>
                <w:spacing w:val="-6"/>
                <w:szCs w:val="21"/>
                <w:highlight w:val="none"/>
              </w:rPr>
              <w:t>支持创新发展</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本项目采购标的为：货物，采购标的对应的中小企业划分标准所属行业：其他未列明行业</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3"/>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3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4"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合同签订后一周内，中标人向采购人提交合同总价2.5%的履约保证金，履约保证金在合同履约期间无违约情形的，项目验收结束后，于一周内退还（不计息）</w:t>
            </w:r>
            <w:r>
              <w:rPr>
                <w:rFonts w:ascii="宋体" w:hAnsi="宋体" w:eastAsia="宋体" w:cs="宋体"/>
                <w:color w:val="auto"/>
                <w:spacing w:val="-6"/>
                <w:kern w:val="0"/>
                <w:szCs w:val="21"/>
                <w:highlight w:val="none"/>
              </w:rPr>
              <w:t>；</w:t>
            </w:r>
          </w:p>
          <w:p>
            <w:pPr>
              <w:adjustRightInd w:val="0"/>
              <w:snapToGrid w:val="0"/>
              <w:spacing w:line="288" w:lineRule="auto"/>
              <w:rPr>
                <w:rFonts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宋体"/>
                <w:b/>
                <w:color w:val="auto"/>
                <w:szCs w:val="21"/>
                <w:highlight w:val="none"/>
                <w:lang w:bidi="ar"/>
              </w:rPr>
              <w:t>预付款</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1.支付条件：供应商提交银行、保险公司等金融机构出具的预付款保函；</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2.支付时间、数额：合同生效并具备实施条件后，采购人向供应商支付预算金额40%的预付款。</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备注：签订合同时，供应商明确表示无需预付款或者主动要求降低预付款比例的，采购单位可不适用前述规定。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color w:val="auto"/>
                <w:spacing w:val="-6"/>
                <w:kern w:val="0"/>
                <w:szCs w:val="21"/>
                <w:highlight w:val="none"/>
              </w:rPr>
              <w:t>采购合同签订后且中标人已提交履约保证金的，经采购人</w:t>
            </w:r>
            <w:r>
              <w:rPr>
                <w:rFonts w:hint="eastAsia" w:ascii="宋体" w:hAnsi="宋体" w:eastAsia="宋体" w:cs="宋体"/>
                <w:color w:val="auto"/>
                <w:spacing w:val="-6"/>
                <w:kern w:val="0"/>
                <w:szCs w:val="21"/>
                <w:highlight w:val="none"/>
                <w:lang w:val="en-US" w:eastAsia="zh-CN"/>
              </w:rPr>
              <w:t>确认最终期刊类型及数量后</w:t>
            </w:r>
            <w:r>
              <w:rPr>
                <w:rFonts w:hint="eastAsia" w:ascii="宋体" w:hAnsi="宋体" w:eastAsia="宋体" w:cs="宋体"/>
                <w:color w:val="auto"/>
                <w:spacing w:val="-6"/>
                <w:kern w:val="0"/>
                <w:szCs w:val="21"/>
                <w:highlight w:val="none"/>
              </w:rPr>
              <w:t>，支付至</w:t>
            </w:r>
            <w:r>
              <w:rPr>
                <w:rFonts w:hint="eastAsia" w:ascii="宋体" w:hAnsi="宋体" w:eastAsia="宋体" w:cs="宋体"/>
                <w:color w:val="auto"/>
                <w:spacing w:val="-6"/>
                <w:kern w:val="0"/>
                <w:szCs w:val="21"/>
                <w:highlight w:val="none"/>
                <w:lang w:val="en-US" w:eastAsia="zh-CN"/>
              </w:rPr>
              <w:t>该订单金额</w:t>
            </w:r>
            <w:r>
              <w:rPr>
                <w:rFonts w:hint="eastAsia" w:ascii="宋体" w:hAnsi="宋体" w:eastAsia="宋体" w:cs="宋体"/>
                <w:color w:val="auto"/>
                <w:spacing w:val="-6"/>
                <w:kern w:val="0"/>
                <w:szCs w:val="21"/>
                <w:highlight w:val="none"/>
              </w:rPr>
              <w:t>的100%。</w:t>
            </w:r>
          </w:p>
          <w:p>
            <w:pPr>
              <w:autoSpaceDE w:val="0"/>
              <w:autoSpaceDN w:val="0"/>
              <w:adjustRightInd w:val="0"/>
              <w:snapToGrid w:val="0"/>
              <w:spacing w:line="288" w:lineRule="auto"/>
              <w:jc w:val="left"/>
              <w:rPr>
                <w:rFonts w:ascii="宋体" w:hAnsi="宋体" w:eastAsia="宋体" w:cs="Arial"/>
                <w:color w:val="auto"/>
                <w:kern w:val="0"/>
                <w:szCs w:val="21"/>
                <w:highlight w:val="none"/>
              </w:rPr>
            </w:pPr>
            <w:r>
              <w:rPr>
                <w:rFonts w:hint="eastAsia" w:ascii="宋体" w:hAnsi="宋体" w:eastAsia="宋体" w:cs="宋体"/>
                <w:color w:val="auto"/>
                <w:spacing w:val="-6"/>
                <w:kern w:val="0"/>
                <w:szCs w:val="21"/>
                <w:highlight w:val="none"/>
              </w:rPr>
              <w:t>备注：</w:t>
            </w:r>
            <w:r>
              <w:rPr>
                <w:rFonts w:hint="eastAsia" w:ascii="宋体" w:hAnsi="宋体" w:eastAsia="宋体" w:cs="宋体"/>
                <w:color w:val="auto"/>
                <w:spacing w:val="-6"/>
                <w:kern w:val="0"/>
                <w:szCs w:val="21"/>
                <w:highlight w:val="none"/>
                <w:lang w:val="en-US" w:eastAsia="zh-CN"/>
              </w:rPr>
              <w:t>期刊</w:t>
            </w:r>
            <w:r>
              <w:rPr>
                <w:rFonts w:hint="eastAsia" w:ascii="宋体" w:hAnsi="宋体" w:eastAsia="宋体" w:cs="宋体"/>
                <w:color w:val="auto"/>
                <w:spacing w:val="-6"/>
                <w:kern w:val="0"/>
                <w:szCs w:val="21"/>
                <w:highlight w:val="none"/>
              </w:rPr>
              <w:t>码洋*</w:t>
            </w:r>
            <w:r>
              <w:rPr>
                <w:rFonts w:hint="eastAsia" w:ascii="宋体" w:hAnsi="宋体" w:eastAsia="宋体" w:cs="宋体"/>
                <w:color w:val="auto"/>
                <w:spacing w:val="-6"/>
                <w:kern w:val="0"/>
                <w:szCs w:val="21"/>
                <w:highlight w:val="none"/>
                <w:lang w:val="en-US" w:eastAsia="zh-CN"/>
              </w:rPr>
              <w:t>中标</w:t>
            </w:r>
            <w:r>
              <w:rPr>
                <w:rFonts w:hint="eastAsia" w:ascii="宋体" w:hAnsi="宋体" w:eastAsia="宋体" w:cs="宋体"/>
                <w:color w:val="auto"/>
                <w:spacing w:val="-6"/>
                <w:kern w:val="0"/>
                <w:szCs w:val="21"/>
                <w:highlight w:val="none"/>
              </w:rPr>
              <w:t>折扣数计算。</w:t>
            </w:r>
          </w:p>
        </w:tc>
      </w:tr>
      <w:bookmarkEnd w:id="34"/>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3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1.投标人在合同履行期间向采购人按期提供期刊。</w:t>
            </w:r>
          </w:p>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szCs w:val="21"/>
                <w:highlight w:val="none"/>
              </w:rPr>
              <w:t>2.每期出版后不超</w:t>
            </w:r>
            <w:r>
              <w:rPr>
                <w:rFonts w:hint="eastAsia" w:ascii="宋体" w:hAnsi="宋体" w:eastAsia="宋体" w:cs="宋体"/>
                <w:color w:val="auto"/>
                <w:szCs w:val="21"/>
                <w:highlight w:val="none"/>
              </w:rPr>
              <w:t>过60日内交货，假期交货时间双方协商决定（因特殊原因产生的问题订单，如延期出版等双</w:t>
            </w:r>
            <w:r>
              <w:rPr>
                <w:rFonts w:hint="eastAsia" w:ascii="宋体" w:hAnsi="宋体" w:eastAsia="宋体" w:cs="宋体"/>
                <w:szCs w:val="21"/>
                <w:highlight w:val="none"/>
              </w:rPr>
              <w:t>方另行协商）。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b w:val="0"/>
                <w:bCs/>
                <w:color w:val="auto"/>
                <w:sz w:val="21"/>
                <w:szCs w:val="21"/>
                <w:highlight w:val="none"/>
              </w:rPr>
              <w:t>2023年1月1日至所订期刊全部到馆为止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应保质保量、按时将期刊送到采购人指定地点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1年。期刊送达采购人指定地点，采购人验收合格止。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服务标准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1.中标人提供的</w:t>
            </w:r>
            <w:r>
              <w:rPr>
                <w:rFonts w:hint="eastAsia" w:ascii="宋体" w:hAnsi="宋体" w:eastAsia="宋体" w:cs="宋体"/>
                <w:color w:val="auto"/>
                <w:szCs w:val="21"/>
                <w:highlight w:val="none"/>
              </w:rPr>
              <w:t>期刊</w:t>
            </w:r>
            <w:r>
              <w:rPr>
                <w:rFonts w:ascii="宋体" w:hAnsi="宋体" w:eastAsia="宋体" w:cs="宋体"/>
                <w:color w:val="auto"/>
                <w:szCs w:val="21"/>
                <w:highlight w:val="none"/>
              </w:rPr>
              <w:t>如发现错页、漏页、倒装、印刷模糊等质量问题中标人负责免费退还或调换，否则将扣除履约保证金作为对采购人的补偿；</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2.免费退还、调换的时间为中标人收到采购人通知后24小时内响应，72小时内解决问题。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供应商应按招标文件规定的质量标准向采购人提供未经使用的全新。</w:t>
            </w:r>
            <w:r>
              <w:rPr>
                <w:rFonts w:hint="eastAsia" w:ascii="宋体" w:hAnsi="宋体" w:eastAsia="宋体" w:cs="宋体"/>
                <w:color w:val="auto"/>
                <w:szCs w:val="21"/>
                <w:highlight w:val="none"/>
                <w:lang w:eastAsia="zh-CN"/>
              </w:rPr>
              <w:t>期刊</w:t>
            </w:r>
          </w:p>
          <w:p>
            <w:pPr>
              <w:adjustRightInd w:val="0"/>
              <w:snapToGrid w:val="0"/>
              <w:spacing w:line="288" w:lineRule="auto"/>
              <w:rPr>
                <w:rFonts w:hint="eastAsia" w:ascii="宋体" w:hAnsi="宋体" w:eastAsia="宋体" w:cs="Times New Roman"/>
                <w:color w:val="auto"/>
                <w:spacing w:val="-6"/>
                <w:szCs w:val="21"/>
                <w:highlight w:val="none"/>
                <w:lang w:val="en-US" w:eastAsia="zh-CN"/>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zh-CN"/>
              </w:rPr>
              <w:t>.中标人应按招投标文件的规定，满足采购人的所有技术要求和服务要求。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rPr>
              <w:t>.</w:t>
            </w:r>
            <w:r>
              <w:rPr>
                <w:rFonts w:ascii="宋体" w:hAnsi="宋体" w:eastAsia="宋体" w:cs="宋体"/>
                <w:szCs w:val="21"/>
                <w:highlight w:val="none"/>
                <w:lang w:val="zh-CN"/>
              </w:rPr>
              <w:t>采购人</w:t>
            </w:r>
            <w:r>
              <w:rPr>
                <w:rFonts w:hint="eastAsia" w:ascii="宋体" w:hAnsi="宋体" w:eastAsia="宋体" w:cs="宋体"/>
                <w:szCs w:val="21"/>
                <w:highlight w:val="none"/>
                <w:lang w:val="zh-CN"/>
              </w:rPr>
              <w:t>因</w:t>
            </w:r>
            <w:r>
              <w:rPr>
                <w:rFonts w:ascii="宋体" w:hAnsi="宋体" w:eastAsia="宋体" w:cs="宋体"/>
                <w:szCs w:val="21"/>
                <w:highlight w:val="none"/>
                <w:lang w:val="zh-CN"/>
              </w:rPr>
              <w:t>误订</w:t>
            </w:r>
            <w:r>
              <w:rPr>
                <w:rFonts w:hint="eastAsia" w:ascii="宋体" w:hAnsi="宋体" w:eastAsia="宋体" w:cs="宋体"/>
                <w:szCs w:val="21"/>
                <w:highlight w:val="none"/>
                <w:lang w:val="zh-CN"/>
              </w:rPr>
              <w:t>不适合的期刊</w:t>
            </w:r>
            <w:r>
              <w:rPr>
                <w:rFonts w:ascii="宋体" w:hAnsi="宋体" w:eastAsia="宋体" w:cs="宋体"/>
                <w:szCs w:val="21"/>
                <w:highlight w:val="none"/>
                <w:lang w:val="zh-CN"/>
              </w:rPr>
              <w:t>，</w:t>
            </w:r>
            <w:r>
              <w:rPr>
                <w:rFonts w:hint="eastAsia" w:ascii="宋体" w:hAnsi="宋体" w:eastAsia="宋体" w:cs="宋体"/>
                <w:szCs w:val="21"/>
                <w:highlight w:val="none"/>
                <w:lang w:val="zh-CN"/>
              </w:rPr>
              <w:t>在未经加工、不影响第二次销售</w:t>
            </w:r>
            <w:r>
              <w:rPr>
                <w:rFonts w:ascii="宋体" w:hAnsi="宋体" w:eastAsia="宋体" w:cs="宋体"/>
                <w:szCs w:val="21"/>
                <w:highlight w:val="none"/>
                <w:lang w:val="zh-CN"/>
              </w:rPr>
              <w:t>的</w:t>
            </w:r>
            <w:r>
              <w:rPr>
                <w:rFonts w:hint="eastAsia" w:ascii="宋体" w:hAnsi="宋体" w:eastAsia="宋体" w:cs="宋体"/>
                <w:szCs w:val="21"/>
                <w:highlight w:val="none"/>
                <w:lang w:val="zh-CN"/>
              </w:rPr>
              <w:t>情况下，中标人应允许退货</w:t>
            </w:r>
            <w:r>
              <w:rPr>
                <w:rFonts w:ascii="宋体" w:hAnsi="宋体" w:eastAsia="宋体" w:cs="宋体"/>
                <w:szCs w:val="21"/>
                <w:highlight w:val="none"/>
                <w:lang w:val="zh-CN"/>
              </w:rPr>
              <w:t>。</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val="zh-CN"/>
              </w:rPr>
              <w:t>.出现以下情况中标人承诺无条件予以退换，并承担所退期刊的所有费用：</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ascii="宋体" w:hAnsi="宋体" w:eastAsia="宋体" w:cs="宋体"/>
                <w:szCs w:val="21"/>
                <w:highlight w:val="none"/>
                <w:lang w:val="zh-CN"/>
              </w:rPr>
              <w:t>(1)运输过程中出现</w:t>
            </w:r>
            <w:r>
              <w:rPr>
                <w:rFonts w:hint="eastAsia" w:ascii="宋体" w:hAnsi="宋体" w:eastAsia="宋体" w:cs="宋体"/>
                <w:szCs w:val="21"/>
                <w:highlight w:val="none"/>
                <w:lang w:val="zh-CN"/>
              </w:rPr>
              <w:t>期刊</w:t>
            </w:r>
            <w:r>
              <w:rPr>
                <w:rFonts w:ascii="宋体" w:hAnsi="宋体" w:eastAsia="宋体" w:cs="宋体"/>
                <w:szCs w:val="21"/>
                <w:highlight w:val="none"/>
                <w:lang w:val="zh-CN"/>
              </w:rPr>
              <w:t>破损、污损；</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ascii="宋体" w:hAnsi="宋体" w:eastAsia="宋体" w:cs="宋体"/>
                <w:szCs w:val="21"/>
                <w:highlight w:val="none"/>
                <w:lang w:val="zh-CN"/>
              </w:rPr>
              <w:t>(2)出版社印刷、装订造成的</w:t>
            </w:r>
            <w:r>
              <w:rPr>
                <w:rFonts w:hint="eastAsia" w:ascii="宋体" w:hAnsi="宋体" w:eastAsia="宋体" w:cs="宋体"/>
                <w:szCs w:val="21"/>
                <w:highlight w:val="none"/>
                <w:lang w:val="zh-CN"/>
              </w:rPr>
              <w:t>期刊</w:t>
            </w:r>
            <w:r>
              <w:rPr>
                <w:rFonts w:ascii="宋体" w:hAnsi="宋体" w:eastAsia="宋体" w:cs="宋体"/>
                <w:szCs w:val="21"/>
                <w:highlight w:val="none"/>
                <w:lang w:val="zh-CN"/>
              </w:rPr>
              <w:t>质量问题；</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ascii="宋体" w:hAnsi="宋体" w:eastAsia="宋体" w:cs="宋体"/>
                <w:szCs w:val="21"/>
                <w:highlight w:val="none"/>
                <w:lang w:val="zh-CN"/>
              </w:rPr>
              <w:t>(</w:t>
            </w:r>
            <w:r>
              <w:rPr>
                <w:rFonts w:hint="eastAsia" w:ascii="宋体" w:hAnsi="宋体" w:eastAsia="宋体" w:cs="宋体"/>
                <w:szCs w:val="21"/>
                <w:highlight w:val="none"/>
              </w:rPr>
              <w:t>3</w:t>
            </w:r>
            <w:r>
              <w:rPr>
                <w:rFonts w:ascii="宋体" w:hAnsi="宋体" w:eastAsia="宋体" w:cs="宋体"/>
                <w:szCs w:val="21"/>
                <w:highlight w:val="none"/>
                <w:lang w:val="zh-CN"/>
              </w:rPr>
              <w:t>)实际到</w:t>
            </w:r>
            <w:r>
              <w:rPr>
                <w:rFonts w:hint="eastAsia" w:ascii="宋体" w:hAnsi="宋体" w:eastAsia="宋体" w:cs="宋体"/>
                <w:szCs w:val="21"/>
                <w:highlight w:val="none"/>
              </w:rPr>
              <w:t>的期刊</w:t>
            </w:r>
            <w:r>
              <w:rPr>
                <w:rFonts w:ascii="宋体" w:hAnsi="宋体" w:eastAsia="宋体" w:cs="宋体"/>
                <w:szCs w:val="21"/>
                <w:highlight w:val="none"/>
                <w:lang w:val="zh-CN"/>
              </w:rPr>
              <w:t>与采访订单不符（书名、出版年、价格等）</w:t>
            </w:r>
            <w:r>
              <w:rPr>
                <w:rFonts w:hint="eastAsia" w:ascii="宋体" w:hAnsi="宋体" w:eastAsia="宋体" w:cs="宋体"/>
                <w:szCs w:val="21"/>
                <w:highlight w:val="none"/>
                <w:lang w:val="zh-CN"/>
              </w:rPr>
              <w:t>的期刊；</w:t>
            </w:r>
            <w:r>
              <w:rPr>
                <w:rFonts w:ascii="宋体" w:hAnsi="宋体" w:eastAsia="宋体" w:cs="宋体"/>
                <w:szCs w:val="21"/>
                <w:highlight w:val="none"/>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highlight w:val="none"/>
                <w:lang w:val="zh-CN"/>
              </w:rPr>
            </w:pPr>
            <w:r>
              <w:rPr>
                <w:rFonts w:ascii="宋体" w:hAnsi="宋体" w:eastAsia="宋体" w:cs="宋体"/>
                <w:szCs w:val="21"/>
                <w:highlight w:val="none"/>
                <w:lang w:val="zh-CN"/>
              </w:rPr>
              <w:t>(</w:t>
            </w:r>
            <w:r>
              <w:rPr>
                <w:rFonts w:hint="eastAsia" w:ascii="宋体" w:hAnsi="宋体" w:eastAsia="宋体" w:cs="宋体"/>
                <w:szCs w:val="21"/>
                <w:highlight w:val="none"/>
                <w:lang w:val="zh-CN"/>
              </w:rPr>
              <w:t>5</w:t>
            </w:r>
            <w:r>
              <w:rPr>
                <w:rFonts w:ascii="宋体" w:hAnsi="宋体" w:eastAsia="宋体" w:cs="宋体"/>
                <w:szCs w:val="21"/>
                <w:highlight w:val="none"/>
                <w:lang w:val="zh-CN"/>
              </w:rPr>
              <w:t>)由于中标人原因造成的错发、重发</w:t>
            </w:r>
            <w:r>
              <w:rPr>
                <w:rFonts w:hint="eastAsia" w:ascii="宋体" w:hAnsi="宋体" w:eastAsia="宋体" w:cs="宋体"/>
                <w:szCs w:val="21"/>
                <w:highlight w:val="none"/>
                <w:lang w:val="zh-CN"/>
              </w:rPr>
              <w:t>的期刊</w:t>
            </w:r>
            <w:r>
              <w:rPr>
                <w:rFonts w:ascii="宋体" w:hAnsi="宋体" w:eastAsia="宋体" w:cs="宋体"/>
                <w:szCs w:val="21"/>
                <w:highlight w:val="none"/>
                <w:lang w:val="zh-CN"/>
              </w:rPr>
              <w:t>；</w:t>
            </w:r>
          </w:p>
          <w:p>
            <w:pPr>
              <w:adjustRightInd w:val="0"/>
              <w:snapToGrid w:val="0"/>
              <w:spacing w:line="288" w:lineRule="auto"/>
              <w:rPr>
                <w:rFonts w:hint="eastAsia" w:ascii="宋体" w:hAnsi="宋体" w:eastAsia="宋体" w:cs="宋体"/>
                <w:color w:val="auto"/>
                <w:szCs w:val="21"/>
                <w:highlight w:val="none"/>
                <w:lang w:val="en-US" w:eastAsia="zh-CN"/>
              </w:rPr>
            </w:pPr>
            <w:r>
              <w:rPr>
                <w:rFonts w:ascii="宋体" w:hAnsi="宋体" w:eastAsia="宋体" w:cs="宋体"/>
                <w:szCs w:val="21"/>
                <w:highlight w:val="none"/>
                <w:lang w:val="zh-CN"/>
              </w:rPr>
              <w:t>(</w:t>
            </w:r>
            <w:r>
              <w:rPr>
                <w:rFonts w:hint="eastAsia" w:ascii="宋体" w:hAnsi="宋体" w:eastAsia="宋体" w:cs="宋体"/>
                <w:szCs w:val="21"/>
                <w:highlight w:val="none"/>
                <w:lang w:val="zh-CN"/>
              </w:rPr>
              <w:t>6</w:t>
            </w:r>
            <w:r>
              <w:rPr>
                <w:rFonts w:ascii="宋体" w:hAnsi="宋体" w:eastAsia="宋体" w:cs="宋体"/>
                <w:szCs w:val="21"/>
                <w:highlight w:val="none"/>
                <w:lang w:val="zh-CN"/>
              </w:rPr>
              <w:t>)因中标人提供书目信息错误或不明确（如读者对象、版次未注明等）而造成采购人订购错误的</w:t>
            </w:r>
            <w:r>
              <w:rPr>
                <w:rFonts w:hint="eastAsia" w:ascii="宋体" w:hAnsi="宋体" w:eastAsia="宋体" w:cs="宋体"/>
                <w:szCs w:val="21"/>
                <w:highlight w:val="none"/>
                <w:lang w:val="zh-CN"/>
              </w:rPr>
              <w:t>期刊</w:t>
            </w:r>
            <w:r>
              <w:rPr>
                <w:rFonts w:ascii="宋体" w:hAnsi="宋体" w:eastAsia="宋体" w:cs="宋体"/>
                <w:szCs w:val="21"/>
                <w:highlight w:val="none"/>
                <w:lang w:val="zh-CN"/>
              </w:rPr>
              <w:t>。</w:t>
            </w:r>
            <w:r>
              <w:rPr>
                <w:rFonts w:hint="eastAsia" w:ascii="宋体" w:hAnsi="宋体" w:eastAsia="宋体" w:cs="Times New Roman"/>
                <w:color w:val="auto"/>
                <w:spacing w:val="-6"/>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1.采购人按照采购合同规定的技术、服务等及招标文件上的要求标准，组织对</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履约情况进行验收，在</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个工作日（遇假期顺延）内拆包验收完毕。对验收不合格的不予接收。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4.1所供货物符合产品标准和及合同的要求；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pStyle w:val="2"/>
              <w:ind w:left="0" w:leftChars="0" w:firstLine="0" w:firstLineChars="0"/>
              <w:rPr>
                <w:highlight w:val="none"/>
              </w:rPr>
            </w:pPr>
            <w:r>
              <w:rPr>
                <w:rFonts w:hint="eastAsia" w:ascii="宋体" w:hAnsi="宋体" w:eastAsia="宋体" w:cs="宋体"/>
                <w:color w:val="auto"/>
                <w:kern w:val="2"/>
                <w:sz w:val="21"/>
                <w:szCs w:val="21"/>
                <w:highlight w:val="none"/>
                <w:lang w:val="en-US" w:eastAsia="zh-CN" w:bidi="ar-SA"/>
              </w:rPr>
              <w:t>4.5所有相关的技术文件及资料均已提交并得到接受。</w:t>
            </w:r>
          </w:p>
        </w:tc>
      </w:tr>
    </w:tbl>
    <w:p>
      <w:pPr>
        <w:adjustRightInd w:val="0"/>
        <w:snapToGrid w:val="0"/>
        <w:spacing w:line="288" w:lineRule="auto"/>
        <w:rPr>
          <w:rFonts w:hint="eastAsia" w:ascii="宋体" w:hAnsi="宋体" w:eastAsia="宋体" w:cs="宋体"/>
          <w:b/>
          <w:color w:val="auto"/>
          <w:szCs w:val="21"/>
          <w:highlight w:val="none"/>
        </w:rPr>
      </w:pPr>
    </w:p>
    <w:p>
      <w:pPr>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化订单管理能力。可通过投标人网站或Email查询或下载外文原版期刊清单，内容应包括刊名、中图刊号、ISSN、出版社、报价、出版频率、备注等用户需求信息；投标人应有明确的Email联系方式，并能及时回复用户需求信息；需有详细电子结算单内容项：每一条目包含刊名、中图刊号、ISSN、出版社、频次、价格等信息。提供期刊编目标准MARC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2、订到率。对于需方提交的外文原版期刊订单，投标人应保证外文原版期刊月平均不低于98%的订到率，同时要保证月平均不低于95％的期刊到刊完整率。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及时通知服务。需方所订期刊如出现停止出版、合并、拆分、载体变化、纸本期刊开通网刊的信息等情况，谈判响应方应及时通过Email及书面形式通知需方；当年一本未到的期刊应单独开列清单通知需方并注明未到原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4、及时配送服务。能及时、定期（至少1次/1周）送货至需方期刊部指定人员，同时提供发货清单。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补缺服务。按照需方要求可以随时提供到货统计信息的服务；对需方的催缺要求能及时处理，对于未能补缺的期刊应提供复制服务，并退还相应款项差额；如到馆期刊有严重破损、污染情况，能提供换刊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6、系统自查功能：代理商提供每季度一次自查配送期刊的缺到信息，并主动提供给图书馆缺刊信息。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须在接受通知之日起一月内完成采购人催缺补刊需求。如极个别刊物出现无原刊的情况，</w:t>
      </w: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需提供原本复印件，以保证采购人馆藏的需要。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Times New Roman"/>
          <w:b/>
          <w:bCs/>
          <w:color w:val="auto"/>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有从事期刊经销和数据加工业务的专业人员，近年有为高校图书馆供应期刊并提供相应机读数据的经历。</w:t>
      </w:r>
    </w:p>
    <w:p>
      <w:pPr>
        <w:adjustRightInd w:val="0"/>
        <w:snapToGrid w:val="0"/>
        <w:spacing w:line="288" w:lineRule="auto"/>
        <w:rPr>
          <w:rFonts w:hint="eastAsia" w:ascii="宋体" w:hAnsi="宋体" w:eastAsia="宋体" w:cs="Times New Roman"/>
          <w:b/>
          <w:bCs/>
          <w:color w:val="auto"/>
          <w:szCs w:val="21"/>
          <w:highlight w:val="none"/>
        </w:rPr>
      </w:pPr>
    </w:p>
    <w:p>
      <w:pPr>
        <w:adjustRightInd w:val="0"/>
        <w:snapToGrid w:val="0"/>
        <w:spacing w:line="288" w:lineRule="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备注：</w:t>
      </w:r>
    </w:p>
    <w:p>
      <w:pPr>
        <w:adjustRightInd w:val="0"/>
        <w:snapToGrid w:val="0"/>
        <w:spacing w:line="288" w:lineRule="auto"/>
        <w:ind w:firstLine="422" w:firstLineChars="20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color w:val="auto"/>
          <w:spacing w:val="-6"/>
          <w:szCs w:val="21"/>
          <w:highlight w:val="none"/>
          <w:lang w:val="en-US" w:eastAsia="zh-CN"/>
        </w:rPr>
        <w:t>▲</w:t>
      </w:r>
      <w:r>
        <w:rPr>
          <w:rFonts w:hint="eastAsia" w:ascii="宋体" w:hAnsi="宋体" w:eastAsia="宋体" w:cs="Times New Roman"/>
          <w:b/>
          <w:color w:val="auto"/>
          <w:spacing w:val="-6"/>
          <w:szCs w:val="21"/>
          <w:highlight w:val="none"/>
        </w:rPr>
        <w:t>投标人报折扣，折扣不得超过</w:t>
      </w:r>
      <w:r>
        <w:rPr>
          <w:rFonts w:hint="eastAsia" w:ascii="宋体" w:hAnsi="宋体" w:eastAsia="宋体" w:cs="Times New Roman"/>
          <w:b/>
          <w:color w:val="auto"/>
          <w:spacing w:val="-6"/>
          <w:szCs w:val="21"/>
          <w:highlight w:val="none"/>
          <w:lang w:val="en-US" w:eastAsia="zh-CN"/>
        </w:rPr>
        <w:t>103</w:t>
      </w:r>
      <w:r>
        <w:rPr>
          <w:rFonts w:hint="eastAsia" w:ascii="宋体" w:hAnsi="宋体" w:eastAsia="宋体" w:cs="Times New Roman"/>
          <w:b/>
          <w:color w:val="auto"/>
          <w:spacing w:val="-6"/>
          <w:szCs w:val="21"/>
          <w:highlight w:val="none"/>
        </w:rPr>
        <w:t>%，（即投标折扣高于</w:t>
      </w:r>
      <w:r>
        <w:rPr>
          <w:rFonts w:hint="eastAsia" w:ascii="宋体" w:hAnsi="宋体" w:eastAsia="宋体" w:cs="Times New Roman"/>
          <w:b/>
          <w:color w:val="auto"/>
          <w:spacing w:val="-6"/>
          <w:szCs w:val="21"/>
          <w:highlight w:val="none"/>
          <w:lang w:val="en-US" w:eastAsia="zh-CN"/>
        </w:rPr>
        <w:t>103</w:t>
      </w:r>
      <w:r>
        <w:rPr>
          <w:rFonts w:hint="eastAsia" w:ascii="宋体" w:hAnsi="宋体" w:eastAsia="宋体" w:cs="Times New Roman"/>
          <w:b/>
          <w:color w:val="auto"/>
          <w:spacing w:val="-6"/>
          <w:szCs w:val="21"/>
          <w:highlight w:val="none"/>
        </w:rPr>
        <w:t>%的折扣无效，如投标折扣为</w:t>
      </w:r>
      <w:r>
        <w:rPr>
          <w:rFonts w:hint="eastAsia" w:ascii="宋体" w:hAnsi="宋体" w:eastAsia="宋体" w:cs="Times New Roman"/>
          <w:b/>
          <w:color w:val="auto"/>
          <w:spacing w:val="-6"/>
          <w:szCs w:val="21"/>
          <w:highlight w:val="none"/>
          <w:lang w:val="en-US" w:eastAsia="zh-CN"/>
        </w:rPr>
        <w:t>104</w:t>
      </w:r>
      <w:r>
        <w:rPr>
          <w:rFonts w:hint="eastAsia" w:ascii="宋体" w:hAnsi="宋体" w:eastAsia="宋体" w:cs="Times New Roman"/>
          <w:b/>
          <w:color w:val="auto"/>
          <w:spacing w:val="-6"/>
          <w:szCs w:val="21"/>
          <w:highlight w:val="none"/>
        </w:rPr>
        <w:t>%的投标折扣无效，投标折扣为</w:t>
      </w:r>
      <w:r>
        <w:rPr>
          <w:rFonts w:hint="eastAsia" w:ascii="宋体" w:hAnsi="宋体" w:eastAsia="宋体" w:cs="Times New Roman"/>
          <w:b/>
          <w:color w:val="auto"/>
          <w:spacing w:val="-6"/>
          <w:szCs w:val="21"/>
          <w:highlight w:val="none"/>
          <w:lang w:val="en-US" w:eastAsia="zh-CN"/>
        </w:rPr>
        <w:t>102</w:t>
      </w:r>
      <w:r>
        <w:rPr>
          <w:rFonts w:hint="eastAsia" w:ascii="宋体" w:hAnsi="宋体" w:eastAsia="宋体" w:cs="Times New Roman"/>
          <w:b/>
          <w:color w:val="auto"/>
          <w:spacing w:val="-6"/>
          <w:szCs w:val="21"/>
          <w:highlight w:val="none"/>
        </w:rPr>
        <w:t>%的折扣率有效）</w:t>
      </w:r>
    </w:p>
    <w:p>
      <w:pPr>
        <w:adjustRightInd w:val="0"/>
        <w:snapToGrid w:val="0"/>
        <w:spacing w:line="288" w:lineRule="auto"/>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有强制性标准的执行国家强制性标准，无的统一执行最新相关标准、规范。</w:t>
      </w:r>
    </w:p>
    <w:p>
      <w:pPr>
        <w:widowControl/>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br w:type="page"/>
      </w:r>
    </w:p>
    <w:p>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另附2022年度的期刊目录，以供参考；2023年度期刊根据用户实际需求采购。</w:t>
      </w:r>
    </w:p>
    <w:tbl>
      <w:tblPr>
        <w:tblStyle w:val="34"/>
        <w:tblW w:w="9442" w:type="dxa"/>
        <w:tblInd w:w="0" w:type="dxa"/>
        <w:tblLayout w:type="fixed"/>
        <w:tblCellMar>
          <w:top w:w="0" w:type="dxa"/>
          <w:left w:w="0" w:type="dxa"/>
          <w:bottom w:w="0" w:type="dxa"/>
          <w:right w:w="0" w:type="dxa"/>
        </w:tblCellMar>
      </w:tblPr>
      <w:tblGrid>
        <w:gridCol w:w="730"/>
        <w:gridCol w:w="3374"/>
        <w:gridCol w:w="1536"/>
        <w:gridCol w:w="2065"/>
        <w:gridCol w:w="1737"/>
      </w:tblGrid>
      <w:tr>
        <w:tblPrEx>
          <w:tblLayout w:type="fixed"/>
          <w:tblCellMar>
            <w:top w:w="0" w:type="dxa"/>
            <w:left w:w="0" w:type="dxa"/>
            <w:bottom w:w="0" w:type="dxa"/>
            <w:right w:w="0" w:type="dxa"/>
          </w:tblCellMar>
        </w:tblPrEx>
        <w:trPr>
          <w:trHeight w:val="480" w:hRule="atLeast"/>
        </w:trPr>
        <w:tc>
          <w:tcPr>
            <w:tcW w:w="730"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序号</w:t>
            </w:r>
          </w:p>
        </w:tc>
        <w:tc>
          <w:tcPr>
            <w:tcW w:w="3374" w:type="dxa"/>
            <w:tcBorders>
              <w:top w:val="single" w:color="auto" w:sz="4" w:space="0"/>
              <w:left w:val="nil"/>
              <w:bottom w:val="single" w:color="auto" w:sz="4" w:space="0"/>
              <w:right w:val="single" w:color="auto" w:sz="4" w:space="0"/>
            </w:tcBorders>
            <w:shd w:val="clear" w:color="000000" w:fill="D9D9D9"/>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刊名</w:t>
            </w:r>
          </w:p>
        </w:tc>
        <w:tc>
          <w:tcPr>
            <w:tcW w:w="1536" w:type="dxa"/>
            <w:tcBorders>
              <w:top w:val="single" w:color="auto" w:sz="4" w:space="0"/>
              <w:left w:val="nil"/>
              <w:bottom w:val="single" w:color="auto" w:sz="4" w:space="0"/>
              <w:right w:val="single" w:color="auto" w:sz="4" w:space="0"/>
            </w:tcBorders>
            <w:shd w:val="clear" w:color="000000" w:fill="D9D9D9"/>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频率</w:t>
            </w:r>
          </w:p>
        </w:tc>
        <w:tc>
          <w:tcPr>
            <w:tcW w:w="2065" w:type="dxa"/>
            <w:tcBorders>
              <w:top w:val="single" w:color="auto" w:sz="4" w:space="0"/>
              <w:left w:val="nil"/>
              <w:bottom w:val="single" w:color="auto" w:sz="4" w:space="0"/>
              <w:right w:val="single" w:color="auto" w:sz="4" w:space="0"/>
            </w:tcBorders>
            <w:shd w:val="clear" w:color="000000" w:fill="D9D9D9"/>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PISSN</w:t>
            </w:r>
          </w:p>
        </w:tc>
        <w:tc>
          <w:tcPr>
            <w:tcW w:w="1737" w:type="dxa"/>
            <w:tcBorders>
              <w:top w:val="single" w:color="auto" w:sz="4" w:space="0"/>
              <w:left w:val="nil"/>
              <w:bottom w:val="single" w:color="auto" w:sz="4" w:space="0"/>
              <w:right w:val="single" w:color="auto" w:sz="4" w:space="0"/>
            </w:tcBorders>
            <w:shd w:val="clear" w:color="000000" w:fill="D9D9D9"/>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EISSN</w:t>
            </w:r>
          </w:p>
        </w:tc>
      </w:tr>
      <w:tr>
        <w:tblPrEx>
          <w:tblLayout w:type="fixed"/>
          <w:tblCellMar>
            <w:top w:w="0" w:type="dxa"/>
            <w:left w:w="0" w:type="dxa"/>
            <w:bottom w:w="0" w:type="dxa"/>
            <w:right w:w="0" w:type="dxa"/>
          </w:tblCellMar>
        </w:tblPrEx>
        <w:trPr>
          <w:trHeight w:val="72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AEA Journals. (American Economic Association)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41</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Al-Arabi.(Text in Arabic)</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0258-3941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0258-3941</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American Literature.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0002-9831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1527-2117</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Applied Linguistics.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0142-6001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1477-450X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Arca International, L';la Revue Internationale d'Architecture, Design et Communication Visuelle.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1027-460X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Atlantic</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1072-7825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Bloomberg BusinessWeek.</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47</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0007-7135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Cambridge Quarterly,The.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0008-199X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1471-6836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College Literature.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0093-3139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1542-4286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Comparative Literature.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0010-4124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1945-8517</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Corpora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1749-5032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1755-1676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Criticism; A Quarterly for Literature and the Arts.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0011-1589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1536-0342</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Critique; Studies in Contemporary Fiction.  (as Critique; Studies in Modern Fiction)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0011-1619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9999-0009</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Cross-Cultural Research; The Journal of Comparative Social Science.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1069-3971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1552-3578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DDN Design Diffusion News.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1120-9720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Discourse Processes.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0163-853X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1532-6950</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Economist - UK Edition.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51</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0013-0613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Educational Psychologist</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0046-1520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1532-6985</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Electronic Commerce Research.</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1389-5753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1572-9362</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ELT Journal.</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0951-0893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1477-4526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English for Specific Purposes.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0889-4906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English Today.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0266-0784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1474-0567</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English: Journal of the English Association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0013-8215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1756-1124</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Epoca / época.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1415-5494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Espresso, L'.</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51</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0423-4243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Essays in Criticism.</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0014-0856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1471-6852</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Focus.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0943-7576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Forbes.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0015-6914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Fortune. (Domestic Ed.)</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0015-8259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Francais D'Aujourd hui, Le.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0184-7732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Francais dans le Monde, Le + Francais dans le Monde, Le: Recherches et Applications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0015-9395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Functions of Language.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0929-998X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1569-9765</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Intereconomics.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0020-5346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1613-964X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International Review of Education.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0020-8566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1573-0638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Italian Political Science Review / Rivista Italiana di Scienza Politica.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0048-8402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2057-4908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Consumer Research.</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0093-5301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1537-5277</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Educational Psychology.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0022-0663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Finance.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0022-1082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1540-6261</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Linguistics.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0022-2267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1469-7742</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Multicultural Counseling and Development.</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0883-8534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2161-1912</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Political Economy.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0022-3808</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1537-534X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Sociolinguistics.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1360-6441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1467-9841</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Teacher Education.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0022-4871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1552-7816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Journal of Tourism and Cultural Change, The.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1476-6825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1747-7654</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Langages.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0458-726X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Language and Intercultural Communication.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1470-8477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1747-759X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xml:space="preserve">Language Assessment Quarterly. </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1543-4303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1543-4311</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Language in Society.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0047-4045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1469-8013</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Language Learning.</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0023-8333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1467-9922</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Language Teaching Research.</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1362-1688</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1477-0954</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Language Testing.</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0265-5322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1477-0946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Language.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0097-8507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1535-0665</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Leggere Donna.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1122-4975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Literary Imagination.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1523-9012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1752-6566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MACAU.</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Marketing Science.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0732-2399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1526-548X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MD: interior - design - architecture.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0343-0642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Merkur.</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0026-0096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Modern Fiction Studies.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0026-7724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1080-658X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Modern Age.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0026-7457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Modernism - Modernity.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1071-6068</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1080-6601</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National Geographic Magazine. (English Ed.)</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0027-9358</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New Literary History.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0028-6087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1080-661X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Nouvelle Revue Francaise, La.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0029-4802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Panorama.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0553-1098</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Perspectives: Studies in Translation Theory and Practice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0907-676X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1747-6623</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Philosophy and Literature.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0190-0013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1086-329X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Philosophy East and West.</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0031-8221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1529-1898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Popular Science.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0161-7370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Quarterly Journal of Economics.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0033-5533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1531-4650</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Quimera.</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0211-3325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Reader's Digest. (Asia Ed.)</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0034-0383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Reader's Digest. (U.S. Ed.)</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0034-0375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Research in the Teaching of English.</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0034-527X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1943-2348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Research on Language and Social Interaction.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0835-1813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1532-7973</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Review of Economic Studies.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0034-6527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1467-937X</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Review of English Studies, The.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0034-6551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1471-6968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Revista de Estudios Hispanicos.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0034-818X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2164-9308</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Sayidaty.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0265-5780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Second Language Research.</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0267-6583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1477-0326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SEL: Studies in English Literature 1500-1900.</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0039-3657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1522-9270</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Spectator.</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51</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0038-6952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2059-6499</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Studies in Economics and Finance.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1086-7376</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Target; International Journal of Translation Studies.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0924-1884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1569-9986</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TD - Talent Development.</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1535-7740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Teaching and Teacher Education.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0742-051X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TESOL Quarterly.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0039-8322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1545-7249</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Texas Studies in Literature &amp; Language.</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0040-4691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1534-7303</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Text &amp; Talk.</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1860-7330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1860-7349</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Time. (Domestic Ed.)</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0040-781X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Visao.</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0872-3540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World Literature Today.</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0196-3570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1945-8134</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Вопросы языκознания.</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0373-658X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Новое литературное обозрение.(на рус. яз.)</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0869-6365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Руссκий языκ в шκоле.</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0131-6141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Руссκий языκ за рубежом.</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0131-615X</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エコノミスト/Economist.</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49</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サンデー毎日．</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创作与批评/Changjakkwabipyong. (朝文)</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1227-0938</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读者文摘/Reader's Digest. (Chinese Ed.)</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1017-4265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翻譯季刊.</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1027-8559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廣角鏡.</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1609-2589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国語と国文学.</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0387-3110</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鏡報/The Mirror.</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1027-0019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日本文学.</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0386-9903</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106</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日本語の研究.</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1349-5119</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107</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日本語教育.</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0389-4037</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108</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日本語学.</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0288-0822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109</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日経ビジネス／Nikkei Business.</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50</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0029-0491</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110</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世界.</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0582-4532</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111</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視聴覚教育/Audio-Visual Education.</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0037-3664</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112</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文芸春秋.</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113</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小説新潮/Shosetsu Shincho.</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114</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周刊東洋経済.</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50</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0918-5755</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r>
        <w:tblPrEx>
          <w:tblLayout w:type="fixed"/>
          <w:tblCellMar>
            <w:top w:w="0" w:type="dxa"/>
            <w:left w:w="0" w:type="dxa"/>
            <w:bottom w:w="0" w:type="dxa"/>
            <w:right w:w="0" w:type="dxa"/>
          </w:tblCellMar>
        </w:tblPrEx>
        <w:trPr>
          <w:trHeight w:val="510" w:hRule="atLeast"/>
        </w:trPr>
        <w:tc>
          <w:tcPr>
            <w:tcW w:w="73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115</w:t>
            </w:r>
          </w:p>
        </w:tc>
        <w:tc>
          <w:tcPr>
            <w:tcW w:w="337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週刊朝日.</w:t>
            </w:r>
          </w:p>
        </w:tc>
        <w:tc>
          <w:tcPr>
            <w:tcW w:w="153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49</w:t>
            </w:r>
          </w:p>
        </w:tc>
        <w:tc>
          <w:tcPr>
            <w:tcW w:w="2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c>
          <w:tcPr>
            <w:tcW w:w="17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　</w:t>
            </w:r>
          </w:p>
        </w:tc>
      </w:tr>
    </w:tbl>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3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浙江外国语学院2023年外文期刊</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.▲投标人授权代表必须为投标人本单位在职职工，并提供2021年7月（含）以后任意一月社保缴纳证明（授权代表为法定代表人可不提供）。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34"/>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125</w:t>
                  </w:r>
                </w:p>
              </w:tc>
            </w:tr>
          </w:tbl>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 xml:space="preserve"> 注：代理服务费不足3000元的按3000元计。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具有有效的《出版物经营许可证》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杭州市西湖区玉古路173号中田大厦11楼H室，浙江求是招标代理有限公司（杨立凯）收，电话：0571-87670301，寄出后将（快递单号、项目名称、公司名称、联系方式等相关信息）发至：zb02@qszb.net，以便查收）。</w:t>
            </w:r>
          </w:p>
          <w:p>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hint="eastAsia" w:ascii="宋体" w:hAnsi="宋体" w:eastAsia="宋体"/>
                <w:color w:val="auto"/>
                <w:szCs w:val="21"/>
                <w:highlight w:val="none"/>
                <w:lang w:eastAsia="zh-CN"/>
              </w:rPr>
            </w:pPr>
            <w:r>
              <w:rPr>
                <w:rFonts w:hint="eastAsia" w:hAnsi="宋体" w:eastAsia="宋体" w:cs="宋体"/>
                <w:color w:val="auto"/>
                <w:sz w:val="21"/>
                <w:szCs w:val="21"/>
                <w:highlight w:val="none"/>
              </w:rPr>
              <w:t>▲</w:t>
            </w:r>
            <w:r>
              <w:rPr>
                <w:rFonts w:hint="eastAsia" w:ascii="宋体" w:hAnsi="宋体" w:eastAsia="宋体"/>
                <w:color w:val="auto"/>
                <w:szCs w:val="21"/>
                <w:highlight w:val="none"/>
              </w:rPr>
              <w:t>2.以投标折扣报价▲投标人报折扣，折扣不得超过103%，（即投标折扣高于103%的折扣无效，如投标折扣为104%的投标折扣无效，投标折扣为102%的折扣率有效）</w:t>
            </w:r>
            <w:r>
              <w:rPr>
                <w:rFonts w:hint="eastAsia" w:ascii="宋体" w:hAnsi="宋体" w:eastAsia="宋体"/>
                <w:color w:val="auto"/>
                <w:szCs w:val="21"/>
                <w:highlight w:val="none"/>
                <w:lang w:eastAsia="zh-CN"/>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5"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5"/>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浙江外国语学院2023年外文期刊</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浙江外国语学院</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6"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6"/>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34"/>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125</w:t>
            </w:r>
          </w:p>
        </w:tc>
      </w:tr>
    </w:tbl>
    <w:p>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 xml:space="preserve"> 注：代理服务费不足3000元的按3000元计。</w:t>
      </w:r>
    </w:p>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.投标人授权代表必须为投标人本单位在职职工，并提供2021年7月（含）以后任意一月社保缴纳证明（授权代表为法定代表人可不提供）。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本项目（是）接受联合体响应。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7"/>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38" w:name="_Hlk92273111"/>
      <w:bookmarkStart w:id="39"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39"/>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40"/>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1" w:name="_Hlk96329183"/>
      <w:r>
        <w:rPr>
          <w:rFonts w:hint="eastAsia" w:ascii="宋体" w:hAnsi="宋体" w:eastAsia="宋体"/>
          <w:color w:val="auto"/>
          <w:spacing w:val="-6"/>
          <w:szCs w:val="21"/>
          <w:highlight w:val="none"/>
        </w:rPr>
        <w:t>加盖公章</w:t>
      </w:r>
      <w:bookmarkEnd w:id="41"/>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杭州市西湖区玉古路173号中田大厦11楼H室，浙江求是招标代理有限公司（杨立凯）收，电话：0571-87670301，寄出后将（快递单号、项目名称、公司名称、联系方式等相关信息）发至：zb02@qszb.net，以便查收）。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2"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2"/>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29"/>
          <w:rFonts w:hint="eastAsia" w:ascii="宋体" w:hAnsi="宋体" w:eastAsia="宋体"/>
          <w:b/>
          <w:bCs/>
          <w:color w:val="auto"/>
          <w:szCs w:val="21"/>
          <w:highlight w:val="none"/>
        </w:rPr>
        <w:t>https://edu.zcygov.cn/luban/e-biding</w:t>
      </w:r>
      <w:r>
        <w:rPr>
          <w:rStyle w:val="29"/>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2.以投标折扣报价；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3"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3"/>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4" w:name="_Hlk94018682"/>
      <w:r>
        <w:rPr>
          <w:rFonts w:hint="eastAsia" w:ascii="宋体" w:hAnsi="宋体" w:eastAsia="宋体" w:cs="宋体"/>
          <w:color w:val="auto"/>
          <w:szCs w:val="21"/>
          <w:highlight w:val="none"/>
        </w:rPr>
        <w:t>未响应招标文件“▲”标记条款要求的，投标无效。</w:t>
      </w:r>
    </w:p>
    <w:bookmarkEnd w:id="44"/>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要求，或</w:t>
      </w:r>
      <w:r>
        <w:rPr>
          <w:rFonts w:hint="eastAsia" w:ascii="宋体" w:hAnsi="宋体" w:eastAsia="宋体" w:cs="宋体"/>
          <w:color w:val="auto"/>
          <w:szCs w:val="21"/>
          <w:highlight w:val="none"/>
        </w:rPr>
        <w:t>负偏离达到规定数目的</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5"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5"/>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0"/>
        <w:snapToGrid w:val="0"/>
        <w:spacing w:before="0" w:line="288" w:lineRule="auto"/>
        <w:ind w:left="0" w:firstLine="424" w:firstLineChars="201"/>
        <w:rPr>
          <w:rFonts w:ascii="宋体" w:hAnsi="宋体"/>
          <w:color w:val="auto"/>
          <w:szCs w:val="21"/>
          <w:highlight w:val="none"/>
        </w:rPr>
      </w:pPr>
      <w:bookmarkStart w:id="46"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ascii="宋体" w:hAnsi="宋体" w:cs="Arial"/>
          <w:color w:val="auto"/>
          <w:kern w:val="0"/>
          <w:sz w:val="21"/>
          <w:szCs w:val="21"/>
          <w:highlight w:val="none"/>
        </w:rPr>
        <w:t>信用信息查询渠道及截止时间：采购机构将通过“信用中国”网站(www.creditchina.gov.cn)、中国政府采购网(www.ccgp.gov.cn)渠道查询投标人投标截止时间当天的信用记录。</w:t>
      </w:r>
    </w:p>
    <w:p>
      <w:pPr>
        <w:pStyle w:val="99"/>
        <w:adjustRightInd w:val="0"/>
        <w:snapToGrid w:val="0"/>
        <w:spacing w:before="0" w:line="288" w:lineRule="auto"/>
        <w:ind w:firstLine="422" w:firstLineChars="201"/>
        <w:rPr>
          <w:rFonts w:ascii="宋体" w:hAnsi="宋体" w:cs="Arial"/>
          <w:color w:val="auto"/>
          <w:kern w:val="0"/>
          <w:sz w:val="21"/>
          <w:szCs w:val="21"/>
          <w:highlight w:val="none"/>
        </w:rPr>
      </w:pPr>
      <w:r>
        <w:rPr>
          <w:rFonts w:ascii="宋体" w:hAnsi="宋体" w:cs="Arial"/>
          <w:color w:val="auto"/>
          <w:kern w:val="0"/>
          <w:sz w:val="21"/>
          <w:szCs w:val="21"/>
          <w:highlight w:val="none"/>
        </w:rPr>
        <w:t>信用信息查询记录和证据留存的具体方式：现场查询的投标人的信用记录、查询结果经确认后将与采购文件一起存档。</w:t>
      </w:r>
    </w:p>
    <w:p>
      <w:pPr>
        <w:pStyle w:val="99"/>
        <w:adjustRightInd w:val="0"/>
        <w:snapToGrid w:val="0"/>
        <w:spacing w:before="0" w:line="288" w:lineRule="auto"/>
        <w:ind w:firstLine="422" w:firstLineChars="201"/>
        <w:rPr>
          <w:rFonts w:ascii="宋体" w:hAnsi="宋体" w:cs="Arial"/>
          <w:color w:val="auto"/>
          <w:kern w:val="0"/>
          <w:sz w:val="21"/>
          <w:szCs w:val="21"/>
          <w:highlight w:val="none"/>
        </w:rPr>
      </w:pPr>
      <w:r>
        <w:rPr>
          <w:rFonts w:ascii="宋体" w:hAnsi="宋体" w:cs="Arial"/>
          <w:color w:val="auto"/>
          <w:kern w:val="0"/>
          <w:sz w:val="21"/>
          <w:szCs w:val="21"/>
          <w:highlight w:val="none"/>
        </w:rPr>
        <w:t>信用信息的使用规则：经查询列入失信被执行人名单、重大税收违法案件当事人名单、政府采购严重违法失信行为记录名单的投标人将被拒绝参与政府采购活动。</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6"/>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47"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7"/>
    <w:p>
      <w:pPr>
        <w:adjustRightInd w:val="0"/>
        <w:snapToGrid w:val="0"/>
        <w:spacing w:line="288" w:lineRule="auto"/>
        <w:ind w:firstLine="426" w:firstLineChars="202"/>
        <w:rPr>
          <w:rFonts w:ascii="宋体" w:hAnsi="宋体" w:eastAsia="宋体" w:cs="Arial"/>
          <w:b/>
          <w:color w:val="auto"/>
          <w:kern w:val="0"/>
          <w:szCs w:val="21"/>
          <w:highlight w:val="none"/>
        </w:rPr>
      </w:pPr>
      <w:bookmarkStart w:id="48"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49" w:name="_Hlk96329302"/>
      <w:r>
        <w:rPr>
          <w:rFonts w:hint="eastAsia" w:ascii="宋体" w:hAnsi="宋体" w:cs="仿宋"/>
          <w:color w:val="auto"/>
          <w:kern w:val="0"/>
          <w:sz w:val="21"/>
          <w:szCs w:val="21"/>
          <w:highlight w:val="none"/>
        </w:rPr>
        <w:t>加盖公章，或者由法定代表人或其授权的代表签名</w:t>
      </w:r>
      <w:bookmarkEnd w:id="49"/>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本项目评标办法是综合评分法，具体评标内容及评分标准等详见”第四章：评标方法及评标标准”。</w:t>
      </w:r>
    </w:p>
    <w:p>
      <w:pPr>
        <w:adjustRightInd w:val="0"/>
        <w:snapToGrid w:val="0"/>
        <w:spacing w:line="288" w:lineRule="auto"/>
        <w:ind w:firstLine="424" w:firstLineChars="202"/>
        <w:rPr>
          <w:rFonts w:ascii="宋体" w:hAnsi="宋体" w:eastAsia="宋体" w:cs="Times New Roman"/>
          <w:b/>
          <w:bCs/>
          <w:color w:val="auto"/>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r>
        <w:rPr>
          <w:rFonts w:hint="eastAsia" w:ascii="宋体" w:hAnsi="宋体" w:eastAsia="宋体" w:cs="Times New Roman"/>
          <w:bCs/>
          <w:color w:val="auto"/>
          <w:spacing w:val="-6"/>
          <w:szCs w:val="21"/>
          <w:highlight w:val="none"/>
        </w:rPr>
        <w:t>出现并列第一名时由采购人确认中标人或采购人授权评标委员会（按技术得分由高到低排序，技术得分相同的抽签）确认中标人。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48"/>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numPr>
          <w:ilvl w:val="0"/>
          <w:numId w:val="2"/>
        </w:num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评标内容及标准</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7229" w:type="dxa"/>
            <w:vAlign w:val="center"/>
          </w:tcPr>
          <w:p>
            <w:pPr>
              <w:tabs>
                <w:tab w:val="left" w:pos="1418"/>
              </w:tabs>
              <w:spacing w:line="288" w:lineRule="auto"/>
              <w:jc w:val="center"/>
              <w:rPr>
                <w:rFonts w:ascii="宋体" w:hAnsi="宋体" w:eastAsia="宋体" w:cs="Times New Roman"/>
                <w:b/>
                <w:color w:val="auto"/>
                <w:spacing w:val="-6"/>
                <w:kern w:val="0"/>
                <w:szCs w:val="21"/>
                <w:highlight w:val="none"/>
              </w:rPr>
            </w:pPr>
            <w:r>
              <w:rPr>
                <w:rFonts w:hint="eastAsia" w:ascii="宋体" w:hAnsi="宋体" w:eastAsia="宋体" w:cs="Times New Roman"/>
                <w:b/>
                <w:color w:val="auto"/>
                <w:spacing w:val="-6"/>
                <w:kern w:val="0"/>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640" w:type="dxa"/>
            <w:gridSpan w:val="3"/>
            <w:vAlign w:val="center"/>
          </w:tcPr>
          <w:p>
            <w:pPr>
              <w:tabs>
                <w:tab w:val="left" w:pos="1418"/>
              </w:tabs>
              <w:spacing w:line="288" w:lineRule="auto"/>
              <w:rPr>
                <w:rFonts w:ascii="宋体" w:hAnsi="宋体" w:eastAsia="宋体" w:cs="Times New Roman"/>
                <w:color w:val="auto"/>
                <w:spacing w:val="-6"/>
                <w:kern w:val="0"/>
                <w:szCs w:val="21"/>
                <w:highlight w:val="none"/>
              </w:rPr>
            </w:pPr>
            <w:r>
              <w:rPr>
                <w:rFonts w:hint="eastAsia" w:ascii="宋体" w:hAnsi="宋体" w:eastAsia="宋体" w:cs="Times New Roman"/>
                <w:b/>
                <w:bCs/>
                <w:color w:val="auto"/>
                <w:spacing w:val="-6"/>
                <w:szCs w:val="21"/>
                <w:highlight w:val="none"/>
              </w:rPr>
              <w:t>价格分（3</w:t>
            </w:r>
            <w:r>
              <w:rPr>
                <w:rFonts w:hint="eastAsia" w:ascii="宋体" w:hAnsi="宋体" w:eastAsia="宋体" w:cs="Times New Roman"/>
                <w:b/>
                <w:bCs/>
                <w:color w:val="auto"/>
                <w:spacing w:val="-6"/>
                <w:szCs w:val="21"/>
                <w:highlight w:val="none"/>
                <w:lang w:val="en-US" w:eastAsia="zh-CN"/>
              </w:rPr>
              <w:t>5</w:t>
            </w:r>
            <w:r>
              <w:rPr>
                <w:rFonts w:hint="eastAsia" w:ascii="宋体" w:hAnsi="宋体" w:eastAsia="宋体" w:cs="Times New Roman"/>
                <w:b/>
                <w:bCs/>
                <w:color w:val="auto"/>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pacing w:val="-6"/>
                <w:szCs w:val="21"/>
                <w:highlight w:val="none"/>
              </w:rPr>
            </w:pPr>
            <w:r>
              <w:rPr>
                <w:rFonts w:hint="eastAsia" w:ascii="宋体" w:hAnsi="宋体" w:eastAsia="宋体" w:cs="宋体"/>
                <w:b/>
                <w:bCs/>
                <w:color w:val="auto"/>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pacing w:val="-6"/>
                <w:szCs w:val="21"/>
                <w:highlight w:val="none"/>
                <w:lang w:eastAsia="zh-CN"/>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价格分采用低价优先法计算，即满足招标文件要求且投标价格最低的投标报价（即最低折扣，指优惠最大的）为评标基准价，其他投标人的价格分按照下列公式计算：</w:t>
            </w:r>
          </w:p>
          <w:p>
            <w:pPr>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价格分=（评标基准价/投标报价）×3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640" w:type="dxa"/>
            <w:gridSpan w:val="3"/>
            <w:vAlign w:val="center"/>
          </w:tcPr>
          <w:p>
            <w:pPr>
              <w:tabs>
                <w:tab w:val="left" w:pos="1418"/>
              </w:tabs>
              <w:spacing w:line="288" w:lineRule="auto"/>
              <w:rPr>
                <w:rFonts w:ascii="宋体" w:hAnsi="宋体" w:eastAsia="宋体" w:cs="Times New Roman"/>
                <w:b/>
                <w:color w:val="auto"/>
                <w:spacing w:val="-6"/>
                <w:kern w:val="0"/>
                <w:szCs w:val="21"/>
                <w:highlight w:val="none"/>
              </w:rPr>
            </w:pPr>
            <w:r>
              <w:rPr>
                <w:rFonts w:hint="eastAsia" w:ascii="宋体" w:hAnsi="宋体" w:eastAsia="宋体" w:cs="Times New Roman"/>
                <w:b/>
                <w:color w:val="auto"/>
                <w:spacing w:val="-6"/>
                <w:kern w:val="0"/>
                <w:szCs w:val="21"/>
                <w:highlight w:val="none"/>
              </w:rPr>
              <w:t>商务分（</w:t>
            </w:r>
            <w:r>
              <w:rPr>
                <w:rFonts w:hint="eastAsia" w:ascii="宋体" w:hAnsi="宋体" w:eastAsia="宋体" w:cs="Times New Roman"/>
                <w:b/>
                <w:color w:val="auto"/>
                <w:spacing w:val="-6"/>
                <w:kern w:val="0"/>
                <w:szCs w:val="21"/>
                <w:highlight w:val="none"/>
                <w:lang w:val="en-US" w:eastAsia="zh-CN"/>
              </w:rPr>
              <w:t>3</w:t>
            </w:r>
            <w:r>
              <w:rPr>
                <w:rFonts w:hint="eastAsia" w:ascii="宋体" w:hAnsi="宋体" w:eastAsia="宋体" w:cs="Times New Roman"/>
                <w:b/>
                <w:color w:val="auto"/>
                <w:spacing w:val="-6"/>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业绩</w:t>
            </w:r>
          </w:p>
        </w:tc>
        <w:tc>
          <w:tcPr>
            <w:tcW w:w="709" w:type="dxa"/>
            <w:vAlign w:val="center"/>
          </w:tcPr>
          <w:p>
            <w:pPr>
              <w:spacing w:line="288" w:lineRule="auto"/>
              <w:jc w:val="center"/>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val="en-US" w:eastAsia="zh-CN"/>
              </w:rPr>
              <w:t>3</w:t>
            </w:r>
          </w:p>
        </w:tc>
        <w:tc>
          <w:tcPr>
            <w:tcW w:w="7229" w:type="dxa"/>
            <w:vAlign w:val="center"/>
          </w:tcPr>
          <w:p>
            <w:pPr>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供应商自2018年1月1日以来（以合同签订时间为准）同类合同业绩（以提供的合同复印件为准）：每提供1份合同业绩得1分，最高得</w:t>
            </w:r>
            <w:r>
              <w:rPr>
                <w:rFonts w:hint="eastAsia" w:ascii="宋体" w:hAnsi="宋体" w:eastAsia="宋体" w:cs="宋体"/>
                <w:color w:val="auto"/>
                <w:spacing w:val="-6"/>
                <w:szCs w:val="21"/>
                <w:highlight w:val="none"/>
                <w:lang w:val="en-US" w:eastAsia="zh-CN"/>
              </w:rPr>
              <w:t>3</w:t>
            </w:r>
            <w:r>
              <w:rPr>
                <w:rFonts w:hint="eastAsia" w:ascii="宋体" w:hAnsi="宋体" w:eastAsia="宋体" w:cs="宋体"/>
                <w:color w:val="auto"/>
                <w:spacing w:val="-6"/>
                <w:szCs w:val="21"/>
                <w:highlight w:val="none"/>
              </w:rPr>
              <w:t>分</w:t>
            </w:r>
            <w:r>
              <w:rPr>
                <w:rFonts w:hint="eastAsia" w:ascii="宋体" w:hAnsi="宋体" w:eastAsia="宋体" w:cs="宋体"/>
                <w:color w:val="auto"/>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640" w:type="dxa"/>
            <w:gridSpan w:val="3"/>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b/>
                <w:color w:val="auto"/>
                <w:spacing w:val="-6"/>
                <w:szCs w:val="21"/>
                <w:highlight w:val="none"/>
              </w:rPr>
              <w:t>技术分（6</w:t>
            </w:r>
            <w:r>
              <w:rPr>
                <w:rFonts w:hint="eastAsia" w:ascii="宋体" w:hAnsi="宋体" w:eastAsia="宋体" w:cs="Times New Roman"/>
                <w:b/>
                <w:color w:val="auto"/>
                <w:spacing w:val="-6"/>
                <w:szCs w:val="21"/>
                <w:highlight w:val="none"/>
                <w:lang w:val="en-US" w:eastAsia="zh-CN"/>
              </w:rPr>
              <w:t>2</w:t>
            </w:r>
            <w:r>
              <w:rPr>
                <w:rFonts w:hint="eastAsia" w:ascii="宋体" w:hAnsi="宋体" w:eastAsia="宋体" w:cs="Times New Roman"/>
                <w:b/>
                <w:color w:val="auto"/>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702" w:type="dxa"/>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技术</w:t>
            </w:r>
            <w:r>
              <w:rPr>
                <w:rFonts w:ascii="宋体" w:hAnsi="宋体" w:eastAsia="宋体" w:cs="Times New Roman"/>
                <w:color w:val="auto"/>
                <w:spacing w:val="-6"/>
                <w:szCs w:val="21"/>
                <w:highlight w:val="none"/>
              </w:rPr>
              <w:t>响应程度</w:t>
            </w:r>
          </w:p>
        </w:tc>
        <w:tc>
          <w:tcPr>
            <w:tcW w:w="709" w:type="dxa"/>
            <w:vAlign w:val="center"/>
          </w:tcPr>
          <w:p>
            <w:pPr>
              <w:spacing w:line="288" w:lineRule="auto"/>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9</w:t>
            </w:r>
          </w:p>
        </w:tc>
        <w:tc>
          <w:tcPr>
            <w:tcW w:w="7229" w:type="dxa"/>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不符合（负偏离）技术要求中标注“▲”条款（不可偏离）的投标无效；</w:t>
            </w:r>
          </w:p>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满足招标文件明确的全部技术条款要求的该项得满分；</w:t>
            </w:r>
          </w:p>
          <w:p>
            <w:pPr>
              <w:spacing w:line="288" w:lineRule="auto"/>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技术条款低于技术要求（负偏离）的每项扣3分；</w:t>
            </w:r>
          </w:p>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负偏离</w:t>
            </w: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702" w:type="dxa"/>
            <w:vMerge w:val="restart"/>
            <w:vAlign w:val="center"/>
          </w:tcPr>
          <w:p>
            <w:pPr>
              <w:spacing w:line="288" w:lineRule="auto"/>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服务方案</w:t>
            </w:r>
          </w:p>
        </w:tc>
        <w:tc>
          <w:tcPr>
            <w:tcW w:w="709" w:type="dxa"/>
            <w:vAlign w:val="center"/>
          </w:tcPr>
          <w:p>
            <w:pPr>
              <w:spacing w:line="288" w:lineRule="auto"/>
              <w:jc w:val="center"/>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w:t>
            </w:r>
          </w:p>
        </w:tc>
        <w:tc>
          <w:tcPr>
            <w:tcW w:w="7229" w:type="dxa"/>
            <w:vAlign w:val="center"/>
          </w:tcPr>
          <w:p>
            <w:pPr>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供应商承诺的月平均订到率和到刊完整率情况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Merge w:val="continue"/>
            <w:vAlign w:val="center"/>
          </w:tcPr>
          <w:p>
            <w:pPr>
              <w:spacing w:line="288" w:lineRule="auto"/>
              <w:jc w:val="center"/>
              <w:rPr>
                <w:rFonts w:hint="eastAsia" w:ascii="宋体" w:hAnsi="宋体" w:eastAsia="宋体" w:cs="Times New Roman"/>
                <w:color w:val="auto"/>
                <w:spacing w:val="-6"/>
                <w:szCs w:val="21"/>
                <w:highlight w:val="none"/>
              </w:rPr>
            </w:pPr>
          </w:p>
        </w:tc>
        <w:tc>
          <w:tcPr>
            <w:tcW w:w="709" w:type="dxa"/>
            <w:vAlign w:val="center"/>
          </w:tcPr>
          <w:p>
            <w:pPr>
              <w:spacing w:line="288" w:lineRule="auto"/>
              <w:jc w:val="center"/>
              <w:rPr>
                <w:rFonts w:hint="eastAsia" w:ascii="宋体" w:hAnsi="宋体" w:eastAsia="宋体" w:cs="Times New Roman"/>
                <w:color w:val="auto"/>
                <w:spacing w:val="-6"/>
                <w:szCs w:val="24"/>
                <w:highlight w:val="none"/>
                <w:lang w:eastAsia="zh-CN"/>
              </w:rPr>
            </w:pPr>
            <w:r>
              <w:rPr>
                <w:rFonts w:hint="eastAsia" w:ascii="宋体" w:hAnsi="宋体" w:eastAsia="宋体" w:cs="Times New Roman"/>
                <w:color w:val="auto"/>
                <w:spacing w:val="-6"/>
                <w:szCs w:val="24"/>
                <w:highlight w:val="none"/>
                <w:lang w:val="en-US" w:eastAsia="zh-CN"/>
              </w:rPr>
              <w:t>5</w:t>
            </w:r>
          </w:p>
        </w:tc>
        <w:tc>
          <w:tcPr>
            <w:tcW w:w="7229" w:type="dxa"/>
            <w:vAlign w:val="center"/>
          </w:tcPr>
          <w:p>
            <w:pPr>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根据集订分送原则，及时、定期向图书馆送货到指定人签收，同时提供发货清单；送至图书馆的时间和发刊率根据图书馆要求确定。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2" w:type="dxa"/>
            <w:vMerge w:val="continue"/>
            <w:vAlign w:val="center"/>
          </w:tcPr>
          <w:p>
            <w:pPr>
              <w:spacing w:line="288" w:lineRule="auto"/>
              <w:jc w:val="center"/>
              <w:rPr>
                <w:rFonts w:ascii="Times New Roman" w:hAnsi="Times New Roman" w:eastAsia="宋体" w:cs="Times New Roman"/>
                <w:color w:val="auto"/>
                <w:szCs w:val="21"/>
                <w:highlight w:val="none"/>
              </w:rPr>
            </w:pPr>
          </w:p>
        </w:tc>
        <w:tc>
          <w:tcPr>
            <w:tcW w:w="709" w:type="dxa"/>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4"/>
                <w:highlight w:val="none"/>
              </w:rPr>
              <w:t>5</w:t>
            </w:r>
          </w:p>
        </w:tc>
        <w:tc>
          <w:tcPr>
            <w:tcW w:w="7229" w:type="dxa"/>
            <w:vAlign w:val="center"/>
          </w:tcPr>
          <w:p>
            <w:pPr>
              <w:spacing w:line="288" w:lineRule="auto"/>
              <w:rPr>
                <w:rFonts w:ascii="宋体" w:hAnsi="宋体" w:eastAsia="宋体" w:cs="宋体"/>
                <w:color w:val="auto"/>
                <w:szCs w:val="21"/>
                <w:highlight w:val="none"/>
              </w:rPr>
            </w:pPr>
            <w:r>
              <w:rPr>
                <w:rFonts w:hint="eastAsia" w:ascii="宋体" w:hAnsi="宋体" w:eastAsia="宋体" w:cs="宋体"/>
                <w:color w:val="auto"/>
                <w:spacing w:val="-6"/>
                <w:szCs w:val="21"/>
                <w:highlight w:val="none"/>
              </w:rPr>
              <w:t>通知服务：订购期刊如发生出版频率变化、更名或停刊时，投标人能否以清单、邮件、电话等形式通知采购人，并退还相应缺到刊物款项。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702" w:type="dxa"/>
            <w:vMerge w:val="continue"/>
            <w:vAlign w:val="center"/>
          </w:tcPr>
          <w:p>
            <w:pPr>
              <w:spacing w:line="288" w:lineRule="auto"/>
              <w:jc w:val="center"/>
              <w:rPr>
                <w:rFonts w:ascii="Times New Roman" w:hAnsi="Times New Roman" w:eastAsia="宋体" w:cs="Times New Roman"/>
                <w:color w:val="auto"/>
                <w:szCs w:val="21"/>
                <w:highlight w:val="none"/>
              </w:rPr>
            </w:pPr>
          </w:p>
        </w:tc>
        <w:tc>
          <w:tcPr>
            <w:tcW w:w="709" w:type="dxa"/>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4"/>
                <w:highlight w:val="none"/>
              </w:rPr>
              <w:t>5</w:t>
            </w:r>
          </w:p>
        </w:tc>
        <w:tc>
          <w:tcPr>
            <w:tcW w:w="7229" w:type="dxa"/>
            <w:vAlign w:val="center"/>
          </w:tcPr>
          <w:p>
            <w:pPr>
              <w:spacing w:line="288" w:lineRule="auto"/>
              <w:rPr>
                <w:rFonts w:ascii="宋体" w:hAnsi="宋体" w:eastAsia="宋体" w:cs="宋体"/>
                <w:color w:val="auto"/>
                <w:szCs w:val="21"/>
                <w:highlight w:val="none"/>
              </w:rPr>
            </w:pPr>
            <w:r>
              <w:rPr>
                <w:rFonts w:hint="eastAsia" w:ascii="宋体" w:hAnsi="宋体" w:eastAsia="宋体" w:cs="宋体"/>
                <w:color w:val="auto"/>
                <w:spacing w:val="-6"/>
                <w:szCs w:val="21"/>
                <w:highlight w:val="none"/>
              </w:rPr>
              <w:t>补缺服务：可以随时提供到货统计信息服务，对于未能补缺的期刊能否提供复制服务，并退还相应缺到刊物款项。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702" w:type="dxa"/>
            <w:vMerge w:val="continue"/>
            <w:vAlign w:val="center"/>
          </w:tcPr>
          <w:p>
            <w:pPr>
              <w:spacing w:line="288" w:lineRule="auto"/>
              <w:jc w:val="center"/>
              <w:rPr>
                <w:rFonts w:ascii="宋体" w:hAnsi="宋体" w:eastAsia="宋体" w:cs="Times New Roman"/>
                <w:color w:val="auto"/>
                <w:szCs w:val="21"/>
                <w:highlight w:val="none"/>
              </w:rPr>
            </w:pPr>
          </w:p>
        </w:tc>
        <w:tc>
          <w:tcPr>
            <w:tcW w:w="709" w:type="dxa"/>
            <w:vAlign w:val="center"/>
          </w:tcPr>
          <w:p>
            <w:pPr>
              <w:spacing w:line="288" w:lineRule="auto"/>
              <w:jc w:val="center"/>
              <w:rPr>
                <w:rFonts w:ascii="宋体" w:hAnsi="宋体" w:eastAsia="宋体" w:cs="Times New Roman"/>
                <w:color w:val="auto"/>
                <w:spacing w:val="-6"/>
                <w:szCs w:val="24"/>
                <w:highlight w:val="none"/>
              </w:rPr>
            </w:pPr>
            <w:r>
              <w:rPr>
                <w:rFonts w:hint="eastAsia" w:ascii="宋体" w:hAnsi="宋体" w:eastAsia="宋体" w:cs="Times New Roman"/>
                <w:color w:val="auto"/>
                <w:spacing w:val="-6"/>
                <w:szCs w:val="24"/>
                <w:highlight w:val="none"/>
              </w:rPr>
              <w:t>5</w:t>
            </w:r>
          </w:p>
        </w:tc>
        <w:tc>
          <w:tcPr>
            <w:tcW w:w="7229" w:type="dxa"/>
            <w:vAlign w:val="center"/>
          </w:tcPr>
          <w:p>
            <w:pPr>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拟投入人员服务态度及专业技术能力水平情况，投标文件中需提供学历和职称证书等资料，以及社会保险参保证明。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702" w:type="dxa"/>
            <w:vMerge w:val="continue"/>
            <w:vAlign w:val="center"/>
          </w:tcPr>
          <w:p>
            <w:pPr>
              <w:spacing w:line="288" w:lineRule="auto"/>
              <w:jc w:val="center"/>
              <w:rPr>
                <w:rFonts w:ascii="宋体" w:hAnsi="宋体" w:eastAsia="宋体" w:cs="Times New Roman"/>
                <w:color w:val="auto"/>
                <w:szCs w:val="21"/>
                <w:highlight w:val="none"/>
              </w:rPr>
            </w:pPr>
          </w:p>
        </w:tc>
        <w:tc>
          <w:tcPr>
            <w:tcW w:w="709" w:type="dxa"/>
            <w:vAlign w:val="center"/>
          </w:tcPr>
          <w:p>
            <w:pPr>
              <w:spacing w:line="288" w:lineRule="auto"/>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5</w:t>
            </w:r>
          </w:p>
        </w:tc>
        <w:tc>
          <w:tcPr>
            <w:tcW w:w="7229" w:type="dxa"/>
            <w:vAlign w:val="top"/>
          </w:tcPr>
          <w:p>
            <w:pPr>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供应商是否能够提供其征订目录以外普通高校图书馆急需的少数期刊，以及能否提供一站式服务，根据供应商的针对性服务方案。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702" w:type="dxa"/>
            <w:vMerge w:val="continue"/>
            <w:vAlign w:val="center"/>
          </w:tcPr>
          <w:p>
            <w:pPr>
              <w:spacing w:line="288" w:lineRule="auto"/>
              <w:jc w:val="center"/>
              <w:rPr>
                <w:rFonts w:ascii="宋体" w:hAnsi="宋体" w:eastAsia="宋体" w:cs="Times New Roman"/>
                <w:color w:val="auto"/>
                <w:szCs w:val="21"/>
                <w:highlight w:val="none"/>
              </w:rPr>
            </w:pPr>
          </w:p>
        </w:tc>
        <w:tc>
          <w:tcPr>
            <w:tcW w:w="709" w:type="dxa"/>
            <w:vAlign w:val="center"/>
          </w:tcPr>
          <w:p>
            <w:pPr>
              <w:spacing w:line="288" w:lineRule="auto"/>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5</w:t>
            </w:r>
          </w:p>
        </w:tc>
        <w:tc>
          <w:tcPr>
            <w:tcW w:w="7229" w:type="dxa"/>
            <w:vAlign w:val="top"/>
          </w:tcPr>
          <w:p>
            <w:pPr>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供应商是否能够提供常年征订、退订服务，是否能够提供期刊编目标准MARC数据，根据供应商的针对性服务方案。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702" w:type="dxa"/>
            <w:vMerge w:val="continue"/>
            <w:vAlign w:val="center"/>
          </w:tcPr>
          <w:p>
            <w:pPr>
              <w:spacing w:line="288" w:lineRule="auto"/>
              <w:jc w:val="center"/>
              <w:rPr>
                <w:rFonts w:ascii="宋体" w:hAnsi="宋体" w:eastAsia="宋体" w:cs="Times New Roman"/>
                <w:color w:val="auto"/>
                <w:szCs w:val="21"/>
                <w:highlight w:val="none"/>
              </w:rPr>
            </w:pPr>
          </w:p>
        </w:tc>
        <w:tc>
          <w:tcPr>
            <w:tcW w:w="709" w:type="dxa"/>
            <w:vAlign w:val="center"/>
          </w:tcPr>
          <w:p>
            <w:pPr>
              <w:spacing w:line="288" w:lineRule="auto"/>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w:t>
            </w:r>
          </w:p>
        </w:tc>
        <w:tc>
          <w:tcPr>
            <w:tcW w:w="7229" w:type="dxa"/>
            <w:vAlign w:val="center"/>
          </w:tcPr>
          <w:p>
            <w:pPr>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投标人为采购人的馆藏建设提供的其它特色服务方案，是否具有实际意义可操作性情况。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702" w:type="dxa"/>
            <w:vMerge w:val="restart"/>
            <w:vAlign w:val="center"/>
          </w:tcPr>
          <w:p>
            <w:pPr>
              <w:spacing w:line="288" w:lineRule="auto"/>
              <w:jc w:val="center"/>
              <w:rPr>
                <w:rFonts w:ascii="宋体" w:hAnsi="宋体" w:eastAsia="宋体" w:cs="Times New Roman"/>
                <w:color w:val="auto"/>
                <w:szCs w:val="21"/>
                <w:highlight w:val="none"/>
              </w:rPr>
            </w:pPr>
            <w:r>
              <w:rPr>
                <w:rFonts w:hint="eastAsia" w:ascii="宋体" w:hAnsi="宋体" w:eastAsia="宋体" w:cs="Times New Roman"/>
                <w:color w:val="auto"/>
                <w:spacing w:val="-6"/>
                <w:szCs w:val="21"/>
                <w:highlight w:val="none"/>
              </w:rPr>
              <w:t>信息化服务</w:t>
            </w:r>
          </w:p>
        </w:tc>
        <w:tc>
          <w:tcPr>
            <w:tcW w:w="709" w:type="dxa"/>
            <w:vAlign w:val="center"/>
          </w:tcPr>
          <w:p>
            <w:pPr>
              <w:spacing w:line="288" w:lineRule="auto"/>
              <w:jc w:val="center"/>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4"/>
                <w:highlight w:val="none"/>
                <w:lang w:val="en-US" w:eastAsia="zh-CN"/>
              </w:rPr>
              <w:t>4</w:t>
            </w:r>
          </w:p>
        </w:tc>
        <w:tc>
          <w:tcPr>
            <w:tcW w:w="7229" w:type="dxa"/>
            <w:vAlign w:val="center"/>
          </w:tcPr>
          <w:p>
            <w:pPr>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电子商务网站建设情况，是否实用。（提供网址和主页截图等证明材料）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702" w:type="dxa"/>
            <w:vMerge w:val="continue"/>
            <w:vAlign w:val="center"/>
          </w:tcPr>
          <w:p>
            <w:pPr>
              <w:spacing w:line="288" w:lineRule="auto"/>
              <w:jc w:val="center"/>
              <w:rPr>
                <w:rFonts w:hint="eastAsia" w:ascii="宋体" w:hAnsi="宋体" w:eastAsia="宋体" w:cs="Times New Roman"/>
                <w:color w:val="auto"/>
                <w:spacing w:val="-6"/>
                <w:szCs w:val="21"/>
                <w:highlight w:val="none"/>
              </w:rPr>
            </w:pPr>
          </w:p>
        </w:tc>
        <w:tc>
          <w:tcPr>
            <w:tcW w:w="709" w:type="dxa"/>
            <w:vAlign w:val="center"/>
          </w:tcPr>
          <w:p>
            <w:pPr>
              <w:spacing w:line="288" w:lineRule="auto"/>
              <w:jc w:val="center"/>
              <w:rPr>
                <w:rFonts w:hint="eastAsia" w:ascii="宋体" w:hAnsi="宋体" w:eastAsia="宋体" w:cs="Times New Roman"/>
                <w:color w:val="auto"/>
                <w:spacing w:val="-6"/>
                <w:szCs w:val="24"/>
                <w:highlight w:val="none"/>
                <w:lang w:val="en-US" w:eastAsia="zh-CN"/>
              </w:rPr>
            </w:pPr>
            <w:r>
              <w:rPr>
                <w:rFonts w:hint="eastAsia" w:ascii="宋体" w:hAnsi="宋体" w:eastAsia="宋体" w:cs="Times New Roman"/>
                <w:color w:val="auto"/>
                <w:spacing w:val="-6"/>
                <w:szCs w:val="24"/>
                <w:highlight w:val="none"/>
                <w:lang w:val="en-US" w:eastAsia="zh-CN"/>
              </w:rPr>
              <w:t>4</w:t>
            </w:r>
          </w:p>
        </w:tc>
        <w:tc>
          <w:tcPr>
            <w:tcW w:w="7229" w:type="dxa"/>
            <w:vAlign w:val="center"/>
          </w:tcPr>
          <w:p>
            <w:pPr>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供应商信息化服务方案的实用性、便捷性及服务的多样性</w:t>
            </w:r>
            <w:r>
              <w:rPr>
                <w:rFonts w:hint="eastAsia" w:ascii="宋体" w:hAnsi="宋体" w:eastAsia="宋体" w:cs="Times New Roman"/>
                <w:color w:val="auto"/>
                <w:szCs w:val="21"/>
                <w:highlight w:val="none"/>
                <w:lang w:eastAsia="zh-CN"/>
              </w:rPr>
              <w:t>，</w:t>
            </w:r>
            <w:r>
              <w:rPr>
                <w:rFonts w:hint="eastAsia" w:ascii="宋体" w:hAnsi="宋体" w:eastAsia="宋体" w:cs="宋体"/>
                <w:color w:val="auto"/>
                <w:spacing w:val="-6"/>
                <w:szCs w:val="21"/>
                <w:highlight w:val="none"/>
              </w:rPr>
              <w:t>电子化订单管理，通过其网站或email提供征订期刊目录，内容应包括刊名、邮发代号（中刊）、出版频率、年价、分类号、内容简介等，有变动更名的情况，征订目录上能够标明新刊内容是否延续原刊等信息。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供货能力</w:t>
            </w:r>
          </w:p>
        </w:tc>
        <w:tc>
          <w:tcPr>
            <w:tcW w:w="709" w:type="dxa"/>
            <w:vAlign w:val="center"/>
          </w:tcPr>
          <w:p>
            <w:pPr>
              <w:spacing w:line="288" w:lineRule="auto"/>
              <w:jc w:val="center"/>
              <w:rPr>
                <w:rFonts w:ascii="宋体" w:hAnsi="宋体" w:eastAsia="宋体" w:cs="Times New Roman"/>
                <w:color w:val="auto"/>
                <w:spacing w:val="-6"/>
                <w:szCs w:val="24"/>
                <w:highlight w:val="none"/>
              </w:rPr>
            </w:pPr>
            <w:r>
              <w:rPr>
                <w:rFonts w:hint="eastAsia" w:ascii="宋体" w:hAnsi="宋体" w:eastAsia="宋体" w:cs="Times New Roman"/>
                <w:color w:val="auto"/>
                <w:spacing w:val="-6"/>
                <w:szCs w:val="24"/>
                <w:highlight w:val="none"/>
              </w:rPr>
              <w:t>5</w:t>
            </w:r>
          </w:p>
        </w:tc>
        <w:tc>
          <w:tcPr>
            <w:tcW w:w="7229" w:type="dxa"/>
            <w:vAlign w:val="center"/>
          </w:tcPr>
          <w:p>
            <w:pPr>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投标人的进书渠道情况等，以保障有充足数量供书（需提供如供货合同或协议、清单等相关证明材料）</w:t>
            </w:r>
          </w:p>
        </w:tc>
      </w:tr>
    </w:tbl>
    <w:p>
      <w:pPr>
        <w:adjustRightInd w:val="0"/>
        <w:snapToGrid w:val="0"/>
        <w:spacing w:line="288" w:lineRule="auto"/>
        <w:jc w:val="left"/>
        <w:rPr>
          <w:rFonts w:hint="eastAsia" w:ascii="宋体" w:hAnsi="宋体" w:eastAsia="宋体" w:cs="Times New Roman"/>
          <w:b/>
          <w:color w:val="auto"/>
          <w:szCs w:val="21"/>
          <w:highlight w:val="none"/>
          <w:lang w:val="en-US" w:eastAsia="zh-CN"/>
        </w:rPr>
      </w:pPr>
    </w:p>
    <w:p>
      <w:pPr>
        <w:adjustRightInd w:val="0"/>
        <w:snapToGrid w:val="0"/>
        <w:spacing w:line="288" w:lineRule="auto"/>
        <w:jc w:val="left"/>
        <w:rPr>
          <w:rFonts w:hint="eastAsia" w:ascii="宋体" w:hAnsi="宋体" w:eastAsia="宋体" w:cs="Times New Roman"/>
          <w:b/>
          <w:color w:val="auto"/>
          <w:szCs w:val="21"/>
          <w:highlight w:val="none"/>
          <w:lang w:val="en-US" w:eastAsia="zh-CN"/>
        </w:rPr>
      </w:pPr>
    </w:p>
    <w:p>
      <w:pPr>
        <w:adjustRightInd w:val="0"/>
        <w:snapToGrid w:val="0"/>
        <w:spacing w:line="288" w:lineRule="auto"/>
        <w:jc w:val="left"/>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 xml:space="preserve"> </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根据《政府采购促进中小企业发展管理办法》（财库〔2020〕46号）的规定，对符合规定的小微企业报价给予</w:t>
      </w:r>
      <w:r>
        <w:rPr>
          <w:rFonts w:ascii="宋体" w:hAnsi="宋体" w:eastAsia="宋体" w:cs="Times New Roman"/>
          <w:b/>
          <w:color w:val="auto"/>
          <w:szCs w:val="21"/>
          <w:highlight w:val="none"/>
        </w:rPr>
        <w:t>10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ascii="宋体" w:hAnsi="宋体" w:eastAsia="宋体" w:cs="Times New Roman"/>
          <w:color w:val="auto"/>
          <w:spacing w:val="-6"/>
          <w:szCs w:val="21"/>
          <w:highlight w:val="none"/>
          <w:u w:val="single"/>
        </w:rPr>
        <w:t>3</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0" w:name="_Hlk81817373"/>
      <w:bookmarkStart w:id="51"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0"/>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1"/>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Cs w:val="21"/>
          <w:highlight w:val="none"/>
        </w:rPr>
      </w:pPr>
      <w:r>
        <w:rPr>
          <w:rFonts w:hint="eastAsia" w:ascii="宋体" w:hAnsi="宋体" w:eastAsia="宋体" w:cs="宋体"/>
          <w:b/>
          <w:color w:val="auto"/>
          <w:sz w:val="32"/>
          <w:szCs w:val="32"/>
          <w:highlight w:val="none"/>
        </w:rPr>
        <w:t>第五章  拟签订的合同文本</w:t>
      </w:r>
      <w:r>
        <w:rPr>
          <w:rFonts w:hint="eastAsia" w:ascii="宋体" w:hAnsi="宋体" w:eastAsia="宋体" w:cs="Times New Roman"/>
          <w:b/>
          <w:color w:val="auto"/>
          <w:spacing w:val="-6"/>
          <w:szCs w:val="21"/>
          <w:highlight w:val="none"/>
        </w:rPr>
        <w:t xml:space="preserve"> </w:t>
      </w:r>
    </w:p>
    <w:p>
      <w:pPr>
        <w:adjustRightInd w:val="0"/>
        <w:snapToGrid w:val="0"/>
        <w:spacing w:line="288" w:lineRule="auto"/>
        <w:ind w:firstLine="398" w:firstLineChars="200"/>
        <w:jc w:val="center"/>
        <w:outlineLvl w:val="1"/>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浙江外国语学院采购合同（国产设备）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甲方（需方）：浙江外国语学院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ind w:firstLine="396" w:firstLineChars="200"/>
        <w:rPr>
          <w:rFonts w:hint="eastAsia" w:ascii="宋体" w:hAnsi="宋体" w:eastAsia="宋体" w:cs="宋体"/>
          <w:color w:val="auto"/>
          <w:spacing w:val="-6"/>
          <w:szCs w:val="21"/>
          <w:highlight w:val="none"/>
        </w:rPr>
      </w:pPr>
    </w:p>
    <w:p>
      <w:pPr>
        <w:adjustRightInd w:val="0"/>
        <w:snapToGrid w:val="0"/>
        <w:spacing w:line="288" w:lineRule="auto"/>
        <w:ind w:firstLine="396" w:firstLineChars="200"/>
        <w:rPr>
          <w:rFonts w:hint="eastAsia" w:ascii="宋体" w:hAnsi="宋体" w:eastAsia="宋体" w:cs="宋体"/>
          <w:color w:val="auto"/>
          <w:spacing w:val="-6"/>
          <w:szCs w:val="21"/>
          <w:highlight w:val="none"/>
        </w:rPr>
      </w:pPr>
    </w:p>
    <w:p>
      <w:pPr>
        <w:adjustRightInd w:val="0"/>
        <w:snapToGrid w:val="0"/>
        <w:spacing w:line="288" w:lineRule="auto"/>
        <w:ind w:firstLine="396" w:firstLineChars="200"/>
        <w:rPr>
          <w:rFonts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浙江外国语学院</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公开招标</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    ）</w:t>
      </w:r>
      <w:r>
        <w:rPr>
          <w:rFonts w:hint="eastAsia" w:ascii="宋体" w:hAnsi="宋体" w:eastAsia="宋体" w:cs="宋体"/>
          <w:color w:val="auto"/>
          <w:spacing w:val="-6"/>
          <w:szCs w:val="21"/>
          <w:highlight w:val="none"/>
        </w:rPr>
        <w:t>的中标人。根据《中华人民共和国民法典》规定，签署本合同。</w:t>
      </w:r>
    </w:p>
    <w:p>
      <w:pPr>
        <w:tabs>
          <w:tab w:val="left" w:pos="4935"/>
        </w:tabs>
        <w:autoSpaceDE w:val="0"/>
        <w:autoSpaceDN w:val="0"/>
        <w:adjustRightIn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第一条：采购内容及合同价格</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1.甲方根据政府采购相关规定与乙方按以下贸易条件进行结算：</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乙方按甲方要求供应202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w:t>
      </w:r>
      <w:r>
        <w:rPr>
          <w:rFonts w:hint="eastAsia" w:ascii="宋体" w:hAnsi="宋体" w:eastAsia="宋体" w:cs="宋体"/>
          <w:color w:val="auto"/>
          <w:szCs w:val="21"/>
          <w:highlight w:val="none"/>
          <w:lang w:eastAsia="zh-CN"/>
        </w:rPr>
        <w:t>外文期刊</w:t>
      </w:r>
      <w:r>
        <w:rPr>
          <w:rFonts w:hint="eastAsia" w:ascii="宋体" w:hAnsi="宋体" w:eastAsia="宋体" w:cs="宋体"/>
          <w:color w:val="auto"/>
          <w:szCs w:val="21"/>
          <w:highlight w:val="none"/>
        </w:rPr>
        <w:t>以期刊码洋的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折扣结算，在</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前付清所订202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w:t>
      </w:r>
      <w:r>
        <w:rPr>
          <w:rFonts w:hint="eastAsia" w:ascii="宋体" w:hAnsi="宋体" w:eastAsia="宋体" w:cs="宋体"/>
          <w:color w:val="auto"/>
          <w:szCs w:val="21"/>
          <w:highlight w:val="none"/>
          <w:lang w:eastAsia="zh-CN"/>
        </w:rPr>
        <w:t>外文期刊</w:t>
      </w:r>
      <w:r>
        <w:rPr>
          <w:rFonts w:hint="eastAsia" w:ascii="宋体" w:hAnsi="宋体" w:eastAsia="宋体" w:cs="宋体"/>
          <w:color w:val="auto"/>
          <w:szCs w:val="21"/>
          <w:highlight w:val="none"/>
        </w:rPr>
        <w:t>刊款人民币大写：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元）。</w:t>
      </w:r>
    </w:p>
    <w:p>
      <w:pPr>
        <w:tabs>
          <w:tab w:val="left" w:pos="4935"/>
        </w:tabs>
        <w:autoSpaceDE w:val="0"/>
        <w:autoSpaceDN w:val="0"/>
        <w:adjustRightInd w:val="0"/>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折扣=供货价格/出版社定价（码洋）</w:t>
      </w:r>
    </w:p>
    <w:p>
      <w:pPr>
        <w:tabs>
          <w:tab w:val="left" w:pos="4935"/>
        </w:tabs>
        <w:autoSpaceDE w:val="0"/>
        <w:autoSpaceDN w:val="0"/>
        <w:adjustRightInd w:val="0"/>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乙方根据本协议规定有责任向甲方支付违约金或其他赔偿时，甲方在书面通知乙方后，有权要求乙方另行支付。</w:t>
      </w:r>
    </w:p>
    <w:p>
      <w:pPr>
        <w:tabs>
          <w:tab w:val="left" w:pos="4935"/>
        </w:tabs>
        <w:autoSpaceDE w:val="0"/>
        <w:autoSpaceDN w:val="0"/>
        <w:adjustRightIn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第二条：质量保证</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1、乙方应按招标文件规定和甲方期刊订单要求，向甲方提供未经使用的全新正版的合格期刊。</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2、因期刊本身的质量发生问题，乙方应负责包退、包换或贬值处理：</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①更换：由乙方承担所发生的全部费用；</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②贬值处理：由甲、乙双方协议商定价格；</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③退货处理：乙方应退还甲方支付的货款，同时承担所退期刊的运输费用。</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3、如在使用过程中发生质量问题，乙方在接到甲方通告后应在    小时内到达甲方现场。</w:t>
      </w:r>
    </w:p>
    <w:p>
      <w:pPr>
        <w:tabs>
          <w:tab w:val="left" w:pos="4935"/>
        </w:tabs>
        <w:autoSpaceDE w:val="0"/>
        <w:autoSpaceDN w:val="0"/>
        <w:adjustRightInd w:val="0"/>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第三条：</w:t>
      </w:r>
      <w:r>
        <w:rPr>
          <w:rFonts w:hint="eastAsia" w:ascii="宋体" w:hAnsi="宋体" w:eastAsia="宋体" w:cs="宋体"/>
          <w:b/>
          <w:color w:val="auto"/>
          <w:szCs w:val="21"/>
          <w:highlight w:val="none"/>
          <w:lang w:val="zh-CN"/>
        </w:rPr>
        <w:t>服务</w:t>
      </w:r>
      <w:r>
        <w:rPr>
          <w:rFonts w:hint="eastAsia" w:ascii="宋体" w:hAnsi="宋体" w:eastAsia="宋体" w:cs="宋体"/>
          <w:b/>
          <w:color w:val="auto"/>
          <w:szCs w:val="21"/>
          <w:highlight w:val="none"/>
        </w:rPr>
        <w:t>期</w:t>
      </w:r>
    </w:p>
    <w:p>
      <w:pPr>
        <w:tabs>
          <w:tab w:val="left" w:pos="4935"/>
        </w:tabs>
        <w:autoSpaceDE w:val="0"/>
        <w:autoSpaceDN w:val="0"/>
        <w:adjustRightInd w:val="0"/>
        <w:spacing w:line="288" w:lineRule="auto"/>
        <w:ind w:firstLine="420" w:firstLineChars="200"/>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服务</w:t>
      </w:r>
      <w:r>
        <w:rPr>
          <w:rFonts w:hint="eastAsia" w:ascii="宋体" w:hAnsi="宋体" w:eastAsia="宋体" w:cs="宋体"/>
          <w:bCs/>
          <w:color w:val="auto"/>
          <w:szCs w:val="21"/>
          <w:highlight w:val="none"/>
          <w:lang w:val="zh-CN"/>
        </w:rPr>
        <w:t>时间：202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年1月1日至当年所订期刊全部到馆为止。</w:t>
      </w:r>
    </w:p>
    <w:p>
      <w:pPr>
        <w:tabs>
          <w:tab w:val="left" w:pos="4935"/>
        </w:tabs>
        <w:autoSpaceDE w:val="0"/>
        <w:autoSpaceDN w:val="0"/>
        <w:adjustRightIn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第</w:t>
      </w:r>
      <w:r>
        <w:rPr>
          <w:rFonts w:hint="eastAsia" w:ascii="宋体" w:hAnsi="宋体" w:eastAsia="宋体" w:cs="宋体"/>
          <w:b/>
          <w:color w:val="auto"/>
          <w:szCs w:val="21"/>
          <w:highlight w:val="none"/>
        </w:rPr>
        <w:t>四</w:t>
      </w:r>
      <w:r>
        <w:rPr>
          <w:rFonts w:hint="eastAsia" w:ascii="宋体" w:hAnsi="宋体" w:eastAsia="宋体" w:cs="宋体"/>
          <w:b/>
          <w:color w:val="auto"/>
          <w:szCs w:val="21"/>
          <w:highlight w:val="none"/>
          <w:lang w:val="zh-CN"/>
        </w:rPr>
        <w:t>条：交货时间及交货地点</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1.交货期：。</w:t>
      </w:r>
    </w:p>
    <w:p>
      <w:pPr>
        <w:tabs>
          <w:tab w:val="left" w:pos="1560"/>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2.交货地点：乙方将所有订购的期刊及报纸送至甲方指定地点。</w:t>
      </w:r>
    </w:p>
    <w:p>
      <w:pPr>
        <w:tabs>
          <w:tab w:val="left" w:pos="4935"/>
        </w:tabs>
        <w:autoSpaceDE w:val="0"/>
        <w:autoSpaceDN w:val="0"/>
        <w:adjustRightIn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第</w:t>
      </w:r>
      <w:r>
        <w:rPr>
          <w:rFonts w:hint="eastAsia" w:ascii="宋体" w:hAnsi="宋体" w:eastAsia="宋体" w:cs="宋体"/>
          <w:b/>
          <w:color w:val="auto"/>
          <w:szCs w:val="21"/>
          <w:highlight w:val="none"/>
        </w:rPr>
        <w:t>五</w:t>
      </w:r>
      <w:r>
        <w:rPr>
          <w:rFonts w:hint="eastAsia" w:ascii="宋体" w:hAnsi="宋体" w:eastAsia="宋体" w:cs="宋体"/>
          <w:b/>
          <w:color w:val="auto"/>
          <w:szCs w:val="21"/>
          <w:highlight w:val="none"/>
          <w:lang w:val="zh-CN"/>
        </w:rPr>
        <w:t>条：期刊验收</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2.甲方按照政府采购合同规定的技术、服务、安全标准组织对乙方履约情况进行验收，并出具验收报告。验收报告应当包括每一项技术、服务、安全标准的执行情况。</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3.甲方在期刊送达指定地点之日起在 7个工作日 内验收完毕（遇假期顺延）。非不可抗力因素而拒绝验收或无故刁难，超过规定期限的，视同已经验收，损失自负。</w:t>
      </w:r>
    </w:p>
    <w:p>
      <w:pPr>
        <w:tabs>
          <w:tab w:val="left" w:pos="1545"/>
        </w:tabs>
        <w:autoSpaceDE w:val="0"/>
        <w:autoSpaceDN w:val="0"/>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4.验收时乙方必须在现场，验收过程中产生的费用由甲方承担。</w:t>
      </w:r>
    </w:p>
    <w:p>
      <w:pPr>
        <w:tabs>
          <w:tab w:val="left" w:pos="4935"/>
        </w:tabs>
        <w:autoSpaceDE w:val="0"/>
        <w:autoSpaceDN w:val="0"/>
        <w:adjustRightIn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第</w:t>
      </w:r>
      <w:r>
        <w:rPr>
          <w:rFonts w:hint="eastAsia" w:ascii="宋体" w:hAnsi="宋体" w:eastAsia="宋体" w:cs="宋体"/>
          <w:b/>
          <w:color w:val="auto"/>
          <w:szCs w:val="21"/>
          <w:highlight w:val="none"/>
        </w:rPr>
        <w:t>六</w:t>
      </w:r>
      <w:r>
        <w:rPr>
          <w:rFonts w:hint="eastAsia" w:ascii="宋体" w:hAnsi="宋体" w:eastAsia="宋体" w:cs="宋体"/>
          <w:b/>
          <w:color w:val="auto"/>
          <w:szCs w:val="21"/>
          <w:highlight w:val="none"/>
          <w:lang w:val="zh-CN"/>
        </w:rPr>
        <w:t>条：期刊服务要求</w:t>
      </w:r>
    </w:p>
    <w:p>
      <w:pPr>
        <w:tabs>
          <w:tab w:val="left" w:pos="1545"/>
        </w:tabs>
        <w:autoSpaceDE w:val="0"/>
        <w:autoSpaceDN w:val="0"/>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电子化订单管理能力。可通过投标人网站或Email查询或下载外文原版期刊清单，内容应包括刊名、中图刊号、ISSN、出版社、报价、出版频率、备注等用户需求信息；投标人应有明确的Email联系方式，并能及时回复用户需求信息；需有详细电子结算单内容项：每一条目包含刊名、中图刊号、ISSN、出版社、频次、价格等信息。免费提供期刊编目标准MARC数据。</w:t>
      </w:r>
    </w:p>
    <w:p>
      <w:pPr>
        <w:tabs>
          <w:tab w:val="left" w:pos="1545"/>
        </w:tabs>
        <w:autoSpaceDE w:val="0"/>
        <w:autoSpaceDN w:val="0"/>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2、订到率。对于需方提交的外文原版期刊订单，投标人应保证外文原版期刊月平均不低于98%的订到率，同时要保证月平均不低于95％的期刊到刊完整率。</w:t>
      </w:r>
    </w:p>
    <w:p>
      <w:pPr>
        <w:tabs>
          <w:tab w:val="left" w:pos="1545"/>
        </w:tabs>
        <w:autoSpaceDE w:val="0"/>
        <w:autoSpaceDN w:val="0"/>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及时通知服务。需方所订期刊如出现停止出版、合并、拆分、载体变化、纸本期刊开通网刊的信息等情况，谈判响应方应及时通过Email及书面形式通知需方；当年一本未到的期刊应单独开列清单通知需方并注明未到原因。</w:t>
      </w:r>
    </w:p>
    <w:p>
      <w:pPr>
        <w:tabs>
          <w:tab w:val="left" w:pos="1545"/>
        </w:tabs>
        <w:autoSpaceDE w:val="0"/>
        <w:autoSpaceDN w:val="0"/>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4、及时配送服务。能及时、定期（至少1次/1周）送货至需方期刊部指定人员，同时提供发货清单。</w:t>
      </w:r>
    </w:p>
    <w:p>
      <w:pPr>
        <w:tabs>
          <w:tab w:val="left" w:pos="1545"/>
        </w:tabs>
        <w:autoSpaceDE w:val="0"/>
        <w:autoSpaceDN w:val="0"/>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补缺服务。按照需方要求可以随时提供到货统计信息的服务；对需方的催缺要求能及时处理，对于未能补缺的期刊应提供复制服务，并退还相应款项差额；如到馆期刊有严重破损、污染情况，能提供换刊服务。</w:t>
      </w:r>
    </w:p>
    <w:p>
      <w:pPr>
        <w:tabs>
          <w:tab w:val="left" w:pos="1545"/>
        </w:tabs>
        <w:autoSpaceDE w:val="0"/>
        <w:autoSpaceDN w:val="0"/>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6、系统自查功能：代理商提供每季度一次自查配送期刊的缺到信息，并主动提供给图书馆缺刊信息。</w:t>
      </w:r>
    </w:p>
    <w:p>
      <w:pPr>
        <w:spacing w:line="288" w:lineRule="auto"/>
        <w:ind w:firstLine="406" w:firstLineChars="200"/>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第七条：期刊包装及清单要求</w:t>
      </w:r>
    </w:p>
    <w:p>
      <w:pPr>
        <w:spacing w:line="288" w:lineRule="auto"/>
        <w:ind w:firstLine="404" w:firstLineChars="200"/>
        <w:rPr>
          <w:rFonts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1、乙方应在期刊发运前对其进行满足运输距离、防湿和防破装卸要求的包装，以保证期刊安全运输到达甲方指定地点。</w:t>
      </w:r>
    </w:p>
    <w:p>
      <w:pPr>
        <w:spacing w:line="288" w:lineRule="auto"/>
        <w:ind w:firstLine="404" w:firstLineChars="200"/>
        <w:rPr>
          <w:rFonts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实洋刊价，并加盖乙方公章。</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hAnsi="宋体" w:eastAsia="宋体" w:cs="Times New Roman"/>
          <w:color w:val="auto"/>
          <w:szCs w:val="21"/>
          <w:highlight w:val="none"/>
        </w:rPr>
        <w:t>3、期刊在到达甲方指定地点前发生的不可预见的风险均由乙方负责。</w:t>
      </w:r>
    </w:p>
    <w:p>
      <w:pPr>
        <w:spacing w:line="288" w:lineRule="auto"/>
        <w:ind w:firstLine="406" w:firstLineChars="200"/>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第八条：货款的支付</w:t>
      </w:r>
    </w:p>
    <w:p>
      <w:pPr>
        <w:numPr>
          <w:ilvl w:val="0"/>
          <w:numId w:val="3"/>
        </w:numPr>
        <w:spacing w:line="288" w:lineRule="auto"/>
        <w:ind w:firstLine="404" w:firstLineChars="200"/>
        <w:rPr>
          <w:rFonts w:hint="eastAsia" w:ascii="宋体" w:hAnsi="宋体" w:eastAsia="宋体" w:cs="Times New Roman"/>
          <w:color w:val="auto"/>
          <w:spacing w:val="-4"/>
          <w:szCs w:val="21"/>
          <w:highlight w:val="none"/>
          <w:lang w:val="en-US" w:eastAsia="zh-CN"/>
        </w:rPr>
      </w:pPr>
      <w:r>
        <w:rPr>
          <w:rFonts w:hint="eastAsia" w:ascii="宋体" w:hAnsi="宋体" w:eastAsia="宋体" w:cs="Times New Roman"/>
          <w:color w:val="auto"/>
          <w:spacing w:val="-4"/>
          <w:szCs w:val="21"/>
          <w:highlight w:val="none"/>
          <w:lang w:val="en-US" w:eastAsia="zh-CN"/>
        </w:rPr>
        <w:t>履约保证金：</w:t>
      </w:r>
    </w:p>
    <w:p>
      <w:pPr>
        <w:numPr>
          <w:ilvl w:val="0"/>
          <w:numId w:val="0"/>
        </w:numPr>
        <w:spacing w:line="288" w:lineRule="auto"/>
        <w:ind w:firstLine="404" w:firstLineChars="200"/>
        <w:rPr>
          <w:rFonts w:hint="eastAsia" w:ascii="宋体" w:hAnsi="宋体" w:eastAsia="宋体" w:cs="Times New Roman"/>
          <w:color w:val="auto"/>
          <w:spacing w:val="-4"/>
          <w:szCs w:val="21"/>
          <w:highlight w:val="none"/>
          <w:lang w:val="en-US" w:eastAsia="zh-CN"/>
        </w:rPr>
      </w:pPr>
      <w:r>
        <w:rPr>
          <w:rFonts w:hint="eastAsia" w:ascii="宋体" w:hAnsi="宋体" w:eastAsia="宋体" w:cs="Times New Roman"/>
          <w:color w:val="auto"/>
          <w:spacing w:val="-4"/>
          <w:szCs w:val="21"/>
          <w:highlight w:val="none"/>
          <w:lang w:val="en-US" w:eastAsia="zh-CN"/>
        </w:rPr>
        <w:t>（1）合同签订后一周内，乙方向甲方提交合同总价2.5%的履约保证金，履约保证金在合同履约期间无违约情形的，项目验收结束后，于一周内退还（不计息）；</w:t>
      </w:r>
    </w:p>
    <w:p>
      <w:pPr>
        <w:spacing w:line="288" w:lineRule="auto"/>
        <w:ind w:firstLine="404" w:firstLineChars="200"/>
        <w:rPr>
          <w:rFonts w:hint="eastAsia" w:ascii="宋体" w:hAnsi="宋体" w:eastAsia="宋体" w:cs="Times New Roman"/>
          <w:color w:val="auto"/>
          <w:spacing w:val="-4"/>
          <w:szCs w:val="21"/>
          <w:highlight w:val="none"/>
          <w:lang w:val="en-US" w:eastAsia="zh-CN"/>
        </w:rPr>
      </w:pPr>
      <w:r>
        <w:rPr>
          <w:rFonts w:hint="eastAsia" w:ascii="宋体" w:hAnsi="宋体" w:eastAsia="宋体" w:cs="Times New Roman"/>
          <w:color w:val="auto"/>
          <w:spacing w:val="-4"/>
          <w:szCs w:val="21"/>
          <w:highlight w:val="none"/>
          <w:lang w:val="en-US" w:eastAsia="zh-CN"/>
        </w:rPr>
        <w:t>（2）提交方式：支票、汇票、本票或者金融机构、担保机构出具的保函等非现金形式。</w:t>
      </w:r>
    </w:p>
    <w:p>
      <w:pPr>
        <w:spacing w:line="288" w:lineRule="auto"/>
        <w:ind w:firstLine="404" w:firstLineChars="200"/>
        <w:rPr>
          <w:rFonts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lang w:val="en-US" w:eastAsia="zh-CN"/>
        </w:rPr>
        <w:t>2、</w:t>
      </w:r>
      <w:r>
        <w:rPr>
          <w:rFonts w:hint="eastAsia" w:ascii="宋体" w:hAnsi="宋体" w:eastAsia="宋体" w:cs="Times New Roman"/>
          <w:color w:val="auto"/>
          <w:spacing w:val="-4"/>
          <w:szCs w:val="21"/>
          <w:highlight w:val="none"/>
        </w:rPr>
        <w:t>预付款：</w:t>
      </w:r>
    </w:p>
    <w:p>
      <w:pPr>
        <w:spacing w:line="288" w:lineRule="auto"/>
        <w:ind w:firstLine="404" w:firstLineChars="200"/>
        <w:rPr>
          <w:rFonts w:ascii="宋体" w:hAnsi="宋体" w:eastAsia="宋体" w:cs="Times New Roman"/>
          <w:strike w:val="0"/>
          <w:dstrike w:val="0"/>
          <w:color w:val="auto"/>
          <w:spacing w:val="-4"/>
          <w:szCs w:val="21"/>
          <w:highlight w:val="none"/>
        </w:rPr>
      </w:pPr>
      <w:r>
        <w:rPr>
          <w:rFonts w:hint="eastAsia" w:ascii="宋体" w:hAnsi="宋体" w:eastAsia="宋体" w:cs="Times New Roman"/>
          <w:strike w:val="0"/>
          <w:dstrike w:val="0"/>
          <w:color w:val="auto"/>
          <w:spacing w:val="-4"/>
          <w:szCs w:val="21"/>
          <w:highlight w:val="none"/>
        </w:rPr>
        <w:t>（1）支付条件：供应商提交银行、保险公司等金融机构出具的预付款保函；</w:t>
      </w:r>
    </w:p>
    <w:p>
      <w:pPr>
        <w:spacing w:line="288" w:lineRule="auto"/>
        <w:ind w:firstLine="404" w:firstLineChars="200"/>
        <w:rPr>
          <w:rFonts w:ascii="宋体" w:hAnsi="宋体" w:eastAsia="宋体" w:cs="Times New Roman"/>
          <w:strike w:val="0"/>
          <w:dstrike w:val="0"/>
          <w:color w:val="auto"/>
          <w:spacing w:val="-4"/>
          <w:szCs w:val="21"/>
          <w:highlight w:val="none"/>
        </w:rPr>
      </w:pPr>
      <w:r>
        <w:rPr>
          <w:rFonts w:hint="eastAsia" w:ascii="宋体" w:hAnsi="宋体" w:eastAsia="宋体" w:cs="Times New Roman"/>
          <w:strike w:val="0"/>
          <w:dstrike w:val="0"/>
          <w:color w:val="auto"/>
          <w:spacing w:val="-4"/>
          <w:szCs w:val="21"/>
          <w:highlight w:val="none"/>
        </w:rPr>
        <w:t>（2）支付时间、数额：合同生效并具备实施条件后，</w:t>
      </w:r>
      <w:r>
        <w:rPr>
          <w:rFonts w:hint="eastAsia" w:ascii="宋体" w:hAnsi="宋体" w:eastAsia="宋体" w:cs="Times New Roman"/>
          <w:strike w:val="0"/>
          <w:dstrike w:val="0"/>
          <w:color w:val="auto"/>
          <w:spacing w:val="-4"/>
          <w:szCs w:val="21"/>
          <w:highlight w:val="none"/>
          <w:lang w:val="en-US" w:eastAsia="zh-CN"/>
        </w:rPr>
        <w:t>甲方</w:t>
      </w:r>
      <w:r>
        <w:rPr>
          <w:rFonts w:hint="eastAsia" w:ascii="宋体" w:hAnsi="宋体" w:eastAsia="宋体" w:cs="Times New Roman"/>
          <w:strike w:val="0"/>
          <w:dstrike w:val="0"/>
          <w:color w:val="auto"/>
          <w:spacing w:val="-4"/>
          <w:szCs w:val="21"/>
          <w:highlight w:val="none"/>
        </w:rPr>
        <w:t>向</w:t>
      </w:r>
      <w:r>
        <w:rPr>
          <w:rFonts w:hint="eastAsia" w:ascii="宋体" w:hAnsi="宋体" w:eastAsia="宋体" w:cs="Times New Roman"/>
          <w:strike w:val="0"/>
          <w:dstrike w:val="0"/>
          <w:color w:val="auto"/>
          <w:spacing w:val="-4"/>
          <w:szCs w:val="21"/>
          <w:highlight w:val="none"/>
          <w:lang w:val="en-US" w:eastAsia="zh-CN"/>
        </w:rPr>
        <w:t>乙方</w:t>
      </w:r>
      <w:r>
        <w:rPr>
          <w:rFonts w:hint="eastAsia" w:ascii="宋体" w:hAnsi="宋体" w:eastAsia="宋体" w:cs="Times New Roman"/>
          <w:strike w:val="0"/>
          <w:dstrike w:val="0"/>
          <w:color w:val="auto"/>
          <w:spacing w:val="-4"/>
          <w:szCs w:val="21"/>
          <w:highlight w:val="none"/>
        </w:rPr>
        <w:t>支付预算金额</w:t>
      </w:r>
      <w:r>
        <w:rPr>
          <w:rFonts w:hint="eastAsia" w:ascii="宋体" w:hAnsi="宋体" w:eastAsia="宋体" w:cs="Times New Roman"/>
          <w:strike w:val="0"/>
          <w:dstrike w:val="0"/>
          <w:color w:val="auto"/>
          <w:spacing w:val="-4"/>
          <w:szCs w:val="21"/>
          <w:highlight w:val="none"/>
          <w:lang w:val="en-US" w:eastAsia="zh-CN"/>
        </w:rPr>
        <w:t>4</w:t>
      </w:r>
      <w:r>
        <w:rPr>
          <w:rFonts w:hint="eastAsia" w:ascii="宋体" w:hAnsi="宋体" w:eastAsia="宋体" w:cs="Times New Roman"/>
          <w:strike w:val="0"/>
          <w:dstrike w:val="0"/>
          <w:color w:val="auto"/>
          <w:spacing w:val="-4"/>
          <w:szCs w:val="21"/>
          <w:highlight w:val="none"/>
        </w:rPr>
        <w:t>0%的预付款。</w:t>
      </w:r>
    </w:p>
    <w:p>
      <w:pPr>
        <w:spacing w:line="288" w:lineRule="auto"/>
        <w:ind w:firstLine="404" w:firstLineChars="200"/>
        <w:rPr>
          <w:rFonts w:ascii="宋体" w:hAnsi="宋体" w:eastAsia="宋体" w:cs="Times New Roman"/>
          <w:strike w:val="0"/>
          <w:dstrike w:val="0"/>
          <w:color w:val="auto"/>
          <w:spacing w:val="-4"/>
          <w:szCs w:val="21"/>
          <w:highlight w:val="none"/>
        </w:rPr>
      </w:pPr>
      <w:r>
        <w:rPr>
          <w:rFonts w:hint="eastAsia" w:ascii="宋体" w:hAnsi="宋体" w:eastAsia="宋体" w:cs="Times New Roman"/>
          <w:strike w:val="0"/>
          <w:dstrike w:val="0"/>
          <w:color w:val="auto"/>
          <w:spacing w:val="-4"/>
          <w:szCs w:val="21"/>
          <w:highlight w:val="none"/>
        </w:rPr>
        <w:t>备注：签订合同时，供应商明确表示无需预付款或者主动要求降低预付款比例的，采购单位可不适用前述规定。</w:t>
      </w:r>
    </w:p>
    <w:p>
      <w:pPr>
        <w:tabs>
          <w:tab w:val="left" w:pos="4935"/>
        </w:tabs>
        <w:autoSpaceDE w:val="0"/>
        <w:autoSpaceDN w:val="0"/>
        <w:adjustRightInd w:val="0"/>
        <w:snapToGrid w:val="0"/>
        <w:spacing w:line="288" w:lineRule="auto"/>
        <w:ind w:firstLine="420" w:firstLineChars="200"/>
        <w:rPr>
          <w:rFonts w:ascii="宋体" w:hAnsi="宋体" w:eastAsia="宋体" w:cs="黑体"/>
          <w:bCs/>
          <w:color w:val="auto"/>
          <w:szCs w:val="21"/>
          <w:highlight w:val="none"/>
          <w:lang w:val="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宋体"/>
          <w:color w:val="auto"/>
          <w:spacing w:val="-6"/>
          <w:kern w:val="0"/>
          <w:szCs w:val="21"/>
          <w:highlight w:val="none"/>
        </w:rPr>
        <w:t>采购合同签订后且</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已提交履约保证金的，经</w:t>
      </w:r>
      <w:r>
        <w:rPr>
          <w:rFonts w:hint="eastAsia" w:ascii="宋体" w:hAnsi="宋体" w:eastAsia="宋体" w:cs="宋体"/>
          <w:color w:val="auto"/>
          <w:spacing w:val="-6"/>
          <w:kern w:val="0"/>
          <w:szCs w:val="21"/>
          <w:highlight w:val="none"/>
          <w:lang w:val="en-US" w:eastAsia="zh-CN"/>
        </w:rPr>
        <w:t>甲方确认最终期刊类型及数量后</w:t>
      </w:r>
      <w:r>
        <w:rPr>
          <w:rFonts w:hint="eastAsia" w:ascii="宋体" w:hAnsi="宋体" w:eastAsia="宋体" w:cs="宋体"/>
          <w:color w:val="auto"/>
          <w:spacing w:val="-6"/>
          <w:kern w:val="0"/>
          <w:szCs w:val="21"/>
          <w:highlight w:val="none"/>
        </w:rPr>
        <w:t>，支付至</w:t>
      </w:r>
      <w:r>
        <w:rPr>
          <w:rFonts w:hint="eastAsia" w:ascii="宋体" w:hAnsi="宋体" w:eastAsia="宋体" w:cs="宋体"/>
          <w:color w:val="auto"/>
          <w:spacing w:val="-6"/>
          <w:kern w:val="0"/>
          <w:szCs w:val="21"/>
          <w:highlight w:val="none"/>
          <w:lang w:val="en-US" w:eastAsia="zh-CN"/>
        </w:rPr>
        <w:t>该订单金额</w:t>
      </w:r>
      <w:r>
        <w:rPr>
          <w:rFonts w:hint="eastAsia" w:ascii="宋体" w:hAnsi="宋体" w:eastAsia="宋体" w:cs="宋体"/>
          <w:color w:val="auto"/>
          <w:spacing w:val="-6"/>
          <w:kern w:val="0"/>
          <w:szCs w:val="21"/>
          <w:highlight w:val="none"/>
        </w:rPr>
        <w:t>的100%。</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highlight w:val="none"/>
          <w:lang w:val="zh-CN"/>
        </w:rPr>
      </w:pPr>
      <w:r>
        <w:rPr>
          <w:rFonts w:hint="eastAsia" w:ascii="宋体" w:hAnsi="宋体" w:eastAsia="宋体" w:cs="黑体"/>
          <w:b/>
          <w:color w:val="auto"/>
          <w:szCs w:val="21"/>
          <w:highlight w:val="none"/>
          <w:lang w:val="zh-CN"/>
        </w:rPr>
        <w:t>第</w:t>
      </w:r>
      <w:r>
        <w:rPr>
          <w:rFonts w:hint="eastAsia" w:ascii="宋体" w:hAnsi="宋体" w:eastAsia="宋体" w:cs="黑体"/>
          <w:b/>
          <w:color w:val="auto"/>
          <w:szCs w:val="21"/>
          <w:highlight w:val="none"/>
        </w:rPr>
        <w:t>九</w:t>
      </w:r>
      <w:r>
        <w:rPr>
          <w:rFonts w:hint="eastAsia" w:ascii="宋体" w:hAnsi="宋体" w:eastAsia="宋体" w:cs="黑体"/>
          <w:b/>
          <w:color w:val="auto"/>
          <w:szCs w:val="21"/>
          <w:highlight w:val="none"/>
          <w:lang w:val="zh-CN"/>
        </w:rPr>
        <w:t>条：违约责任</w:t>
      </w:r>
    </w:p>
    <w:p>
      <w:pPr>
        <w:tabs>
          <w:tab w:val="left" w:pos="1560"/>
        </w:tabs>
        <w:autoSpaceDE w:val="0"/>
        <w:autoSpaceDN w:val="0"/>
        <w:adjustRightInd w:val="0"/>
        <w:snapToGri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乙方的违约责任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1、产品错发到货地点或收货人的，乙方应负责将货物运交合同规定的到货地点或接货人，费用由乙方负责。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2、乙方出现以下情况之一，将视为乙方违约，甲方有权终止合同，所产生的一切后果由乙方负责。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（1）对未能达到甲方提出的到刊率要求，并在甲方发出通知后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0日内，乙方仍不能交货，甲方可解除双方的供货协议。属严重违约的，甲方有权取消乙方的中标资格，由此造成的损失由乙方承担。</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（2）乙方在提供的期刊中如有盗版或非法出版物的，甲方有权没收乙方的履约保证金，给甲方带来不良后果的，甲方有权追究乙方的相关责任。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（3）对未能到馆的期刊，乙方应做好补救工作，提供所缺期刊的影印件，并退还期刊与影印刊的差价，不能补救、复制的应退回刊款（因出版社停刊所致缺刊除外，但须附有相关证明材料）。</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必须按甲方订购的期刊品种、数量及时供货，除推迟出版或发生影响协议履行的不可抗力因素外，若不能按时供货的期刊种数或份数超过订单订购数的20%，即可认定该乙方不具备供货条件，甲方有权无条件终止合同，造成的损失由乙方承担。为尽可能消除因乙方不能按协议规定要求供货所造成的影响，甲方有权采取相应的补救措施（如直接向出版商邮购期刊或向其他供货商补订期刊等，由此给甲方造成的各项损失或增加的各项费用（如折扣损失、邮费、数据费、加工费）等均由违约的乙方承担。</w:t>
      </w:r>
    </w:p>
    <w:p>
      <w:pPr>
        <w:tabs>
          <w:tab w:val="left" w:pos="1560"/>
        </w:tabs>
        <w:autoSpaceDE w:val="0"/>
        <w:autoSpaceDN w:val="0"/>
        <w:adjustRightInd w:val="0"/>
        <w:snapToGrid w:val="0"/>
        <w:spacing w:line="288" w:lineRule="auto"/>
        <w:ind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甲方的违约责任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1、甲方违反合同拒绝收货或验货的，承担由此给乙方造成的损失和运输部门的相关费用。</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2、甲方错填到货地点或收货人，承担因此给乙方造成的损失。</w:t>
      </w:r>
    </w:p>
    <w:p>
      <w:pPr>
        <w:tabs>
          <w:tab w:val="left" w:pos="1560"/>
        </w:tabs>
        <w:autoSpaceDE w:val="0"/>
        <w:autoSpaceDN w:val="0"/>
        <w:adjustRightInd w:val="0"/>
        <w:snapToGrid w:val="0"/>
        <w:spacing w:line="288" w:lineRule="auto"/>
        <w:ind w:firstLine="422" w:firstLineChars="200"/>
        <w:rPr>
          <w:rFonts w:ascii="宋体" w:hAnsi="宋体" w:eastAsia="宋体" w:cs="黑体"/>
          <w:b/>
          <w:color w:val="auto"/>
          <w:szCs w:val="21"/>
          <w:highlight w:val="none"/>
          <w:lang w:val="zh-CN"/>
        </w:rPr>
      </w:pPr>
      <w:r>
        <w:rPr>
          <w:rFonts w:hint="eastAsia" w:ascii="宋体" w:hAnsi="宋体" w:eastAsia="宋体" w:cs="黑体"/>
          <w:b/>
          <w:color w:val="auto"/>
          <w:szCs w:val="21"/>
          <w:highlight w:val="none"/>
          <w:lang w:val="zh-CN"/>
        </w:rPr>
        <w:t>第</w:t>
      </w:r>
      <w:r>
        <w:rPr>
          <w:rFonts w:hint="eastAsia" w:ascii="宋体" w:hAnsi="宋体" w:eastAsia="宋体" w:cs="黑体"/>
          <w:b/>
          <w:color w:val="auto"/>
          <w:szCs w:val="21"/>
          <w:highlight w:val="none"/>
        </w:rPr>
        <w:t>十</w:t>
      </w:r>
      <w:r>
        <w:rPr>
          <w:rFonts w:hint="eastAsia" w:ascii="宋体" w:hAnsi="宋体" w:eastAsia="宋体" w:cs="黑体"/>
          <w:b/>
          <w:color w:val="auto"/>
          <w:szCs w:val="21"/>
          <w:highlight w:val="none"/>
          <w:lang w:val="zh-CN"/>
        </w:rPr>
        <w:t>条：不可抗力事件处理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highlight w:val="none"/>
          <w:lang w:val="zh-CN"/>
        </w:rPr>
      </w:pPr>
      <w:r>
        <w:rPr>
          <w:rFonts w:hint="eastAsia" w:ascii="宋体" w:hAnsi="宋体" w:eastAsia="宋体" w:cs="黑体"/>
          <w:b/>
          <w:color w:val="auto"/>
          <w:szCs w:val="21"/>
          <w:highlight w:val="none"/>
          <w:lang w:val="zh-CN"/>
        </w:rPr>
        <w:t>第十</w:t>
      </w:r>
      <w:r>
        <w:rPr>
          <w:rFonts w:hint="eastAsia" w:ascii="宋体" w:hAnsi="宋体" w:eastAsia="宋体" w:cs="黑体"/>
          <w:b/>
          <w:color w:val="auto"/>
          <w:szCs w:val="21"/>
          <w:highlight w:val="none"/>
        </w:rPr>
        <w:t>一</w:t>
      </w:r>
      <w:r>
        <w:rPr>
          <w:rFonts w:hint="eastAsia" w:ascii="宋体" w:hAnsi="宋体" w:eastAsia="宋体" w:cs="黑体"/>
          <w:b/>
          <w:color w:val="auto"/>
          <w:szCs w:val="21"/>
          <w:highlight w:val="none"/>
          <w:lang w:val="zh-CN"/>
        </w:rPr>
        <w:t>条：争议的解决</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如因履行本合同发生争议时，双方应首先协商解决。协商不成时，任何一方均可向合同签订地的人民法院提起诉讼，通过法律程序予以解决。</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highlight w:val="none"/>
          <w:lang w:val="zh-CN"/>
        </w:rPr>
      </w:pPr>
      <w:r>
        <w:rPr>
          <w:rFonts w:hint="eastAsia" w:ascii="宋体" w:hAnsi="宋体" w:eastAsia="宋体" w:cs="黑体"/>
          <w:b/>
          <w:color w:val="auto"/>
          <w:szCs w:val="21"/>
          <w:highlight w:val="none"/>
          <w:lang w:val="zh-CN"/>
        </w:rPr>
        <w:t>第十</w:t>
      </w:r>
      <w:r>
        <w:rPr>
          <w:rFonts w:hint="eastAsia" w:ascii="宋体" w:hAnsi="宋体" w:eastAsia="宋体" w:cs="黑体"/>
          <w:b/>
          <w:color w:val="auto"/>
          <w:szCs w:val="21"/>
          <w:highlight w:val="none"/>
        </w:rPr>
        <w:t>二</w:t>
      </w:r>
      <w:r>
        <w:rPr>
          <w:rFonts w:hint="eastAsia" w:ascii="宋体" w:hAnsi="宋体" w:eastAsia="宋体" w:cs="黑体"/>
          <w:b/>
          <w:color w:val="auto"/>
          <w:szCs w:val="21"/>
          <w:highlight w:val="none"/>
          <w:lang w:val="zh-CN"/>
        </w:rPr>
        <w:t>条：本合同之未尽事宜</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olor w:val="auto"/>
          <w:szCs w:val="21"/>
          <w:highlight w:val="none"/>
        </w:rPr>
        <w:t>其他未尽事宜，双方本着友好协商的原则处理。</w:t>
      </w:r>
      <w:r>
        <w:rPr>
          <w:rFonts w:hint="eastAsia" w:ascii="宋体" w:hAnsi="宋体" w:eastAsia="宋体" w:cs="宋体"/>
          <w:color w:val="auto"/>
          <w:szCs w:val="21"/>
          <w:highlight w:val="none"/>
          <w:lang w:val="zh-CN"/>
        </w:rPr>
        <w:t>双方可以协商解决或另订补充合同，补充合同为本合同不可分割的组成部分。</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highlight w:val="none"/>
          <w:lang w:val="zh-CN"/>
        </w:rPr>
      </w:pPr>
      <w:r>
        <w:rPr>
          <w:rFonts w:ascii="宋体" w:hAnsi="宋体" w:eastAsia="宋体" w:cs="黑体"/>
          <w:b/>
          <w:color w:val="auto"/>
          <w:szCs w:val="21"/>
          <w:highlight w:val="none"/>
          <w:lang w:val="zh-CN"/>
        </w:rPr>
        <w:t>第十</w:t>
      </w:r>
      <w:r>
        <w:rPr>
          <w:rFonts w:hint="eastAsia" w:ascii="宋体" w:hAnsi="宋体" w:eastAsia="宋体" w:cs="黑体"/>
          <w:b/>
          <w:color w:val="auto"/>
          <w:szCs w:val="21"/>
          <w:highlight w:val="none"/>
        </w:rPr>
        <w:t>三</w:t>
      </w:r>
      <w:r>
        <w:rPr>
          <w:rFonts w:ascii="宋体" w:hAnsi="宋体" w:eastAsia="宋体" w:cs="黑体"/>
          <w:b/>
          <w:color w:val="auto"/>
          <w:szCs w:val="21"/>
          <w:highlight w:val="none"/>
          <w:lang w:val="zh-CN"/>
        </w:rPr>
        <w:t>条</w:t>
      </w:r>
      <w:r>
        <w:rPr>
          <w:rFonts w:hint="eastAsia" w:ascii="宋体" w:hAnsi="宋体" w:eastAsia="宋体" w:cs="黑体"/>
          <w:b/>
          <w:color w:val="auto"/>
          <w:szCs w:val="21"/>
          <w:highlight w:val="none"/>
          <w:lang w:val="zh-CN"/>
        </w:rPr>
        <w:t>：合同</w:t>
      </w:r>
      <w:r>
        <w:rPr>
          <w:rFonts w:ascii="宋体" w:hAnsi="宋体" w:eastAsia="宋体" w:cs="黑体"/>
          <w:b/>
          <w:color w:val="auto"/>
          <w:szCs w:val="21"/>
          <w:highlight w:val="none"/>
          <w:lang w:val="zh-CN"/>
        </w:rPr>
        <w:t>的生效</w:t>
      </w:r>
      <w:r>
        <w:rPr>
          <w:rFonts w:hint="eastAsia" w:ascii="宋体" w:hAnsi="宋体" w:eastAsia="宋体" w:cs="黑体"/>
          <w:b/>
          <w:color w:val="auto"/>
          <w:szCs w:val="21"/>
          <w:highlight w:val="none"/>
          <w:lang w:val="zh-CN"/>
        </w:rPr>
        <w:t>与终止</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本</w:t>
      </w:r>
      <w:r>
        <w:rPr>
          <w:rFonts w:hint="eastAsia" w:ascii="宋体" w:hAnsi="宋体" w:eastAsia="宋体" w:cs="宋体"/>
          <w:color w:val="auto"/>
          <w:szCs w:val="21"/>
          <w:highlight w:val="none"/>
          <w:lang w:val="zh-CN"/>
        </w:rPr>
        <w:t>合同</w:t>
      </w:r>
      <w:r>
        <w:rPr>
          <w:rFonts w:ascii="宋体" w:hAnsi="宋体" w:eastAsia="宋体" w:cs="宋体"/>
          <w:color w:val="auto"/>
          <w:szCs w:val="21"/>
          <w:highlight w:val="none"/>
          <w:lang w:val="zh-CN"/>
        </w:rPr>
        <w:t>经甲方、乙方</w:t>
      </w:r>
      <w:r>
        <w:rPr>
          <w:rFonts w:hint="eastAsia" w:ascii="宋体" w:hAnsi="宋体" w:eastAsia="宋体" w:cs="宋体"/>
          <w:color w:val="auto"/>
          <w:szCs w:val="21"/>
          <w:highlight w:val="none"/>
          <w:lang w:val="zh-CN"/>
        </w:rPr>
        <w:t>双</w:t>
      </w:r>
      <w:r>
        <w:rPr>
          <w:rFonts w:ascii="宋体" w:hAnsi="宋体" w:eastAsia="宋体" w:cs="宋体"/>
          <w:color w:val="auto"/>
          <w:szCs w:val="21"/>
          <w:highlight w:val="none"/>
          <w:lang w:val="zh-CN"/>
        </w:rPr>
        <w:t>方法定代表人</w:t>
      </w:r>
      <w:r>
        <w:rPr>
          <w:rFonts w:hint="eastAsia" w:ascii="宋体" w:hAnsi="宋体" w:eastAsia="宋体" w:cs="宋体"/>
          <w:color w:val="auto"/>
          <w:szCs w:val="21"/>
          <w:highlight w:val="none"/>
          <w:lang w:val="zh-CN"/>
        </w:rPr>
        <w:t>或</w:t>
      </w:r>
      <w:r>
        <w:rPr>
          <w:rFonts w:ascii="宋体" w:hAnsi="宋体" w:eastAsia="宋体" w:cs="宋体"/>
          <w:color w:val="auto"/>
          <w:szCs w:val="21"/>
          <w:highlight w:val="none"/>
          <w:lang w:val="zh-CN"/>
        </w:rPr>
        <w:t>其委托人签字并加盖</w:t>
      </w:r>
      <w:r>
        <w:rPr>
          <w:rFonts w:hint="eastAsia" w:ascii="宋体" w:hAnsi="宋体" w:eastAsia="宋体" w:cs="宋体"/>
          <w:color w:val="auto"/>
          <w:szCs w:val="21"/>
          <w:highlight w:val="none"/>
          <w:lang w:val="zh-CN"/>
        </w:rPr>
        <w:t>双方</w:t>
      </w:r>
      <w:r>
        <w:rPr>
          <w:rFonts w:ascii="宋体" w:hAnsi="宋体" w:eastAsia="宋体" w:cs="宋体"/>
          <w:color w:val="auto"/>
          <w:szCs w:val="21"/>
          <w:highlight w:val="none"/>
          <w:lang w:val="zh-CN"/>
        </w:rPr>
        <w:t>公章</w:t>
      </w:r>
      <w:r>
        <w:rPr>
          <w:rFonts w:hint="eastAsia" w:ascii="宋体" w:hAnsi="宋体" w:eastAsia="宋体" w:cs="宋体"/>
          <w:color w:val="auto"/>
          <w:szCs w:val="21"/>
          <w:highlight w:val="none"/>
          <w:lang w:val="zh-CN"/>
        </w:rPr>
        <w:t>（或合同专用章）</w:t>
      </w:r>
      <w:r>
        <w:rPr>
          <w:rFonts w:ascii="宋体" w:hAnsi="宋体" w:eastAsia="宋体" w:cs="宋体"/>
          <w:color w:val="auto"/>
          <w:szCs w:val="21"/>
          <w:highlight w:val="none"/>
          <w:lang w:val="zh-CN"/>
        </w:rPr>
        <w:t>后生效。</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本</w:t>
      </w:r>
      <w:r>
        <w:rPr>
          <w:rFonts w:hint="eastAsia" w:ascii="宋体" w:hAnsi="宋体" w:eastAsia="宋体" w:cs="宋体"/>
          <w:color w:val="auto"/>
          <w:szCs w:val="21"/>
          <w:highlight w:val="none"/>
          <w:lang w:val="zh-CN"/>
        </w:rPr>
        <w:t>合同</w:t>
      </w:r>
      <w:r>
        <w:rPr>
          <w:rFonts w:ascii="宋体" w:hAnsi="宋体" w:eastAsia="宋体" w:cs="宋体"/>
          <w:color w:val="auto"/>
          <w:szCs w:val="21"/>
          <w:highlight w:val="none"/>
          <w:lang w:val="zh-CN"/>
        </w:rPr>
        <w:t>有效期</w:t>
      </w:r>
      <w:r>
        <w:rPr>
          <w:rFonts w:hint="eastAsia" w:ascii="宋体" w:hAnsi="宋体" w:eastAsia="宋体" w:cs="宋体"/>
          <w:color w:val="auto"/>
          <w:szCs w:val="21"/>
          <w:highlight w:val="none"/>
          <w:lang w:val="zh-CN"/>
        </w:rPr>
        <w:t xml:space="preserve">至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 xml:space="preserve">年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 xml:space="preserve"> 月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 xml:space="preserve"> 日止。在本合同执行期内，如需要修改或补充合同内容，由双方另签书面修改或补充条款，作为本合同不可分割的一部分。</w:t>
      </w:r>
    </w:p>
    <w:p>
      <w:pPr>
        <w:tabs>
          <w:tab w:val="left" w:pos="1560"/>
        </w:tabs>
        <w:autoSpaceDE w:val="0"/>
        <w:autoSpaceDN w:val="0"/>
        <w:adjustRightInd w:val="0"/>
        <w:snapToGrid w:val="0"/>
        <w:spacing w:line="288"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3、如果乙方对本合同的执行情况没有达到合同的要求和投标服务承诺，甲方可在合同期内终止合同。终止合同后，除结清已到</w:t>
      </w:r>
      <w:r>
        <w:rPr>
          <w:rFonts w:hint="eastAsia" w:ascii="宋体" w:hAnsi="宋体" w:eastAsia="宋体" w:cs="宋体"/>
          <w:color w:val="auto"/>
          <w:szCs w:val="21"/>
          <w:highlight w:val="none"/>
        </w:rPr>
        <w:t>期刊</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rPr>
        <w:t>合同款</w:t>
      </w:r>
      <w:r>
        <w:rPr>
          <w:rFonts w:hint="eastAsia" w:ascii="宋体" w:hAnsi="宋体" w:eastAsia="宋体" w:cs="宋体"/>
          <w:color w:val="auto"/>
          <w:szCs w:val="21"/>
          <w:highlight w:val="none"/>
          <w:lang w:val="zh-CN"/>
        </w:rPr>
        <w:t>外，甲方对已预订且未到货</w:t>
      </w:r>
      <w:r>
        <w:rPr>
          <w:rFonts w:hint="eastAsia" w:ascii="宋体" w:hAnsi="宋体" w:eastAsia="宋体" w:cs="宋体"/>
          <w:color w:val="auto"/>
          <w:szCs w:val="21"/>
          <w:highlight w:val="none"/>
        </w:rPr>
        <w:t>期刊</w:t>
      </w:r>
      <w:r>
        <w:rPr>
          <w:rFonts w:hint="eastAsia" w:ascii="宋体" w:hAnsi="宋体" w:eastAsia="宋体" w:cs="宋体"/>
          <w:color w:val="auto"/>
          <w:szCs w:val="21"/>
          <w:highlight w:val="none"/>
          <w:lang w:val="zh-CN"/>
        </w:rPr>
        <w:t>仍负有接受的义务，有效期限为60天，此后甲方有权拒绝接受所订</w:t>
      </w:r>
      <w:r>
        <w:rPr>
          <w:rFonts w:hint="eastAsia" w:ascii="宋体" w:hAnsi="宋体" w:eastAsia="宋体" w:cs="宋体"/>
          <w:color w:val="auto"/>
          <w:szCs w:val="21"/>
          <w:highlight w:val="none"/>
        </w:rPr>
        <w:t>期刊</w:t>
      </w:r>
      <w:r>
        <w:rPr>
          <w:rFonts w:hint="eastAsia" w:ascii="宋体" w:hAnsi="宋体" w:eastAsia="宋体" w:cs="宋体"/>
          <w:color w:val="auto"/>
          <w:szCs w:val="21"/>
          <w:highlight w:val="none"/>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Times New Roman"/>
          <w:color w:val="auto"/>
          <w:spacing w:val="-6"/>
          <w:szCs w:val="21"/>
          <w:highlight w:val="none"/>
        </w:rPr>
      </w:pP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tabs>
          <w:tab w:val="left" w:pos="4935"/>
        </w:tabs>
        <w:autoSpaceDE w:val="0"/>
        <w:autoSpaceDN w:val="0"/>
        <w:adjustRightInd w:val="0"/>
        <w:snapToGrid w:val="0"/>
        <w:spacing w:line="288" w:lineRule="auto"/>
        <w:ind w:firstLine="422" w:firstLineChars="200"/>
        <w:rPr>
          <w:rFonts w:ascii="宋体" w:hAnsi="宋体" w:eastAsia="宋体" w:cs="黑体"/>
          <w:b/>
          <w:color w:val="auto"/>
          <w:szCs w:val="21"/>
          <w:highlight w:val="none"/>
          <w:lang w:val="zh-CN"/>
        </w:rPr>
      </w:pPr>
      <w:r>
        <w:rPr>
          <w:rFonts w:hint="eastAsia" w:ascii="宋体" w:hAnsi="宋体" w:eastAsia="宋体" w:cs="黑体"/>
          <w:b/>
          <w:color w:val="auto"/>
          <w:szCs w:val="21"/>
          <w:highlight w:val="none"/>
          <w:lang w:val="zh-CN"/>
        </w:rPr>
        <w:t>第十四条：合同份数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3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w:t>
            </w:r>
            <w:r>
              <w:rPr>
                <w:rFonts w:ascii="宋体" w:hAnsi="宋体" w:eastAsia="宋体" w:cs="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4）投标人特定资格条件证明材料</w:t>
      </w:r>
      <w:r>
        <w:rPr>
          <w:rFonts w:hint="eastAsia" w:ascii="宋体" w:hAnsi="宋体" w:eastAsia="宋体" w:cs="宋体"/>
          <w:b/>
          <w:color w:val="auto"/>
          <w:spacing w:val="-6"/>
          <w:szCs w:val="21"/>
          <w:highlight w:val="none"/>
        </w:rPr>
        <w:t>：具有有效的《出版物经营许可证》。</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color w:val="auto"/>
          <w:spacing w:val="-6"/>
          <w:szCs w:val="21"/>
          <w:highlight w:val="none"/>
        </w:rPr>
        <w:t>2.商务和</w:t>
      </w:r>
      <w:r>
        <w:rPr>
          <w:rFonts w:hint="eastAsia" w:ascii="宋体" w:hAnsi="宋体" w:eastAsia="宋体" w:cs="Times New Roman"/>
          <w:b/>
          <w:bCs/>
          <w:color w:val="auto"/>
          <w:spacing w:val="-6"/>
          <w:szCs w:val="21"/>
          <w:highlight w:val="none"/>
        </w:rPr>
        <w:t>技术文件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）服务方案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rPr>
        <w:t>）信息化服务</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7</w:t>
      </w:r>
      <w:r>
        <w:rPr>
          <w:rFonts w:hint="eastAsia" w:ascii="宋体" w:hAnsi="宋体" w:eastAsia="宋体" w:cs="宋体"/>
          <w:color w:val="auto"/>
          <w:spacing w:val="-6"/>
          <w:szCs w:val="21"/>
          <w:highlight w:val="none"/>
        </w:rPr>
        <w:t>）供货能力</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8</w:t>
      </w:r>
      <w:r>
        <w:rPr>
          <w:rFonts w:hint="eastAsia" w:ascii="宋体" w:hAnsi="宋体" w:eastAsia="宋体" w:cs="Times New Roman"/>
          <w:color w:val="auto"/>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2" w:name="_Hlk81815656"/>
      <w:r>
        <w:rPr>
          <w:rFonts w:hint="eastAsia" w:ascii="宋体" w:hAnsi="宋体" w:eastAsia="宋体" w:cs="Times New Roman"/>
          <w:color w:val="auto"/>
          <w:spacing w:val="-6"/>
          <w:szCs w:val="21"/>
          <w:highlight w:val="none"/>
        </w:rPr>
        <w:t>（若属于中小企业）</w:t>
      </w:r>
      <w:bookmarkEnd w:id="52"/>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3" w:name="_Hlk81815359"/>
      <w:r>
        <w:rPr>
          <w:rFonts w:hint="eastAsia" w:ascii="宋体" w:hAnsi="宋体" w:eastAsia="宋体" w:cs="Times New Roman"/>
          <w:color w:val="auto"/>
          <w:spacing w:val="-6"/>
          <w:szCs w:val="21"/>
          <w:highlight w:val="none"/>
        </w:rPr>
        <w:t>（若属于监狱企业）</w:t>
      </w:r>
      <w:bookmarkEnd w:id="53"/>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4" w:name="OLE_LINK14"/>
      <w:bookmarkStart w:id="55" w:name="OLE_LINK13"/>
      <w:r>
        <w:rPr>
          <w:rFonts w:hint="eastAsia" w:ascii="宋体" w:hAnsi="宋体" w:eastAsia="宋体" w:cs="Times New Roman"/>
          <w:color w:val="auto"/>
          <w:spacing w:val="-6"/>
          <w:szCs w:val="21"/>
          <w:highlight w:val="none"/>
        </w:rPr>
        <w:t>残疾人福利性单位声明函</w:t>
      </w:r>
      <w:bookmarkEnd w:id="54"/>
      <w:bookmarkEnd w:id="55"/>
      <w:bookmarkStart w:id="56" w:name="_Hlk81815372"/>
      <w:r>
        <w:rPr>
          <w:rFonts w:hint="eastAsia" w:ascii="宋体" w:hAnsi="宋体" w:eastAsia="宋体" w:cs="Times New Roman"/>
          <w:color w:val="auto"/>
          <w:spacing w:val="-6"/>
          <w:szCs w:val="21"/>
          <w:highlight w:val="none"/>
        </w:rPr>
        <w:t>（若属于残疾人福利性单位）</w:t>
      </w:r>
      <w:bookmarkEnd w:id="56"/>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浙江外国语学院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t>
      </w:r>
      <w:r>
        <w:rPr>
          <w:rFonts w:ascii="宋体" w:hAnsi="宋体" w:eastAsia="宋体" w:cs="Times New Roman"/>
          <w:color w:val="auto"/>
          <w:spacing w:val="-6"/>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rPr>
        <w:t>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）本项目的特定资格要求证明材料：具有有效的《出版物经营许可证》</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浙江外国语学院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浙江外国语学院2023年外文期刊</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QSZB-Z(H)-B22093(GK)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3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w:t>
      </w:r>
      <w:r>
        <w:rPr>
          <w:rFonts w:hint="eastAsia" w:ascii="宋体" w:hAnsi="宋体" w:eastAsia="宋体" w:cs="Times New Roman"/>
          <w:bCs/>
          <w:color w:val="auto"/>
          <w:spacing w:val="-6"/>
          <w:szCs w:val="21"/>
          <w:highlight w:val="none"/>
          <w:lang w:eastAsia="zh-CN"/>
        </w:rPr>
        <w:t>浙江外国语学院</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浙江外国语学院2023年外文期刊</w:t>
      </w:r>
      <w:r>
        <w:rPr>
          <w:rFonts w:hint="eastAsia" w:ascii="宋体" w:hAnsi="宋体" w:eastAsia="宋体" w:cs="Times New Roman"/>
          <w:bCs/>
          <w:color w:val="auto"/>
          <w:spacing w:val="-6"/>
          <w:szCs w:val="21"/>
          <w:highlight w:val="none"/>
        </w:rPr>
        <w:t>标项</w:t>
      </w:r>
      <w:r>
        <w:rPr>
          <w:rFonts w:hint="eastAsia" w:ascii="宋体" w:hAnsi="宋体" w:eastAsia="宋体" w:cs="Times New Roman"/>
          <w:bCs/>
          <w:color w:val="auto"/>
          <w:spacing w:val="-6"/>
          <w:szCs w:val="21"/>
          <w:highlight w:val="none"/>
          <w:u w:val="single"/>
        </w:rPr>
        <w:t xml:space="preserve">  </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▲投标人授权代表必须为投标人本单位在职职工，并提供2021年7月（含）以后任意一月社保缴纳证明。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）2021年7月（含）以后任意一月投标授权代表社保缴纳证明</w:t>
      </w:r>
    </w:p>
    <w:p>
      <w:pP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浙江外国语学院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2023年外文期刊</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QSZB-Z(H)-B22093(GK)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p>
    <w:p>
      <w:pPr>
        <w:widowControl/>
        <w:adjustRightInd w:val="0"/>
        <w:snapToGrid w:val="0"/>
        <w:spacing w:line="288" w:lineRule="auto"/>
        <w:jc w:val="center"/>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lang w:val="en-US" w:eastAsia="zh-CN"/>
        </w:rPr>
        <w:t>以下内容根据评分细则格式自拟</w:t>
      </w:r>
    </w:p>
    <w:p>
      <w:pPr>
        <w:pStyle w:val="2"/>
        <w:rPr>
          <w:rFonts w:hint="eastAsia" w:ascii="宋体" w:hAnsi="宋体" w:eastAsia="宋体" w:cs="宋体"/>
          <w:b/>
          <w:color w:val="auto"/>
          <w:spacing w:val="-6"/>
          <w:szCs w:val="21"/>
          <w:highlight w:val="none"/>
        </w:rPr>
      </w:pPr>
    </w:p>
    <w:p>
      <w:pPr>
        <w:pStyle w:val="2"/>
        <w:rPr>
          <w:rFonts w:hint="eastAsia" w:ascii="宋体" w:hAnsi="宋体" w:eastAsia="宋体" w:cs="宋体"/>
          <w:b/>
          <w:color w:val="auto"/>
          <w:spacing w:val="-6"/>
          <w:szCs w:val="21"/>
          <w:highlight w:val="none"/>
        </w:rPr>
      </w:pPr>
    </w:p>
    <w:p>
      <w:pPr>
        <w:widowControl/>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（5）服务方案</w:t>
      </w:r>
    </w:p>
    <w:p>
      <w:pPr>
        <w:widowControl/>
        <w:adjustRightInd w:val="0"/>
        <w:snapToGrid w:val="0"/>
        <w:spacing w:line="288" w:lineRule="auto"/>
        <w:jc w:val="left"/>
        <w:rPr>
          <w:rFonts w:hint="eastAsia" w:ascii="宋体" w:hAnsi="宋体" w:eastAsia="宋体" w:cs="宋体"/>
          <w:b/>
          <w:color w:val="auto"/>
          <w:spacing w:val="-6"/>
          <w:szCs w:val="21"/>
          <w:highlight w:val="none"/>
        </w:rPr>
      </w:pPr>
    </w:p>
    <w:p>
      <w:pPr>
        <w:widowControl/>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（6）信息化服务</w:t>
      </w:r>
    </w:p>
    <w:p>
      <w:pPr>
        <w:widowControl/>
        <w:adjustRightInd w:val="0"/>
        <w:snapToGrid w:val="0"/>
        <w:spacing w:line="288" w:lineRule="auto"/>
        <w:jc w:val="left"/>
        <w:rPr>
          <w:rFonts w:hint="eastAsia" w:ascii="宋体" w:hAnsi="宋体" w:eastAsia="宋体" w:cs="宋体"/>
          <w:b/>
          <w:color w:val="auto"/>
          <w:spacing w:val="-6"/>
          <w:szCs w:val="21"/>
          <w:highlight w:val="none"/>
        </w:rPr>
      </w:pPr>
    </w:p>
    <w:p>
      <w:pPr>
        <w:widowControl/>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（7）供货能力</w:t>
      </w:r>
    </w:p>
    <w:p>
      <w:pPr>
        <w:widowControl/>
        <w:adjustRightInd w:val="0"/>
        <w:snapToGrid w:val="0"/>
        <w:spacing w:line="288" w:lineRule="auto"/>
        <w:jc w:val="left"/>
        <w:rPr>
          <w:rFonts w:hint="eastAsia"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（8）投标人需要说明的其他文件和材料</w:t>
      </w: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浙江外国语学院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2023年外文期刊</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QSZB-Z(H)-B22093(GK)</w:t>
      </w:r>
    </w:p>
    <w:p>
      <w:pP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Cs w:val="21"/>
          <w:highlight w:val="none"/>
        </w:rPr>
        <w:t>标    项：</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投标报价</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折扣</w:t>
            </w:r>
            <w:r>
              <w:rPr>
                <w:rFonts w:hint="eastAsia" w:ascii="宋体" w:hAnsi="宋体" w:eastAsia="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auto"/>
                <w:szCs w:val="21"/>
                <w:highlight w:val="none"/>
              </w:rPr>
            </w:pP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w:t>
            </w:r>
            <w:r>
              <w:rPr>
                <w:rFonts w:hint="eastAsia" w:ascii="宋体" w:hAnsi="宋体" w:eastAsia="宋体" w:cs="宋体"/>
                <w:b/>
                <w:bCs/>
                <w:color w:val="auto"/>
                <w:szCs w:val="21"/>
                <w:highlight w:val="none"/>
                <w:lang w:val="en-US" w:eastAsia="zh-CN"/>
              </w:rPr>
              <w:t>百分之</w:t>
            </w:r>
            <w:r>
              <w:rPr>
                <w:rFonts w:hint="eastAsia" w:ascii="宋体" w:hAnsi="宋体" w:eastAsia="宋体" w:cs="宋体"/>
                <w:b/>
                <w:bCs/>
                <w:color w:val="auto"/>
                <w:szCs w:val="21"/>
                <w:highlight w:val="none"/>
              </w:rPr>
              <w:t>____________________小写：__________%____________</w:t>
            </w:r>
          </w:p>
          <w:p>
            <w:pPr>
              <w:rPr>
                <w:rFonts w:ascii="宋体" w:hAnsi="宋体" w:eastAsia="宋体" w:cs="宋体"/>
                <w:b/>
                <w:bCs/>
                <w:color w:val="auto"/>
                <w:szCs w:val="21"/>
                <w:highlight w:val="none"/>
              </w:rPr>
            </w:pPr>
          </w:p>
          <w:p>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p>
            <w:pPr>
              <w:spacing w:line="200" w:lineRule="atLeast"/>
              <w:rPr>
                <w:rFonts w:ascii="宋体" w:hAnsi="宋体" w:eastAsia="宋体" w:cs="Times New Roman"/>
                <w:color w:val="auto"/>
                <w:spacing w:val="-4"/>
                <w:szCs w:val="21"/>
                <w:highlight w:val="none"/>
              </w:rPr>
            </w:pPr>
          </w:p>
        </w:tc>
      </w:tr>
    </w:tbl>
    <w:p>
      <w:pPr>
        <w:spacing w:line="360" w:lineRule="auto"/>
        <w:rPr>
          <w:rFonts w:ascii="宋体" w:hAnsi="宋体" w:eastAsia="宋体" w:cs="Times New Roman"/>
          <w:color w:val="auto"/>
          <w:spacing w:val="-6"/>
          <w:sz w:val="24"/>
          <w:szCs w:val="24"/>
          <w:highlight w:val="none"/>
        </w:rPr>
      </w:pPr>
    </w:p>
    <w:p>
      <w:pPr>
        <w:spacing w:line="360" w:lineRule="auto"/>
        <w:rPr>
          <w:rFonts w:hint="eastAsia" w:ascii="宋体" w:hAnsi="宋体" w:eastAsia="宋体" w:cs="Times New Roman"/>
          <w:b/>
          <w:bCs/>
          <w:color w:val="auto"/>
          <w:spacing w:val="-6"/>
          <w:szCs w:val="21"/>
          <w:highlight w:val="none"/>
        </w:rPr>
      </w:pPr>
    </w:p>
    <w:p>
      <w:pP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1.投标报价包括完成所有产品供货及履行所有规定服务所产生的全部税、费；</w:t>
      </w:r>
    </w:p>
    <w:p>
      <w:pP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此表在不改变格式要求的情况下，可自行制作。</w:t>
      </w:r>
    </w:p>
    <w:p>
      <w:pPr>
        <w:spacing w:line="360"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3.合同价款=书款以</w:t>
      </w:r>
      <w:r>
        <w:rPr>
          <w:rFonts w:hint="eastAsia" w:ascii="宋体" w:hAnsi="宋体" w:eastAsia="宋体" w:cs="Times New Roman"/>
          <w:b/>
          <w:color w:val="auto"/>
          <w:spacing w:val="-6"/>
          <w:szCs w:val="21"/>
          <w:highlight w:val="none"/>
          <w:lang w:val="en-US" w:eastAsia="zh-CN"/>
        </w:rPr>
        <w:t>期刊</w:t>
      </w:r>
      <w:r>
        <w:rPr>
          <w:rFonts w:hint="eastAsia" w:ascii="宋体" w:hAnsi="宋体" w:eastAsia="宋体" w:cs="Times New Roman"/>
          <w:b/>
          <w:color w:val="auto"/>
          <w:spacing w:val="-6"/>
          <w:szCs w:val="21"/>
          <w:highlight w:val="none"/>
        </w:rPr>
        <w:t>码洋*中标折扣数计算。</w:t>
      </w:r>
    </w:p>
    <w:p>
      <w:pPr>
        <w:spacing w:line="360"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4.▲</w:t>
      </w:r>
      <w:r>
        <w:rPr>
          <w:rFonts w:hint="eastAsia" w:ascii="宋体" w:hAnsi="宋体" w:eastAsia="宋体" w:cs="Times New Roman"/>
          <w:b/>
          <w:color w:val="auto"/>
          <w:spacing w:val="-6"/>
          <w:szCs w:val="21"/>
          <w:highlight w:val="none"/>
        </w:rPr>
        <w:t>投标人报折扣，折扣不得超过</w:t>
      </w:r>
      <w:r>
        <w:rPr>
          <w:rFonts w:hint="eastAsia" w:ascii="宋体" w:hAnsi="宋体" w:eastAsia="宋体" w:cs="Times New Roman"/>
          <w:b/>
          <w:color w:val="auto"/>
          <w:spacing w:val="-6"/>
          <w:szCs w:val="21"/>
          <w:highlight w:val="none"/>
          <w:lang w:val="en-US" w:eastAsia="zh-CN"/>
        </w:rPr>
        <w:t>103</w:t>
      </w:r>
      <w:r>
        <w:rPr>
          <w:rFonts w:hint="eastAsia" w:ascii="宋体" w:hAnsi="宋体" w:eastAsia="宋体" w:cs="Times New Roman"/>
          <w:b/>
          <w:color w:val="auto"/>
          <w:spacing w:val="-6"/>
          <w:szCs w:val="21"/>
          <w:highlight w:val="none"/>
        </w:rPr>
        <w:t>%，（即投标折扣高于</w:t>
      </w:r>
      <w:r>
        <w:rPr>
          <w:rFonts w:hint="eastAsia" w:ascii="宋体" w:hAnsi="宋体" w:eastAsia="宋体" w:cs="Times New Roman"/>
          <w:b/>
          <w:color w:val="auto"/>
          <w:spacing w:val="-6"/>
          <w:szCs w:val="21"/>
          <w:highlight w:val="none"/>
          <w:lang w:val="en-US" w:eastAsia="zh-CN"/>
        </w:rPr>
        <w:t>103</w:t>
      </w:r>
      <w:r>
        <w:rPr>
          <w:rFonts w:hint="eastAsia" w:ascii="宋体" w:hAnsi="宋体" w:eastAsia="宋体" w:cs="Times New Roman"/>
          <w:b/>
          <w:color w:val="auto"/>
          <w:spacing w:val="-6"/>
          <w:szCs w:val="21"/>
          <w:highlight w:val="none"/>
        </w:rPr>
        <w:t>%的折扣无效，如投标折扣为</w:t>
      </w:r>
      <w:r>
        <w:rPr>
          <w:rFonts w:hint="eastAsia" w:ascii="宋体" w:hAnsi="宋体" w:eastAsia="宋体" w:cs="Times New Roman"/>
          <w:b/>
          <w:color w:val="auto"/>
          <w:spacing w:val="-6"/>
          <w:szCs w:val="21"/>
          <w:highlight w:val="none"/>
          <w:lang w:val="en-US" w:eastAsia="zh-CN"/>
        </w:rPr>
        <w:t>104</w:t>
      </w:r>
      <w:r>
        <w:rPr>
          <w:rFonts w:hint="eastAsia" w:ascii="宋体" w:hAnsi="宋体" w:eastAsia="宋体" w:cs="Times New Roman"/>
          <w:b/>
          <w:color w:val="auto"/>
          <w:spacing w:val="-6"/>
          <w:szCs w:val="21"/>
          <w:highlight w:val="none"/>
        </w:rPr>
        <w:t>%的投标折扣无效，投标折扣为</w:t>
      </w:r>
      <w:r>
        <w:rPr>
          <w:rFonts w:hint="eastAsia" w:ascii="宋体" w:hAnsi="宋体" w:eastAsia="宋体" w:cs="Times New Roman"/>
          <w:b/>
          <w:color w:val="auto"/>
          <w:spacing w:val="-6"/>
          <w:szCs w:val="21"/>
          <w:highlight w:val="none"/>
          <w:lang w:val="en-US" w:eastAsia="zh-CN"/>
        </w:rPr>
        <w:t>102</w:t>
      </w:r>
      <w:r>
        <w:rPr>
          <w:rFonts w:hint="eastAsia" w:ascii="宋体" w:hAnsi="宋体" w:eastAsia="宋体" w:cs="Times New Roman"/>
          <w:b/>
          <w:color w:val="auto"/>
          <w:spacing w:val="-6"/>
          <w:szCs w:val="21"/>
          <w:highlight w:val="none"/>
        </w:rPr>
        <w:t>%的折扣率有效）。</w:t>
      </w:r>
    </w:p>
    <w:p>
      <w:pPr>
        <w:spacing w:line="360" w:lineRule="auto"/>
        <w:rPr>
          <w:rFonts w:hint="eastAsia" w:ascii="宋体" w:hAnsi="宋体" w:eastAsia="宋体" w:cs="Times New Roman"/>
          <w:b/>
          <w:color w:val="auto"/>
          <w:spacing w:val="-6"/>
          <w:szCs w:val="21"/>
          <w:highlight w:val="none"/>
          <w:lang w:val="en-US" w:eastAsia="zh-CN"/>
        </w:rPr>
      </w:pP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《中小企业声明函》填写不全的，视为未提供《中小企业声明函》（从业人员、营业收入、资产总额在中小企业划型标准规定中不涉及的除外），不享受价格优惠。</w:t>
      </w:r>
      <w:r>
        <w:rPr>
          <w:rFonts w:ascii="宋体" w:hAnsi="宋体" w:eastAsia="宋体" w:cs="宋体"/>
          <w:color w:val="auto"/>
          <w:szCs w:val="21"/>
          <w:highlight w:val="none"/>
        </w:rPr>
        <w:t>如项目包含“多件”标的物的，需按标的物项数逐项填写。</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3%的扣除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3%的扣除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uppressAutoHyphens/>
        <w:spacing w:after="180"/>
        <w:outlineLvl w:val="0"/>
        <w:rPr>
          <w:rFonts w:ascii="宋体" w:hAnsi="宋体" w:eastAsia="宋体" w:cs="宋体"/>
          <w:b/>
          <w:color w:val="auto"/>
          <w:spacing w:val="-6"/>
          <w:kern w:val="0"/>
          <w:sz w:val="24"/>
          <w:szCs w:val="20"/>
          <w:highlight w:val="none"/>
        </w:rPr>
      </w:pPr>
      <w:r>
        <w:rPr>
          <w:rFonts w:hint="eastAsia" w:ascii="宋体" w:hAnsi="宋体" w:eastAsia="宋体" w:cs="宋体"/>
          <w:b/>
          <w:color w:val="auto"/>
          <w:spacing w:val="-6"/>
          <w:kern w:val="0"/>
          <w:sz w:val="24"/>
          <w:szCs w:val="20"/>
          <w:highlight w:val="none"/>
          <w:lang w:val="en-US" w:eastAsia="zh-CN"/>
        </w:rPr>
        <w:t>附件4</w:t>
      </w:r>
      <w:r>
        <w:rPr>
          <w:rFonts w:hint="eastAsia" w:ascii="宋体" w:hAnsi="宋体" w:eastAsia="宋体" w:cs="宋体"/>
          <w:b/>
          <w:color w:val="auto"/>
          <w:spacing w:val="-6"/>
          <w:kern w:val="0"/>
          <w:sz w:val="24"/>
          <w:szCs w:val="20"/>
          <w:highlight w:val="none"/>
        </w:rPr>
        <w:t>：</w:t>
      </w:r>
    </w:p>
    <w:p>
      <w:pPr>
        <w:suppressAutoHyphens/>
        <w:spacing w:after="180"/>
        <w:jc w:val="center"/>
        <w:outlineLvl w:val="0"/>
        <w:rPr>
          <w:rFonts w:ascii="宋体" w:hAnsi="宋体" w:eastAsia="宋体" w:cs="宋体"/>
          <w:color w:val="auto"/>
          <w:kern w:val="0"/>
          <w:sz w:val="24"/>
          <w:szCs w:val="24"/>
          <w:highlight w:val="none"/>
        </w:rPr>
      </w:pPr>
      <w:r>
        <w:rPr>
          <w:rFonts w:hint="eastAsia" w:ascii="宋体" w:hAnsi="宋体" w:eastAsia="宋体" w:cs="宋体"/>
          <w:b/>
          <w:color w:val="auto"/>
          <w:spacing w:val="-6"/>
          <w:kern w:val="0"/>
          <w:sz w:val="24"/>
          <w:szCs w:val="20"/>
          <w:highlight w:val="none"/>
        </w:rPr>
        <w:t>政府</w:t>
      </w:r>
      <w:r>
        <w:rPr>
          <w:rFonts w:hint="eastAsia" w:ascii="宋体" w:hAnsi="宋体" w:eastAsia="宋体" w:cs="宋体"/>
          <w:b/>
          <w:color w:val="auto"/>
          <w:kern w:val="0"/>
          <w:sz w:val="24"/>
          <w:szCs w:val="24"/>
          <w:highlight w:val="none"/>
        </w:rPr>
        <w:t>采购活动现场确认声明书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浙江求是招标代理有限公司：</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（单位）负责人（法人代表）</w:t>
      </w:r>
    </w:p>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（姓名）合法授权参加</w:t>
      </w:r>
      <w:r>
        <w:rPr>
          <w:rFonts w:hint="eastAsia" w:ascii="宋体" w:hAnsi="宋体" w:eastAsia="宋体" w:cs="宋体"/>
          <w:color w:val="auto"/>
          <w:sz w:val="24"/>
          <w:szCs w:val="24"/>
          <w:highlight w:val="none"/>
          <w:lang w:eastAsia="zh-CN"/>
        </w:rPr>
        <w:t>浙江外国语学院2023年外文期刊</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QSZB-Z(H)-B22093(GK)</w:t>
      </w:r>
      <w:r>
        <w:rPr>
          <w:rFonts w:hint="eastAsia" w:ascii="宋体" w:hAnsi="宋体" w:eastAsia="宋体" w:cs="宋体"/>
          <w:color w:val="auto"/>
          <w:sz w:val="24"/>
          <w:szCs w:val="24"/>
          <w:highlight w:val="none"/>
        </w:rPr>
        <w:t>）采购活动，经与本单位法人代表（负责人）联系确认，现就有关公平竞争事项郑重声明如下：</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□不存在利害关系；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□存在下列利害关系：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D.其他可能影响采购公正的利害关系（如有，请如实说明）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二、现已清楚知道参加本项目采购活动的其他所有投标人名称，本单位：</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□与其他所有投标人之间均不存在利害关系；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（投标人名称）之间存在下列利害关系：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A.法定代表人或负责人或实际控制人是同一人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B.法定代表人或负责人或实际控制人是夫妻关系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C.法定代表人或负责人或实际控制人是直系血亲关系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D.法定代表人或负责人或实际控制人存在三代以内旁系血亲关系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E.法定代表人或负责人或实际控制人存在近姻亲关系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F.法定代表人或负责人或实际控制人存在股份控制或实际控制关系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G.存在共同直接或间接投资设立子公司、联营企业和合营企业情况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I.其他利害关系情况。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三、现已清楚知道并严格遵守政府采购法律法规和现场纪律。</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投标人代表（签名）：</w:t>
      </w:r>
    </w:p>
    <w:p>
      <w:pPr>
        <w:spacing w:line="360" w:lineRule="auto"/>
        <w:jc w:val="righ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2022年5月18日</w:t>
      </w:r>
    </w:p>
    <w:p>
      <w:pPr>
        <w:spacing w:line="288" w:lineRule="auto"/>
        <w:rPr>
          <w:rFonts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备注：投标人须在投标文件解密后，通过电子邮件形式，向邮箱地址（</w:t>
      </w:r>
      <w:r>
        <w:rPr>
          <w:rFonts w:hint="eastAsia" w:ascii="宋体" w:hAnsi="宋体" w:eastAsia="宋体" w:cs="宋体"/>
          <w:b/>
          <w:bCs/>
          <w:color w:val="auto"/>
          <w:szCs w:val="21"/>
          <w:highlight w:val="none"/>
        </w:rPr>
        <w:t>zb02@qszb.net</w:t>
      </w:r>
      <w:r>
        <w:rPr>
          <w:rFonts w:hint="eastAsia" w:ascii="宋体" w:hAnsi="宋体" w:eastAsia="宋体" w:cs="宋体"/>
          <w:b/>
          <w:bCs/>
          <w:color w:val="auto"/>
          <w:sz w:val="24"/>
          <w:szCs w:val="24"/>
          <w:highlight w:val="none"/>
        </w:rPr>
        <w:t>）发送《政府采购活动现场确认声明书》（上表）。</w:t>
      </w:r>
    </w:p>
    <w:p>
      <w:pPr>
        <w:adjustRightInd w:val="0"/>
        <w:snapToGrid w:val="0"/>
        <w:spacing w:line="288" w:lineRule="auto"/>
        <w:rPr>
          <w:rFonts w:hint="eastAsia" w:eastAsiaTheme="minorEastAsia"/>
          <w:highlight w:val="none"/>
          <w:lang w:val="en-US" w:eastAsia="zh-CN"/>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118E2C"/>
    <w:multiLevelType w:val="singleLevel"/>
    <w:tmpl w:val="54118E2C"/>
    <w:lvl w:ilvl="0" w:tentative="0">
      <w:start w:val="1"/>
      <w:numFmt w:val="decimal"/>
      <w:suff w:val="nothing"/>
      <w:lvlText w:val="%1、"/>
      <w:lvlJc w:val="left"/>
    </w:lvl>
  </w:abstractNum>
  <w:abstractNum w:abstractNumId="2">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26"/>
    <w:rsid w:val="000009E4"/>
    <w:rsid w:val="0000114F"/>
    <w:rsid w:val="0000436F"/>
    <w:rsid w:val="00005066"/>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1F2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17E3"/>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17F83"/>
    <w:rsid w:val="0043170C"/>
    <w:rsid w:val="004327AE"/>
    <w:rsid w:val="00433671"/>
    <w:rsid w:val="004430E8"/>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53A68"/>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B83"/>
    <w:rsid w:val="00785D4D"/>
    <w:rsid w:val="0078688E"/>
    <w:rsid w:val="00787700"/>
    <w:rsid w:val="007910A8"/>
    <w:rsid w:val="00791D7E"/>
    <w:rsid w:val="0079274B"/>
    <w:rsid w:val="00792E7D"/>
    <w:rsid w:val="007958CB"/>
    <w:rsid w:val="00796DBA"/>
    <w:rsid w:val="007A1535"/>
    <w:rsid w:val="007A2697"/>
    <w:rsid w:val="007A3332"/>
    <w:rsid w:val="007A4000"/>
    <w:rsid w:val="007A6DC4"/>
    <w:rsid w:val="007A7660"/>
    <w:rsid w:val="007A7E00"/>
    <w:rsid w:val="007B23A4"/>
    <w:rsid w:val="007B2A33"/>
    <w:rsid w:val="007B3510"/>
    <w:rsid w:val="007B70E0"/>
    <w:rsid w:val="007C2C06"/>
    <w:rsid w:val="007D0155"/>
    <w:rsid w:val="007D0409"/>
    <w:rsid w:val="007D0DB5"/>
    <w:rsid w:val="007D299D"/>
    <w:rsid w:val="007D3533"/>
    <w:rsid w:val="007D5A95"/>
    <w:rsid w:val="007D736C"/>
    <w:rsid w:val="007D7DBA"/>
    <w:rsid w:val="007E0063"/>
    <w:rsid w:val="007E13AE"/>
    <w:rsid w:val="007E1841"/>
    <w:rsid w:val="007E5D59"/>
    <w:rsid w:val="007E6466"/>
    <w:rsid w:val="007E6782"/>
    <w:rsid w:val="007E74B9"/>
    <w:rsid w:val="007E7D3E"/>
    <w:rsid w:val="007F03A4"/>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193F"/>
    <w:rsid w:val="0083275D"/>
    <w:rsid w:val="008331E4"/>
    <w:rsid w:val="0083518C"/>
    <w:rsid w:val="00835258"/>
    <w:rsid w:val="00836C7B"/>
    <w:rsid w:val="00837A11"/>
    <w:rsid w:val="008400F7"/>
    <w:rsid w:val="00843CE6"/>
    <w:rsid w:val="00845785"/>
    <w:rsid w:val="0084594D"/>
    <w:rsid w:val="0084629B"/>
    <w:rsid w:val="008470A5"/>
    <w:rsid w:val="008524BA"/>
    <w:rsid w:val="00854FBA"/>
    <w:rsid w:val="00860FD0"/>
    <w:rsid w:val="008629F4"/>
    <w:rsid w:val="0087038D"/>
    <w:rsid w:val="008800E3"/>
    <w:rsid w:val="008807C0"/>
    <w:rsid w:val="00884F72"/>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5717F"/>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A6F59"/>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3711A"/>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E55A5"/>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1E65"/>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55AA"/>
    <w:rsid w:val="00C87192"/>
    <w:rsid w:val="00C96C41"/>
    <w:rsid w:val="00C97128"/>
    <w:rsid w:val="00CA086A"/>
    <w:rsid w:val="00CA1738"/>
    <w:rsid w:val="00CA1B4D"/>
    <w:rsid w:val="00CA245C"/>
    <w:rsid w:val="00CA3E2A"/>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56B5"/>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4D1"/>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3D48"/>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F81427"/>
    <w:rsid w:val="03F93561"/>
    <w:rsid w:val="05D34727"/>
    <w:rsid w:val="0819430C"/>
    <w:rsid w:val="08931933"/>
    <w:rsid w:val="0B4A1776"/>
    <w:rsid w:val="0C786503"/>
    <w:rsid w:val="0D1A04C9"/>
    <w:rsid w:val="0D32456B"/>
    <w:rsid w:val="10757130"/>
    <w:rsid w:val="112B34AD"/>
    <w:rsid w:val="11997CBC"/>
    <w:rsid w:val="11FF5827"/>
    <w:rsid w:val="14A32A17"/>
    <w:rsid w:val="15604EDB"/>
    <w:rsid w:val="16AD4344"/>
    <w:rsid w:val="18090C43"/>
    <w:rsid w:val="18FB5F15"/>
    <w:rsid w:val="19910A50"/>
    <w:rsid w:val="1B321622"/>
    <w:rsid w:val="1DCA6DAA"/>
    <w:rsid w:val="1F9C38D3"/>
    <w:rsid w:val="20767551"/>
    <w:rsid w:val="21DB64E2"/>
    <w:rsid w:val="221C4C30"/>
    <w:rsid w:val="22A70B6C"/>
    <w:rsid w:val="23C14303"/>
    <w:rsid w:val="23FF4622"/>
    <w:rsid w:val="2735777A"/>
    <w:rsid w:val="27432BC1"/>
    <w:rsid w:val="27F0275A"/>
    <w:rsid w:val="28580092"/>
    <w:rsid w:val="28BC23D4"/>
    <w:rsid w:val="2AA10ED5"/>
    <w:rsid w:val="2ADA0518"/>
    <w:rsid w:val="2C921974"/>
    <w:rsid w:val="2DBE14C9"/>
    <w:rsid w:val="2F6A64D8"/>
    <w:rsid w:val="2FAF2205"/>
    <w:rsid w:val="30616EA9"/>
    <w:rsid w:val="31A44D82"/>
    <w:rsid w:val="32BE120D"/>
    <w:rsid w:val="330C0EF9"/>
    <w:rsid w:val="33506DE6"/>
    <w:rsid w:val="35A54CED"/>
    <w:rsid w:val="371872E3"/>
    <w:rsid w:val="37534CA7"/>
    <w:rsid w:val="37D824F1"/>
    <w:rsid w:val="38692958"/>
    <w:rsid w:val="3B0C4DFA"/>
    <w:rsid w:val="3C4D26C6"/>
    <w:rsid w:val="3D044EFC"/>
    <w:rsid w:val="3E6946AD"/>
    <w:rsid w:val="3EB60CB3"/>
    <w:rsid w:val="3EC436F9"/>
    <w:rsid w:val="3F740895"/>
    <w:rsid w:val="3FB93DC6"/>
    <w:rsid w:val="402A691C"/>
    <w:rsid w:val="42247622"/>
    <w:rsid w:val="422E66F3"/>
    <w:rsid w:val="42377389"/>
    <w:rsid w:val="4275164D"/>
    <w:rsid w:val="42C96C7F"/>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54E6467"/>
    <w:rsid w:val="67FF1998"/>
    <w:rsid w:val="680D1D99"/>
    <w:rsid w:val="69431270"/>
    <w:rsid w:val="6A7F4F75"/>
    <w:rsid w:val="6ACA16F9"/>
    <w:rsid w:val="6B16774A"/>
    <w:rsid w:val="6ECE2681"/>
    <w:rsid w:val="71255B40"/>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5"/>
    <w:basedOn w:val="1"/>
    <w:next w:val="1"/>
    <w:qFormat/>
    <w:uiPriority w:val="0"/>
    <w:pPr>
      <w:keepNext/>
      <w:keepLines/>
      <w:spacing w:after="120" w:line="360" w:lineRule="auto"/>
      <w:outlineLvl w:val="4"/>
    </w:pPr>
    <w:rPr>
      <w:rFonts w:ascii="Calibri" w:hAnsi="Calibri" w:eastAsia="微软雅黑" w:cs="Times New Roman"/>
      <w:b/>
      <w:bCs/>
      <w:sz w:val="28"/>
      <w:szCs w:val="24"/>
    </w:rPr>
  </w:style>
  <w:style w:type="character" w:default="1" w:styleId="24">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89"/>
    <w:unhideWhenUsed/>
    <w:qFormat/>
    <w:uiPriority w:val="99"/>
    <w:pPr>
      <w:ind w:firstLine="420"/>
    </w:pPr>
  </w:style>
  <w:style w:type="paragraph" w:styleId="3">
    <w:name w:val="Body Text Indent"/>
    <w:basedOn w:val="1"/>
    <w:next w:val="1"/>
    <w:link w:val="71"/>
    <w:qFormat/>
    <w:uiPriority w:val="0"/>
    <w:pPr>
      <w:spacing w:line="200" w:lineRule="atLeast"/>
      <w:ind w:firstLine="301"/>
    </w:pPr>
    <w:rPr>
      <w:rFonts w:ascii="宋体" w:hAnsi="Courier New"/>
      <w:spacing w:val="-4"/>
      <w:sz w:val="18"/>
    </w:rPr>
  </w:style>
  <w:style w:type="paragraph" w:styleId="8">
    <w:name w:val="annotation subject"/>
    <w:basedOn w:val="9"/>
    <w:next w:val="9"/>
    <w:link w:val="57"/>
    <w:unhideWhenUsed/>
    <w:qFormat/>
    <w:uiPriority w:val="99"/>
    <w:rPr>
      <w:b/>
      <w:bCs/>
      <w:sz w:val="28"/>
      <w:szCs w:val="24"/>
    </w:rPr>
  </w:style>
  <w:style w:type="paragraph" w:styleId="9">
    <w:name w:val="annotation text"/>
    <w:basedOn w:val="1"/>
    <w:link w:val="81"/>
    <w:unhideWhenUsed/>
    <w:qFormat/>
    <w:uiPriority w:val="99"/>
    <w:pPr>
      <w:jc w:val="left"/>
    </w:pPr>
  </w:style>
  <w:style w:type="paragraph" w:styleId="10">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1">
    <w:name w:val="Normal Indent"/>
    <w:basedOn w:val="1"/>
    <w:link w:val="47"/>
    <w:qFormat/>
    <w:uiPriority w:val="0"/>
    <w:pPr>
      <w:ind w:firstLine="420"/>
    </w:pPr>
    <w:rPr>
      <w:rFonts w:eastAsia="宋体"/>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44"/>
    <w:unhideWhenUsed/>
    <w:qFormat/>
    <w:uiPriority w:val="99"/>
    <w:rPr>
      <w:rFonts w:ascii="宋体"/>
      <w:sz w:val="18"/>
      <w:szCs w:val="18"/>
    </w:rPr>
  </w:style>
  <w:style w:type="paragraph" w:styleId="14">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5"/>
    <w:qFormat/>
    <w:uiPriority w:val="0"/>
    <w:rPr>
      <w:rFonts w:ascii="Times New Roman" w:hAnsi="Times New Roman" w:eastAsia="宋体" w:cs="Times New Roman"/>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nhideWhenUsed/>
    <w:qFormat/>
    <w:uiPriority w:val="99"/>
    <w:rPr>
      <w:color w:val="5579A7"/>
      <w:u w:val="none"/>
    </w:rPr>
  </w:style>
  <w:style w:type="character" w:styleId="28">
    <w:name w:val="HTML Definition"/>
    <w:unhideWhenUsed/>
    <w:qFormat/>
    <w:uiPriority w:val="99"/>
    <w:rPr>
      <w:i/>
    </w:rPr>
  </w:style>
  <w:style w:type="character" w:styleId="29">
    <w:name w:val="Hyperlink"/>
    <w:qFormat/>
    <w:uiPriority w:val="0"/>
    <w:rPr>
      <w:color w:val="5579A7"/>
      <w:u w:val="none"/>
    </w:rPr>
  </w:style>
  <w:style w:type="character" w:styleId="30">
    <w:name w:val="HTML Code"/>
    <w:unhideWhenUsed/>
    <w:qFormat/>
    <w:uiPriority w:val="99"/>
    <w:rPr>
      <w:rFonts w:ascii="-apple-system" w:hAnsi="-apple-system" w:eastAsia="-apple-system" w:cs="-apple-system"/>
      <w:sz w:val="21"/>
      <w:szCs w:val="21"/>
    </w:rPr>
  </w:style>
  <w:style w:type="character" w:styleId="31">
    <w:name w:val="annotation reference"/>
    <w:unhideWhenUsed/>
    <w:qFormat/>
    <w:uiPriority w:val="99"/>
    <w:rPr>
      <w:sz w:val="21"/>
      <w:szCs w:val="21"/>
    </w:rPr>
  </w:style>
  <w:style w:type="character" w:styleId="32">
    <w:name w:val="HTML Keyboard"/>
    <w:unhideWhenUsed/>
    <w:qFormat/>
    <w:uiPriority w:val="99"/>
    <w:rPr>
      <w:rFonts w:hint="default" w:ascii="-apple-system" w:hAnsi="-apple-system" w:eastAsia="-apple-system" w:cs="-apple-system"/>
      <w:sz w:val="21"/>
      <w:szCs w:val="21"/>
    </w:rPr>
  </w:style>
  <w:style w:type="character" w:styleId="33">
    <w:name w:val="HTML Sample"/>
    <w:unhideWhenUsed/>
    <w:qFormat/>
    <w:uiPriority w:val="99"/>
    <w:rPr>
      <w:rFonts w:hint="default" w:ascii="-apple-system" w:hAnsi="-apple-system" w:eastAsia="-apple-system" w:cs="-apple-system"/>
      <w:sz w:val="21"/>
      <w:szCs w:val="21"/>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页眉 Char"/>
    <w:basedOn w:val="24"/>
    <w:link w:val="20"/>
    <w:qFormat/>
    <w:uiPriority w:val="99"/>
    <w:rPr>
      <w:sz w:val="18"/>
      <w:szCs w:val="18"/>
    </w:rPr>
  </w:style>
  <w:style w:type="character" w:customStyle="1" w:styleId="37">
    <w:name w:val="页脚 Char"/>
    <w:basedOn w:val="24"/>
    <w:link w:val="19"/>
    <w:qFormat/>
    <w:uiPriority w:val="99"/>
    <w:rPr>
      <w:sz w:val="18"/>
      <w:szCs w:val="18"/>
    </w:rPr>
  </w:style>
  <w:style w:type="character" w:customStyle="1" w:styleId="38">
    <w:name w:val="标题 1 Char"/>
    <w:basedOn w:val="24"/>
    <w:link w:val="4"/>
    <w:qFormat/>
    <w:uiPriority w:val="9"/>
    <w:rPr>
      <w:rFonts w:ascii="Times New Roman" w:hAnsi="Times New Roman" w:eastAsia="宋体" w:cs="Times New Roman"/>
      <w:b/>
      <w:bCs/>
      <w:kern w:val="44"/>
      <w:sz w:val="44"/>
      <w:szCs w:val="44"/>
    </w:rPr>
  </w:style>
  <w:style w:type="character" w:customStyle="1" w:styleId="39">
    <w:name w:val="标题 2 Char"/>
    <w:basedOn w:val="24"/>
    <w:link w:val="5"/>
    <w:qFormat/>
    <w:uiPriority w:val="9"/>
    <w:rPr>
      <w:rFonts w:ascii="Cambria" w:hAnsi="Cambria" w:eastAsia="宋体" w:cs="Times New Roman"/>
      <w:b/>
      <w:bCs/>
      <w:sz w:val="32"/>
      <w:szCs w:val="32"/>
    </w:rPr>
  </w:style>
  <w:style w:type="character" w:customStyle="1" w:styleId="40">
    <w:name w:val="标题 3 Char"/>
    <w:basedOn w:val="24"/>
    <w:link w:val="6"/>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Char"/>
    <w:link w:val="13"/>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4"/>
    <w:qFormat/>
    <w:uiPriority w:val="0"/>
  </w:style>
  <w:style w:type="character" w:customStyle="1" w:styleId="47">
    <w:name w:val="正文缩进 Char"/>
    <w:link w:val="11"/>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4"/>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4"/>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Char2"/>
    <w:link w:val="16"/>
    <w:qFormat/>
    <w:uiPriority w:val="99"/>
    <w:rPr>
      <w:rFonts w:ascii="宋体" w:hAnsi="Courier New"/>
      <w:sz w:val="24"/>
      <w:szCs w:val="24"/>
    </w:rPr>
  </w:style>
  <w:style w:type="character" w:customStyle="1" w:styleId="57">
    <w:name w:val="批注主题 Char"/>
    <w:link w:val="8"/>
    <w:qFormat/>
    <w:uiPriority w:val="99"/>
    <w:rPr>
      <w:b/>
      <w:bCs/>
      <w:sz w:val="28"/>
      <w:szCs w:val="24"/>
    </w:rPr>
  </w:style>
  <w:style w:type="character" w:customStyle="1" w:styleId="58">
    <w:name w:val="jbox-icon-loading"/>
    <w:basedOn w:val="24"/>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4"/>
    <w:qFormat/>
    <w:uiPriority w:val="0"/>
  </w:style>
  <w:style w:type="character" w:customStyle="1" w:styleId="63">
    <w:name w:val="jbox-icon"/>
    <w:basedOn w:val="24"/>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4"/>
    <w:qFormat/>
    <w:uiPriority w:val="0"/>
  </w:style>
  <w:style w:type="character" w:customStyle="1" w:styleId="66">
    <w:name w:val="jbox-icon-success"/>
    <w:basedOn w:val="24"/>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4"/>
    <w:qFormat/>
    <w:uiPriority w:val="0"/>
  </w:style>
  <w:style w:type="character" w:customStyle="1" w:styleId="71">
    <w:name w:val="正文文本缩进 Char"/>
    <w:link w:val="3"/>
    <w:qFormat/>
    <w:uiPriority w:val="0"/>
    <w:rPr>
      <w:rFonts w:ascii="宋体" w:hAnsi="Courier New"/>
      <w:spacing w:val="-4"/>
      <w:sz w:val="18"/>
    </w:rPr>
  </w:style>
  <w:style w:type="character" w:customStyle="1" w:styleId="72">
    <w:name w:val="jbox-icon-error"/>
    <w:basedOn w:val="24"/>
    <w:qFormat/>
    <w:uiPriority w:val="0"/>
  </w:style>
  <w:style w:type="character" w:customStyle="1" w:styleId="73">
    <w:name w:val="正文文本 2 Char"/>
    <w:basedOn w:val="24"/>
    <w:link w:val="22"/>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4"/>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Char"/>
    <w:basedOn w:val="24"/>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4"/>
    <w:semiHidden/>
    <w:qFormat/>
    <w:uiPriority w:val="99"/>
    <w:rPr>
      <w:rFonts w:ascii="Microsoft YaHei UI" w:eastAsia="Microsoft YaHei UI"/>
      <w:sz w:val="18"/>
      <w:szCs w:val="18"/>
    </w:rPr>
  </w:style>
  <w:style w:type="character" w:customStyle="1" w:styleId="84">
    <w:name w:val="正文文本 Char"/>
    <w:basedOn w:val="24"/>
    <w:link w:val="14"/>
    <w:qFormat/>
    <w:uiPriority w:val="99"/>
    <w:rPr>
      <w:rFonts w:ascii="Times New Roman" w:hAnsi="Times New Roman" w:eastAsia="宋体" w:cs="Times New Roman"/>
      <w:sz w:val="28"/>
      <w:szCs w:val="24"/>
    </w:rPr>
  </w:style>
  <w:style w:type="character" w:customStyle="1" w:styleId="85">
    <w:name w:val="批注框文本 Char"/>
    <w:basedOn w:val="24"/>
    <w:link w:val="18"/>
    <w:qFormat/>
    <w:uiPriority w:val="0"/>
    <w:rPr>
      <w:rFonts w:ascii="Times New Roman" w:hAnsi="Times New Roman" w:eastAsia="宋体" w:cs="Times New Roman"/>
      <w:sz w:val="18"/>
      <w:szCs w:val="18"/>
    </w:rPr>
  </w:style>
  <w:style w:type="character" w:customStyle="1" w:styleId="86">
    <w:name w:val="正文文本缩进 字符3"/>
    <w:basedOn w:val="24"/>
    <w:semiHidden/>
    <w:qFormat/>
    <w:uiPriority w:val="99"/>
  </w:style>
  <w:style w:type="character" w:customStyle="1" w:styleId="87">
    <w:name w:val="日期 Char"/>
    <w:basedOn w:val="24"/>
    <w:link w:val="17"/>
    <w:qFormat/>
    <w:uiPriority w:val="0"/>
    <w:rPr>
      <w:rFonts w:ascii="Times New Roman" w:hAnsi="Times New Roman" w:eastAsia="楷体_GB2312" w:cs="Times New Roman"/>
      <w:sz w:val="32"/>
      <w:szCs w:val="20"/>
    </w:rPr>
  </w:style>
  <w:style w:type="character" w:customStyle="1" w:styleId="88">
    <w:name w:val="纯文本 字符3"/>
    <w:basedOn w:val="24"/>
    <w:semiHidden/>
    <w:qFormat/>
    <w:uiPriority w:val="99"/>
    <w:rPr>
      <w:rFonts w:hAnsi="Courier New" w:cs="Courier New" w:asciiTheme="minorEastAsia"/>
    </w:rPr>
  </w:style>
  <w:style w:type="character" w:customStyle="1" w:styleId="89">
    <w:name w:val="正文首行缩进 2 Char"/>
    <w:basedOn w:val="86"/>
    <w:link w:val="2"/>
    <w:qFormat/>
    <w:uiPriority w:val="99"/>
    <w:rPr>
      <w:rFonts w:ascii="宋体" w:hAnsi="Courier New"/>
      <w:spacing w:val="-4"/>
      <w:sz w:val="18"/>
    </w:rPr>
  </w:style>
  <w:style w:type="character" w:customStyle="1" w:styleId="90">
    <w:name w:val="z-窗体底端 字符1"/>
    <w:basedOn w:val="24"/>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4"/>
    <w:semiHidden/>
    <w:unhideWhenUsed/>
    <w:qFormat/>
    <w:uiPriority w:val="99"/>
    <w:rPr>
      <w:color w:val="605E5C"/>
      <w:shd w:val="clear" w:color="auto" w:fill="E1DFDD"/>
    </w:rPr>
  </w:style>
  <w:style w:type="character" w:customStyle="1" w:styleId="107">
    <w:name w:val="Unresolved Mention"/>
    <w:basedOn w:val="24"/>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character" w:customStyle="1" w:styleId="109">
    <w:name w:val="font01"/>
    <w:basedOn w:val="24"/>
    <w:qFormat/>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000000"/>
      <w:sz w:val="20"/>
      <w:szCs w:val="20"/>
      <w:u w:val="none"/>
    </w:rPr>
  </w:style>
  <w:style w:type="character" w:customStyle="1" w:styleId="111">
    <w:name w:val="font61"/>
    <w:basedOn w:val="2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9834E-A0FF-41EB-8800-4A2B7DC30C3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26986</Words>
  <Characters>28448</Characters>
  <Lines>255</Lines>
  <Paragraphs>72</Paragraphs>
  <TotalTime>6</TotalTime>
  <ScaleCrop>false</ScaleCrop>
  <LinksUpToDate>false</LinksUpToDate>
  <CharactersWithSpaces>29652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2022-04-27T06:47:39Z</dcterms:modified>
  <cp:revision>802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707A49405ECC45499144F5C9A9F5F4DF</vt:lpwstr>
  </property>
</Properties>
</file>