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中国美术学院</w:t>
      </w:r>
    </w:p>
    <w:p>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校园建设和管理处空调维保服务</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校园建设和管理处空调维保服务</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QSZB-Z(F)-C22029(CS) </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Times New Roman"/>
          <w:b/>
          <w:color w:val="auto"/>
          <w:spacing w:val="-6"/>
          <w:sz w:val="30"/>
          <w:szCs w:val="30"/>
          <w:highlight w:val="none"/>
        </w:rPr>
        <w:t>[2022]5972号</w:t>
      </w:r>
      <w:r>
        <w:rPr>
          <w:rFonts w:hint="eastAsia" w:ascii="楷体" w:hAnsi="楷体" w:eastAsia="楷体" w:cs="Times New Roman"/>
          <w:b/>
          <w:color w:val="auto"/>
          <w:spacing w:val="-6"/>
          <w:sz w:val="30"/>
          <w:szCs w:val="30"/>
          <w:highlight w:val="none"/>
          <w:lang w:eastAsia="zh-CN"/>
        </w:rPr>
        <w:t>、[2022]597</w:t>
      </w:r>
      <w:r>
        <w:rPr>
          <w:rFonts w:hint="eastAsia" w:ascii="楷体" w:hAnsi="楷体" w:eastAsia="楷体" w:cs="Times New Roman"/>
          <w:b/>
          <w:color w:val="auto"/>
          <w:spacing w:val="-6"/>
          <w:sz w:val="30"/>
          <w:szCs w:val="30"/>
          <w:highlight w:val="none"/>
          <w:lang w:val="en-US" w:eastAsia="zh-CN"/>
        </w:rPr>
        <w:t>3</w:t>
      </w:r>
      <w:r>
        <w:rPr>
          <w:rFonts w:hint="eastAsia" w:ascii="楷体" w:hAnsi="楷体" w:eastAsia="楷体" w:cs="Times New Roman"/>
          <w:b/>
          <w:color w:val="auto"/>
          <w:spacing w:val="-6"/>
          <w:sz w:val="30"/>
          <w:szCs w:val="30"/>
          <w:highlight w:val="none"/>
          <w:lang w:eastAsia="zh-CN"/>
        </w:rPr>
        <w:t>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602" w:firstLineChars="200"/>
        <w:rPr>
          <w:rFonts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校园建设和管理处空调维保服务</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w:t>
      </w:r>
      <w:r>
        <w:rPr>
          <w:rFonts w:hint="eastAsia"/>
          <w:b/>
          <w:color w:val="auto"/>
          <w:sz w:val="21"/>
          <w:szCs w:val="21"/>
          <w:highlight w:val="none"/>
          <w:u w:val="single"/>
          <w:lang w:val="en-US" w:eastAsia="zh-CN"/>
        </w:rPr>
        <w:t>2</w:t>
      </w:r>
      <w:r>
        <w:rPr>
          <w:rFonts w:hint="eastAsia"/>
          <w:b/>
          <w:color w:val="auto"/>
          <w:sz w:val="21"/>
          <w:szCs w:val="21"/>
          <w:highlight w:val="none"/>
          <w:u w:val="single"/>
        </w:rPr>
        <w:t>年</w:t>
      </w:r>
      <w:r>
        <w:rPr>
          <w:rFonts w:hint="eastAsia"/>
          <w:b/>
          <w:color w:val="auto"/>
          <w:sz w:val="21"/>
          <w:szCs w:val="21"/>
          <w:highlight w:val="none"/>
          <w:u w:val="single"/>
          <w:lang w:val="en-US" w:eastAsia="zh-CN"/>
        </w:rPr>
        <w:t>3</w:t>
      </w:r>
      <w:r>
        <w:rPr>
          <w:rFonts w:hint="eastAsia"/>
          <w:b/>
          <w:color w:val="auto"/>
          <w:sz w:val="21"/>
          <w:szCs w:val="21"/>
          <w:highlight w:val="none"/>
          <w:u w:val="single"/>
        </w:rPr>
        <w:t>月</w:t>
      </w:r>
      <w:r>
        <w:rPr>
          <w:rFonts w:hint="eastAsia"/>
          <w:b/>
          <w:color w:val="auto"/>
          <w:sz w:val="21"/>
          <w:szCs w:val="21"/>
          <w:highlight w:val="none"/>
          <w:u w:val="single"/>
          <w:lang w:val="en-US" w:eastAsia="zh-CN"/>
        </w:rPr>
        <w:t>22</w:t>
      </w:r>
      <w:r>
        <w:rPr>
          <w:rFonts w:hint="eastAsia"/>
          <w:b/>
          <w:color w:val="auto"/>
          <w:sz w:val="21"/>
          <w:szCs w:val="21"/>
          <w:highlight w:val="none"/>
          <w:u w:val="single"/>
        </w:rPr>
        <w:t xml:space="preserve">日9:30:00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28359002"/>
      <w:bookmarkStart w:id="1" w:name="_Toc35393621"/>
      <w:bookmarkStart w:id="2" w:name="_Toc28359079"/>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QSZB-Z(F)-C22029(CS) </w:t>
      </w:r>
    </w:p>
    <w:p>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校园建设和管理处空调维保服务</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976000元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val="en-US" w:eastAsia="zh-CN"/>
        </w:rPr>
        <w:t>976000元</w:t>
      </w:r>
    </w:p>
    <w:p>
      <w:pPr>
        <w:adjustRightInd w:val="0"/>
        <w:snapToGrid w:val="0"/>
        <w:spacing w:line="288" w:lineRule="auto"/>
        <w:ind w:firstLine="420" w:firstLineChars="200"/>
        <w:rPr>
          <w:rFonts w:hint="default" w:eastAsia="宋体"/>
          <w:color w:val="auto"/>
          <w:spacing w:val="-6"/>
          <w:sz w:val="21"/>
          <w:szCs w:val="21"/>
          <w:highlight w:val="none"/>
          <w:lang w:val="en-US" w:eastAsia="zh-CN"/>
        </w:rPr>
      </w:pPr>
      <w:r>
        <w:rPr>
          <w:color w:val="auto"/>
          <w:sz w:val="21"/>
          <w:szCs w:val="21"/>
          <w:highlight w:val="none"/>
        </w:rPr>
        <w:t>6.</w:t>
      </w:r>
      <w:r>
        <w:rPr>
          <w:rFonts w:hint="eastAsia"/>
          <w:color w:val="auto"/>
          <w:sz w:val="21"/>
          <w:szCs w:val="21"/>
          <w:highlight w:val="none"/>
        </w:rPr>
        <w:t>合同履约期限：</w:t>
      </w:r>
      <w:r>
        <w:rPr>
          <w:rFonts w:hint="eastAsia"/>
          <w:color w:val="auto"/>
          <w:sz w:val="21"/>
          <w:szCs w:val="21"/>
          <w:highlight w:val="none"/>
          <w:lang w:val="en-US" w:eastAsia="zh-CN"/>
        </w:rPr>
        <w:t>2022年04月01日-2023年07月15日</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1829"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lang w:eastAsia="zh-CN"/>
              </w:rPr>
              <w:t>校园建设和管理处空调维保服务</w:t>
            </w:r>
          </w:p>
        </w:tc>
        <w:tc>
          <w:tcPr>
            <w:tcW w:w="430" w:type="pct"/>
            <w:tcBorders>
              <w:tl2br w:val="nil"/>
              <w:tr2bl w:val="nil"/>
            </w:tcBorders>
            <w:vAlign w:val="center"/>
          </w:tcPr>
          <w:p>
            <w:pPr>
              <w:spacing w:line="288" w:lineRule="auto"/>
              <w:jc w:val="center"/>
              <w:rPr>
                <w:bCs/>
                <w:color w:val="auto"/>
                <w:sz w:val="21"/>
                <w:szCs w:val="21"/>
                <w:highlight w:val="none"/>
              </w:rPr>
            </w:pPr>
            <w:r>
              <w:rPr>
                <w:rFonts w:hint="eastAsia" w:ascii="宋体" w:hAnsi="宋体" w:cs="宋体"/>
                <w:bCs/>
                <w:color w:val="auto"/>
                <w:sz w:val="21"/>
                <w:szCs w:val="21"/>
                <w:highlight w:val="none"/>
              </w:rPr>
              <w:t>1</w:t>
            </w:r>
          </w:p>
        </w:tc>
        <w:tc>
          <w:tcPr>
            <w:tcW w:w="431" w:type="pct"/>
            <w:tcBorders>
              <w:tl2br w:val="nil"/>
              <w:tr2bl w:val="nil"/>
            </w:tcBorders>
            <w:vAlign w:val="center"/>
          </w:tcPr>
          <w:p>
            <w:pPr>
              <w:spacing w:line="288" w:lineRule="auto"/>
              <w:jc w:val="center"/>
              <w:rPr>
                <w:bCs/>
                <w:color w:val="auto"/>
                <w:sz w:val="21"/>
                <w:szCs w:val="21"/>
                <w:highlight w:val="none"/>
              </w:rPr>
            </w:pPr>
            <w:r>
              <w:rPr>
                <w:rFonts w:ascii="宋体" w:hAnsi="宋体" w:cs="宋体"/>
                <w:bCs/>
                <w:color w:val="auto"/>
                <w:sz w:val="21"/>
                <w:szCs w:val="21"/>
                <w:highlight w:val="none"/>
              </w:rPr>
              <w:t>项</w:t>
            </w:r>
          </w:p>
        </w:tc>
        <w:tc>
          <w:tcPr>
            <w:tcW w:w="1898"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ascii="宋体" w:hAnsi="宋体" w:cs="宋体"/>
                <w:b w:val="0"/>
                <w:bCs w:val="0"/>
                <w:color w:val="auto"/>
                <w:sz w:val="21"/>
                <w:szCs w:val="21"/>
                <w:highlight w:val="none"/>
                <w:lang w:val="en-US" w:eastAsia="zh-CN"/>
              </w:rPr>
              <w:t>详见采购需求</w:t>
            </w:r>
          </w:p>
        </w:tc>
      </w:tr>
    </w:tbl>
    <w:p>
      <w:pPr>
        <w:adjustRightInd w:val="0"/>
        <w:snapToGrid w:val="0"/>
        <w:spacing w:line="288" w:lineRule="auto"/>
        <w:rPr>
          <w:b/>
          <w:color w:val="auto"/>
          <w:sz w:val="21"/>
          <w:szCs w:val="21"/>
          <w:highlight w:val="none"/>
        </w:rPr>
      </w:pPr>
      <w:bookmarkStart w:id="5" w:name="_Toc28359080"/>
      <w:bookmarkStart w:id="6" w:name="_Toc35393791"/>
      <w:bookmarkStart w:id="7" w:name="_Toc35393622"/>
      <w:bookmarkStart w:id="8" w:name="_Toc28359003"/>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2.落实政府采购政策需满足的资格要求：本项目整体专门面向中小企业采购。</w:t>
      </w:r>
    </w:p>
    <w:p>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服务由中小企业承接，即提供服务的人员为中小企业依照《中华人民共和国劳动合同法》订立劳动合同的从业人员</w:t>
      </w:r>
      <w:r>
        <w:rPr>
          <w:rFonts w:hint="eastAsia"/>
          <w:color w:val="auto"/>
          <w:sz w:val="21"/>
          <w:szCs w:val="21"/>
          <w:highlight w:val="none"/>
          <w:lang w:eastAsia="zh-CN"/>
        </w:rPr>
        <w:t>；</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本项目采购标的为：服务，采购标的对应的中小企业划分标准所属行业：其他未列明行业</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05"/>
      <w:bookmarkStart w:id="14" w:name="_Toc35393624"/>
      <w:bookmarkStart w:id="15" w:name="_Toc28359082"/>
      <w:bookmarkStart w:id="16" w:name="_Toc35393793"/>
      <w:r>
        <w:rPr>
          <w:rFonts w:hint="eastAsia"/>
          <w:color w:val="auto"/>
          <w:sz w:val="21"/>
          <w:szCs w:val="21"/>
          <w:highlight w:val="none"/>
        </w:rPr>
        <w:t>时间：202</w:t>
      </w:r>
      <w:r>
        <w:rPr>
          <w:rFonts w:hint="eastAsia"/>
          <w:color w:val="auto"/>
          <w:sz w:val="21"/>
          <w:szCs w:val="21"/>
          <w:highlight w:val="none"/>
          <w:lang w:val="en-US" w:eastAsia="zh-CN"/>
        </w:rPr>
        <w:t>2</w:t>
      </w:r>
      <w:r>
        <w:rPr>
          <w:rFonts w:hint="eastAsia"/>
          <w:color w:val="auto"/>
          <w:sz w:val="21"/>
          <w:szCs w:val="21"/>
          <w:highlight w:val="none"/>
        </w:rPr>
        <w:t>年</w:t>
      </w:r>
      <w:r>
        <w:rPr>
          <w:rFonts w:hint="eastAsia"/>
          <w:color w:val="auto"/>
          <w:sz w:val="21"/>
          <w:szCs w:val="21"/>
          <w:highlight w:val="none"/>
          <w:lang w:val="en-US" w:eastAsia="zh-CN"/>
        </w:rPr>
        <w:t>3</w:t>
      </w:r>
      <w:r>
        <w:rPr>
          <w:rFonts w:hint="eastAsia"/>
          <w:color w:val="auto"/>
          <w:sz w:val="21"/>
          <w:szCs w:val="21"/>
          <w:highlight w:val="none"/>
        </w:rPr>
        <w:t>月</w:t>
      </w:r>
      <w:r>
        <w:rPr>
          <w:rFonts w:hint="eastAsia"/>
          <w:color w:val="auto"/>
          <w:sz w:val="21"/>
          <w:szCs w:val="21"/>
          <w:highlight w:val="none"/>
          <w:lang w:val="en-US" w:eastAsia="zh-CN"/>
        </w:rPr>
        <w:t>11</w:t>
      </w:r>
      <w:r>
        <w:rPr>
          <w:rFonts w:hint="eastAsia"/>
          <w:color w:val="auto"/>
          <w:sz w:val="21"/>
          <w:szCs w:val="21"/>
          <w:highlight w:val="none"/>
        </w:rPr>
        <w:t>日至202</w:t>
      </w:r>
      <w:r>
        <w:rPr>
          <w:rFonts w:hint="eastAsia"/>
          <w:color w:val="auto"/>
          <w:sz w:val="21"/>
          <w:szCs w:val="21"/>
          <w:highlight w:val="none"/>
          <w:lang w:val="en-US" w:eastAsia="zh-CN"/>
        </w:rPr>
        <w:t>2</w:t>
      </w:r>
      <w:r>
        <w:rPr>
          <w:rFonts w:hint="eastAsia"/>
          <w:color w:val="auto"/>
          <w:sz w:val="21"/>
          <w:szCs w:val="21"/>
          <w:highlight w:val="none"/>
        </w:rPr>
        <w:t>年</w:t>
      </w:r>
      <w:r>
        <w:rPr>
          <w:rFonts w:hint="eastAsia"/>
          <w:color w:val="auto"/>
          <w:sz w:val="21"/>
          <w:szCs w:val="21"/>
          <w:highlight w:val="none"/>
          <w:lang w:val="en-US" w:eastAsia="zh-CN"/>
        </w:rPr>
        <w:t>3</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w:t>
      </w:r>
      <w:r>
        <w:rPr>
          <w:rFonts w:hint="eastAsia"/>
          <w:bCs/>
          <w:color w:val="auto"/>
          <w:sz w:val="21"/>
          <w:szCs w:val="21"/>
          <w:highlight w:val="none"/>
          <w:lang w:val="en-US" w:eastAsia="zh-CN"/>
        </w:rPr>
        <w:t>2</w:t>
      </w:r>
      <w:r>
        <w:rPr>
          <w:rFonts w:hint="eastAsia"/>
          <w:bCs/>
          <w:color w:val="auto"/>
          <w:sz w:val="21"/>
          <w:szCs w:val="21"/>
          <w:highlight w:val="none"/>
        </w:rPr>
        <w:t>年</w:t>
      </w:r>
      <w:r>
        <w:rPr>
          <w:rFonts w:hint="eastAsia"/>
          <w:bCs/>
          <w:color w:val="auto"/>
          <w:sz w:val="21"/>
          <w:szCs w:val="21"/>
          <w:highlight w:val="none"/>
          <w:lang w:val="en-US" w:eastAsia="zh-CN"/>
        </w:rPr>
        <w:t>3</w:t>
      </w:r>
      <w:r>
        <w:rPr>
          <w:rFonts w:hint="eastAsia"/>
          <w:bCs/>
          <w:color w:val="auto"/>
          <w:sz w:val="21"/>
          <w:szCs w:val="21"/>
          <w:highlight w:val="none"/>
        </w:rPr>
        <w:t>月</w:t>
      </w:r>
      <w:r>
        <w:rPr>
          <w:rFonts w:hint="eastAsia"/>
          <w:bCs/>
          <w:color w:val="auto"/>
          <w:sz w:val="21"/>
          <w:szCs w:val="21"/>
          <w:highlight w:val="none"/>
          <w:lang w:val="en-US" w:eastAsia="zh-CN"/>
        </w:rPr>
        <w:t>22</w:t>
      </w:r>
      <w:r>
        <w:rPr>
          <w:rFonts w:hint="eastAsia"/>
          <w:bCs/>
          <w:color w:val="auto"/>
          <w:sz w:val="21"/>
          <w:szCs w:val="21"/>
          <w:highlight w:val="none"/>
        </w:rPr>
        <w:t>日9:30:00（北京时间）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rPr>
          <w:b/>
          <w:color w:val="auto"/>
          <w:sz w:val="21"/>
          <w:szCs w:val="21"/>
          <w:highlight w:val="none"/>
        </w:rPr>
      </w:pPr>
      <w:bookmarkStart w:id="17" w:name="_Toc35393794"/>
      <w:bookmarkStart w:id="18" w:name="_Toc28359007"/>
      <w:bookmarkStart w:id="19" w:name="_Toc35393625"/>
      <w:bookmarkStart w:id="20" w:name="_Toc2835908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w:t>
      </w:r>
      <w:r>
        <w:rPr>
          <w:rFonts w:hint="eastAsia"/>
          <w:bCs/>
          <w:color w:val="auto"/>
          <w:sz w:val="21"/>
          <w:szCs w:val="21"/>
          <w:highlight w:val="none"/>
          <w:lang w:val="en-US" w:eastAsia="zh-CN"/>
        </w:rPr>
        <w:t>2</w:t>
      </w:r>
      <w:r>
        <w:rPr>
          <w:rFonts w:hint="eastAsia"/>
          <w:bCs/>
          <w:color w:val="auto"/>
          <w:sz w:val="21"/>
          <w:szCs w:val="21"/>
          <w:highlight w:val="none"/>
        </w:rPr>
        <w:t>年</w:t>
      </w:r>
      <w:r>
        <w:rPr>
          <w:rFonts w:hint="eastAsia"/>
          <w:bCs/>
          <w:color w:val="auto"/>
          <w:sz w:val="21"/>
          <w:szCs w:val="21"/>
          <w:highlight w:val="none"/>
          <w:lang w:val="en-US" w:eastAsia="zh-CN"/>
        </w:rPr>
        <w:t>3</w:t>
      </w:r>
      <w:r>
        <w:rPr>
          <w:rFonts w:hint="eastAsia"/>
          <w:bCs/>
          <w:color w:val="auto"/>
          <w:sz w:val="21"/>
          <w:szCs w:val="21"/>
          <w:highlight w:val="none"/>
        </w:rPr>
        <w:t>月</w:t>
      </w:r>
      <w:r>
        <w:rPr>
          <w:rFonts w:hint="eastAsia"/>
          <w:bCs/>
          <w:color w:val="auto"/>
          <w:sz w:val="21"/>
          <w:szCs w:val="21"/>
          <w:highlight w:val="none"/>
          <w:lang w:val="en-US" w:eastAsia="zh-CN"/>
        </w:rPr>
        <w:t>22</w:t>
      </w:r>
      <w:r>
        <w:rPr>
          <w:rFonts w:hint="eastAsia"/>
          <w:bCs/>
          <w:color w:val="auto"/>
          <w:sz w:val="21"/>
          <w:szCs w:val="21"/>
          <w:highlight w:val="none"/>
        </w:rPr>
        <w:t>日9:30:00（北京时间）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w:t>
      </w:r>
      <w:bookmarkStart w:id="45" w:name="_GoBack"/>
      <w:bookmarkEnd w:id="45"/>
      <w:r>
        <w:rPr>
          <w:rFonts w:hint="eastAsia"/>
          <w:color w:val="auto"/>
          <w:sz w:val="21"/>
          <w:szCs w:val="21"/>
          <w:highlight w:val="none"/>
        </w:rPr>
        <w:t>ygov.cn）</w:t>
      </w:r>
      <w:r>
        <w:rPr>
          <w:rFonts w:hint="eastAsia" w:cs="Times New Roman"/>
          <w:color w:val="auto"/>
          <w:sz w:val="21"/>
          <w:szCs w:val="21"/>
          <w:highlight w:val="none"/>
        </w:rPr>
        <w:t>/杭州市西湖区玉古路173号中田大厦11楼（求是招标会议室</w:t>
      </w:r>
      <w:r>
        <w:rPr>
          <w:rFonts w:hint="eastAsia" w:cs="Times New Roman"/>
          <w:color w:val="auto"/>
          <w:sz w:val="21"/>
          <w:szCs w:val="21"/>
          <w:highlight w:val="none"/>
          <w:lang w:val="en-US" w:eastAsia="zh-CN"/>
        </w:rPr>
        <w:t>2</w:t>
      </w:r>
      <w:r>
        <w:rPr>
          <w:rFonts w:hint="eastAsia" w:cs="Times New Roman"/>
          <w:color w:val="auto"/>
          <w:sz w:val="21"/>
          <w:szCs w:val="21"/>
          <w:highlight w:val="none"/>
        </w:rPr>
        <w:t>）</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Toc35393796"/>
      <w:bookmarkStart w:id="24" w:name="_Toc28359085"/>
      <w:bookmarkStart w:id="25" w:name="_Toc35393627"/>
      <w:bookmarkStart w:id="26"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w:t>
      </w:r>
      <w:r>
        <w:rPr>
          <w:rFonts w:hint="eastAsia" w:ascii="宋体" w:hAnsi="宋体"/>
          <w:color w:val="auto"/>
          <w:sz w:val="21"/>
          <w:szCs w:val="21"/>
          <w:highlight w:val="none"/>
        </w:rPr>
        <w:t>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color w:val="auto"/>
          <w:sz w:val="21"/>
          <w:szCs w:val="21"/>
          <w:highlight w:val="none"/>
        </w:rPr>
        <w:t xml:space="preserve"> </w:t>
      </w:r>
      <w:r>
        <w:rPr>
          <w:rFonts w:hint="eastAsia"/>
          <w:color w:val="auto"/>
          <w:sz w:val="21"/>
          <w:szCs w:val="21"/>
          <w:highlight w:val="none"/>
          <w:lang w:val="en-US" w:eastAsia="zh-CN"/>
        </w:rPr>
        <w:t>王老师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项目联系方式（询问）：0571-87164635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w:t>
      </w:r>
      <w:r>
        <w:rPr>
          <w:rFonts w:hint="eastAsia" w:ascii="宋体" w:hAnsi="宋体"/>
          <w:color w:val="auto"/>
          <w:sz w:val="21"/>
          <w:szCs w:val="21"/>
          <w:highlight w:val="none"/>
          <w:lang w:val="en-US" w:eastAsia="zh-CN"/>
        </w:rPr>
        <w:t>黄</w:t>
      </w:r>
      <w:r>
        <w:rPr>
          <w:rFonts w:hint="eastAsia" w:ascii="宋体" w:hAnsi="宋体"/>
          <w:color w:val="auto"/>
          <w:sz w:val="21"/>
          <w:szCs w:val="21"/>
          <w:highlight w:val="none"/>
        </w:rPr>
        <w:t>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rFonts w:hint="eastAsia" w:ascii="宋体" w:hAnsi="宋体"/>
          <w:color w:val="auto"/>
          <w:sz w:val="21"/>
          <w:szCs w:val="21"/>
          <w:highlight w:val="none"/>
        </w:rPr>
        <w:t>0571-87200066</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陈培特</w:t>
      </w:r>
    </w:p>
    <w:p>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bookmarkStart w:id="28"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w:t>
            </w:r>
            <w:r>
              <w:rPr>
                <w:rFonts w:cs="Times New Roman"/>
                <w:color w:val="auto"/>
                <w:spacing w:val="-6"/>
                <w:sz w:val="21"/>
                <w:szCs w:val="21"/>
                <w:highlight w:val="none"/>
              </w:rPr>
              <w:t>支持创新发展</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hint="eastAsia" w:cs="Times New Roman"/>
                <w:b/>
                <w:bCs/>
                <w:color w:val="auto"/>
                <w:sz w:val="21"/>
                <w:szCs w:val="21"/>
                <w:highlight w:val="none"/>
              </w:rPr>
            </w:pPr>
            <w:r>
              <w:rPr>
                <w:rFonts w:hint="eastAsia" w:cs="Times New Roman"/>
                <w:b/>
                <w:bCs/>
                <w:color w:val="auto"/>
                <w:sz w:val="21"/>
                <w:szCs w:val="21"/>
                <w:highlight w:val="none"/>
              </w:rPr>
              <w:t>本项目采购标的为：</w:t>
            </w:r>
            <w:r>
              <w:rPr>
                <w:rFonts w:cs="Times New Roman"/>
                <w:b/>
                <w:bCs/>
                <w:color w:val="auto"/>
                <w:sz w:val="21"/>
                <w:szCs w:val="21"/>
                <w:highlight w:val="none"/>
              </w:rPr>
              <w:t>服务</w:t>
            </w:r>
            <w:r>
              <w:rPr>
                <w:rFonts w:hint="eastAsia" w:cs="Times New Roman"/>
                <w:b/>
                <w:bCs/>
                <w:color w:val="auto"/>
                <w:sz w:val="21"/>
                <w:szCs w:val="21"/>
                <w:highlight w:val="none"/>
              </w:rPr>
              <w:t>，采购标的对应的中小企业划分标准所属行业：其他未列明行业</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政府采购促进残疾人就业</w:t>
            </w:r>
          </w:p>
        </w:tc>
        <w:tc>
          <w:tcPr>
            <w:tcW w:w="5529" w:type="dxa"/>
            <w:vAlign w:val="center"/>
          </w:tcPr>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提供材料详见招标文件第六章“资格文件”</w:t>
            </w:r>
          </w:p>
        </w:tc>
      </w:tr>
      <w:bookmarkEnd w:id="28"/>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29"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1.合同签订后一周内，成交供应商向采购人提交合同总价</w:t>
            </w:r>
            <w:r>
              <w:rPr>
                <w:color w:val="auto"/>
                <w:spacing w:val="-6"/>
                <w:kern w:val="0"/>
                <w:sz w:val="21"/>
                <w:szCs w:val="21"/>
                <w:highlight w:val="none"/>
              </w:rPr>
              <w:t>2.5</w:t>
            </w:r>
            <w:r>
              <w:rPr>
                <w:rFonts w:hint="eastAsia"/>
                <w:color w:val="auto"/>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供应商为中小企业的，合同生效以及具备实施条件后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w:t>
            </w:r>
            <w:r>
              <w:rPr>
                <w:rFonts w:hint="eastAsia" w:cs="Arial"/>
                <w:color w:val="auto"/>
                <w:kern w:val="0"/>
                <w:sz w:val="21"/>
                <w:szCs w:val="21"/>
                <w:highlight w:val="none"/>
              </w:rPr>
              <w:t>供应商已向采购人提交银行、保险公司等金融机构出具的预付款保函的，</w:t>
            </w:r>
            <w:r>
              <w:rPr>
                <w:rFonts w:hint="eastAsia"/>
                <w:color w:val="auto"/>
                <w:spacing w:val="-6"/>
                <w:kern w:val="0"/>
                <w:sz w:val="21"/>
                <w:szCs w:val="21"/>
                <w:highlight w:val="none"/>
              </w:rPr>
              <w:t>采购人向供应商支付合同总价的</w:t>
            </w:r>
            <w:r>
              <w:rPr>
                <w:rFonts w:hint="eastAsia"/>
                <w:color w:val="auto"/>
                <w:spacing w:val="-6"/>
                <w:kern w:val="0"/>
                <w:sz w:val="21"/>
                <w:szCs w:val="21"/>
                <w:highlight w:val="none"/>
                <w:lang w:val="en-US" w:eastAsia="zh-CN"/>
              </w:rPr>
              <w:t>40</w:t>
            </w:r>
            <w:r>
              <w:rPr>
                <w:rFonts w:hint="eastAsia"/>
                <w:color w:val="auto"/>
                <w:spacing w:val="-6"/>
                <w:kern w:val="0"/>
                <w:sz w:val="21"/>
                <w:szCs w:val="21"/>
                <w:highlight w:val="none"/>
              </w:rPr>
              <w:t>%；</w:t>
            </w:r>
            <w:r>
              <w:rPr>
                <w:rFonts w:hint="eastAsia"/>
                <w:color w:val="auto"/>
                <w:spacing w:val="-6"/>
                <w:kern w:val="0"/>
                <w:sz w:val="21"/>
                <w:szCs w:val="21"/>
                <w:highlight w:val="none"/>
                <w:lang w:val="en-US" w:eastAsia="zh-CN"/>
              </w:rPr>
              <w:t>项目完成验收后，支付尾款</w:t>
            </w:r>
            <w:r>
              <w:rPr>
                <w:rFonts w:hint="eastAsia"/>
                <w:color w:val="auto"/>
                <w:spacing w:val="-6"/>
                <w:kern w:val="0"/>
                <w:sz w:val="21"/>
                <w:szCs w:val="21"/>
                <w:highlight w:val="none"/>
              </w:rPr>
              <w:t>。</w:t>
            </w:r>
          </w:p>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以人工投入为主且实行按月定期结算支付款项的项目，预付款可低于上述比例或者不约定预付款。</w:t>
            </w:r>
          </w:p>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tc>
      </w:tr>
      <w:bookmarkEnd w:id="29"/>
    </w:tbl>
    <w:p>
      <w:pPr>
        <w:adjustRightInd w:val="0"/>
        <w:snapToGrid w:val="0"/>
        <w:spacing w:line="288" w:lineRule="auto"/>
        <w:rPr>
          <w:color w:val="auto"/>
          <w:sz w:val="21"/>
          <w:szCs w:val="21"/>
          <w:highlight w:val="none"/>
        </w:rPr>
      </w:pPr>
    </w:p>
    <w:p>
      <w:pPr>
        <w:numPr>
          <w:ilvl w:val="0"/>
          <w:numId w:val="1"/>
        </w:num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服务要求</w:t>
      </w:r>
    </w:p>
    <w:p>
      <w:pPr>
        <w:numPr>
          <w:ilvl w:val="0"/>
          <w:numId w:val="0"/>
        </w:numPr>
        <w:adjustRightInd w:val="0"/>
        <w:snapToGrid w:val="0"/>
        <w:spacing w:line="288" w:lineRule="auto"/>
        <w:jc w:val="center"/>
        <w:rPr>
          <w:rFonts w:hint="eastAsia"/>
          <w:b/>
          <w:bCs/>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空调预算清单</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1547"/>
        <w:gridCol w:w="1827"/>
        <w:gridCol w:w="1445"/>
        <w:gridCol w:w="1675"/>
        <w:gridCol w:w="1238"/>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0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校区</w:t>
            </w:r>
          </w:p>
        </w:tc>
        <w:tc>
          <w:tcPr>
            <w:tcW w:w="9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地点</w:t>
            </w:r>
          </w:p>
        </w:tc>
        <w:tc>
          <w:tcPr>
            <w:tcW w:w="75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w:t>
            </w:r>
          </w:p>
        </w:tc>
        <w:tc>
          <w:tcPr>
            <w:tcW w:w="86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空调数量</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0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南山</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2号楼屋顶</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盾安</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FWRM090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3号楼屋顶</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FWRM100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4号楼屋顶</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FWRM100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5号楼屋顶</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FWRM070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6号楼屋顶</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FWRM100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7号楼屋顶</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FWRM030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1号楼地下室</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特灵</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CVHG480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RTHB180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风机</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冷却塔</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特灵、盾安</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室内机末端</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5号楼配电房</w:t>
            </w:r>
          </w:p>
        </w:tc>
        <w:tc>
          <w:tcPr>
            <w:tcW w:w="750"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美的</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5p柜机</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10号楼</w:t>
            </w:r>
            <w:r>
              <w:rPr>
                <w:rFonts w:hint="eastAsia" w:cs="宋体"/>
                <w:i w:val="0"/>
                <w:iCs w:val="0"/>
                <w:color w:val="auto"/>
                <w:kern w:val="0"/>
                <w:sz w:val="21"/>
                <w:szCs w:val="21"/>
                <w:highlight w:val="none"/>
                <w:u w:val="none"/>
                <w:lang w:val="en-US" w:eastAsia="zh-CN" w:bidi="ar"/>
              </w:rPr>
              <w:t>（标绿部分删除）</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恒温恒湿机组</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TAC1217BHH</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美的MDV-224W/DSN1-8R0室外机</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室外机</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开利30RQ130BHS</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志高EW-GD18H3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壁挂</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三星AM100JXVDGH</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11号楼屋顶</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MAC230DRS-FDA</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室外机</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1号楼屋顶</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约克 空调新风机组</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YDB-80-6R/A</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5号楼</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9号楼地下室</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学生公寓分体式空调</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大金</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1.5匹</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8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电梯机房</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大金</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1.5匹</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80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象山</w:t>
            </w:r>
          </w:p>
        </w:tc>
        <w:tc>
          <w:tcPr>
            <w:tcW w:w="9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1#楼（图书馆）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富田中央空调</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水冷螺杆机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室内末端</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1#楼（图书馆）二楼</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吸顶机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1#楼（图书馆）负一楼</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小风盘</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富田</w:t>
            </w:r>
            <w:r>
              <w:rPr>
                <w:rFonts w:hint="eastAsia" w:cs="宋体"/>
                <w:i w:val="0"/>
                <w:iCs w:val="0"/>
                <w:color w:val="auto"/>
                <w:kern w:val="0"/>
                <w:sz w:val="21"/>
                <w:szCs w:val="21"/>
                <w:highlight w:val="none"/>
                <w:u w:val="none"/>
                <w:lang w:val="en-US" w:eastAsia="zh-CN" w:bidi="ar"/>
              </w:rPr>
              <w:t>机组</w:t>
            </w:r>
            <w:r>
              <w:rPr>
                <w:rFonts w:hint="eastAsia" w:ascii="宋体" w:hAnsi="宋体" w:eastAsia="宋体" w:cs="宋体"/>
                <w:i w:val="0"/>
                <w:iCs w:val="0"/>
                <w:color w:val="auto"/>
                <w:kern w:val="0"/>
                <w:sz w:val="21"/>
                <w:szCs w:val="21"/>
                <w:highlight w:val="none"/>
                <w:u w:val="none"/>
                <w:lang w:val="en-US" w:eastAsia="zh-CN" w:bidi="ar"/>
              </w:rPr>
              <w:t>空调</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WIND-AH-10-4H</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1#（图书馆）（对门3楼）</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小风盘</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2#楼</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富田中央空调</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水冷螺杆机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16#楼</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富田恒温恒湿系统</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福田机房空调</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8号楼（体育馆）</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麦克维尔</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风柜MDM1417-C2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民艺馆</w:t>
            </w: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外机8台</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MMC125SR</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MMC060VR5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MLC020MRK</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restart"/>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国际馆</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VRV机组</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MMY-MH1404HT8-C2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欧科水系统</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EKAC460BR1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CANATAL机房空调机</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NACD12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欧科恒温恒湿组合式风柜</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EKDM1823HE</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CANATAL机房空调机</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NACD18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8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vMerge w:val="continue"/>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美的柜机五匹</w:t>
            </w:r>
          </w:p>
        </w:tc>
        <w:tc>
          <w:tcPr>
            <w:tcW w:w="86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KFR-120W/S-E01</w:t>
            </w:r>
          </w:p>
        </w:tc>
        <w:tc>
          <w:tcPr>
            <w:tcW w:w="6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山北生活区艺术大院</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VRV空调（日立）</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RAS-680FSDENY3Q</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山北生活区食堂</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VRV空调（大金）</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RY250KMY1L</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bl>
    <w:p>
      <w:pPr>
        <w:adjustRightInd w:val="0"/>
        <w:snapToGrid w:val="0"/>
        <w:spacing w:line="288" w:lineRule="auto"/>
        <w:ind w:firstLine="424" w:firstLineChars="202"/>
        <w:rPr>
          <w:rFonts w:hint="default"/>
          <w:color w:val="auto"/>
          <w:sz w:val="21"/>
          <w:szCs w:val="21"/>
          <w:highlight w:val="none"/>
          <w:lang w:val="en-US" w:eastAsia="zh-CN"/>
        </w:rPr>
      </w:pPr>
      <w:r>
        <w:rPr>
          <w:rFonts w:hint="eastAsia"/>
          <w:color w:val="auto"/>
          <w:sz w:val="21"/>
          <w:szCs w:val="21"/>
          <w:highlight w:val="none"/>
          <w:lang w:val="en-US" w:eastAsia="zh-CN"/>
        </w:rPr>
        <w:t>（一）具体要求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1、服务范围：本项目为中央空调维修保养全过程服务，成交供应商工作范围不仅限于机组保养维修，还包括设备管理、维修接派单、故障处置、维修确认及回访，设备台帐编制、定期维修保养记录等数据的汇总和上报，以及中央空调设备使用培训等工作。</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2、机组保养范围：</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2.1室外机、室内机、水泵、冷媒系统、过滤、水处理等水系统及控制部分</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2.2设备电器以设备主要电源连接端子为界。</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3、机组保养内容：成交供应商根据各类型、品牌机组的保养规范组织机组保养工作，内容包括但不限于：</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3.1室外机变频控制器、控制主板、室内电脑板清洗</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3.2室外机热交换器的清洗。</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3.3冷媒量/工作压力测定及填充。</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3.4电器的绝缘性能安全性能检测</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3.5电源端子、压缩机电器端子的松紧检测；</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3.6保温层的补修</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3.7冷凝排水系统的检测、清洁</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3.8室内机滤网清洗</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3.9电流/电压测定。</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3.10室外、室内机振动、噪声的检测调整</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3.11吸入/吹出温度测定。</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3.12螺丝/紧固件的确认。</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3.13水源热泵空调蒸发器、冷凝器、过滤器、管路等清洗</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3.14定期更换机油</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3.15冷媒泄漏，油泄漏的检查。</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3.16整机运转状态是否正常</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3.17其他</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备注：以上操作均要求使用专业的设备进行检测，清洗剂和除垢剂都要使用国家标准的产品。</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4.服务标准</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4.1分制冷和采暖季节进行两次大维保，对机组全面检验。（一般秋季10—11月份；春季4—5月份）。进入设备运行期后每月巡检一次。配件，检查试验的资料、技术培训资料等。</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4.3维保单位必须保证24小时联系电话畅通。一般故障当天处理完毕，重大故障3天处理完毕。否则每逾期一天扣罚服务费1%，因特殊维修流程和工艺，不能在3天之内完成的（如保压测试及查漏补漏等），管理方、成交供应商和使用方共同商定修复时间，一般不超过4天。维修完成及时签属维修确认单。</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4.4要求维保单位至少配置</w:t>
      </w:r>
      <w:r>
        <w:rPr>
          <w:rFonts w:hint="eastAsia"/>
          <w:color w:val="auto"/>
          <w:sz w:val="21"/>
          <w:szCs w:val="21"/>
          <w:highlight w:val="none"/>
          <w:lang w:val="en-US" w:eastAsia="zh-CN"/>
        </w:rPr>
        <w:t>2</w:t>
      </w:r>
      <w:r>
        <w:rPr>
          <w:rFonts w:hint="eastAsia"/>
          <w:color w:val="auto"/>
          <w:sz w:val="21"/>
          <w:szCs w:val="21"/>
          <w:highlight w:val="none"/>
        </w:rPr>
        <w:t>名空调技术人员在我校提供驻点服务，其中至少一人专门负责维修接派单、记录，报表汇总、对接核查等工作，相关人员统一着装，规范服务，办公用房及校园网络由我校提供，办公器材及维修工具、设备由成交供应商自行配备。要求上班时间上午8：20，下班时间为下午5：00，中午休息一个小时，实行签到制度（具体根据采购人要求）。技术人员管理参考我校后勤部门的考核管理办法。</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4.5自合同签订之日起七个工作日内，完成报修流程及联系方式的公告及对接，包括在所有建筑物明显位置放置报修流程公告栏等。</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4.6制订详细维保计划表并向校方主管部门报备，准确记录保养及故障维修信息，及时取得设备用户的签字确认，相关格式由成交供应商自行设计，成交供应商需保证相关数据完整准确，按月提交维修及保养记录，以备核查及评估。</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4.5在我校重大活动或重要会议期间，维保单位要提供全程保障服务。</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4.6在做维保现场做好安全防范措施，确保在场人员安全。中标人技术人员的安全问题由中标人自行承担。</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4.7本项目为维修保养全包服务，成交供应商在保证设备正常运行的情况下，根据设备实际情况组织相关工作，期间所涉机组零部件、电脑板及末端设备、管路、配件及耗材均由成交供应商提供并包含在本项目总价内，不再另行结算（中央空调含压缩机）。</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4.8所有涉及机组设备或配件更换维修的，成交供应商提供的设备及配件必须符合品牌、规格、质量要求，更换后同一故障部位保期为六个月。旧件拆除后交由校方统一回收，做为国有资产集中报废，成交供应商无权处置。</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4.9如甲方因建筑装修改造或功能变更等就原因，需要改变现有中央空调安装布局、控制方式等，对中央空调设备进行迁移、改装的，由甲方自行安排维修，不包含在本招标项目中。</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4.10本项目合同执行期内，如甲方提出对其中部分设备进行更新改造，使原设备停用报废，无需继续保养维修的，自设备停运之日起至合同期期满的相关费用，从合同总价中扣除。当月未满15天的以半月计算，超过15天的，以一个月计算。</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4.10每次对压缩机加油或机组清洗前，必须先检查清润滑油和清洗液的牌号和质量，必须符合国家要求才能进行操作。坚持绿色环保清洗，选择腐蚀更低、效果更好的产品。</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4.13每次维保前，都必须各学校主管部门报备，维保结束后，提交维保报告。</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4.14为保证故障维修及时到位，要求中标人备品备件清单至少满足以下要求（详见备品备件材料清单），并要求在合同签订后20个工作日内将中标单位所承诺内容配送到校方指定地点。</w:t>
      </w:r>
    </w:p>
    <w:p>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二</w:t>
      </w:r>
      <w:r>
        <w:rPr>
          <w:rFonts w:hint="eastAsia"/>
          <w:color w:val="auto"/>
          <w:sz w:val="21"/>
          <w:szCs w:val="21"/>
          <w:highlight w:val="none"/>
          <w:lang w:eastAsia="zh-CN"/>
        </w:rPr>
        <w:t>）</w:t>
      </w:r>
      <w:r>
        <w:rPr>
          <w:rFonts w:hint="eastAsia"/>
          <w:color w:val="auto"/>
          <w:sz w:val="21"/>
          <w:szCs w:val="21"/>
          <w:highlight w:val="none"/>
        </w:rPr>
        <w:t>部分特殊机型使用达到报废年限以上，产生大修，双方协商解决</w:t>
      </w:r>
      <w:r>
        <w:rPr>
          <w:rFonts w:hint="eastAsia"/>
          <w:color w:val="auto"/>
          <w:sz w:val="21"/>
          <w:szCs w:val="21"/>
          <w:highlight w:val="none"/>
          <w:lang w:eastAsia="zh-CN"/>
        </w:rPr>
        <w:t>。</w:t>
      </w:r>
    </w:p>
    <w:p>
      <w:pPr>
        <w:adjustRightInd w:val="0"/>
        <w:snapToGrid w:val="0"/>
        <w:spacing w:line="288" w:lineRule="auto"/>
        <w:ind w:firstLine="424" w:firstLineChars="202"/>
        <w:rPr>
          <w:rFonts w:hint="default"/>
          <w:color w:val="auto"/>
          <w:sz w:val="21"/>
          <w:szCs w:val="21"/>
          <w:highlight w:val="none"/>
          <w:lang w:val="en-US" w:eastAsia="zh-CN"/>
        </w:rPr>
      </w:pPr>
      <w:r>
        <w:rPr>
          <w:rFonts w:hint="eastAsia"/>
          <w:color w:val="auto"/>
          <w:sz w:val="21"/>
          <w:szCs w:val="21"/>
          <w:highlight w:val="none"/>
          <w:lang w:val="en-US" w:eastAsia="zh-CN"/>
        </w:rPr>
        <w:t>（三）服务期限：2022年4月1日至2023年7月15日</w:t>
      </w:r>
    </w:p>
    <w:p>
      <w:pPr>
        <w:spacing w:line="288" w:lineRule="auto"/>
        <w:rPr>
          <w:rFonts w:hint="eastAsia" w:ascii="宋体" w:hAnsi="宋体"/>
          <w:b/>
          <w:color w:val="auto"/>
          <w:sz w:val="21"/>
          <w:szCs w:val="21"/>
          <w:highlight w:val="none"/>
        </w:rPr>
      </w:pPr>
    </w:p>
    <w:p>
      <w:pPr>
        <w:spacing w:line="288" w:lineRule="auto"/>
        <w:rPr>
          <w:rFonts w:hint="eastAsia" w:ascii="宋体" w:hAnsi="宋体"/>
          <w:b/>
          <w:color w:val="auto"/>
          <w:sz w:val="21"/>
          <w:szCs w:val="21"/>
          <w:highlight w:val="none"/>
        </w:rPr>
      </w:pPr>
      <w:r>
        <w:rPr>
          <w:rFonts w:hint="eastAsia" w:ascii="宋体" w:hAnsi="宋体"/>
          <w:b/>
          <w:color w:val="auto"/>
          <w:sz w:val="21"/>
          <w:szCs w:val="21"/>
          <w:highlight w:val="none"/>
        </w:rPr>
        <w:t>注：</w:t>
      </w:r>
    </w:p>
    <w:p>
      <w:pPr>
        <w:adjustRightInd w:val="0"/>
        <w:snapToGrid w:val="0"/>
        <w:spacing w:line="288" w:lineRule="auto"/>
        <w:rPr>
          <w:rFonts w:cs="Times New Roman"/>
          <w:b/>
          <w:bCs/>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 xml:space="preserve"> </w:t>
      </w:r>
      <w:r>
        <w:rPr>
          <w:rFonts w:hint="eastAsia" w:ascii="宋体" w:hAnsi="宋体"/>
          <w:b/>
          <w:color w:val="auto"/>
          <w:sz w:val="21"/>
          <w:szCs w:val="21"/>
          <w:highlight w:val="none"/>
        </w:rPr>
        <w:t>如服务要求中未特别注明需执行的国家相关标准、行业标准、地方标准或者其他标准、规范，则统一执行最新标准、规范。</w:t>
      </w: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中国美术学院校园建设和管理处空调维保服务</w:t>
            </w:r>
            <w:r>
              <w:rPr>
                <w:rFonts w:hint="eastAsia"/>
                <w:color w:val="auto"/>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0"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rFonts w:hint="eastAsia" w:eastAsia="宋体"/>
                      <w:color w:val="auto"/>
                      <w:sz w:val="21"/>
                      <w:szCs w:val="21"/>
                      <w:highlight w:val="none"/>
                      <w:lang w:eastAsia="zh-CN"/>
                    </w:rPr>
                  </w:pPr>
                  <w:r>
                    <w:rPr>
                      <w:rFonts w:hint="eastAsia"/>
                      <w:color w:val="auto"/>
                      <w:sz w:val="21"/>
                      <w:szCs w:val="21"/>
                      <w:highlight w:val="none"/>
                    </w:rPr>
                    <w:t>1.</w:t>
                  </w: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0.88</w:t>
                  </w:r>
                </w:p>
              </w:tc>
            </w:tr>
            <w:bookmarkEnd w:id="30"/>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1"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w:t>
            </w:r>
            <w:r>
              <w:rPr>
                <w:rFonts w:hint="eastAsia"/>
                <w:b/>
                <w:bCs/>
                <w:color w:val="auto"/>
                <w:sz w:val="21"/>
                <w:szCs w:val="21"/>
                <w:highlight w:val="none"/>
                <w:lang w:eastAsia="zh-CN"/>
              </w:rPr>
              <w:t>0571-87666115</w:t>
            </w:r>
            <w:r>
              <w:rPr>
                <w:rFonts w:hint="eastAsia"/>
                <w:b/>
                <w:bCs/>
                <w:color w:val="auto"/>
                <w:sz w:val="21"/>
                <w:szCs w:val="21"/>
                <w:highlight w:val="none"/>
              </w:rPr>
              <w:t>，寄出后将（快递单号、项目名称、公司名称、联系方式等相关信息）发至：zb</w:t>
            </w:r>
            <w:r>
              <w:rPr>
                <w:rFonts w:hint="eastAsia"/>
                <w:b/>
                <w:bCs/>
                <w:color w:val="auto"/>
                <w:sz w:val="21"/>
                <w:szCs w:val="21"/>
                <w:highlight w:val="none"/>
                <w:lang w:val="en-US" w:eastAsia="zh-CN"/>
              </w:rPr>
              <w:t>03</w:t>
            </w:r>
            <w:r>
              <w:rPr>
                <w:rFonts w:hint="eastAsia"/>
                <w:b/>
                <w:bCs/>
                <w:color w:val="auto"/>
                <w:sz w:val="21"/>
                <w:szCs w:val="21"/>
                <w:highlight w:val="none"/>
              </w:rPr>
              <w:t>@qszb.net，以便查收）。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中国美术学院校园建设和管理处空调维保服务</w:t>
      </w:r>
      <w:r>
        <w:rPr>
          <w:rFonts w:hint="eastAsia"/>
          <w:color w:val="auto"/>
          <w:sz w:val="21"/>
          <w:szCs w:val="21"/>
          <w:highlight w:val="none"/>
        </w:rPr>
        <w:t>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中国美术学院</w:t>
      </w:r>
      <w:r>
        <w:rPr>
          <w:rFonts w:hint="eastAsia"/>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rFonts w:hint="eastAsia" w:eastAsia="宋体"/>
                <w:color w:val="auto"/>
                <w:sz w:val="21"/>
                <w:szCs w:val="21"/>
                <w:highlight w:val="none"/>
                <w:lang w:eastAsia="zh-CN"/>
              </w:rPr>
            </w:pPr>
            <w:r>
              <w:rPr>
                <w:rFonts w:hint="eastAsia"/>
                <w:color w:val="auto"/>
                <w:sz w:val="21"/>
                <w:szCs w:val="21"/>
                <w:highlight w:val="none"/>
              </w:rPr>
              <w:t>1.</w:t>
            </w: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2" w:name="_Hlk92273406"/>
      <w:bookmarkStart w:id="33"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2"/>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3"/>
    <w:p>
      <w:pPr>
        <w:adjustRightInd w:val="0"/>
        <w:snapToGrid w:val="0"/>
        <w:spacing w:line="288" w:lineRule="auto"/>
        <w:outlineLvl w:val="2"/>
        <w:rPr>
          <w:b/>
          <w:color w:val="auto"/>
          <w:spacing w:val="-6"/>
          <w:kern w:val="0"/>
          <w:sz w:val="21"/>
          <w:szCs w:val="21"/>
          <w:highlight w:val="none"/>
        </w:rPr>
      </w:pPr>
      <w:bookmarkStart w:id="34"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4"/>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5" w:name="_Hlk96329193"/>
      <w:r>
        <w:rPr>
          <w:rFonts w:hint="eastAsia"/>
          <w:color w:val="auto"/>
          <w:sz w:val="21"/>
          <w:szCs w:val="21"/>
          <w:highlight w:val="none"/>
        </w:rPr>
        <w:t>，供应商应写全称。</w:t>
      </w:r>
      <w:bookmarkEnd w:id="35"/>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w:t>
      </w:r>
      <w:r>
        <w:rPr>
          <w:rFonts w:hint="eastAsia"/>
          <w:b/>
          <w:bCs/>
          <w:color w:val="auto"/>
          <w:sz w:val="21"/>
          <w:szCs w:val="21"/>
          <w:highlight w:val="none"/>
          <w:lang w:eastAsia="zh-CN"/>
        </w:rPr>
        <w:t>0571-87666115</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zb03@qszb.net</w:t>
      </w:r>
      <w:r>
        <w:rPr>
          <w:rFonts w:hint="eastAsia"/>
          <w:b/>
          <w:bCs/>
          <w:color w:val="auto"/>
          <w:sz w:val="21"/>
          <w:szCs w:val="21"/>
          <w:highlight w:val="none"/>
        </w:rPr>
        <w: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pStyle w:val="5"/>
        <w:adjustRightInd w:val="0"/>
        <w:snapToGrid w:val="0"/>
        <w:spacing w:before="0" w:beforeLines="0" w:after="0" w:afterLines="0" w:line="288" w:lineRule="auto"/>
        <w:ind w:firstLine="420" w:firstLineChars="200"/>
        <w:jc w:val="left"/>
        <w:rPr>
          <w:rFonts w:hAnsi="宋体" w:eastAsia="宋体"/>
          <w:color w:val="auto"/>
          <w:sz w:val="21"/>
          <w:szCs w:val="21"/>
          <w:highlight w:val="none"/>
        </w:rPr>
      </w:pPr>
      <w:r>
        <w:rPr>
          <w:rFonts w:hint="eastAsia" w:hAnsi="宋体" w:eastAsia="宋体" w:cs="宋体"/>
          <w:color w:val="auto"/>
          <w:sz w:val="21"/>
          <w:szCs w:val="21"/>
          <w:highlight w:val="none"/>
        </w:rPr>
        <w:t>▲4</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采购人将以合同形式有偿取得货物或服务，不接受供应商给予的赠品、回扣或者与采购无关的其他商品、服务</w:t>
      </w:r>
      <w:r>
        <w:rPr>
          <w:rFonts w:hAnsi="宋体" w:eastAsia="宋体" w:cs="宋体"/>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2" w:firstLineChars="201"/>
        <w:jc w:val="left"/>
        <w:rPr>
          <w:rFonts w:cs="Arial"/>
          <w:color w:val="auto"/>
          <w:kern w:val="0"/>
          <w:sz w:val="21"/>
          <w:szCs w:val="21"/>
          <w:highlight w:val="none"/>
        </w:rPr>
      </w:pPr>
      <w:r>
        <w:rPr>
          <w:rFonts w:cs="Arial"/>
          <w:color w:val="auto"/>
          <w:kern w:val="0"/>
          <w:sz w:val="21"/>
          <w:szCs w:val="21"/>
          <w:highlight w:val="none"/>
        </w:rPr>
        <w:t>信用信息查询渠道及截止时间：采购机构将通过“信用中国”网站(www.creditchina.gov.cn)、中国政府采购网(www.ccgp.gov.cn)渠道查询供应商</w:t>
      </w:r>
      <w:r>
        <w:rPr>
          <w:rFonts w:hint="eastAsia" w:cs="Arial"/>
          <w:color w:val="auto"/>
          <w:kern w:val="0"/>
          <w:sz w:val="21"/>
          <w:szCs w:val="21"/>
          <w:highlight w:val="none"/>
        </w:rPr>
        <w:t>响应</w:t>
      </w:r>
      <w:r>
        <w:rPr>
          <w:rFonts w:cs="Arial"/>
          <w:color w:val="auto"/>
          <w:kern w:val="0"/>
          <w:sz w:val="21"/>
          <w:szCs w:val="21"/>
          <w:highlight w:val="none"/>
        </w:rPr>
        <w:t>截止时间当天的信用记录。</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36"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6"/>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cs="Times New Roman"/>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二、评审标准</w:t>
      </w:r>
    </w:p>
    <w:tbl>
      <w:tblPr>
        <w:tblStyle w:val="1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noWrap w:val="0"/>
            <w:vAlign w:val="center"/>
          </w:tcPr>
          <w:p>
            <w:pPr>
              <w:spacing w:line="288" w:lineRule="auto"/>
              <w:jc w:val="center"/>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评审因素</w:t>
            </w:r>
          </w:p>
        </w:tc>
        <w:tc>
          <w:tcPr>
            <w:tcW w:w="709" w:type="dxa"/>
            <w:noWrap w:val="0"/>
            <w:vAlign w:val="center"/>
          </w:tcPr>
          <w:p>
            <w:pPr>
              <w:spacing w:line="288" w:lineRule="auto"/>
              <w:jc w:val="center"/>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分值</w:t>
            </w:r>
          </w:p>
        </w:tc>
        <w:tc>
          <w:tcPr>
            <w:tcW w:w="7371" w:type="dxa"/>
            <w:noWrap w:val="0"/>
            <w:vAlign w:val="center"/>
          </w:tcPr>
          <w:p>
            <w:pPr>
              <w:pStyle w:val="29"/>
              <w:spacing w:line="288" w:lineRule="auto"/>
              <w:rPr>
                <w:rFonts w:ascii="宋体" w:hAnsi="宋体" w:eastAsia="宋体"/>
                <w:b/>
                <w:color w:val="auto"/>
                <w:spacing w:val="-6"/>
                <w:sz w:val="21"/>
                <w:szCs w:val="21"/>
                <w:highlight w:val="none"/>
              </w:rPr>
            </w:pPr>
            <w:r>
              <w:rPr>
                <w:rFonts w:ascii="宋体" w:hAns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noWrap w:val="0"/>
            <w:vAlign w:val="center"/>
          </w:tcPr>
          <w:p>
            <w:pPr>
              <w:pStyle w:val="29"/>
              <w:spacing w:line="288" w:lineRule="auto"/>
              <w:jc w:val="left"/>
              <w:rPr>
                <w:rFonts w:ascii="宋体" w:hAnsi="宋体" w:eastAsia="宋体"/>
                <w:color w:val="auto"/>
                <w:spacing w:val="-6"/>
                <w:sz w:val="21"/>
                <w:szCs w:val="21"/>
                <w:highlight w:val="none"/>
              </w:rPr>
            </w:pPr>
            <w:r>
              <w:rPr>
                <w:rFonts w:ascii="宋体" w:hAnsi="宋体" w:eastAsia="宋体"/>
                <w:b/>
                <w:bCs/>
                <w:color w:val="auto"/>
                <w:spacing w:val="-6"/>
                <w:kern w:val="2"/>
                <w:sz w:val="21"/>
                <w:szCs w:val="21"/>
                <w:highlight w:val="none"/>
              </w:rPr>
              <w:t>价格分（</w:t>
            </w:r>
            <w:r>
              <w:rPr>
                <w:rFonts w:hint="eastAsia" w:ascii="宋体" w:eastAsia="宋体"/>
                <w:b/>
                <w:bCs/>
                <w:color w:val="auto"/>
                <w:spacing w:val="-6"/>
                <w:kern w:val="2"/>
                <w:sz w:val="21"/>
                <w:szCs w:val="21"/>
                <w:highlight w:val="none"/>
                <w:lang w:val="en-US" w:eastAsia="zh-CN"/>
              </w:rPr>
              <w:t>1</w:t>
            </w:r>
            <w:r>
              <w:rPr>
                <w:rFonts w:ascii="宋体" w:hAnsi="宋体" w:eastAsia="宋体"/>
                <w:b/>
                <w:bCs/>
                <w:color w:val="auto"/>
                <w:spacing w:val="-6"/>
                <w:kern w:val="2"/>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pStyle w:val="2"/>
              <w:spacing w:line="288" w:lineRule="auto"/>
              <w:ind w:firstLine="0"/>
              <w:jc w:val="center"/>
              <w:rPr>
                <w:rFonts w:hAnsi="宋体"/>
                <w:color w:val="auto"/>
                <w:spacing w:val="-6"/>
                <w:sz w:val="21"/>
                <w:szCs w:val="21"/>
                <w:highlight w:val="none"/>
              </w:rPr>
            </w:pPr>
            <w:r>
              <w:rPr>
                <w:rFonts w:hint="eastAsia" w:hAnsi="宋体"/>
                <w:color w:val="auto"/>
                <w:spacing w:val="-6"/>
                <w:sz w:val="21"/>
                <w:szCs w:val="21"/>
                <w:highlight w:val="none"/>
              </w:rPr>
              <w:t>最后磋商</w:t>
            </w:r>
            <w:r>
              <w:rPr>
                <w:rFonts w:hAnsi="宋体"/>
                <w:color w:val="auto"/>
                <w:spacing w:val="-6"/>
                <w:sz w:val="21"/>
                <w:szCs w:val="21"/>
                <w:highlight w:val="none"/>
              </w:rPr>
              <w:t>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olor w:val="auto"/>
                <w:spacing w:val="-6"/>
                <w:sz w:val="21"/>
                <w:szCs w:val="21"/>
                <w:highlight w:val="none"/>
              </w:rPr>
            </w:pPr>
            <w:r>
              <w:rPr>
                <w:rFonts w:hint="eastAsia"/>
                <w:color w:val="auto"/>
                <w:spacing w:val="-6"/>
                <w:sz w:val="21"/>
                <w:szCs w:val="21"/>
                <w:highlight w:val="none"/>
                <w:lang w:val="en-US" w:eastAsia="zh-CN"/>
              </w:rPr>
              <w:t>1</w:t>
            </w:r>
            <w:r>
              <w:rPr>
                <w:rFonts w:hint="eastAsia" w:ascii="宋体" w:hAnsi="宋体"/>
                <w:color w:val="auto"/>
                <w:spacing w:val="-6"/>
                <w:sz w:val="21"/>
                <w:szCs w:val="21"/>
                <w:highlight w:val="none"/>
              </w:rPr>
              <w:t>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hAnsi="宋体"/>
                <w:color w:val="auto"/>
                <w:spacing w:val="-6"/>
                <w:sz w:val="21"/>
                <w:szCs w:val="21"/>
                <w:highlight w:val="none"/>
              </w:rPr>
            </w:pPr>
            <w:r>
              <w:rPr>
                <w:rFonts w:hAnsi="宋体"/>
                <w:color w:val="auto"/>
                <w:spacing w:val="-6"/>
                <w:sz w:val="21"/>
                <w:szCs w:val="21"/>
                <w:highlight w:val="none"/>
              </w:rPr>
              <w:t>价格分采用低价优先法计算，</w:t>
            </w:r>
            <w:r>
              <w:rPr>
                <w:rFonts w:hint="eastAsia" w:hAnsi="宋体"/>
                <w:color w:val="auto"/>
                <w:spacing w:val="-6"/>
                <w:sz w:val="21"/>
                <w:szCs w:val="21"/>
                <w:highlight w:val="none"/>
              </w:rPr>
              <w:t>即满足磋商文件要求且最后磋商报价最低的供应商的价格为磋商基准价，其价格分为满分。其他供应商的价格分统一按照下列公式计算：</w:t>
            </w:r>
          </w:p>
          <w:p>
            <w:pPr>
              <w:pStyle w:val="2"/>
              <w:ind w:firstLine="0"/>
              <w:rPr>
                <w:rFonts w:hint="eastAsia" w:hAnsi="宋体"/>
                <w:color w:val="auto"/>
                <w:spacing w:val="-6"/>
                <w:sz w:val="21"/>
                <w:szCs w:val="21"/>
                <w:highlight w:val="none"/>
              </w:rPr>
            </w:pPr>
            <w:r>
              <w:rPr>
                <w:rFonts w:hint="eastAsia" w:hAnsi="宋体"/>
                <w:color w:val="auto"/>
                <w:spacing w:val="-6"/>
                <w:sz w:val="21"/>
                <w:szCs w:val="21"/>
                <w:highlight w:val="none"/>
              </w:rPr>
              <w:t>磋商报价得分=（磋商基准价/最后磋商报价）×</w:t>
            </w:r>
            <w:r>
              <w:rPr>
                <w:rFonts w:hint="eastAsia" w:hAnsi="宋体"/>
                <w:color w:val="auto"/>
                <w:spacing w:val="-6"/>
                <w:sz w:val="21"/>
                <w:szCs w:val="21"/>
                <w:highlight w:val="none"/>
                <w:lang w:val="en-US" w:eastAsia="zh-CN"/>
              </w:rPr>
              <w:t>1</w:t>
            </w:r>
            <w:r>
              <w:rPr>
                <w:rFonts w:hint="eastAsia" w:hAnsi="宋体"/>
                <w:color w:val="auto"/>
                <w:spacing w:val="-6"/>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noWrap w:val="0"/>
            <w:vAlign w:val="center"/>
          </w:tcPr>
          <w:p>
            <w:pPr>
              <w:pStyle w:val="29"/>
              <w:spacing w:line="288" w:lineRule="auto"/>
              <w:jc w:val="left"/>
              <w:rPr>
                <w:rFonts w:ascii="宋体" w:hAnsi="宋体" w:eastAsia="宋体"/>
                <w:b/>
                <w:color w:val="auto"/>
                <w:spacing w:val="-6"/>
                <w:sz w:val="21"/>
                <w:szCs w:val="21"/>
                <w:highlight w:val="none"/>
              </w:rPr>
            </w:pPr>
            <w:r>
              <w:rPr>
                <w:rFonts w:ascii="宋体" w:hAnsi="宋体" w:eastAsia="宋体"/>
                <w:b/>
                <w:color w:val="auto"/>
                <w:spacing w:val="-6"/>
                <w:sz w:val="21"/>
                <w:szCs w:val="21"/>
                <w:highlight w:val="none"/>
              </w:rPr>
              <w:t>商务分（</w:t>
            </w:r>
            <w:r>
              <w:rPr>
                <w:rFonts w:hint="eastAsia" w:ascii="宋体" w:eastAsia="宋体"/>
                <w:b/>
                <w:color w:val="auto"/>
                <w:spacing w:val="-6"/>
                <w:sz w:val="21"/>
                <w:szCs w:val="21"/>
                <w:highlight w:val="none"/>
                <w:lang w:val="en-US" w:eastAsia="zh-CN"/>
              </w:rPr>
              <w:t>4</w:t>
            </w:r>
            <w:r>
              <w:rPr>
                <w:rFonts w:ascii="宋体" w:hAnsi="宋体" w:eastAsia="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60" w:type="dxa"/>
            <w:noWrap w:val="0"/>
            <w:vAlign w:val="center"/>
          </w:tcPr>
          <w:p>
            <w:pPr>
              <w:spacing w:line="288" w:lineRule="auto"/>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管理体系证书</w:t>
            </w: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color w:val="auto"/>
                <w:spacing w:val="-6"/>
                <w:sz w:val="21"/>
                <w:szCs w:val="21"/>
                <w:highlight w:val="none"/>
                <w:lang w:val="en-US" w:eastAsia="zh-CN"/>
              </w:rPr>
              <w:t>3</w:t>
            </w:r>
          </w:p>
        </w:tc>
        <w:tc>
          <w:tcPr>
            <w:tcW w:w="7371" w:type="dxa"/>
            <w:noWrap w:val="0"/>
            <w:vAlign w:val="center"/>
          </w:tcPr>
          <w:p>
            <w:pPr>
              <w:spacing w:line="288" w:lineRule="auto"/>
              <w:rPr>
                <w:rFonts w:hint="eastAsia" w:ascii="宋体" w:hAnsi="宋体"/>
                <w:color w:val="auto"/>
                <w:spacing w:val="-6"/>
                <w:sz w:val="21"/>
                <w:szCs w:val="21"/>
                <w:highlight w:val="none"/>
              </w:rPr>
            </w:pPr>
            <w:r>
              <w:rPr>
                <w:rFonts w:hint="eastAsia" w:ascii="宋体" w:hAnsi="宋体" w:cs="宋体"/>
                <w:color w:val="auto"/>
                <w:spacing w:val="-6"/>
                <w:sz w:val="21"/>
                <w:szCs w:val="21"/>
                <w:highlight w:val="none"/>
              </w:rPr>
              <w:t>有效的质量管理体系认证证书、环境管理体系认证证书、职业健康安全管理体系认证证书，以上每具备一项得1分，满分3分（响应文件中提供</w:t>
            </w:r>
            <w:r>
              <w:rPr>
                <w:rFonts w:hint="eastAsia" w:cs="宋体"/>
                <w:color w:val="auto"/>
                <w:spacing w:val="-6"/>
                <w:sz w:val="21"/>
                <w:szCs w:val="21"/>
                <w:highlight w:val="none"/>
                <w:lang w:val="en-US" w:eastAsia="zh-CN"/>
              </w:rPr>
              <w:t>扫描</w:t>
            </w:r>
            <w:r>
              <w:rPr>
                <w:rFonts w:hint="eastAsia" w:ascii="宋体" w:hAnsi="宋体" w:cs="宋体"/>
                <w:color w:val="auto"/>
                <w:spacing w:val="-6"/>
                <w:sz w:val="21"/>
                <w:szCs w:val="21"/>
                <w:highlight w:val="none"/>
              </w:rPr>
              <w:t>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noWrap w:val="0"/>
            <w:vAlign w:val="center"/>
          </w:tcPr>
          <w:p>
            <w:pPr>
              <w:spacing w:line="288" w:lineRule="auto"/>
              <w:jc w:val="center"/>
              <w:rPr>
                <w:rFonts w:hint="eastAsia" w:ascii="宋体" w:hAnsi="宋体"/>
                <w:color w:val="auto"/>
                <w:spacing w:val="-6"/>
                <w:sz w:val="21"/>
                <w:szCs w:val="21"/>
                <w:highlight w:val="none"/>
              </w:rPr>
            </w:pPr>
            <w:r>
              <w:rPr>
                <w:rFonts w:hint="eastAsia" w:ascii="宋体" w:hAnsi="宋体" w:cs="宋体"/>
                <w:color w:val="auto"/>
                <w:spacing w:val="-6"/>
                <w:sz w:val="21"/>
                <w:szCs w:val="21"/>
                <w:highlight w:val="none"/>
              </w:rPr>
              <w:t>业绩</w:t>
            </w: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cs="宋体"/>
                <w:color w:val="auto"/>
                <w:spacing w:val="-6"/>
                <w:sz w:val="21"/>
                <w:szCs w:val="21"/>
                <w:highlight w:val="none"/>
                <w:lang w:val="en-US" w:eastAsia="zh-CN"/>
              </w:rPr>
              <w:t>1</w:t>
            </w:r>
          </w:p>
        </w:tc>
        <w:tc>
          <w:tcPr>
            <w:tcW w:w="7371" w:type="dxa"/>
            <w:noWrap w:val="0"/>
            <w:vAlign w:val="center"/>
          </w:tcPr>
          <w:p>
            <w:pPr>
              <w:pStyle w:val="2"/>
              <w:spacing w:line="288" w:lineRule="auto"/>
              <w:ind w:firstLine="0"/>
              <w:rPr>
                <w:rFonts w:hint="eastAsia" w:hAnsi="宋体"/>
                <w:color w:val="auto"/>
                <w:spacing w:val="-6"/>
                <w:sz w:val="21"/>
                <w:szCs w:val="21"/>
                <w:highlight w:val="none"/>
              </w:rPr>
            </w:pPr>
            <w:r>
              <w:rPr>
                <w:rFonts w:hint="eastAsia" w:hAnsi="宋体"/>
                <w:color w:val="auto"/>
                <w:spacing w:val="-6"/>
                <w:sz w:val="21"/>
                <w:szCs w:val="21"/>
                <w:highlight w:val="none"/>
              </w:rPr>
              <w:t>磋商响应供应商</w:t>
            </w:r>
            <w:r>
              <w:rPr>
                <w:rFonts w:hint="eastAsia" w:hAnsi="宋体" w:cs="宋体"/>
                <w:bCs/>
                <w:color w:val="auto"/>
                <w:spacing w:val="-6"/>
                <w:sz w:val="21"/>
                <w:szCs w:val="21"/>
                <w:highlight w:val="none"/>
              </w:rPr>
              <w:t>自201</w:t>
            </w:r>
            <w:r>
              <w:rPr>
                <w:rFonts w:hint="eastAsia" w:hAnsi="宋体" w:cs="宋体"/>
                <w:bCs/>
                <w:color w:val="auto"/>
                <w:spacing w:val="-6"/>
                <w:sz w:val="21"/>
                <w:szCs w:val="21"/>
                <w:highlight w:val="none"/>
                <w:lang w:val="en-US" w:eastAsia="zh-CN"/>
              </w:rPr>
              <w:t>9</w:t>
            </w:r>
            <w:r>
              <w:rPr>
                <w:rFonts w:hint="eastAsia" w:hAnsi="宋体" w:cs="宋体"/>
                <w:bCs/>
                <w:color w:val="auto"/>
                <w:spacing w:val="-6"/>
                <w:sz w:val="21"/>
                <w:szCs w:val="21"/>
                <w:highlight w:val="none"/>
              </w:rPr>
              <w:t>年1月1日以来</w:t>
            </w:r>
            <w:r>
              <w:rPr>
                <w:rFonts w:hint="eastAsia" w:hAnsi="宋体" w:cs="宋体"/>
                <w:color w:val="auto"/>
                <w:spacing w:val="-6"/>
                <w:sz w:val="21"/>
                <w:szCs w:val="21"/>
                <w:highlight w:val="none"/>
              </w:rPr>
              <w:t>（以合同签订时间为准）</w:t>
            </w:r>
            <w:r>
              <w:rPr>
                <w:rFonts w:hint="eastAsia" w:hAnsi="宋体" w:cs="宋体"/>
                <w:bCs/>
                <w:color w:val="auto"/>
                <w:spacing w:val="-6"/>
                <w:sz w:val="21"/>
                <w:szCs w:val="21"/>
                <w:highlight w:val="none"/>
              </w:rPr>
              <w:t>同类项目业绩（以提供的完整合同复印件为准）：每提供1份合同业绩得</w:t>
            </w:r>
            <w:r>
              <w:rPr>
                <w:rFonts w:hint="eastAsia" w:hAnsi="宋体" w:cs="宋体"/>
                <w:bCs/>
                <w:color w:val="auto"/>
                <w:spacing w:val="-6"/>
                <w:sz w:val="21"/>
                <w:szCs w:val="21"/>
                <w:highlight w:val="none"/>
                <w:lang w:val="en-US" w:eastAsia="zh-CN"/>
              </w:rPr>
              <w:t>0.5</w:t>
            </w:r>
            <w:r>
              <w:rPr>
                <w:rFonts w:hint="eastAsia" w:hAnsi="宋体" w:cs="宋体"/>
                <w:bCs/>
                <w:color w:val="auto"/>
                <w:spacing w:val="-6"/>
                <w:sz w:val="21"/>
                <w:szCs w:val="21"/>
                <w:highlight w:val="none"/>
              </w:rPr>
              <w:t>分，最高得</w:t>
            </w:r>
            <w:r>
              <w:rPr>
                <w:rFonts w:hint="eastAsia" w:hAnsi="宋体" w:cs="宋体"/>
                <w:bCs/>
                <w:color w:val="auto"/>
                <w:spacing w:val="-6"/>
                <w:sz w:val="21"/>
                <w:szCs w:val="21"/>
                <w:highlight w:val="none"/>
                <w:lang w:val="en-US" w:eastAsia="zh-CN"/>
              </w:rPr>
              <w:t>1</w:t>
            </w:r>
            <w:r>
              <w:rPr>
                <w:rFonts w:hint="eastAsia" w:hAnsi="宋体" w:cs="宋体"/>
                <w:bCs/>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noWrap w:val="0"/>
            <w:vAlign w:val="center"/>
          </w:tcPr>
          <w:p>
            <w:pPr>
              <w:pStyle w:val="2"/>
              <w:spacing w:line="288" w:lineRule="auto"/>
              <w:ind w:firstLine="0"/>
              <w:jc w:val="left"/>
              <w:rPr>
                <w:rFonts w:hint="eastAsia" w:hAnsi="宋体"/>
                <w:color w:val="auto"/>
                <w:spacing w:val="-6"/>
                <w:sz w:val="21"/>
                <w:szCs w:val="21"/>
                <w:highlight w:val="none"/>
              </w:rPr>
            </w:pPr>
            <w:r>
              <w:rPr>
                <w:rFonts w:hint="eastAsia" w:hAnsi="宋体"/>
                <w:b/>
                <w:color w:val="auto"/>
                <w:spacing w:val="-6"/>
                <w:sz w:val="21"/>
                <w:szCs w:val="21"/>
                <w:highlight w:val="none"/>
              </w:rPr>
              <w:t>技术分（</w:t>
            </w:r>
            <w:r>
              <w:rPr>
                <w:rFonts w:hint="eastAsia" w:hAnsi="宋体"/>
                <w:b/>
                <w:color w:val="auto"/>
                <w:spacing w:val="-6"/>
                <w:sz w:val="21"/>
                <w:szCs w:val="21"/>
                <w:highlight w:val="none"/>
                <w:lang w:val="en-US" w:eastAsia="zh-CN"/>
              </w:rPr>
              <w:t>86</w:t>
            </w:r>
            <w:r>
              <w:rPr>
                <w:rFonts w:hint="eastAsia"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restart"/>
            <w:noWrap w:val="0"/>
            <w:vAlign w:val="center"/>
          </w:tcPr>
          <w:p>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服务</w:t>
            </w:r>
            <w:r>
              <w:rPr>
                <w:rFonts w:ascii="宋体" w:hAnsi="宋体"/>
                <w:color w:val="auto"/>
                <w:spacing w:val="-6"/>
                <w:sz w:val="21"/>
                <w:szCs w:val="21"/>
                <w:highlight w:val="none"/>
              </w:rPr>
              <w:t>方案</w:t>
            </w: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维保方法的合理性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pacing w:val="-6"/>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维保流程是否明确、合理。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hint="eastAsia" w:ascii="宋体" w:hAnsi="宋体"/>
                <w:color w:val="auto"/>
                <w:spacing w:val="-6"/>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rPr>
              <w:t>维保范围是否明确且符合采购需求</w:t>
            </w:r>
            <w:r>
              <w:rPr>
                <w:rFonts w:hint="eastAsia"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pacing w:val="-6"/>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rPr>
              <w:t>维保内容是否明确且符合采购需求</w:t>
            </w:r>
            <w:r>
              <w:rPr>
                <w:rFonts w:hint="eastAsia"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hint="eastAsia" w:ascii="宋体" w:hAnsi="宋体"/>
                <w:color w:val="auto"/>
                <w:spacing w:val="-6"/>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rPr>
                <w:rFonts w:hint="eastAsia" w:ascii="宋体" w:hAnsi="宋体"/>
                <w:color w:val="auto"/>
                <w:sz w:val="21"/>
                <w:szCs w:val="21"/>
                <w:highlight w:val="none"/>
              </w:rPr>
            </w:pPr>
            <w:r>
              <w:rPr>
                <w:rFonts w:hint="eastAsia" w:ascii="宋体" w:hAnsi="宋体"/>
                <w:color w:val="auto"/>
                <w:spacing w:val="-6"/>
                <w:sz w:val="21"/>
                <w:szCs w:val="21"/>
                <w:highlight w:val="none"/>
              </w:rPr>
              <w:t>维保的效果与质量标准是否明确、可衡量</w:t>
            </w:r>
            <w:r>
              <w:rPr>
                <w:rFonts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hint="eastAsia" w:ascii="宋体" w:hAnsi="宋体"/>
                <w:color w:val="auto"/>
                <w:spacing w:val="-6"/>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rPr>
                <w:rFonts w:hint="default" w:ascii="宋体" w:hAnsi="宋体" w:eastAsia="宋体"/>
                <w:color w:val="auto"/>
                <w:sz w:val="21"/>
                <w:szCs w:val="21"/>
                <w:highlight w:val="none"/>
                <w:lang w:val="en-US" w:eastAsia="zh-CN"/>
              </w:rPr>
            </w:pPr>
            <w:r>
              <w:rPr>
                <w:rFonts w:hint="eastAsia" w:ascii="宋体" w:hAnsi="宋体"/>
                <w:color w:val="auto"/>
                <w:spacing w:val="-6"/>
                <w:sz w:val="21"/>
                <w:szCs w:val="21"/>
                <w:highlight w:val="none"/>
              </w:rPr>
              <w:t>维保项目质量控制措施的合理性，</w:t>
            </w:r>
            <w:r>
              <w:rPr>
                <w:rFonts w:hint="eastAsia" w:ascii="宋体" w:hAnsi="宋体"/>
                <w:color w:val="auto"/>
                <w:spacing w:val="-6"/>
                <w:sz w:val="21"/>
                <w:szCs w:val="21"/>
                <w:highlight w:val="none"/>
                <w:lang w:val="en-US" w:eastAsia="zh-CN"/>
              </w:rPr>
              <w:t>不发生二次维修的措施。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hint="eastAsia" w:ascii="宋体" w:hAnsi="宋体"/>
                <w:color w:val="auto"/>
                <w:spacing w:val="-6"/>
                <w:sz w:val="21"/>
                <w:szCs w:val="21"/>
                <w:highlight w:val="none"/>
              </w:rPr>
            </w:pPr>
          </w:p>
        </w:tc>
        <w:tc>
          <w:tcPr>
            <w:tcW w:w="709" w:type="dxa"/>
            <w:noWrap w:val="0"/>
            <w:vAlign w:val="center"/>
          </w:tcPr>
          <w:p>
            <w:pPr>
              <w:spacing w:line="288" w:lineRule="auto"/>
              <w:jc w:val="center"/>
              <w:rPr>
                <w:rFonts w:hint="default"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rPr>
                <w:rFonts w:hint="eastAsia" w:ascii="宋体" w:hAnsi="宋体"/>
                <w:color w:val="auto"/>
                <w:spacing w:val="-6"/>
                <w:sz w:val="21"/>
                <w:szCs w:val="21"/>
                <w:highlight w:val="none"/>
              </w:rPr>
            </w:pPr>
            <w:r>
              <w:rPr>
                <w:bCs/>
                <w:color w:val="auto"/>
                <w:spacing w:val="-6"/>
                <w:sz w:val="21"/>
                <w:szCs w:val="21"/>
                <w:highlight w:val="none"/>
              </w:rPr>
              <w:t>整个维保期所投入的设备，如常规设备、应急设备等。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hint="eastAsia"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rPr>
                <w:rFonts w:hint="eastAsia" w:ascii="宋体" w:hAnsi="宋体"/>
                <w:color w:val="auto"/>
                <w:spacing w:val="-6"/>
                <w:sz w:val="21"/>
                <w:szCs w:val="21"/>
                <w:highlight w:val="none"/>
              </w:rPr>
            </w:pPr>
            <w:r>
              <w:rPr>
                <w:rFonts w:hint="eastAsia" w:ascii="宋体" w:hAnsi="宋体"/>
                <w:color w:val="auto"/>
                <w:spacing w:val="-6"/>
                <w:sz w:val="21"/>
                <w:szCs w:val="21"/>
                <w:highlight w:val="none"/>
              </w:rPr>
              <w:t>安全措施是否具体、合理。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hint="eastAsia" w:ascii="宋体" w:hAnsi="宋体"/>
                <w:color w:val="auto"/>
                <w:spacing w:val="-6"/>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rPr>
                <w:rFonts w:hint="eastAsia" w:hAnsi="宋体"/>
                <w:bCs/>
                <w:color w:val="auto"/>
                <w:spacing w:val="-6"/>
                <w:sz w:val="21"/>
                <w:szCs w:val="21"/>
                <w:highlight w:val="none"/>
              </w:rPr>
            </w:pPr>
            <w:r>
              <w:rPr>
                <w:rFonts w:hint="eastAsia" w:ascii="宋体" w:hAnsi="宋体"/>
                <w:color w:val="auto"/>
                <w:spacing w:val="-6"/>
                <w:sz w:val="21"/>
                <w:szCs w:val="21"/>
                <w:highlight w:val="none"/>
              </w:rPr>
              <w:t>应急维修方案的合理性。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ascii="宋体" w:hAnsi="宋体"/>
                <w:bCs/>
                <w:color w:val="auto"/>
                <w:sz w:val="21"/>
                <w:szCs w:val="21"/>
                <w:highlight w:val="none"/>
              </w:rPr>
            </w:pPr>
            <w:r>
              <w:rPr>
                <w:rFonts w:hint="eastAsia" w:ascii="宋体" w:hAnsi="宋体"/>
                <w:color w:val="auto"/>
                <w:sz w:val="21"/>
                <w:szCs w:val="21"/>
                <w:highlight w:val="none"/>
              </w:rPr>
              <w:t>维保服务保障措施：售后服务方案及组织措施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z w:val="21"/>
                <w:szCs w:val="21"/>
                <w:highlight w:val="none"/>
              </w:rPr>
            </w:pPr>
            <w:bookmarkStart w:id="37" w:name="_Hlk81817387"/>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维保服务保障措施：针对本项目的合理化建议。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5</w:t>
            </w:r>
          </w:p>
        </w:tc>
        <w:tc>
          <w:tcPr>
            <w:tcW w:w="7371" w:type="dxa"/>
            <w:noWrap w:val="0"/>
            <w:vAlign w:val="center"/>
          </w:tcPr>
          <w:p>
            <w:pPr>
              <w:spacing w:line="288" w:lineRule="auto"/>
              <w:rPr>
                <w:rFonts w:ascii="宋体" w:hAnsi="宋体"/>
                <w:color w:val="auto"/>
                <w:sz w:val="21"/>
                <w:szCs w:val="21"/>
                <w:highlight w:val="none"/>
              </w:rPr>
            </w:pPr>
            <w:r>
              <w:rPr>
                <w:rFonts w:hint="eastAsia"/>
                <w:bCs/>
                <w:color w:val="auto"/>
                <w:spacing w:val="-6"/>
                <w:sz w:val="21"/>
                <w:szCs w:val="21"/>
                <w:highlight w:val="none"/>
              </w:rPr>
              <w:t>供应商的零配件供货的措施与方案是否明确、合理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维修过程中所涉及的零配件的</w:t>
            </w:r>
            <w:r>
              <w:rPr>
                <w:rFonts w:hint="eastAsia" w:ascii="宋体" w:hAnsi="宋体"/>
                <w:color w:val="auto"/>
                <w:spacing w:val="-6"/>
                <w:sz w:val="21"/>
                <w:szCs w:val="21"/>
                <w:highlight w:val="none"/>
                <w:lang w:val="en-US" w:eastAsia="zh-CN"/>
              </w:rPr>
              <w:t>质量保障措施</w:t>
            </w:r>
            <w:r>
              <w:rPr>
                <w:rFonts w:hint="eastAsia"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4</w:t>
            </w:r>
          </w:p>
        </w:tc>
        <w:tc>
          <w:tcPr>
            <w:tcW w:w="7371" w:type="dxa"/>
            <w:noWrap w:val="0"/>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与本项目相关的品牌售后服务经验及证书。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restart"/>
            <w:noWrap w:val="0"/>
            <w:vAlign w:val="center"/>
          </w:tcPr>
          <w:p>
            <w:pPr>
              <w:spacing w:line="288" w:lineRule="auto"/>
              <w:jc w:val="center"/>
              <w:rPr>
                <w:rFonts w:ascii="宋体" w:hAnsi="宋体"/>
                <w:color w:val="auto"/>
                <w:sz w:val="21"/>
                <w:szCs w:val="21"/>
                <w:highlight w:val="none"/>
              </w:rPr>
            </w:pPr>
            <w:r>
              <w:rPr>
                <w:rFonts w:hint="eastAsia" w:ascii="宋体" w:hAnsi="宋体"/>
                <w:color w:val="auto"/>
                <w:spacing w:val="-6"/>
                <w:sz w:val="21"/>
                <w:szCs w:val="21"/>
                <w:highlight w:val="none"/>
              </w:rPr>
              <w:t>拟投入</w:t>
            </w:r>
            <w:r>
              <w:rPr>
                <w:rFonts w:ascii="宋体" w:hAnsi="宋体"/>
                <w:color w:val="auto"/>
                <w:spacing w:val="-6"/>
                <w:sz w:val="21"/>
                <w:szCs w:val="21"/>
                <w:highlight w:val="none"/>
              </w:rPr>
              <w:t>人员</w:t>
            </w: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4</w:t>
            </w:r>
          </w:p>
        </w:tc>
        <w:tc>
          <w:tcPr>
            <w:tcW w:w="7371" w:type="dxa"/>
            <w:noWrap w:val="0"/>
            <w:vAlign w:val="center"/>
          </w:tcPr>
          <w:p>
            <w:pPr>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拟派项目负责人的经验、资历情况。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jc w:val="center"/>
              <w:rPr>
                <w:rFonts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4</w:t>
            </w:r>
          </w:p>
        </w:tc>
        <w:tc>
          <w:tcPr>
            <w:tcW w:w="7371" w:type="dxa"/>
            <w:noWrap w:val="0"/>
            <w:vAlign w:val="center"/>
          </w:tcPr>
          <w:p>
            <w:pPr>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拟派项目组人员的数量是否充分，配备是否合理。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rPr>
                <w:rFonts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p>
        </w:tc>
        <w:tc>
          <w:tcPr>
            <w:tcW w:w="7371" w:type="dxa"/>
            <w:noWrap w:val="0"/>
            <w:vAlign w:val="center"/>
          </w:tcPr>
          <w:p>
            <w:pPr>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拟派本项目经理，具有高工证书，得4分，具有技工证书得2分，提供复印件，未提供不得分。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noWrap w:val="0"/>
            <w:vAlign w:val="center"/>
          </w:tcPr>
          <w:p>
            <w:pPr>
              <w:spacing w:line="288" w:lineRule="auto"/>
              <w:rPr>
                <w:rFonts w:ascii="宋体" w:hAnsi="宋体"/>
                <w:color w:val="auto"/>
                <w:sz w:val="21"/>
                <w:szCs w:val="21"/>
                <w:highlight w:val="none"/>
              </w:rPr>
            </w:pPr>
          </w:p>
        </w:tc>
        <w:tc>
          <w:tcPr>
            <w:tcW w:w="709" w:type="dxa"/>
            <w:noWrap w:val="0"/>
            <w:vAlign w:val="center"/>
          </w:tcPr>
          <w:p>
            <w:pPr>
              <w:spacing w:line="288" w:lineRule="auto"/>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5</w:t>
            </w:r>
          </w:p>
        </w:tc>
        <w:tc>
          <w:tcPr>
            <w:tcW w:w="7371" w:type="dxa"/>
            <w:noWrap w:val="0"/>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拟派本项目服务团队中技术人员持有空调制冷维修证书、焊工证书及高空作业证书等相关专业技术资格证书的，每1份得1分，满分</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rPr>
              <w:t>分。</w:t>
            </w:r>
          </w:p>
          <w:p>
            <w:pPr>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（提供证书复印件，未提供不得分）。</w:t>
            </w:r>
          </w:p>
        </w:tc>
      </w:tr>
    </w:tbl>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p>
    <w:bookmarkEnd w:id="37"/>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lang w:eastAsia="zh-CN"/>
        </w:rPr>
        <w:t>中国美术学院</w:t>
      </w:r>
      <w:r>
        <w:rPr>
          <w:rFonts w:hint="eastAsia"/>
          <w:b/>
          <w:color w:val="auto"/>
          <w:spacing w:val="-6"/>
          <w:sz w:val="21"/>
          <w:szCs w:val="21"/>
          <w:highlight w:val="none"/>
        </w:rPr>
        <w:t xml:space="preserve">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校园建设和管理处空调维保服务</w:t>
      </w: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 xml:space="preserve">QSZB-Z(F)-C22029(CS)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甲方（需方）：</w:t>
      </w:r>
      <w:r>
        <w:rPr>
          <w:rFonts w:hint="eastAsia" w:cs="Times New Roman"/>
          <w:b/>
          <w:bCs/>
          <w:color w:val="auto"/>
          <w:spacing w:val="-6"/>
          <w:sz w:val="21"/>
          <w:szCs w:val="21"/>
          <w:highlight w:val="none"/>
          <w:lang w:eastAsia="zh-CN"/>
        </w:rPr>
        <w:t>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adjustRightInd w:val="0"/>
        <w:snapToGrid w:val="0"/>
        <w:spacing w:line="288" w:lineRule="auto"/>
        <w:rPr>
          <w:rFonts w:cs="Times New Roman"/>
          <w:color w:val="auto"/>
          <w:spacing w:val="-6"/>
          <w:sz w:val="21"/>
          <w:szCs w:val="21"/>
          <w:highlight w:val="none"/>
        </w:rPr>
      </w:pPr>
    </w:p>
    <w:p>
      <w:pPr>
        <w:spacing w:before="120" w:beforeLines="50" w:line="288" w:lineRule="auto"/>
        <w:ind w:firstLine="437"/>
        <w:rPr>
          <w:rFonts w:ascii="宋体" w:hAnsi="宋体"/>
          <w:color w:val="auto"/>
          <w:sz w:val="21"/>
          <w:szCs w:val="21"/>
          <w:highlight w:val="none"/>
        </w:rPr>
      </w:pPr>
      <w:r>
        <w:rPr>
          <w:rFonts w:ascii="宋体" w:hAnsi="宋体"/>
          <w:color w:val="auto"/>
          <w:sz w:val="21"/>
          <w:szCs w:val="21"/>
          <w:highlight w:val="none"/>
        </w:rPr>
        <w:t>甲、乙双方根据</w:t>
      </w:r>
      <w:r>
        <w:rPr>
          <w:rFonts w:ascii="宋体" w:hAnsi="宋体"/>
          <w:color w:val="auto"/>
          <w:sz w:val="21"/>
          <w:szCs w:val="21"/>
          <w:highlight w:val="none"/>
          <w:u w:val="single"/>
        </w:rPr>
        <w:t xml:space="preserve">                  </w:t>
      </w:r>
      <w:r>
        <w:rPr>
          <w:rFonts w:ascii="宋体" w:hAnsi="宋体"/>
          <w:color w:val="auto"/>
          <w:sz w:val="21"/>
          <w:szCs w:val="21"/>
          <w:highlight w:val="none"/>
        </w:rPr>
        <w:t>关于</w:t>
      </w:r>
      <w:r>
        <w:rPr>
          <w:rFonts w:ascii="宋体" w:hAnsi="宋体"/>
          <w:color w:val="auto"/>
          <w:sz w:val="21"/>
          <w:szCs w:val="21"/>
          <w:highlight w:val="none"/>
          <w:u w:val="single"/>
        </w:rPr>
        <w:t xml:space="preserve">                       </w:t>
      </w:r>
      <w:r>
        <w:rPr>
          <w:rFonts w:ascii="宋体" w:hAnsi="宋体"/>
          <w:color w:val="auto"/>
          <w:sz w:val="21"/>
          <w:szCs w:val="21"/>
          <w:highlight w:val="none"/>
        </w:rPr>
        <w:t>（项目编号为</w:t>
      </w:r>
      <w:r>
        <w:rPr>
          <w:rFonts w:ascii="宋体" w:hAnsi="宋体"/>
          <w:color w:val="auto"/>
          <w:sz w:val="21"/>
          <w:szCs w:val="21"/>
          <w:highlight w:val="none"/>
          <w:u w:val="single"/>
        </w:rPr>
        <w:t xml:space="preserve">                  </w:t>
      </w:r>
      <w:r>
        <w:rPr>
          <w:rFonts w:ascii="宋体" w:hAnsi="宋体"/>
          <w:color w:val="auto"/>
          <w:sz w:val="21"/>
          <w:szCs w:val="21"/>
          <w:highlight w:val="none"/>
        </w:rPr>
        <w:t>）的项目竞争性磋商的结果，签署本采购合同。</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一、服务内容</w:t>
      </w:r>
    </w:p>
    <w:p>
      <w:pPr>
        <w:spacing w:line="500" w:lineRule="exact"/>
        <w:rPr>
          <w:rFonts w:ascii="宋体" w:hAnsi="宋体" w:cs="宋体"/>
          <w:color w:val="auto"/>
          <w:sz w:val="22"/>
          <w:highlight w:val="none"/>
        </w:rPr>
      </w:pPr>
      <w:r>
        <w:rPr>
          <w:rFonts w:hint="eastAsia" w:ascii="宋体" w:hAnsi="宋体" w:cs="宋体"/>
          <w:color w:val="auto"/>
          <w:sz w:val="22"/>
          <w:highlight w:val="none"/>
        </w:rPr>
        <w:t>1、服务范围：本项目为中央空调维修保养全过程服务，成交供应商工作范围不仅限于机组保养维修，还包括设备管理、维修接派单、故障处置、维修确认及回访，设备台帐编制、定期维修保养记录等数据的汇总和上报，以及中央空调设备使用培训等工作。</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2、机组保养范围</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2.1室外机、室内机、水泵、冷媒系统、过滤、水处理等水系统及控制部分</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2.2设备电器以设备主要电源连接端子为界。</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3、机组保养内容：成交供应商根据各类型、品牌机组的保养规范组织机组保养工作，内容包括但不限于</w:t>
      </w:r>
      <w:r>
        <w:rPr>
          <w:rFonts w:hint="eastAsia" w:cs="宋体"/>
          <w:color w:val="auto"/>
          <w:sz w:val="22"/>
          <w:highlight w:val="none"/>
          <w:lang w:eastAsia="zh-CN"/>
        </w:rPr>
        <w:t>。</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3.1室外机变频控制器、控制主板、室内电脑板清洗</w:t>
      </w:r>
      <w:r>
        <w:rPr>
          <w:rFonts w:hint="eastAsia" w:cs="宋体"/>
          <w:color w:val="auto"/>
          <w:sz w:val="22"/>
          <w:highlight w:val="none"/>
          <w:lang w:eastAsia="zh-CN"/>
        </w:rPr>
        <w:t>。</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3.2室外机热交换器的清洗。</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3.3冷媒量/工作压力测定及填充。</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3.4电器的绝缘性能安全性能检测</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3.5电源端子、压缩机电器端子的松紧检测</w:t>
      </w:r>
      <w:r>
        <w:rPr>
          <w:rFonts w:hint="eastAsia" w:cs="宋体"/>
          <w:color w:val="auto"/>
          <w:sz w:val="22"/>
          <w:highlight w:val="none"/>
          <w:lang w:eastAsia="zh-CN"/>
        </w:rPr>
        <w:t>。</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3.6保温层的补修</w:t>
      </w:r>
      <w:r>
        <w:rPr>
          <w:rFonts w:hint="eastAsia" w:cs="宋体"/>
          <w:color w:val="auto"/>
          <w:sz w:val="22"/>
          <w:highlight w:val="none"/>
          <w:lang w:eastAsia="zh-CN"/>
        </w:rPr>
        <w:t>。</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3.7冷凝排水系统的检测、清洁</w:t>
      </w:r>
      <w:r>
        <w:rPr>
          <w:rFonts w:hint="eastAsia" w:cs="宋体"/>
          <w:color w:val="auto"/>
          <w:sz w:val="22"/>
          <w:highlight w:val="none"/>
          <w:lang w:eastAsia="zh-CN"/>
        </w:rPr>
        <w:t>。</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3.8室内机滤网清洗</w:t>
      </w:r>
      <w:r>
        <w:rPr>
          <w:rFonts w:hint="eastAsia" w:cs="宋体"/>
          <w:color w:val="auto"/>
          <w:sz w:val="22"/>
          <w:highlight w:val="none"/>
          <w:lang w:eastAsia="zh-CN"/>
        </w:rPr>
        <w:t>。</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3.9电流/电压测定。</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3.10室外、室内机振动、噪声的检测调整</w:t>
      </w:r>
      <w:r>
        <w:rPr>
          <w:rFonts w:hint="eastAsia" w:cs="宋体"/>
          <w:color w:val="auto"/>
          <w:sz w:val="22"/>
          <w:highlight w:val="none"/>
          <w:lang w:eastAsia="zh-CN"/>
        </w:rPr>
        <w:t>。</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3.11吸入/吹出温度测定。</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3.12螺丝/紧固件的确认。</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3.13水源热泵空调蒸发器、冷凝器、过滤器、管路等清洗</w:t>
      </w:r>
      <w:r>
        <w:rPr>
          <w:rFonts w:hint="eastAsia" w:cs="宋体"/>
          <w:color w:val="auto"/>
          <w:sz w:val="22"/>
          <w:highlight w:val="none"/>
          <w:lang w:eastAsia="zh-CN"/>
        </w:rPr>
        <w:t>。</w:t>
      </w:r>
    </w:p>
    <w:p>
      <w:pPr>
        <w:spacing w:line="50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3.14定期更换机油</w:t>
      </w:r>
      <w:r>
        <w:rPr>
          <w:rFonts w:hint="eastAsia" w:cs="宋体"/>
          <w:color w:val="auto"/>
          <w:sz w:val="22"/>
          <w:highlight w:val="none"/>
          <w:lang w:eastAsia="zh-CN"/>
        </w:rPr>
        <w:t>。</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3.15冷媒泄漏，油泄漏的检查。</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3.16整机运转状态是否正常</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3.17其他</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备注：以上操作均要求使用专业的设备进行检测，清洗剂和除垢剂都要使用国家标准的产品。</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4.服务标准</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4.1分制冷和采暖季节进行两次大维保，对机组全面检验。（一般秋季10—11月份；春季4—5月份）。进入设备运行期后每月巡检一次。配件，检查试验的资料、技术培训资料等。</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4.3维保单位必须保证24小时联系电话畅通。一般故障当天处理完毕，重大故障3天处理完毕。否则每逾期一天扣罚服务费1%，因特殊维修流程和工艺，不能在3天之内完成的（如保压测试及查漏补漏等），管理方、成交供应商和使用方共同商定修复时间，一般不超过4天。维修完成及时签属维修确认单。</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4.4要求维保单位至少配置3名空调技术人员在我校提供驻点服务，其中至少一人专门负责维修接派单、记录，报表汇总、对接核查等工作，相关人员统一着装，规范服务，办公用房及校园网络由我校提供，办公器材及维修工具、设备由成交供应商自行配备。要求上班时间上午8：20，下班时间为下午5：00，中午休息一个小时，实行签到制度（具体根据采购人要求）。技术人员管理参考我校后勤部门的考核管理办法。</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4.5自合同签订之日起七个工作日内，完成报修流程及联系方式的公告及对接，包括在所有建筑物明显位置放置报修流程公告栏等。</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4.6制订详细维保计划表并向校方主管部门报备，准确记录保养及故障维修信息，及时取得设备用户的签字确认，相关格式由成交供应商自行设计，成交供应商需保证相关数据完整准确，按月提交维修及保养记录，以备核查及评估。</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4.5在我校重大活动或重要会议期间，维保单位要提供全程保障服务。</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4.6在做维保现场做好安全防范措施，确保在场人员安全。中标人技术人员的安全问题由中标人自行承担。</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4.7本项目为维修保养全包服务，成交供应商在保证设备正常运行的情况下，根据设备实际情况组织相关工作，期间所涉机组零部件、电脑板及末端设备、管路、配件及耗材均由成交供应商提供并包含在本项目总价内，不再另行结算（中央空调含压缩机）。</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4.8所有涉及机组设备或配件更换维修的，成交供应商提供的设备及配件必须符合品牌、规格、质量要求，更换后同一故障部位保期为六个月。旧件拆除后交由校方统一回收，做为国有资产集中报废，成交供应商无权处置。</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4.9如甲方因建筑装修改造或功能变更等就原因，需要改变现有中央空调安装布局、控制方式等，对中央空调设备进行迁移、改装的，由甲方自行安排维修，不包含在本招标项目中。</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4.10本项目合同执行期内，如甲方提出对其中部分设备进行更新改造，使原设备停用报废，无需继续保养维修的，自设备停运之日起至合同期期满的相关费用，从合同总价中扣除。当月未满15天的以半月计算，超过15天的，以一个月计算。</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4.10每次对压缩机加油或机组清洗前，必须先检查清润滑油和清洗液的牌号和质量，必须符合国家要求才能进行操作。坚持绿色环保清洗，选择腐蚀更低、效果更好的产品。</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4.13每次维保前，都必须各学校主管部门报备，维保结束后，提交维保报告。</w:t>
      </w:r>
    </w:p>
    <w:p>
      <w:pPr>
        <w:spacing w:line="500" w:lineRule="exact"/>
        <w:rPr>
          <w:rFonts w:hint="eastAsia" w:ascii="宋体" w:hAnsi="宋体" w:cs="宋体"/>
          <w:color w:val="auto"/>
          <w:sz w:val="22"/>
          <w:highlight w:val="none"/>
        </w:rPr>
      </w:pPr>
      <w:r>
        <w:rPr>
          <w:rFonts w:hint="eastAsia" w:ascii="宋体" w:hAnsi="宋体" w:cs="宋体"/>
          <w:color w:val="auto"/>
          <w:sz w:val="22"/>
          <w:highlight w:val="none"/>
        </w:rPr>
        <w:t>4.14为保证故障维修及时到位，要求中标人备品备件清单至少满足以下要求（详见备品备件材料清单），并要求在合同签订后20个工作日内将中标单位所承诺内容配送到校方指定地点。</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二、合同金额</w:t>
      </w:r>
    </w:p>
    <w:p>
      <w:pPr>
        <w:pStyle w:val="5"/>
        <w:snapToGrid w:val="0"/>
        <w:spacing w:before="120" w:after="120" w:line="288" w:lineRule="auto"/>
        <w:ind w:firstLine="420" w:firstLineChars="200"/>
        <w:rPr>
          <w:rFonts w:hint="default" w:hAnsi="宋体" w:eastAsiaTheme="minorEastAsia"/>
          <w:color w:val="auto"/>
          <w:sz w:val="21"/>
          <w:szCs w:val="21"/>
          <w:highlight w:val="none"/>
          <w:lang w:val="en-US" w:eastAsia="zh-CN"/>
        </w:rPr>
      </w:pPr>
      <w:r>
        <w:rPr>
          <w:rFonts w:hAnsi="宋体"/>
          <w:color w:val="auto"/>
          <w:sz w:val="21"/>
          <w:szCs w:val="21"/>
          <w:highlight w:val="none"/>
        </w:rPr>
        <w:t>本合同金额：（大写）：</w:t>
      </w:r>
      <w:r>
        <w:rPr>
          <w:rFonts w:hAnsi="宋体"/>
          <w:color w:val="auto"/>
          <w:sz w:val="21"/>
          <w:szCs w:val="21"/>
          <w:highlight w:val="none"/>
          <w:u w:val="single"/>
        </w:rPr>
        <w:t xml:space="preserve">                  </w:t>
      </w:r>
      <w:r>
        <w:rPr>
          <w:rFonts w:hAnsi="宋体"/>
          <w:color w:val="auto"/>
          <w:sz w:val="21"/>
          <w:szCs w:val="21"/>
          <w:highlight w:val="none"/>
        </w:rPr>
        <w:t>元，（￥</w:t>
      </w:r>
      <w:r>
        <w:rPr>
          <w:rFonts w:hAnsi="宋体"/>
          <w:color w:val="auto"/>
          <w:sz w:val="21"/>
          <w:szCs w:val="21"/>
          <w:highlight w:val="none"/>
          <w:u w:val="single"/>
        </w:rPr>
        <w:t xml:space="preserve">             </w:t>
      </w:r>
      <w:r>
        <w:rPr>
          <w:rFonts w:hAnsi="宋体"/>
          <w:color w:val="auto"/>
          <w:sz w:val="21"/>
          <w:szCs w:val="21"/>
          <w:highlight w:val="none"/>
        </w:rPr>
        <w:t>元）人民币</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如遇学校重大改造调整，维保范围内的设备有变化，双方协商处理。</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三、技术资料</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1.乙方应按竞争性磋商采购文件规定的时间向甲方提供有关技术资料。</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四、知识产权</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1.乙方应保证所提供的服务过程中不会侵犯任何第三方的知识产权。</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2.甲方授予乙方在合同有效期内，在中国以纸质图书形式出版本作品中文文本的专有使用权。</w:t>
      </w:r>
    </w:p>
    <w:p>
      <w:pPr>
        <w:pStyle w:val="5"/>
        <w:snapToGrid w:val="0"/>
        <w:spacing w:before="120" w:after="120" w:line="288" w:lineRule="auto"/>
        <w:ind w:firstLine="420" w:firstLineChars="200"/>
        <w:rPr>
          <w:rFonts w:hAnsi="宋体"/>
          <w:b/>
          <w:color w:val="auto"/>
          <w:sz w:val="21"/>
          <w:szCs w:val="21"/>
          <w:highlight w:val="none"/>
        </w:rPr>
      </w:pPr>
      <w:r>
        <w:rPr>
          <w:rFonts w:hAnsi="宋体"/>
          <w:color w:val="auto"/>
          <w:sz w:val="21"/>
          <w:szCs w:val="21"/>
          <w:highlight w:val="none"/>
        </w:rPr>
        <w:t>3.甲方将上述作品的网络传播和数字出版的专有权作为从属权授予乙方，乙方可将上述权利转授第三方使用，乙方将其所得收益的20%交付甲方。</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五、转包或分包</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1.本合同范围的服务，应由乙方直接供应，不得转让他人供应；</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2.除非得到甲方的书面同意，乙方不得将本合同范围的服务全部或部分分包给他人供应；</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3.如有转让和未经甲方同意的分包行为，甲方有权解除合同并追究乙方的违约责任。</w:t>
      </w:r>
    </w:p>
    <w:p>
      <w:pPr>
        <w:pStyle w:val="5"/>
        <w:snapToGrid w:val="0"/>
        <w:spacing w:before="120" w:after="120" w:line="288" w:lineRule="auto"/>
        <w:ind w:firstLine="422" w:firstLineChars="200"/>
        <w:rPr>
          <w:rFonts w:hint="default" w:hAnsi="宋体" w:eastAsiaTheme="minorEastAsia"/>
          <w:b/>
          <w:color w:val="auto"/>
          <w:sz w:val="21"/>
          <w:szCs w:val="21"/>
          <w:highlight w:val="none"/>
          <w:lang w:val="en-US" w:eastAsia="zh-CN"/>
        </w:rPr>
      </w:pPr>
      <w:r>
        <w:rPr>
          <w:rFonts w:hAnsi="宋体"/>
          <w:b/>
          <w:color w:val="auto"/>
          <w:sz w:val="21"/>
          <w:szCs w:val="21"/>
          <w:highlight w:val="none"/>
        </w:rPr>
        <w:t>六、</w:t>
      </w:r>
      <w:r>
        <w:rPr>
          <w:rFonts w:hint="eastAsia" w:hAnsi="宋体"/>
          <w:b/>
          <w:color w:val="auto"/>
          <w:sz w:val="21"/>
          <w:szCs w:val="21"/>
          <w:highlight w:val="none"/>
          <w:lang w:val="en-US" w:eastAsia="zh-CN"/>
        </w:rPr>
        <w:t>服务时间</w:t>
      </w:r>
    </w:p>
    <w:p>
      <w:pPr>
        <w:pStyle w:val="5"/>
        <w:snapToGrid w:val="0"/>
        <w:spacing w:before="120" w:after="120" w:line="288" w:lineRule="auto"/>
        <w:ind w:firstLine="420" w:firstLineChars="200"/>
        <w:rPr>
          <w:rFonts w:hint="default" w:hAnsi="宋体" w:eastAsiaTheme="minorEastAsia"/>
          <w:color w:val="auto"/>
          <w:sz w:val="21"/>
          <w:szCs w:val="21"/>
          <w:highlight w:val="none"/>
          <w:lang w:val="en-US" w:eastAsia="zh-CN"/>
        </w:rPr>
      </w:pPr>
      <w:r>
        <w:rPr>
          <w:rFonts w:hAnsi="宋体"/>
          <w:color w:val="auto"/>
          <w:sz w:val="21"/>
          <w:szCs w:val="21"/>
          <w:highlight w:val="none"/>
        </w:rPr>
        <w:t>1.</w:t>
      </w:r>
      <w:r>
        <w:rPr>
          <w:rFonts w:hint="eastAsia" w:hAnsi="宋体"/>
          <w:color w:val="auto"/>
          <w:sz w:val="21"/>
          <w:szCs w:val="21"/>
          <w:highlight w:val="none"/>
          <w:lang w:val="en-US" w:eastAsia="zh-CN"/>
        </w:rPr>
        <w:t>服务</w:t>
      </w:r>
      <w:r>
        <w:rPr>
          <w:rFonts w:hAnsi="宋体"/>
          <w:color w:val="auto"/>
          <w:sz w:val="21"/>
          <w:szCs w:val="21"/>
          <w:highlight w:val="none"/>
        </w:rPr>
        <w:t>时间：</w:t>
      </w:r>
      <w:r>
        <w:rPr>
          <w:rFonts w:hint="eastAsia" w:hAnsi="宋体"/>
          <w:color w:val="auto"/>
          <w:sz w:val="21"/>
          <w:szCs w:val="21"/>
          <w:highlight w:val="none"/>
          <w:lang w:val="en-US" w:eastAsia="zh-CN"/>
        </w:rPr>
        <w:t>2022年4月1日至2023年7月15日</w:t>
      </w:r>
    </w:p>
    <w:p>
      <w:pPr>
        <w:pStyle w:val="5"/>
        <w:snapToGrid w:val="0"/>
        <w:spacing w:before="120" w:after="120" w:line="288" w:lineRule="auto"/>
        <w:ind w:firstLine="422" w:firstLineChars="200"/>
        <w:rPr>
          <w:rFonts w:hint="eastAsia" w:ascii="宋体" w:hAnsi="宋体"/>
          <w:color w:val="auto"/>
          <w:sz w:val="21"/>
          <w:szCs w:val="21"/>
          <w:highlight w:val="none"/>
        </w:rPr>
      </w:pPr>
      <w:r>
        <w:rPr>
          <w:rFonts w:hAnsi="宋体"/>
          <w:b/>
          <w:color w:val="auto"/>
          <w:sz w:val="21"/>
          <w:szCs w:val="21"/>
          <w:highlight w:val="none"/>
        </w:rPr>
        <w:t>七、付款方式</w:t>
      </w:r>
    </w:p>
    <w:p>
      <w:pPr>
        <w:tabs>
          <w:tab w:val="left" w:pos="0"/>
        </w:tabs>
        <w:snapToGrid w:val="0"/>
        <w:spacing w:line="288" w:lineRule="auto"/>
        <w:ind w:firstLine="420" w:firstLineChars="200"/>
        <w:outlineLvl w:val="0"/>
        <w:rPr>
          <w:rFonts w:hint="eastAsia" w:ascii="宋体" w:hAnsi="宋体"/>
          <w:color w:val="auto"/>
          <w:sz w:val="21"/>
          <w:szCs w:val="21"/>
          <w:highlight w:val="none"/>
        </w:rPr>
      </w:pPr>
      <w:r>
        <w:rPr>
          <w:rFonts w:hint="eastAsia" w:ascii="宋体" w:hAnsi="宋体"/>
          <w:color w:val="auto"/>
          <w:sz w:val="21"/>
          <w:szCs w:val="21"/>
          <w:highlight w:val="none"/>
        </w:rPr>
        <w:t>付款方式：合同生效以及具备实施条件后7个工作日内，且</w:t>
      </w:r>
      <w:r>
        <w:rPr>
          <w:rFonts w:hint="eastAsia"/>
          <w:color w:val="auto"/>
          <w:sz w:val="21"/>
          <w:szCs w:val="21"/>
          <w:highlight w:val="none"/>
          <w:lang w:val="en-US" w:eastAsia="zh-CN"/>
        </w:rPr>
        <w:t>乙方</w:t>
      </w:r>
      <w:r>
        <w:rPr>
          <w:rFonts w:hint="eastAsia" w:ascii="宋体" w:hAnsi="宋体"/>
          <w:color w:val="auto"/>
          <w:sz w:val="21"/>
          <w:szCs w:val="21"/>
          <w:highlight w:val="none"/>
        </w:rPr>
        <w:t>已向</w:t>
      </w:r>
      <w:r>
        <w:rPr>
          <w:rFonts w:hint="eastAsia"/>
          <w:color w:val="auto"/>
          <w:sz w:val="21"/>
          <w:szCs w:val="21"/>
          <w:highlight w:val="none"/>
          <w:lang w:val="en-US" w:eastAsia="zh-CN"/>
        </w:rPr>
        <w:t>甲方</w:t>
      </w:r>
      <w:r>
        <w:rPr>
          <w:rFonts w:hint="eastAsia" w:ascii="宋体" w:hAnsi="宋体"/>
          <w:color w:val="auto"/>
          <w:sz w:val="21"/>
          <w:szCs w:val="21"/>
          <w:highlight w:val="none"/>
        </w:rPr>
        <w:t>提交银行、保险公司等金融机构出具的预付款保函的，</w:t>
      </w:r>
      <w:r>
        <w:rPr>
          <w:rFonts w:hint="eastAsia"/>
          <w:color w:val="auto"/>
          <w:sz w:val="21"/>
          <w:szCs w:val="21"/>
          <w:highlight w:val="none"/>
          <w:lang w:val="en-US" w:eastAsia="zh-CN"/>
        </w:rPr>
        <w:t>甲方</w:t>
      </w:r>
      <w:r>
        <w:rPr>
          <w:rFonts w:hint="eastAsia" w:ascii="宋体" w:hAnsi="宋体"/>
          <w:color w:val="auto"/>
          <w:sz w:val="21"/>
          <w:szCs w:val="21"/>
          <w:highlight w:val="none"/>
        </w:rPr>
        <w:t>向</w:t>
      </w:r>
      <w:r>
        <w:rPr>
          <w:rFonts w:hint="eastAsia"/>
          <w:color w:val="auto"/>
          <w:sz w:val="21"/>
          <w:szCs w:val="21"/>
          <w:highlight w:val="none"/>
          <w:lang w:val="en-US" w:eastAsia="zh-CN"/>
        </w:rPr>
        <w:t>乙方</w:t>
      </w:r>
      <w:r>
        <w:rPr>
          <w:rFonts w:hint="eastAsia" w:ascii="宋体" w:hAnsi="宋体"/>
          <w:color w:val="auto"/>
          <w:sz w:val="21"/>
          <w:szCs w:val="21"/>
          <w:highlight w:val="none"/>
        </w:rPr>
        <w:t>支付合同总价的</w:t>
      </w:r>
      <w:r>
        <w:rPr>
          <w:rFonts w:hint="eastAsia" w:ascii="宋体" w:hAnsi="宋体"/>
          <w:color w:val="auto"/>
          <w:sz w:val="21"/>
          <w:szCs w:val="21"/>
          <w:highlight w:val="none"/>
          <w:lang w:val="en-US" w:eastAsia="zh-CN"/>
        </w:rPr>
        <w:t>40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项目完成验收后，支付尾款</w:t>
      </w:r>
      <w:r>
        <w:rPr>
          <w:rFonts w:hint="eastAsia" w:ascii="宋体" w:hAnsi="宋体"/>
          <w:color w:val="auto"/>
          <w:sz w:val="21"/>
          <w:szCs w:val="21"/>
          <w:highlight w:val="none"/>
        </w:rPr>
        <w:t>。</w:t>
      </w:r>
    </w:p>
    <w:p>
      <w:pPr>
        <w:tabs>
          <w:tab w:val="left" w:pos="0"/>
        </w:tabs>
        <w:snapToGrid w:val="0"/>
        <w:spacing w:line="288" w:lineRule="auto"/>
        <w:ind w:firstLine="420" w:firstLineChars="200"/>
        <w:outlineLvl w:val="0"/>
        <w:rPr>
          <w:rFonts w:hint="eastAsia" w:ascii="宋体" w:hAnsi="宋体"/>
          <w:color w:val="auto"/>
          <w:sz w:val="21"/>
          <w:szCs w:val="21"/>
          <w:highlight w:val="none"/>
        </w:rPr>
      </w:pPr>
      <w:r>
        <w:rPr>
          <w:rFonts w:hint="eastAsia" w:ascii="宋体" w:hAnsi="宋体"/>
          <w:color w:val="auto"/>
          <w:sz w:val="21"/>
          <w:szCs w:val="21"/>
          <w:highlight w:val="none"/>
        </w:rPr>
        <w:t>以人工投入为主且实行按月定期结算支付款项的项目，预付款可低于上述比例或者不约定预付款。</w:t>
      </w:r>
    </w:p>
    <w:p>
      <w:pPr>
        <w:tabs>
          <w:tab w:val="left" w:pos="0"/>
        </w:tabs>
        <w:snapToGrid w:val="0"/>
        <w:spacing w:line="288" w:lineRule="auto"/>
        <w:ind w:firstLine="420" w:firstLineChars="200"/>
        <w:outlineLvl w:val="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在签订合同时，供应商明确表示无需预付款或者主动要求降低预付款比例的，可降低预付款比例（预付款保函同步调整）。</w:t>
      </w:r>
    </w:p>
    <w:p>
      <w:pPr>
        <w:pStyle w:val="5"/>
        <w:snapToGrid w:val="0"/>
        <w:spacing w:before="120" w:after="120" w:line="288" w:lineRule="auto"/>
        <w:ind w:firstLine="422" w:firstLineChars="200"/>
        <w:rPr>
          <w:rFonts w:hAnsi="宋体"/>
          <w:color w:val="auto"/>
          <w:sz w:val="21"/>
          <w:szCs w:val="21"/>
          <w:highlight w:val="none"/>
        </w:rPr>
      </w:pPr>
      <w:r>
        <w:rPr>
          <w:rFonts w:hAnsi="宋体"/>
          <w:b/>
          <w:color w:val="auto"/>
          <w:sz w:val="21"/>
          <w:szCs w:val="21"/>
          <w:highlight w:val="none"/>
        </w:rPr>
        <w:t>八、税费</w:t>
      </w:r>
    </w:p>
    <w:p>
      <w:pPr>
        <w:pStyle w:val="5"/>
        <w:snapToGrid w:val="0"/>
        <w:spacing w:before="120" w:after="120" w:line="288" w:lineRule="auto"/>
        <w:ind w:firstLine="420" w:firstLineChars="200"/>
        <w:rPr>
          <w:rFonts w:hAnsi="宋体"/>
          <w:b/>
          <w:color w:val="auto"/>
          <w:sz w:val="21"/>
          <w:szCs w:val="21"/>
          <w:highlight w:val="none"/>
        </w:rPr>
      </w:pPr>
      <w:r>
        <w:rPr>
          <w:rFonts w:hAnsi="宋体"/>
          <w:color w:val="auto"/>
          <w:sz w:val="21"/>
          <w:szCs w:val="21"/>
          <w:highlight w:val="none"/>
        </w:rPr>
        <w:t>本合同执行中相关的一切税费均由乙方负担。</w:t>
      </w:r>
    </w:p>
    <w:p>
      <w:pPr>
        <w:pStyle w:val="5"/>
        <w:snapToGrid w:val="0"/>
        <w:spacing w:before="120" w:after="120" w:line="288" w:lineRule="auto"/>
        <w:ind w:firstLine="422" w:firstLineChars="200"/>
        <w:rPr>
          <w:rFonts w:hAnsi="宋体"/>
          <w:color w:val="auto"/>
          <w:sz w:val="21"/>
          <w:szCs w:val="21"/>
          <w:highlight w:val="none"/>
        </w:rPr>
      </w:pPr>
      <w:r>
        <w:rPr>
          <w:rFonts w:hAnsi="宋体"/>
          <w:b/>
          <w:color w:val="auto"/>
          <w:sz w:val="21"/>
          <w:szCs w:val="21"/>
          <w:highlight w:val="none"/>
        </w:rPr>
        <w:t>九、质量保证及后续服务</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1.乙方应按竞争性磋商采购文件规定向甲方提供服务。</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2.乙方提供的服务成果在服务期内发生问题的，乙方应负责免费提供后续服务。对达不到甲方要求者，根据实际情况，经双方协商，可按以下办法处理：</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（1）重做：由乙方承担所发生的全部费用。</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（2）贬值处理：由甲乙双方合议定价。</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（3）解除合同。</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3.如在使用过程中发生问题，乙方在接到甲方通知后在12小时内到达甲方现场。</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4.在服务期内，乙方应对货物出现的质量及安全问题负责处理解决并承担一切费用。</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十、违约责任</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1.甲方无正当理由拒收接受服务的，甲方向乙方偿付合同款项百分之五作为违约金。</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2.甲方无故逾期验收和办理款项支付手续的，甲方应按逾期付款总额每日万分之五向乙方支付违约金。</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十一、不可抗力事件处理</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1.在合同有效期内，任何一方因不可抗力事件导致不能履行合同，则合同履行期可延长，其延长期与不可抗力影响期相同。</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2.不可抗力事件发生后，应立即通知对方，并寄送有关权威机构出具的证明。</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3.不可抗力事件延续120天以上，双方应通过友好协商，确定是否继续履行合同。</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十二、仲裁</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在执行合同中所了生的一切争议，应通过友好协商，妥善解决，如通过协商仍不能解决时，必须由杭州仲裁委员会仲裁。</w:t>
      </w:r>
    </w:p>
    <w:p>
      <w:pPr>
        <w:pStyle w:val="5"/>
        <w:snapToGrid w:val="0"/>
        <w:spacing w:before="120" w:after="120" w:line="288" w:lineRule="auto"/>
        <w:ind w:firstLine="422" w:firstLineChars="200"/>
        <w:rPr>
          <w:rFonts w:hAnsi="宋体"/>
          <w:b/>
          <w:color w:val="auto"/>
          <w:sz w:val="21"/>
          <w:szCs w:val="21"/>
          <w:highlight w:val="none"/>
        </w:rPr>
      </w:pPr>
      <w:r>
        <w:rPr>
          <w:rFonts w:hAnsi="宋体"/>
          <w:b/>
          <w:color w:val="auto"/>
          <w:sz w:val="21"/>
          <w:szCs w:val="21"/>
          <w:highlight w:val="none"/>
        </w:rPr>
        <w:t>十三、合同生效及其它</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1.合同经叁方法定代表人或授权代表签字并加盖单位公章后生效。</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3.本合同未尽事宜，遵照《</w:t>
      </w:r>
      <w:r>
        <w:rPr>
          <w:rFonts w:hint="eastAsia" w:hAnsi="宋体"/>
          <w:color w:val="auto"/>
          <w:sz w:val="21"/>
          <w:szCs w:val="21"/>
          <w:highlight w:val="none"/>
          <w:lang w:val="en-US" w:eastAsia="zh-CN"/>
        </w:rPr>
        <w:t>民法典</w:t>
      </w:r>
      <w:r>
        <w:rPr>
          <w:rFonts w:hAnsi="宋体"/>
          <w:color w:val="auto"/>
          <w:sz w:val="21"/>
          <w:szCs w:val="21"/>
          <w:highlight w:val="none"/>
        </w:rPr>
        <w:t>》有关条文执行。</w:t>
      </w:r>
    </w:p>
    <w:p>
      <w:pPr>
        <w:pStyle w:val="5"/>
        <w:snapToGrid w:val="0"/>
        <w:spacing w:before="120" w:after="120" w:line="288" w:lineRule="auto"/>
        <w:ind w:firstLine="420" w:firstLineChars="200"/>
        <w:rPr>
          <w:rFonts w:hAnsi="宋体"/>
          <w:color w:val="auto"/>
          <w:sz w:val="21"/>
          <w:szCs w:val="21"/>
          <w:highlight w:val="none"/>
        </w:rPr>
      </w:pPr>
      <w:r>
        <w:rPr>
          <w:rFonts w:hAnsi="宋体"/>
          <w:color w:val="auto"/>
          <w:sz w:val="21"/>
          <w:szCs w:val="21"/>
          <w:highlight w:val="none"/>
        </w:rPr>
        <w:t>4.本合同一式陆份，甲方执三份、乙方执二份，采购代理机构执一份。</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eastAsia="宋体" w:cs="Times New Roman"/>
                <w:color w:val="auto"/>
                <w:spacing w:val="-6"/>
                <w:sz w:val="21"/>
                <w:szCs w:val="21"/>
                <w:highlight w:val="none"/>
                <w:lang w:eastAsia="zh-CN"/>
              </w:rPr>
            </w:pPr>
            <w:r>
              <w:rPr>
                <w:rFonts w:hint="eastAsia"/>
                <w:color w:val="auto"/>
                <w:sz w:val="21"/>
                <w:szCs w:val="21"/>
                <w:highlight w:val="none"/>
              </w:rPr>
              <w:t>电话：</w:t>
            </w:r>
            <w:r>
              <w:rPr>
                <w:rFonts w:hint="eastAsia"/>
                <w:color w:val="auto"/>
                <w:sz w:val="21"/>
                <w:szCs w:val="21"/>
                <w:highlight w:val="none"/>
                <w:lang w:eastAsia="zh-CN"/>
              </w:rPr>
              <w:t>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38"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8"/>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39"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lang w:val="en-US" w:eastAsia="zh-CN"/>
        </w:rPr>
        <w:t>1</w:t>
      </w:r>
      <w:r>
        <w:rPr>
          <w:rFonts w:hint="eastAsia"/>
          <w:color w:val="auto"/>
          <w:sz w:val="21"/>
          <w:szCs w:val="21"/>
          <w:highlight w:val="none"/>
        </w:rPr>
        <w:t>）中小企业声明函（若属于中小企业）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40" w:name="OLE_LINK14"/>
      <w:bookmarkStart w:id="41" w:name="OLE_LINK13"/>
      <w:r>
        <w:rPr>
          <w:rFonts w:hint="eastAsia"/>
          <w:color w:val="auto"/>
          <w:sz w:val="21"/>
          <w:szCs w:val="21"/>
          <w:highlight w:val="none"/>
          <w:lang w:val="en-US" w:eastAsia="zh-CN"/>
        </w:rPr>
        <w:t>3</w:t>
      </w:r>
      <w:r>
        <w:rPr>
          <w:rFonts w:hint="eastAsia"/>
          <w:color w:val="auto"/>
          <w:sz w:val="21"/>
          <w:szCs w:val="21"/>
          <w:highlight w:val="none"/>
        </w:rPr>
        <w:t>）残疾人福利性单位声明函</w:t>
      </w:r>
      <w:bookmarkEnd w:id="40"/>
      <w:bookmarkEnd w:id="41"/>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bookmarkEnd w:id="3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42"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2"/>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43" w:name="_Hlk94097338"/>
      <w:r>
        <w:rPr>
          <w:rFonts w:hint="eastAsia"/>
          <w:b/>
          <w:bCs/>
          <w:color w:val="auto"/>
          <w:sz w:val="21"/>
          <w:szCs w:val="21"/>
          <w:highlight w:val="none"/>
        </w:rPr>
        <w:t>资格审查要求的资格证明材料(均需加盖公章)</w:t>
      </w:r>
    </w:p>
    <w:bookmarkEnd w:id="43"/>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中国美术学院</w:t>
      </w:r>
      <w:r>
        <w:rPr>
          <w:rFonts w:hint="eastAsia" w:cs="Times New Roman"/>
          <w:b/>
          <w:bCs/>
          <w:color w:val="auto"/>
          <w:spacing w:val="-6"/>
          <w:sz w:val="21"/>
          <w:szCs w:val="21"/>
          <w:highlight w:val="none"/>
        </w:rPr>
        <w:t>、浙江求是招标代理有限公司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lang w:val="en-US" w:eastAsia="zh-CN"/>
        </w:rPr>
        <w:t>1</w:t>
      </w:r>
      <w:r>
        <w:rPr>
          <w:rFonts w:hint="eastAsia"/>
          <w:b/>
          <w:bCs/>
          <w:color w:val="auto"/>
          <w:sz w:val="21"/>
          <w:szCs w:val="21"/>
          <w:highlight w:val="none"/>
        </w:rPr>
        <w:t>）</w:t>
      </w:r>
      <w:r>
        <w:rPr>
          <w:b/>
          <w:bCs/>
          <w:color w:val="auto"/>
          <w:sz w:val="21"/>
          <w:szCs w:val="21"/>
          <w:highlight w:val="none"/>
        </w:rPr>
        <w:t>中小企业声明函（服务）</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.（标的名称），属于（采购文件中明确的所属行业）；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《中小企业声明函》填写不全的，视为未提供《中小企业声明函》（从业人员、营业收入、资产总额在中小企业划型标准规定中不涉及的除外），不享受价格优惠。</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lang w:val="en-US" w:eastAsia="zh-CN"/>
        </w:rPr>
        <w:t>2</w:t>
      </w:r>
      <w:r>
        <w:rPr>
          <w:rFonts w:hint="eastAsia"/>
          <w:b/>
          <w:color w:val="auto"/>
          <w:spacing w:val="-6"/>
          <w:sz w:val="21"/>
          <w:szCs w:val="21"/>
          <w:highlight w:val="none"/>
        </w:rPr>
        <w:t>）属于监狱企业的证明文件（若属于监狱企业）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lang w:val="en-US" w:eastAsia="zh-CN"/>
        </w:rPr>
        <w:t>3</w:t>
      </w:r>
      <w:r>
        <w:rPr>
          <w:rFonts w:hint="eastAsia"/>
          <w:b/>
          <w:color w:val="auto"/>
          <w:spacing w:val="-6"/>
          <w:sz w:val="21"/>
          <w:szCs w:val="21"/>
          <w:highlight w:val="none"/>
        </w:rPr>
        <w:t>）残疾人福利性单位声明函（若属于残疾人福利性单位）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中国美术学院</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校园建设和管理处空调维保服务</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QSZB-Z(F)-C22029(CS) </w:t>
      </w:r>
    </w:p>
    <w:tbl>
      <w:tblPr>
        <w:tblStyle w:val="1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中国美术学院</w:t>
      </w:r>
      <w:r>
        <w:rPr>
          <w:rFonts w:hint="eastAsia"/>
          <w:b/>
          <w:bCs/>
          <w:color w:val="auto"/>
          <w:sz w:val="21"/>
          <w:szCs w:val="21"/>
          <w:highlight w:val="none"/>
        </w:rPr>
        <w:t>、浙江求是招标代理有限公司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中国美术学院校园建设和管理处空调维保服务</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QSZB-Z(F)-C22029(CS)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pPr>
              <w:adjustRightInd w:val="0"/>
              <w:snapToGrid w:val="0"/>
              <w:spacing w:line="288" w:lineRule="auto"/>
              <w:rPr>
                <w:rFonts w:cs="Times New Roman"/>
                <w:color w:val="auto"/>
                <w:spacing w:val="-6"/>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r>
        <w:rPr>
          <w:rFonts w:hint="eastAsia"/>
          <w:color w:val="auto"/>
          <w:sz w:val="21"/>
          <w:szCs w:val="21"/>
          <w:highlight w:val="none"/>
        </w:rPr>
        <w:t>致：</w:t>
      </w:r>
      <w:r>
        <w:rPr>
          <w:rFonts w:hint="eastAsia"/>
          <w:color w:val="auto"/>
          <w:sz w:val="21"/>
          <w:szCs w:val="21"/>
          <w:highlight w:val="none"/>
          <w:lang w:eastAsia="zh-CN"/>
        </w:rPr>
        <w:t>中国美术学院</w:t>
      </w:r>
      <w:r>
        <w:rPr>
          <w:rFonts w:hint="eastAsia"/>
          <w:color w:val="auto"/>
          <w:sz w:val="21"/>
          <w:szCs w:val="21"/>
          <w:highlight w:val="none"/>
        </w:rPr>
        <w:t>、浙江求是招标代理有限公司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中国美术学院校园建设和管理处空调维保服务</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2020年12月（含）以后任意一月社保缴纳证明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法定代表人身份证明：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）2020年12月（含）以后任意一月的供应商授权代表社保缴纳证明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26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w:t>
            </w:r>
          </w:p>
        </w:tc>
        <w:tc>
          <w:tcPr>
            <w:tcW w:w="12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43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89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c>
          <w:tcPr>
            <w:tcW w:w="99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71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采购人联系人</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中国美术学院</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校园建设和管理处空调维保服务</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QSZB-Z(F)-C22029(CS)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44"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7</w:t>
      </w:r>
      <w:r>
        <w:rPr>
          <w:rFonts w:hint="eastAsia"/>
          <w:b/>
          <w:color w:val="auto"/>
          <w:spacing w:val="-6"/>
          <w:sz w:val="21"/>
          <w:szCs w:val="21"/>
          <w:highlight w:val="none"/>
        </w:rPr>
        <w:t>）供应商需要说明的其他文件和材料。</w:t>
      </w:r>
      <w:bookmarkEnd w:id="44"/>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w:t>
      </w:r>
      <w:r>
        <w:rPr>
          <w:rFonts w:hint="eastAsia" w:cs="仿宋_GB2312"/>
          <w:b/>
          <w:color w:val="auto"/>
          <w:kern w:val="0"/>
          <w:sz w:val="21"/>
          <w:szCs w:val="21"/>
          <w:highlight w:val="none"/>
          <w:lang w:val="en-US" w:eastAsia="zh-CN"/>
        </w:rPr>
        <w:t>2</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3%的扣除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b/>
          <w:color w:val="auto"/>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289CC"/>
    <w:multiLevelType w:val="singleLevel"/>
    <w:tmpl w:val="FAD289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7DC5"/>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3B4B"/>
    <w:rsid w:val="003B7308"/>
    <w:rsid w:val="003C00F7"/>
    <w:rsid w:val="003D2A8D"/>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307"/>
    <w:rsid w:val="00447892"/>
    <w:rsid w:val="0045716B"/>
    <w:rsid w:val="00460410"/>
    <w:rsid w:val="00462F48"/>
    <w:rsid w:val="00467FA3"/>
    <w:rsid w:val="0047650F"/>
    <w:rsid w:val="00477C08"/>
    <w:rsid w:val="0048411A"/>
    <w:rsid w:val="004A7850"/>
    <w:rsid w:val="004B27EF"/>
    <w:rsid w:val="004B5D4B"/>
    <w:rsid w:val="004C0583"/>
    <w:rsid w:val="004C28D6"/>
    <w:rsid w:val="004C519D"/>
    <w:rsid w:val="004C5538"/>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EB3"/>
    <w:rsid w:val="005F1491"/>
    <w:rsid w:val="005F54EF"/>
    <w:rsid w:val="00602E69"/>
    <w:rsid w:val="00604B99"/>
    <w:rsid w:val="00605A26"/>
    <w:rsid w:val="00623375"/>
    <w:rsid w:val="00630726"/>
    <w:rsid w:val="00631899"/>
    <w:rsid w:val="00632793"/>
    <w:rsid w:val="006366F0"/>
    <w:rsid w:val="00647F07"/>
    <w:rsid w:val="006576BA"/>
    <w:rsid w:val="00660F95"/>
    <w:rsid w:val="00665775"/>
    <w:rsid w:val="00676C52"/>
    <w:rsid w:val="00680911"/>
    <w:rsid w:val="00680A5B"/>
    <w:rsid w:val="006A039B"/>
    <w:rsid w:val="006A5664"/>
    <w:rsid w:val="006A5A5D"/>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E240F"/>
    <w:rsid w:val="007E681D"/>
    <w:rsid w:val="007F2E8B"/>
    <w:rsid w:val="00800ABA"/>
    <w:rsid w:val="00800FCE"/>
    <w:rsid w:val="00810FA6"/>
    <w:rsid w:val="008133A4"/>
    <w:rsid w:val="00814C63"/>
    <w:rsid w:val="008316E0"/>
    <w:rsid w:val="00840283"/>
    <w:rsid w:val="00840FE7"/>
    <w:rsid w:val="00841ADD"/>
    <w:rsid w:val="00843675"/>
    <w:rsid w:val="00851510"/>
    <w:rsid w:val="008634FB"/>
    <w:rsid w:val="008639D0"/>
    <w:rsid w:val="00882EE8"/>
    <w:rsid w:val="008A34A6"/>
    <w:rsid w:val="008B218D"/>
    <w:rsid w:val="008B6837"/>
    <w:rsid w:val="008B71DF"/>
    <w:rsid w:val="008C688F"/>
    <w:rsid w:val="008D5940"/>
    <w:rsid w:val="008D737F"/>
    <w:rsid w:val="008D741F"/>
    <w:rsid w:val="008E0CE8"/>
    <w:rsid w:val="008E337A"/>
    <w:rsid w:val="008E4BFF"/>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B67"/>
    <w:rsid w:val="00953C5E"/>
    <w:rsid w:val="00957D35"/>
    <w:rsid w:val="009637F6"/>
    <w:rsid w:val="009653D9"/>
    <w:rsid w:val="00966E9D"/>
    <w:rsid w:val="00967418"/>
    <w:rsid w:val="00981D3A"/>
    <w:rsid w:val="009875B5"/>
    <w:rsid w:val="00993DBA"/>
    <w:rsid w:val="009949B7"/>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3906"/>
    <w:rsid w:val="00A35229"/>
    <w:rsid w:val="00A40AAC"/>
    <w:rsid w:val="00A42750"/>
    <w:rsid w:val="00A42C00"/>
    <w:rsid w:val="00A549DF"/>
    <w:rsid w:val="00A6088B"/>
    <w:rsid w:val="00A64554"/>
    <w:rsid w:val="00A732F4"/>
    <w:rsid w:val="00A73C39"/>
    <w:rsid w:val="00A76EBE"/>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1071"/>
    <w:rsid w:val="00BD48DF"/>
    <w:rsid w:val="00BD4A95"/>
    <w:rsid w:val="00BD6DF5"/>
    <w:rsid w:val="00BF12A4"/>
    <w:rsid w:val="00BF7858"/>
    <w:rsid w:val="00C06714"/>
    <w:rsid w:val="00C06A4F"/>
    <w:rsid w:val="00C127D1"/>
    <w:rsid w:val="00C16A0C"/>
    <w:rsid w:val="00C23F1B"/>
    <w:rsid w:val="00C31136"/>
    <w:rsid w:val="00C32739"/>
    <w:rsid w:val="00C419D0"/>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38EB"/>
    <w:rsid w:val="00DA499E"/>
    <w:rsid w:val="00DA6115"/>
    <w:rsid w:val="00DA66D7"/>
    <w:rsid w:val="00DB0427"/>
    <w:rsid w:val="00DB252D"/>
    <w:rsid w:val="00DB7001"/>
    <w:rsid w:val="00DD03A9"/>
    <w:rsid w:val="00DD08CA"/>
    <w:rsid w:val="00DD2AFA"/>
    <w:rsid w:val="00DD3361"/>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6AFE"/>
    <w:rsid w:val="00E26F8C"/>
    <w:rsid w:val="00E30E42"/>
    <w:rsid w:val="00E3206B"/>
    <w:rsid w:val="00E36D93"/>
    <w:rsid w:val="00E370E0"/>
    <w:rsid w:val="00E5038C"/>
    <w:rsid w:val="00E565AC"/>
    <w:rsid w:val="00E66BFD"/>
    <w:rsid w:val="00E702BC"/>
    <w:rsid w:val="00E7371B"/>
    <w:rsid w:val="00E9083B"/>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51E5"/>
    <w:rsid w:val="00F26B94"/>
    <w:rsid w:val="00F31217"/>
    <w:rsid w:val="00F31415"/>
    <w:rsid w:val="00F40CB5"/>
    <w:rsid w:val="00F54B3E"/>
    <w:rsid w:val="00F5586F"/>
    <w:rsid w:val="00F60635"/>
    <w:rsid w:val="00F62803"/>
    <w:rsid w:val="00F64962"/>
    <w:rsid w:val="00F742BF"/>
    <w:rsid w:val="00F75E1B"/>
    <w:rsid w:val="00F80014"/>
    <w:rsid w:val="00F80F99"/>
    <w:rsid w:val="00F9106A"/>
    <w:rsid w:val="00F94DF0"/>
    <w:rsid w:val="00FA1F1C"/>
    <w:rsid w:val="00FB1975"/>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074915"/>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2427B7"/>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B81853"/>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33D9E"/>
    <w:rsid w:val="2B1C3428"/>
    <w:rsid w:val="2B2B1C33"/>
    <w:rsid w:val="2B2B446B"/>
    <w:rsid w:val="2B3015E4"/>
    <w:rsid w:val="2B4F3D3D"/>
    <w:rsid w:val="2B6516A3"/>
    <w:rsid w:val="2B6676AF"/>
    <w:rsid w:val="2B8175A1"/>
    <w:rsid w:val="2B9E18AB"/>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7E4D8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670585"/>
    <w:rsid w:val="3B94546D"/>
    <w:rsid w:val="3B9868BA"/>
    <w:rsid w:val="3BB63E9D"/>
    <w:rsid w:val="3BC30B8A"/>
    <w:rsid w:val="3BDB3237"/>
    <w:rsid w:val="3BDE5833"/>
    <w:rsid w:val="3C047D4B"/>
    <w:rsid w:val="3C355C3F"/>
    <w:rsid w:val="3C5677C7"/>
    <w:rsid w:val="3C631E39"/>
    <w:rsid w:val="3C705704"/>
    <w:rsid w:val="3C9219F0"/>
    <w:rsid w:val="3C997B6E"/>
    <w:rsid w:val="3DAD6763"/>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8AE7F32"/>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136CE3"/>
    <w:rsid w:val="63646BCD"/>
    <w:rsid w:val="637E0365"/>
    <w:rsid w:val="637F1CD3"/>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5F7831"/>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0"/>
    <w:qFormat/>
    <w:uiPriority w:val="0"/>
    <w:pPr>
      <w:spacing w:line="200" w:lineRule="atLeast"/>
      <w:ind w:firstLine="301"/>
    </w:pPr>
    <w:rPr>
      <w:rFonts w:hAnsi="Courier New" w:cs="Times New Roman"/>
      <w:spacing w:val="-4"/>
      <w:sz w:val="18"/>
      <w:szCs w:val="20"/>
    </w:rPr>
  </w:style>
  <w:style w:type="paragraph" w:styleId="3">
    <w:name w:val="Body Text First Indent 2"/>
    <w:basedOn w:val="2"/>
    <w:next w:val="1"/>
    <w:unhideWhenUsed/>
    <w:qFormat/>
    <w:uiPriority w:val="99"/>
    <w:pPr>
      <w:ind w:firstLine="420"/>
    </w:pPr>
  </w:style>
  <w:style w:type="paragraph" w:styleId="4">
    <w:name w:val="annotation text"/>
    <w:basedOn w:val="1"/>
    <w:link w:val="19"/>
    <w:unhideWhenUsed/>
    <w:qFormat/>
    <w:uiPriority w:val="99"/>
    <w:pPr>
      <w:jc w:val="left"/>
    </w:pPr>
    <w:rPr>
      <w:rFonts w:ascii="Times New Roman" w:hAnsi="Times New Roman" w:cs="Times New Roman"/>
      <w:sz w:val="28"/>
    </w:rPr>
  </w:style>
  <w:style w:type="paragraph" w:styleId="5">
    <w:name w:val="Plain Text"/>
    <w:basedOn w:val="1"/>
    <w:link w:val="27"/>
    <w:qFormat/>
    <w:uiPriority w:val="99"/>
    <w:pPr>
      <w:spacing w:before="156" w:beforeLines="50" w:after="156" w:afterLines="50" w:line="400" w:lineRule="atLeast"/>
    </w:pPr>
    <w:rPr>
      <w:rFonts w:hAnsi="Courier New" w:eastAsiaTheme="minorEastAsia" w:cstheme="minorBidi"/>
    </w:rPr>
  </w:style>
  <w:style w:type="paragraph" w:styleId="6">
    <w:name w:val="Balloon Text"/>
    <w:basedOn w:val="1"/>
    <w:link w:val="18"/>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kern w:val="0"/>
    </w:rPr>
  </w:style>
  <w:style w:type="paragraph" w:styleId="10">
    <w:name w:val="annotation subject"/>
    <w:basedOn w:val="4"/>
    <w:next w:val="4"/>
    <w:link w:val="28"/>
    <w:semiHidden/>
    <w:unhideWhenUsed/>
    <w:qFormat/>
    <w:uiPriority w:val="0"/>
    <w:rPr>
      <w:rFonts w:ascii="宋体" w:hAnsi="宋体" w:cs="宋体"/>
      <w:b/>
      <w:bCs/>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Default"/>
    <w:next w:val="1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
    <w:name w:val="批注框文本 字符"/>
    <w:basedOn w:val="13"/>
    <w:link w:val="6"/>
    <w:qFormat/>
    <w:uiPriority w:val="0"/>
    <w:rPr>
      <w:rFonts w:ascii="宋体" w:hAnsi="宋体" w:cs="宋体"/>
      <w:kern w:val="2"/>
      <w:sz w:val="18"/>
      <w:szCs w:val="18"/>
    </w:rPr>
  </w:style>
  <w:style w:type="character" w:customStyle="1" w:styleId="19">
    <w:name w:val="批注文字 字符"/>
    <w:basedOn w:val="13"/>
    <w:link w:val="4"/>
    <w:qFormat/>
    <w:uiPriority w:val="99"/>
    <w:rPr>
      <w:kern w:val="2"/>
      <w:sz w:val="28"/>
      <w:szCs w:val="24"/>
    </w:rPr>
  </w:style>
  <w:style w:type="character" w:customStyle="1" w:styleId="20">
    <w:name w:val="正文文本缩进 字符1"/>
    <w:link w:val="2"/>
    <w:qFormat/>
    <w:uiPriority w:val="0"/>
    <w:rPr>
      <w:rFonts w:ascii="宋体" w:hAnsi="Courier New"/>
      <w:spacing w:val="-4"/>
      <w:kern w:val="2"/>
      <w:sz w:val="18"/>
    </w:rPr>
  </w:style>
  <w:style w:type="character" w:customStyle="1" w:styleId="21">
    <w:name w:val="正文文本缩进 字符"/>
    <w:basedOn w:val="13"/>
    <w:qFormat/>
    <w:uiPriority w:val="0"/>
    <w:rPr>
      <w:rFonts w:ascii="宋体" w:hAnsi="宋体" w:cs="宋体"/>
      <w:kern w:val="2"/>
      <w:sz w:val="24"/>
      <w:szCs w:val="24"/>
    </w:rPr>
  </w:style>
  <w:style w:type="character" w:customStyle="1" w:styleId="22">
    <w:name w:val="正文文本缩进 字符2"/>
    <w:qFormat/>
    <w:uiPriority w:val="0"/>
    <w:rPr>
      <w:rFonts w:ascii="宋体" w:hAnsi="Courier New"/>
      <w:spacing w:val="-4"/>
      <w:kern w:val="2"/>
      <w:sz w:val="18"/>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qFormat/>
    <w:uiPriority w:val="99"/>
    <w:pPr>
      <w:ind w:firstLine="420" w:firstLineChars="200"/>
    </w:pPr>
  </w:style>
  <w:style w:type="character" w:customStyle="1" w:styleId="25">
    <w:name w:val="页脚 字符"/>
    <w:basedOn w:val="13"/>
    <w:link w:val="7"/>
    <w:qFormat/>
    <w:uiPriority w:val="99"/>
    <w:rPr>
      <w:rFonts w:ascii="宋体" w:hAnsi="宋体" w:cs="宋体"/>
      <w:kern w:val="2"/>
      <w:sz w:val="18"/>
      <w:szCs w:val="24"/>
    </w:rPr>
  </w:style>
  <w:style w:type="character" w:customStyle="1" w:styleId="26">
    <w:name w:val="纯文本 字符"/>
    <w:basedOn w:val="13"/>
    <w:qFormat/>
    <w:uiPriority w:val="0"/>
    <w:rPr>
      <w:rFonts w:hAnsi="Courier New" w:cs="Courier New" w:asciiTheme="minorEastAsia" w:eastAsiaTheme="minorEastAsia"/>
      <w:kern w:val="2"/>
      <w:sz w:val="24"/>
      <w:szCs w:val="24"/>
    </w:rPr>
  </w:style>
  <w:style w:type="character" w:customStyle="1" w:styleId="27">
    <w:name w:val="纯文本 字符1"/>
    <w:link w:val="5"/>
    <w:qFormat/>
    <w:uiPriority w:val="99"/>
    <w:rPr>
      <w:rFonts w:ascii="宋体" w:hAnsi="Courier New" w:eastAsiaTheme="minorEastAsia" w:cstheme="minorBidi"/>
      <w:kern w:val="2"/>
      <w:sz w:val="24"/>
      <w:szCs w:val="24"/>
    </w:rPr>
  </w:style>
  <w:style w:type="character" w:customStyle="1" w:styleId="28">
    <w:name w:val="批注主题 字符"/>
    <w:basedOn w:val="19"/>
    <w:link w:val="10"/>
    <w:semiHidden/>
    <w:qFormat/>
    <w:uiPriority w:val="0"/>
    <w:rPr>
      <w:rFonts w:ascii="宋体" w:hAnsi="宋体" w:cs="宋体"/>
      <w:b/>
      <w:bCs/>
      <w:kern w:val="2"/>
      <w:sz w:val="24"/>
      <w:szCs w:val="24"/>
    </w:rPr>
  </w:style>
  <w:style w:type="paragraph" w:customStyle="1" w:styleId="2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datastoreItem>
</file>

<file path=docProps/app.xml><?xml version="1.0" encoding="utf-8"?>
<Properties xmlns="http://schemas.openxmlformats.org/officeDocument/2006/extended-properties" xmlns:vt="http://schemas.openxmlformats.org/officeDocument/2006/docPropsVTypes">
  <Template>Normal</Template>
  <Pages>49</Pages>
  <Words>25974</Words>
  <Characters>27889</Characters>
  <Lines>209</Lines>
  <Paragraphs>59</Paragraphs>
  <TotalTime>7</TotalTime>
  <ScaleCrop>false</ScaleCrop>
  <LinksUpToDate>false</LinksUpToDate>
  <CharactersWithSpaces>28693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qszbrenshixingzheng</cp:lastModifiedBy>
  <cp:lastPrinted>2020-04-01T05:56:00Z</cp:lastPrinted>
  <dcterms:modified xsi:type="dcterms:W3CDTF">2022-03-11T05:42:17Z</dcterms:modified>
  <cp:revision>471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1FEA08D6CC1646EA9AB55F3690B74F08</vt:lpwstr>
  </property>
</Properties>
</file>