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A616F">
      <w:pPr>
        <w:jc w:val="center"/>
        <w:rPr>
          <w:rFonts w:hint="eastAsia" w:ascii="宋体" w:eastAsia="宋体"/>
          <w:b/>
          <w:color w:val="auto"/>
          <w:sz w:val="44"/>
          <w:szCs w:val="44"/>
          <w:highlight w:val="none"/>
          <w:lang w:eastAsia="zh-CN"/>
        </w:rPr>
      </w:pPr>
      <w:r>
        <w:rPr>
          <w:rFonts w:hint="eastAsia" w:ascii="宋体" w:hAnsi="宋体"/>
          <w:b/>
          <w:color w:val="auto"/>
          <w:sz w:val="44"/>
          <w:szCs w:val="44"/>
          <w:highlight w:val="none"/>
          <w:lang w:eastAsia="zh-CN"/>
        </w:rPr>
        <w:t>泰宇建筑工程技术咨询有限公司关于东阳市公安局食材配送服务采购项目</w:t>
      </w:r>
    </w:p>
    <w:p w14:paraId="763DEB38">
      <w:pPr>
        <w:spacing w:beforeLines="50" w:line="360" w:lineRule="auto"/>
        <w:jc w:val="center"/>
        <w:rPr>
          <w:rFonts w:ascii="宋体"/>
          <w:color w:val="auto"/>
          <w:sz w:val="72"/>
          <w:szCs w:val="72"/>
          <w:highlight w:val="none"/>
        </w:rPr>
      </w:pPr>
    </w:p>
    <w:p w14:paraId="3AE79D3D">
      <w:pPr>
        <w:spacing w:beforeLines="50" w:line="360" w:lineRule="auto"/>
        <w:jc w:val="center"/>
        <w:rPr>
          <w:rFonts w:ascii="宋体"/>
          <w:color w:val="auto"/>
          <w:sz w:val="72"/>
          <w:szCs w:val="72"/>
          <w:highlight w:val="none"/>
        </w:rPr>
      </w:pPr>
    </w:p>
    <w:p w14:paraId="054FAABC">
      <w:pPr>
        <w:spacing w:beforeLines="50" w:line="360" w:lineRule="auto"/>
        <w:jc w:val="center"/>
        <w:rPr>
          <w:rFonts w:ascii="宋体"/>
          <w:color w:val="auto"/>
          <w:sz w:val="72"/>
          <w:szCs w:val="72"/>
          <w:highlight w:val="none"/>
        </w:rPr>
      </w:pPr>
      <w:r>
        <w:rPr>
          <w:rFonts w:hint="eastAsia" w:ascii="宋体" w:hAnsi="宋体"/>
          <w:color w:val="auto"/>
          <w:sz w:val="72"/>
          <w:szCs w:val="72"/>
          <w:highlight w:val="none"/>
        </w:rPr>
        <w:t>公开招标采购文件</w:t>
      </w:r>
    </w:p>
    <w:p w14:paraId="100FFB6F">
      <w:pPr>
        <w:snapToGrid w:val="0"/>
        <w:spacing w:beforeLines="50" w:line="360" w:lineRule="auto"/>
        <w:jc w:val="center"/>
        <w:rPr>
          <w:rFonts w:ascii="宋体"/>
          <w:color w:val="auto"/>
          <w:sz w:val="30"/>
          <w:szCs w:val="72"/>
          <w:highlight w:val="none"/>
        </w:rPr>
      </w:pPr>
    </w:p>
    <w:p w14:paraId="0EA0016A">
      <w:pPr>
        <w:snapToGrid w:val="0"/>
        <w:spacing w:beforeLines="50" w:line="360" w:lineRule="auto"/>
        <w:jc w:val="center"/>
        <w:rPr>
          <w:rFonts w:ascii="宋体"/>
          <w:color w:val="auto"/>
          <w:sz w:val="30"/>
          <w:szCs w:val="72"/>
          <w:highlight w:val="none"/>
        </w:rPr>
      </w:pPr>
    </w:p>
    <w:p w14:paraId="5C168D73">
      <w:pPr>
        <w:snapToGrid w:val="0"/>
        <w:spacing w:beforeLines="50" w:line="360" w:lineRule="auto"/>
        <w:rPr>
          <w:rFonts w:ascii="宋体"/>
          <w:color w:val="auto"/>
          <w:sz w:val="30"/>
          <w:szCs w:val="72"/>
          <w:highlight w:val="none"/>
        </w:rPr>
      </w:pPr>
    </w:p>
    <w:p w14:paraId="17D008C4">
      <w:pPr>
        <w:snapToGrid w:val="0"/>
        <w:spacing w:beforeLines="50" w:line="360" w:lineRule="auto"/>
        <w:jc w:val="center"/>
        <w:rPr>
          <w:rFonts w:ascii="宋体"/>
          <w:color w:val="auto"/>
          <w:sz w:val="30"/>
          <w:szCs w:val="72"/>
          <w:highlight w:val="none"/>
        </w:rPr>
      </w:pPr>
    </w:p>
    <w:p w14:paraId="429C7D72">
      <w:pPr>
        <w:pStyle w:val="24"/>
        <w:snapToGrid w:val="0"/>
        <w:spacing w:before="120" w:after="120" w:line="360" w:lineRule="auto"/>
        <w:rPr>
          <w:rFonts w:hint="eastAsia" w:hAnsi="宋体" w:eastAsia="宋体"/>
          <w:b/>
          <w:bCs/>
          <w:color w:val="auto"/>
          <w:sz w:val="28"/>
          <w:szCs w:val="28"/>
          <w:highlight w:val="none"/>
          <w:lang w:eastAsia="zh-CN"/>
        </w:rPr>
      </w:pPr>
      <w:r>
        <w:rPr>
          <w:rFonts w:hint="eastAsia" w:hAnsi="宋体"/>
          <w:b/>
          <w:bCs/>
          <w:color w:val="auto"/>
          <w:sz w:val="28"/>
          <w:szCs w:val="28"/>
          <w:highlight w:val="none"/>
        </w:rPr>
        <w:t>项目编号：</w:t>
      </w:r>
      <w:r>
        <w:rPr>
          <w:rFonts w:hint="eastAsia" w:hAnsi="宋体"/>
          <w:b/>
          <w:bCs/>
          <w:color w:val="auto"/>
          <w:sz w:val="28"/>
          <w:szCs w:val="28"/>
          <w:highlight w:val="none"/>
          <w:lang w:eastAsia="zh-CN"/>
        </w:rPr>
        <w:t>TYZX2025-002</w:t>
      </w:r>
    </w:p>
    <w:p w14:paraId="78CD25B7">
      <w:pPr>
        <w:pStyle w:val="24"/>
        <w:snapToGrid w:val="0"/>
        <w:spacing w:before="120" w:after="120" w:line="360" w:lineRule="auto"/>
        <w:rPr>
          <w:rFonts w:hint="eastAsia" w:hAnsi="宋体" w:eastAsia="宋体"/>
          <w:b/>
          <w:bCs/>
          <w:color w:val="auto"/>
          <w:spacing w:val="-6"/>
          <w:sz w:val="28"/>
          <w:szCs w:val="28"/>
          <w:highlight w:val="none"/>
          <w:lang w:eastAsia="zh-CN"/>
        </w:rPr>
      </w:pPr>
      <w:r>
        <w:rPr>
          <w:rFonts w:hint="eastAsia" w:hAnsi="宋体"/>
          <w:b/>
          <w:bCs/>
          <w:color w:val="auto"/>
          <w:sz w:val="28"/>
          <w:szCs w:val="28"/>
          <w:highlight w:val="none"/>
        </w:rPr>
        <w:t>项目名称：</w:t>
      </w:r>
      <w:r>
        <w:rPr>
          <w:rFonts w:hint="eastAsia" w:hAnsi="宋体"/>
          <w:b/>
          <w:bCs/>
          <w:color w:val="auto"/>
          <w:spacing w:val="-6"/>
          <w:sz w:val="28"/>
          <w:szCs w:val="28"/>
          <w:highlight w:val="none"/>
          <w:lang w:eastAsia="zh-CN"/>
        </w:rPr>
        <w:t>东阳市公安局食材配送服务采购项目</w:t>
      </w:r>
    </w:p>
    <w:p w14:paraId="359E3BEA">
      <w:pPr>
        <w:pStyle w:val="24"/>
        <w:snapToGrid w:val="0"/>
        <w:spacing w:before="120" w:after="120" w:line="360" w:lineRule="auto"/>
        <w:rPr>
          <w:rFonts w:hint="eastAsia" w:hAnsi="宋体" w:eastAsia="宋体"/>
          <w:b/>
          <w:bCs/>
          <w:color w:val="auto"/>
          <w:sz w:val="28"/>
          <w:szCs w:val="28"/>
          <w:highlight w:val="none"/>
          <w:lang w:eastAsia="zh-CN"/>
        </w:rPr>
      </w:pPr>
      <w:r>
        <w:rPr>
          <w:rFonts w:hint="eastAsia" w:hAnsi="宋体"/>
          <w:b/>
          <w:bCs/>
          <w:color w:val="auto"/>
          <w:sz w:val="28"/>
          <w:szCs w:val="28"/>
          <w:highlight w:val="none"/>
        </w:rPr>
        <w:t>采购单位：</w:t>
      </w:r>
      <w:r>
        <w:rPr>
          <w:rFonts w:hint="eastAsia" w:hAnsi="宋体"/>
          <w:b/>
          <w:bCs/>
          <w:color w:val="auto"/>
          <w:sz w:val="28"/>
          <w:szCs w:val="28"/>
          <w:highlight w:val="none"/>
          <w:lang w:eastAsia="zh-CN"/>
        </w:rPr>
        <w:t>东阳市公安局</w:t>
      </w:r>
    </w:p>
    <w:p w14:paraId="2046C250">
      <w:pPr>
        <w:pStyle w:val="24"/>
        <w:snapToGrid w:val="0"/>
        <w:spacing w:before="120" w:after="120" w:line="360" w:lineRule="auto"/>
        <w:rPr>
          <w:rFonts w:hint="eastAsia" w:hAnsi="宋体" w:eastAsia="宋体"/>
          <w:b/>
          <w:bCs/>
          <w:color w:val="auto"/>
          <w:sz w:val="28"/>
          <w:szCs w:val="28"/>
          <w:highlight w:val="none"/>
          <w:lang w:eastAsia="zh-CN"/>
        </w:rPr>
      </w:pPr>
      <w:r>
        <w:rPr>
          <w:rFonts w:hint="eastAsia" w:hAnsi="宋体"/>
          <w:b/>
          <w:bCs/>
          <w:color w:val="auto"/>
          <w:sz w:val="28"/>
          <w:szCs w:val="28"/>
          <w:highlight w:val="none"/>
        </w:rPr>
        <w:t>招标机构：</w:t>
      </w:r>
      <w:r>
        <w:rPr>
          <w:rFonts w:hint="eastAsia" w:hAnsi="宋体"/>
          <w:b/>
          <w:color w:val="auto"/>
          <w:sz w:val="28"/>
          <w:szCs w:val="44"/>
          <w:highlight w:val="none"/>
          <w:lang w:eastAsia="zh-CN"/>
        </w:rPr>
        <w:t>泰宇建筑工程技术咨询有限公司</w:t>
      </w:r>
    </w:p>
    <w:p w14:paraId="6C7A3D53">
      <w:pPr>
        <w:pStyle w:val="24"/>
        <w:snapToGrid w:val="0"/>
        <w:spacing w:before="120" w:after="120" w:line="360" w:lineRule="auto"/>
        <w:rPr>
          <w:rFonts w:hAnsi="宋体"/>
          <w:b/>
          <w:color w:val="auto"/>
          <w:sz w:val="30"/>
          <w:szCs w:val="48"/>
          <w:highlight w:val="none"/>
        </w:rPr>
      </w:pPr>
    </w:p>
    <w:p w14:paraId="7AFEFC87">
      <w:pPr>
        <w:rPr>
          <w:color w:val="auto"/>
          <w:highlight w:val="none"/>
        </w:rPr>
      </w:pPr>
    </w:p>
    <w:p w14:paraId="699F7DCD">
      <w:pPr>
        <w:snapToGrid w:val="0"/>
        <w:spacing w:beforeLines="50" w:line="360" w:lineRule="auto"/>
        <w:ind w:left="384" w:leftChars="183" w:firstLine="5633" w:firstLineChars="2004"/>
        <w:rPr>
          <w:rFonts w:hint="eastAsia" w:ascii="宋体" w:hAnsi="宋体"/>
          <w:b/>
          <w:color w:val="auto"/>
          <w:sz w:val="28"/>
          <w:szCs w:val="44"/>
          <w:highlight w:val="none"/>
          <w:lang w:val="en-US" w:eastAsia="zh-CN"/>
        </w:rPr>
        <w:sectPr>
          <w:footerReference r:id="rId5" w:type="first"/>
          <w:headerReference r:id="rId3" w:type="default"/>
          <w:footerReference r:id="rId4" w:type="default"/>
          <w:pgSz w:w="11906" w:h="16838"/>
          <w:pgMar w:top="1587" w:right="907" w:bottom="907" w:left="1588" w:header="851" w:footer="850" w:gutter="0"/>
          <w:pgNumType w:fmt="decimal" w:start="0"/>
          <w:cols w:space="720" w:num="1"/>
          <w:titlePg/>
          <w:docGrid w:linePitch="312" w:charSpace="0"/>
        </w:sectPr>
      </w:pPr>
      <w:r>
        <w:rPr>
          <w:rFonts w:hint="eastAsia" w:ascii="宋体" w:hAnsi="宋体"/>
          <w:b/>
          <w:color w:val="auto"/>
          <w:sz w:val="28"/>
          <w:szCs w:val="44"/>
          <w:highlight w:val="none"/>
          <w:lang w:val="en-US" w:eastAsia="zh-CN"/>
        </w:rPr>
        <w:t>2025</w:t>
      </w:r>
      <w:r>
        <w:rPr>
          <w:rFonts w:hint="eastAsia" w:ascii="宋体" w:hAnsi="宋体"/>
          <w:b/>
          <w:color w:val="auto"/>
          <w:sz w:val="28"/>
          <w:szCs w:val="44"/>
          <w:highlight w:val="none"/>
        </w:rPr>
        <w:t>年</w:t>
      </w:r>
      <w:r>
        <w:rPr>
          <w:rFonts w:hint="eastAsia" w:ascii="宋体" w:hAnsi="宋体"/>
          <w:b/>
          <w:color w:val="auto"/>
          <w:sz w:val="28"/>
          <w:szCs w:val="44"/>
          <w:highlight w:val="none"/>
          <w:lang w:val="en-US" w:eastAsia="zh-CN"/>
        </w:rPr>
        <w:t>7月</w:t>
      </w:r>
    </w:p>
    <w:p w14:paraId="2CAF11E8">
      <w:pPr>
        <w:pStyle w:val="24"/>
        <w:spacing w:before="120" w:after="120" w:line="360" w:lineRule="auto"/>
        <w:jc w:val="center"/>
        <w:rPr>
          <w:rFonts w:hint="eastAsia" w:ascii="创艺简标宋" w:hAnsi="宋体" w:eastAsia="创艺简标宋"/>
          <w:color w:val="auto"/>
          <w:sz w:val="44"/>
          <w:szCs w:val="44"/>
          <w:highlight w:val="none"/>
        </w:rPr>
      </w:pPr>
    </w:p>
    <w:p w14:paraId="73E5A1D5">
      <w:pPr>
        <w:pStyle w:val="24"/>
        <w:spacing w:before="120" w:after="12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目录</w:t>
      </w:r>
    </w:p>
    <w:p w14:paraId="430A1A03">
      <w:pPr>
        <w:numPr>
          <w:ilvl w:val="0"/>
          <w:numId w:val="2"/>
        </w:numPr>
        <w:spacing w:beforeLines="50" w:line="360" w:lineRule="auto"/>
        <w:rPr>
          <w:rFonts w:ascii="宋体"/>
          <w:color w:val="auto"/>
          <w:sz w:val="30"/>
          <w:szCs w:val="20"/>
          <w:highlight w:val="none"/>
        </w:rPr>
      </w:pPr>
      <w:r>
        <w:rPr>
          <w:rFonts w:hint="eastAsia" w:ascii="宋体" w:hAnsi="宋体"/>
          <w:color w:val="auto"/>
          <w:sz w:val="30"/>
          <w:highlight w:val="none"/>
        </w:rPr>
        <w:t>公开招标采购公告</w:t>
      </w:r>
    </w:p>
    <w:p w14:paraId="185C30DC">
      <w:pPr>
        <w:numPr>
          <w:ilvl w:val="0"/>
          <w:numId w:val="2"/>
        </w:numPr>
        <w:spacing w:beforeLines="50" w:line="360" w:lineRule="auto"/>
        <w:rPr>
          <w:rFonts w:ascii="宋体"/>
          <w:color w:val="auto"/>
          <w:sz w:val="30"/>
          <w:szCs w:val="20"/>
          <w:highlight w:val="none"/>
        </w:rPr>
      </w:pPr>
      <w:r>
        <w:rPr>
          <w:rFonts w:hint="eastAsia" w:ascii="宋体" w:hAnsi="宋体"/>
          <w:color w:val="auto"/>
          <w:sz w:val="30"/>
          <w:highlight w:val="none"/>
        </w:rPr>
        <w:t>招标需求</w:t>
      </w:r>
    </w:p>
    <w:p w14:paraId="49E93745">
      <w:pPr>
        <w:numPr>
          <w:ilvl w:val="0"/>
          <w:numId w:val="2"/>
        </w:numPr>
        <w:spacing w:beforeLines="50" w:line="360" w:lineRule="auto"/>
        <w:rPr>
          <w:rFonts w:ascii="宋体"/>
          <w:color w:val="auto"/>
          <w:sz w:val="30"/>
          <w:szCs w:val="20"/>
          <w:highlight w:val="none"/>
        </w:rPr>
      </w:pPr>
      <w:r>
        <w:rPr>
          <w:rFonts w:hint="eastAsia" w:ascii="宋体" w:hAnsi="宋体"/>
          <w:color w:val="auto"/>
          <w:sz w:val="30"/>
          <w:highlight w:val="none"/>
        </w:rPr>
        <w:t>投标人须知</w:t>
      </w:r>
    </w:p>
    <w:p w14:paraId="6514AE48">
      <w:pPr>
        <w:numPr>
          <w:ilvl w:val="0"/>
          <w:numId w:val="2"/>
        </w:numPr>
        <w:spacing w:beforeLines="50" w:line="360" w:lineRule="auto"/>
        <w:rPr>
          <w:rFonts w:ascii="宋体"/>
          <w:color w:val="auto"/>
          <w:sz w:val="30"/>
          <w:szCs w:val="20"/>
          <w:highlight w:val="none"/>
        </w:rPr>
      </w:pPr>
      <w:r>
        <w:rPr>
          <w:rFonts w:hint="eastAsia" w:ascii="宋体" w:hAnsi="宋体"/>
          <w:color w:val="auto"/>
          <w:sz w:val="30"/>
          <w:highlight w:val="none"/>
        </w:rPr>
        <w:t>评标办法及评分标准</w:t>
      </w:r>
    </w:p>
    <w:p w14:paraId="0F1632DF">
      <w:pPr>
        <w:numPr>
          <w:ilvl w:val="0"/>
          <w:numId w:val="2"/>
        </w:numPr>
        <w:spacing w:beforeLines="50" w:line="360" w:lineRule="auto"/>
        <w:rPr>
          <w:rFonts w:ascii="宋体"/>
          <w:color w:val="auto"/>
          <w:sz w:val="30"/>
          <w:szCs w:val="20"/>
          <w:highlight w:val="none"/>
        </w:rPr>
      </w:pPr>
      <w:r>
        <w:rPr>
          <w:rFonts w:hint="eastAsia" w:ascii="宋体" w:hAnsi="宋体"/>
          <w:color w:val="auto"/>
          <w:sz w:val="30"/>
          <w:highlight w:val="none"/>
        </w:rPr>
        <w:t>政府采购合同主要条款</w:t>
      </w:r>
    </w:p>
    <w:p w14:paraId="3AD0F0F8">
      <w:pPr>
        <w:numPr>
          <w:ilvl w:val="0"/>
          <w:numId w:val="2"/>
        </w:numPr>
        <w:spacing w:beforeLines="50" w:line="360" w:lineRule="auto"/>
        <w:rPr>
          <w:rFonts w:ascii="宋体"/>
          <w:color w:val="auto"/>
          <w:sz w:val="30"/>
          <w:szCs w:val="20"/>
          <w:highlight w:val="none"/>
        </w:rPr>
      </w:pPr>
      <w:r>
        <w:rPr>
          <w:rFonts w:hint="eastAsia" w:ascii="宋体" w:hAnsi="宋体"/>
          <w:color w:val="auto"/>
          <w:sz w:val="30"/>
          <w:highlight w:val="none"/>
        </w:rPr>
        <w:t>投标文件格式</w:t>
      </w:r>
    </w:p>
    <w:p w14:paraId="17E44E99">
      <w:pPr>
        <w:pStyle w:val="24"/>
        <w:snapToGrid w:val="0"/>
        <w:spacing w:before="120" w:after="120" w:line="360" w:lineRule="auto"/>
        <w:outlineLvl w:val="0"/>
        <w:rPr>
          <w:rFonts w:ascii="黑体" w:hAnsi="宋体" w:eastAsia="黑体"/>
          <w:b/>
          <w:bCs/>
          <w:color w:val="auto"/>
          <w:sz w:val="36"/>
          <w:szCs w:val="36"/>
          <w:highlight w:val="none"/>
        </w:rPr>
      </w:pPr>
    </w:p>
    <w:p w14:paraId="4EA82A44">
      <w:pPr>
        <w:pStyle w:val="24"/>
        <w:snapToGrid w:val="0"/>
        <w:spacing w:before="120" w:after="120" w:line="360" w:lineRule="auto"/>
        <w:outlineLvl w:val="0"/>
        <w:rPr>
          <w:rFonts w:ascii="黑体" w:hAnsi="宋体" w:eastAsia="黑体"/>
          <w:b/>
          <w:bCs/>
          <w:color w:val="auto"/>
          <w:sz w:val="36"/>
          <w:szCs w:val="36"/>
          <w:highlight w:val="none"/>
        </w:rPr>
      </w:pPr>
    </w:p>
    <w:p w14:paraId="3E4597FF">
      <w:pPr>
        <w:pStyle w:val="24"/>
        <w:snapToGrid w:val="0"/>
        <w:spacing w:before="120" w:after="120" w:line="360" w:lineRule="auto"/>
        <w:outlineLvl w:val="0"/>
        <w:rPr>
          <w:rFonts w:ascii="黑体" w:hAnsi="宋体" w:eastAsia="黑体"/>
          <w:b/>
          <w:bCs/>
          <w:color w:val="auto"/>
          <w:sz w:val="36"/>
          <w:szCs w:val="36"/>
          <w:highlight w:val="none"/>
        </w:rPr>
      </w:pPr>
    </w:p>
    <w:p w14:paraId="0CA4B353">
      <w:pPr>
        <w:widowControl/>
        <w:jc w:val="left"/>
        <w:rPr>
          <w:rFonts w:ascii="仿宋" w:hAnsi="仿宋" w:eastAsia="仿宋"/>
          <w:color w:val="auto"/>
          <w:sz w:val="28"/>
          <w:szCs w:val="28"/>
          <w:highlight w:val="none"/>
        </w:rPr>
      </w:pPr>
    </w:p>
    <w:p w14:paraId="6DC7DDD2">
      <w:pPr>
        <w:widowControl/>
        <w:jc w:val="left"/>
        <w:rPr>
          <w:rFonts w:ascii="仿宋" w:hAnsi="仿宋" w:eastAsia="仿宋"/>
          <w:color w:val="auto"/>
          <w:sz w:val="28"/>
          <w:szCs w:val="28"/>
          <w:highlight w:val="none"/>
        </w:rPr>
      </w:pPr>
    </w:p>
    <w:p w14:paraId="68F0FA9D">
      <w:pPr>
        <w:widowControl/>
        <w:jc w:val="left"/>
        <w:rPr>
          <w:rFonts w:ascii="仿宋" w:hAnsi="仿宋" w:eastAsia="仿宋"/>
          <w:color w:val="auto"/>
          <w:sz w:val="28"/>
          <w:szCs w:val="28"/>
          <w:highlight w:val="none"/>
        </w:rPr>
      </w:pPr>
    </w:p>
    <w:p w14:paraId="112112E9">
      <w:pPr>
        <w:pStyle w:val="24"/>
        <w:snapToGrid w:val="0"/>
        <w:spacing w:before="120" w:after="120" w:line="360" w:lineRule="auto"/>
        <w:jc w:val="center"/>
        <w:outlineLvl w:val="0"/>
        <w:rPr>
          <w:rFonts w:ascii="黑体" w:hAnsi="宋体" w:eastAsia="黑体"/>
          <w:b/>
          <w:bCs/>
          <w:color w:val="auto"/>
          <w:sz w:val="32"/>
          <w:szCs w:val="32"/>
          <w:highlight w:val="none"/>
        </w:rPr>
      </w:pPr>
    </w:p>
    <w:p w14:paraId="2C15C068">
      <w:pPr>
        <w:pStyle w:val="24"/>
        <w:snapToGrid w:val="0"/>
        <w:spacing w:before="120" w:after="120" w:line="360" w:lineRule="auto"/>
        <w:jc w:val="center"/>
        <w:outlineLvl w:val="0"/>
        <w:rPr>
          <w:rFonts w:ascii="黑体" w:hAnsi="宋体" w:eastAsia="黑体"/>
          <w:b/>
          <w:bCs/>
          <w:color w:val="auto"/>
          <w:sz w:val="32"/>
          <w:szCs w:val="32"/>
          <w:highlight w:val="none"/>
        </w:rPr>
      </w:pPr>
    </w:p>
    <w:p w14:paraId="087346B3">
      <w:pPr>
        <w:pStyle w:val="24"/>
        <w:snapToGrid w:val="0"/>
        <w:spacing w:before="120" w:after="120" w:line="360" w:lineRule="auto"/>
        <w:jc w:val="center"/>
        <w:outlineLvl w:val="0"/>
        <w:rPr>
          <w:rFonts w:ascii="黑体" w:hAnsi="宋体" w:eastAsia="黑体"/>
          <w:b/>
          <w:bCs/>
          <w:color w:val="auto"/>
          <w:sz w:val="32"/>
          <w:szCs w:val="32"/>
          <w:highlight w:val="none"/>
        </w:rPr>
      </w:pPr>
    </w:p>
    <w:p w14:paraId="04CF7594">
      <w:pPr>
        <w:pStyle w:val="24"/>
        <w:snapToGrid w:val="0"/>
        <w:spacing w:before="120" w:after="120" w:line="360" w:lineRule="auto"/>
        <w:jc w:val="center"/>
        <w:outlineLvl w:val="0"/>
        <w:rPr>
          <w:rFonts w:ascii="黑体" w:hAnsi="宋体" w:eastAsia="黑体"/>
          <w:b/>
          <w:bCs/>
          <w:color w:val="auto"/>
          <w:sz w:val="32"/>
          <w:szCs w:val="32"/>
          <w:highlight w:val="none"/>
        </w:rPr>
      </w:pPr>
    </w:p>
    <w:p w14:paraId="0CF73F9D">
      <w:pPr>
        <w:pStyle w:val="24"/>
        <w:snapToGrid w:val="0"/>
        <w:spacing w:before="120" w:after="120" w:line="360" w:lineRule="auto"/>
        <w:jc w:val="center"/>
        <w:outlineLvl w:val="0"/>
        <w:rPr>
          <w:rFonts w:ascii="黑体" w:hAnsi="宋体" w:eastAsia="黑体"/>
          <w:b/>
          <w:bCs/>
          <w:color w:val="auto"/>
          <w:sz w:val="32"/>
          <w:szCs w:val="32"/>
          <w:highlight w:val="none"/>
        </w:rPr>
      </w:pPr>
    </w:p>
    <w:p w14:paraId="201C5B20">
      <w:pPr>
        <w:pStyle w:val="24"/>
        <w:snapToGrid w:val="0"/>
        <w:spacing w:before="120" w:after="120" w:line="360" w:lineRule="auto"/>
        <w:jc w:val="center"/>
        <w:outlineLvl w:val="0"/>
        <w:rPr>
          <w:rFonts w:ascii="黑体" w:hAnsi="宋体" w:eastAsia="黑体"/>
          <w:b/>
          <w:bCs/>
          <w:color w:val="auto"/>
          <w:sz w:val="32"/>
          <w:szCs w:val="32"/>
          <w:highlight w:val="none"/>
        </w:rPr>
      </w:pPr>
    </w:p>
    <w:p w14:paraId="7EF75DFB">
      <w:pPr>
        <w:pStyle w:val="24"/>
        <w:snapToGrid w:val="0"/>
        <w:spacing w:before="120" w:after="120" w:line="360" w:lineRule="auto"/>
        <w:jc w:val="both"/>
        <w:outlineLvl w:val="0"/>
        <w:rPr>
          <w:rFonts w:hint="eastAsia" w:ascii="黑体" w:hAnsi="宋体" w:eastAsia="黑体"/>
          <w:b/>
          <w:bCs/>
          <w:color w:val="auto"/>
          <w:sz w:val="32"/>
          <w:szCs w:val="32"/>
          <w:highlight w:val="none"/>
        </w:rPr>
      </w:pPr>
    </w:p>
    <w:p w14:paraId="57F57F3E">
      <w:pPr>
        <w:pStyle w:val="24"/>
        <w:snapToGrid w:val="0"/>
        <w:spacing w:before="120" w:after="120" w:line="360" w:lineRule="auto"/>
        <w:jc w:val="center"/>
        <w:outlineLvl w:val="0"/>
        <w:rPr>
          <w:rFonts w:ascii="黑体" w:hAnsi="宋体" w:eastAsia="黑体"/>
          <w:color w:val="auto"/>
          <w:sz w:val="28"/>
          <w:szCs w:val="28"/>
          <w:highlight w:val="none"/>
        </w:rPr>
      </w:pPr>
      <w:r>
        <w:rPr>
          <w:rFonts w:hint="eastAsia" w:ascii="黑体" w:hAnsi="宋体" w:eastAsia="黑体"/>
          <w:b/>
          <w:bCs/>
          <w:color w:val="auto"/>
          <w:sz w:val="32"/>
          <w:szCs w:val="32"/>
          <w:highlight w:val="none"/>
        </w:rPr>
        <w:t>第一章</w:t>
      </w:r>
      <w:r>
        <w:rPr>
          <w:rFonts w:ascii="黑体" w:hAnsi="宋体" w:eastAsia="黑体"/>
          <w:b/>
          <w:bCs/>
          <w:color w:val="auto"/>
          <w:sz w:val="32"/>
          <w:szCs w:val="32"/>
          <w:highlight w:val="none"/>
        </w:rPr>
        <w:t xml:space="preserve">  </w:t>
      </w:r>
      <w:r>
        <w:rPr>
          <w:rFonts w:hint="eastAsia" w:ascii="黑体" w:hAnsi="宋体" w:eastAsia="黑体"/>
          <w:b/>
          <w:bCs/>
          <w:color w:val="auto"/>
          <w:sz w:val="32"/>
          <w:szCs w:val="32"/>
          <w:highlight w:val="none"/>
        </w:rPr>
        <w:t>公开招标采购公告</w:t>
      </w:r>
    </w:p>
    <w:p w14:paraId="4C22E8E8">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cs="宋体"/>
          <w:b/>
          <w:bCs/>
          <w:color w:val="auto"/>
          <w:sz w:val="24"/>
          <w:highlight w:val="none"/>
        </w:rPr>
      </w:pPr>
      <w:r>
        <w:rPr>
          <w:rFonts w:hint="eastAsia" w:ascii="宋体" w:hAnsi="宋体" w:cs="宋体"/>
          <w:b/>
          <w:bCs/>
          <w:color w:val="auto"/>
          <w:sz w:val="24"/>
          <w:highlight w:val="none"/>
        </w:rPr>
        <w:t>项目概况</w:t>
      </w:r>
    </w:p>
    <w:p w14:paraId="39BFA1C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b/>
          <w:bCs/>
          <w:color w:val="auto"/>
          <w:sz w:val="24"/>
          <w:highlight w:val="none"/>
          <w:u w:val="single"/>
          <w:lang w:eastAsia="zh-CN"/>
        </w:rPr>
        <w:t>东阳市公安局食材配送服务采购项目</w:t>
      </w:r>
      <w:r>
        <w:rPr>
          <w:rFonts w:hint="eastAsia" w:ascii="宋体" w:hAnsi="宋体" w:cs="宋体"/>
          <w:b/>
          <w:bCs/>
          <w:color w:val="auto"/>
          <w:sz w:val="24"/>
          <w:highlight w:val="none"/>
          <w:u w:val="none"/>
          <w:lang w:val="en-US" w:eastAsia="zh-CN"/>
        </w:rPr>
        <w:t>的潜在投标人应在</w:t>
      </w:r>
      <w:bookmarkStart w:id="0" w:name="OLE_LINK19"/>
      <w:r>
        <w:rPr>
          <w:rFonts w:hint="eastAsia" w:ascii="宋体" w:hAnsi="宋体" w:cs="宋体"/>
          <w:b/>
          <w:bCs/>
          <w:color w:val="auto"/>
          <w:sz w:val="24"/>
          <w:highlight w:val="none"/>
          <w:u w:val="none"/>
          <w:lang w:val="en-US" w:eastAsia="zh-CN"/>
        </w:rPr>
        <w:t>浙江省政府采购网(www.zjzfcg.gov.cn/)、东阳市公共资源交易网(http://www.dongyang.gov.cn/ggzyjy/)</w:t>
      </w:r>
      <w:bookmarkEnd w:id="0"/>
      <w:r>
        <w:rPr>
          <w:rFonts w:hint="eastAsia" w:ascii="宋体" w:hAnsi="宋体" w:cs="宋体"/>
          <w:b/>
          <w:bCs/>
          <w:color w:val="auto"/>
          <w:sz w:val="24"/>
          <w:highlight w:val="none"/>
          <w:u w:val="none"/>
          <w:lang w:val="en-US" w:eastAsia="zh-CN"/>
        </w:rPr>
        <w:t>获取（下载）招标文件，并于</w:t>
      </w:r>
      <w:r>
        <w:rPr>
          <w:rFonts w:ascii="宋体" w:hAnsi="宋体" w:cs="宋体"/>
          <w:b/>
          <w:bCs/>
          <w:color w:val="FF0000"/>
          <w:sz w:val="24"/>
          <w:highlight w:val="none"/>
          <w:u w:val="single"/>
        </w:rPr>
        <w:t>20</w:t>
      </w:r>
      <w:r>
        <w:rPr>
          <w:rFonts w:hint="eastAsia" w:ascii="宋体" w:hAnsi="宋体" w:cs="宋体"/>
          <w:b/>
          <w:bCs/>
          <w:color w:val="FF0000"/>
          <w:sz w:val="24"/>
          <w:highlight w:val="none"/>
          <w:u w:val="single"/>
          <w:lang w:val="en-US" w:eastAsia="zh-CN"/>
        </w:rPr>
        <w:t>25</w:t>
      </w:r>
      <w:r>
        <w:rPr>
          <w:rFonts w:hint="eastAsia" w:ascii="宋体" w:hAnsi="宋体" w:cs="宋体"/>
          <w:b/>
          <w:bCs/>
          <w:color w:val="FF0000"/>
          <w:sz w:val="24"/>
          <w:highlight w:val="none"/>
          <w:u w:val="single"/>
        </w:rPr>
        <w:t>年</w:t>
      </w:r>
      <w:r>
        <w:rPr>
          <w:rFonts w:hint="eastAsia" w:ascii="宋体" w:hAnsi="宋体" w:cs="宋体"/>
          <w:b/>
          <w:bCs/>
          <w:color w:val="FF0000"/>
          <w:sz w:val="24"/>
          <w:highlight w:val="none"/>
          <w:u w:val="single"/>
          <w:lang w:val="en-US" w:eastAsia="zh-CN"/>
        </w:rPr>
        <w:t>8月8日14时00分</w:t>
      </w:r>
      <w:r>
        <w:rPr>
          <w:rFonts w:hint="eastAsia" w:ascii="宋体" w:hAnsi="宋体" w:cs="宋体"/>
          <w:b/>
          <w:bCs/>
          <w:color w:val="FF0000"/>
          <w:sz w:val="24"/>
          <w:highlight w:val="none"/>
          <w:u w:val="single"/>
        </w:rPr>
        <w:t>（</w:t>
      </w:r>
      <w:r>
        <w:rPr>
          <w:rFonts w:hint="eastAsia" w:ascii="宋体" w:hAnsi="宋体" w:cs="宋体"/>
          <w:b/>
          <w:bCs/>
          <w:color w:val="FF0000"/>
          <w:sz w:val="24"/>
          <w:highlight w:val="none"/>
        </w:rPr>
        <w:t>北京时间）</w:t>
      </w:r>
      <w:r>
        <w:rPr>
          <w:rFonts w:hint="eastAsia" w:ascii="宋体" w:hAnsi="宋体" w:cs="宋体"/>
          <w:b/>
          <w:bCs w:val="0"/>
          <w:color w:val="auto"/>
          <w:sz w:val="24"/>
          <w:highlight w:val="none"/>
        </w:rPr>
        <w:t>前递交(上传)投标文件。</w:t>
      </w:r>
    </w:p>
    <w:p w14:paraId="45CFFC82">
      <w:pPr>
        <w:numPr>
          <w:ilvl w:val="0"/>
          <w:numId w:val="3"/>
        </w:numPr>
        <w:snapToGrid w:val="0"/>
        <w:spacing w:line="312" w:lineRule="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项目基本情况</w:t>
      </w:r>
    </w:p>
    <w:p w14:paraId="4B7891DC">
      <w:pPr>
        <w:snapToGrid w:val="0"/>
        <w:spacing w:line="360" w:lineRule="auto"/>
        <w:ind w:left="479" w:leftChars="228"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东阳市政府采购计划书：临[2025]185号</w:t>
      </w:r>
    </w:p>
    <w:p w14:paraId="462CE5BA">
      <w:pPr>
        <w:snapToGrid w:val="0"/>
        <w:spacing w:line="360" w:lineRule="auto"/>
        <w:ind w:left="479" w:leftChars="228"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TYZX2025-002</w:t>
      </w:r>
    </w:p>
    <w:p w14:paraId="19CEE544">
      <w:pPr>
        <w:snapToGrid w:val="0"/>
        <w:spacing w:line="360" w:lineRule="auto"/>
        <w:ind w:left="479" w:leftChars="228"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东阳市公安局食材配送服务采购项目</w:t>
      </w:r>
    </w:p>
    <w:p w14:paraId="58C8EAB9">
      <w:pPr>
        <w:snapToGrid w:val="0"/>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预算金额（元）：</w:t>
      </w:r>
      <w:r>
        <w:rPr>
          <w:rFonts w:hint="eastAsia" w:ascii="宋体" w:hAnsi="宋体" w:eastAsia="宋体" w:cs="宋体"/>
          <w:color w:val="auto"/>
          <w:sz w:val="24"/>
          <w:highlight w:val="none"/>
          <w:lang w:val="en-US" w:eastAsia="zh-CN"/>
        </w:rPr>
        <w:t>214万</w:t>
      </w:r>
      <w:r>
        <w:rPr>
          <w:rFonts w:hint="eastAsia" w:ascii="宋体" w:hAnsi="宋体" w:eastAsia="宋体" w:cs="宋体"/>
          <w:color w:val="auto"/>
          <w:sz w:val="24"/>
          <w:highlight w:val="none"/>
        </w:rPr>
        <w:t>元</w:t>
      </w:r>
    </w:p>
    <w:p w14:paraId="235D921A">
      <w:pPr>
        <w:snapToGrid w:val="0"/>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最高限价（元）：</w:t>
      </w:r>
      <w:r>
        <w:rPr>
          <w:rFonts w:hint="eastAsia" w:ascii="宋体" w:hAnsi="宋体" w:eastAsia="宋体" w:cs="宋体"/>
          <w:color w:val="auto"/>
          <w:sz w:val="24"/>
          <w:highlight w:val="none"/>
          <w:lang w:val="en-US" w:eastAsia="zh-CN"/>
        </w:rPr>
        <w:t>214万</w:t>
      </w:r>
      <w:r>
        <w:rPr>
          <w:rFonts w:hint="eastAsia" w:ascii="宋体" w:hAnsi="宋体" w:eastAsia="宋体" w:cs="宋体"/>
          <w:color w:val="auto"/>
          <w:sz w:val="24"/>
          <w:highlight w:val="none"/>
        </w:rPr>
        <w:t>元</w:t>
      </w:r>
    </w:p>
    <w:p w14:paraId="72A46145">
      <w:pPr>
        <w:snapToGrid w:val="0"/>
        <w:spacing w:line="360" w:lineRule="auto"/>
        <w:ind w:left="479" w:leftChars="228" w:firstLine="0" w:firstLineChars="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采购需求：</w:t>
      </w:r>
    </w:p>
    <w:p w14:paraId="315543DE">
      <w:pPr>
        <w:snapToGrid w:val="0"/>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标项一:</w:t>
      </w:r>
    </w:p>
    <w:p w14:paraId="1A5A85B3">
      <w:pPr>
        <w:snapToGrid w:val="0"/>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标项名称：</w:t>
      </w:r>
      <w:r>
        <w:rPr>
          <w:rFonts w:hint="eastAsia" w:ascii="宋体" w:hAnsi="宋体" w:eastAsia="宋体" w:cs="宋体"/>
          <w:color w:val="auto"/>
          <w:sz w:val="24"/>
          <w:highlight w:val="none"/>
          <w:lang w:eastAsia="zh-CN"/>
        </w:rPr>
        <w:t>东阳市公安局食材配送服务采购项目</w:t>
      </w:r>
    </w:p>
    <w:p w14:paraId="345E9B32">
      <w:pPr>
        <w:snapToGrid w:val="0"/>
        <w:spacing w:line="360" w:lineRule="auto"/>
        <w:ind w:left="479" w:leftChars="228"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数量：</w:t>
      </w:r>
      <w:r>
        <w:rPr>
          <w:rFonts w:hint="eastAsia" w:ascii="宋体" w:hAnsi="宋体" w:eastAsia="宋体" w:cs="宋体"/>
          <w:color w:val="auto"/>
          <w:sz w:val="24"/>
          <w:highlight w:val="none"/>
          <w:lang w:val="en-US" w:eastAsia="zh-CN"/>
        </w:rPr>
        <w:t>不限</w:t>
      </w:r>
    </w:p>
    <w:p w14:paraId="3572C87F">
      <w:pPr>
        <w:snapToGrid w:val="0"/>
        <w:spacing w:line="360" w:lineRule="auto"/>
        <w:ind w:left="479" w:leftChars="228"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预算金额（元）：</w:t>
      </w:r>
      <w:r>
        <w:rPr>
          <w:rFonts w:hint="eastAsia" w:ascii="宋体" w:hAnsi="宋体" w:eastAsia="宋体" w:cs="宋体"/>
          <w:color w:val="auto"/>
          <w:sz w:val="24"/>
          <w:highlight w:val="none"/>
          <w:lang w:val="en-US" w:eastAsia="zh-CN"/>
        </w:rPr>
        <w:t>214万</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简要规格描述或项目基本概况介绍、用途：具体要求详见第二章招标需求</w:t>
      </w:r>
      <w:r>
        <w:rPr>
          <w:rFonts w:hint="eastAsia" w:ascii="宋体" w:hAnsi="宋体" w:eastAsia="宋体" w:cs="宋体"/>
          <w:color w:val="auto"/>
          <w:sz w:val="24"/>
          <w:highlight w:val="none"/>
          <w:lang w:eastAsia="zh-CN"/>
        </w:rPr>
        <w:t>。</w:t>
      </w:r>
    </w:p>
    <w:p w14:paraId="5B756A73">
      <w:pPr>
        <w:snapToGrid w:val="0"/>
        <w:spacing w:line="360" w:lineRule="auto"/>
        <w:ind w:left="479" w:leftChars="228"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p w14:paraId="59BB2296">
      <w:pPr>
        <w:snapToGrid w:val="0"/>
        <w:spacing w:line="360" w:lineRule="auto"/>
        <w:ind w:left="479" w:leftChars="228" w:firstLine="0" w:firstLineChars="0"/>
        <w:rPr>
          <w:rFonts w:hint="eastAsia" w:ascii="宋体" w:hAnsi="宋体" w:eastAsia="宋体" w:cs="宋体"/>
          <w:color w:val="auto"/>
          <w:sz w:val="24"/>
          <w:highlight w:val="green"/>
          <w:lang w:val="en-US" w:eastAsia="zh-CN"/>
        </w:rPr>
      </w:pPr>
      <w:r>
        <w:rPr>
          <w:rFonts w:hint="eastAsia" w:ascii="宋体" w:hAnsi="宋体" w:eastAsia="宋体" w:cs="宋体"/>
          <w:color w:val="auto"/>
          <w:sz w:val="24"/>
          <w:highlight w:val="none"/>
          <w:lang w:val="en-US" w:eastAsia="zh-CN"/>
        </w:rPr>
        <w:t>合同履约期限：详见招标文件</w:t>
      </w:r>
    </w:p>
    <w:p w14:paraId="13CE711F">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本项目接受联合体投标：</w:t>
      </w:r>
      <w:r>
        <w:rPr>
          <w:rFonts w:hint="eastAsia" w:ascii="宋体" w:hAnsi="宋体" w:eastAsia="宋体" w:cs="宋体"/>
          <w:b/>
          <w:bCs/>
          <w:color w:val="auto"/>
          <w:kern w:val="2"/>
          <w:sz w:val="24"/>
          <w:szCs w:val="24"/>
          <w:highlight w:val="none"/>
          <w:lang w:val="en-US" w:eastAsia="zh-CN" w:bidi="ar-SA"/>
        </w:rPr>
        <w:t>（√）是，（ ）否。</w:t>
      </w:r>
    </w:p>
    <w:p w14:paraId="61DCF458">
      <w:pPr>
        <w:snapToGrid w:val="0"/>
        <w:spacing w:line="312" w:lineRule="auto"/>
        <w:ind w:firstLine="241" w:firstLineChars="100"/>
        <w:rPr>
          <w:rFonts w:ascii="宋体" w:cs="Arial"/>
          <w:b/>
          <w:bCs/>
          <w:color w:val="auto"/>
          <w:sz w:val="24"/>
          <w:szCs w:val="20"/>
          <w:highlight w:val="none"/>
        </w:rPr>
      </w:pPr>
      <w:r>
        <w:rPr>
          <w:rFonts w:hint="eastAsia" w:ascii="宋体" w:hAnsi="宋体" w:cs="宋体"/>
          <w:b/>
          <w:bCs/>
          <w:color w:val="auto"/>
          <w:sz w:val="24"/>
          <w:highlight w:val="none"/>
        </w:rPr>
        <w:t>▲</w:t>
      </w:r>
      <w:r>
        <w:rPr>
          <w:rFonts w:hint="eastAsia" w:ascii="宋体" w:hAnsi="宋体" w:cs="Arial"/>
          <w:b/>
          <w:color w:val="auto"/>
          <w:sz w:val="24"/>
          <w:highlight w:val="none"/>
          <w:lang w:eastAsia="zh-CN"/>
        </w:rPr>
        <w:t>二</w:t>
      </w:r>
      <w:r>
        <w:rPr>
          <w:rFonts w:hint="eastAsia" w:ascii="宋体" w:hAnsi="宋体" w:cs="Arial"/>
          <w:b/>
          <w:color w:val="auto"/>
          <w:sz w:val="24"/>
          <w:highlight w:val="none"/>
        </w:rPr>
        <w:t>、</w:t>
      </w:r>
      <w:r>
        <w:rPr>
          <w:rFonts w:hint="eastAsia" w:ascii="宋体" w:hAnsi="宋体" w:cs="Arial"/>
          <w:b/>
          <w:bCs/>
          <w:color w:val="auto"/>
          <w:sz w:val="24"/>
          <w:highlight w:val="none"/>
        </w:rPr>
        <w:t>申请人的资格要求</w:t>
      </w:r>
    </w:p>
    <w:p w14:paraId="79BE8D4D">
      <w:pPr>
        <w:snapToGrid w:val="0"/>
        <w:spacing w:line="360" w:lineRule="auto"/>
        <w:ind w:firstLine="480" w:firstLineChars="200"/>
        <w:rPr>
          <w:rFonts w:hint="eastAsia" w:ascii="宋体" w:hAnsi="Times New Roman" w:eastAsia="宋体" w:cs="Arial"/>
          <w:b w:val="0"/>
          <w:bCs w:val="0"/>
          <w:color w:val="auto"/>
          <w:sz w:val="24"/>
          <w:highlight w:val="none"/>
          <w:lang w:val="en-US" w:eastAsia="zh-CN"/>
        </w:rPr>
      </w:pPr>
      <w:r>
        <w:rPr>
          <w:rFonts w:hint="eastAsia" w:ascii="宋体" w:hAnsi="Times New Roman" w:eastAsia="宋体" w:cs="Arial"/>
          <w:b w:val="0"/>
          <w:bCs w:val="0"/>
          <w:color w:val="auto"/>
          <w:sz w:val="24"/>
          <w:highlight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9EF4E14">
      <w:pPr>
        <w:snapToGrid w:val="0"/>
        <w:spacing w:line="360" w:lineRule="auto"/>
        <w:ind w:firstLine="482" w:firstLineChars="200"/>
        <w:rPr>
          <w:rFonts w:hint="eastAsia" w:ascii="宋体" w:hAnsi="Times New Roman" w:eastAsia="宋体" w:cs="Arial"/>
          <w:b/>
          <w:bCs/>
          <w:color w:val="auto"/>
          <w:sz w:val="24"/>
          <w:highlight w:val="none"/>
        </w:rPr>
      </w:pPr>
      <w:r>
        <w:rPr>
          <w:rFonts w:hint="eastAsia" w:ascii="宋体" w:cs="Arial"/>
          <w:b/>
          <w:bCs/>
          <w:color w:val="auto"/>
          <w:sz w:val="24"/>
          <w:highlight w:val="none"/>
          <w:lang w:val="en-US" w:eastAsia="zh-CN"/>
        </w:rPr>
        <w:t>2.</w:t>
      </w:r>
      <w:r>
        <w:rPr>
          <w:rFonts w:hint="eastAsia" w:ascii="宋体" w:hAnsi="Times New Roman" w:eastAsia="宋体" w:cs="Arial"/>
          <w:b/>
          <w:bCs/>
          <w:color w:val="auto"/>
          <w:sz w:val="24"/>
          <w:highlight w:val="none"/>
        </w:rPr>
        <w:t>落实政府采购政策需满足的资格要求：</w:t>
      </w:r>
    </w:p>
    <w:p w14:paraId="4F50DA56">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Times New Roman" w:eastAsia="宋体" w:cs="Arial"/>
          <w:color w:val="auto"/>
          <w:sz w:val="24"/>
          <w:highlight w:val="none"/>
        </w:rPr>
      </w:pPr>
      <w:r>
        <w:rPr>
          <w:rFonts w:hint="eastAsia" w:ascii="宋体" w:hAnsi="Times New Roman" w:eastAsia="宋体" w:cs="Arial"/>
          <w:color w:val="auto"/>
          <w:sz w:val="24"/>
          <w:highlight w:val="none"/>
        </w:rPr>
        <w:t>A、</w:t>
      </w:r>
      <w:r>
        <w:rPr>
          <w:rFonts w:hint="eastAsia" w:ascii="宋体" w:hAnsi="Times New Roman" w:eastAsia="宋体" w:cs="Arial"/>
          <w:color w:val="auto"/>
          <w:sz w:val="24"/>
          <w:highlight w:val="none"/>
          <w:lang w:eastAsia="zh-CN"/>
        </w:rPr>
        <w:t>本项目</w:t>
      </w:r>
      <w:r>
        <w:rPr>
          <w:rFonts w:hint="eastAsia" w:ascii="宋体" w:hAnsi="Times New Roman" w:eastAsia="宋体" w:cs="Arial"/>
          <w:color w:val="auto"/>
          <w:sz w:val="24"/>
          <w:highlight w:val="none"/>
        </w:rPr>
        <w:t>专门面向中小微企业，</w:t>
      </w:r>
      <w:r>
        <w:rPr>
          <w:rFonts w:hint="eastAsia" w:ascii="宋体" w:hAnsi="Times New Roman" w:eastAsia="宋体" w:cs="Arial"/>
          <w:color w:val="auto"/>
          <w:sz w:val="24"/>
          <w:highlight w:val="none"/>
          <w:lang w:eastAsia="zh-CN"/>
        </w:rPr>
        <w:t>服务</w:t>
      </w:r>
      <w:r>
        <w:rPr>
          <w:rFonts w:hint="eastAsia" w:ascii="宋体" w:hAnsi="Times New Roman" w:eastAsia="宋体" w:cs="Arial"/>
          <w:color w:val="auto"/>
          <w:sz w:val="24"/>
          <w:highlight w:val="none"/>
        </w:rPr>
        <w:t>全部由符合政策要求的中小微企业</w:t>
      </w:r>
      <w:r>
        <w:rPr>
          <w:rFonts w:hint="eastAsia" w:ascii="宋体" w:hAnsi="Times New Roman" w:eastAsia="宋体" w:cs="Arial"/>
          <w:color w:val="auto"/>
          <w:sz w:val="24"/>
          <w:highlight w:val="none"/>
          <w:lang w:eastAsia="zh-CN"/>
        </w:rPr>
        <w:t>提供</w:t>
      </w:r>
      <w:r>
        <w:rPr>
          <w:rFonts w:hint="eastAsia" w:ascii="宋体" w:hAnsi="Times New Roman" w:eastAsia="宋体" w:cs="Arial"/>
          <w:color w:val="auto"/>
          <w:sz w:val="24"/>
          <w:highlight w:val="none"/>
        </w:rPr>
        <w:t>，供应商参加投标时，投标文件中须提供中小企业声明函（格式见附件）。</w:t>
      </w:r>
    </w:p>
    <w:p w14:paraId="07B6B631">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Times New Roman" w:eastAsia="宋体" w:cs="Arial"/>
          <w:color w:val="auto"/>
          <w:sz w:val="24"/>
          <w:highlight w:val="none"/>
        </w:rPr>
      </w:pPr>
      <w:r>
        <w:rPr>
          <w:rFonts w:hint="eastAsia" w:ascii="宋体" w:hAnsi="Times New Roman" w:eastAsia="宋体" w:cs="Arial"/>
          <w:color w:val="auto"/>
          <w:sz w:val="24"/>
          <w:highlight w:val="none"/>
        </w:rPr>
        <w:t>B、接受中型企业与小微企业组成联合体投标，接受中型企业向一家或者多家小微企业分包。组成联合体投标的，需提供联合协议和中小企业声明函；向小微企业分包的，提供分包意向协议和中小企业声明函。本项目已对中小微进行预留，不再重复享受价格扣除的优惠政策。</w:t>
      </w:r>
    </w:p>
    <w:p w14:paraId="7B82C422">
      <w:pPr>
        <w:spacing w:line="360" w:lineRule="auto"/>
        <w:ind w:firstLine="480" w:firstLineChars="200"/>
        <w:rPr>
          <w:rFonts w:hint="eastAsia" w:ascii="宋体" w:cs="Arial"/>
          <w:color w:val="auto"/>
          <w:sz w:val="24"/>
        </w:rPr>
      </w:pPr>
      <w:r>
        <w:rPr>
          <w:rFonts w:hint="eastAsia" w:ascii="宋体" w:cs="Arial"/>
          <w:color w:val="auto"/>
          <w:sz w:val="24"/>
        </w:rPr>
        <w:t>C、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898994">
      <w:pPr>
        <w:spacing w:line="360" w:lineRule="auto"/>
        <w:ind w:firstLine="480" w:firstLineChars="200"/>
        <w:rPr>
          <w:rFonts w:hint="eastAsia" w:ascii="宋体" w:cs="宋体"/>
          <w:b/>
          <w:color w:val="auto"/>
          <w:sz w:val="24"/>
        </w:rPr>
      </w:pPr>
      <w:r>
        <w:rPr>
          <w:rFonts w:hint="eastAsia" w:ascii="宋体" w:cs="Arial"/>
          <w:color w:val="auto"/>
          <w:sz w:val="24"/>
        </w:rPr>
        <w:t>D、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366A1B13">
      <w:pPr>
        <w:spacing w:line="360" w:lineRule="auto"/>
        <w:ind w:firstLine="480" w:firstLineChars="200"/>
        <w:rPr>
          <w:rFonts w:hint="eastAsia" w:ascii="宋体" w:hAnsi="Times New Roman" w:eastAsia="宋体" w:cs="Arial"/>
          <w:color w:val="auto"/>
          <w:sz w:val="24"/>
          <w:lang w:eastAsia="zh-CN"/>
        </w:rPr>
      </w:pPr>
      <w:r>
        <w:rPr>
          <w:rFonts w:hint="eastAsia" w:ascii="宋体" w:hAnsi="Times New Roman" w:eastAsia="宋体" w:cs="Arial"/>
          <w:color w:val="auto"/>
          <w:sz w:val="24"/>
        </w:rPr>
        <w:t>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6AFC2702">
      <w:pPr>
        <w:spacing w:line="360" w:lineRule="auto"/>
        <w:ind w:firstLine="482" w:firstLineChars="200"/>
        <w:rPr>
          <w:rFonts w:hint="eastAsia" w:ascii="宋体" w:hAnsi="Times New Roman" w:eastAsia="宋体" w:cs="Arial"/>
          <w:b/>
          <w:bCs/>
          <w:color w:val="auto"/>
          <w:sz w:val="24"/>
        </w:rPr>
      </w:pPr>
      <w:r>
        <w:rPr>
          <w:rFonts w:hint="eastAsia" w:ascii="宋体" w:cs="Arial"/>
          <w:b/>
          <w:bCs/>
          <w:color w:val="auto"/>
          <w:sz w:val="24"/>
          <w:lang w:val="en-US" w:eastAsia="zh-CN"/>
        </w:rPr>
        <w:t>3.</w:t>
      </w:r>
      <w:r>
        <w:rPr>
          <w:rFonts w:hint="eastAsia" w:ascii="宋体" w:hAnsi="Times New Roman" w:eastAsia="宋体" w:cs="Arial"/>
          <w:b/>
          <w:bCs/>
          <w:color w:val="auto"/>
          <w:sz w:val="24"/>
        </w:rPr>
        <w:t>▲投标人的特定条件：</w:t>
      </w:r>
    </w:p>
    <w:p w14:paraId="0120E81C">
      <w:pPr>
        <w:snapToGrid w:val="0"/>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3.1投标人须为浙江政府采购网注册的正式供应商或承诺中标后30天内注册为浙江政府采购网正式供应商。</w:t>
      </w:r>
    </w:p>
    <w:p w14:paraId="2F32C156">
      <w:pPr>
        <w:snapToGrid w:val="0"/>
        <w:spacing w:line="440" w:lineRule="exact"/>
        <w:rPr>
          <w:rFonts w:hint="eastAsia" w:ascii="宋体" w:hAnsi="宋体" w:cs="宋体"/>
          <w:b/>
          <w:bCs/>
          <w:color w:val="auto"/>
          <w:sz w:val="24"/>
          <w:highlight w:val="none"/>
        </w:rPr>
      </w:pPr>
      <w:r>
        <w:rPr>
          <w:rFonts w:hint="eastAsia" w:ascii="宋体" w:hAnsi="宋体" w:cs="宋体"/>
          <w:b/>
          <w:bCs/>
          <w:color w:val="auto"/>
          <w:sz w:val="24"/>
          <w:highlight w:val="none"/>
        </w:rPr>
        <w:t>▲三、</w:t>
      </w:r>
      <w:r>
        <w:rPr>
          <w:rFonts w:hint="eastAsia" w:ascii="宋体" w:hAnsi="宋体" w:eastAsia="宋体" w:cs="宋体"/>
          <w:b/>
          <w:bCs/>
          <w:kern w:val="0"/>
          <w:sz w:val="24"/>
          <w:szCs w:val="24"/>
        </w:rPr>
        <w:t>招标文件的获取：</w:t>
      </w:r>
    </w:p>
    <w:p w14:paraId="609357F4">
      <w:pPr>
        <w:spacing w:line="360" w:lineRule="auto"/>
        <w:ind w:firstLine="480" w:firstLineChars="200"/>
        <w:rPr>
          <w:rFonts w:hint="eastAsia" w:ascii="宋体" w:hAnsi="宋体" w:eastAsia="宋体" w:cs="宋体"/>
          <w:kern w:val="0"/>
          <w:sz w:val="24"/>
          <w:szCs w:val="20"/>
        </w:rPr>
      </w:pPr>
      <w:bookmarkStart w:id="1" w:name="_Toc22943"/>
      <w:r>
        <w:rPr>
          <w:rFonts w:hint="eastAsia" w:ascii="宋体" w:hAnsi="宋体" w:eastAsia="宋体" w:cs="宋体"/>
          <w:kern w:val="0"/>
          <w:sz w:val="24"/>
          <w:szCs w:val="20"/>
        </w:rPr>
        <w:t>1、时间：/至</w:t>
      </w:r>
      <w:r>
        <w:rPr>
          <w:rFonts w:hint="eastAsia" w:ascii="宋体" w:hAnsi="宋体" w:eastAsia="宋体" w:cs="宋体"/>
          <w:color w:val="FF0000"/>
          <w:kern w:val="0"/>
          <w:sz w:val="24"/>
          <w:szCs w:val="20"/>
        </w:rPr>
        <w:t>2025年</w:t>
      </w:r>
      <w:r>
        <w:rPr>
          <w:rFonts w:hint="eastAsia" w:ascii="宋体" w:hAnsi="宋体" w:cs="宋体"/>
          <w:color w:val="FF0000"/>
          <w:kern w:val="0"/>
          <w:sz w:val="24"/>
          <w:szCs w:val="20"/>
          <w:lang w:val="en-US" w:eastAsia="zh-CN"/>
        </w:rPr>
        <w:t>8</w:t>
      </w:r>
      <w:r>
        <w:rPr>
          <w:rFonts w:hint="eastAsia" w:ascii="宋体" w:hAnsi="宋体" w:eastAsia="宋体" w:cs="宋体"/>
          <w:color w:val="FF0000"/>
          <w:kern w:val="0"/>
          <w:sz w:val="24"/>
          <w:szCs w:val="20"/>
        </w:rPr>
        <w:t>月</w:t>
      </w:r>
      <w:r>
        <w:rPr>
          <w:rFonts w:hint="eastAsia" w:ascii="宋体" w:hAnsi="宋体" w:cs="宋体"/>
          <w:color w:val="FF0000"/>
          <w:kern w:val="0"/>
          <w:sz w:val="24"/>
          <w:szCs w:val="20"/>
          <w:lang w:val="en-US" w:eastAsia="zh-CN"/>
        </w:rPr>
        <w:t>8</w:t>
      </w:r>
      <w:r>
        <w:rPr>
          <w:rFonts w:hint="eastAsia" w:ascii="宋体" w:hAnsi="宋体" w:eastAsia="宋体" w:cs="宋体"/>
          <w:color w:val="FF0000"/>
          <w:kern w:val="0"/>
          <w:sz w:val="24"/>
          <w:szCs w:val="20"/>
        </w:rPr>
        <w:t>日</w:t>
      </w:r>
      <w:r>
        <w:rPr>
          <w:rFonts w:hint="eastAsia" w:ascii="宋体" w:hAnsi="宋体" w:eastAsia="宋体" w:cs="宋体"/>
          <w:kern w:val="0"/>
          <w:sz w:val="24"/>
          <w:szCs w:val="20"/>
        </w:rPr>
        <w:t>，每天上午00：00至12:00，下午12:00至23:59（北京时间，线上获取法定节假日均可，线下获取文件法定节假日除外）。</w:t>
      </w:r>
    </w:p>
    <w:p w14:paraId="7B12AD19">
      <w:pPr>
        <w:snapToGrid w:val="0"/>
        <w:spacing w:line="380" w:lineRule="exac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2、地点（网址）：浙江省政府采购网(www.zjzfcg.gov.cn/)、东阳市公共资源交易网(http://www.dongyang.gov.cn/ggzyjy/)。</w:t>
      </w:r>
    </w:p>
    <w:p w14:paraId="30E3B4CD">
      <w:pPr>
        <w:snapToGrid w:val="0"/>
        <w:spacing w:line="380" w:lineRule="exact"/>
        <w:ind w:firstLine="480" w:firstLineChars="200"/>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3、获取方式：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14:paraId="0B517A40">
      <w:pPr>
        <w:snapToGrid w:val="0"/>
        <w:spacing w:line="380" w:lineRule="exact"/>
        <w:rPr>
          <w:rFonts w:hint="eastAsia" w:ascii="宋体" w:hAnsi="宋体" w:eastAsia="宋体" w:cs="宋体"/>
          <w:b w:val="0"/>
          <w:bCs w:val="0"/>
          <w:kern w:val="0"/>
          <w:sz w:val="22"/>
          <w:szCs w:val="18"/>
        </w:rPr>
      </w:pPr>
      <w:r>
        <w:rPr>
          <w:rFonts w:hint="eastAsia" w:ascii="宋体" w:hAnsi="宋体" w:eastAsia="宋体" w:cs="宋体"/>
          <w:b w:val="0"/>
          <w:bCs w:val="0"/>
          <w:kern w:val="0"/>
          <w:sz w:val="22"/>
          <w:szCs w:val="18"/>
        </w:rPr>
        <w:t>http://www.zjzfcg.gov.cn/register/2017-07-24/6728.html?_=2017-11-13%2011:10:28）。</w:t>
      </w:r>
    </w:p>
    <w:p w14:paraId="2E6E0C37">
      <w:pPr>
        <w:snapToGrid w:val="0"/>
        <w:spacing w:line="380" w:lineRule="exact"/>
        <w:ind w:firstLine="480" w:firstLineChars="200"/>
        <w:rPr>
          <w:rFonts w:hint="eastAsia" w:ascii="宋体" w:hAnsi="宋体" w:eastAsia="宋体" w:cs="宋体"/>
          <w:b w:val="0"/>
          <w:bCs w:val="0"/>
          <w:kern w:val="0"/>
          <w:sz w:val="24"/>
          <w:szCs w:val="20"/>
        </w:rPr>
      </w:pPr>
      <w:r>
        <w:rPr>
          <w:rFonts w:hint="eastAsia" w:ascii="宋体" w:hAnsi="宋体" w:eastAsia="宋体" w:cs="宋体"/>
          <w:b w:val="0"/>
          <w:bCs w:val="0"/>
          <w:kern w:val="0"/>
          <w:sz w:val="24"/>
          <w:szCs w:val="20"/>
        </w:rPr>
        <w:t>4、获取流程：浙江政府采购网-政采云用户登录-用户中心-项目采购-获取采购文件管理，电子版采购文件免费获取。</w:t>
      </w:r>
    </w:p>
    <w:p w14:paraId="24E510C7">
      <w:pPr>
        <w:snapToGrid w:val="0"/>
        <w:spacing w:line="380" w:lineRule="exact"/>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kern w:val="0"/>
          <w:sz w:val="24"/>
          <w:szCs w:val="20"/>
        </w:rPr>
        <w:t>5、浙江政府采购网上以“游客”身份获取的采购文件仅供阅览；潜在供应商应按上述方式获取采购文件；未按上述方式获取采购文件的，不得对采购文件提起质疑投诉。</w:t>
      </w:r>
    </w:p>
    <w:p w14:paraId="6DF7F906">
      <w:pPr>
        <w:snapToGrid w:val="0"/>
        <w:spacing w:line="440" w:lineRule="exact"/>
        <w:rPr>
          <w:rFonts w:hint="eastAsia"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6B50A85A">
      <w:pPr>
        <w:snapToGrid w:val="0"/>
        <w:spacing w:line="440" w:lineRule="exact"/>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rPr>
        <w:t>投标地点（网址）：政采云平台</w:t>
      </w:r>
      <w:r>
        <w:rPr>
          <w:rFonts w:hint="eastAsia" w:ascii="宋体" w:hAnsi="宋体" w:cs="宋体"/>
          <w:b/>
          <w:bCs/>
          <w:color w:val="auto"/>
          <w:sz w:val="24"/>
          <w:highlight w:val="none"/>
          <w:lang w:eastAsia="zh-CN"/>
        </w:rPr>
        <w:t>。</w:t>
      </w:r>
    </w:p>
    <w:p w14:paraId="07B60673">
      <w:pPr>
        <w:snapToGrid w:val="0"/>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提交投标文件截止时间：</w:t>
      </w:r>
      <w:r>
        <w:rPr>
          <w:rFonts w:hint="eastAsia" w:ascii="宋体" w:hAnsi="宋体" w:eastAsia="宋体" w:cs="宋体"/>
          <w:b/>
          <w:bCs/>
          <w:color w:val="FF0000"/>
          <w:sz w:val="24"/>
          <w:highlight w:val="none"/>
          <w:lang w:eastAsia="zh-CN"/>
        </w:rPr>
        <w:t>202</w:t>
      </w:r>
      <w:r>
        <w:rPr>
          <w:rFonts w:hint="eastAsia" w:ascii="宋体" w:hAnsi="宋体" w:cs="宋体"/>
          <w:b/>
          <w:bCs/>
          <w:color w:val="FF0000"/>
          <w:sz w:val="24"/>
          <w:highlight w:val="none"/>
          <w:lang w:val="en-US" w:eastAsia="zh-CN"/>
        </w:rPr>
        <w:t>5</w:t>
      </w:r>
      <w:r>
        <w:rPr>
          <w:rFonts w:hint="eastAsia" w:ascii="宋体" w:hAnsi="宋体" w:eastAsia="宋体" w:cs="宋体"/>
          <w:b/>
          <w:bCs/>
          <w:color w:val="FF0000"/>
          <w:sz w:val="24"/>
          <w:highlight w:val="none"/>
          <w:lang w:eastAsia="zh-CN"/>
        </w:rPr>
        <w:t>年</w:t>
      </w:r>
      <w:r>
        <w:rPr>
          <w:rFonts w:hint="eastAsia" w:ascii="宋体" w:hAnsi="宋体" w:cs="宋体"/>
          <w:b/>
          <w:bCs/>
          <w:color w:val="FF0000"/>
          <w:sz w:val="24"/>
          <w:highlight w:val="none"/>
          <w:lang w:val="en-US" w:eastAsia="zh-CN"/>
        </w:rPr>
        <w:t>8</w:t>
      </w:r>
      <w:r>
        <w:rPr>
          <w:rFonts w:hint="eastAsia" w:ascii="宋体" w:hAnsi="宋体" w:eastAsia="宋体" w:cs="宋体"/>
          <w:b/>
          <w:bCs/>
          <w:color w:val="FF0000"/>
          <w:sz w:val="24"/>
          <w:highlight w:val="none"/>
        </w:rPr>
        <w:t>月</w:t>
      </w:r>
      <w:r>
        <w:rPr>
          <w:rFonts w:hint="eastAsia" w:ascii="宋体" w:hAnsi="宋体" w:cs="宋体"/>
          <w:b/>
          <w:bCs/>
          <w:color w:val="FF0000"/>
          <w:sz w:val="24"/>
          <w:highlight w:val="none"/>
          <w:lang w:val="en-US" w:eastAsia="zh-CN"/>
        </w:rPr>
        <w:t>8</w:t>
      </w:r>
      <w:r>
        <w:rPr>
          <w:rFonts w:hint="eastAsia" w:ascii="宋体" w:hAnsi="宋体" w:eastAsia="宋体" w:cs="宋体"/>
          <w:b/>
          <w:bCs/>
          <w:color w:val="FF0000"/>
          <w:sz w:val="24"/>
          <w:highlight w:val="none"/>
        </w:rPr>
        <w:t>日</w:t>
      </w:r>
      <w:r>
        <w:rPr>
          <w:rFonts w:hint="eastAsia" w:ascii="宋体" w:hAnsi="宋体" w:cs="宋体"/>
          <w:b/>
          <w:bCs/>
          <w:color w:val="FF0000"/>
          <w:sz w:val="24"/>
          <w:highlight w:val="none"/>
          <w:lang w:val="en-US" w:eastAsia="zh-CN"/>
        </w:rPr>
        <w:t>14</w:t>
      </w:r>
      <w:r>
        <w:rPr>
          <w:rFonts w:hint="eastAsia" w:ascii="宋体" w:hAnsi="宋体" w:eastAsia="宋体" w:cs="宋体"/>
          <w:b/>
          <w:bCs/>
          <w:color w:val="FF0000"/>
          <w:sz w:val="24"/>
          <w:highlight w:val="none"/>
        </w:rPr>
        <w:t>点</w:t>
      </w:r>
      <w:r>
        <w:rPr>
          <w:rFonts w:hint="eastAsia" w:ascii="宋体" w:hAnsi="宋体" w:eastAsia="宋体" w:cs="宋体"/>
          <w:b/>
          <w:bCs/>
          <w:color w:val="FF0000"/>
          <w:sz w:val="24"/>
          <w:highlight w:val="none"/>
          <w:lang w:val="en-US" w:eastAsia="zh-CN"/>
        </w:rPr>
        <w:t>00分</w:t>
      </w:r>
      <w:r>
        <w:rPr>
          <w:rFonts w:hint="eastAsia" w:ascii="宋体" w:hAnsi="宋体" w:eastAsia="宋体" w:cs="宋体"/>
          <w:b/>
          <w:bCs/>
          <w:color w:val="auto"/>
          <w:sz w:val="24"/>
          <w:highlight w:val="none"/>
        </w:rPr>
        <w:t>（北京时间）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6851662A">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投标人可以在投标截止时间前将电子备份投标文件（经政采云电子交易客户端和CA驱动制作出的后缀名为“bfbs”的加密电子备份投标文件）发送至邮箱：</w:t>
      </w:r>
      <w:r>
        <w:rPr>
          <w:rFonts w:hint="eastAsia" w:ascii="宋体" w:hAnsi="宋体" w:cs="宋体"/>
          <w:color w:val="auto"/>
          <w:sz w:val="24"/>
          <w:highlight w:val="none"/>
          <w:lang w:val="en-US" w:eastAsia="zh-CN"/>
        </w:rPr>
        <w:t>1045381023</w:t>
      </w:r>
      <w:r>
        <w:rPr>
          <w:rFonts w:hint="eastAsia" w:ascii="宋体" w:hAnsi="宋体" w:eastAsia="宋体" w:cs="宋体"/>
          <w:color w:val="auto"/>
          <w:sz w:val="24"/>
          <w:highlight w:val="none"/>
        </w:rPr>
        <w:t>@qq.com，逾期发送或发错后缀名的备份投标文件将被视为无效；电子备份投标文件的提交不作强制要求。</w:t>
      </w:r>
    </w:p>
    <w:p w14:paraId="2E727EE2">
      <w:pPr>
        <w:snapToGrid w:val="0"/>
        <w:spacing w:line="440" w:lineRule="exact"/>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开标地点（网址）：政采云平台</w:t>
      </w:r>
      <w:r>
        <w:rPr>
          <w:rFonts w:hint="eastAsia" w:ascii="宋体" w:hAnsi="宋体" w:eastAsia="宋体" w:cs="宋体"/>
          <w:b/>
          <w:bCs/>
          <w:color w:val="auto"/>
          <w:sz w:val="24"/>
          <w:highlight w:val="none"/>
          <w:lang w:eastAsia="zh-CN"/>
        </w:rPr>
        <w:t>。</w:t>
      </w:r>
    </w:p>
    <w:p w14:paraId="14CD3C48">
      <w:pPr>
        <w:snapToGrid w:val="0"/>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开标时间：</w:t>
      </w:r>
      <w:r>
        <w:rPr>
          <w:rFonts w:hint="eastAsia" w:ascii="宋体" w:hAnsi="宋体" w:eastAsia="宋体" w:cs="宋体"/>
          <w:b/>
          <w:bCs/>
          <w:color w:val="FF0000"/>
          <w:sz w:val="24"/>
          <w:highlight w:val="none"/>
          <w:u w:val="none"/>
          <w:lang w:eastAsia="zh-CN"/>
        </w:rPr>
        <w:t>202</w:t>
      </w:r>
      <w:r>
        <w:rPr>
          <w:rFonts w:hint="eastAsia" w:ascii="宋体" w:hAnsi="宋体" w:eastAsia="宋体" w:cs="宋体"/>
          <w:b/>
          <w:bCs/>
          <w:color w:val="FF0000"/>
          <w:sz w:val="24"/>
          <w:highlight w:val="none"/>
          <w:u w:val="none"/>
          <w:lang w:val="en-US" w:eastAsia="zh-CN"/>
        </w:rPr>
        <w:t>5</w:t>
      </w:r>
      <w:r>
        <w:rPr>
          <w:rFonts w:hint="eastAsia" w:ascii="宋体" w:hAnsi="宋体" w:eastAsia="宋体" w:cs="宋体"/>
          <w:b/>
          <w:bCs/>
          <w:color w:val="FF0000"/>
          <w:sz w:val="24"/>
          <w:highlight w:val="none"/>
          <w:u w:val="none"/>
          <w:lang w:eastAsia="zh-CN"/>
        </w:rPr>
        <w:t>年</w:t>
      </w:r>
      <w:r>
        <w:rPr>
          <w:rFonts w:hint="eastAsia" w:ascii="宋体" w:hAnsi="宋体" w:cs="宋体"/>
          <w:b/>
          <w:bCs/>
          <w:color w:val="FF0000"/>
          <w:sz w:val="24"/>
          <w:highlight w:val="none"/>
          <w:u w:val="none"/>
          <w:lang w:val="en-US" w:eastAsia="zh-CN"/>
        </w:rPr>
        <w:t>8</w:t>
      </w:r>
      <w:r>
        <w:rPr>
          <w:rFonts w:hint="eastAsia" w:ascii="宋体" w:hAnsi="宋体" w:eastAsia="宋体" w:cs="宋体"/>
          <w:b/>
          <w:bCs/>
          <w:color w:val="FF0000"/>
          <w:sz w:val="24"/>
          <w:highlight w:val="none"/>
          <w:u w:val="none"/>
        </w:rPr>
        <w:t>月</w:t>
      </w:r>
      <w:r>
        <w:rPr>
          <w:rFonts w:hint="eastAsia" w:ascii="宋体" w:hAnsi="宋体" w:cs="宋体"/>
          <w:b/>
          <w:bCs/>
          <w:color w:val="FF0000"/>
          <w:sz w:val="24"/>
          <w:highlight w:val="none"/>
          <w:u w:val="none"/>
          <w:lang w:val="en-US" w:eastAsia="zh-CN"/>
        </w:rPr>
        <w:t>8</w:t>
      </w:r>
      <w:r>
        <w:rPr>
          <w:rFonts w:hint="eastAsia" w:ascii="宋体" w:hAnsi="宋体" w:eastAsia="宋体" w:cs="宋体"/>
          <w:b/>
          <w:bCs/>
          <w:color w:val="FF0000"/>
          <w:sz w:val="24"/>
          <w:highlight w:val="none"/>
          <w:u w:val="none"/>
        </w:rPr>
        <w:t>日</w:t>
      </w:r>
      <w:r>
        <w:rPr>
          <w:rFonts w:hint="eastAsia" w:ascii="宋体" w:hAnsi="宋体" w:cs="宋体"/>
          <w:b/>
          <w:bCs/>
          <w:color w:val="FF0000"/>
          <w:sz w:val="24"/>
          <w:highlight w:val="none"/>
          <w:u w:val="none"/>
          <w:lang w:val="en-US" w:eastAsia="zh-CN"/>
        </w:rPr>
        <w:t>14</w:t>
      </w:r>
      <w:r>
        <w:rPr>
          <w:rFonts w:hint="eastAsia" w:ascii="宋体" w:hAnsi="宋体" w:eastAsia="宋体" w:cs="宋体"/>
          <w:b/>
          <w:bCs/>
          <w:color w:val="FF0000"/>
          <w:sz w:val="24"/>
          <w:highlight w:val="none"/>
          <w:u w:val="none"/>
        </w:rPr>
        <w:t>点</w:t>
      </w:r>
      <w:r>
        <w:rPr>
          <w:rFonts w:hint="eastAsia" w:ascii="宋体" w:hAnsi="宋体" w:eastAsia="宋体" w:cs="宋体"/>
          <w:b/>
          <w:bCs/>
          <w:color w:val="FF0000"/>
          <w:sz w:val="24"/>
          <w:highlight w:val="none"/>
          <w:u w:val="none"/>
          <w:lang w:val="en-US" w:eastAsia="zh-CN"/>
        </w:rPr>
        <w:t>00分</w:t>
      </w:r>
      <w:r>
        <w:rPr>
          <w:rFonts w:hint="eastAsia" w:ascii="宋体" w:hAnsi="宋体" w:eastAsia="宋体" w:cs="宋体"/>
          <w:b/>
          <w:bCs/>
          <w:color w:val="FF0000"/>
          <w:sz w:val="24"/>
          <w:highlight w:val="none"/>
          <w:u w:val="none"/>
        </w:rPr>
        <w:t>（北京时间）</w:t>
      </w:r>
      <w:r>
        <w:rPr>
          <w:rFonts w:hint="eastAsia" w:ascii="宋体" w:hAnsi="宋体" w:eastAsia="宋体" w:cs="宋体"/>
          <w:b/>
          <w:bCs/>
          <w:color w:val="auto"/>
          <w:sz w:val="24"/>
          <w:highlight w:val="none"/>
          <w:u w:val="none"/>
          <w:lang w:val="en-US" w:eastAsia="zh-CN"/>
        </w:rPr>
        <w:t>，</w:t>
      </w: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w:t>
      </w:r>
    </w:p>
    <w:p w14:paraId="4E6BAA61">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投标人未按招标文件要求派代表参加电子开标会议的，视同认可开标结果，不得对开标过程及开标结果提出质疑。</w:t>
      </w:r>
    </w:p>
    <w:p w14:paraId="5D458BB8">
      <w:pPr>
        <w:numPr>
          <w:ilvl w:val="0"/>
          <w:numId w:val="0"/>
        </w:numPr>
        <w:snapToGrid w:val="0"/>
        <w:spacing w:line="440" w:lineRule="exact"/>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采购意向公开链接</w:t>
      </w:r>
    </w:p>
    <w:p w14:paraId="27060BB2">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"https://zfcg.czt.zj.gov.cn/site/detail?parentId=600007&amp;articleId=UVRBaUnoBuDeq0XeKYQLcw%3D%3D" </w:instrText>
      </w:r>
      <w:r>
        <w:rPr>
          <w:rFonts w:hint="eastAsia" w:ascii="宋体" w:hAnsi="宋体" w:eastAsia="宋体" w:cs="宋体"/>
          <w:color w:val="auto"/>
          <w:sz w:val="24"/>
          <w:highlight w:val="none"/>
        </w:rPr>
        <w:fldChar w:fldCharType="separate"/>
      </w:r>
      <w:r>
        <w:rPr>
          <w:rStyle w:val="52"/>
          <w:rFonts w:hint="eastAsia" w:ascii="宋体" w:hAnsi="宋体" w:eastAsia="宋体" w:cs="宋体"/>
          <w:color w:val="auto"/>
          <w:sz w:val="24"/>
          <w:highlight w:val="none"/>
        </w:rPr>
        <w:t>https://zfcg.czt.zj.gov.cn/site/detail?parentId=600007&amp;articleId=UVRBaUnoBuDeq0XeKYQLcw%3D%3D</w:t>
      </w:r>
      <w:r>
        <w:rPr>
          <w:rFonts w:hint="eastAsia" w:ascii="宋体" w:hAnsi="宋体" w:eastAsia="宋体" w:cs="宋体"/>
          <w:color w:val="auto"/>
          <w:sz w:val="24"/>
          <w:highlight w:val="none"/>
        </w:rPr>
        <w:fldChar w:fldCharType="end"/>
      </w:r>
    </w:p>
    <w:p w14:paraId="3435A91D">
      <w:pPr>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、公告期限</w:t>
      </w:r>
    </w:p>
    <w:p w14:paraId="4E3E9226">
      <w:pPr>
        <w:numPr>
          <w:ilvl w:val="0"/>
          <w:numId w:val="0"/>
        </w:numPr>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6435CCDC">
      <w:pPr>
        <w:numPr>
          <w:ilvl w:val="0"/>
          <w:numId w:val="0"/>
        </w:numPr>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其他补充事宜</w:t>
      </w:r>
    </w:p>
    <w:p w14:paraId="05FB1088">
      <w:p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2737B4">
      <w:pPr>
        <w:wordWrap w:val="0"/>
        <w:snapToGrid w:val="0"/>
        <w:spacing w:line="380" w:lineRule="exact"/>
        <w:ind w:firstLine="482" w:firstLineChars="200"/>
        <w:rPr>
          <w:rFonts w:hint="eastAsia" w:ascii="宋体" w:hAnsi="宋体" w:eastAsia="宋体" w:cs="宋体"/>
          <w:b/>
          <w:kern w:val="0"/>
          <w:sz w:val="24"/>
          <w:szCs w:val="20"/>
        </w:rPr>
      </w:pPr>
      <w:r>
        <w:rPr>
          <w:rFonts w:hint="eastAsia" w:ascii="宋体" w:hAnsi="宋体" w:eastAsia="宋体" w:cs="宋体"/>
          <w:b/>
          <w:kern w:val="0"/>
          <w:sz w:val="24"/>
          <w:szCs w:val="20"/>
        </w:rPr>
        <w:t>质疑投诉模板详见招标文件附件。供应商在线质疑投诉渠道见：</w:t>
      </w:r>
    </w:p>
    <w:p w14:paraId="5D2A8138">
      <w:pPr>
        <w:snapToGrid w:val="0"/>
        <w:spacing w:line="300" w:lineRule="auto"/>
        <w:ind w:firstLine="482" w:firstLineChars="200"/>
        <w:rPr>
          <w:rFonts w:hint="eastAsia" w:ascii="宋体" w:hAnsi="宋体" w:eastAsia="宋体" w:cs="宋体"/>
          <w:kern w:val="0"/>
          <w:sz w:val="24"/>
          <w:szCs w:val="20"/>
        </w:rPr>
      </w:pPr>
      <w:r>
        <w:rPr>
          <w:rFonts w:hint="eastAsia" w:ascii="宋体" w:hAnsi="宋体" w:eastAsia="宋体" w:cs="宋体"/>
          <w:b/>
          <w:bCs/>
          <w:kern w:val="0"/>
          <w:sz w:val="24"/>
          <w:szCs w:val="20"/>
        </w:rPr>
        <w:t>http://www.zjzwfw.gov.cn/zjservice/item/detail/index.do?localInnerCode=2ca19a7a-aa2d-4cca-a191-a5edf3bf69f8 。</w:t>
      </w:r>
    </w:p>
    <w:p w14:paraId="644B3479">
      <w:p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04B88EE">
      <w:p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69A9B5">
      <w:p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4、</w:t>
      </w:r>
      <w:bookmarkStart w:id="2" w:name="OLE_LINK20"/>
      <w:r>
        <w:rPr>
          <w:rFonts w:hint="eastAsia" w:ascii="宋体" w:hAnsi="宋体" w:eastAsia="宋体" w:cs="宋体"/>
          <w:kern w:val="0"/>
          <w:sz w:val="24"/>
          <w:szCs w:val="20"/>
        </w:rPr>
        <w:t>其他事项：见招标文件 </w:t>
      </w:r>
    </w:p>
    <w:p w14:paraId="3D1910BB">
      <w:p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63EC6F9A">
      <w:pPr>
        <w:snapToGrid w:val="0"/>
        <w:spacing w:line="440" w:lineRule="atLeast"/>
        <w:ind w:firstLine="480" w:firstLineChars="200"/>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3FCD455">
      <w:pPr>
        <w:snapToGrid w:val="0"/>
        <w:spacing w:line="440" w:lineRule="atLeast"/>
        <w:ind w:firstLine="240" w:firstLineChars="100"/>
        <w:rPr>
          <w:rFonts w:hint="eastAsia" w:ascii="宋体" w:hAnsi="宋体" w:eastAsia="宋体" w:cs="宋体"/>
          <w:b/>
          <w:bCs/>
          <w:kern w:val="0"/>
          <w:sz w:val="24"/>
          <w:szCs w:val="24"/>
        </w:rPr>
      </w:pPr>
      <w:r>
        <w:rPr>
          <w:rFonts w:hint="eastAsia" w:ascii="宋体" w:hAnsi="宋体" w:eastAsia="宋体" w:cs="宋体"/>
          <w:kern w:val="0"/>
          <w:sz w:val="24"/>
          <w:szCs w:val="24"/>
        </w:rPr>
        <w:t xml:space="preserve"> </w:t>
      </w:r>
      <w:r>
        <w:rPr>
          <w:rFonts w:hint="eastAsia" w:ascii="宋体" w:hAnsi="宋体" w:eastAsia="宋体" w:cs="宋体"/>
          <w:b/>
          <w:bCs/>
          <w:kern w:val="0"/>
          <w:sz w:val="24"/>
          <w:szCs w:val="24"/>
        </w:rPr>
        <w:t>政府采购金融服务提示：</w:t>
      </w:r>
    </w:p>
    <w:p w14:paraId="3A41FC04">
      <w:pPr>
        <w:snapToGrid w:val="0"/>
        <w:spacing w:line="440" w:lineRule="atLeast"/>
        <w:ind w:firstLine="241" w:firstLineChars="100"/>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为扩大政府采购金融服务面，除政采云网上金融服务合作银行外，东阳市范围内增加浙商银行金华分行东阳支行作为线下合作银行：   </w:t>
      </w:r>
    </w:p>
    <w:p w14:paraId="6A8F9188">
      <w:pPr>
        <w:snapToGrid w:val="0"/>
        <w:spacing w:line="440" w:lineRule="atLeast"/>
        <w:ind w:firstLine="241" w:firstLineChars="100"/>
        <w:rPr>
          <w:rFonts w:hint="eastAsia" w:ascii="宋体" w:hAnsi="宋体" w:eastAsia="宋体" w:cs="宋体"/>
          <w:b/>
          <w:bCs/>
          <w:kern w:val="0"/>
          <w:sz w:val="24"/>
          <w:szCs w:val="24"/>
        </w:rPr>
      </w:pPr>
      <w:r>
        <w:rPr>
          <w:rFonts w:hint="eastAsia" w:ascii="宋体" w:hAnsi="宋体" w:eastAsia="宋体" w:cs="宋体"/>
          <w:b/>
          <w:bCs/>
          <w:kern w:val="0"/>
          <w:sz w:val="24"/>
          <w:szCs w:val="24"/>
        </w:rPr>
        <w:t>浙商银行金华东阳支行联系人：许燕    联系电话：13967983441  0579-86222992</w:t>
      </w:r>
    </w:p>
    <w:p w14:paraId="5C18B403">
      <w:pPr>
        <w:snapToGrid w:val="0"/>
        <w:spacing w:line="440" w:lineRule="atLeast"/>
        <w:ind w:firstLine="482" w:firstLineChars="200"/>
        <w:rPr>
          <w:rFonts w:ascii="Times New Roman" w:hAnsi="Times New Roman" w:eastAsia="宋体" w:cs="Times New Roman"/>
          <w:kern w:val="0"/>
          <w:sz w:val="20"/>
          <w:szCs w:val="20"/>
        </w:rPr>
      </w:pPr>
      <w:r>
        <w:rPr>
          <w:rFonts w:hint="eastAsia" w:ascii="宋体" w:hAnsi="宋体" w:eastAsia="宋体" w:cs="宋体"/>
          <w:b/>
          <w:bCs/>
          <w:kern w:val="0"/>
          <w:sz w:val="24"/>
          <w:szCs w:val="20"/>
        </w:rPr>
        <w:t>具体内容详见附件《政府采购支持中小企业信用融资相关事项通知》。</w:t>
      </w:r>
    </w:p>
    <w:p w14:paraId="3A03FE45">
      <w:pPr>
        <w:snapToGrid w:val="0"/>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4"/>
        </w:rPr>
        <w:t>7、</w:t>
      </w:r>
      <w:r>
        <w:rPr>
          <w:rFonts w:hint="eastAsia" w:ascii="宋体" w:hAnsi="宋体" w:eastAsia="宋体" w:cs="宋体"/>
          <w:kern w:val="0"/>
          <w:sz w:val="24"/>
          <w:szCs w:val="20"/>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02D0FC08">
      <w:pPr>
        <w:wordWrap w:val="0"/>
        <w:snapToGrid w:val="0"/>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14:paraId="76DB1FF8">
      <w:pPr>
        <w:wordWrap w:val="0"/>
        <w:snapToGrid w:val="0"/>
        <w:spacing w:line="440" w:lineRule="atLeast"/>
        <w:ind w:firstLine="480" w:firstLineChars="200"/>
        <w:rPr>
          <w:rFonts w:hint="eastAsia" w:ascii="宋体" w:hAnsi="宋体" w:eastAsia="宋体" w:cs="宋体"/>
          <w:kern w:val="0"/>
          <w:sz w:val="24"/>
          <w:szCs w:val="20"/>
        </w:rPr>
      </w:pPr>
      <w:r>
        <w:rPr>
          <w:rFonts w:hint="eastAsia" w:ascii="宋体" w:hAnsi="宋体" w:eastAsia="宋体" w:cs="宋体"/>
          <w:kern w:val="0"/>
          <w:sz w:val="24"/>
          <w:szCs w:val="20"/>
        </w:rPr>
        <w:t>9、投标人通过政采云平台电子投标工具制作投标文件，电子投标工具请供应商自行前往浙江省政府采购网下载并安装，（下载网址：http://zfcg.czt.zj.gov.cn/bidClientTemplate/2019-08-30/12975.html），</w:t>
      </w:r>
    </w:p>
    <w:p w14:paraId="5F1E2015">
      <w:pPr>
        <w:wordWrap w:val="0"/>
        <w:snapToGrid w:val="0"/>
        <w:spacing w:line="440" w:lineRule="atLeast"/>
        <w:rPr>
          <w:rFonts w:hint="eastAsia" w:ascii="宋体" w:hAnsi="宋体" w:eastAsia="宋体" w:cs="宋体"/>
          <w:kern w:val="0"/>
          <w:sz w:val="24"/>
          <w:szCs w:val="24"/>
        </w:rPr>
      </w:pPr>
      <w:r>
        <w:rPr>
          <w:rFonts w:hint="eastAsia" w:ascii="宋体" w:hAnsi="宋体" w:eastAsia="宋体" w:cs="宋体"/>
          <w:kern w:val="0"/>
          <w:sz w:val="24"/>
          <w:szCs w:val="20"/>
        </w:rPr>
        <w:t>（ 电 子 投 标 相 关 学 习 网 址 ： https://edu.zcygov.cn/luban/e-biding?utm=a0004.2ef5001f.0001.0109.2d44db10df9111e9b92b0f36d4889416。）</w:t>
      </w:r>
    </w:p>
    <w:p w14:paraId="6F792796">
      <w:pPr>
        <w:snapToGrid w:val="0"/>
        <w:spacing w:line="44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6AFCC4FE">
      <w:pPr>
        <w:snapToGrid w:val="0"/>
        <w:spacing w:line="44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市扫黑办：0579-86655381               市公安局：110、0579-86096000</w:t>
      </w:r>
    </w:p>
    <w:p w14:paraId="62BCC896">
      <w:pPr>
        <w:snapToGrid w:val="0"/>
        <w:spacing w:line="44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市检察院: 0579-86642000               市 法 院：0579-86620148</w:t>
      </w:r>
    </w:p>
    <w:p w14:paraId="0B8A3718">
      <w:pPr>
        <w:snapToGrid w:val="0"/>
        <w:spacing w:line="440" w:lineRule="atLeast"/>
        <w:ind w:firstLine="480" w:firstLineChars="200"/>
        <w:rPr>
          <w:rFonts w:hint="eastAsia" w:ascii="宋体" w:hAnsi="宋体" w:cs="宋体"/>
          <w:b/>
          <w:bCs/>
          <w:color w:val="auto"/>
          <w:sz w:val="24"/>
          <w:highlight w:val="none"/>
        </w:rPr>
      </w:pPr>
      <w:r>
        <w:rPr>
          <w:rFonts w:hint="eastAsia" w:ascii="宋体" w:hAnsi="宋体" w:eastAsia="宋体" w:cs="宋体"/>
          <w:kern w:val="0"/>
          <w:sz w:val="24"/>
          <w:szCs w:val="24"/>
        </w:rPr>
        <w:t>市公共资源办:0579-86691835            市公共资源交易中心:0579-86691729</w:t>
      </w:r>
      <w:bookmarkEnd w:id="2"/>
    </w:p>
    <w:p w14:paraId="6C768DFD">
      <w:pPr>
        <w:numPr>
          <w:ilvl w:val="0"/>
          <w:numId w:val="0"/>
        </w:numPr>
        <w:snapToGrid w:val="0"/>
        <w:spacing w:line="312" w:lineRule="auto"/>
        <w:outlineLvl w:val="0"/>
        <w:rPr>
          <w:rFonts w:ascii="宋体" w:cs="Arial"/>
          <w:b/>
          <w:color w:val="auto"/>
          <w:sz w:val="24"/>
          <w:highlight w:val="none"/>
        </w:rPr>
      </w:pPr>
      <w:r>
        <w:rPr>
          <w:rStyle w:val="231"/>
          <w:rFonts w:hint="eastAsia" w:cs="宋体"/>
          <w:bCs/>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r>
        <w:rPr>
          <w:rStyle w:val="231"/>
          <w:rFonts w:hint="eastAsia" w:cs="宋体"/>
          <w:bCs/>
          <w:color w:val="auto"/>
          <w:sz w:val="24"/>
          <w:highlight w:val="none"/>
        </w:rPr>
        <w:t>：</w:t>
      </w:r>
      <w:bookmarkEnd w:id="1"/>
    </w:p>
    <w:p w14:paraId="4E41F6C7">
      <w:pPr>
        <w:tabs>
          <w:tab w:val="right" w:pos="8849"/>
        </w:tabs>
        <w:spacing w:line="312" w:lineRule="auto"/>
        <w:ind w:firstLine="241" w:firstLineChars="100"/>
        <w:rPr>
          <w:rFonts w:hint="eastAsia" w:ascii="宋体" w:eastAsia="宋体"/>
          <w:b/>
          <w:bCs/>
          <w:color w:val="auto"/>
          <w:sz w:val="24"/>
          <w:highlight w:val="none"/>
          <w:lang w:eastAsia="zh-CN"/>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采购人信息</w:t>
      </w:r>
    </w:p>
    <w:p w14:paraId="50694FA1">
      <w:pPr>
        <w:tabs>
          <w:tab w:val="right" w:pos="8849"/>
        </w:tabs>
        <w:spacing w:line="312" w:lineRule="auto"/>
        <w:ind w:firstLine="240" w:firstLineChars="100"/>
        <w:rPr>
          <w:rFonts w:hint="eastAsia" w:ascii="宋体" w:eastAsia="宋体"/>
          <w:b w:val="0"/>
          <w:bCs w:val="0"/>
          <w:color w:val="auto"/>
          <w:sz w:val="24"/>
          <w:highlight w:val="none"/>
          <w:lang w:eastAsia="zh-CN"/>
        </w:rPr>
      </w:pPr>
      <w:r>
        <w:rPr>
          <w:rFonts w:hint="eastAsia" w:ascii="宋体" w:hAnsi="宋体"/>
          <w:b w:val="0"/>
          <w:bCs w:val="0"/>
          <w:color w:val="auto"/>
          <w:sz w:val="24"/>
          <w:highlight w:val="none"/>
        </w:rPr>
        <w:t>名称：</w:t>
      </w:r>
      <w:r>
        <w:rPr>
          <w:rFonts w:hint="eastAsia" w:ascii="宋体" w:hAnsi="宋体"/>
          <w:b w:val="0"/>
          <w:bCs w:val="0"/>
          <w:color w:val="auto"/>
          <w:sz w:val="24"/>
          <w:highlight w:val="none"/>
          <w:lang w:eastAsia="zh-CN"/>
        </w:rPr>
        <w:t>东阳市公安局</w:t>
      </w:r>
    </w:p>
    <w:p w14:paraId="2249A477">
      <w:pPr>
        <w:tabs>
          <w:tab w:val="right" w:pos="8849"/>
        </w:tabs>
        <w:spacing w:line="312" w:lineRule="auto"/>
        <w:ind w:firstLine="240" w:firstLineChars="10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rPr>
        <w:t>项目联系人</w:t>
      </w:r>
      <w:r>
        <w:rPr>
          <w:rFonts w:hint="eastAsia" w:ascii="宋体" w:hAnsi="宋体"/>
          <w:b w:val="0"/>
          <w:bCs w:val="0"/>
          <w:color w:val="auto"/>
          <w:sz w:val="24"/>
          <w:highlight w:val="none"/>
          <w:lang w:eastAsia="zh-CN"/>
        </w:rPr>
        <w:t>（询问）</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吴宇将</w:t>
      </w:r>
      <w:r>
        <w:rPr>
          <w:rFonts w:hint="eastAsia" w:ascii="宋体" w:hAnsi="宋体"/>
          <w:b w:val="0"/>
          <w:bCs w:val="0"/>
          <w:color w:val="auto"/>
          <w:sz w:val="24"/>
          <w:highlight w:val="none"/>
        </w:rPr>
        <w:t xml:space="preserve">                 </w:t>
      </w:r>
      <w:r>
        <w:rPr>
          <w:rFonts w:hint="eastAsia" w:ascii="宋体" w:hAnsi="宋体"/>
          <w:b w:val="0"/>
          <w:bCs w:val="0"/>
          <w:color w:val="auto"/>
          <w:sz w:val="24"/>
          <w:highlight w:val="none"/>
          <w:lang w:val="en-US" w:eastAsia="zh-CN"/>
        </w:rPr>
        <w:t xml:space="preserve">        </w:t>
      </w:r>
    </w:p>
    <w:p w14:paraId="367133D3">
      <w:pPr>
        <w:tabs>
          <w:tab w:val="right" w:pos="8849"/>
        </w:tabs>
        <w:spacing w:line="312" w:lineRule="auto"/>
        <w:ind w:firstLine="240" w:firstLineChars="100"/>
        <w:rPr>
          <w:rFonts w:hint="eastAsia" w:ascii="宋体" w:hAnsi="宋体"/>
          <w:b w:val="0"/>
          <w:bCs w:val="0"/>
          <w:color w:val="auto"/>
          <w:sz w:val="24"/>
          <w:highlight w:val="none"/>
        </w:rPr>
      </w:pPr>
      <w:r>
        <w:rPr>
          <w:rFonts w:hint="eastAsia" w:ascii="宋体" w:hAnsi="宋体"/>
          <w:b w:val="0"/>
          <w:bCs w:val="0"/>
          <w:color w:val="auto"/>
          <w:sz w:val="24"/>
          <w:highlight w:val="none"/>
        </w:rPr>
        <w:t>联系电话：</w:t>
      </w:r>
      <w:r>
        <w:rPr>
          <w:rFonts w:hint="eastAsia" w:ascii="宋体" w:hAnsi="宋体" w:cs="宋体"/>
          <w:b w:val="0"/>
          <w:bCs w:val="0"/>
          <w:color w:val="auto"/>
          <w:sz w:val="24"/>
          <w:highlight w:val="none"/>
          <w:lang w:eastAsia="zh-CN"/>
        </w:rPr>
        <w:t>0579-86096083</w:t>
      </w:r>
    </w:p>
    <w:p w14:paraId="2C5E24F8">
      <w:pPr>
        <w:tabs>
          <w:tab w:val="right" w:pos="8849"/>
        </w:tabs>
        <w:spacing w:line="312" w:lineRule="auto"/>
        <w:ind w:firstLine="240" w:firstLineChars="100"/>
        <w:rPr>
          <w:rFonts w:hint="eastAsia" w:ascii="宋体" w:hAnsi="宋体"/>
          <w:b w:val="0"/>
          <w:bCs w:val="0"/>
          <w:color w:val="auto"/>
          <w:sz w:val="24"/>
          <w:highlight w:val="none"/>
        </w:rPr>
      </w:pPr>
      <w:r>
        <w:rPr>
          <w:rFonts w:hint="eastAsia" w:ascii="宋体" w:hAnsi="宋体"/>
          <w:b w:val="0"/>
          <w:bCs w:val="0"/>
          <w:color w:val="auto"/>
          <w:sz w:val="24"/>
          <w:highlight w:val="none"/>
        </w:rPr>
        <w:t>质疑联系人：</w:t>
      </w:r>
      <w:r>
        <w:rPr>
          <w:rFonts w:hint="eastAsia" w:ascii="宋体" w:hAnsi="宋体"/>
          <w:b w:val="0"/>
          <w:bCs w:val="0"/>
          <w:color w:val="auto"/>
          <w:sz w:val="24"/>
          <w:highlight w:val="none"/>
          <w:lang w:eastAsia="zh-CN"/>
        </w:rPr>
        <w:t>楼方杰</w:t>
      </w:r>
      <w:r>
        <w:rPr>
          <w:rFonts w:hint="eastAsia" w:ascii="宋体" w:hAnsi="宋体"/>
          <w:b w:val="0"/>
          <w:bCs w:val="0"/>
          <w:color w:val="auto"/>
          <w:sz w:val="24"/>
          <w:highlight w:val="none"/>
        </w:rPr>
        <w:t xml:space="preserve">                          </w:t>
      </w:r>
    </w:p>
    <w:p w14:paraId="3BC45177">
      <w:pPr>
        <w:tabs>
          <w:tab w:val="right" w:pos="8849"/>
        </w:tabs>
        <w:spacing w:line="312" w:lineRule="auto"/>
        <w:ind w:firstLine="240" w:firstLineChars="100"/>
        <w:rPr>
          <w:rFonts w:hint="eastAsia" w:ascii="宋体" w:hAnsi="宋体"/>
          <w:b w:val="0"/>
          <w:bCs w:val="0"/>
          <w:color w:val="auto"/>
          <w:sz w:val="24"/>
          <w:highlight w:val="none"/>
        </w:rPr>
      </w:pPr>
      <w:r>
        <w:rPr>
          <w:rFonts w:hint="eastAsia" w:ascii="宋体" w:hAnsi="宋体"/>
          <w:b w:val="0"/>
          <w:bCs w:val="0"/>
          <w:color w:val="auto"/>
          <w:sz w:val="24"/>
          <w:highlight w:val="none"/>
        </w:rPr>
        <w:t>联系电话：</w:t>
      </w:r>
      <w:r>
        <w:rPr>
          <w:rFonts w:hint="eastAsia" w:ascii="宋体" w:hAnsi="宋体" w:cs="宋体"/>
          <w:b w:val="0"/>
          <w:bCs w:val="0"/>
          <w:color w:val="auto"/>
          <w:sz w:val="24"/>
          <w:highlight w:val="none"/>
          <w:lang w:eastAsia="zh-CN"/>
        </w:rPr>
        <w:t>0579-86096083</w:t>
      </w:r>
    </w:p>
    <w:p w14:paraId="790900C6">
      <w:pPr>
        <w:tabs>
          <w:tab w:val="right" w:pos="8849"/>
        </w:tabs>
        <w:spacing w:line="312" w:lineRule="auto"/>
        <w:ind w:firstLine="240" w:firstLineChars="100"/>
        <w:rPr>
          <w:rFonts w:hint="eastAsia" w:ascii="宋体" w:hAnsi="宋体"/>
          <w:b w:val="0"/>
          <w:bCs w:val="0"/>
          <w:color w:val="auto"/>
          <w:sz w:val="24"/>
          <w:highlight w:val="none"/>
        </w:rPr>
      </w:pPr>
      <w:r>
        <w:rPr>
          <w:rFonts w:hint="eastAsia" w:ascii="宋体" w:hAnsi="宋体"/>
          <w:b w:val="0"/>
          <w:bCs w:val="0"/>
          <w:color w:val="auto"/>
          <w:sz w:val="24"/>
          <w:highlight w:val="none"/>
        </w:rPr>
        <w:t>联系地址：东阳市江滨北街16号</w:t>
      </w:r>
    </w:p>
    <w:p w14:paraId="0862F924">
      <w:pPr>
        <w:tabs>
          <w:tab w:val="right" w:pos="8849"/>
        </w:tabs>
        <w:spacing w:line="312" w:lineRule="auto"/>
        <w:ind w:firstLine="241" w:firstLineChars="100"/>
        <w:rPr>
          <w:rFonts w:hint="eastAsia" w:ascii="宋体" w:hAnsi="宋体" w:eastAsia="宋体" w:cs="Times New Roman"/>
          <w:b/>
          <w:bCs/>
          <w:color w:val="auto"/>
          <w:sz w:val="24"/>
          <w:highlight w:val="none"/>
          <w:lang w:eastAsia="zh-CN"/>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采购代</w:t>
      </w:r>
      <w:r>
        <w:rPr>
          <w:rFonts w:hint="eastAsia" w:ascii="宋体" w:hAnsi="宋体" w:eastAsia="宋体" w:cs="Times New Roman"/>
          <w:b/>
          <w:bCs/>
          <w:color w:val="auto"/>
          <w:sz w:val="24"/>
          <w:highlight w:val="none"/>
        </w:rPr>
        <w:t>理机构信息</w:t>
      </w:r>
    </w:p>
    <w:p w14:paraId="78D83D81">
      <w:pPr>
        <w:tabs>
          <w:tab w:val="right" w:pos="8849"/>
        </w:tabs>
        <w:spacing w:line="312" w:lineRule="auto"/>
        <w:ind w:firstLine="240" w:firstLineChars="100"/>
        <w:rPr>
          <w:rFonts w:hint="eastAsia" w:ascii="宋体" w:hAnsi="宋体" w:eastAsia="宋体" w:cs="Times New Roman"/>
          <w:b w:val="0"/>
          <w:bCs w:val="0"/>
          <w:color w:val="auto"/>
          <w:sz w:val="24"/>
          <w:highlight w:val="none"/>
          <w:lang w:eastAsia="zh-CN"/>
        </w:rPr>
      </w:pPr>
      <w:r>
        <w:rPr>
          <w:rFonts w:hint="eastAsia" w:ascii="宋体" w:hAnsi="宋体" w:eastAsia="宋体" w:cs="Times New Roman"/>
          <w:b w:val="0"/>
          <w:bCs w:val="0"/>
          <w:color w:val="auto"/>
          <w:sz w:val="24"/>
          <w:highlight w:val="none"/>
        </w:rPr>
        <w:t>名称：</w:t>
      </w:r>
      <w:r>
        <w:rPr>
          <w:rFonts w:hint="eastAsia" w:ascii="宋体" w:hAnsi="宋体" w:cs="Times New Roman"/>
          <w:b w:val="0"/>
          <w:bCs w:val="0"/>
          <w:color w:val="auto"/>
          <w:sz w:val="24"/>
          <w:highlight w:val="none"/>
          <w:lang w:eastAsia="zh-CN"/>
        </w:rPr>
        <w:t>泰宇建筑工程技术咨询有限公司</w:t>
      </w:r>
    </w:p>
    <w:p w14:paraId="7591CAF8">
      <w:pPr>
        <w:tabs>
          <w:tab w:val="right" w:pos="8849"/>
        </w:tabs>
        <w:spacing w:line="312" w:lineRule="auto"/>
        <w:ind w:firstLine="240" w:firstLineChars="100"/>
        <w:rPr>
          <w:rFonts w:hint="eastAsia" w:ascii="宋体" w:hAnsi="宋体" w:eastAsia="宋体" w:cs="Times New Roman"/>
          <w:b w:val="0"/>
          <w:bCs w:val="0"/>
          <w:color w:val="auto"/>
          <w:sz w:val="24"/>
          <w:highlight w:val="none"/>
          <w:lang w:val="en-US" w:eastAsia="zh-CN"/>
        </w:rPr>
      </w:pPr>
      <w:r>
        <w:rPr>
          <w:rFonts w:hint="eastAsia" w:ascii="宋体" w:hAnsi="宋体" w:eastAsia="宋体" w:cs="Times New Roman"/>
          <w:b w:val="0"/>
          <w:bCs w:val="0"/>
          <w:color w:val="auto"/>
          <w:sz w:val="24"/>
          <w:highlight w:val="none"/>
        </w:rPr>
        <w:t>项目联系人</w:t>
      </w:r>
      <w:r>
        <w:rPr>
          <w:rFonts w:hint="eastAsia" w:ascii="宋体" w:hAnsi="宋体"/>
          <w:b w:val="0"/>
          <w:bCs w:val="0"/>
          <w:color w:val="auto"/>
          <w:sz w:val="24"/>
          <w:highlight w:val="none"/>
          <w:lang w:eastAsia="zh-CN"/>
        </w:rPr>
        <w:t>（询问）</w:t>
      </w:r>
      <w:r>
        <w:rPr>
          <w:rFonts w:hint="eastAsia" w:ascii="宋体" w:hAnsi="宋体" w:eastAsia="宋体" w:cs="Times New Roman"/>
          <w:b w:val="0"/>
          <w:bCs w:val="0"/>
          <w:color w:val="auto"/>
          <w:sz w:val="24"/>
          <w:highlight w:val="none"/>
        </w:rPr>
        <w:t>：</w:t>
      </w:r>
      <w:r>
        <w:rPr>
          <w:rFonts w:hint="eastAsia" w:ascii="宋体" w:hAnsi="宋体" w:cs="Times New Roman"/>
          <w:b w:val="0"/>
          <w:bCs w:val="0"/>
          <w:color w:val="auto"/>
          <w:sz w:val="24"/>
          <w:highlight w:val="none"/>
          <w:lang w:eastAsia="zh-CN"/>
        </w:rPr>
        <w:t>徐璐娅</w:t>
      </w:r>
      <w:r>
        <w:rPr>
          <w:rFonts w:hint="eastAsia" w:ascii="宋体" w:hAnsi="宋体" w:eastAsia="宋体" w:cs="Times New Roman"/>
          <w:b w:val="0"/>
          <w:bCs w:val="0"/>
          <w:color w:val="auto"/>
          <w:sz w:val="24"/>
          <w:highlight w:val="none"/>
          <w:lang w:val="en-US" w:eastAsia="zh-CN"/>
        </w:rPr>
        <w:t xml:space="preserve">                           </w:t>
      </w:r>
    </w:p>
    <w:p w14:paraId="399D5486">
      <w:pPr>
        <w:tabs>
          <w:tab w:val="right" w:pos="8849"/>
        </w:tabs>
        <w:spacing w:line="312" w:lineRule="auto"/>
        <w:ind w:firstLine="240" w:firstLineChars="100"/>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联系电话：</w:t>
      </w:r>
      <w:r>
        <w:rPr>
          <w:rFonts w:hint="eastAsia" w:ascii="宋体" w:hAnsi="宋体" w:cs="Times New Roman"/>
          <w:b w:val="0"/>
          <w:bCs w:val="0"/>
          <w:color w:val="auto"/>
          <w:sz w:val="24"/>
          <w:highlight w:val="none"/>
          <w:lang w:val="en-US" w:eastAsia="zh-CN"/>
        </w:rPr>
        <w:t>15024383632</w:t>
      </w:r>
      <w:r>
        <w:rPr>
          <w:rFonts w:hint="eastAsia" w:ascii="宋体" w:hAnsi="宋体" w:eastAsia="宋体" w:cs="Times New Roman"/>
          <w:b w:val="0"/>
          <w:bCs w:val="0"/>
          <w:color w:val="auto"/>
          <w:sz w:val="24"/>
          <w:highlight w:val="none"/>
        </w:rPr>
        <w:t xml:space="preserve">   </w:t>
      </w:r>
    </w:p>
    <w:p w14:paraId="1B7A82AC">
      <w:pPr>
        <w:tabs>
          <w:tab w:val="right" w:pos="8849"/>
        </w:tabs>
        <w:spacing w:line="312" w:lineRule="auto"/>
        <w:ind w:firstLine="240" w:firstLineChars="100"/>
        <w:rPr>
          <w:rFonts w:hint="eastAsia" w:ascii="宋体" w:hAnsi="宋体" w:cs="Times New Roman"/>
          <w:b w:val="0"/>
          <w:bCs w:val="0"/>
          <w:color w:val="auto"/>
          <w:sz w:val="24"/>
          <w:highlight w:val="none"/>
          <w:lang w:val="en-US" w:eastAsia="zh-CN"/>
        </w:rPr>
      </w:pPr>
      <w:r>
        <w:rPr>
          <w:rFonts w:hint="eastAsia" w:ascii="宋体" w:hAnsi="宋体" w:eastAsia="宋体" w:cs="Times New Roman"/>
          <w:b w:val="0"/>
          <w:bCs w:val="0"/>
          <w:color w:val="auto"/>
          <w:sz w:val="24"/>
          <w:highlight w:val="none"/>
        </w:rPr>
        <w:t>质疑联系人：</w:t>
      </w:r>
      <w:r>
        <w:rPr>
          <w:rFonts w:hint="eastAsia" w:ascii="宋体" w:hAnsi="宋体" w:cs="Times New Roman"/>
          <w:b w:val="0"/>
          <w:bCs w:val="0"/>
          <w:color w:val="auto"/>
          <w:sz w:val="24"/>
          <w:highlight w:val="none"/>
          <w:lang w:eastAsia="zh-CN"/>
        </w:rPr>
        <w:t>何巍</w:t>
      </w:r>
      <w:r>
        <w:rPr>
          <w:rFonts w:hint="eastAsia" w:ascii="宋体" w:hAnsi="宋体" w:eastAsia="宋体" w:cs="Times New Roman"/>
          <w:b w:val="0"/>
          <w:bCs w:val="0"/>
          <w:color w:val="auto"/>
          <w:sz w:val="24"/>
          <w:highlight w:val="none"/>
          <w:lang w:val="en-US" w:eastAsia="zh-CN"/>
        </w:rPr>
        <w:t xml:space="preserve">                         </w:t>
      </w:r>
      <w:r>
        <w:rPr>
          <w:rFonts w:hint="eastAsia" w:ascii="宋体" w:hAnsi="宋体" w:cs="Times New Roman"/>
          <w:b w:val="0"/>
          <w:bCs w:val="0"/>
          <w:color w:val="auto"/>
          <w:sz w:val="24"/>
          <w:highlight w:val="none"/>
          <w:lang w:val="en-US" w:eastAsia="zh-CN"/>
        </w:rPr>
        <w:t xml:space="preserve">  </w:t>
      </w:r>
    </w:p>
    <w:p w14:paraId="248B02C2">
      <w:pPr>
        <w:tabs>
          <w:tab w:val="right" w:pos="8849"/>
        </w:tabs>
        <w:spacing w:line="312" w:lineRule="auto"/>
        <w:ind w:firstLine="240" w:firstLineChars="100"/>
        <w:rPr>
          <w:rFonts w:hint="default" w:ascii="宋体" w:hAnsi="宋体" w:eastAsia="宋体" w:cs="Times New Roman"/>
          <w:b w:val="0"/>
          <w:bCs w:val="0"/>
          <w:color w:val="auto"/>
          <w:sz w:val="24"/>
          <w:highlight w:val="none"/>
          <w:lang w:val="en-US" w:eastAsia="zh-CN"/>
        </w:rPr>
      </w:pPr>
      <w:r>
        <w:rPr>
          <w:rFonts w:hint="eastAsia" w:ascii="宋体" w:hAnsi="宋体" w:eastAsia="宋体" w:cs="Times New Roman"/>
          <w:b w:val="0"/>
          <w:bCs w:val="0"/>
          <w:color w:val="auto"/>
          <w:sz w:val="24"/>
          <w:highlight w:val="none"/>
        </w:rPr>
        <w:t>联系电话：18257949125</w:t>
      </w:r>
    </w:p>
    <w:p w14:paraId="04237E74">
      <w:pPr>
        <w:tabs>
          <w:tab w:val="right" w:pos="8849"/>
        </w:tabs>
        <w:spacing w:line="312" w:lineRule="auto"/>
        <w:ind w:firstLine="240" w:firstLineChars="100"/>
        <w:rPr>
          <w:rFonts w:hint="eastAsia" w:ascii="宋体" w:hAnsi="宋体" w:eastAsia="宋体" w:cs="Times New Roman"/>
          <w:b w:val="0"/>
          <w:bCs w:val="0"/>
          <w:color w:val="auto"/>
          <w:sz w:val="24"/>
          <w:highlight w:val="none"/>
          <w:lang w:val="en-US" w:eastAsia="zh-CN"/>
        </w:rPr>
      </w:pPr>
      <w:r>
        <w:rPr>
          <w:rFonts w:hint="eastAsia" w:ascii="宋体" w:hAnsi="宋体" w:eastAsia="宋体" w:cs="Times New Roman"/>
          <w:b w:val="0"/>
          <w:bCs w:val="0"/>
          <w:color w:val="auto"/>
          <w:sz w:val="24"/>
          <w:highlight w:val="none"/>
        </w:rPr>
        <w:t>联系地址：</w:t>
      </w:r>
      <w:r>
        <w:rPr>
          <w:rFonts w:hint="eastAsia" w:ascii="宋体" w:hAnsi="宋体" w:eastAsia="宋体" w:cs="宋体"/>
          <w:b w:val="0"/>
          <w:bCs w:val="0"/>
          <w:color w:val="auto"/>
          <w:sz w:val="24"/>
          <w:szCs w:val="24"/>
          <w:highlight w:val="none"/>
          <w:lang w:eastAsia="zh-CN"/>
        </w:rPr>
        <w:t>东阳市望江北路22号</w:t>
      </w:r>
      <w:r>
        <w:rPr>
          <w:rFonts w:hint="eastAsia" w:ascii="宋体" w:hAnsi="宋体" w:eastAsia="宋体" w:cs="宋体"/>
          <w:b w:val="0"/>
          <w:bCs w:val="0"/>
          <w:color w:val="auto"/>
          <w:sz w:val="24"/>
          <w:szCs w:val="24"/>
          <w:highlight w:val="none"/>
          <w:lang w:val="en-US" w:eastAsia="zh-CN"/>
        </w:rPr>
        <w:t>2楼</w:t>
      </w:r>
    </w:p>
    <w:p w14:paraId="4C8782C5">
      <w:pPr>
        <w:numPr>
          <w:ilvl w:val="0"/>
          <w:numId w:val="0"/>
        </w:numPr>
        <w:tabs>
          <w:tab w:val="right" w:pos="8849"/>
        </w:tabs>
        <w:spacing w:line="312" w:lineRule="auto"/>
        <w:ind w:firstLine="241" w:firstLineChars="1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同级政府采购监督管理部门：</w:t>
      </w:r>
    </w:p>
    <w:p w14:paraId="6A36B806">
      <w:pPr>
        <w:numPr>
          <w:ilvl w:val="0"/>
          <w:numId w:val="0"/>
        </w:numPr>
        <w:tabs>
          <w:tab w:val="right" w:pos="8849"/>
        </w:tabs>
        <w:spacing w:line="312" w:lineRule="auto"/>
        <w:ind w:firstLine="240" w:firstLineChars="100"/>
        <w:rPr>
          <w:rFonts w:ascii="宋体"/>
          <w:b w:val="0"/>
          <w:bCs w:val="0"/>
          <w:color w:val="auto"/>
          <w:sz w:val="24"/>
          <w:highlight w:val="none"/>
        </w:rPr>
      </w:pPr>
      <w:r>
        <w:rPr>
          <w:rFonts w:hint="eastAsia" w:ascii="宋体" w:hAnsi="宋体"/>
          <w:b w:val="0"/>
          <w:bCs w:val="0"/>
          <w:color w:val="auto"/>
          <w:sz w:val="24"/>
          <w:highlight w:val="none"/>
        </w:rPr>
        <w:t>东阳市财政局采购办</w:t>
      </w:r>
    </w:p>
    <w:p w14:paraId="6C530E83">
      <w:pPr>
        <w:tabs>
          <w:tab w:val="right" w:pos="8849"/>
        </w:tabs>
        <w:spacing w:line="312" w:lineRule="auto"/>
        <w:ind w:firstLine="240" w:firstLineChars="10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rPr>
        <w:t>联系地址：东阳市人民北路</w:t>
      </w:r>
      <w:r>
        <w:rPr>
          <w:rFonts w:ascii="宋体" w:hAnsi="宋体"/>
          <w:b w:val="0"/>
          <w:bCs w:val="0"/>
          <w:color w:val="auto"/>
          <w:sz w:val="24"/>
          <w:highlight w:val="none"/>
        </w:rPr>
        <w:t>8</w:t>
      </w:r>
      <w:r>
        <w:rPr>
          <w:rFonts w:hint="eastAsia" w:ascii="宋体" w:hAnsi="宋体"/>
          <w:b w:val="0"/>
          <w:bCs w:val="0"/>
          <w:color w:val="auto"/>
          <w:sz w:val="24"/>
          <w:highlight w:val="none"/>
        </w:rPr>
        <w:t>号</w:t>
      </w:r>
      <w:r>
        <w:rPr>
          <w:rFonts w:hint="eastAsia" w:ascii="宋体" w:hAnsi="宋体"/>
          <w:b w:val="0"/>
          <w:bCs w:val="0"/>
          <w:color w:val="auto"/>
          <w:sz w:val="24"/>
          <w:highlight w:val="none"/>
          <w:lang w:val="en-US" w:eastAsia="zh-CN"/>
        </w:rPr>
        <w:t xml:space="preserve">               </w:t>
      </w:r>
    </w:p>
    <w:p w14:paraId="724442C2">
      <w:pPr>
        <w:tabs>
          <w:tab w:val="right" w:pos="8849"/>
        </w:tabs>
        <w:spacing w:line="312" w:lineRule="auto"/>
        <w:ind w:firstLine="240" w:firstLineChars="100"/>
        <w:rPr>
          <w:rFonts w:ascii="宋体"/>
          <w:b/>
          <w:bCs/>
          <w:color w:val="auto"/>
          <w:sz w:val="24"/>
          <w:highlight w:val="none"/>
        </w:rPr>
      </w:pPr>
      <w:r>
        <w:rPr>
          <w:rFonts w:hint="eastAsia" w:ascii="宋体" w:hAnsi="宋体"/>
          <w:b w:val="0"/>
          <w:bCs w:val="0"/>
          <w:color w:val="auto"/>
          <w:sz w:val="24"/>
          <w:highlight w:val="none"/>
        </w:rPr>
        <w:t>联系电话：</w:t>
      </w:r>
      <w:r>
        <w:rPr>
          <w:rFonts w:ascii="宋体" w:hAnsi="宋体"/>
          <w:b w:val="0"/>
          <w:bCs w:val="0"/>
          <w:color w:val="auto"/>
          <w:sz w:val="24"/>
          <w:highlight w:val="none"/>
        </w:rPr>
        <w:t>0579-86662677</w:t>
      </w:r>
    </w:p>
    <w:p w14:paraId="0D857740">
      <w:pPr>
        <w:snapToGrid w:val="0"/>
        <w:spacing w:line="312" w:lineRule="auto"/>
        <w:ind w:firstLine="5280" w:firstLineChars="2200"/>
        <w:rPr>
          <w:rFonts w:hint="eastAsia" w:ascii="宋体" w:hAnsi="宋体"/>
          <w:color w:val="auto"/>
          <w:sz w:val="24"/>
          <w:highlight w:val="none"/>
          <w:lang w:eastAsia="zh-CN"/>
        </w:rPr>
      </w:pPr>
    </w:p>
    <w:p w14:paraId="0755CD7C">
      <w:pPr>
        <w:tabs>
          <w:tab w:val="right" w:pos="8849"/>
        </w:tabs>
        <w:spacing w:line="312" w:lineRule="auto"/>
        <w:ind w:firstLine="241" w:firstLineChars="100"/>
        <w:jc w:val="center"/>
        <w:rPr>
          <w:rFonts w:hint="eastAsia"/>
          <w:color w:val="auto"/>
          <w:highlight w:val="none"/>
          <w:lang w:eastAsia="zh-CN"/>
        </w:rPr>
      </w:pP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eastAsia="zh-CN"/>
        </w:rPr>
        <w:t>东阳市公安局</w:t>
      </w:r>
    </w:p>
    <w:p w14:paraId="3AA667CC">
      <w:pPr>
        <w:snapToGrid w:val="0"/>
        <w:spacing w:line="312" w:lineRule="auto"/>
        <w:ind w:firstLine="5301" w:firstLineChars="2200"/>
        <w:rPr>
          <w:rFonts w:hint="eastAsia" w:ascii="宋体" w:hAnsi="宋体" w:eastAsia="宋体" w:cs="Times New Roman"/>
          <w:b/>
          <w:bCs/>
          <w:color w:val="auto"/>
          <w:sz w:val="24"/>
          <w:highlight w:val="none"/>
          <w:lang w:eastAsia="zh-CN"/>
        </w:rPr>
      </w:pPr>
      <w:r>
        <w:rPr>
          <w:rFonts w:hint="eastAsia" w:ascii="宋体" w:hAnsi="宋体" w:cs="Times New Roman"/>
          <w:b/>
          <w:bCs/>
          <w:color w:val="auto"/>
          <w:sz w:val="24"/>
          <w:highlight w:val="none"/>
          <w:lang w:eastAsia="zh-CN"/>
        </w:rPr>
        <w:t>泰宇建筑工程技术咨询有限公司</w:t>
      </w:r>
    </w:p>
    <w:p w14:paraId="73410E90">
      <w:pPr>
        <w:snapToGrid w:val="0"/>
        <w:spacing w:line="312" w:lineRule="auto"/>
        <w:ind w:firstLine="1687" w:firstLineChars="700"/>
        <w:jc w:val="both"/>
        <w:rPr>
          <w:rStyle w:val="60"/>
          <w:rFonts w:hint="eastAsia"/>
          <w:b/>
          <w:bCs/>
          <w:color w:val="auto"/>
          <w:szCs w:val="44"/>
          <w:highlight w:val="none"/>
        </w:rPr>
      </w:pPr>
      <w:r>
        <w:rPr>
          <w:rFonts w:hint="eastAsia" w:ascii="宋体" w:hAnsi="宋体" w:eastAsia="宋体" w:cs="Times New Roman"/>
          <w:b/>
          <w:bCs/>
          <w:color w:val="auto"/>
          <w:sz w:val="24"/>
          <w:highlight w:val="none"/>
          <w:lang w:eastAsia="zh-CN"/>
        </w:rPr>
        <w:t xml:space="preserve">                                      </w:t>
      </w:r>
      <w:r>
        <w:rPr>
          <w:rFonts w:hint="eastAsia" w:ascii="宋体" w:hAnsi="宋体" w:eastAsia="宋体" w:cs="Times New Roman"/>
          <w:b/>
          <w:bCs/>
          <w:color w:val="FF0000"/>
          <w:sz w:val="24"/>
          <w:highlight w:val="none"/>
          <w:lang w:eastAsia="zh-CN"/>
        </w:rPr>
        <w:t>202</w:t>
      </w:r>
      <w:r>
        <w:rPr>
          <w:rFonts w:hint="eastAsia" w:ascii="宋体" w:hAnsi="宋体" w:cs="Times New Roman"/>
          <w:b/>
          <w:bCs/>
          <w:color w:val="FF0000"/>
          <w:sz w:val="24"/>
          <w:highlight w:val="none"/>
          <w:lang w:val="en-US" w:eastAsia="zh-CN"/>
        </w:rPr>
        <w:t>5</w:t>
      </w:r>
      <w:r>
        <w:rPr>
          <w:rFonts w:hint="eastAsia" w:ascii="宋体" w:hAnsi="宋体" w:eastAsia="宋体" w:cs="Times New Roman"/>
          <w:b/>
          <w:bCs/>
          <w:color w:val="FF0000"/>
          <w:sz w:val="24"/>
          <w:highlight w:val="none"/>
          <w:lang w:eastAsia="zh-CN"/>
        </w:rPr>
        <w:t>年</w:t>
      </w:r>
      <w:r>
        <w:rPr>
          <w:rFonts w:hint="eastAsia" w:ascii="宋体" w:hAnsi="宋体" w:cs="Times New Roman"/>
          <w:b/>
          <w:bCs/>
          <w:color w:val="FF0000"/>
          <w:sz w:val="24"/>
          <w:highlight w:val="none"/>
          <w:lang w:val="en-US" w:eastAsia="zh-CN"/>
        </w:rPr>
        <w:t>7月18</w:t>
      </w:r>
      <w:r>
        <w:rPr>
          <w:rFonts w:hint="eastAsia" w:ascii="宋体" w:hAnsi="宋体" w:eastAsia="宋体" w:cs="Times New Roman"/>
          <w:b/>
          <w:bCs/>
          <w:color w:val="FF0000"/>
          <w:sz w:val="24"/>
          <w:highlight w:val="none"/>
          <w:lang w:eastAsia="zh-CN"/>
        </w:rPr>
        <w:t>日</w:t>
      </w:r>
    </w:p>
    <w:p w14:paraId="7444882E">
      <w:pPr>
        <w:widowControl/>
        <w:spacing w:line="440" w:lineRule="exact"/>
        <w:jc w:val="left"/>
        <w:rPr>
          <w:rFonts w:hint="eastAsia" w:ascii="宋体" w:hAnsi="宋体" w:cs="宋体"/>
          <w:color w:val="auto"/>
          <w:kern w:val="0"/>
          <w:sz w:val="27"/>
          <w:szCs w:val="27"/>
          <w:highlight w:val="none"/>
        </w:rPr>
      </w:pPr>
    </w:p>
    <w:p w14:paraId="13885550">
      <w:pPr>
        <w:widowControl/>
        <w:spacing w:line="440" w:lineRule="exact"/>
        <w:jc w:val="left"/>
        <w:rPr>
          <w:rFonts w:hint="eastAsia" w:ascii="宋体" w:hAnsi="宋体" w:cs="宋体"/>
          <w:color w:val="auto"/>
          <w:kern w:val="0"/>
          <w:sz w:val="27"/>
          <w:szCs w:val="27"/>
          <w:highlight w:val="none"/>
        </w:rPr>
      </w:pPr>
    </w:p>
    <w:p w14:paraId="486FB52C">
      <w:pPr>
        <w:tabs>
          <w:tab w:val="right" w:pos="8849"/>
        </w:tabs>
        <w:spacing w:line="312" w:lineRule="auto"/>
        <w:ind w:firstLine="480" w:firstLineChars="200"/>
        <w:rPr>
          <w:rFonts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若对项目采购电子交易系统操作有疑问，可登录政采云（https://www.zcygov.cn/），点击右侧咨询小采，获取采小蜜智能服务管家帮助，或拨打政采云服务热线400-881-7190获取热线服务帮助。       </w:t>
      </w:r>
    </w:p>
    <w:p w14:paraId="5F84E0E2">
      <w:pPr>
        <w:tabs>
          <w:tab w:val="right" w:pos="8849"/>
        </w:tabs>
        <w:spacing w:line="312" w:lineRule="auto"/>
        <w:ind w:firstLine="480" w:firstLineChars="200"/>
        <w:rPr>
          <w:rFonts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rPr>
        <w:t>CA问题联系电话（人工）：汇信CA 400-888-4636；天谷CA 400-087-8198。</w:t>
      </w:r>
    </w:p>
    <w:p w14:paraId="453EA282">
      <w:pPr>
        <w:adjustRightInd w:val="0"/>
        <w:spacing w:line="360" w:lineRule="auto"/>
        <w:jc w:val="left"/>
        <w:rPr>
          <w:rStyle w:val="60"/>
          <w:rFonts w:hint="eastAsia"/>
          <w:bCs/>
          <w:color w:val="auto"/>
          <w:szCs w:val="44"/>
          <w:highlight w:val="none"/>
        </w:rPr>
      </w:pPr>
    </w:p>
    <w:p w14:paraId="77ED4C02">
      <w:pPr>
        <w:adjustRightInd w:val="0"/>
        <w:spacing w:line="360" w:lineRule="auto"/>
        <w:jc w:val="center"/>
        <w:rPr>
          <w:rStyle w:val="60"/>
          <w:rFonts w:hint="eastAsia"/>
          <w:bCs/>
          <w:color w:val="auto"/>
          <w:szCs w:val="44"/>
          <w:highlight w:val="none"/>
        </w:rPr>
      </w:pPr>
    </w:p>
    <w:p w14:paraId="31F3003B">
      <w:pPr>
        <w:adjustRightInd w:val="0"/>
        <w:spacing w:line="360" w:lineRule="auto"/>
        <w:jc w:val="center"/>
        <w:rPr>
          <w:rStyle w:val="60"/>
          <w:rFonts w:hint="eastAsia"/>
          <w:bCs/>
          <w:color w:val="auto"/>
          <w:szCs w:val="44"/>
          <w:highlight w:val="none"/>
        </w:rPr>
      </w:pPr>
    </w:p>
    <w:p w14:paraId="66B4EFBB">
      <w:pPr>
        <w:adjustRightInd w:val="0"/>
        <w:spacing w:line="360" w:lineRule="auto"/>
        <w:jc w:val="center"/>
        <w:rPr>
          <w:rStyle w:val="60"/>
          <w:rFonts w:hint="eastAsia"/>
          <w:bCs/>
          <w:color w:val="auto"/>
          <w:szCs w:val="44"/>
          <w:highlight w:val="none"/>
        </w:rPr>
      </w:pPr>
    </w:p>
    <w:p w14:paraId="2765A026">
      <w:pPr>
        <w:adjustRightInd w:val="0"/>
        <w:spacing w:line="360" w:lineRule="auto"/>
        <w:jc w:val="center"/>
        <w:rPr>
          <w:rStyle w:val="60"/>
          <w:rFonts w:hint="eastAsia"/>
          <w:bCs/>
          <w:color w:val="auto"/>
          <w:szCs w:val="44"/>
          <w:highlight w:val="none"/>
        </w:rPr>
      </w:pPr>
    </w:p>
    <w:p w14:paraId="380B0B29">
      <w:pPr>
        <w:adjustRightInd w:val="0"/>
        <w:spacing w:line="360" w:lineRule="auto"/>
        <w:jc w:val="both"/>
        <w:rPr>
          <w:rStyle w:val="60"/>
          <w:rFonts w:hint="eastAsia"/>
          <w:bCs/>
          <w:color w:val="auto"/>
          <w:szCs w:val="44"/>
          <w:highlight w:val="none"/>
        </w:rPr>
      </w:pPr>
    </w:p>
    <w:p w14:paraId="7D429F4A">
      <w:pPr>
        <w:adjustRightInd w:val="0"/>
        <w:spacing w:line="360" w:lineRule="auto"/>
        <w:jc w:val="center"/>
        <w:rPr>
          <w:rStyle w:val="60"/>
          <w:rFonts w:hint="eastAsia"/>
          <w:bCs/>
          <w:color w:val="auto"/>
          <w:szCs w:val="44"/>
          <w:highlight w:val="none"/>
        </w:rPr>
      </w:pPr>
    </w:p>
    <w:p w14:paraId="638C49D9">
      <w:pPr>
        <w:adjustRightInd w:val="0"/>
        <w:spacing w:line="360" w:lineRule="auto"/>
        <w:jc w:val="center"/>
        <w:rPr>
          <w:rStyle w:val="60"/>
          <w:rFonts w:hint="eastAsia"/>
          <w:bCs/>
          <w:color w:val="auto"/>
          <w:szCs w:val="44"/>
          <w:highlight w:val="none"/>
        </w:rPr>
      </w:pPr>
    </w:p>
    <w:p w14:paraId="237E29D3">
      <w:pPr>
        <w:adjustRightInd w:val="0"/>
        <w:spacing w:line="360" w:lineRule="auto"/>
        <w:jc w:val="center"/>
        <w:rPr>
          <w:rStyle w:val="60"/>
          <w:rFonts w:hint="eastAsia"/>
          <w:bCs/>
          <w:color w:val="auto"/>
          <w:szCs w:val="44"/>
          <w:highlight w:val="none"/>
        </w:rPr>
      </w:pPr>
    </w:p>
    <w:p w14:paraId="09153032">
      <w:pPr>
        <w:pStyle w:val="2"/>
        <w:rPr>
          <w:rStyle w:val="60"/>
          <w:rFonts w:hint="eastAsia"/>
          <w:bCs/>
          <w:color w:val="auto"/>
          <w:szCs w:val="44"/>
          <w:highlight w:val="none"/>
        </w:rPr>
      </w:pPr>
    </w:p>
    <w:p w14:paraId="38FF418E">
      <w:pPr>
        <w:rPr>
          <w:rStyle w:val="60"/>
          <w:rFonts w:hint="eastAsia"/>
          <w:bCs/>
          <w:color w:val="auto"/>
          <w:szCs w:val="44"/>
          <w:highlight w:val="none"/>
        </w:rPr>
      </w:pPr>
    </w:p>
    <w:p w14:paraId="4919FE41">
      <w:pPr>
        <w:pStyle w:val="2"/>
        <w:rPr>
          <w:rStyle w:val="60"/>
          <w:rFonts w:hint="eastAsia"/>
          <w:bCs/>
          <w:color w:val="auto"/>
          <w:szCs w:val="44"/>
          <w:highlight w:val="none"/>
        </w:rPr>
      </w:pPr>
    </w:p>
    <w:p w14:paraId="5D1B3C90">
      <w:pPr>
        <w:rPr>
          <w:rStyle w:val="60"/>
          <w:rFonts w:hint="eastAsia"/>
          <w:bCs/>
          <w:color w:val="auto"/>
          <w:szCs w:val="44"/>
          <w:highlight w:val="none"/>
        </w:rPr>
      </w:pPr>
    </w:p>
    <w:p w14:paraId="6E5FB228">
      <w:pPr>
        <w:pStyle w:val="2"/>
        <w:rPr>
          <w:rStyle w:val="60"/>
          <w:rFonts w:hint="eastAsia"/>
          <w:bCs/>
          <w:color w:val="auto"/>
          <w:szCs w:val="44"/>
          <w:highlight w:val="none"/>
        </w:rPr>
      </w:pPr>
    </w:p>
    <w:p w14:paraId="3C8F82EE">
      <w:pPr>
        <w:rPr>
          <w:rStyle w:val="60"/>
          <w:rFonts w:hint="eastAsia"/>
          <w:bCs/>
          <w:color w:val="auto"/>
          <w:szCs w:val="44"/>
          <w:highlight w:val="none"/>
        </w:rPr>
      </w:pPr>
    </w:p>
    <w:p w14:paraId="6372C54F">
      <w:pPr>
        <w:pStyle w:val="2"/>
        <w:rPr>
          <w:rFonts w:hint="eastAsia"/>
        </w:rPr>
      </w:pPr>
    </w:p>
    <w:p w14:paraId="6843D423">
      <w:pPr>
        <w:adjustRightInd w:val="0"/>
        <w:spacing w:line="360" w:lineRule="auto"/>
        <w:jc w:val="center"/>
        <w:rPr>
          <w:rFonts w:ascii="黑体" w:hAnsi="宋体" w:eastAsia="黑体"/>
          <w:color w:val="auto"/>
          <w:sz w:val="44"/>
          <w:szCs w:val="44"/>
          <w:highlight w:val="none"/>
        </w:rPr>
      </w:pPr>
      <w:r>
        <w:rPr>
          <w:rStyle w:val="60"/>
          <w:rFonts w:hint="eastAsia"/>
          <w:bCs/>
          <w:color w:val="auto"/>
          <w:szCs w:val="44"/>
          <w:highlight w:val="none"/>
        </w:rPr>
        <w:t>第二章</w:t>
      </w:r>
      <w:r>
        <w:rPr>
          <w:rStyle w:val="60"/>
          <w:bCs/>
          <w:color w:val="auto"/>
          <w:szCs w:val="44"/>
          <w:highlight w:val="none"/>
        </w:rPr>
        <w:t xml:space="preserve">  </w:t>
      </w:r>
      <w:r>
        <w:rPr>
          <w:rStyle w:val="60"/>
          <w:rFonts w:hint="eastAsia"/>
          <w:bCs/>
          <w:color w:val="auto"/>
          <w:szCs w:val="44"/>
          <w:highlight w:val="none"/>
        </w:rPr>
        <w:t>招标需求</w:t>
      </w:r>
    </w:p>
    <w:p w14:paraId="0F23B982">
      <w:pPr>
        <w:pStyle w:val="24"/>
        <w:numPr>
          <w:ilvl w:val="0"/>
          <w:numId w:val="0"/>
        </w:numPr>
        <w:spacing w:before="120" w:after="120" w:line="420" w:lineRule="exact"/>
        <w:rPr>
          <w:rFonts w:hint="eastAsia" w:hAnsi="宋体"/>
          <w:b/>
          <w:color w:val="auto"/>
          <w:sz w:val="24"/>
          <w:szCs w:val="24"/>
          <w:highlight w:val="none"/>
          <w:lang w:val="en-US" w:eastAsia="zh-CN"/>
        </w:rPr>
      </w:pPr>
      <w:r>
        <w:rPr>
          <w:rFonts w:hint="eastAsia" w:hAnsi="宋体"/>
          <w:b/>
          <w:color w:val="auto"/>
          <w:sz w:val="24"/>
          <w:szCs w:val="24"/>
          <w:highlight w:val="none"/>
          <w:lang w:val="en-US" w:eastAsia="zh-CN"/>
        </w:rPr>
        <w:t>一、项目基本情况</w:t>
      </w:r>
    </w:p>
    <w:p w14:paraId="57CB535E">
      <w:pPr>
        <w:spacing w:line="360" w:lineRule="auto"/>
        <w:rPr>
          <w:rFonts w:hint="eastAsia" w:ascii="宋体" w:hAnsi="宋体" w:cs="宋体"/>
          <w:color w:val="auto"/>
          <w:sz w:val="24"/>
          <w:szCs w:val="24"/>
          <w:highlight w:val="none"/>
          <w:lang w:val="en-US" w:eastAsia="zh-CN"/>
        </w:rPr>
      </w:pPr>
      <w:r>
        <w:rPr>
          <w:rFonts w:hint="eastAsia"/>
          <w:color w:val="auto"/>
          <w:highlight w:val="none"/>
          <w:lang w:val="en-US" w:eastAsia="zh-CN"/>
        </w:rPr>
        <w:t xml:space="preserve"> </w:t>
      </w:r>
      <w:r>
        <w:rPr>
          <w:rFonts w:hint="eastAsia" w:ascii="宋体" w:hAnsi="宋体" w:cs="宋体"/>
          <w:color w:val="auto"/>
          <w:kern w:val="2"/>
          <w:sz w:val="24"/>
          <w:szCs w:val="24"/>
          <w:highlight w:val="none"/>
          <w:lang w:val="en-US" w:eastAsia="zh-CN" w:bidi="ar-SA"/>
        </w:rPr>
        <w:t xml:space="preserve"> </w:t>
      </w:r>
      <w:r>
        <w:rPr>
          <w:rFonts w:hint="eastAsia" w:ascii="宋体" w:hAnsi="宋体" w:cs="宋体"/>
          <w:color w:val="auto"/>
          <w:sz w:val="24"/>
          <w:szCs w:val="24"/>
          <w:highlight w:val="none"/>
          <w:lang w:val="en-US" w:eastAsia="zh-CN"/>
        </w:rPr>
        <w:t>1、项目名称：</w:t>
      </w:r>
      <w:r>
        <w:rPr>
          <w:rFonts w:hint="eastAsia" w:ascii="宋体" w:hAnsi="宋体" w:cs="宋体"/>
          <w:color w:val="auto"/>
          <w:sz w:val="24"/>
          <w:szCs w:val="24"/>
          <w:highlight w:val="none"/>
          <w:lang w:val="zh-CN" w:eastAsia="zh-CN"/>
        </w:rPr>
        <w:t>东阳市公安局食材配送服务采购项目</w:t>
      </w:r>
    </w:p>
    <w:p w14:paraId="11DC9166">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2、项目编号：TYZX2025-002</w:t>
      </w:r>
    </w:p>
    <w:p w14:paraId="21732582">
      <w:pPr>
        <w:pStyle w:val="43"/>
        <w:ind w:left="0" w:leftChars="0" w:firstLine="232" w:firstLineChars="1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3、服务期限：1年</w:t>
      </w:r>
      <w:r>
        <w:rPr>
          <w:rFonts w:hint="eastAsia" w:ascii="宋体" w:hAnsi="宋体" w:cs="宋体"/>
          <w:color w:val="auto"/>
          <w:kern w:val="2"/>
          <w:sz w:val="24"/>
          <w:szCs w:val="24"/>
          <w:highlight w:val="none"/>
          <w:lang w:val="en-US" w:eastAsia="zh-CN" w:bidi="ar-SA"/>
        </w:rPr>
        <w:t>，</w:t>
      </w:r>
      <w:r>
        <w:rPr>
          <w:rFonts w:hint="eastAsia" w:ascii="宋体" w:hAnsi="宋体" w:eastAsia="宋体" w:cs="Times New Roman"/>
          <w:color w:val="auto"/>
          <w:kern w:val="2"/>
          <w:sz w:val="24"/>
          <w:szCs w:val="24"/>
          <w:lang w:val="en-US" w:eastAsia="zh-CN" w:bidi="ar-SA"/>
        </w:rPr>
        <w:t>服务期满后，经采购人认可满意的，在价格、财政政策不变的前提下，双方可协议续签合同,最长不超过</w:t>
      </w:r>
      <w:r>
        <w:rPr>
          <w:rFonts w:hint="eastAsia" w:ascii="宋体" w:hAnsi="宋体" w:cs="Times New Roman"/>
          <w:color w:val="auto"/>
          <w:kern w:val="2"/>
          <w:sz w:val="24"/>
          <w:szCs w:val="24"/>
          <w:lang w:val="en-US" w:eastAsia="zh-CN" w:bidi="ar-SA"/>
        </w:rPr>
        <w:t>三</w:t>
      </w:r>
      <w:r>
        <w:rPr>
          <w:rFonts w:hint="eastAsia" w:ascii="宋体" w:hAnsi="宋体" w:eastAsia="宋体" w:cs="Times New Roman"/>
          <w:color w:val="auto"/>
          <w:kern w:val="2"/>
          <w:sz w:val="24"/>
          <w:szCs w:val="24"/>
          <w:lang w:val="en-US" w:eastAsia="zh-CN" w:bidi="ar-SA"/>
        </w:rPr>
        <w:t>年。</w:t>
      </w:r>
    </w:p>
    <w:p w14:paraId="61F22E1B">
      <w:pPr>
        <w:spacing w:line="360" w:lineRule="auto"/>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bCs/>
          <w:strike w:val="0"/>
          <w:dstrike w:val="0"/>
          <w:color w:val="auto"/>
          <w:sz w:val="24"/>
          <w:highlight w:val="none"/>
          <w:lang w:val="en-US" w:eastAsia="zh-CN"/>
        </w:rPr>
        <w:t>二、项目地点：</w:t>
      </w:r>
      <w:r>
        <w:rPr>
          <w:rFonts w:hint="eastAsia" w:ascii="宋体" w:hAnsi="宋体" w:cs="宋体"/>
          <w:b w:val="0"/>
          <w:bCs w:val="0"/>
          <w:color w:val="auto"/>
          <w:sz w:val="24"/>
          <w:szCs w:val="24"/>
          <w:highlight w:val="none"/>
          <w:lang w:val="zh-CN" w:eastAsia="zh-CN"/>
        </w:rPr>
        <w:t>东阳市公安局食堂</w:t>
      </w:r>
    </w:p>
    <w:p w14:paraId="10CC18E5">
      <w:pPr>
        <w:spacing w:line="360" w:lineRule="auto"/>
        <w:rPr>
          <w:rFonts w:hint="default" w:ascii="宋体" w:hAnsi="宋体" w:eastAsia="宋体"/>
          <w:b/>
          <w:bCs/>
          <w:strike w:val="0"/>
          <w:dstrike w:val="0"/>
          <w:color w:val="auto"/>
          <w:sz w:val="24"/>
          <w:highlight w:val="none"/>
          <w:lang w:val="en-US" w:eastAsia="zh-CN"/>
        </w:rPr>
      </w:pPr>
      <w:r>
        <w:rPr>
          <w:rFonts w:hint="eastAsia" w:ascii="宋体" w:hAnsi="宋体" w:eastAsia="宋体"/>
          <w:b/>
          <w:bCs/>
          <w:strike w:val="0"/>
          <w:dstrike w:val="0"/>
          <w:color w:val="auto"/>
          <w:sz w:val="24"/>
          <w:highlight w:val="none"/>
          <w:lang w:val="en-US" w:eastAsia="zh-CN"/>
        </w:rPr>
        <w:t>三、项目概述</w:t>
      </w:r>
      <w:r>
        <w:rPr>
          <w:rFonts w:hint="eastAsia" w:ascii="宋体" w:hAnsi="宋体"/>
          <w:b/>
          <w:bCs/>
          <w:strike w:val="0"/>
          <w:dstrike w:val="0"/>
          <w:color w:val="auto"/>
          <w:sz w:val="24"/>
          <w:highlight w:val="none"/>
          <w:lang w:val="en-US" w:eastAsia="zh-CN"/>
        </w:rPr>
        <w:t>:</w:t>
      </w:r>
    </w:p>
    <w:p w14:paraId="6E57EE1F">
      <w:pPr>
        <w:spacing w:line="360" w:lineRule="auto"/>
        <w:ind w:firstLine="480" w:firstLineChars="200"/>
        <w:rPr>
          <w:rFonts w:hint="eastAsia" w:ascii="宋体" w:hAnsi="宋体" w:cs="宋体"/>
          <w:bCs/>
          <w:color w:val="auto"/>
          <w:sz w:val="24"/>
          <w:highlight w:val="none"/>
        </w:rPr>
      </w:pPr>
      <w:r>
        <w:rPr>
          <w:rFonts w:hint="eastAsia" w:ascii="宋体" w:hAnsi="宋体" w:eastAsia="宋体"/>
          <w:b w:val="0"/>
          <w:bCs w:val="0"/>
          <w:strike w:val="0"/>
          <w:dstrike w:val="0"/>
          <w:color w:val="auto"/>
          <w:sz w:val="24"/>
          <w:highlight w:val="none"/>
          <w:lang w:val="en-US" w:eastAsia="zh-CN"/>
        </w:rPr>
        <w:t>本次将以公开招标的形式，确定</w:t>
      </w:r>
      <w:r>
        <w:rPr>
          <w:rFonts w:hint="eastAsia" w:ascii="宋体" w:hAnsi="宋体" w:cs="宋体"/>
          <w:b w:val="0"/>
          <w:bCs w:val="0"/>
          <w:color w:val="auto"/>
          <w:sz w:val="24"/>
          <w:szCs w:val="24"/>
          <w:highlight w:val="none"/>
          <w:lang w:val="zh-CN" w:eastAsia="zh-CN"/>
        </w:rPr>
        <w:t>东阳市公安局食堂</w:t>
      </w:r>
      <w:r>
        <w:rPr>
          <w:rFonts w:hint="eastAsia" w:ascii="宋体" w:hAnsi="宋体" w:cs="宋体"/>
          <w:color w:val="auto"/>
          <w:sz w:val="24"/>
          <w:szCs w:val="24"/>
          <w:highlight w:val="none"/>
          <w:lang w:val="zh-CN" w:eastAsia="zh-CN"/>
        </w:rPr>
        <w:t>食材配送</w:t>
      </w:r>
      <w:r>
        <w:rPr>
          <w:rFonts w:hint="eastAsia" w:ascii="宋体" w:hAnsi="宋体" w:eastAsia="宋体"/>
          <w:b w:val="0"/>
          <w:bCs w:val="0"/>
          <w:strike w:val="0"/>
          <w:dstrike w:val="0"/>
          <w:color w:val="auto"/>
          <w:sz w:val="24"/>
          <w:highlight w:val="none"/>
          <w:lang w:val="en-US" w:eastAsia="zh-CN"/>
        </w:rPr>
        <w:t>单位。</w:t>
      </w:r>
      <w:r>
        <w:rPr>
          <w:rFonts w:hint="eastAsia" w:ascii="宋体" w:hAnsi="宋体" w:cs="宋体"/>
          <w:bCs/>
          <w:color w:val="auto"/>
          <w:sz w:val="24"/>
          <w:highlight w:val="none"/>
        </w:rPr>
        <w:t>公安局</w:t>
      </w:r>
      <w:r>
        <w:rPr>
          <w:rFonts w:hint="eastAsia" w:ascii="宋体" w:hAnsi="宋体" w:cs="宋体"/>
          <w:color w:val="auto"/>
          <w:sz w:val="24"/>
          <w:highlight w:val="none"/>
        </w:rPr>
        <w:t>食堂</w:t>
      </w:r>
      <w:r>
        <w:rPr>
          <w:rFonts w:hint="eastAsia" w:ascii="宋体" w:hAnsi="宋体" w:cs="宋体"/>
          <w:bCs/>
          <w:color w:val="auto"/>
          <w:sz w:val="24"/>
          <w:highlight w:val="none"/>
        </w:rPr>
        <w:t>日均就餐民警职工</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00余人</w:t>
      </w:r>
      <w:r>
        <w:rPr>
          <w:rFonts w:hint="eastAsia" w:ascii="宋体" w:hAnsi="宋体" w:cs="宋体"/>
          <w:bCs/>
          <w:color w:val="auto"/>
          <w:sz w:val="24"/>
          <w:highlight w:val="none"/>
          <w:lang w:eastAsia="zh-CN"/>
        </w:rPr>
        <w:t>次</w:t>
      </w:r>
      <w:r>
        <w:rPr>
          <w:rFonts w:hint="eastAsia" w:ascii="宋体" w:hAnsi="宋体" w:cs="宋体"/>
          <w:bCs/>
          <w:color w:val="auto"/>
          <w:sz w:val="24"/>
          <w:highlight w:val="none"/>
        </w:rPr>
        <w:t>；内设有包厢6个，以满足外来办案人员基本公务接待需要。投标人应根据招标文件所提出的配送能力、食品安全、产品质量和服务质量要求，以优质的</w:t>
      </w:r>
      <w:r>
        <w:rPr>
          <w:rFonts w:hint="eastAsia" w:ascii="宋体" w:hAnsi="宋体" w:cs="宋体"/>
          <w:bCs/>
          <w:color w:val="auto"/>
          <w:sz w:val="24"/>
          <w:highlight w:val="none"/>
          <w:lang w:eastAsia="zh-CN"/>
        </w:rPr>
        <w:t>食材</w:t>
      </w:r>
      <w:r>
        <w:rPr>
          <w:rFonts w:hint="eastAsia" w:ascii="宋体" w:hAnsi="宋体" w:cs="宋体"/>
          <w:bCs/>
          <w:color w:val="auto"/>
          <w:sz w:val="24"/>
          <w:highlight w:val="none"/>
        </w:rPr>
        <w:t>、优良的服务、优惠的价格，充分显示投标供应商的竞争实力。</w:t>
      </w:r>
    </w:p>
    <w:p w14:paraId="1BEE649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配送采购内容包含下列四类：</w:t>
      </w:r>
    </w:p>
    <w:p w14:paraId="21011703">
      <w:pPr>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 xml:space="preserve">  （1）</w:t>
      </w:r>
      <w:r>
        <w:rPr>
          <w:rFonts w:hint="eastAsia" w:ascii="宋体" w:hAnsi="宋体" w:cs="宋体"/>
          <w:bCs/>
          <w:color w:val="auto"/>
          <w:sz w:val="24"/>
          <w:highlight w:val="none"/>
          <w:lang w:val="en-US" w:eastAsia="zh-CN"/>
        </w:rPr>
        <w:t>蔬菜</w:t>
      </w:r>
      <w:r>
        <w:rPr>
          <w:rFonts w:hint="eastAsia" w:ascii="宋体" w:hAnsi="宋体" w:cs="宋体"/>
          <w:bCs/>
          <w:color w:val="auto"/>
          <w:sz w:val="24"/>
          <w:highlight w:val="none"/>
        </w:rPr>
        <w:t>类：</w:t>
      </w:r>
      <w:r>
        <w:rPr>
          <w:rFonts w:hint="eastAsia" w:ascii="宋体" w:hAnsi="宋体" w:cs="宋体"/>
          <w:bCs/>
          <w:color w:val="auto"/>
          <w:sz w:val="24"/>
          <w:highlight w:val="none"/>
          <w:lang w:val="en-US" w:eastAsia="zh-CN"/>
        </w:rPr>
        <w:t>就指</w:t>
      </w:r>
      <w:r>
        <w:rPr>
          <w:rFonts w:hint="eastAsia" w:ascii="宋体" w:hAnsi="宋体" w:cs="宋体"/>
          <w:bCs/>
          <w:color w:val="auto"/>
          <w:sz w:val="24"/>
          <w:highlight w:val="none"/>
        </w:rPr>
        <w:t>鲜蔬菜；</w:t>
      </w:r>
    </w:p>
    <w:p w14:paraId="06F13EE5">
      <w:pPr>
        <w:spacing w:line="360" w:lineRule="auto"/>
        <w:ind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  （2）</w:t>
      </w:r>
      <w:r>
        <w:rPr>
          <w:rFonts w:hint="eastAsia" w:ascii="宋体" w:hAnsi="宋体" w:cs="宋体"/>
          <w:bCs/>
          <w:color w:val="auto"/>
          <w:sz w:val="24"/>
          <w:highlight w:val="none"/>
          <w:lang w:val="en-US" w:eastAsia="zh-CN"/>
        </w:rPr>
        <w:t>鲜</w:t>
      </w:r>
      <w:r>
        <w:rPr>
          <w:rFonts w:hint="eastAsia" w:ascii="宋体" w:hAnsi="宋体" w:cs="宋体"/>
          <w:bCs/>
          <w:color w:val="auto"/>
          <w:sz w:val="24"/>
          <w:highlight w:val="none"/>
        </w:rPr>
        <w:t>肉类：就指</w:t>
      </w:r>
      <w:r>
        <w:rPr>
          <w:rFonts w:hint="eastAsia" w:ascii="宋体" w:hAnsi="宋体" w:cs="宋体"/>
          <w:bCs/>
          <w:color w:val="auto"/>
          <w:sz w:val="24"/>
          <w:highlight w:val="none"/>
          <w:lang w:val="en-US" w:eastAsia="zh-CN"/>
        </w:rPr>
        <w:t>鲜</w:t>
      </w:r>
      <w:r>
        <w:rPr>
          <w:rFonts w:hint="eastAsia" w:ascii="宋体" w:hAnsi="宋体" w:cs="宋体"/>
          <w:bCs/>
          <w:color w:val="auto"/>
          <w:sz w:val="24"/>
          <w:highlight w:val="none"/>
        </w:rPr>
        <w:t>猪肉</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牛肉、羊肉等鲜宰肉类</w:t>
      </w:r>
      <w:r>
        <w:rPr>
          <w:rFonts w:hint="eastAsia" w:ascii="宋体" w:hAnsi="宋体" w:cs="宋体"/>
          <w:bCs/>
          <w:color w:val="auto"/>
          <w:sz w:val="24"/>
          <w:highlight w:val="none"/>
        </w:rPr>
        <w:t>。</w:t>
      </w:r>
    </w:p>
    <w:p w14:paraId="4E9B5921">
      <w:pPr>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 xml:space="preserve">  （3）</w:t>
      </w:r>
      <w:r>
        <w:rPr>
          <w:rFonts w:hint="eastAsia" w:ascii="宋体" w:hAnsi="宋体" w:cs="宋体"/>
          <w:bCs/>
          <w:color w:val="auto"/>
          <w:sz w:val="24"/>
          <w:highlight w:val="none"/>
          <w:lang w:val="en-US" w:eastAsia="zh-CN"/>
        </w:rPr>
        <w:t>其它菜</w:t>
      </w:r>
      <w:r>
        <w:rPr>
          <w:rFonts w:hint="eastAsia" w:ascii="宋体" w:hAnsi="宋体" w:cs="宋体"/>
          <w:bCs/>
          <w:color w:val="auto"/>
          <w:sz w:val="24"/>
          <w:highlight w:val="none"/>
        </w:rPr>
        <w:t>类：指</w:t>
      </w:r>
      <w:r>
        <w:rPr>
          <w:rFonts w:hint="eastAsia" w:ascii="宋体" w:hAnsi="宋体" w:cs="宋体"/>
          <w:bCs/>
          <w:color w:val="auto"/>
          <w:sz w:val="24"/>
          <w:highlight w:val="none"/>
          <w:lang w:val="en-US" w:eastAsia="zh-CN"/>
        </w:rPr>
        <w:t>其它</w:t>
      </w:r>
      <w:r>
        <w:rPr>
          <w:rFonts w:hint="eastAsia" w:ascii="宋体" w:hAnsi="宋体" w:cs="宋体"/>
          <w:bCs/>
          <w:color w:val="auto"/>
          <w:sz w:val="24"/>
          <w:highlight w:val="none"/>
        </w:rPr>
        <w:t>冷冻</w:t>
      </w:r>
      <w:r>
        <w:rPr>
          <w:rFonts w:hint="eastAsia" w:ascii="宋体" w:hAnsi="宋体" w:cs="宋体"/>
          <w:bCs/>
          <w:color w:val="auto"/>
          <w:sz w:val="24"/>
          <w:highlight w:val="none"/>
          <w:lang w:val="en-US" w:eastAsia="zh-CN"/>
        </w:rPr>
        <w:t>类、水产等上面（1）、（2）未列菜类</w:t>
      </w:r>
      <w:r>
        <w:rPr>
          <w:rFonts w:hint="eastAsia" w:ascii="宋体" w:hAnsi="宋体" w:cs="宋体"/>
          <w:bCs/>
          <w:color w:val="auto"/>
          <w:sz w:val="24"/>
          <w:highlight w:val="none"/>
        </w:rPr>
        <w:t>；</w:t>
      </w:r>
    </w:p>
    <w:p w14:paraId="7A13B024">
      <w:pPr>
        <w:spacing w:line="360" w:lineRule="auto"/>
        <w:ind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 xml:space="preserve">  （4）粮油类：主要包括大米、面粉、食用油、调味品等；</w:t>
      </w:r>
    </w:p>
    <w:p w14:paraId="5300FA12">
      <w:pPr>
        <w:spacing w:line="360" w:lineRule="auto"/>
        <w:rPr>
          <w:rFonts w:hint="default" w:ascii="宋体" w:hAnsi="宋体" w:eastAsia="宋体" w:cs="Times New Roman"/>
          <w:b/>
          <w:bCs/>
          <w:strike w:val="0"/>
          <w:dstrike w:val="0"/>
          <w:color w:val="auto"/>
          <w:sz w:val="24"/>
          <w:highlight w:val="none"/>
          <w:lang w:val="en-US" w:eastAsia="zh-CN"/>
        </w:rPr>
      </w:pPr>
      <w:r>
        <w:rPr>
          <w:rFonts w:hint="eastAsia" w:ascii="宋体" w:hAnsi="宋体" w:eastAsia="宋体" w:cs="Times New Roman"/>
          <w:b/>
          <w:bCs/>
          <w:strike w:val="0"/>
          <w:dstrike w:val="0"/>
          <w:color w:val="auto"/>
          <w:sz w:val="24"/>
          <w:highlight w:val="none"/>
          <w:lang w:val="en-US" w:eastAsia="zh-CN"/>
        </w:rPr>
        <w:t>四、条件约定:</w:t>
      </w:r>
    </w:p>
    <w:p w14:paraId="6AF0BE75">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1、投标人必须保证各类证照齐全、有效。</w:t>
      </w:r>
    </w:p>
    <w:p w14:paraId="44DF2C00">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2、所有投标人必须有独立的仓储、配菜间、冷藏室、食品检测室，安装管理软件及监控设备；自备食品检测设备、车辆等所必需的设备设施；食品质量管理符合相关部门要求。</w:t>
      </w:r>
    </w:p>
    <w:p w14:paraId="296FA106">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 xml:space="preserve">3、投标人必须建立相应的管理制度，并严格执行，内容要求如下： </w:t>
      </w:r>
    </w:p>
    <w:p w14:paraId="4222FB0F">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从业人员持健康证上岗、定时培训制度》，《不合格产品召回、销毁制度》，《食品原料进出货台账登记制度》，《食品原料留样管理制度》，《食品检验制度》，《卫生管理制度》，《卫生检查制度》，《送货不达应急预案》，《食品安全应急处置预案》，《财务制度》，《消费投诉处理管理制度》等其它相关制度。</w:t>
      </w:r>
    </w:p>
    <w:p w14:paraId="5B57A29D">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4、投标人必须投保食品安全保险。</w:t>
      </w:r>
    </w:p>
    <w:p w14:paraId="654E5AD2">
      <w:pPr>
        <w:spacing w:line="360" w:lineRule="auto"/>
        <w:rPr>
          <w:rFonts w:hint="eastAsia"/>
          <w:color w:val="auto"/>
          <w:highlight w:val="none"/>
          <w:lang w:val="en-US" w:eastAsia="zh-CN"/>
        </w:rPr>
      </w:pPr>
      <w:r>
        <w:rPr>
          <w:rFonts w:hint="eastAsia" w:ascii="宋体" w:hAnsi="宋体" w:eastAsia="宋体"/>
          <w:b w:val="0"/>
          <w:bCs w:val="0"/>
          <w:strike w:val="0"/>
          <w:dstrike w:val="0"/>
          <w:color w:val="auto"/>
          <w:sz w:val="24"/>
          <w:highlight w:val="none"/>
          <w:lang w:val="en-US" w:eastAsia="zh-CN"/>
        </w:rPr>
        <w:t>▲5、投标人在投标时必须对以上相关内容作出书面承诺。</w:t>
      </w:r>
    </w:p>
    <w:p w14:paraId="7E7CD0F3">
      <w:pPr>
        <w:spacing w:line="360" w:lineRule="auto"/>
        <w:rPr>
          <w:rFonts w:hint="eastAsia" w:ascii="宋体" w:hAnsi="宋体" w:eastAsia="宋体"/>
          <w:b/>
          <w:bCs/>
          <w:strike w:val="0"/>
          <w:dstrike w:val="0"/>
          <w:color w:val="auto"/>
          <w:sz w:val="24"/>
          <w:highlight w:val="none"/>
          <w:lang w:val="en-US" w:eastAsia="zh-CN"/>
        </w:rPr>
      </w:pPr>
      <w:r>
        <w:rPr>
          <w:rFonts w:hint="eastAsia" w:ascii="宋体" w:hAnsi="宋体" w:eastAsia="宋体"/>
          <w:b/>
          <w:bCs/>
          <w:strike w:val="0"/>
          <w:dstrike w:val="0"/>
          <w:color w:val="auto"/>
          <w:sz w:val="24"/>
          <w:highlight w:val="none"/>
          <w:lang w:val="en-US" w:eastAsia="zh-CN"/>
        </w:rPr>
        <w:t>五、质量约定</w:t>
      </w:r>
    </w:p>
    <w:p w14:paraId="68E15970">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1、投标人对所有食材原料应严格把关，确保食品质量安全。所供各类食材原料符合国家相关标准的验收要求，配送的食材有效期在该食材保质期限的一半之前，并提供所供食材生产企业的资质、产品合格证等相关证件。投标人非自产的非初级农产品应来源于具有相关许可证的企业，尽可能入围全国名牌产品，并提供质量合格的相关证明材料。</w:t>
      </w:r>
    </w:p>
    <w:p w14:paraId="190BBC8B">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2、投标人不得将业务转包，也不得由上游供应商直接配送。</w:t>
      </w:r>
    </w:p>
    <w:p w14:paraId="406274CC">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3、猪肉等肉类产品的质量要求符合金华市肉类产品的生产、检验检疫、销售的相关规定。</w:t>
      </w:r>
    </w:p>
    <w:p w14:paraId="76ADE069">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4、投标人配送的鲜活食品原料要求优质、新鲜、清洁卫生并符合相关规定，同时对每批次食品原料进行检测，并出具产品证明合格材料。配送的食品原料必须符合食品安全管理相关规定，分类仓储保鲜、分类包装运输。食品原料（不少于200克）48小时留样备查。</w:t>
      </w:r>
    </w:p>
    <w:p w14:paraId="2C7FC9DE">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5、配送企业要加强食材源头管理，做好索证索票工作，非自产的初级农产品应向供应商索取食品来源的有效凭证；预包装食品和散装食品，应来源于具有生产、经营许可证的企业，并向其索取证明质量合格的相关材料。所有进货台账，实行电子监管。所有索证索票材料，要有供货单位的印章或签名。</w:t>
      </w:r>
    </w:p>
    <w:p w14:paraId="1C9EE033">
      <w:pPr>
        <w:widowControl/>
        <w:snapToGrid w:val="0"/>
        <w:spacing w:after="50" w:afterLines="0" w:line="440" w:lineRule="exact"/>
        <w:ind w:firstLine="241" w:firstLineChars="100"/>
        <w:rPr>
          <w:rFonts w:ascii="宋体" w:hAnsi="宋体" w:cs="宋体"/>
          <w:color w:val="auto"/>
          <w:sz w:val="24"/>
          <w:highlight w:val="none"/>
        </w:rPr>
      </w:pPr>
      <w:r>
        <w:rPr>
          <w:rFonts w:hint="eastAsia" w:ascii="宋体" w:hAnsi="宋体"/>
          <w:b/>
          <w:bCs/>
          <w:color w:val="auto"/>
          <w:kern w:val="0"/>
          <w:sz w:val="24"/>
          <w:highlight w:val="none"/>
        </w:rPr>
        <w:t>6、</w:t>
      </w:r>
      <w:r>
        <w:rPr>
          <w:rFonts w:hint="eastAsia" w:hAnsi="宋体"/>
          <w:b/>
          <w:color w:val="auto"/>
          <w:sz w:val="24"/>
          <w:highlight w:val="none"/>
        </w:rPr>
        <w:t>食品质量具体</w:t>
      </w:r>
      <w:r>
        <w:rPr>
          <w:rFonts w:hint="eastAsia" w:hAnsi="宋体" w:cs="宋体"/>
          <w:b/>
          <w:color w:val="auto"/>
          <w:sz w:val="24"/>
          <w:highlight w:val="none"/>
        </w:rPr>
        <w:t>要求</w:t>
      </w:r>
    </w:p>
    <w:tbl>
      <w:tblPr>
        <w:tblStyle w:val="45"/>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77"/>
        <w:gridCol w:w="2836"/>
        <w:gridCol w:w="3648"/>
      </w:tblGrid>
      <w:tr w14:paraId="7B7E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3" w:type="dxa"/>
            <w:vAlign w:val="center"/>
          </w:tcPr>
          <w:p w14:paraId="62480408">
            <w:pPr>
              <w:spacing w:before="240" w:beforeLines="0" w:line="360" w:lineRule="auto"/>
              <w:jc w:val="center"/>
              <w:rPr>
                <w:rFonts w:ascii="宋体" w:hAnsi="宋体" w:cs="宋体"/>
                <w:b/>
                <w:color w:val="auto"/>
                <w:sz w:val="24"/>
                <w:highlight w:val="none"/>
              </w:rPr>
            </w:pPr>
            <w:r>
              <w:rPr>
                <w:rFonts w:hint="eastAsia" w:ascii="宋体" w:hAnsi="宋体" w:cs="宋体"/>
                <w:b/>
                <w:color w:val="auto"/>
                <w:sz w:val="24"/>
                <w:highlight w:val="none"/>
              </w:rPr>
              <w:t>货物名称</w:t>
            </w:r>
          </w:p>
        </w:tc>
        <w:tc>
          <w:tcPr>
            <w:tcW w:w="4113" w:type="dxa"/>
            <w:gridSpan w:val="2"/>
            <w:vAlign w:val="center"/>
          </w:tcPr>
          <w:p w14:paraId="62245DF9">
            <w:pPr>
              <w:spacing w:before="240" w:beforeLines="0" w:line="360" w:lineRule="auto"/>
              <w:ind w:firstLine="964" w:firstLineChars="400"/>
              <w:jc w:val="center"/>
              <w:rPr>
                <w:rFonts w:ascii="宋体" w:hAnsi="宋体" w:cs="宋体"/>
                <w:b/>
                <w:color w:val="auto"/>
                <w:sz w:val="24"/>
                <w:highlight w:val="none"/>
              </w:rPr>
            </w:pPr>
            <w:r>
              <w:rPr>
                <w:rFonts w:hint="eastAsia" w:ascii="宋体" w:hAnsi="宋体" w:cs="宋体"/>
                <w:b/>
                <w:color w:val="auto"/>
                <w:sz w:val="24"/>
                <w:highlight w:val="none"/>
              </w:rPr>
              <w:t>质量要求</w:t>
            </w:r>
          </w:p>
        </w:tc>
        <w:tc>
          <w:tcPr>
            <w:tcW w:w="3648" w:type="dxa"/>
            <w:vAlign w:val="center"/>
          </w:tcPr>
          <w:p w14:paraId="045A875A">
            <w:pPr>
              <w:spacing w:before="240" w:beforeLines="0" w:line="360" w:lineRule="auto"/>
              <w:ind w:firstLine="241" w:firstLineChars="100"/>
              <w:jc w:val="center"/>
              <w:rPr>
                <w:rFonts w:ascii="宋体" w:hAnsi="宋体" w:cs="宋体"/>
                <w:b/>
                <w:color w:val="auto"/>
                <w:sz w:val="24"/>
                <w:highlight w:val="none"/>
              </w:rPr>
            </w:pPr>
            <w:r>
              <w:rPr>
                <w:rFonts w:hint="eastAsia" w:ascii="宋体" w:hAnsi="宋体" w:cs="宋体"/>
                <w:b/>
                <w:color w:val="auto"/>
                <w:sz w:val="24"/>
                <w:highlight w:val="none"/>
              </w:rPr>
              <w:t>退货依据</w:t>
            </w:r>
          </w:p>
        </w:tc>
      </w:tr>
      <w:tr w14:paraId="1E51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3" w:type="dxa"/>
            <w:vAlign w:val="center"/>
          </w:tcPr>
          <w:p w14:paraId="0BCA5284">
            <w:pPr>
              <w:spacing w:before="240" w:beforeLines="0" w:line="360" w:lineRule="auto"/>
              <w:jc w:val="center"/>
              <w:rPr>
                <w:rFonts w:ascii="宋体" w:hAnsi="宋体" w:cs="宋体"/>
                <w:b/>
                <w:color w:val="auto"/>
                <w:sz w:val="24"/>
                <w:highlight w:val="none"/>
              </w:rPr>
            </w:pPr>
            <w:r>
              <w:rPr>
                <w:rFonts w:hint="eastAsia" w:ascii="宋体" w:hAnsi="宋体" w:cs="宋体"/>
                <w:color w:val="auto"/>
                <w:sz w:val="24"/>
                <w:highlight w:val="none"/>
              </w:rPr>
              <w:t>畜肉类</w:t>
            </w:r>
          </w:p>
        </w:tc>
        <w:tc>
          <w:tcPr>
            <w:tcW w:w="4113" w:type="dxa"/>
            <w:gridSpan w:val="2"/>
            <w:vAlign w:val="center"/>
          </w:tcPr>
          <w:p w14:paraId="71B260B4">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符合GB2707-2005标准，色泽正常，无异味，无注水，具有动物检验检疫合格证明。</w:t>
            </w:r>
          </w:p>
        </w:tc>
        <w:tc>
          <w:tcPr>
            <w:tcW w:w="3648" w:type="dxa"/>
            <w:vAlign w:val="center"/>
          </w:tcPr>
          <w:p w14:paraId="7A6E522D">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与验收标准不符，病死或者死因不明的畜禽及其制品等。</w:t>
            </w:r>
          </w:p>
        </w:tc>
      </w:tr>
      <w:tr w14:paraId="57A5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3" w:type="dxa"/>
            <w:vMerge w:val="restart"/>
            <w:vAlign w:val="center"/>
          </w:tcPr>
          <w:p w14:paraId="0DD411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蔬菜类</w:t>
            </w:r>
          </w:p>
        </w:tc>
        <w:tc>
          <w:tcPr>
            <w:tcW w:w="1277" w:type="dxa"/>
            <w:vAlign w:val="center"/>
          </w:tcPr>
          <w:p w14:paraId="4766FB16">
            <w:pPr>
              <w:pStyle w:val="59"/>
              <w:autoSpaceDE w:val="0"/>
              <w:autoSpaceDN w:val="0"/>
              <w:adjustRightInd w:val="0"/>
              <w:spacing w:line="32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叶菜</w:t>
            </w:r>
          </w:p>
        </w:tc>
        <w:tc>
          <w:tcPr>
            <w:tcW w:w="2836" w:type="dxa"/>
            <w:vAlign w:val="center"/>
          </w:tcPr>
          <w:p w14:paraId="5FF155D9">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外形正常，叶梗光滑幼嫩，不干瘪凋萎，无黄叶，色泽正常。去除根须（香菜，菠菜等除外），不含土，无虫害，大白菜、卷心菜等切开心不变黑，无腐烂情形，无浸水现象；农药残留不超标。</w:t>
            </w:r>
          </w:p>
        </w:tc>
        <w:tc>
          <w:tcPr>
            <w:tcW w:w="3648" w:type="dxa"/>
            <w:vAlign w:val="center"/>
          </w:tcPr>
          <w:p w14:paraId="151602BB">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味苦，鲜度嫩度明显不佳，含黄叶须根，泥土、虫害严重，萎捏严重，浸水后仍不可恢复；农药残留超标。</w:t>
            </w:r>
          </w:p>
        </w:tc>
      </w:tr>
      <w:tr w14:paraId="539F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3" w:type="dxa"/>
            <w:vMerge w:val="continue"/>
            <w:vAlign w:val="top"/>
          </w:tcPr>
          <w:p w14:paraId="69FE4707">
            <w:pPr>
              <w:pStyle w:val="59"/>
              <w:autoSpaceDE w:val="0"/>
              <w:autoSpaceDN w:val="0"/>
              <w:adjustRightInd w:val="0"/>
              <w:spacing w:line="560" w:lineRule="exact"/>
              <w:ind w:firstLine="480"/>
              <w:rPr>
                <w:rFonts w:ascii="宋体" w:hAnsi="宋体" w:cs="宋体"/>
                <w:color w:val="auto"/>
                <w:sz w:val="24"/>
                <w:szCs w:val="24"/>
                <w:highlight w:val="none"/>
              </w:rPr>
            </w:pPr>
          </w:p>
        </w:tc>
        <w:tc>
          <w:tcPr>
            <w:tcW w:w="1277" w:type="dxa"/>
            <w:vAlign w:val="center"/>
          </w:tcPr>
          <w:p w14:paraId="3BF0738B">
            <w:pPr>
              <w:pStyle w:val="59"/>
              <w:autoSpaceDE w:val="0"/>
              <w:autoSpaceDN w:val="0"/>
              <w:adjustRightInd w:val="0"/>
              <w:spacing w:line="32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根茎类（如香芋、土豆、莴笋等）</w:t>
            </w:r>
          </w:p>
        </w:tc>
        <w:tc>
          <w:tcPr>
            <w:tcW w:w="2836" w:type="dxa"/>
            <w:vAlign w:val="center"/>
          </w:tcPr>
          <w:p w14:paraId="57E7467D">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无虫咬、发芽、发霉现象，新鲜，形态大小与招标人自购标准相当。农药残留不超标。</w:t>
            </w:r>
          </w:p>
        </w:tc>
        <w:tc>
          <w:tcPr>
            <w:tcW w:w="3648" w:type="dxa"/>
            <w:vAlign w:val="center"/>
          </w:tcPr>
          <w:p w14:paraId="03BBDC07">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发芽严重、发霉，新鲜度不佳，形态大小与招标人自购标准存在较大负偏差。农药残留超标。</w:t>
            </w:r>
          </w:p>
        </w:tc>
      </w:tr>
      <w:tr w14:paraId="3736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3" w:type="dxa"/>
            <w:vMerge w:val="continue"/>
            <w:vAlign w:val="top"/>
          </w:tcPr>
          <w:p w14:paraId="63DC0B78">
            <w:pPr>
              <w:pStyle w:val="59"/>
              <w:autoSpaceDE w:val="0"/>
              <w:autoSpaceDN w:val="0"/>
              <w:adjustRightInd w:val="0"/>
              <w:spacing w:line="560" w:lineRule="exact"/>
              <w:ind w:firstLine="480"/>
              <w:rPr>
                <w:rFonts w:ascii="宋体" w:hAnsi="宋体" w:cs="宋体"/>
                <w:color w:val="auto"/>
                <w:sz w:val="24"/>
                <w:szCs w:val="24"/>
                <w:highlight w:val="none"/>
              </w:rPr>
            </w:pPr>
          </w:p>
        </w:tc>
        <w:tc>
          <w:tcPr>
            <w:tcW w:w="1277" w:type="dxa"/>
            <w:vAlign w:val="center"/>
          </w:tcPr>
          <w:p w14:paraId="6EEB4828">
            <w:pPr>
              <w:pStyle w:val="59"/>
              <w:autoSpaceDE w:val="0"/>
              <w:autoSpaceDN w:val="0"/>
              <w:adjustRightInd w:val="0"/>
              <w:spacing w:line="32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花果类，如西兰花、白菜花</w:t>
            </w:r>
          </w:p>
        </w:tc>
        <w:tc>
          <w:tcPr>
            <w:tcW w:w="2836" w:type="dxa"/>
            <w:vAlign w:val="center"/>
          </w:tcPr>
          <w:p w14:paraId="33C62D2F">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无虫害，成熟度良好，新鲜固有的色泽鲜明，无发霉发黄。农药残留不超标。</w:t>
            </w:r>
          </w:p>
        </w:tc>
        <w:tc>
          <w:tcPr>
            <w:tcW w:w="3648" w:type="dxa"/>
            <w:vAlign w:val="center"/>
          </w:tcPr>
          <w:p w14:paraId="561C0B57">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不新鲜，发霉，虫害过多。农药残留超标。</w:t>
            </w:r>
          </w:p>
        </w:tc>
      </w:tr>
      <w:tr w14:paraId="6326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3" w:type="dxa"/>
            <w:vAlign w:val="center"/>
          </w:tcPr>
          <w:p w14:paraId="5C56FAD4">
            <w:pPr>
              <w:pStyle w:val="59"/>
              <w:autoSpaceDE w:val="0"/>
              <w:autoSpaceDN w:val="0"/>
              <w:adjustRightInd w:val="0"/>
              <w:spacing w:line="56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禽蛋类</w:t>
            </w:r>
          </w:p>
        </w:tc>
        <w:tc>
          <w:tcPr>
            <w:tcW w:w="4113" w:type="dxa"/>
            <w:gridSpan w:val="2"/>
            <w:vAlign w:val="center"/>
          </w:tcPr>
          <w:p w14:paraId="653B2988">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一级，蛋壳表面应清洁，无禽粪、未粘有杂草及其他污物；蛋壳坚固完整、清洁；气室小于0.8厘米，不移动；蛋白浓厚、透明；蛋黄位于中央，不明显，胚胎不发育</w:t>
            </w:r>
          </w:p>
        </w:tc>
        <w:tc>
          <w:tcPr>
            <w:tcW w:w="3648" w:type="dxa"/>
            <w:vAlign w:val="center"/>
          </w:tcPr>
          <w:p w14:paraId="45127425">
            <w:pPr>
              <w:pStyle w:val="59"/>
              <w:autoSpaceDE w:val="0"/>
              <w:autoSpaceDN w:val="0"/>
              <w:adjustRightInd w:val="0"/>
              <w:spacing w:line="32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与验收标准不符，变质。</w:t>
            </w:r>
          </w:p>
        </w:tc>
      </w:tr>
      <w:tr w14:paraId="1A83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3" w:type="dxa"/>
            <w:vAlign w:val="center"/>
          </w:tcPr>
          <w:p w14:paraId="02ABD0AC">
            <w:pPr>
              <w:pStyle w:val="59"/>
              <w:autoSpaceDE w:val="0"/>
              <w:autoSpaceDN w:val="0"/>
              <w:adjustRightInd w:val="0"/>
              <w:spacing w:line="56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水产类</w:t>
            </w:r>
          </w:p>
        </w:tc>
        <w:tc>
          <w:tcPr>
            <w:tcW w:w="4113" w:type="dxa"/>
            <w:gridSpan w:val="2"/>
            <w:vAlign w:val="center"/>
          </w:tcPr>
          <w:p w14:paraId="13503251">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具有鲜鱼固有的鲜明体色余光泽，粘度透明；鳞完整或稍有花鳞，紧贴鱼体不易剥落，有透明黏液；鳃盖紧合，鳃丝鲜红或紫红，色清晰，黏液透明无异味；鱼眼饱满，角膜光亮透明；腹部呈白色或淡玫瑰红色，无破肚；肌肉结实或富有弹性，无风干、异味现象。</w:t>
            </w:r>
          </w:p>
        </w:tc>
        <w:tc>
          <w:tcPr>
            <w:tcW w:w="3648" w:type="dxa"/>
            <w:vAlign w:val="center"/>
          </w:tcPr>
          <w:p w14:paraId="38002F96">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14:paraId="60F6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3" w:type="dxa"/>
            <w:vAlign w:val="top"/>
          </w:tcPr>
          <w:p w14:paraId="23A2C5A4">
            <w:pPr>
              <w:pStyle w:val="59"/>
              <w:autoSpaceDE w:val="0"/>
              <w:autoSpaceDN w:val="0"/>
              <w:adjustRightInd w:val="0"/>
              <w:spacing w:line="56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冻</w:t>
            </w:r>
            <w:r>
              <w:rPr>
                <w:rFonts w:hint="eastAsia" w:ascii="宋体" w:hAnsi="宋体" w:cs="宋体"/>
                <w:color w:val="auto"/>
                <w:sz w:val="24"/>
                <w:szCs w:val="24"/>
                <w:highlight w:val="none"/>
                <w:lang w:eastAsia="zh-CN"/>
              </w:rPr>
              <w:t>品</w:t>
            </w:r>
            <w:r>
              <w:rPr>
                <w:rFonts w:hint="eastAsia" w:ascii="宋体" w:hAnsi="宋体" w:cs="宋体"/>
                <w:color w:val="auto"/>
                <w:sz w:val="24"/>
                <w:szCs w:val="24"/>
                <w:highlight w:val="none"/>
              </w:rPr>
              <w:t>类</w:t>
            </w:r>
          </w:p>
        </w:tc>
        <w:tc>
          <w:tcPr>
            <w:tcW w:w="4113" w:type="dxa"/>
            <w:gridSpan w:val="2"/>
            <w:vAlign w:val="center"/>
          </w:tcPr>
          <w:p w14:paraId="61239109">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符合GB16869-2005标准，皮肤有光泽，呈淡黄、淡红、灰白色等，肌肉切面有光泽，指压后凹陷恢复得慢，且不能完全恢复。</w:t>
            </w:r>
          </w:p>
        </w:tc>
        <w:tc>
          <w:tcPr>
            <w:tcW w:w="3648" w:type="dxa"/>
            <w:vAlign w:val="center"/>
          </w:tcPr>
          <w:p w14:paraId="430D73A1">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干缩凹陷、表面干燥粘手，新切面湿润粘手，肌肉松弛，指压后凹陷不能恢复，并由明显的痕迹；有腐败味或霉味。</w:t>
            </w:r>
          </w:p>
        </w:tc>
      </w:tr>
      <w:tr w14:paraId="74B2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3" w:type="dxa"/>
            <w:vAlign w:val="center"/>
          </w:tcPr>
          <w:p w14:paraId="38B4ED4A">
            <w:pPr>
              <w:pStyle w:val="59"/>
              <w:autoSpaceDE w:val="0"/>
              <w:autoSpaceDN w:val="0"/>
              <w:adjustRightInd w:val="0"/>
              <w:spacing w:line="56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调料类</w:t>
            </w:r>
          </w:p>
        </w:tc>
        <w:tc>
          <w:tcPr>
            <w:tcW w:w="4113" w:type="dxa"/>
            <w:gridSpan w:val="2"/>
            <w:vAlign w:val="center"/>
          </w:tcPr>
          <w:p w14:paraId="327EB636">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根据招标人要求提供各类货品，保证新鲜度，外包装清洁卫生，完整坚固，且包装上的商品名称、厂址、规格等与内容物相符，标示清晰，批次清楚等，保证保质期在有效范围一半时间以上。</w:t>
            </w:r>
          </w:p>
        </w:tc>
        <w:tc>
          <w:tcPr>
            <w:tcW w:w="3648" w:type="dxa"/>
            <w:vAlign w:val="center"/>
          </w:tcPr>
          <w:p w14:paraId="113FB006">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(1)不符合验收标准的、无食品质量安全认证的产品。</w:t>
            </w:r>
          </w:p>
          <w:p w14:paraId="0E38F65B">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(2)无品名、产地、厂名、生产日期、保质期及中文标识及原料说明的定型包装食品.</w:t>
            </w:r>
          </w:p>
          <w:p w14:paraId="0C1B17B3">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(3)接近保质期限或不符合食品标签规定的定型包装食品.</w:t>
            </w:r>
          </w:p>
          <w:p w14:paraId="18B721D8">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(4)腐败变质,油脂酸败,霉变,生虫,污秽不洁,混有异物或者其他感官性状异常，含有毒、有害物质污染，可能对人体健康有害的食品。</w:t>
            </w:r>
          </w:p>
        </w:tc>
      </w:tr>
      <w:tr w14:paraId="04F3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3" w:type="dxa"/>
            <w:vAlign w:val="center"/>
          </w:tcPr>
          <w:p w14:paraId="4A2C9618">
            <w:pPr>
              <w:pStyle w:val="59"/>
              <w:autoSpaceDE w:val="0"/>
              <w:autoSpaceDN w:val="0"/>
              <w:adjustRightInd w:val="0"/>
              <w:spacing w:line="56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粮油类</w:t>
            </w:r>
          </w:p>
        </w:tc>
        <w:tc>
          <w:tcPr>
            <w:tcW w:w="4113" w:type="dxa"/>
            <w:gridSpan w:val="2"/>
            <w:vAlign w:val="center"/>
          </w:tcPr>
          <w:p w14:paraId="1638D74D">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外包装清洁卫生，完整坚固，且包装上的商品名称、厂址、规格等与内容物相符，标示清晰，批次清楚，非转基因产品且保质期在有效期范围一半时间以上。</w:t>
            </w:r>
          </w:p>
        </w:tc>
        <w:tc>
          <w:tcPr>
            <w:tcW w:w="3648" w:type="dxa"/>
            <w:vAlign w:val="center"/>
          </w:tcPr>
          <w:p w14:paraId="2878D34A">
            <w:pPr>
              <w:spacing w:line="320" w:lineRule="exact"/>
              <w:rPr>
                <w:rFonts w:ascii="宋体" w:hAnsi="宋体" w:cs="宋体"/>
                <w:color w:val="auto"/>
                <w:sz w:val="24"/>
                <w:highlight w:val="none"/>
              </w:rPr>
            </w:pPr>
            <w:r>
              <w:rPr>
                <w:rFonts w:hint="eastAsia" w:ascii="宋体" w:hAnsi="宋体" w:cs="宋体"/>
                <w:color w:val="auto"/>
                <w:sz w:val="24"/>
                <w:highlight w:val="none"/>
              </w:rPr>
              <w:t>（1）不符合验收标准的、无食品质量安全认证的产品。</w:t>
            </w:r>
          </w:p>
          <w:p w14:paraId="2CF2DCCA">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（2）接近保质期限有效范围一半时间。</w:t>
            </w:r>
          </w:p>
          <w:p w14:paraId="15E2777E">
            <w:pPr>
              <w:pStyle w:val="59"/>
              <w:autoSpaceDE w:val="0"/>
              <w:autoSpaceDN w:val="0"/>
              <w:adjustRightInd w:val="0"/>
              <w:spacing w:line="32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（3）转基因产品。</w:t>
            </w:r>
          </w:p>
        </w:tc>
      </w:tr>
    </w:tbl>
    <w:p w14:paraId="107A9F5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六、供货方式及要求</w:t>
      </w:r>
    </w:p>
    <w:p w14:paraId="36BF4F90">
      <w:pPr>
        <w:spacing w:line="360" w:lineRule="auto"/>
        <w:ind w:firstLine="240" w:firstLineChars="100"/>
        <w:rPr>
          <w:rFonts w:ascii="宋体" w:hAnsi="宋体" w:cs="宋体"/>
          <w:b w:val="0"/>
          <w:bCs/>
          <w:color w:val="auto"/>
          <w:sz w:val="24"/>
          <w:highlight w:val="none"/>
        </w:rPr>
      </w:pPr>
      <w:r>
        <w:rPr>
          <w:rFonts w:hint="eastAsia" w:ascii="宋体" w:hAnsi="宋体" w:cs="宋体"/>
          <w:b w:val="0"/>
          <w:bCs/>
          <w:color w:val="auto"/>
          <w:sz w:val="24"/>
          <w:highlight w:val="none"/>
        </w:rPr>
        <w:t>1.在供货期内，中标人与招标人签订采购配送执行书后，应保证在服务响应时间内送货至招标人指定地点，应急配送食材必须在30分钟内送达。</w:t>
      </w:r>
    </w:p>
    <w:p w14:paraId="54464D5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2.中标人有义务在售前了解采购单位的需求计划，及时备货和配送所需的货物，并在售后跟踪货物的实际使用情况，并及时解决使用中出现的问题。</w:t>
      </w:r>
    </w:p>
    <w:p w14:paraId="5490546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3.要求有无公害、无污染生产基地</w:t>
      </w:r>
      <w:r>
        <w:rPr>
          <w:rFonts w:hint="eastAsia" w:ascii="宋体" w:hAnsi="宋体" w:cs="宋体"/>
          <w:color w:val="auto"/>
          <w:sz w:val="24"/>
          <w:highlight w:val="none"/>
          <w:lang w:eastAsia="zh-CN"/>
        </w:rPr>
        <w:t>，</w:t>
      </w:r>
      <w:r>
        <w:rPr>
          <w:rFonts w:hint="eastAsia" w:ascii="宋体" w:hAnsi="宋体" w:cs="宋体"/>
          <w:color w:val="auto"/>
          <w:sz w:val="24"/>
          <w:highlight w:val="none"/>
        </w:rPr>
        <w:t>所提供的蔬菜来源于无公害无污染产地，配送的蔬菜经农产品检测中心检测合格后才配送。</w:t>
      </w:r>
    </w:p>
    <w:p w14:paraId="4D12800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4.大米、面粉、食用油、调料品等要符合国家食品卫生法的质量要求，包装要注明厂家、厂址、生产日期、保质日期、有国家食品卫生安全标志。</w:t>
      </w:r>
    </w:p>
    <w:p w14:paraId="4E11149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.配送单位承诺所配送的蔬菜或物品因农药残留或质量问题引起食物中毒事件，配送方愿承担一切法律责任和经济责任。</w:t>
      </w:r>
      <w:r>
        <w:rPr>
          <w:rFonts w:hint="eastAsia" w:ascii="宋体" w:hAnsi="宋体" w:cs="宋体"/>
          <w:color w:val="auto"/>
          <w:sz w:val="24"/>
          <w:highlight w:val="none"/>
          <w:lang w:eastAsia="zh-CN"/>
        </w:rPr>
        <w:t>配送需提供</w:t>
      </w:r>
      <w:r>
        <w:rPr>
          <w:rFonts w:hint="eastAsia" w:ascii="宋体" w:hAnsi="宋体" w:cs="宋体"/>
          <w:color w:val="auto"/>
          <w:sz w:val="24"/>
          <w:highlight w:val="none"/>
        </w:rPr>
        <w:t>蔬菜农药残留检验报告单或猪肉动物产品检疫合格证明</w:t>
      </w:r>
      <w:r>
        <w:rPr>
          <w:rFonts w:hint="eastAsia" w:ascii="宋体" w:hAnsi="宋体" w:cs="宋体"/>
          <w:color w:val="auto"/>
          <w:sz w:val="24"/>
          <w:highlight w:val="none"/>
          <w:lang w:eastAsia="zh-CN"/>
        </w:rPr>
        <w:t>，如果</w:t>
      </w:r>
      <w:r>
        <w:rPr>
          <w:rFonts w:hint="eastAsia" w:ascii="宋体" w:hAnsi="宋体" w:cs="宋体"/>
          <w:color w:val="auto"/>
          <w:sz w:val="24"/>
          <w:highlight w:val="none"/>
        </w:rPr>
        <w:t>未能及时提供</w:t>
      </w:r>
      <w:r>
        <w:rPr>
          <w:rFonts w:hint="eastAsia" w:ascii="宋体" w:hAnsi="宋体" w:cs="宋体"/>
          <w:color w:val="auto"/>
          <w:sz w:val="24"/>
          <w:highlight w:val="none"/>
          <w:lang w:eastAsia="zh-CN"/>
        </w:rPr>
        <w:t>相关证明</w:t>
      </w:r>
      <w:r>
        <w:rPr>
          <w:rFonts w:hint="eastAsia" w:ascii="宋体" w:hAnsi="宋体" w:cs="宋体"/>
          <w:color w:val="auto"/>
          <w:sz w:val="24"/>
          <w:highlight w:val="none"/>
        </w:rPr>
        <w:t>，造成原材料、食用油、调料品、人工浪费的由配送单位负责赔偿</w:t>
      </w:r>
      <w:r>
        <w:rPr>
          <w:rFonts w:hint="eastAsia" w:ascii="宋体" w:hAnsi="宋体" w:cs="宋体"/>
          <w:color w:val="auto"/>
          <w:sz w:val="24"/>
          <w:highlight w:val="none"/>
          <w:lang w:eastAsia="zh-CN"/>
        </w:rPr>
        <w:t>；</w:t>
      </w:r>
      <w:r>
        <w:rPr>
          <w:rFonts w:hint="eastAsia" w:ascii="宋体" w:hAnsi="宋体" w:cs="宋体"/>
          <w:color w:val="auto"/>
          <w:sz w:val="24"/>
          <w:highlight w:val="none"/>
        </w:rPr>
        <w:t>如配送单位发生多次此事件，采购单位提出整改意见，也未能及时改正的，</w:t>
      </w:r>
      <w:r>
        <w:rPr>
          <w:rFonts w:hint="eastAsia" w:ascii="宋体" w:hAnsi="宋体" w:cs="宋体"/>
          <w:b/>
          <w:bCs/>
          <w:color w:val="auto"/>
          <w:sz w:val="24"/>
          <w:highlight w:val="none"/>
        </w:rPr>
        <w:t>采购单位将终止配送单位的配送资格，由备选配送单位进行配送。</w:t>
      </w:r>
    </w:p>
    <w:p w14:paraId="0648461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.企业责任约定</w:t>
      </w:r>
    </w:p>
    <w:p w14:paraId="700CF5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1)、配送食材的质量明显不符合招标文件规定的，经查实后第一次处以该批次食材总价款的三倍罚款，第二次查实后处以该批次食材总价款的五倍罚款，</w:t>
      </w:r>
      <w:r>
        <w:rPr>
          <w:rFonts w:hint="eastAsia" w:ascii="宋体" w:hAnsi="宋体" w:cs="宋体"/>
          <w:b/>
          <w:bCs/>
          <w:color w:val="auto"/>
          <w:sz w:val="24"/>
          <w:highlight w:val="none"/>
        </w:rPr>
        <w:t>第三次查实后处以该批次</w:t>
      </w:r>
      <w:r>
        <w:rPr>
          <w:rFonts w:hint="eastAsia" w:ascii="宋体" w:hAnsi="宋体" w:eastAsia="宋体" w:cs="宋体"/>
          <w:b/>
          <w:bCs/>
          <w:color w:val="auto"/>
          <w:sz w:val="24"/>
          <w:highlight w:val="none"/>
        </w:rPr>
        <w:t>食材</w:t>
      </w:r>
      <w:r>
        <w:rPr>
          <w:rFonts w:hint="eastAsia" w:ascii="宋体" w:hAnsi="宋体" w:cs="宋体"/>
          <w:b/>
          <w:bCs/>
          <w:color w:val="auto"/>
          <w:sz w:val="24"/>
          <w:highlight w:val="none"/>
        </w:rPr>
        <w:t xml:space="preserve">总价款的十倍罚款，并取消定点配送资格，由备选配送单位进行配送。         </w:t>
      </w:r>
    </w:p>
    <w:p w14:paraId="615E198F">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2）、蔬菜、猪肉运输不是配备专业车辆进行配送的，经查实后第一次</w:t>
      </w:r>
      <w:r>
        <w:rPr>
          <w:rFonts w:hint="eastAsia" w:ascii="宋体" w:hAnsi="宋体" w:cs="宋体"/>
          <w:color w:val="auto"/>
          <w:sz w:val="24"/>
          <w:highlight w:val="none"/>
          <w:lang w:eastAsia="zh-CN"/>
        </w:rPr>
        <w:t>从结算款中</w:t>
      </w:r>
      <w:r>
        <w:rPr>
          <w:rFonts w:hint="eastAsia" w:ascii="宋体" w:hAnsi="宋体" w:cs="宋体"/>
          <w:color w:val="auto"/>
          <w:sz w:val="24"/>
          <w:highlight w:val="none"/>
        </w:rPr>
        <w:t>扣除1000元，第二次</w:t>
      </w:r>
      <w:r>
        <w:rPr>
          <w:rFonts w:hint="eastAsia" w:ascii="宋体" w:hAnsi="宋体" w:cs="宋体"/>
          <w:color w:val="auto"/>
          <w:sz w:val="24"/>
          <w:highlight w:val="none"/>
          <w:lang w:eastAsia="zh-CN"/>
        </w:rPr>
        <w:t>从结算款中</w:t>
      </w:r>
      <w:r>
        <w:rPr>
          <w:rFonts w:hint="eastAsia" w:ascii="宋体" w:hAnsi="宋体" w:cs="宋体"/>
          <w:color w:val="auto"/>
          <w:sz w:val="24"/>
          <w:highlight w:val="none"/>
        </w:rPr>
        <w:t>扣除5000元，第三次扣除全部</w:t>
      </w:r>
      <w:r>
        <w:rPr>
          <w:rFonts w:hint="eastAsia" w:ascii="宋体" w:hAnsi="宋体" w:cs="宋体"/>
          <w:color w:val="auto"/>
          <w:sz w:val="24"/>
          <w:highlight w:val="none"/>
          <w:lang w:eastAsia="zh-CN"/>
        </w:rPr>
        <w:t>结算款</w:t>
      </w:r>
      <w:r>
        <w:rPr>
          <w:rFonts w:hint="eastAsia" w:ascii="宋体" w:hAnsi="宋体" w:cs="宋体"/>
          <w:color w:val="auto"/>
          <w:sz w:val="24"/>
          <w:highlight w:val="none"/>
        </w:rPr>
        <w:t>，</w:t>
      </w:r>
      <w:r>
        <w:rPr>
          <w:rFonts w:hint="eastAsia" w:ascii="宋体" w:hAnsi="宋体" w:cs="宋体"/>
          <w:b/>
          <w:bCs/>
          <w:color w:val="auto"/>
          <w:sz w:val="24"/>
          <w:highlight w:val="none"/>
        </w:rPr>
        <w:t>并取消定点配送资格，由备选配送单位进行配送。</w:t>
      </w:r>
    </w:p>
    <w:p w14:paraId="1C88A3DD">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3)、延误配送时间，造成采购单位食堂不能正常供应食品（不可抗力除外）的第一次</w:t>
      </w:r>
      <w:r>
        <w:rPr>
          <w:rFonts w:hint="eastAsia" w:ascii="宋体" w:hAnsi="宋体" w:cs="宋体"/>
          <w:color w:val="auto"/>
          <w:sz w:val="24"/>
          <w:highlight w:val="none"/>
          <w:lang w:eastAsia="zh-CN"/>
        </w:rPr>
        <w:t>从结算款中</w:t>
      </w:r>
      <w:r>
        <w:rPr>
          <w:rFonts w:hint="eastAsia" w:ascii="宋体" w:hAnsi="宋体" w:cs="宋体"/>
          <w:color w:val="auto"/>
          <w:sz w:val="24"/>
          <w:highlight w:val="none"/>
        </w:rPr>
        <w:t>扣除5000元，第二次</w:t>
      </w:r>
      <w:r>
        <w:rPr>
          <w:rFonts w:hint="eastAsia" w:ascii="宋体" w:hAnsi="宋体" w:cs="宋体"/>
          <w:color w:val="auto"/>
          <w:sz w:val="24"/>
          <w:highlight w:val="none"/>
          <w:lang w:eastAsia="zh-CN"/>
        </w:rPr>
        <w:t>从结算款中</w:t>
      </w:r>
      <w:r>
        <w:rPr>
          <w:rFonts w:hint="eastAsia" w:ascii="宋体" w:hAnsi="宋体" w:cs="宋体"/>
          <w:color w:val="auto"/>
          <w:sz w:val="24"/>
          <w:highlight w:val="none"/>
        </w:rPr>
        <w:t>扣除10000元，第三次扣除全部</w:t>
      </w:r>
      <w:r>
        <w:rPr>
          <w:rFonts w:hint="eastAsia" w:ascii="宋体" w:hAnsi="宋体" w:cs="宋体"/>
          <w:color w:val="auto"/>
          <w:sz w:val="24"/>
          <w:highlight w:val="none"/>
          <w:lang w:eastAsia="zh-CN"/>
        </w:rPr>
        <w:t>结算款</w:t>
      </w:r>
      <w:r>
        <w:rPr>
          <w:rFonts w:hint="eastAsia" w:ascii="宋体" w:hAnsi="宋体" w:cs="宋体"/>
          <w:color w:val="auto"/>
          <w:sz w:val="24"/>
          <w:highlight w:val="none"/>
        </w:rPr>
        <w:t>，</w:t>
      </w:r>
      <w:r>
        <w:rPr>
          <w:rFonts w:hint="eastAsia" w:ascii="宋体" w:hAnsi="宋体" w:cs="宋体"/>
          <w:b/>
          <w:bCs/>
          <w:color w:val="auto"/>
          <w:sz w:val="24"/>
          <w:highlight w:val="none"/>
        </w:rPr>
        <w:t>并取消定点配送资格，由备选配送单位进行配送。</w:t>
      </w:r>
    </w:p>
    <w:p w14:paraId="0963FD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4)、有下列行为的，扣除全部</w:t>
      </w:r>
      <w:r>
        <w:rPr>
          <w:rFonts w:hint="eastAsia" w:ascii="宋体" w:hAnsi="宋体" w:cs="宋体"/>
          <w:color w:val="auto"/>
          <w:sz w:val="24"/>
          <w:highlight w:val="none"/>
          <w:lang w:eastAsia="zh-CN"/>
        </w:rPr>
        <w:t>结算款</w:t>
      </w:r>
      <w:r>
        <w:rPr>
          <w:rFonts w:hint="eastAsia" w:ascii="宋体" w:hAnsi="宋体" w:cs="宋体"/>
          <w:color w:val="auto"/>
          <w:sz w:val="24"/>
          <w:highlight w:val="none"/>
        </w:rPr>
        <w:t>，并取消定点配送资格，由备选配送单位进行配送：</w:t>
      </w:r>
    </w:p>
    <w:p w14:paraId="2E6AE7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ascii="宋体" w:hAnsi="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、涉嫌垄断经营，故意串通，哄抬食品价格，社会影响较大的。</w:t>
      </w:r>
    </w:p>
    <w:p w14:paraId="37AD1D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 MERGEFORMAT </w:instrText>
      </w:r>
      <w:r>
        <w:rPr>
          <w:rFonts w:hint="eastAsia" w:ascii="宋体" w:hAnsi="宋体" w:cs="宋体"/>
          <w:color w:val="auto"/>
          <w:sz w:val="24"/>
          <w:highlight w:val="none"/>
        </w:rPr>
        <w:fldChar w:fldCharType="separate"/>
      </w:r>
      <w:r>
        <w:rPr>
          <w:rFonts w:ascii="宋体" w:hAnsi="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、公司运作不正常，被司法部门干预不能继续履行合同规定的。</w:t>
      </w:r>
    </w:p>
    <w:p w14:paraId="32E911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ascii="宋体" w:hAnsi="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、严重违反党风廉政规定，情节严重的。</w:t>
      </w:r>
    </w:p>
    <w:p w14:paraId="3F0023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 MERGEFORMAT </w:instrText>
      </w:r>
      <w:r>
        <w:rPr>
          <w:rFonts w:hint="eastAsia" w:ascii="宋体" w:hAnsi="宋体" w:cs="宋体"/>
          <w:color w:val="auto"/>
          <w:sz w:val="24"/>
          <w:highlight w:val="none"/>
        </w:rPr>
        <w:fldChar w:fldCharType="separate"/>
      </w:r>
      <w:r>
        <w:rPr>
          <w:rFonts w:ascii="宋体" w:hAnsi="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、因配送食品被职能部门检测，半年内出现三次不合格的。</w:t>
      </w:r>
    </w:p>
    <w:p w14:paraId="4E8671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rFonts w:ascii="宋体" w:hAnsi="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、配送到采购单位的食品中含有毒有害物质引发食品安全责任事故的。</w:t>
      </w:r>
    </w:p>
    <w:p w14:paraId="122E8A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6 \* GB3 \* MERGEFORMAT </w:instrText>
      </w:r>
      <w:r>
        <w:rPr>
          <w:rFonts w:hint="eastAsia" w:ascii="宋体" w:hAnsi="宋体" w:cs="宋体"/>
          <w:color w:val="auto"/>
          <w:sz w:val="24"/>
          <w:highlight w:val="none"/>
        </w:rPr>
        <w:fldChar w:fldCharType="separate"/>
      </w:r>
      <w:r>
        <w:rPr>
          <w:rFonts w:ascii="宋体" w:hAnsi="宋体"/>
          <w:color w:val="auto"/>
          <w:sz w:val="24"/>
          <w:highlight w:val="none"/>
        </w:rPr>
        <w:t>⑥</w:t>
      </w:r>
      <w:r>
        <w:rPr>
          <w:rFonts w:hint="eastAsia" w:ascii="宋体" w:hAnsi="宋体" w:cs="宋体"/>
          <w:color w:val="auto"/>
          <w:sz w:val="24"/>
          <w:highlight w:val="none"/>
        </w:rPr>
        <w:fldChar w:fldCharType="end"/>
      </w:r>
      <w:r>
        <w:rPr>
          <w:rFonts w:hint="eastAsia" w:ascii="宋体" w:hAnsi="宋体" w:cs="宋体"/>
          <w:color w:val="auto"/>
          <w:sz w:val="24"/>
          <w:highlight w:val="none"/>
        </w:rPr>
        <w:t>、违法违纪经营，受到市场监管、农业部门行政处罚并被认定为情节严重的。</w:t>
      </w:r>
    </w:p>
    <w:p w14:paraId="4EDD34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7 \* GB3 \* MERGEFORMAT </w:instrText>
      </w:r>
      <w:r>
        <w:rPr>
          <w:rFonts w:hint="eastAsia" w:ascii="宋体" w:hAnsi="宋体" w:cs="宋体"/>
          <w:color w:val="auto"/>
          <w:sz w:val="24"/>
          <w:highlight w:val="none"/>
        </w:rPr>
        <w:fldChar w:fldCharType="separate"/>
      </w:r>
      <w:r>
        <w:rPr>
          <w:rFonts w:ascii="宋体" w:hAnsi="宋体"/>
          <w:color w:val="auto"/>
          <w:sz w:val="24"/>
          <w:highlight w:val="none"/>
        </w:rPr>
        <w:t>⑦</w:t>
      </w:r>
      <w:r>
        <w:rPr>
          <w:rFonts w:hint="eastAsia" w:ascii="宋体" w:hAnsi="宋体" w:cs="宋体"/>
          <w:color w:val="auto"/>
          <w:sz w:val="24"/>
          <w:highlight w:val="none"/>
        </w:rPr>
        <w:fldChar w:fldCharType="end"/>
      </w:r>
      <w:r>
        <w:rPr>
          <w:rFonts w:hint="eastAsia" w:ascii="宋体" w:hAnsi="宋体" w:cs="宋体"/>
          <w:color w:val="auto"/>
          <w:sz w:val="24"/>
          <w:highlight w:val="none"/>
        </w:rPr>
        <w:t>、出现转包或分包经营的。</w:t>
      </w:r>
    </w:p>
    <w:p w14:paraId="4AC8DFD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5)、要求中标单位投保足额食品安全责任险。</w:t>
      </w:r>
    </w:p>
    <w:p w14:paraId="75D1B8D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配送企业因上述情形触犯法律的，送司法部门追究其法律责任。</w:t>
      </w:r>
    </w:p>
    <w:p w14:paraId="5E6C5CDD">
      <w:pPr>
        <w:keepNext w:val="0"/>
        <w:keepLines w:val="0"/>
        <w:pageBreakBefore w:val="0"/>
        <w:widowControl/>
        <w:numPr>
          <w:ilvl w:val="0"/>
          <w:numId w:val="0"/>
        </w:numPr>
        <w:kinsoku/>
        <w:wordWrap/>
        <w:overflowPunct/>
        <w:topLinePunct w:val="0"/>
        <w:autoSpaceDE/>
        <w:autoSpaceDN/>
        <w:bidi w:val="0"/>
        <w:adjustRightInd/>
        <w:snapToGrid w:val="0"/>
        <w:spacing w:line="440" w:lineRule="exact"/>
        <w:textAlignment w:val="auto"/>
        <w:rPr>
          <w:rFonts w:hint="eastAsia" w:ascii="宋体" w:hAnsi="宋体" w:cs="宋体"/>
          <w:color w:val="auto"/>
          <w:sz w:val="24"/>
          <w:highlight w:val="none"/>
        </w:rPr>
      </w:pPr>
      <w:r>
        <w:rPr>
          <w:rFonts w:hint="eastAsia" w:hAnsi="宋体"/>
          <w:b/>
          <w:color w:val="auto"/>
          <w:kern w:val="0"/>
          <w:sz w:val="24"/>
          <w:highlight w:val="none"/>
          <w:lang w:eastAsia="zh-CN"/>
        </w:rPr>
        <w:t>七、</w:t>
      </w:r>
      <w:r>
        <w:rPr>
          <w:rFonts w:hAnsi="宋体"/>
          <w:b/>
          <w:color w:val="auto"/>
          <w:kern w:val="0"/>
          <w:sz w:val="24"/>
          <w:highlight w:val="none"/>
        </w:rPr>
        <w:t>价格约定</w:t>
      </w:r>
      <w:r>
        <w:rPr>
          <w:rFonts w:hint="eastAsia" w:ascii="宋体" w:hAnsi="宋体" w:cs="宋体"/>
          <w:color w:val="auto"/>
          <w:sz w:val="24"/>
          <w:highlight w:val="none"/>
        </w:rPr>
        <w:t>：</w:t>
      </w:r>
    </w:p>
    <w:p w14:paraId="5056996D">
      <w:pPr>
        <w:keepNext w:val="0"/>
        <w:keepLines w:val="0"/>
        <w:pageBreakBefore w:val="0"/>
        <w:kinsoku/>
        <w:wordWrap/>
        <w:overflowPunct/>
        <w:topLinePunct w:val="0"/>
        <w:autoSpaceDE/>
        <w:autoSpaceDN/>
        <w:bidi w:val="0"/>
        <w:adjustRightInd/>
        <w:spacing w:line="440" w:lineRule="exact"/>
        <w:ind w:firstLine="482" w:firstLineChars="200"/>
        <w:textAlignment w:val="auto"/>
        <w:rPr>
          <w:rStyle w:val="267"/>
          <w:rFonts w:hint="default" w:ascii="宋体" w:hAnsi="宋体" w:eastAsia="宋体" w:cs="宋体"/>
          <w:b/>
          <w:color w:val="auto"/>
          <w:sz w:val="24"/>
          <w:szCs w:val="24"/>
          <w:highlight w:val="none"/>
        </w:rPr>
      </w:pPr>
      <w:r>
        <w:rPr>
          <w:rStyle w:val="267"/>
          <w:rFonts w:hint="default" w:ascii="宋体" w:hAnsi="宋体" w:eastAsia="宋体" w:cs="宋体"/>
          <w:b/>
          <w:color w:val="auto"/>
          <w:sz w:val="24"/>
          <w:szCs w:val="24"/>
          <w:highlight w:val="none"/>
        </w:rPr>
        <w:t>1、</w:t>
      </w:r>
      <w:r>
        <w:rPr>
          <w:rStyle w:val="267"/>
          <w:rFonts w:hint="eastAsia" w:ascii="宋体" w:hAnsi="宋体" w:eastAsia="宋体" w:cs="宋体"/>
          <w:b/>
          <w:color w:val="auto"/>
          <w:sz w:val="24"/>
          <w:szCs w:val="24"/>
          <w:highlight w:val="none"/>
          <w:lang w:val="en-US" w:eastAsia="zh-CN"/>
        </w:rPr>
        <w:t>蔬菜类/鲜肉类（除猪肉外）</w:t>
      </w:r>
      <w:r>
        <w:rPr>
          <w:rStyle w:val="267"/>
          <w:rFonts w:hint="default" w:ascii="宋体" w:hAnsi="宋体" w:eastAsia="宋体" w:cs="宋体"/>
          <w:b/>
          <w:color w:val="auto"/>
          <w:sz w:val="24"/>
          <w:szCs w:val="24"/>
          <w:highlight w:val="none"/>
        </w:rPr>
        <w:t>食材价格约定</w:t>
      </w:r>
    </w:p>
    <w:p w14:paraId="2705A7EC">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1.1配送定价以东阳市民生商品价格监测信息发布为基准价，价格监测信息发布未涵盖的菜品、冷冻类</w:t>
      </w:r>
      <w:r>
        <w:rPr>
          <w:rStyle w:val="267"/>
          <w:rFonts w:hint="default" w:ascii="宋体" w:hAnsi="宋体" w:eastAsia="宋体" w:cs="宋体"/>
          <w:color w:val="auto"/>
          <w:sz w:val="24"/>
          <w:szCs w:val="24"/>
          <w:highlight w:val="none"/>
        </w:rPr>
        <w:t>食材</w:t>
      </w:r>
      <w:r>
        <w:rPr>
          <w:rFonts w:hint="eastAsia" w:ascii="宋体" w:hAnsi="宋体" w:cs="宋体"/>
          <w:color w:val="auto"/>
          <w:sz w:val="24"/>
          <w:highlight w:val="none"/>
        </w:rPr>
        <w:t>，以在</w:t>
      </w:r>
      <w:r>
        <w:rPr>
          <w:rFonts w:hint="eastAsia" w:ascii="宋体" w:hAnsi="宋体" w:cs="宋体"/>
          <w:color w:val="FF0000"/>
          <w:sz w:val="24"/>
          <w:highlight w:val="none"/>
        </w:rPr>
        <w:t>东门菜场</w:t>
      </w:r>
      <w:r>
        <w:rPr>
          <w:rFonts w:hint="eastAsia" w:ascii="宋体" w:hAnsi="宋体" w:cs="宋体"/>
          <w:color w:val="auto"/>
          <w:sz w:val="24"/>
          <w:highlight w:val="none"/>
        </w:rPr>
        <w:t>进行价格调查为辅助，定出基准价。</w:t>
      </w:r>
    </w:p>
    <w:p w14:paraId="30B14D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1.2结算单价=基准价×（1-中标下浮率）。</w:t>
      </w:r>
    </w:p>
    <w:p w14:paraId="45B5F227">
      <w:pPr>
        <w:pStyle w:val="268"/>
        <w:spacing w:line="360" w:lineRule="auto"/>
        <w:rPr>
          <w:rStyle w:val="267"/>
          <w:rFonts w:ascii="宋体" w:hAnsi="宋体" w:eastAsia="宋体" w:cs="宋体"/>
          <w:b/>
          <w:color w:val="auto"/>
          <w:kern w:val="2"/>
          <w:sz w:val="24"/>
          <w:szCs w:val="24"/>
          <w:highlight w:val="none"/>
          <w:lang w:val="en-US" w:eastAsia="zh-CN" w:bidi="ar-SA"/>
        </w:rPr>
      </w:pPr>
      <w:r>
        <w:rPr>
          <w:rFonts w:hint="eastAsia" w:ascii="宋体" w:hAnsi="宋体" w:cs="宋体"/>
          <w:color w:val="auto"/>
          <w:sz w:val="24"/>
          <w:highlight w:val="none"/>
        </w:rPr>
        <w:t xml:space="preserve">    1.3</w:t>
      </w:r>
      <w:r>
        <w:rPr>
          <w:rFonts w:hint="eastAsia" w:ascii="宋体" w:hAnsi="宋体" w:cs="宋体"/>
          <w:b w:val="0"/>
          <w:bCs w:val="0"/>
          <w:color w:val="auto"/>
          <w:sz w:val="24"/>
          <w:highlight w:val="none"/>
        </w:rPr>
        <w:t>投</w:t>
      </w:r>
      <w:r>
        <w:rPr>
          <w:rStyle w:val="267"/>
          <w:rFonts w:hint="eastAsia" w:ascii="宋体" w:hAnsi="宋体" w:eastAsia="宋体" w:cs="宋体"/>
          <w:b w:val="0"/>
          <w:bCs w:val="0"/>
          <w:color w:val="auto"/>
          <w:kern w:val="2"/>
          <w:sz w:val="24"/>
          <w:szCs w:val="24"/>
          <w:highlight w:val="none"/>
          <w:lang w:val="en-US" w:eastAsia="zh-CN" w:bidi="ar-SA"/>
        </w:rPr>
        <w:t>标报价下浮率最低要求：≥10%</w:t>
      </w:r>
    </w:p>
    <w:p w14:paraId="0248D807">
      <w:pPr>
        <w:keepNext w:val="0"/>
        <w:keepLines w:val="0"/>
        <w:pageBreakBefore w:val="0"/>
        <w:kinsoku/>
        <w:wordWrap/>
        <w:overflowPunct/>
        <w:topLinePunct w:val="0"/>
        <w:autoSpaceDE/>
        <w:autoSpaceDN/>
        <w:bidi w:val="0"/>
        <w:adjustRightInd/>
        <w:spacing w:line="440" w:lineRule="exact"/>
        <w:ind w:firstLine="482" w:firstLineChars="200"/>
        <w:textAlignment w:val="auto"/>
        <w:rPr>
          <w:rStyle w:val="267"/>
          <w:rFonts w:hint="default" w:ascii="宋体" w:hAnsi="宋体" w:eastAsia="宋体" w:cs="宋体"/>
          <w:b/>
          <w:color w:val="auto"/>
          <w:sz w:val="24"/>
          <w:szCs w:val="24"/>
          <w:highlight w:val="none"/>
        </w:rPr>
      </w:pPr>
      <w:r>
        <w:rPr>
          <w:rStyle w:val="267"/>
          <w:rFonts w:hint="eastAsia" w:ascii="宋体" w:hAnsi="宋体" w:eastAsia="宋体" w:cs="宋体"/>
          <w:b/>
          <w:color w:val="auto"/>
          <w:kern w:val="2"/>
          <w:sz w:val="24"/>
          <w:szCs w:val="24"/>
          <w:highlight w:val="none"/>
          <w:lang w:val="en-US" w:eastAsia="zh-CN" w:bidi="ar-SA"/>
        </w:rPr>
        <w:t>2、鲜猪肉</w:t>
      </w:r>
      <w:r>
        <w:rPr>
          <w:rStyle w:val="267"/>
          <w:rFonts w:hint="eastAsia" w:ascii="宋体" w:hAnsi="宋体" w:eastAsia="宋体" w:cs="宋体"/>
          <w:b/>
          <w:color w:val="auto"/>
          <w:sz w:val="24"/>
          <w:szCs w:val="24"/>
          <w:highlight w:val="none"/>
        </w:rPr>
        <w:t>食材价格的约定</w:t>
      </w:r>
    </w:p>
    <w:p w14:paraId="195E03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.1配送定价以东门菜场零售价作为基准价。</w:t>
      </w:r>
    </w:p>
    <w:p w14:paraId="46A461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.2结算单价=基准价×（1-中标下浮率）。</w:t>
      </w:r>
    </w:p>
    <w:p w14:paraId="13F6766A">
      <w:pPr>
        <w:pStyle w:val="268"/>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.3投标报价</w:t>
      </w:r>
      <w:r>
        <w:rPr>
          <w:rFonts w:hint="eastAsia" w:ascii="宋体" w:hAnsi="宋体" w:cs="宋体"/>
          <w:color w:val="auto"/>
          <w:sz w:val="24"/>
          <w:highlight w:val="none"/>
          <w:lang w:eastAsia="zh-CN"/>
        </w:rPr>
        <w:t>下浮率</w:t>
      </w:r>
      <w:r>
        <w:rPr>
          <w:rFonts w:hint="eastAsia" w:ascii="宋体" w:hAnsi="宋体" w:cs="宋体"/>
          <w:color w:val="auto"/>
          <w:sz w:val="24"/>
          <w:highlight w:val="none"/>
        </w:rPr>
        <w:t>最低要求：</w:t>
      </w:r>
      <w:r>
        <w:rPr>
          <w:rStyle w:val="267"/>
          <w:rFonts w:hint="eastAsia" w:ascii="宋体" w:hAnsi="宋体" w:eastAsia="宋体" w:cs="宋体"/>
          <w:b w:val="0"/>
          <w:bCs w:val="0"/>
          <w:color w:val="auto"/>
          <w:kern w:val="2"/>
          <w:sz w:val="24"/>
          <w:szCs w:val="24"/>
          <w:highlight w:val="none"/>
          <w:lang w:val="en-US" w:eastAsia="zh-CN" w:bidi="ar-SA"/>
        </w:rPr>
        <w:t>≥</w:t>
      </w:r>
      <w:r>
        <w:rPr>
          <w:rStyle w:val="267"/>
          <w:rFonts w:hint="eastAsia" w:ascii="宋体" w:hAnsi="宋体" w:cs="宋体"/>
          <w:b w:val="0"/>
          <w:bCs w:val="0"/>
          <w:color w:val="auto"/>
          <w:kern w:val="2"/>
          <w:sz w:val="24"/>
          <w:szCs w:val="24"/>
          <w:highlight w:val="none"/>
          <w:lang w:val="en-US" w:eastAsia="zh-CN" w:bidi="ar-SA"/>
        </w:rPr>
        <w:t>5</w:t>
      </w:r>
      <w:r>
        <w:rPr>
          <w:rStyle w:val="267"/>
          <w:rFonts w:hint="eastAsia" w:ascii="宋体" w:hAnsi="宋体" w:eastAsia="宋体" w:cs="宋体"/>
          <w:b w:val="0"/>
          <w:bCs w:val="0"/>
          <w:color w:val="auto"/>
          <w:kern w:val="2"/>
          <w:sz w:val="24"/>
          <w:szCs w:val="24"/>
          <w:highlight w:val="none"/>
          <w:lang w:val="en-US" w:eastAsia="zh-CN" w:bidi="ar-SA"/>
        </w:rPr>
        <w:t>%</w:t>
      </w:r>
    </w:p>
    <w:p w14:paraId="3CDFC064">
      <w:pPr>
        <w:keepNext w:val="0"/>
        <w:keepLines w:val="0"/>
        <w:pageBreakBefore w:val="0"/>
        <w:kinsoku/>
        <w:wordWrap/>
        <w:overflowPunct/>
        <w:topLinePunct w:val="0"/>
        <w:autoSpaceDE/>
        <w:autoSpaceDN/>
        <w:bidi w:val="0"/>
        <w:adjustRightInd/>
        <w:spacing w:line="440" w:lineRule="exact"/>
        <w:ind w:firstLine="482" w:firstLineChars="200"/>
        <w:textAlignment w:val="auto"/>
        <w:rPr>
          <w:rStyle w:val="267"/>
          <w:rFonts w:hint="default" w:ascii="宋体" w:hAnsi="宋体" w:eastAsia="宋体" w:cs="宋体"/>
          <w:b/>
          <w:color w:val="auto"/>
          <w:sz w:val="24"/>
          <w:szCs w:val="24"/>
          <w:highlight w:val="none"/>
        </w:rPr>
      </w:pPr>
      <w:r>
        <w:rPr>
          <w:rStyle w:val="267"/>
          <w:rFonts w:hint="eastAsia" w:ascii="宋体" w:hAnsi="宋体" w:cs="宋体"/>
          <w:b/>
          <w:color w:val="auto"/>
          <w:sz w:val="24"/>
          <w:szCs w:val="24"/>
          <w:highlight w:val="none"/>
          <w:lang w:val="en-US" w:eastAsia="zh-CN"/>
        </w:rPr>
        <w:t>3</w:t>
      </w:r>
      <w:r>
        <w:rPr>
          <w:rStyle w:val="267"/>
          <w:rFonts w:hint="eastAsia" w:ascii="宋体" w:hAnsi="宋体" w:eastAsia="宋体" w:cs="宋体"/>
          <w:b/>
          <w:color w:val="auto"/>
          <w:sz w:val="24"/>
          <w:szCs w:val="24"/>
          <w:highlight w:val="none"/>
        </w:rPr>
        <w:t>、</w:t>
      </w:r>
      <w:r>
        <w:rPr>
          <w:rStyle w:val="267"/>
          <w:rFonts w:hint="eastAsia" w:ascii="宋体" w:hAnsi="宋体" w:eastAsia="宋体" w:cs="宋体"/>
          <w:b/>
          <w:color w:val="auto"/>
          <w:sz w:val="24"/>
          <w:szCs w:val="24"/>
          <w:highlight w:val="none"/>
          <w:lang w:val="en-US" w:eastAsia="zh-CN"/>
        </w:rPr>
        <w:t>其它菜</w:t>
      </w:r>
      <w:r>
        <w:rPr>
          <w:rStyle w:val="267"/>
          <w:rFonts w:hint="eastAsia" w:ascii="宋体" w:hAnsi="宋体" w:eastAsia="宋体" w:cs="宋体"/>
          <w:b/>
          <w:color w:val="auto"/>
          <w:sz w:val="24"/>
          <w:szCs w:val="24"/>
          <w:highlight w:val="none"/>
        </w:rPr>
        <w:t>类食材价格的约定</w:t>
      </w:r>
    </w:p>
    <w:p w14:paraId="538D25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.1配送定价以东阳市民生商品价格监测信息发布为基准价，价格监测信息发布未涵盖的菜品、冷冻类</w:t>
      </w:r>
      <w:r>
        <w:rPr>
          <w:rStyle w:val="267"/>
          <w:rFonts w:hint="default" w:ascii="宋体" w:hAnsi="宋体" w:eastAsia="宋体" w:cs="宋体"/>
          <w:color w:val="auto"/>
          <w:sz w:val="24"/>
          <w:szCs w:val="24"/>
          <w:highlight w:val="none"/>
        </w:rPr>
        <w:t>食材</w:t>
      </w:r>
      <w:r>
        <w:rPr>
          <w:rFonts w:hint="eastAsia" w:ascii="宋体" w:hAnsi="宋体" w:cs="宋体"/>
          <w:color w:val="auto"/>
          <w:sz w:val="24"/>
          <w:highlight w:val="none"/>
        </w:rPr>
        <w:t>，以在东门菜场进行价格调查为辅助，定出基准价。</w:t>
      </w:r>
    </w:p>
    <w:p w14:paraId="77676C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.2结算单价=基准价×（1-中标下浮率）。</w:t>
      </w:r>
    </w:p>
    <w:p w14:paraId="4468FFD1">
      <w:pPr>
        <w:pStyle w:val="268"/>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.3投标报价下浮率最低要求：≥10%</w:t>
      </w:r>
    </w:p>
    <w:p w14:paraId="36BCF24D">
      <w:pPr>
        <w:keepNext w:val="0"/>
        <w:keepLines w:val="0"/>
        <w:pageBreakBefore w:val="0"/>
        <w:numPr>
          <w:ilvl w:val="0"/>
          <w:numId w:val="0"/>
        </w:numPr>
        <w:kinsoku/>
        <w:wordWrap/>
        <w:overflowPunct/>
        <w:topLinePunct w:val="0"/>
        <w:autoSpaceDE/>
        <w:autoSpaceDN/>
        <w:bidi w:val="0"/>
        <w:adjustRightIn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粮油类</w:t>
      </w:r>
      <w:r>
        <w:rPr>
          <w:rStyle w:val="267"/>
          <w:rFonts w:hint="default" w:ascii="宋体" w:hAnsi="宋体" w:eastAsia="宋体" w:cs="宋体"/>
          <w:b/>
          <w:color w:val="auto"/>
          <w:sz w:val="24"/>
          <w:szCs w:val="24"/>
          <w:highlight w:val="none"/>
        </w:rPr>
        <w:t>食材</w:t>
      </w:r>
      <w:r>
        <w:rPr>
          <w:rFonts w:hint="eastAsia" w:ascii="宋体" w:hAnsi="宋体" w:cs="宋体"/>
          <w:b/>
          <w:bCs/>
          <w:color w:val="auto"/>
          <w:sz w:val="24"/>
          <w:highlight w:val="none"/>
        </w:rPr>
        <w:t>价格的约定</w:t>
      </w:r>
    </w:p>
    <w:p w14:paraId="5D18C9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.1配送定价以浙江粮油交易网（www.zjlyjy.com/）发布的每个品种的价格为基准价，未涵盖的</w:t>
      </w:r>
      <w:r>
        <w:rPr>
          <w:rStyle w:val="267"/>
          <w:rFonts w:hint="default" w:ascii="宋体" w:hAnsi="宋体" w:eastAsia="宋体" w:cs="宋体"/>
          <w:color w:val="auto"/>
          <w:sz w:val="24"/>
          <w:szCs w:val="24"/>
          <w:highlight w:val="none"/>
        </w:rPr>
        <w:t>食材</w:t>
      </w:r>
      <w:r>
        <w:rPr>
          <w:rFonts w:hint="eastAsia" w:ascii="宋体" w:hAnsi="宋体" w:cs="宋体"/>
          <w:color w:val="auto"/>
          <w:sz w:val="24"/>
          <w:highlight w:val="none"/>
        </w:rPr>
        <w:t>，以在东门菜场进行价格调查为辅助，定出基准价。</w:t>
      </w:r>
    </w:p>
    <w:p w14:paraId="71D402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.2结算单价=基准价×（1-中标下浮率）。</w:t>
      </w:r>
    </w:p>
    <w:p w14:paraId="57C6C248">
      <w:pPr>
        <w:pStyle w:val="268"/>
        <w:spacing w:line="360" w:lineRule="auto"/>
        <w:rPr>
          <w:rFonts w:ascii="宋体" w:hAnsi="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.3投标报价下浮率最低要求：≥</w:t>
      </w:r>
      <w:r>
        <w:rPr>
          <w:rFonts w:ascii="宋体" w:hAnsi="宋体" w:cs="宋体"/>
          <w:color w:val="auto"/>
          <w:sz w:val="24"/>
          <w:highlight w:val="none"/>
        </w:rPr>
        <w:t>5</w:t>
      </w:r>
      <w:r>
        <w:rPr>
          <w:rFonts w:hint="eastAsia" w:ascii="宋体" w:hAnsi="宋体" w:cs="宋体"/>
          <w:color w:val="auto"/>
          <w:sz w:val="24"/>
          <w:highlight w:val="none"/>
        </w:rPr>
        <w:t>%</w:t>
      </w:r>
    </w:p>
    <w:p w14:paraId="572F9716">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5、食材价格的核查确定</w:t>
      </w:r>
    </w:p>
    <w:p w14:paraId="07E929B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b w:val="0"/>
          <w:bCs w:val="0"/>
          <w:color w:val="auto"/>
          <w:sz w:val="24"/>
          <w:highlight w:val="none"/>
        </w:rPr>
      </w:pPr>
      <w:r>
        <w:rPr>
          <w:rFonts w:hint="eastAsia" w:ascii="宋体" w:hAnsi="宋体" w:cs="宋体"/>
          <w:color w:val="auto"/>
          <w:sz w:val="24"/>
          <w:highlight w:val="none"/>
          <w:lang w:val="en-US" w:eastAsia="zh-CN"/>
        </w:rPr>
        <w:t>中标方每天按照中标确定的浮动比例确定实际配送食材的价格。采购方每月至少进行二次价格抽查，如果发现中标方所报价格未能达到招标确定的下浮比例，则该次抽查至前一次抽查间所有的该大类食材价格统一以本次抽查的价格差，按比例下调总价,并从该段时间内所有食材结算款中扣除5000元作为罚款。</w:t>
      </w:r>
    </w:p>
    <w:p w14:paraId="142ACAD7">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八、结算及付款约定</w:t>
      </w:r>
      <w:r>
        <w:rPr>
          <w:rFonts w:hint="eastAsia" w:ascii="宋体" w:hAnsi="宋体" w:cs="宋体"/>
          <w:b/>
          <w:color w:val="auto"/>
          <w:sz w:val="24"/>
          <w:highlight w:val="none"/>
          <w:lang w:eastAsia="zh-CN"/>
        </w:rPr>
        <w:t>：</w:t>
      </w:r>
    </w:p>
    <w:p w14:paraId="5EDC320E">
      <w:pPr>
        <w:numPr>
          <w:ilvl w:val="0"/>
          <w:numId w:val="0"/>
        </w:numPr>
        <w:snapToGrid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合同生效以及具备实施条件后7个工作日内支付</w:t>
      </w:r>
      <w:r>
        <w:rPr>
          <w:rFonts w:hint="eastAsia" w:ascii="宋体" w:hAnsi="宋体" w:eastAsia="宋体" w:cs="宋体"/>
          <w:color w:val="auto"/>
          <w:sz w:val="24"/>
          <w:szCs w:val="24"/>
          <w:highlight w:val="none"/>
          <w:lang w:val="en-US" w:eastAsia="zh-CN"/>
        </w:rPr>
        <w:t>合同金额的</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%作为项目的预付款（采购人根据项目特点、供应商诚信等因素，可以要求中标人提交预付款保函）；</w:t>
      </w:r>
    </w:p>
    <w:p w14:paraId="6D4285B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highlight w:val="none"/>
        </w:rPr>
        <w:t>配送单位送货时必须提供三</w:t>
      </w:r>
      <w:r>
        <w:rPr>
          <w:rFonts w:hint="eastAsia" w:ascii="宋体" w:hAnsi="宋体" w:cs="宋体"/>
          <w:color w:val="auto"/>
          <w:kern w:val="0"/>
          <w:sz w:val="24"/>
          <w:highlight w:val="none"/>
        </w:rPr>
        <w:t>联</w:t>
      </w:r>
      <w:r>
        <w:rPr>
          <w:rFonts w:hint="eastAsia" w:ascii="宋体" w:hAnsi="宋体" w:cs="宋体"/>
          <w:color w:val="auto"/>
          <w:sz w:val="24"/>
          <w:highlight w:val="none"/>
        </w:rPr>
        <w:t>的送货清单，验收签字后一张留食堂记台账，一张返还中标配送企业，一张作为月底结账凭据，每月结账一次</w:t>
      </w:r>
      <w:r>
        <w:rPr>
          <w:rFonts w:hint="eastAsia" w:ascii="宋体" w:hAnsi="宋体" w:eastAsia="宋体" w:cs="宋体"/>
          <w:color w:val="auto"/>
          <w:sz w:val="24"/>
          <w:szCs w:val="24"/>
          <w:highlight w:val="none"/>
          <w:lang w:val="en-US" w:eastAsia="zh-CN"/>
        </w:rPr>
        <w:t>。每月初根据上个月送货清单，经双方核对后5日内由中标方提供正式税务发票，采购单位报销手续完成后支付（不计息）。</w:t>
      </w:r>
    </w:p>
    <w:p w14:paraId="61E71856">
      <w:pPr>
        <w:spacing w:line="360" w:lineRule="auto"/>
        <w:rPr>
          <w:rFonts w:hint="eastAsia" w:ascii="宋体" w:hAnsi="宋体" w:eastAsia="宋体"/>
          <w:b/>
          <w:bCs/>
          <w:strike w:val="0"/>
          <w:dstrike w:val="0"/>
          <w:color w:val="auto"/>
          <w:sz w:val="24"/>
          <w:highlight w:val="none"/>
          <w:lang w:val="en-US" w:eastAsia="zh-CN"/>
        </w:rPr>
      </w:pPr>
      <w:r>
        <w:rPr>
          <w:rFonts w:hint="eastAsia" w:ascii="宋体" w:hAnsi="宋体"/>
          <w:b/>
          <w:bCs/>
          <w:strike w:val="0"/>
          <w:dstrike w:val="0"/>
          <w:color w:val="auto"/>
          <w:sz w:val="24"/>
          <w:highlight w:val="none"/>
          <w:lang w:val="en-US" w:eastAsia="zh-CN"/>
        </w:rPr>
        <w:t>九</w:t>
      </w:r>
      <w:r>
        <w:rPr>
          <w:rFonts w:hint="eastAsia" w:ascii="宋体" w:hAnsi="宋体" w:eastAsia="宋体"/>
          <w:b/>
          <w:bCs/>
          <w:strike w:val="0"/>
          <w:dstrike w:val="0"/>
          <w:color w:val="auto"/>
          <w:sz w:val="24"/>
          <w:highlight w:val="none"/>
          <w:lang w:val="en-US" w:eastAsia="zh-CN"/>
        </w:rPr>
        <w:t>、项目投标报价要求</w:t>
      </w:r>
      <w:r>
        <w:rPr>
          <w:rFonts w:hint="eastAsia" w:ascii="宋体" w:hAnsi="宋体"/>
          <w:b/>
          <w:bCs/>
          <w:strike w:val="0"/>
          <w:dstrike w:val="0"/>
          <w:color w:val="auto"/>
          <w:sz w:val="24"/>
          <w:highlight w:val="none"/>
          <w:lang w:val="en-US" w:eastAsia="zh-CN"/>
        </w:rPr>
        <w:t>：</w:t>
      </w:r>
    </w:p>
    <w:p w14:paraId="45FA3AC9">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▲1、</w:t>
      </w:r>
      <w:bookmarkStart w:id="3" w:name="OLE_LINK2"/>
      <w:r>
        <w:rPr>
          <w:rFonts w:hint="eastAsia" w:ascii="宋体" w:hAnsi="宋体" w:eastAsia="宋体"/>
          <w:b w:val="0"/>
          <w:bCs w:val="0"/>
          <w:strike w:val="0"/>
          <w:dstrike w:val="0"/>
          <w:color w:val="auto"/>
          <w:sz w:val="24"/>
          <w:highlight w:val="none"/>
          <w:lang w:val="en-US" w:eastAsia="zh-CN"/>
        </w:rPr>
        <w:t>投标报价包括招标文件规定相应的服务外还包括人工费、工时费、所必须配备的附件、保险费、劳保费等完成本项目的其它费用和政策性文件规定及合同包含的所有风险、责任等各项应有费用。如有漏项，视同已包含在本报价中，合同总价不做调整。</w:t>
      </w:r>
      <w:bookmarkEnd w:id="3"/>
    </w:p>
    <w:p w14:paraId="3C344812">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2、按国家规定由中标人缴纳的各种税收已包含在投标总价内，由中标人向税务机关缴纳。</w:t>
      </w:r>
    </w:p>
    <w:p w14:paraId="7A2254E2">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十二、其他要求</w:t>
      </w:r>
    </w:p>
    <w:p w14:paraId="1A650394">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▲中标单位必须在服务期间时采取安全保障措施，服务过程中产生的安全事故及责任均由中标单位自行承担。</w:t>
      </w:r>
    </w:p>
    <w:p w14:paraId="4E480CA1">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十三、保密</w:t>
      </w:r>
    </w:p>
    <w:p w14:paraId="3D470FF4">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招投标双方应分别为对方在投标文件和招标文件中涉及的商业和技术等秘密保密，违者应对由此造成的后果承担责任。</w:t>
      </w:r>
    </w:p>
    <w:p w14:paraId="7150A088">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十四、合同的签订</w:t>
      </w:r>
    </w:p>
    <w:p w14:paraId="6D65B676">
      <w:pPr>
        <w:spacing w:line="360" w:lineRule="auto"/>
        <w:ind w:firstLine="240" w:firstLineChars="100"/>
        <w:rPr>
          <w:rFonts w:hint="eastAsia" w:ascii="宋体" w:hAnsi="宋体" w:eastAsia="宋体"/>
          <w:b w:val="0"/>
          <w:bCs w:val="0"/>
          <w:strike w:val="0"/>
          <w:dstrike w:val="0"/>
          <w:color w:val="auto"/>
          <w:sz w:val="24"/>
          <w:highlight w:val="none"/>
          <w:lang w:val="en-US" w:eastAsia="zh-CN"/>
        </w:rPr>
      </w:pPr>
      <w:r>
        <w:rPr>
          <w:rFonts w:hint="eastAsia" w:ascii="宋体" w:hAnsi="宋体" w:eastAsia="宋体"/>
          <w:b w:val="0"/>
          <w:bCs w:val="0"/>
          <w:strike w:val="0"/>
          <w:dstrike w:val="0"/>
          <w:color w:val="auto"/>
          <w:sz w:val="24"/>
          <w:highlight w:val="none"/>
          <w:lang w:val="en-US" w:eastAsia="zh-CN"/>
        </w:rPr>
        <w:t>中标单位在收到《中标通知书》后20日内与东阳市公安局签订合同。</w:t>
      </w:r>
    </w:p>
    <w:p w14:paraId="1BD7E1C1">
      <w:pPr>
        <w:pStyle w:val="2"/>
        <w:rPr>
          <w:rFonts w:ascii="宋体"/>
          <w:b/>
          <w:color w:val="auto"/>
          <w:sz w:val="24"/>
          <w:highlight w:val="none"/>
        </w:rPr>
      </w:pPr>
    </w:p>
    <w:p w14:paraId="313DB357">
      <w:pPr>
        <w:pStyle w:val="2"/>
        <w:rPr>
          <w:rFonts w:ascii="宋体"/>
          <w:b/>
          <w:color w:val="auto"/>
          <w:sz w:val="24"/>
          <w:highlight w:val="none"/>
        </w:rPr>
      </w:pPr>
    </w:p>
    <w:p w14:paraId="55D486E8">
      <w:pPr>
        <w:pStyle w:val="24"/>
        <w:snapToGrid w:val="0"/>
        <w:spacing w:before="120" w:after="120" w:line="336" w:lineRule="auto"/>
        <w:outlineLvl w:val="0"/>
        <w:rPr>
          <w:rFonts w:ascii="黑体" w:hAnsi="宋体" w:eastAsia="黑体"/>
          <w:b/>
          <w:bCs/>
          <w:color w:val="auto"/>
          <w:sz w:val="32"/>
          <w:szCs w:val="32"/>
          <w:highlight w:val="none"/>
        </w:rPr>
      </w:pPr>
    </w:p>
    <w:p w14:paraId="15913437">
      <w:pPr>
        <w:rPr>
          <w:rFonts w:hint="eastAsia" w:ascii="黑体" w:hAnsi="宋体" w:eastAsia="黑体"/>
          <w:b/>
          <w:bCs/>
          <w:color w:val="auto"/>
          <w:sz w:val="32"/>
          <w:szCs w:val="32"/>
          <w:highlight w:val="none"/>
        </w:rPr>
      </w:pPr>
      <w:r>
        <w:rPr>
          <w:rFonts w:hint="eastAsia" w:ascii="黑体" w:hAnsi="宋体" w:eastAsia="黑体"/>
          <w:b/>
          <w:bCs/>
          <w:color w:val="auto"/>
          <w:sz w:val="32"/>
          <w:szCs w:val="32"/>
          <w:highlight w:val="none"/>
        </w:rPr>
        <w:br w:type="page"/>
      </w:r>
    </w:p>
    <w:p w14:paraId="1186AA65">
      <w:pPr>
        <w:pStyle w:val="24"/>
        <w:snapToGrid w:val="0"/>
        <w:spacing w:before="120" w:after="120" w:line="336" w:lineRule="auto"/>
        <w:jc w:val="center"/>
        <w:outlineLvl w:val="0"/>
        <w:rPr>
          <w:rFonts w:hint="eastAsia" w:ascii="宋体" w:hAnsi="宋体"/>
          <w:b/>
          <w:color w:val="auto"/>
          <w:sz w:val="24"/>
          <w:highlight w:val="none"/>
        </w:rPr>
      </w:pPr>
      <w:r>
        <w:rPr>
          <w:rFonts w:hint="eastAsia" w:ascii="黑体" w:hAnsi="宋体" w:eastAsia="黑体"/>
          <w:b/>
          <w:bCs/>
          <w:color w:val="auto"/>
          <w:sz w:val="32"/>
          <w:szCs w:val="32"/>
          <w:highlight w:val="none"/>
        </w:rPr>
        <w:t>第三章</w:t>
      </w:r>
      <w:r>
        <w:rPr>
          <w:rFonts w:ascii="黑体" w:hAnsi="宋体" w:eastAsia="黑体"/>
          <w:b/>
          <w:bCs/>
          <w:color w:val="auto"/>
          <w:sz w:val="32"/>
          <w:szCs w:val="32"/>
          <w:highlight w:val="none"/>
        </w:rPr>
        <w:t xml:space="preserve">  </w:t>
      </w:r>
      <w:r>
        <w:rPr>
          <w:rFonts w:hint="eastAsia" w:ascii="黑体" w:hAnsi="宋体" w:eastAsia="黑体"/>
          <w:b/>
          <w:bCs/>
          <w:color w:val="auto"/>
          <w:sz w:val="32"/>
          <w:szCs w:val="32"/>
          <w:highlight w:val="none"/>
        </w:rPr>
        <w:t>投标人须知</w:t>
      </w:r>
    </w:p>
    <w:p w14:paraId="0ECB3369">
      <w:pPr>
        <w:snapToGrid w:val="0"/>
        <w:spacing w:beforeLines="50" w:afterLines="50" w:line="360" w:lineRule="auto"/>
        <w:jc w:val="center"/>
        <w:outlineLvl w:val="1"/>
        <w:rPr>
          <w:rFonts w:ascii="宋体"/>
          <w:b/>
          <w:color w:val="auto"/>
          <w:sz w:val="24"/>
          <w:highlight w:val="none"/>
        </w:rPr>
      </w:pPr>
      <w:r>
        <w:rPr>
          <w:rFonts w:hint="eastAsia" w:ascii="宋体" w:hAnsi="宋体"/>
          <w:b/>
          <w:color w:val="auto"/>
          <w:sz w:val="24"/>
          <w:highlight w:val="none"/>
        </w:rPr>
        <w:t>前附表</w:t>
      </w:r>
    </w:p>
    <w:tbl>
      <w:tblPr>
        <w:tblStyle w:val="45"/>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061B4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bottom w:val="single" w:color="auto" w:sz="4" w:space="0"/>
              <w:right w:val="single" w:color="auto" w:sz="4" w:space="0"/>
            </w:tcBorders>
            <w:vAlign w:val="center"/>
          </w:tcPr>
          <w:p w14:paraId="7E532506">
            <w:pPr>
              <w:snapToGrid w:val="0"/>
              <w:ind w:left="-105" w:leftChars="-50" w:right="-105" w:rightChars="-50"/>
              <w:jc w:val="center"/>
              <w:rPr>
                <w:rFonts w:ascii="宋体"/>
                <w:color w:val="auto"/>
                <w:sz w:val="24"/>
                <w:highlight w:val="none"/>
              </w:rPr>
            </w:pPr>
            <w:r>
              <w:rPr>
                <w:rFonts w:hint="eastAsia" w:ascii="宋体" w:hAnsi="宋体"/>
                <w:color w:val="auto"/>
                <w:sz w:val="24"/>
                <w:highlight w:val="none"/>
              </w:rPr>
              <w:t>序号</w:t>
            </w:r>
          </w:p>
        </w:tc>
        <w:tc>
          <w:tcPr>
            <w:tcW w:w="8592" w:type="dxa"/>
            <w:tcBorders>
              <w:top w:val="single" w:color="auto" w:sz="4" w:space="0"/>
              <w:left w:val="single" w:color="auto" w:sz="4" w:space="0"/>
              <w:bottom w:val="single" w:color="auto" w:sz="4" w:space="0"/>
            </w:tcBorders>
            <w:vAlign w:val="center"/>
          </w:tcPr>
          <w:p w14:paraId="49826F84">
            <w:pPr>
              <w:snapToGrid w:val="0"/>
              <w:jc w:val="center"/>
              <w:rPr>
                <w:rFonts w:ascii="宋体"/>
                <w:color w:val="auto"/>
                <w:sz w:val="24"/>
                <w:highlight w:val="none"/>
              </w:rPr>
            </w:pPr>
            <w:r>
              <w:rPr>
                <w:rFonts w:hint="eastAsia" w:ascii="宋体" w:hAnsi="宋体"/>
                <w:color w:val="auto"/>
                <w:sz w:val="24"/>
                <w:highlight w:val="none"/>
              </w:rPr>
              <w:t>内容、要求</w:t>
            </w:r>
          </w:p>
        </w:tc>
      </w:tr>
      <w:tr w14:paraId="2A990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bottom w:val="single" w:color="auto" w:sz="4" w:space="0"/>
              <w:right w:val="single" w:color="auto" w:sz="4" w:space="0"/>
            </w:tcBorders>
            <w:vAlign w:val="center"/>
          </w:tcPr>
          <w:p w14:paraId="74AB1FFE">
            <w:pPr>
              <w:snapToGrid w:val="0"/>
              <w:jc w:val="center"/>
              <w:rPr>
                <w:rFonts w:ascii="宋体"/>
                <w:color w:val="auto"/>
                <w:sz w:val="24"/>
                <w:highlight w:val="none"/>
              </w:rPr>
            </w:pPr>
            <w:r>
              <w:rPr>
                <w:rFonts w:ascii="宋体" w:hAnsi="宋体"/>
                <w:color w:val="auto"/>
                <w:sz w:val="24"/>
                <w:highlight w:val="none"/>
              </w:rPr>
              <w:t>1</w:t>
            </w:r>
          </w:p>
        </w:tc>
        <w:tc>
          <w:tcPr>
            <w:tcW w:w="8592" w:type="dxa"/>
            <w:tcBorders>
              <w:top w:val="single" w:color="auto" w:sz="4" w:space="0"/>
              <w:left w:val="single" w:color="auto" w:sz="4" w:space="0"/>
              <w:bottom w:val="single" w:color="auto" w:sz="4" w:space="0"/>
            </w:tcBorders>
            <w:vAlign w:val="center"/>
          </w:tcPr>
          <w:p w14:paraId="54C46CCD">
            <w:pPr>
              <w:snapToGrid w:val="0"/>
              <w:jc w:val="left"/>
              <w:rPr>
                <w:rFonts w:hint="eastAsia" w:asci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东阳市公安局食材配送服务采购项目</w:t>
            </w:r>
          </w:p>
        </w:tc>
      </w:tr>
      <w:tr w14:paraId="6B8A4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bottom w:val="single" w:color="auto" w:sz="4" w:space="0"/>
              <w:right w:val="single" w:color="auto" w:sz="4" w:space="0"/>
            </w:tcBorders>
            <w:vAlign w:val="center"/>
          </w:tcPr>
          <w:p w14:paraId="0C7A0DAC">
            <w:pPr>
              <w:snapToGrid w:val="0"/>
              <w:jc w:val="center"/>
              <w:rPr>
                <w:rFonts w:ascii="宋体"/>
                <w:color w:val="auto"/>
                <w:sz w:val="24"/>
                <w:highlight w:val="none"/>
              </w:rPr>
            </w:pPr>
            <w:r>
              <w:rPr>
                <w:rFonts w:ascii="宋体" w:hAnsi="宋体"/>
                <w:color w:val="auto"/>
                <w:sz w:val="24"/>
                <w:highlight w:val="none"/>
              </w:rPr>
              <w:t>2</w:t>
            </w:r>
          </w:p>
        </w:tc>
        <w:tc>
          <w:tcPr>
            <w:tcW w:w="8592" w:type="dxa"/>
            <w:tcBorders>
              <w:top w:val="single" w:color="auto" w:sz="4" w:space="0"/>
              <w:left w:val="single" w:color="auto" w:sz="4" w:space="0"/>
              <w:bottom w:val="single" w:color="auto" w:sz="4" w:space="0"/>
            </w:tcBorders>
            <w:vAlign w:val="center"/>
          </w:tcPr>
          <w:p w14:paraId="66106B9B">
            <w:pPr>
              <w:snapToGrid w:val="0"/>
              <w:jc w:val="left"/>
              <w:rPr>
                <w:rFonts w:ascii="宋体"/>
                <w:color w:val="auto"/>
                <w:sz w:val="24"/>
                <w:highlight w:val="none"/>
              </w:rPr>
            </w:pPr>
            <w:r>
              <w:rPr>
                <w:rFonts w:hint="eastAsia" w:ascii="宋体" w:hAnsi="宋体"/>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w:t>
            </w:r>
            <w:r>
              <w:rPr>
                <w:rFonts w:hint="eastAsia" w:ascii="宋体" w:hAnsi="宋体" w:cs="宋体"/>
                <w:b w:val="0"/>
                <w:bCs w:val="0"/>
                <w:color w:val="auto"/>
                <w:sz w:val="24"/>
                <w:highlight w:val="none"/>
              </w:rPr>
              <w:t>下浮率</w:t>
            </w:r>
            <w:r>
              <w:rPr>
                <w:rFonts w:hint="eastAsia" w:ascii="宋体" w:hAnsi="宋体"/>
                <w:color w:val="auto"/>
                <w:sz w:val="24"/>
                <w:highlight w:val="none"/>
              </w:rPr>
              <w:t>报价；</w:t>
            </w:r>
            <w:r>
              <w:rPr>
                <w:rFonts w:ascii="宋体" w:hAnsi="宋体"/>
                <w:color w:val="auto"/>
                <w:sz w:val="24"/>
                <w:highlight w:val="none"/>
              </w:rPr>
              <w:t>2</w:t>
            </w:r>
            <w:r>
              <w:rPr>
                <w:rFonts w:hint="eastAsia" w:ascii="宋体" w:hAnsi="宋体"/>
                <w:color w:val="auto"/>
                <w:sz w:val="24"/>
                <w:highlight w:val="none"/>
              </w:rPr>
              <w:t>、不论</w:t>
            </w:r>
            <w:r>
              <w:rPr>
                <w:rFonts w:hint="eastAsia" w:ascii="宋体" w:hAnsi="宋体" w:cs="宋体"/>
                <w:color w:val="auto"/>
                <w:sz w:val="24"/>
                <w:highlight w:val="none"/>
              </w:rPr>
              <w:t>投标结果如何，投标人均应自行承担所有与投标有关的全部费用；3、投标费用：</w:t>
            </w:r>
            <w:r>
              <w:rPr>
                <w:rFonts w:hint="eastAsia" w:ascii="宋体" w:hAnsi="宋体" w:cs="宋体"/>
                <w:color w:val="auto"/>
                <w:sz w:val="24"/>
                <w:highlight w:val="none"/>
                <w:lang w:eastAsia="zh-CN"/>
              </w:rPr>
              <w:t>泰宇建筑工程技术咨询有限公司</w:t>
            </w:r>
            <w:r>
              <w:rPr>
                <w:rFonts w:hint="eastAsia" w:ascii="宋体" w:hAnsi="宋体" w:cs="宋体"/>
                <w:color w:val="auto"/>
                <w:sz w:val="24"/>
                <w:highlight w:val="none"/>
              </w:rPr>
              <w:t>按本招标文件总则中的第5条向中标单位收取中标服务费，中标单位在领取中标通知书前交纳。</w:t>
            </w:r>
          </w:p>
        </w:tc>
      </w:tr>
      <w:tr w14:paraId="6610A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48" w:type="dxa"/>
            <w:tcBorders>
              <w:top w:val="single" w:color="auto" w:sz="4" w:space="0"/>
              <w:bottom w:val="single" w:color="auto" w:sz="4" w:space="0"/>
              <w:right w:val="single" w:color="auto" w:sz="4" w:space="0"/>
            </w:tcBorders>
            <w:vAlign w:val="center"/>
          </w:tcPr>
          <w:p w14:paraId="3516F30F">
            <w:pPr>
              <w:snapToGrid w:val="0"/>
              <w:jc w:val="center"/>
              <w:rPr>
                <w:rFonts w:ascii="宋体"/>
                <w:color w:val="auto"/>
                <w:sz w:val="24"/>
                <w:highlight w:val="none"/>
              </w:rPr>
            </w:pPr>
            <w:r>
              <w:rPr>
                <w:rFonts w:ascii="宋体" w:hAnsi="宋体"/>
                <w:color w:val="auto"/>
                <w:sz w:val="24"/>
                <w:highlight w:val="none"/>
              </w:rPr>
              <w:t>3</w:t>
            </w:r>
          </w:p>
        </w:tc>
        <w:tc>
          <w:tcPr>
            <w:tcW w:w="8592" w:type="dxa"/>
            <w:tcBorders>
              <w:top w:val="single" w:color="auto" w:sz="4" w:space="0"/>
              <w:left w:val="single" w:color="auto" w:sz="4" w:space="0"/>
              <w:bottom w:val="single" w:color="auto" w:sz="4" w:space="0"/>
            </w:tcBorders>
            <w:vAlign w:val="center"/>
          </w:tcPr>
          <w:p w14:paraId="33C8F8A1">
            <w:pPr>
              <w:snapToGrid w:val="0"/>
              <w:jc w:val="left"/>
              <w:rPr>
                <w:rFonts w:ascii="宋体"/>
                <w:color w:val="auto"/>
                <w:sz w:val="24"/>
                <w:highlight w:val="none"/>
              </w:rPr>
            </w:pPr>
            <w:r>
              <w:rPr>
                <w:rFonts w:hint="eastAsia" w:ascii="宋体" w:hAnsi="宋体" w:cs="宋体"/>
                <w:color w:val="auto"/>
                <w:sz w:val="24"/>
                <w:highlight w:val="none"/>
              </w:rPr>
              <w:t>本项目已对中小微进行预留，不再重复享受价格扣除的优惠政策。</w:t>
            </w:r>
          </w:p>
        </w:tc>
      </w:tr>
      <w:tr w14:paraId="1EE29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bottom w:val="single" w:color="auto" w:sz="4" w:space="0"/>
              <w:right w:val="single" w:color="auto" w:sz="4" w:space="0"/>
            </w:tcBorders>
            <w:vAlign w:val="center"/>
          </w:tcPr>
          <w:p w14:paraId="511B8CDC">
            <w:pPr>
              <w:snapToGrid w:val="0"/>
              <w:jc w:val="center"/>
              <w:rPr>
                <w:rFonts w:ascii="宋体"/>
                <w:color w:val="auto"/>
                <w:sz w:val="24"/>
                <w:highlight w:val="none"/>
              </w:rPr>
            </w:pPr>
            <w:r>
              <w:rPr>
                <w:rFonts w:ascii="宋体" w:hAnsi="宋体"/>
                <w:color w:val="auto"/>
                <w:sz w:val="24"/>
                <w:highlight w:val="none"/>
              </w:rPr>
              <w:t>4</w:t>
            </w:r>
          </w:p>
        </w:tc>
        <w:tc>
          <w:tcPr>
            <w:tcW w:w="8592" w:type="dxa"/>
            <w:tcBorders>
              <w:top w:val="single" w:color="auto" w:sz="4" w:space="0"/>
              <w:left w:val="single" w:color="auto" w:sz="4" w:space="0"/>
              <w:bottom w:val="single" w:color="auto" w:sz="4" w:space="0"/>
            </w:tcBorders>
            <w:vAlign w:val="center"/>
          </w:tcPr>
          <w:p w14:paraId="6D9B6127">
            <w:pPr>
              <w:snapToGrid w:val="0"/>
              <w:rPr>
                <w:rFonts w:ascii="宋体"/>
                <w:color w:val="auto"/>
                <w:sz w:val="24"/>
                <w:highlight w:val="none"/>
              </w:rPr>
            </w:pPr>
            <w:r>
              <w:rPr>
                <w:rFonts w:hint="eastAsia" w:ascii="宋体" w:hAnsi="宋体"/>
                <w:color w:val="auto"/>
                <w:sz w:val="24"/>
                <w:highlight w:val="none"/>
              </w:rPr>
              <w:t>答疑与澄清：投标人如认为招标文件表述不清晰、存在歧视性、排他性或者其他违法内容的，应当</w:t>
            </w:r>
            <w:r>
              <w:rPr>
                <w:rFonts w:hint="eastAsia" w:ascii="宋体" w:hAnsi="宋体"/>
                <w:color w:val="auto"/>
                <w:sz w:val="24"/>
                <w:highlight w:val="none"/>
                <w:shd w:val="clear" w:color="auto" w:fill="FFFFFF"/>
              </w:rPr>
              <w:t>于</w:t>
            </w:r>
            <w:r>
              <w:rPr>
                <w:rFonts w:hint="eastAsia" w:ascii="宋体" w:hAnsi="宋体"/>
                <w:b/>
                <w:bCs/>
                <w:color w:val="auto"/>
                <w:sz w:val="24"/>
                <w:highlight w:val="none"/>
                <w:u w:val="single"/>
                <w:shd w:val="clear" w:color="auto" w:fill="FFFFFF"/>
              </w:rPr>
              <w:t>质疑期限届满之日</w:t>
            </w:r>
            <w:r>
              <w:rPr>
                <w:rFonts w:hint="eastAsia" w:ascii="宋体" w:hAnsi="宋体"/>
                <w:color w:val="auto"/>
                <w:sz w:val="24"/>
                <w:highlight w:val="none"/>
                <w:shd w:val="clear" w:color="auto" w:fill="FFFFFF"/>
              </w:rPr>
              <w:t>前，</w:t>
            </w:r>
            <w:r>
              <w:rPr>
                <w:rFonts w:hint="eastAsia" w:ascii="宋体" w:hAnsi="宋体"/>
                <w:color w:val="auto"/>
                <w:sz w:val="24"/>
                <w:highlight w:val="none"/>
              </w:rPr>
              <w:t>以书面形式要求招标采购单位作出书面解释、澄清或者向招标采购单位提出书面质疑（</w:t>
            </w:r>
            <w:r>
              <w:rPr>
                <w:rFonts w:hint="eastAsia" w:ascii="宋体" w:hAnsi="宋体"/>
                <w:b/>
                <w:color w:val="auto"/>
                <w:sz w:val="24"/>
                <w:highlight w:val="none"/>
              </w:rPr>
              <w:t>超过此规定时间的质疑函将不予受理）</w:t>
            </w:r>
            <w:r>
              <w:rPr>
                <w:rFonts w:hint="eastAsia" w:ascii="宋体" w:hAnsi="宋体"/>
                <w:color w:val="auto"/>
                <w:sz w:val="24"/>
                <w:highlight w:val="none"/>
              </w:rPr>
              <w:t>；招标采购单位将于</w:t>
            </w:r>
            <w:r>
              <w:rPr>
                <w:rFonts w:hint="eastAsia" w:ascii="宋体" w:hAnsi="宋体"/>
                <w:b/>
                <w:bCs/>
                <w:color w:val="auto"/>
                <w:sz w:val="24"/>
                <w:highlight w:val="none"/>
                <w:u w:val="single"/>
                <w:shd w:val="clear" w:color="auto" w:fill="FFFFFF"/>
              </w:rPr>
              <w:t>答疑期限届满之日</w:t>
            </w:r>
            <w:r>
              <w:rPr>
                <w:rFonts w:hint="eastAsia" w:ascii="宋体" w:hAnsi="宋体"/>
                <w:b/>
                <w:bCs/>
                <w:color w:val="auto"/>
                <w:sz w:val="24"/>
                <w:highlight w:val="none"/>
                <w:shd w:val="clear" w:color="auto" w:fill="FFFFFF"/>
              </w:rPr>
              <w:t>前</w:t>
            </w:r>
            <w:r>
              <w:rPr>
                <w:rFonts w:hint="eastAsia" w:ascii="宋体" w:hAnsi="宋体"/>
                <w:color w:val="auto"/>
                <w:sz w:val="24"/>
                <w:highlight w:val="none"/>
                <w:shd w:val="clear" w:color="auto" w:fill="FFFFFF"/>
              </w:rPr>
              <w:t>将答疑内容以传真或网上发布公告的形式通知所有已报名的投标人；答疑内容是招标</w:t>
            </w:r>
            <w:r>
              <w:rPr>
                <w:rFonts w:hint="eastAsia" w:ascii="宋体" w:hAnsi="宋体"/>
                <w:color w:val="auto"/>
                <w:sz w:val="24"/>
                <w:highlight w:val="none"/>
              </w:rPr>
              <w:t>文件的组成部分；因其他紧急情况影响本项目正常招标活动的，招标采购单位将于投标截止日期</w:t>
            </w:r>
            <w:r>
              <w:rPr>
                <w:rFonts w:ascii="宋体" w:hAnsi="宋体"/>
                <w:color w:val="auto"/>
                <w:sz w:val="24"/>
                <w:highlight w:val="none"/>
              </w:rPr>
              <w:t>5</w:t>
            </w:r>
            <w:r>
              <w:rPr>
                <w:rFonts w:hint="eastAsia" w:ascii="宋体" w:hAnsi="宋体"/>
                <w:color w:val="auto"/>
                <w:sz w:val="24"/>
                <w:highlight w:val="none"/>
              </w:rPr>
              <w:t>天前书面通知所有已报名的投标人。</w:t>
            </w:r>
          </w:p>
        </w:tc>
      </w:tr>
      <w:tr w14:paraId="37439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bottom w:val="single" w:color="auto" w:sz="4" w:space="0"/>
              <w:right w:val="single" w:color="auto" w:sz="4" w:space="0"/>
            </w:tcBorders>
            <w:vAlign w:val="center"/>
          </w:tcPr>
          <w:p w14:paraId="0AECA7A6">
            <w:pPr>
              <w:snapToGrid w:val="0"/>
              <w:jc w:val="center"/>
              <w:rPr>
                <w:rFonts w:ascii="宋体"/>
                <w:color w:val="auto"/>
                <w:sz w:val="24"/>
                <w:highlight w:val="none"/>
              </w:rPr>
            </w:pPr>
            <w:r>
              <w:rPr>
                <w:rFonts w:ascii="宋体" w:hAnsi="宋体"/>
                <w:color w:val="auto"/>
                <w:sz w:val="24"/>
                <w:highlight w:val="none"/>
              </w:rPr>
              <w:t>5</w:t>
            </w:r>
          </w:p>
        </w:tc>
        <w:tc>
          <w:tcPr>
            <w:tcW w:w="8592" w:type="dxa"/>
            <w:tcBorders>
              <w:top w:val="single" w:color="auto" w:sz="4" w:space="0"/>
              <w:left w:val="single" w:color="auto" w:sz="4" w:space="0"/>
              <w:bottom w:val="single" w:color="auto" w:sz="4" w:space="0"/>
            </w:tcBorders>
            <w:vAlign w:val="center"/>
          </w:tcPr>
          <w:p w14:paraId="73D3405F">
            <w:pPr>
              <w:snapToGrid w:val="0"/>
              <w:rPr>
                <w:rFonts w:ascii="宋体"/>
                <w:b/>
                <w:bCs/>
                <w:color w:val="auto"/>
                <w:sz w:val="24"/>
                <w:highlight w:val="none"/>
              </w:rPr>
            </w:pPr>
            <w:r>
              <w:rPr>
                <w:rFonts w:hint="eastAsia" w:ascii="宋体" w:hAnsi="宋体"/>
                <w:b/>
                <w:bCs/>
                <w:color w:val="auto"/>
                <w:sz w:val="24"/>
                <w:highlight w:val="none"/>
              </w:rPr>
              <w:t>投标文件组成：本项目投标文件由</w:t>
            </w:r>
            <w:r>
              <w:rPr>
                <w:rFonts w:hint="eastAsia" w:ascii="宋体" w:hAnsi="宋体"/>
                <w:b/>
                <w:bCs/>
                <w:color w:val="auto"/>
                <w:sz w:val="24"/>
                <w:highlight w:val="none"/>
                <w:lang w:eastAsia="zh-CN"/>
              </w:rPr>
              <w:t>资格响应文件、商务资信技术文件、报价文件</w:t>
            </w:r>
            <w:r>
              <w:rPr>
                <w:rFonts w:hint="eastAsia" w:ascii="宋体" w:hAnsi="宋体"/>
                <w:b/>
                <w:bCs/>
                <w:color w:val="auto"/>
                <w:sz w:val="24"/>
                <w:highlight w:val="none"/>
              </w:rPr>
              <w:t>三部分组成。投标人应按以下方式递交投标文件：</w:t>
            </w:r>
          </w:p>
          <w:p w14:paraId="4D4F544D">
            <w:pPr>
              <w:snapToGrid w:val="0"/>
              <w:rPr>
                <w:rFonts w:asci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1</w:t>
            </w:r>
            <w:r>
              <w:rPr>
                <w:rFonts w:hint="eastAsia" w:ascii="宋体" w:hAnsi="宋体"/>
                <w:b/>
                <w:bCs/>
                <w:color w:val="auto"/>
                <w:sz w:val="24"/>
                <w:highlight w:val="none"/>
              </w:rPr>
              <w:t>、本项目采用“网上投标、电子评标”，投标人应于投标截止时间前在“政采云”（电子交易平台）上传输、递交电子版投标文件（包括</w:t>
            </w:r>
            <w:r>
              <w:rPr>
                <w:rFonts w:hint="eastAsia" w:ascii="宋体" w:hAnsi="宋体"/>
                <w:b/>
                <w:bCs/>
                <w:color w:val="auto"/>
                <w:sz w:val="24"/>
                <w:highlight w:val="none"/>
                <w:lang w:eastAsia="zh-CN"/>
              </w:rPr>
              <w:t>资格响应文件、商务资信技术文件、报价文件</w:t>
            </w:r>
            <w:r>
              <w:rPr>
                <w:rFonts w:hint="eastAsia" w:ascii="宋体" w:hAnsi="宋体"/>
                <w:b/>
                <w:bCs/>
                <w:color w:val="auto"/>
                <w:sz w:val="24"/>
                <w:highlight w:val="none"/>
              </w:rPr>
              <w:t>）；</w:t>
            </w:r>
          </w:p>
          <w:p w14:paraId="64002848">
            <w:pPr>
              <w:snapToGrid w:val="0"/>
              <w:rPr>
                <w:rFonts w:asci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、为了避免由于电子交易平台无法正常运行等技术、安全故障等原因造成投标文件无法解密或解密失败，导致投标无效的情况发生，投标人可以在投标截止时间前将电子备份投标文件（经政采云电子交易客户端和</w:t>
            </w:r>
            <w:r>
              <w:rPr>
                <w:rFonts w:ascii="宋体" w:hAnsi="宋体"/>
                <w:b/>
                <w:bCs/>
                <w:color w:val="auto"/>
                <w:sz w:val="24"/>
                <w:highlight w:val="none"/>
              </w:rPr>
              <w:t>CA</w:t>
            </w:r>
            <w:r>
              <w:rPr>
                <w:rFonts w:hint="eastAsia" w:ascii="宋体" w:hAnsi="宋体"/>
                <w:b/>
                <w:bCs/>
                <w:color w:val="auto"/>
                <w:sz w:val="24"/>
                <w:highlight w:val="none"/>
              </w:rPr>
              <w:t>驱动制作出的后缀名为“</w:t>
            </w:r>
            <w:r>
              <w:rPr>
                <w:rFonts w:ascii="宋体" w:hAnsi="宋体"/>
                <w:b/>
                <w:bCs/>
                <w:color w:val="auto"/>
                <w:sz w:val="24"/>
                <w:highlight w:val="none"/>
              </w:rPr>
              <w:t>bfbs</w:t>
            </w:r>
            <w:r>
              <w:rPr>
                <w:rFonts w:hint="eastAsia" w:ascii="宋体" w:hAnsi="宋体"/>
                <w:b/>
                <w:bCs/>
                <w:color w:val="auto"/>
                <w:sz w:val="24"/>
                <w:highlight w:val="none"/>
              </w:rPr>
              <w:t>”的加密电子备份投标文件）发送至邮箱：</w:t>
            </w:r>
            <w:r>
              <w:rPr>
                <w:rFonts w:hint="eastAsia" w:ascii="宋体" w:hAnsi="宋体"/>
                <w:b/>
                <w:bCs/>
                <w:color w:val="auto"/>
                <w:sz w:val="24"/>
                <w:highlight w:val="none"/>
                <w:lang w:eastAsia="zh-CN"/>
              </w:rPr>
              <w:t>1121762642</w:t>
            </w:r>
            <w:r>
              <w:rPr>
                <w:rFonts w:ascii="宋体" w:hAnsi="宋体"/>
                <w:b/>
                <w:bCs/>
                <w:color w:val="auto"/>
                <w:sz w:val="24"/>
                <w:highlight w:val="none"/>
              </w:rPr>
              <w:t>@qq.com</w:t>
            </w:r>
            <w:r>
              <w:rPr>
                <w:rFonts w:hint="eastAsia" w:ascii="宋体" w:hAnsi="宋体"/>
                <w:b/>
                <w:bCs/>
                <w:color w:val="auto"/>
                <w:sz w:val="24"/>
                <w:highlight w:val="none"/>
              </w:rPr>
              <w:t>，逾期发送或发错后缀名的备份投标文件将被视为无效；</w:t>
            </w:r>
          </w:p>
          <w:p w14:paraId="2DAB27ED">
            <w:pPr>
              <w:snapToGrid w:val="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、投标人仅提交了电子备份投标文件的，投标无效；</w:t>
            </w:r>
          </w:p>
          <w:p w14:paraId="248C7326">
            <w:pPr>
              <w:snapToGrid w:val="0"/>
              <w:rPr>
                <w:rFonts w:ascii="宋体"/>
                <w:b/>
                <w:bCs/>
                <w:color w:val="auto"/>
                <w:sz w:val="24"/>
                <w:highlight w:val="none"/>
              </w:rPr>
            </w:pPr>
            <w:r>
              <w:rPr>
                <w:rFonts w:ascii="宋体" w:hAnsi="宋体"/>
                <w:b/>
                <w:bCs/>
                <w:color w:val="auto"/>
                <w:sz w:val="24"/>
                <w:highlight w:val="none"/>
              </w:rPr>
              <w:t>4</w:t>
            </w:r>
            <w:r>
              <w:rPr>
                <w:rFonts w:hint="eastAsia" w:ascii="宋体" w:hAnsi="宋体"/>
                <w:b/>
                <w:bCs/>
                <w:color w:val="auto"/>
                <w:sz w:val="24"/>
                <w:highlight w:val="none"/>
              </w:rPr>
              <w:t>、本项目不强制投标人提交电子备份投标文件；但如在开评标时出现电子投标文件无法解密或解密失败等情况，因投标人未提供电子备份投标文件而造成投标无效等一切后果和风险由投标人自行承担。</w:t>
            </w:r>
          </w:p>
          <w:p w14:paraId="4F27A9E9">
            <w:pPr>
              <w:snapToGrid w:val="0"/>
              <w:rPr>
                <w:rFonts w:ascii="宋体"/>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、中标方应在领取中标通知书前，向</w:t>
            </w:r>
            <w:r>
              <w:rPr>
                <w:rFonts w:hint="eastAsia" w:ascii="宋体" w:hAnsi="宋体"/>
                <w:b/>
                <w:bCs/>
                <w:color w:val="auto"/>
                <w:sz w:val="24"/>
                <w:highlight w:val="none"/>
                <w:lang w:eastAsia="zh-CN"/>
              </w:rPr>
              <w:t>泰宇建筑工程技术咨询有限公司</w:t>
            </w:r>
            <w:r>
              <w:rPr>
                <w:rFonts w:hint="eastAsia" w:ascii="宋体" w:hAnsi="宋体"/>
                <w:b/>
                <w:bCs/>
                <w:color w:val="auto"/>
                <w:sz w:val="24"/>
                <w:highlight w:val="none"/>
              </w:rPr>
              <w:t>提供纸质投标文件（纸质投标文件递交要求详见本章三、投标文件的编制第（五）条：投标文件的签署和份数的相关规定）。（递交或邮寄地址：</w:t>
            </w:r>
            <w:r>
              <w:rPr>
                <w:rFonts w:hint="eastAsia" w:ascii="宋体" w:hAnsi="宋体"/>
                <w:b/>
                <w:bCs/>
                <w:color w:val="auto"/>
                <w:sz w:val="24"/>
                <w:highlight w:val="none"/>
                <w:lang w:eastAsia="zh-CN"/>
              </w:rPr>
              <w:t>浙江省东阳市望江北路22号2楼</w:t>
            </w:r>
            <w:r>
              <w:rPr>
                <w:rFonts w:hint="eastAsia" w:ascii="宋体" w:hAnsi="宋体"/>
                <w:b/>
                <w:bCs/>
                <w:color w:val="auto"/>
                <w:sz w:val="24"/>
                <w:highlight w:val="none"/>
              </w:rPr>
              <w:t>，</w:t>
            </w:r>
            <w:r>
              <w:rPr>
                <w:rFonts w:hint="eastAsia" w:ascii="宋体" w:hAnsi="宋体"/>
                <w:b/>
                <w:bCs/>
                <w:color w:val="auto"/>
                <w:sz w:val="24"/>
                <w:highlight w:val="none"/>
                <w:lang w:eastAsia="zh-CN"/>
              </w:rPr>
              <w:t>泰宇建筑工程技术咨询有限公司</w:t>
            </w:r>
            <w:r>
              <w:rPr>
                <w:rFonts w:hint="eastAsia" w:ascii="宋体" w:hAnsi="宋体"/>
                <w:b/>
                <w:bCs/>
                <w:color w:val="auto"/>
                <w:sz w:val="24"/>
                <w:highlight w:val="none"/>
              </w:rPr>
              <w:t>；电话：</w:t>
            </w:r>
            <w:r>
              <w:rPr>
                <w:rFonts w:hint="eastAsia" w:ascii="宋体" w:hAnsi="宋体"/>
                <w:b/>
                <w:bCs/>
                <w:color w:val="auto"/>
                <w:sz w:val="24"/>
                <w:highlight w:val="none"/>
                <w:lang w:val="en-US" w:eastAsia="zh-CN"/>
              </w:rPr>
              <w:t>15024383632</w:t>
            </w:r>
            <w:r>
              <w:rPr>
                <w:rFonts w:hint="eastAsia" w:ascii="宋体" w:hAnsi="宋体"/>
                <w:b/>
                <w:bCs/>
                <w:color w:val="auto"/>
                <w:sz w:val="24"/>
                <w:highlight w:val="none"/>
              </w:rPr>
              <w:t>）</w:t>
            </w:r>
          </w:p>
        </w:tc>
      </w:tr>
      <w:tr w14:paraId="1A9F8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vAlign w:val="center"/>
          </w:tcPr>
          <w:p w14:paraId="2CDBC73A">
            <w:pPr>
              <w:snapToGrid w:val="0"/>
              <w:jc w:val="center"/>
              <w:rPr>
                <w:rFonts w:ascii="宋体"/>
                <w:color w:val="auto"/>
                <w:sz w:val="24"/>
                <w:highlight w:val="none"/>
              </w:rPr>
            </w:pPr>
            <w:r>
              <w:rPr>
                <w:rFonts w:ascii="宋体" w:hAnsi="宋体"/>
                <w:color w:val="auto"/>
                <w:sz w:val="24"/>
                <w:highlight w:val="none"/>
              </w:rPr>
              <w:t>6</w:t>
            </w:r>
          </w:p>
        </w:tc>
        <w:tc>
          <w:tcPr>
            <w:tcW w:w="8592" w:type="dxa"/>
            <w:tcBorders>
              <w:top w:val="single" w:color="auto" w:sz="4" w:space="0"/>
              <w:left w:val="single" w:color="auto" w:sz="4" w:space="0"/>
              <w:bottom w:val="single" w:color="auto" w:sz="4" w:space="0"/>
            </w:tcBorders>
            <w:vAlign w:val="center"/>
          </w:tcPr>
          <w:p w14:paraId="0842BA8F">
            <w:pPr>
              <w:snapToGrid w:val="0"/>
              <w:rPr>
                <w:color w:val="auto"/>
                <w:sz w:val="24"/>
                <w:highlight w:val="none"/>
              </w:rPr>
            </w:pPr>
            <w:r>
              <w:rPr>
                <w:color w:val="auto"/>
                <w:sz w:val="24"/>
                <w:highlight w:val="none"/>
              </w:rPr>
              <w:t>1</w:t>
            </w:r>
            <w:r>
              <w:rPr>
                <w:rFonts w:hint="eastAsia"/>
                <w:color w:val="auto"/>
                <w:sz w:val="24"/>
                <w:highlight w:val="none"/>
              </w:rPr>
              <w:t>、投标人应当在</w:t>
            </w:r>
            <w:r>
              <w:rPr>
                <w:rFonts w:hint="eastAsia" w:ascii="宋体" w:hAnsi="宋体" w:cs="宋体"/>
                <w:b/>
                <w:bCs/>
                <w:color w:val="FF0000"/>
                <w:sz w:val="24"/>
                <w:highlight w:val="none"/>
                <w:u w:val="single"/>
              </w:rPr>
              <w:t>202</w:t>
            </w:r>
            <w:r>
              <w:rPr>
                <w:rFonts w:hint="eastAsia" w:ascii="宋体" w:hAnsi="宋体" w:cs="宋体"/>
                <w:b/>
                <w:bCs/>
                <w:color w:val="FF0000"/>
                <w:sz w:val="24"/>
                <w:highlight w:val="none"/>
                <w:u w:val="single"/>
                <w:lang w:val="en-US" w:eastAsia="zh-CN"/>
              </w:rPr>
              <w:t>5</w:t>
            </w:r>
            <w:r>
              <w:rPr>
                <w:rFonts w:hint="eastAsia" w:ascii="宋体" w:hAnsi="宋体" w:cs="宋体"/>
                <w:b/>
                <w:bCs/>
                <w:color w:val="FF0000"/>
                <w:sz w:val="24"/>
                <w:highlight w:val="none"/>
                <w:u w:val="single"/>
              </w:rPr>
              <w:t>年</w:t>
            </w:r>
            <w:r>
              <w:rPr>
                <w:rFonts w:hint="eastAsia" w:ascii="宋体" w:hAnsi="宋体" w:cs="宋体"/>
                <w:b/>
                <w:bCs/>
                <w:color w:val="FF0000"/>
                <w:sz w:val="24"/>
                <w:highlight w:val="none"/>
                <w:u w:val="single"/>
                <w:lang w:val="en-US" w:eastAsia="zh-CN"/>
              </w:rPr>
              <w:t>8月8日14</w:t>
            </w:r>
            <w:r>
              <w:rPr>
                <w:rFonts w:hint="eastAsia" w:ascii="宋体" w:hAnsi="宋体" w:cs="宋体"/>
                <w:b/>
                <w:bCs/>
                <w:color w:val="FF0000"/>
                <w:sz w:val="24"/>
                <w:highlight w:val="none"/>
                <w:u w:val="single"/>
              </w:rPr>
              <w:t>：00</w:t>
            </w:r>
            <w:r>
              <w:rPr>
                <w:rFonts w:hint="eastAsia"/>
                <w:color w:val="auto"/>
                <w:sz w:val="24"/>
                <w:highlight w:val="none"/>
              </w:rPr>
              <w:t>时前在“政采云”（电子交易平台）上自行上传加密的电子投标文件。投标截止时间后递交的电子投标文件，将被政采云平台拒收。</w:t>
            </w:r>
          </w:p>
          <w:p w14:paraId="0E902665">
            <w:pPr>
              <w:snapToGrid w:val="0"/>
              <w:rPr>
                <w:color w:val="auto"/>
                <w:sz w:val="24"/>
                <w:highlight w:val="none"/>
              </w:rPr>
            </w:pPr>
            <w:r>
              <w:rPr>
                <w:color w:val="auto"/>
                <w:sz w:val="24"/>
                <w:highlight w:val="none"/>
              </w:rPr>
              <w:t>2</w:t>
            </w:r>
            <w:r>
              <w:rPr>
                <w:rFonts w:hint="eastAsia"/>
                <w:color w:val="auto"/>
                <w:sz w:val="24"/>
                <w:highlight w:val="none"/>
              </w:rPr>
              <w:t>、电子投标文件的传输递交：投标人应当在投标截止时间前完成电子投标文件的传输递交，投标截止时间前可以补充、修改或者撤回电子投标文件。补充或者修改电子投标文件的，应当先行撤回原</w:t>
            </w:r>
            <w:r>
              <w:rPr>
                <w:rFonts w:hint="eastAsia" w:ascii="宋体" w:hAnsi="宋体"/>
                <w:color w:val="auto"/>
                <w:sz w:val="24"/>
                <w:highlight w:val="none"/>
              </w:rPr>
              <w:t>电子投标</w:t>
            </w:r>
            <w:r>
              <w:rPr>
                <w:rFonts w:hint="eastAsia"/>
                <w:color w:val="auto"/>
                <w:sz w:val="24"/>
                <w:highlight w:val="none"/>
              </w:rPr>
              <w:t>文件，补充、修改后重新传输递交。投标截止时间前未完成传输的，视为撤回投标文件。</w:t>
            </w:r>
          </w:p>
          <w:p w14:paraId="18FCDEDD">
            <w:pPr>
              <w:snapToGrid w:val="0"/>
              <w:rPr>
                <w:color w:val="auto"/>
                <w:sz w:val="24"/>
                <w:highlight w:val="none"/>
              </w:rPr>
            </w:pPr>
            <w:r>
              <w:rPr>
                <w:color w:val="auto"/>
                <w:sz w:val="24"/>
                <w:highlight w:val="none"/>
              </w:rPr>
              <w:t>3</w:t>
            </w:r>
            <w:r>
              <w:rPr>
                <w:rFonts w:hint="eastAsia"/>
                <w:color w:val="auto"/>
                <w:sz w:val="24"/>
                <w:highlight w:val="none"/>
              </w:rPr>
              <w:t>、投标人可以在投标截止时间前将电子备份投标文件（经政采云电子交易客户端和</w:t>
            </w:r>
            <w:r>
              <w:rPr>
                <w:color w:val="auto"/>
                <w:sz w:val="24"/>
                <w:highlight w:val="none"/>
              </w:rPr>
              <w:t>CA</w:t>
            </w:r>
            <w:r>
              <w:rPr>
                <w:rFonts w:hint="eastAsia"/>
                <w:color w:val="auto"/>
                <w:sz w:val="24"/>
                <w:highlight w:val="none"/>
              </w:rPr>
              <w:t>驱动制作出的后缀名为“</w:t>
            </w:r>
            <w:r>
              <w:rPr>
                <w:color w:val="auto"/>
                <w:sz w:val="24"/>
                <w:highlight w:val="none"/>
              </w:rPr>
              <w:t>bfbs</w:t>
            </w:r>
            <w:r>
              <w:rPr>
                <w:rFonts w:hint="eastAsia"/>
                <w:color w:val="auto"/>
                <w:sz w:val="24"/>
                <w:highlight w:val="none"/>
              </w:rPr>
              <w:t>”的加密电子备份投标文件）发送至邮箱：</w:t>
            </w:r>
            <w:r>
              <w:rPr>
                <w:rFonts w:hint="eastAsia"/>
                <w:color w:val="auto"/>
                <w:sz w:val="24"/>
                <w:highlight w:val="none"/>
                <w:lang w:eastAsia="zh-CN"/>
              </w:rPr>
              <w:t>1121762642</w:t>
            </w:r>
            <w:r>
              <w:rPr>
                <w:color w:val="auto"/>
                <w:sz w:val="24"/>
                <w:highlight w:val="none"/>
              </w:rPr>
              <w:t>@qq.com</w:t>
            </w:r>
            <w:r>
              <w:rPr>
                <w:rFonts w:hint="eastAsia"/>
                <w:color w:val="auto"/>
                <w:sz w:val="24"/>
                <w:highlight w:val="none"/>
              </w:rPr>
              <w:t>，逾期发送或发错后缀名的电子备份投标文件将被视为无效；电子备份投标文件的提交不作强制性要求。电子备份投标文件的递交截止时间：投标人应当在</w:t>
            </w:r>
            <w:r>
              <w:rPr>
                <w:rFonts w:hint="eastAsia" w:ascii="宋体" w:hAnsi="宋体" w:cs="宋体"/>
                <w:b/>
                <w:bCs/>
                <w:color w:val="FF0000"/>
                <w:sz w:val="24"/>
                <w:highlight w:val="none"/>
                <w:u w:val="single"/>
              </w:rPr>
              <w:t>202</w:t>
            </w:r>
            <w:r>
              <w:rPr>
                <w:rFonts w:hint="eastAsia" w:ascii="宋体" w:hAnsi="宋体" w:cs="宋体"/>
                <w:b/>
                <w:bCs/>
                <w:color w:val="FF0000"/>
                <w:sz w:val="24"/>
                <w:highlight w:val="none"/>
                <w:u w:val="single"/>
                <w:lang w:val="en-US" w:eastAsia="zh-CN"/>
              </w:rPr>
              <w:t>5</w:t>
            </w:r>
            <w:r>
              <w:rPr>
                <w:rFonts w:hint="eastAsia" w:ascii="宋体" w:hAnsi="宋体" w:cs="宋体"/>
                <w:b/>
                <w:bCs/>
                <w:color w:val="FF0000"/>
                <w:sz w:val="24"/>
                <w:highlight w:val="none"/>
                <w:u w:val="single"/>
              </w:rPr>
              <w:t>年</w:t>
            </w:r>
            <w:r>
              <w:rPr>
                <w:rFonts w:hint="eastAsia" w:ascii="宋体" w:hAnsi="宋体" w:cs="宋体"/>
                <w:b/>
                <w:bCs/>
                <w:color w:val="FF0000"/>
                <w:sz w:val="24"/>
                <w:highlight w:val="none"/>
                <w:u w:val="single"/>
                <w:lang w:val="en-US" w:eastAsia="zh-CN"/>
              </w:rPr>
              <w:t>8月8日14</w:t>
            </w:r>
            <w:r>
              <w:rPr>
                <w:rFonts w:hint="eastAsia" w:ascii="宋体" w:hAnsi="宋体" w:cs="宋体"/>
                <w:b/>
                <w:bCs/>
                <w:color w:val="FF0000"/>
                <w:sz w:val="24"/>
                <w:highlight w:val="none"/>
                <w:u w:val="single"/>
              </w:rPr>
              <w:t>：00</w:t>
            </w:r>
            <w:r>
              <w:rPr>
                <w:rFonts w:hint="eastAsia"/>
                <w:color w:val="auto"/>
                <w:sz w:val="24"/>
                <w:highlight w:val="none"/>
              </w:rPr>
              <w:t>时前，逾期未递交的视为自动放弃递交电子备份投标文件。</w:t>
            </w:r>
          </w:p>
        </w:tc>
      </w:tr>
      <w:tr w14:paraId="4311D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bottom w:val="single" w:color="auto" w:sz="4" w:space="0"/>
              <w:right w:val="single" w:color="auto" w:sz="4" w:space="0"/>
            </w:tcBorders>
            <w:vAlign w:val="center"/>
          </w:tcPr>
          <w:p w14:paraId="74B5C48B">
            <w:pPr>
              <w:snapToGrid w:val="0"/>
              <w:jc w:val="center"/>
              <w:rPr>
                <w:rFonts w:ascii="宋体"/>
                <w:color w:val="auto"/>
                <w:sz w:val="24"/>
                <w:highlight w:val="none"/>
              </w:rPr>
            </w:pPr>
            <w:r>
              <w:rPr>
                <w:rFonts w:ascii="宋体" w:hAnsi="宋体"/>
                <w:color w:val="auto"/>
                <w:sz w:val="24"/>
                <w:highlight w:val="none"/>
              </w:rPr>
              <w:t>7</w:t>
            </w:r>
          </w:p>
        </w:tc>
        <w:tc>
          <w:tcPr>
            <w:tcW w:w="8592" w:type="dxa"/>
            <w:tcBorders>
              <w:top w:val="single" w:color="auto" w:sz="4" w:space="0"/>
              <w:left w:val="single" w:color="auto" w:sz="4" w:space="0"/>
              <w:bottom w:val="single" w:color="auto" w:sz="4" w:space="0"/>
            </w:tcBorders>
            <w:vAlign w:val="center"/>
          </w:tcPr>
          <w:p w14:paraId="7A4B8A14">
            <w:pPr>
              <w:snapToGrid w:val="0"/>
              <w:rPr>
                <w:rFonts w:hint="eastAsia" w:ascii="宋体" w:eastAsia="宋体" w:cs="Arial"/>
                <w:b/>
                <w:bCs/>
                <w:color w:val="auto"/>
                <w:sz w:val="24"/>
                <w:highlight w:val="none"/>
                <w:lang w:val="en-US" w:eastAsia="zh-CN"/>
              </w:rPr>
            </w:pPr>
            <w:r>
              <w:rPr>
                <w:rFonts w:hint="eastAsia" w:ascii="宋体" w:hAnsi="宋体" w:cs="Arial"/>
                <w:b/>
                <w:bCs/>
                <w:color w:val="auto"/>
                <w:sz w:val="24"/>
                <w:highlight w:val="none"/>
              </w:rPr>
              <w:t>本项目开标时间：</w:t>
            </w:r>
            <w:r>
              <w:rPr>
                <w:rFonts w:hint="eastAsia" w:ascii="宋体" w:hAnsi="宋体" w:cs="宋体"/>
                <w:b/>
                <w:bCs/>
                <w:color w:val="FF0000"/>
                <w:sz w:val="24"/>
                <w:highlight w:val="none"/>
                <w:u w:val="single"/>
              </w:rPr>
              <w:t>202</w:t>
            </w:r>
            <w:r>
              <w:rPr>
                <w:rFonts w:hint="eastAsia" w:ascii="宋体" w:hAnsi="宋体" w:cs="宋体"/>
                <w:b/>
                <w:bCs/>
                <w:color w:val="FF0000"/>
                <w:sz w:val="24"/>
                <w:highlight w:val="none"/>
                <w:u w:val="single"/>
                <w:lang w:val="en-US" w:eastAsia="zh-CN"/>
              </w:rPr>
              <w:t>5</w:t>
            </w:r>
            <w:r>
              <w:rPr>
                <w:rFonts w:hint="eastAsia" w:ascii="宋体" w:hAnsi="宋体" w:cs="宋体"/>
                <w:b/>
                <w:bCs/>
                <w:color w:val="FF0000"/>
                <w:sz w:val="24"/>
                <w:highlight w:val="none"/>
                <w:u w:val="single"/>
              </w:rPr>
              <w:t>年</w:t>
            </w:r>
            <w:r>
              <w:rPr>
                <w:rFonts w:hint="eastAsia" w:ascii="宋体" w:hAnsi="宋体" w:cs="宋体"/>
                <w:b/>
                <w:bCs/>
                <w:color w:val="FF0000"/>
                <w:sz w:val="24"/>
                <w:highlight w:val="none"/>
                <w:u w:val="single"/>
                <w:lang w:val="en-US" w:eastAsia="zh-CN"/>
              </w:rPr>
              <w:t>8月8日14</w:t>
            </w:r>
            <w:r>
              <w:rPr>
                <w:rFonts w:hint="eastAsia" w:ascii="宋体" w:hAnsi="宋体" w:cs="宋体"/>
                <w:b/>
                <w:bCs/>
                <w:color w:val="FF0000"/>
                <w:sz w:val="24"/>
                <w:highlight w:val="none"/>
                <w:u w:val="single"/>
              </w:rPr>
              <w:t>：00</w:t>
            </w:r>
            <w:r>
              <w:rPr>
                <w:rFonts w:hint="eastAsia"/>
                <w:b/>
                <w:bCs/>
                <w:color w:val="FF0000"/>
                <w:sz w:val="24"/>
                <w:highlight w:val="none"/>
                <w:u w:val="single"/>
                <w:lang w:val="en-US" w:eastAsia="zh-CN"/>
              </w:rPr>
              <w:t>时</w:t>
            </w:r>
          </w:p>
          <w:p w14:paraId="1C2E33C8">
            <w:pPr>
              <w:snapToGrid w:val="0"/>
              <w:rPr>
                <w:color w:val="auto"/>
                <w:sz w:val="24"/>
                <w:highlight w:val="none"/>
              </w:rPr>
            </w:pPr>
            <w:r>
              <w:rPr>
                <w:rFonts w:hint="eastAsia" w:ascii="宋体" w:hAnsi="宋体" w:cs="Arial"/>
                <w:b/>
                <w:bCs/>
                <w:color w:val="auto"/>
                <w:sz w:val="24"/>
                <w:highlight w:val="none"/>
              </w:rPr>
              <w:t>投标截止时间后，政采云（电子交易平台）自动提取所有在投标截止时间前上传好的投标文件，投标人须在投标截止时间后</w:t>
            </w:r>
            <w:r>
              <w:rPr>
                <w:rFonts w:ascii="宋体" w:hAnsi="宋体" w:cs="Arial"/>
                <w:b/>
                <w:bCs/>
                <w:color w:val="auto"/>
                <w:sz w:val="24"/>
                <w:highlight w:val="none"/>
              </w:rPr>
              <w:t>30</w:t>
            </w:r>
            <w:r>
              <w:rPr>
                <w:rFonts w:hint="eastAsia" w:ascii="宋体" w:hAnsi="宋体" w:cs="Arial"/>
                <w:b/>
                <w:bCs/>
                <w:color w:val="auto"/>
                <w:sz w:val="24"/>
                <w:highlight w:val="none"/>
              </w:rPr>
              <w:t>分钟内对上传政采云的投标文件进行解密（为防止解密失败，政采云建议采用制作投标文件的电脑进行解密），所有投标人在规定的解密时限内</w:t>
            </w:r>
            <w:r>
              <w:rPr>
                <w:rFonts w:hint="eastAsia" w:ascii="宋体" w:hAnsi="宋体" w:cs="宋体"/>
                <w:b/>
                <w:bCs/>
                <w:color w:val="auto"/>
                <w:sz w:val="24"/>
                <w:highlight w:val="none"/>
              </w:rPr>
              <w:t>完成</w:t>
            </w:r>
            <w:r>
              <w:rPr>
                <w:rFonts w:hint="eastAsia" w:ascii="宋体" w:hAnsi="宋体" w:cs="Arial"/>
                <w:b/>
                <w:bCs/>
                <w:color w:val="auto"/>
                <w:sz w:val="24"/>
                <w:highlight w:val="none"/>
              </w:rPr>
              <w:t>解</w:t>
            </w:r>
            <w:r>
              <w:rPr>
                <w:rFonts w:hint="eastAsia" w:ascii="宋体" w:hAnsi="宋体" w:cs="宋体"/>
                <w:b/>
                <w:bCs/>
                <w:color w:val="auto"/>
                <w:sz w:val="24"/>
                <w:highlight w:val="none"/>
              </w:rPr>
              <w:t>密</w:t>
            </w:r>
            <w:r>
              <w:rPr>
                <w:rFonts w:hint="eastAsia" w:ascii="宋体" w:hAnsi="宋体" w:cs="Arial"/>
                <w:b/>
                <w:bCs/>
                <w:color w:val="auto"/>
                <w:sz w:val="24"/>
                <w:highlight w:val="none"/>
              </w:rPr>
              <w:t>或解密时限到后，采购代理机构开启投标文件；投标人超过解密时限解密的且采购代理机构无法开启投标文件的，系统默认自动放弃。</w:t>
            </w:r>
          </w:p>
        </w:tc>
      </w:tr>
      <w:tr w14:paraId="4CB63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bottom w:val="single" w:color="auto" w:sz="4" w:space="0"/>
              <w:right w:val="single" w:color="auto" w:sz="4" w:space="0"/>
            </w:tcBorders>
            <w:vAlign w:val="center"/>
          </w:tcPr>
          <w:p w14:paraId="789A405E">
            <w:pPr>
              <w:snapToGrid w:val="0"/>
              <w:jc w:val="center"/>
              <w:rPr>
                <w:rFonts w:ascii="宋体"/>
                <w:color w:val="auto"/>
                <w:sz w:val="24"/>
                <w:highlight w:val="none"/>
              </w:rPr>
            </w:pPr>
            <w:r>
              <w:rPr>
                <w:rFonts w:ascii="宋体" w:hAnsi="宋体"/>
                <w:color w:val="auto"/>
                <w:sz w:val="24"/>
                <w:highlight w:val="none"/>
              </w:rPr>
              <w:t>8</w:t>
            </w:r>
          </w:p>
        </w:tc>
        <w:tc>
          <w:tcPr>
            <w:tcW w:w="8592" w:type="dxa"/>
            <w:tcBorders>
              <w:top w:val="single" w:color="auto" w:sz="4" w:space="0"/>
              <w:left w:val="single" w:color="auto" w:sz="4" w:space="0"/>
              <w:bottom w:val="single" w:color="auto" w:sz="4" w:space="0"/>
            </w:tcBorders>
            <w:vAlign w:val="center"/>
          </w:tcPr>
          <w:p w14:paraId="132CCD50">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b/>
                <w:color w:val="auto"/>
                <w:kern w:val="0"/>
                <w:sz w:val="24"/>
                <w:highlight w:val="none"/>
              </w:rPr>
            </w:pPr>
            <w:r>
              <w:rPr>
                <w:rFonts w:hint="eastAsia" w:ascii="宋体" w:hAnsi="宋体" w:cs="宋体"/>
                <w:b/>
                <w:color w:val="auto"/>
                <w:sz w:val="24"/>
                <w:highlight w:val="none"/>
              </w:rPr>
              <w:t>投标保证金：本项目</w:t>
            </w:r>
            <w:r>
              <w:rPr>
                <w:rFonts w:hint="eastAsia" w:ascii="宋体" w:hAnsi="宋体" w:cs="宋体"/>
                <w:b/>
                <w:color w:val="auto"/>
                <w:kern w:val="0"/>
                <w:sz w:val="24"/>
                <w:highlight w:val="none"/>
              </w:rPr>
              <w:t>不收取投标保证金</w:t>
            </w:r>
          </w:p>
          <w:p w14:paraId="6202674E">
            <w:pPr>
              <w:snapToGrid w:val="0"/>
              <w:rPr>
                <w:rFonts w:hint="eastAsia" w:ascii="宋体" w:eastAsia="宋体"/>
                <w:color w:val="auto"/>
                <w:sz w:val="24"/>
                <w:highlight w:val="none"/>
                <w:lang w:eastAsia="zh-CN"/>
              </w:rPr>
            </w:pPr>
            <w:r>
              <w:rPr>
                <w:rFonts w:hint="eastAsia" w:ascii="宋体" w:hAnsi="宋体" w:cs="宋体"/>
                <w:b/>
                <w:color w:val="auto"/>
                <w:kern w:val="0"/>
                <w:sz w:val="24"/>
                <w:highlight w:val="none"/>
              </w:rPr>
              <w:t xml:space="preserve">履约保证金: </w:t>
            </w:r>
            <w:r>
              <w:rPr>
                <w:rFonts w:hint="eastAsia" w:ascii="宋体" w:hAnsi="宋体" w:eastAsia="宋体" w:cs="宋体"/>
                <w:b/>
                <w:color w:val="auto"/>
                <w:kern w:val="0"/>
                <w:sz w:val="24"/>
                <w:highlight w:val="none"/>
                <w:lang w:val="en-US" w:eastAsia="zh-CN"/>
              </w:rPr>
              <w:t>本项目</w:t>
            </w:r>
            <w:r>
              <w:rPr>
                <w:rFonts w:hint="eastAsia" w:ascii="宋体" w:hAnsi="宋体" w:eastAsia="宋体" w:cs="宋体"/>
                <w:b/>
                <w:color w:val="auto"/>
                <w:kern w:val="0"/>
                <w:sz w:val="24"/>
                <w:highlight w:val="none"/>
              </w:rPr>
              <w:t>不收取</w:t>
            </w:r>
            <w:r>
              <w:rPr>
                <w:rFonts w:hint="eastAsia" w:ascii="宋体" w:hAnsi="宋体" w:eastAsia="宋体" w:cs="宋体"/>
                <w:b/>
                <w:color w:val="auto"/>
                <w:kern w:val="0"/>
                <w:sz w:val="24"/>
                <w:highlight w:val="none"/>
                <w:lang w:val="en-US" w:eastAsia="zh-CN"/>
              </w:rPr>
              <w:t>履约保证金。</w:t>
            </w:r>
          </w:p>
        </w:tc>
      </w:tr>
      <w:tr w14:paraId="77663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48" w:type="dxa"/>
            <w:tcBorders>
              <w:top w:val="single" w:color="auto" w:sz="4" w:space="0"/>
              <w:bottom w:val="single" w:color="auto" w:sz="4" w:space="0"/>
              <w:right w:val="single" w:color="auto" w:sz="4" w:space="0"/>
            </w:tcBorders>
            <w:vAlign w:val="center"/>
          </w:tcPr>
          <w:p w14:paraId="2DF2BEF4">
            <w:pPr>
              <w:snapToGrid w:val="0"/>
              <w:jc w:val="center"/>
              <w:rPr>
                <w:rFonts w:ascii="宋体"/>
                <w:color w:val="auto"/>
                <w:sz w:val="24"/>
                <w:highlight w:val="none"/>
              </w:rPr>
            </w:pPr>
            <w:r>
              <w:rPr>
                <w:rFonts w:ascii="宋体" w:hAnsi="宋体"/>
                <w:color w:val="auto"/>
                <w:sz w:val="24"/>
                <w:highlight w:val="none"/>
              </w:rPr>
              <w:t>9</w:t>
            </w:r>
          </w:p>
        </w:tc>
        <w:tc>
          <w:tcPr>
            <w:tcW w:w="8592" w:type="dxa"/>
            <w:tcBorders>
              <w:top w:val="single" w:color="auto" w:sz="4" w:space="0"/>
              <w:left w:val="single" w:color="auto" w:sz="4" w:space="0"/>
              <w:bottom w:val="single" w:color="auto" w:sz="4" w:space="0"/>
            </w:tcBorders>
            <w:vAlign w:val="center"/>
          </w:tcPr>
          <w:p w14:paraId="3D528081">
            <w:pPr>
              <w:snapToGrid w:val="0"/>
              <w:rPr>
                <w:rFonts w:ascii="宋体"/>
                <w:color w:val="auto"/>
                <w:sz w:val="24"/>
                <w:highlight w:val="none"/>
              </w:rPr>
            </w:pPr>
            <w:r>
              <w:rPr>
                <w:rFonts w:hint="eastAsia" w:ascii="宋体" w:hAnsi="宋体"/>
                <w:color w:val="auto"/>
                <w:sz w:val="24"/>
                <w:highlight w:val="none"/>
              </w:rPr>
              <w:t>评标办法：综合评分法</w:t>
            </w:r>
          </w:p>
        </w:tc>
      </w:tr>
      <w:tr w14:paraId="4EA58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bottom w:val="single" w:color="auto" w:sz="4" w:space="0"/>
              <w:right w:val="single" w:color="auto" w:sz="4" w:space="0"/>
            </w:tcBorders>
            <w:vAlign w:val="center"/>
          </w:tcPr>
          <w:p w14:paraId="58F85D67">
            <w:pPr>
              <w:snapToGrid w:val="0"/>
              <w:jc w:val="center"/>
              <w:rPr>
                <w:rFonts w:ascii="宋体"/>
                <w:color w:val="auto"/>
                <w:sz w:val="24"/>
                <w:highlight w:val="none"/>
              </w:rPr>
            </w:pPr>
            <w:r>
              <w:rPr>
                <w:rFonts w:ascii="宋体" w:hAnsi="宋体"/>
                <w:color w:val="auto"/>
                <w:sz w:val="24"/>
                <w:highlight w:val="none"/>
              </w:rPr>
              <w:t>1</w:t>
            </w:r>
            <w:r>
              <w:rPr>
                <w:rFonts w:ascii="宋体"/>
                <w:color w:val="auto"/>
                <w:sz w:val="24"/>
                <w:highlight w:val="none"/>
              </w:rPr>
              <w:t>0</w:t>
            </w:r>
          </w:p>
        </w:tc>
        <w:tc>
          <w:tcPr>
            <w:tcW w:w="8592" w:type="dxa"/>
            <w:tcBorders>
              <w:top w:val="single" w:color="auto" w:sz="4" w:space="0"/>
              <w:left w:val="single" w:color="auto" w:sz="4" w:space="0"/>
              <w:bottom w:val="single" w:color="auto" w:sz="4" w:space="0"/>
            </w:tcBorders>
            <w:vAlign w:val="center"/>
          </w:tcPr>
          <w:p w14:paraId="0F4CDEFC">
            <w:pPr>
              <w:snapToGrid w:val="0"/>
              <w:rPr>
                <w:rFonts w:ascii="宋体"/>
                <w:color w:val="auto"/>
                <w:sz w:val="24"/>
                <w:highlight w:val="none"/>
              </w:rPr>
            </w:pPr>
            <w:r>
              <w:rPr>
                <w:rFonts w:hint="eastAsia" w:ascii="宋体" w:hAnsi="宋体"/>
                <w:color w:val="auto"/>
                <w:sz w:val="24"/>
                <w:highlight w:val="none"/>
              </w:rPr>
              <w:t>采购人应当自收到评审报告之日起</w:t>
            </w:r>
            <w:r>
              <w:rPr>
                <w:rFonts w:ascii="宋体" w:hAnsi="宋体"/>
                <w:color w:val="auto"/>
                <w:sz w:val="24"/>
                <w:highlight w:val="none"/>
              </w:rPr>
              <w:t>5</w:t>
            </w:r>
            <w:r>
              <w:rPr>
                <w:rFonts w:hint="eastAsia" w:ascii="宋体" w:hAnsi="宋体"/>
                <w:color w:val="auto"/>
                <w:sz w:val="24"/>
                <w:highlight w:val="none"/>
              </w:rPr>
              <w:t>个工作日内在评审报告推荐的中标或者成交候选人中按顺序确定中标或者成交供应商。如有投标人对评标结果提出质疑的，采购人可在质疑处理完毕后确定中标人。</w:t>
            </w:r>
          </w:p>
        </w:tc>
      </w:tr>
      <w:tr w14:paraId="59666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48" w:type="dxa"/>
            <w:tcBorders>
              <w:top w:val="single" w:color="auto" w:sz="4" w:space="0"/>
              <w:bottom w:val="single" w:color="auto" w:sz="4" w:space="0"/>
              <w:right w:val="single" w:color="auto" w:sz="4" w:space="0"/>
            </w:tcBorders>
            <w:vAlign w:val="center"/>
          </w:tcPr>
          <w:p w14:paraId="105B7FD5">
            <w:pPr>
              <w:snapToGrid w:val="0"/>
              <w:jc w:val="center"/>
              <w:rPr>
                <w:rFonts w:ascii="宋体"/>
                <w:color w:val="auto"/>
                <w:sz w:val="24"/>
                <w:highlight w:val="none"/>
              </w:rPr>
            </w:pPr>
            <w:r>
              <w:rPr>
                <w:rFonts w:ascii="宋体" w:hAnsi="宋体"/>
                <w:color w:val="auto"/>
                <w:sz w:val="24"/>
                <w:highlight w:val="none"/>
              </w:rPr>
              <w:t>11</w:t>
            </w:r>
          </w:p>
        </w:tc>
        <w:tc>
          <w:tcPr>
            <w:tcW w:w="8592" w:type="dxa"/>
            <w:tcBorders>
              <w:top w:val="single" w:color="auto" w:sz="4" w:space="0"/>
              <w:left w:val="single" w:color="auto" w:sz="4" w:space="0"/>
              <w:bottom w:val="single" w:color="auto" w:sz="4" w:space="0"/>
            </w:tcBorders>
            <w:vAlign w:val="center"/>
          </w:tcPr>
          <w:p w14:paraId="5D4F69DA">
            <w:pPr>
              <w:snapToGrid w:val="0"/>
              <w:rPr>
                <w:rFonts w:ascii="宋体"/>
                <w:color w:val="auto"/>
                <w:sz w:val="24"/>
                <w:highlight w:val="none"/>
              </w:rPr>
            </w:pPr>
            <w:r>
              <w:rPr>
                <w:rFonts w:hint="eastAsia" w:ascii="宋体" w:hAnsi="宋体"/>
                <w:color w:val="auto"/>
                <w:sz w:val="24"/>
                <w:highlight w:val="none"/>
              </w:rPr>
              <w:t>采购人或者采购代理机构应当自中标、成交供应商确定之日起</w:t>
            </w:r>
            <w:r>
              <w:rPr>
                <w:rFonts w:ascii="宋体" w:hAnsi="宋体"/>
                <w:color w:val="auto"/>
                <w:sz w:val="24"/>
                <w:highlight w:val="none"/>
              </w:rPr>
              <w:t>2</w:t>
            </w:r>
            <w:r>
              <w:rPr>
                <w:rFonts w:hint="eastAsia" w:ascii="宋体" w:hAnsi="宋体"/>
                <w:color w:val="auto"/>
                <w:sz w:val="24"/>
                <w:highlight w:val="none"/>
              </w:rPr>
              <w:t>个工作日内，发出中标、成交通知书，并在省级以上人民政府财政部门指定的媒体上公告中标、成交结果。</w:t>
            </w:r>
          </w:p>
        </w:tc>
      </w:tr>
      <w:tr w14:paraId="45DB2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48" w:type="dxa"/>
            <w:tcBorders>
              <w:top w:val="single" w:color="auto" w:sz="4" w:space="0"/>
              <w:bottom w:val="single" w:color="auto" w:sz="4" w:space="0"/>
              <w:right w:val="single" w:color="auto" w:sz="4" w:space="0"/>
            </w:tcBorders>
            <w:vAlign w:val="center"/>
          </w:tcPr>
          <w:p w14:paraId="5B812F58">
            <w:pPr>
              <w:snapToGrid w:val="0"/>
              <w:jc w:val="center"/>
              <w:rPr>
                <w:rFonts w:ascii="宋体"/>
                <w:color w:val="auto"/>
                <w:sz w:val="24"/>
                <w:highlight w:val="none"/>
              </w:rPr>
            </w:pPr>
            <w:r>
              <w:rPr>
                <w:rFonts w:ascii="宋体" w:hAnsi="宋体"/>
                <w:color w:val="auto"/>
                <w:sz w:val="24"/>
                <w:highlight w:val="none"/>
              </w:rPr>
              <w:t>12</w:t>
            </w:r>
          </w:p>
        </w:tc>
        <w:tc>
          <w:tcPr>
            <w:tcW w:w="8592" w:type="dxa"/>
            <w:tcBorders>
              <w:top w:val="single" w:color="auto" w:sz="4" w:space="0"/>
              <w:left w:val="single" w:color="auto" w:sz="4" w:space="0"/>
              <w:bottom w:val="single" w:color="auto" w:sz="4" w:space="0"/>
            </w:tcBorders>
            <w:vAlign w:val="center"/>
          </w:tcPr>
          <w:p w14:paraId="2F7729A2">
            <w:pPr>
              <w:autoSpaceDE w:val="0"/>
              <w:autoSpaceDN w:val="0"/>
              <w:snapToGrid w:val="0"/>
              <w:textAlignment w:val="bottom"/>
              <w:rPr>
                <w:rFonts w:ascii="宋体"/>
                <w:color w:val="auto"/>
                <w:sz w:val="24"/>
                <w:highlight w:val="none"/>
              </w:rPr>
            </w:pPr>
            <w:r>
              <w:rPr>
                <w:rFonts w:hint="eastAsia" w:ascii="宋体" w:hAnsi="宋体"/>
                <w:color w:val="auto"/>
                <w:sz w:val="24"/>
                <w:highlight w:val="none"/>
              </w:rPr>
              <w:t>签订合同：中标通知书发出后</w:t>
            </w:r>
            <w:r>
              <w:rPr>
                <w:rFonts w:hint="eastAsia" w:ascii="宋体" w:hAnsi="宋体"/>
                <w:color w:val="auto"/>
                <w:sz w:val="24"/>
                <w:highlight w:val="none"/>
                <w:lang w:val="en-US" w:eastAsia="zh-CN"/>
              </w:rPr>
              <w:t>20</w:t>
            </w:r>
            <w:r>
              <w:rPr>
                <w:rFonts w:hint="eastAsia" w:ascii="宋体" w:hAnsi="宋体"/>
                <w:color w:val="auto"/>
                <w:sz w:val="24"/>
                <w:highlight w:val="none"/>
              </w:rPr>
              <w:t>日内签订。</w:t>
            </w:r>
          </w:p>
        </w:tc>
      </w:tr>
      <w:tr w14:paraId="7678F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bottom w:val="single" w:color="auto" w:sz="4" w:space="0"/>
              <w:right w:val="single" w:color="auto" w:sz="4" w:space="0"/>
            </w:tcBorders>
            <w:vAlign w:val="center"/>
          </w:tcPr>
          <w:p w14:paraId="0E7793C9">
            <w:pPr>
              <w:snapToGrid w:val="0"/>
              <w:jc w:val="center"/>
              <w:rPr>
                <w:rFonts w:ascii="宋体"/>
                <w:color w:val="auto"/>
                <w:sz w:val="24"/>
                <w:highlight w:val="none"/>
              </w:rPr>
            </w:pPr>
            <w:r>
              <w:rPr>
                <w:rFonts w:ascii="宋体" w:hAnsi="宋体"/>
                <w:color w:val="auto"/>
                <w:sz w:val="24"/>
                <w:highlight w:val="none"/>
              </w:rPr>
              <w:t>13</w:t>
            </w:r>
          </w:p>
        </w:tc>
        <w:tc>
          <w:tcPr>
            <w:tcW w:w="8592" w:type="dxa"/>
            <w:tcBorders>
              <w:top w:val="single" w:color="auto" w:sz="4" w:space="0"/>
              <w:left w:val="single" w:color="auto" w:sz="4" w:space="0"/>
              <w:bottom w:val="single" w:color="auto" w:sz="4" w:space="0"/>
            </w:tcBorders>
            <w:vAlign w:val="center"/>
          </w:tcPr>
          <w:p w14:paraId="64276B97">
            <w:pPr>
              <w:snapToGrid w:val="0"/>
              <w:rPr>
                <w:rFonts w:hint="eastAsia" w:ascii="宋体" w:hAnsi="宋体" w:eastAsia="宋体"/>
                <w:color w:val="auto"/>
                <w:sz w:val="24"/>
                <w:highlight w:val="none"/>
                <w:lang w:val="en-US" w:eastAsia="zh-CN"/>
              </w:rPr>
            </w:pPr>
            <w:r>
              <w:rPr>
                <w:rFonts w:hint="eastAsia" w:ascii="宋体" w:hAnsi="宋体" w:eastAsia="宋体" w:cs="宋体"/>
                <w:color w:val="auto"/>
                <w:sz w:val="24"/>
                <w:highlight w:val="none"/>
                <w:lang w:val="en-US" w:eastAsia="zh-CN"/>
              </w:rPr>
              <w:t>付款方式：</w:t>
            </w:r>
            <w:r>
              <w:rPr>
                <w:rFonts w:hint="eastAsia" w:ascii="宋体" w:hAnsi="宋体" w:eastAsia="宋体"/>
                <w:color w:val="auto"/>
                <w:sz w:val="24"/>
                <w:highlight w:val="none"/>
                <w:lang w:val="en-US" w:eastAsia="zh-CN"/>
              </w:rPr>
              <w:t>合同生效以及具备实施条件后7个工作日内支付合同金额的30%作为项目的预付款（采购人根据项目特点、供应商诚信等因素，可以要求中标人提交预付款保函）；</w:t>
            </w:r>
          </w:p>
          <w:p w14:paraId="67686762">
            <w:pPr>
              <w:snapToGrid w:val="0"/>
              <w:rPr>
                <w:rFonts w:hint="eastAsia" w:ascii="宋体" w:hAnsi="宋体" w:eastAsia="宋体"/>
                <w:color w:val="auto"/>
                <w:sz w:val="24"/>
                <w:highlight w:val="none"/>
                <w:lang w:eastAsia="zh-CN"/>
              </w:rPr>
            </w:pPr>
            <w:r>
              <w:rPr>
                <w:rFonts w:hint="eastAsia" w:ascii="宋体" w:hAnsi="宋体" w:eastAsia="宋体" w:cs="宋体"/>
                <w:color w:val="auto"/>
                <w:sz w:val="24"/>
                <w:highlight w:val="none"/>
                <w:lang w:val="en-US" w:eastAsia="zh-CN"/>
              </w:rPr>
              <w:t>费</w:t>
            </w:r>
            <w:r>
              <w:rPr>
                <w:rFonts w:hint="eastAsia" w:ascii="宋体" w:hAnsi="宋体" w:cs="宋体"/>
                <w:color w:val="auto"/>
                <w:sz w:val="24"/>
                <w:highlight w:val="none"/>
                <w:lang w:val="en-US" w:eastAsia="zh-CN"/>
              </w:rPr>
              <w:t>用</w:t>
            </w:r>
            <w:r>
              <w:rPr>
                <w:rFonts w:hint="eastAsia" w:ascii="宋体" w:hAnsi="宋体" w:eastAsia="宋体" w:cs="宋体"/>
                <w:color w:val="auto"/>
                <w:sz w:val="24"/>
                <w:highlight w:val="none"/>
                <w:lang w:val="en-US" w:eastAsia="zh-CN"/>
              </w:rPr>
              <w:t>支付：</w:t>
            </w:r>
            <w:r>
              <w:rPr>
                <w:rFonts w:hint="eastAsia" w:ascii="宋体" w:hAnsi="宋体" w:eastAsia="宋体"/>
                <w:color w:val="auto"/>
                <w:sz w:val="24"/>
                <w:highlight w:val="none"/>
                <w:lang w:eastAsia="zh-CN"/>
              </w:rPr>
              <w:t>配送单位送货时必须提供三联的送货清单，验收签字后一张留食堂记台账，一张返还中标配送企业，一张作为月底结账凭据，每月结账一次</w:t>
            </w:r>
            <w:r>
              <w:rPr>
                <w:rFonts w:hint="eastAsia" w:ascii="宋体" w:hAnsi="宋体" w:eastAsia="宋体"/>
                <w:color w:val="auto"/>
                <w:sz w:val="24"/>
                <w:highlight w:val="none"/>
                <w:lang w:val="en-US" w:eastAsia="zh-CN"/>
              </w:rPr>
              <w:t>。每月初根据上个月送货清单，经双方核对后5日内由中标方提供正式税务发票，采购单位报销手续完成后支付（不计息）。</w:t>
            </w:r>
          </w:p>
        </w:tc>
      </w:tr>
      <w:tr w14:paraId="4E8E9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bottom w:val="single" w:color="auto" w:sz="4" w:space="0"/>
              <w:right w:val="single" w:color="auto" w:sz="4" w:space="0"/>
            </w:tcBorders>
            <w:vAlign w:val="center"/>
          </w:tcPr>
          <w:p w14:paraId="5113AEC3">
            <w:pPr>
              <w:snapToGrid w:val="0"/>
              <w:jc w:val="center"/>
              <w:rPr>
                <w:rFonts w:ascii="宋体"/>
                <w:color w:val="auto"/>
                <w:sz w:val="24"/>
                <w:highlight w:val="none"/>
              </w:rPr>
            </w:pPr>
            <w:r>
              <w:rPr>
                <w:rFonts w:ascii="宋体" w:hAnsi="宋体"/>
                <w:color w:val="auto"/>
                <w:sz w:val="24"/>
                <w:highlight w:val="none"/>
              </w:rPr>
              <w:t>14</w:t>
            </w:r>
          </w:p>
        </w:tc>
        <w:tc>
          <w:tcPr>
            <w:tcW w:w="8592" w:type="dxa"/>
            <w:tcBorders>
              <w:top w:val="single" w:color="auto" w:sz="4" w:space="0"/>
              <w:left w:val="single" w:color="auto" w:sz="4" w:space="0"/>
              <w:bottom w:val="single" w:color="auto" w:sz="4" w:space="0"/>
            </w:tcBorders>
            <w:vAlign w:val="center"/>
          </w:tcPr>
          <w:p w14:paraId="3C528EF7">
            <w:pPr>
              <w:snapToGrid w:val="0"/>
              <w:rPr>
                <w:rFonts w:ascii="宋体"/>
                <w:color w:val="auto"/>
                <w:sz w:val="24"/>
                <w:highlight w:val="none"/>
              </w:rPr>
            </w:pPr>
            <w:r>
              <w:rPr>
                <w:rFonts w:hint="eastAsia" w:ascii="宋体" w:hAnsi="宋体"/>
                <w:color w:val="auto"/>
                <w:sz w:val="24"/>
                <w:highlight w:val="none"/>
              </w:rPr>
              <w:t>投标文件有效期：</w:t>
            </w:r>
            <w:r>
              <w:rPr>
                <w:rFonts w:ascii="宋体" w:hAnsi="宋体" w:cs="Arial"/>
                <w:color w:val="auto"/>
                <w:sz w:val="24"/>
                <w:highlight w:val="none"/>
                <w:u w:val="single"/>
              </w:rPr>
              <w:t xml:space="preserve"> 60 </w:t>
            </w:r>
            <w:r>
              <w:rPr>
                <w:rFonts w:hint="eastAsia" w:ascii="宋体" w:hAnsi="宋体" w:cs="Arial"/>
                <w:color w:val="auto"/>
                <w:sz w:val="24"/>
                <w:highlight w:val="none"/>
              </w:rPr>
              <w:t>天</w:t>
            </w:r>
          </w:p>
        </w:tc>
      </w:tr>
      <w:tr w14:paraId="43C71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bottom w:val="single" w:color="auto" w:sz="4" w:space="0"/>
              <w:right w:val="single" w:color="auto" w:sz="4" w:space="0"/>
            </w:tcBorders>
            <w:vAlign w:val="center"/>
          </w:tcPr>
          <w:p w14:paraId="2333309D">
            <w:pPr>
              <w:snapToGrid w:val="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15</w:t>
            </w:r>
          </w:p>
        </w:tc>
        <w:tc>
          <w:tcPr>
            <w:tcW w:w="8592" w:type="dxa"/>
            <w:tcBorders>
              <w:top w:val="single" w:color="auto" w:sz="4" w:space="0"/>
              <w:left w:val="single" w:color="auto" w:sz="4" w:space="0"/>
              <w:bottom w:val="single" w:color="auto" w:sz="4" w:space="0"/>
            </w:tcBorders>
            <w:vAlign w:val="center"/>
          </w:tcPr>
          <w:p w14:paraId="762E9E0C">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D21C4E4">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为扩大政府采购金融服务面，除政采云网上金融服务合作银行外，东阳市范围内增加浙商银行金华分行东阳支行作为线下合作银行。   </w:t>
            </w:r>
          </w:p>
          <w:p w14:paraId="0CCC8559">
            <w:pPr>
              <w:snapToGrid w:val="0"/>
              <w:rPr>
                <w:rFonts w:hint="eastAsia" w:ascii="宋体" w:hAnsi="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32551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bottom w:val="single" w:color="auto" w:sz="4" w:space="0"/>
              <w:right w:val="single" w:color="auto" w:sz="4" w:space="0"/>
            </w:tcBorders>
            <w:vAlign w:val="center"/>
          </w:tcPr>
          <w:p w14:paraId="5A14D9F2">
            <w:pPr>
              <w:snapToGrid w:val="0"/>
              <w:jc w:val="center"/>
              <w:rPr>
                <w:rFonts w:hint="eastAsia" w:ascii="宋体" w:hAnsi="宋体" w:eastAsia="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8592" w:type="dxa"/>
            <w:tcBorders>
              <w:top w:val="single" w:color="auto" w:sz="4" w:space="0"/>
              <w:left w:val="single" w:color="auto" w:sz="4" w:space="0"/>
              <w:bottom w:val="single" w:color="auto" w:sz="4" w:space="0"/>
            </w:tcBorders>
            <w:vAlign w:val="center"/>
          </w:tcPr>
          <w:p w14:paraId="58C6168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根据《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对小型和微型企业、监狱企业、残疾人福利性单位价格给予20%扣除，用扣除后的价格参与评审，但不重复享受价格扣除。</w:t>
            </w:r>
          </w:p>
          <w:p w14:paraId="0A5206C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大中型企业与小微企业组成联合体或者允许大中型企业向一家或者多家小微企业分包的政府采购货物或服务项目，对于联合体协议或者分包意向协议约定小微企业的合同份额占到合同总金额40%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AE99C47">
            <w:pPr>
              <w:widowControl/>
              <w:snapToGrid w:val="0"/>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tc>
      </w:tr>
      <w:tr w14:paraId="3EAC0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648" w:type="dxa"/>
            <w:tcBorders>
              <w:top w:val="single" w:color="auto" w:sz="4" w:space="0"/>
              <w:bottom w:val="single" w:color="auto" w:sz="4" w:space="0"/>
              <w:right w:val="single" w:color="auto" w:sz="4" w:space="0"/>
            </w:tcBorders>
            <w:vAlign w:val="center"/>
          </w:tcPr>
          <w:p w14:paraId="2885B536">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592" w:type="dxa"/>
            <w:tcBorders>
              <w:top w:val="single" w:color="auto" w:sz="4" w:space="0"/>
              <w:left w:val="single" w:color="auto" w:sz="4" w:space="0"/>
              <w:bottom w:val="single" w:color="auto" w:sz="4" w:space="0"/>
            </w:tcBorders>
            <w:vAlign w:val="center"/>
          </w:tcPr>
          <w:p w14:paraId="0BBD47F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1BD42C7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（1）招标人或采购代理机构将对本项目供应商的信用记录进行查询。查询渠道为信用中国网站（www.creditchina.gov.cn）、中国政府采购网（www.ccgp.gov.cn）；</w:t>
            </w:r>
          </w:p>
          <w:p w14:paraId="4EA770B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1299573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60608C7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w:t>
            </w:r>
            <w:r>
              <w:rPr>
                <w:rFonts w:hint="eastAsia" w:ascii="宋体" w:hAnsi="宋体" w:cs="宋体"/>
                <w:color w:val="auto"/>
                <w:sz w:val="24"/>
                <w:highlight w:val="none"/>
                <w:lang w:eastAsia="zh-CN"/>
              </w:rPr>
              <w:t>其他</w:t>
            </w:r>
            <w:r>
              <w:rPr>
                <w:rFonts w:hint="eastAsia" w:ascii="宋体" w:hAnsi="宋体" w:cs="宋体"/>
                <w:color w:val="auto"/>
                <w:sz w:val="24"/>
                <w:highlight w:val="none"/>
              </w:rPr>
              <w:t>不符合《中华人民共和国政府采购法》第二十二条规定条件的，其投标将被拒绝。</w:t>
            </w:r>
          </w:p>
          <w:p w14:paraId="281A19A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43C9C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648" w:type="dxa"/>
            <w:tcBorders>
              <w:top w:val="single" w:color="auto" w:sz="4" w:space="0"/>
              <w:bottom w:val="single" w:color="auto" w:sz="4" w:space="0"/>
              <w:right w:val="single" w:color="auto" w:sz="4" w:space="0"/>
            </w:tcBorders>
            <w:vAlign w:val="center"/>
          </w:tcPr>
          <w:p w14:paraId="3E9D0FD7">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8592" w:type="dxa"/>
            <w:tcBorders>
              <w:top w:val="single" w:color="auto" w:sz="4" w:space="0"/>
              <w:left w:val="single" w:color="auto" w:sz="4" w:space="0"/>
              <w:bottom w:val="single" w:color="auto" w:sz="4" w:space="0"/>
            </w:tcBorders>
            <w:vAlign w:val="center"/>
          </w:tcPr>
          <w:p w14:paraId="254D2C7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根据《关于印发中小企业划型标准规定的通知》（工信部联企业〔2011〕300号）,采购标的对应的中小企业划分标准所属行业，本项目属于</w:t>
            </w:r>
            <w:r>
              <w:rPr>
                <w:rFonts w:hint="eastAsia" w:ascii="宋体" w:hAnsi="宋体" w:cs="仿宋_GB2312"/>
                <w:color w:val="auto"/>
                <w:sz w:val="24"/>
                <w:szCs w:val="24"/>
                <w:highlight w:val="none"/>
                <w:u w:val="single"/>
              </w:rPr>
              <w:t>其他未列明行业</w:t>
            </w:r>
            <w:r>
              <w:rPr>
                <w:rFonts w:hint="eastAsia" w:ascii="宋体" w:hAnsi="宋体" w:cs="宋体"/>
                <w:color w:val="auto"/>
                <w:sz w:val="24"/>
                <w:highlight w:val="none"/>
              </w:rPr>
              <w:t>；</w:t>
            </w:r>
          </w:p>
          <w:p w14:paraId="500D400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tc>
      </w:tr>
      <w:tr w14:paraId="6AD13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648" w:type="dxa"/>
            <w:tcBorders>
              <w:top w:val="single" w:color="auto" w:sz="4" w:space="0"/>
              <w:bottom w:val="single" w:color="auto" w:sz="4" w:space="0"/>
              <w:right w:val="single" w:color="auto" w:sz="4" w:space="0"/>
            </w:tcBorders>
            <w:vAlign w:val="center"/>
          </w:tcPr>
          <w:p w14:paraId="33FA3E0A">
            <w:pPr>
              <w:snapToGrid w:val="0"/>
              <w:jc w:val="center"/>
              <w:rPr>
                <w:rFonts w:hint="eastAsia" w:ascii="宋体" w:hAnsi="宋体" w:eastAsia="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8592" w:type="dxa"/>
            <w:tcBorders>
              <w:top w:val="single" w:color="auto" w:sz="4" w:space="0"/>
              <w:left w:val="single" w:color="auto" w:sz="4" w:space="0"/>
              <w:bottom w:val="single" w:color="auto" w:sz="4" w:space="0"/>
            </w:tcBorders>
            <w:vAlign w:val="center"/>
          </w:tcPr>
          <w:p w14:paraId="48253A1A">
            <w:pPr>
              <w:pStyle w:val="4"/>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节能产品：□ 强制采购节能产品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优先采购节能产品   </w:t>
            </w: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不适用</w:t>
            </w:r>
          </w:p>
          <w:p w14:paraId="3E9351CE">
            <w:pPr>
              <w:pStyle w:val="4"/>
              <w:spacing w:line="240" w:lineRule="auto"/>
              <w:rPr>
                <w:rFonts w:hint="eastAsia" w:ascii="宋体" w:hAnsi="宋体" w:cs="宋体"/>
                <w:color w:val="auto"/>
                <w:sz w:val="24"/>
                <w:highlight w:val="none"/>
              </w:rPr>
            </w:pPr>
            <w:r>
              <w:rPr>
                <w:rFonts w:hint="eastAsia" w:ascii="宋体" w:hAnsi="宋体" w:cs="宋体"/>
                <w:color w:val="auto"/>
                <w:sz w:val="24"/>
                <w:szCs w:val="24"/>
                <w:highlight w:val="none"/>
              </w:rPr>
              <w:t xml:space="preserve">环境标志产品：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优先采购环境标志产品   </w:t>
            </w: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不适用</w:t>
            </w:r>
          </w:p>
        </w:tc>
      </w:tr>
      <w:tr w14:paraId="6A6AC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bottom w:val="single" w:color="auto" w:sz="4" w:space="0"/>
              <w:right w:val="single" w:color="auto" w:sz="4" w:space="0"/>
            </w:tcBorders>
            <w:vAlign w:val="center"/>
          </w:tcPr>
          <w:p w14:paraId="642166D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p>
        </w:tc>
        <w:tc>
          <w:tcPr>
            <w:tcW w:w="8592" w:type="dxa"/>
            <w:tcBorders>
              <w:top w:val="single" w:color="auto" w:sz="4" w:space="0"/>
              <w:left w:val="single" w:color="auto" w:sz="4" w:space="0"/>
              <w:bottom w:val="single" w:color="auto" w:sz="4" w:space="0"/>
            </w:tcBorders>
            <w:vAlign w:val="center"/>
          </w:tcPr>
          <w:p w14:paraId="78DBF7FA">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574E08">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504D98B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D87E51">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7D08C36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w:t>
            </w:r>
          </w:p>
          <w:p w14:paraId="4A44F365">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64FD0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bottom w:val="single" w:color="auto" w:sz="4" w:space="0"/>
              <w:right w:val="single" w:color="auto" w:sz="4" w:space="0"/>
            </w:tcBorders>
            <w:vAlign w:val="center"/>
          </w:tcPr>
          <w:p w14:paraId="201468A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p>
        </w:tc>
        <w:tc>
          <w:tcPr>
            <w:tcW w:w="8592" w:type="dxa"/>
            <w:tcBorders>
              <w:top w:val="single" w:color="auto" w:sz="4" w:space="0"/>
              <w:left w:val="single" w:color="auto" w:sz="4" w:space="0"/>
              <w:bottom w:val="single" w:color="auto" w:sz="4" w:space="0"/>
            </w:tcBorders>
            <w:vAlign w:val="center"/>
          </w:tcPr>
          <w:p w14:paraId="2C227DF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解释：</w:t>
            </w:r>
            <w:r>
              <w:rPr>
                <w:rFonts w:hint="eastAsia" w:ascii="宋体" w:hAnsi="宋体" w:cs="宋体"/>
                <w:color w:val="auto"/>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bl>
    <w:p w14:paraId="27F977E4">
      <w:pPr>
        <w:rPr>
          <w:color w:val="auto"/>
          <w:highlight w:val="none"/>
        </w:rPr>
      </w:pPr>
    </w:p>
    <w:p w14:paraId="5A07B635">
      <w:pPr>
        <w:snapToGrid w:val="0"/>
        <w:spacing w:line="480" w:lineRule="auto"/>
        <w:rPr>
          <w:rFonts w:hint="eastAsia" w:ascii="宋体" w:hAnsi="宋体" w:cs="宋体"/>
          <w:b/>
          <w:color w:val="auto"/>
          <w:sz w:val="24"/>
          <w:highlight w:val="none"/>
        </w:rPr>
      </w:pPr>
      <w:r>
        <w:rPr>
          <w:rFonts w:hint="eastAsia" w:ascii="宋体" w:hAnsi="宋体" w:cs="宋体"/>
          <w:b/>
          <w:color w:val="auto"/>
          <w:sz w:val="24"/>
          <w:highlight w:val="none"/>
        </w:rPr>
        <w:t>注：如本招标文件后面的条款与本表有矛盾的以本表的内容为准。</w:t>
      </w:r>
    </w:p>
    <w:p w14:paraId="5E402DA8">
      <w:pPr>
        <w:pStyle w:val="24"/>
        <w:snapToGrid w:val="0"/>
        <w:spacing w:before="120" w:after="120" w:line="360" w:lineRule="auto"/>
        <w:rPr>
          <w:rFonts w:hint="eastAsia" w:hAnsi="宋体"/>
          <w:b/>
          <w:color w:val="auto"/>
          <w:sz w:val="28"/>
          <w:szCs w:val="28"/>
          <w:highlight w:val="none"/>
        </w:rPr>
      </w:pPr>
    </w:p>
    <w:p w14:paraId="064F9EE2">
      <w:pPr>
        <w:pStyle w:val="24"/>
        <w:snapToGrid w:val="0"/>
        <w:spacing w:before="120" w:after="120" w:line="360" w:lineRule="auto"/>
        <w:rPr>
          <w:rFonts w:hint="eastAsia" w:hAnsi="宋体"/>
          <w:b/>
          <w:color w:val="auto"/>
          <w:sz w:val="28"/>
          <w:szCs w:val="28"/>
          <w:highlight w:val="none"/>
        </w:rPr>
      </w:pPr>
    </w:p>
    <w:p w14:paraId="368AC09D">
      <w:pPr>
        <w:pStyle w:val="24"/>
        <w:snapToGrid w:val="0"/>
        <w:spacing w:before="120" w:after="120" w:line="360" w:lineRule="auto"/>
        <w:rPr>
          <w:rFonts w:hint="eastAsia" w:hAnsi="宋体"/>
          <w:b/>
          <w:color w:val="auto"/>
          <w:sz w:val="28"/>
          <w:szCs w:val="28"/>
          <w:highlight w:val="none"/>
        </w:rPr>
      </w:pPr>
    </w:p>
    <w:p w14:paraId="1A717E8A">
      <w:pPr>
        <w:pStyle w:val="24"/>
        <w:snapToGrid w:val="0"/>
        <w:spacing w:before="120" w:after="120" w:line="360" w:lineRule="auto"/>
        <w:rPr>
          <w:rFonts w:hint="eastAsia" w:hAnsi="宋体"/>
          <w:b/>
          <w:color w:val="auto"/>
          <w:sz w:val="28"/>
          <w:szCs w:val="28"/>
          <w:highlight w:val="none"/>
        </w:rPr>
      </w:pPr>
    </w:p>
    <w:p w14:paraId="0394BE67">
      <w:pPr>
        <w:pStyle w:val="24"/>
        <w:snapToGrid w:val="0"/>
        <w:spacing w:before="120" w:after="120" w:line="360" w:lineRule="auto"/>
        <w:rPr>
          <w:rFonts w:hint="eastAsia" w:hAnsi="宋体"/>
          <w:b/>
          <w:color w:val="auto"/>
          <w:sz w:val="28"/>
          <w:szCs w:val="28"/>
          <w:highlight w:val="none"/>
        </w:rPr>
      </w:pPr>
    </w:p>
    <w:p w14:paraId="63EE7C33">
      <w:pPr>
        <w:pStyle w:val="24"/>
        <w:snapToGrid w:val="0"/>
        <w:spacing w:before="120" w:after="120" w:line="360" w:lineRule="auto"/>
        <w:rPr>
          <w:rFonts w:hint="eastAsia" w:hAnsi="宋体"/>
          <w:b/>
          <w:color w:val="auto"/>
          <w:sz w:val="28"/>
          <w:szCs w:val="28"/>
          <w:highlight w:val="none"/>
        </w:rPr>
      </w:pPr>
    </w:p>
    <w:p w14:paraId="17D980FF">
      <w:pPr>
        <w:pStyle w:val="24"/>
        <w:snapToGrid w:val="0"/>
        <w:spacing w:before="120" w:after="120" w:line="360" w:lineRule="auto"/>
        <w:rPr>
          <w:rFonts w:hint="eastAsia" w:hAnsi="宋体"/>
          <w:b/>
          <w:color w:val="auto"/>
          <w:sz w:val="28"/>
          <w:szCs w:val="28"/>
          <w:highlight w:val="none"/>
        </w:rPr>
      </w:pPr>
    </w:p>
    <w:p w14:paraId="708C9E2D">
      <w:pPr>
        <w:pStyle w:val="24"/>
        <w:snapToGrid w:val="0"/>
        <w:spacing w:before="120" w:after="120" w:line="360" w:lineRule="auto"/>
        <w:rPr>
          <w:rFonts w:hint="eastAsia" w:hAnsi="宋体"/>
          <w:b/>
          <w:color w:val="auto"/>
          <w:sz w:val="28"/>
          <w:szCs w:val="28"/>
          <w:highlight w:val="none"/>
        </w:rPr>
      </w:pPr>
    </w:p>
    <w:p w14:paraId="39DBDA5B">
      <w:pPr>
        <w:pStyle w:val="24"/>
        <w:snapToGrid w:val="0"/>
        <w:spacing w:before="120" w:after="120" w:line="360" w:lineRule="auto"/>
        <w:rPr>
          <w:rFonts w:hint="eastAsia" w:hAnsi="宋体"/>
          <w:b/>
          <w:color w:val="auto"/>
          <w:sz w:val="28"/>
          <w:szCs w:val="28"/>
          <w:highlight w:val="none"/>
        </w:rPr>
      </w:pPr>
    </w:p>
    <w:p w14:paraId="7191EBF3">
      <w:pPr>
        <w:pStyle w:val="24"/>
        <w:snapToGrid w:val="0"/>
        <w:spacing w:before="120" w:after="120" w:line="360" w:lineRule="auto"/>
        <w:rPr>
          <w:rFonts w:hint="eastAsia" w:hAnsi="宋体"/>
          <w:b/>
          <w:color w:val="auto"/>
          <w:sz w:val="28"/>
          <w:szCs w:val="28"/>
          <w:highlight w:val="none"/>
        </w:rPr>
      </w:pPr>
    </w:p>
    <w:p w14:paraId="3DEE4B8C">
      <w:pPr>
        <w:pStyle w:val="24"/>
        <w:snapToGrid w:val="0"/>
        <w:spacing w:before="120" w:after="120" w:line="360" w:lineRule="auto"/>
        <w:rPr>
          <w:rFonts w:hint="eastAsia" w:hAnsi="宋体"/>
          <w:b/>
          <w:color w:val="auto"/>
          <w:sz w:val="28"/>
          <w:szCs w:val="28"/>
          <w:highlight w:val="none"/>
        </w:rPr>
      </w:pPr>
    </w:p>
    <w:p w14:paraId="7E1C45EE">
      <w:pPr>
        <w:pStyle w:val="24"/>
        <w:snapToGrid w:val="0"/>
        <w:spacing w:before="120" w:after="120" w:line="360" w:lineRule="auto"/>
        <w:rPr>
          <w:rFonts w:hint="eastAsia" w:hAnsi="宋体"/>
          <w:b/>
          <w:color w:val="auto"/>
          <w:sz w:val="28"/>
          <w:szCs w:val="28"/>
          <w:highlight w:val="none"/>
        </w:rPr>
      </w:pPr>
    </w:p>
    <w:p w14:paraId="4F601C0D">
      <w:pPr>
        <w:pStyle w:val="24"/>
        <w:snapToGrid w:val="0"/>
        <w:spacing w:before="120" w:after="120" w:line="360" w:lineRule="auto"/>
        <w:rPr>
          <w:rFonts w:hint="eastAsia" w:hAnsi="宋体"/>
          <w:b/>
          <w:color w:val="auto"/>
          <w:sz w:val="28"/>
          <w:szCs w:val="28"/>
          <w:highlight w:val="none"/>
        </w:rPr>
      </w:pPr>
    </w:p>
    <w:p w14:paraId="51CF468C">
      <w:pPr>
        <w:pStyle w:val="24"/>
        <w:snapToGrid w:val="0"/>
        <w:spacing w:before="120" w:after="120" w:line="360" w:lineRule="auto"/>
        <w:rPr>
          <w:rFonts w:hAnsi="宋体"/>
          <w:b/>
          <w:color w:val="auto"/>
          <w:sz w:val="28"/>
          <w:szCs w:val="28"/>
          <w:highlight w:val="none"/>
        </w:rPr>
      </w:pPr>
      <w:r>
        <w:rPr>
          <w:rFonts w:hint="eastAsia" w:hAnsi="宋体"/>
          <w:b/>
          <w:color w:val="auto"/>
          <w:sz w:val="28"/>
          <w:szCs w:val="28"/>
          <w:highlight w:val="none"/>
        </w:rPr>
        <w:t>一、总则</w:t>
      </w:r>
    </w:p>
    <w:p w14:paraId="00F2370E">
      <w:pPr>
        <w:snapToGrid w:val="0"/>
        <w:spacing w:line="360" w:lineRule="auto"/>
        <w:ind w:firstLine="472" w:firstLineChars="196"/>
        <w:jc w:val="left"/>
        <w:outlineLvl w:val="1"/>
        <w:rPr>
          <w:rFonts w:ascii="宋体"/>
          <w:b/>
          <w:color w:val="auto"/>
          <w:sz w:val="24"/>
          <w:szCs w:val="20"/>
          <w:highlight w:val="none"/>
        </w:rPr>
      </w:pPr>
      <w:r>
        <w:rPr>
          <w:rFonts w:hint="eastAsia" w:ascii="宋体" w:hAnsi="宋体"/>
          <w:b/>
          <w:color w:val="auto"/>
          <w:sz w:val="24"/>
          <w:highlight w:val="none"/>
        </w:rPr>
        <w:t>（一）适用范围</w:t>
      </w:r>
    </w:p>
    <w:p w14:paraId="7BB84DB4">
      <w:pPr>
        <w:snapToGrid w:val="0"/>
        <w:spacing w:line="360" w:lineRule="auto"/>
        <w:ind w:firstLine="480" w:firstLineChars="200"/>
        <w:jc w:val="left"/>
        <w:rPr>
          <w:rFonts w:ascii="宋体"/>
          <w:b w:val="0"/>
          <w:bCs w:val="0"/>
          <w:color w:val="auto"/>
          <w:sz w:val="24"/>
          <w:szCs w:val="20"/>
          <w:highlight w:val="none"/>
        </w:rPr>
      </w:pPr>
      <w:r>
        <w:rPr>
          <w:rFonts w:hint="eastAsia" w:ascii="宋体" w:hAnsi="宋体"/>
          <w:b w:val="0"/>
          <w:bCs w:val="0"/>
          <w:color w:val="auto"/>
          <w:sz w:val="24"/>
          <w:highlight w:val="none"/>
        </w:rPr>
        <w:t>本招标文件仅适用于</w:t>
      </w:r>
      <w:r>
        <w:rPr>
          <w:rFonts w:hint="eastAsia" w:ascii="宋体" w:hAnsi="宋体"/>
          <w:b/>
          <w:bCs/>
          <w:color w:val="auto"/>
          <w:sz w:val="24"/>
          <w:szCs w:val="20"/>
          <w:highlight w:val="none"/>
          <w:lang w:eastAsia="zh-CN"/>
        </w:rPr>
        <w:t>东阳市公安局食材配送服务采购项目</w:t>
      </w:r>
      <w:r>
        <w:rPr>
          <w:rFonts w:hint="eastAsia" w:ascii="宋体" w:hAnsi="宋体"/>
          <w:b w:val="0"/>
          <w:bCs w:val="0"/>
          <w:color w:val="auto"/>
          <w:sz w:val="24"/>
          <w:szCs w:val="20"/>
          <w:highlight w:val="none"/>
          <w:lang w:eastAsia="zh-CN"/>
        </w:rPr>
        <w:t>的招标、投标、评标、定标、验收、合同履约、付款等行为（法律、法规另有规定的，从其规定）</w:t>
      </w:r>
      <w:r>
        <w:rPr>
          <w:rFonts w:hint="eastAsia" w:ascii="宋体" w:hAnsi="宋体"/>
          <w:b w:val="0"/>
          <w:bCs w:val="0"/>
          <w:color w:val="auto"/>
          <w:sz w:val="24"/>
          <w:highlight w:val="none"/>
        </w:rPr>
        <w:t>。</w:t>
      </w:r>
    </w:p>
    <w:p w14:paraId="3F32B2BB">
      <w:pPr>
        <w:snapToGrid w:val="0"/>
        <w:spacing w:beforeLines="50" w:line="360" w:lineRule="auto"/>
        <w:ind w:firstLine="354" w:firstLineChars="147"/>
        <w:jc w:val="left"/>
        <w:outlineLvl w:val="1"/>
        <w:rPr>
          <w:rFonts w:ascii="宋体"/>
          <w:b/>
          <w:color w:val="auto"/>
          <w:sz w:val="24"/>
          <w:szCs w:val="20"/>
          <w:highlight w:val="none"/>
        </w:rPr>
      </w:pPr>
      <w:r>
        <w:rPr>
          <w:rFonts w:hint="eastAsia" w:ascii="宋体" w:hAnsi="宋体"/>
          <w:b/>
          <w:color w:val="auto"/>
          <w:sz w:val="24"/>
          <w:highlight w:val="none"/>
        </w:rPr>
        <w:t>（二）定义</w:t>
      </w:r>
    </w:p>
    <w:p w14:paraId="176CB477">
      <w:pPr>
        <w:tabs>
          <w:tab w:val="left" w:pos="7140"/>
        </w:tabs>
        <w:snapToGrid w:val="0"/>
        <w:ind w:firstLine="480" w:firstLineChars="200"/>
        <w:jc w:val="left"/>
        <w:rPr>
          <w:rFonts w:ascii="宋体"/>
          <w:color w:val="auto"/>
          <w:sz w:val="24"/>
          <w:highlight w:val="none"/>
        </w:rPr>
      </w:pPr>
      <w:r>
        <w:rPr>
          <w:rFonts w:ascii="宋体" w:hAnsi="宋体"/>
          <w:color w:val="auto"/>
          <w:sz w:val="24"/>
          <w:highlight w:val="none"/>
        </w:rPr>
        <w:t>1</w:t>
      </w:r>
      <w:r>
        <w:rPr>
          <w:rFonts w:ascii="宋体"/>
          <w:color w:val="auto"/>
          <w:sz w:val="24"/>
          <w:highlight w:val="none"/>
        </w:rPr>
        <w:t>.</w:t>
      </w:r>
      <w:r>
        <w:rPr>
          <w:rFonts w:hint="eastAsia" w:ascii="宋体" w:hAnsi="宋体" w:cs="宋体"/>
          <w:color w:val="auto"/>
          <w:sz w:val="24"/>
          <w:highlight w:val="none"/>
        </w:rPr>
        <w:t>招标采购单位系指组织本次招标的</w:t>
      </w:r>
      <w:r>
        <w:rPr>
          <w:rFonts w:hint="eastAsia" w:ascii="宋体" w:hAnsi="宋体" w:cs="宋体"/>
          <w:b/>
          <w:bCs/>
          <w:color w:val="auto"/>
          <w:sz w:val="24"/>
          <w:highlight w:val="none"/>
          <w:lang w:eastAsia="zh-CN"/>
        </w:rPr>
        <w:t>东阳市公安局</w:t>
      </w:r>
      <w:r>
        <w:rPr>
          <w:rFonts w:hint="eastAsia" w:ascii="宋体" w:hAnsi="宋体" w:cs="宋体"/>
          <w:color w:val="auto"/>
          <w:sz w:val="24"/>
          <w:highlight w:val="none"/>
        </w:rPr>
        <w:t>（“采购人”）和</w:t>
      </w:r>
      <w:r>
        <w:rPr>
          <w:rFonts w:hint="eastAsia" w:ascii="宋体" w:hAnsi="宋体"/>
          <w:b/>
          <w:bCs/>
          <w:color w:val="auto"/>
          <w:sz w:val="24"/>
          <w:highlight w:val="none"/>
          <w:lang w:eastAsia="zh-CN"/>
        </w:rPr>
        <w:t>泰宇建筑工程技术咨询有限公司</w:t>
      </w:r>
      <w:r>
        <w:rPr>
          <w:rFonts w:hint="eastAsia" w:ascii="宋体" w:hAnsi="宋体"/>
          <w:color w:val="auto"/>
          <w:sz w:val="24"/>
          <w:highlight w:val="none"/>
        </w:rPr>
        <w:t>（</w:t>
      </w:r>
      <w:r>
        <w:rPr>
          <w:rFonts w:hint="eastAsia" w:ascii="宋体"/>
          <w:color w:val="auto"/>
          <w:sz w:val="24"/>
          <w:highlight w:val="none"/>
        </w:rPr>
        <w:t>“</w:t>
      </w:r>
      <w:r>
        <w:rPr>
          <w:rFonts w:hint="eastAsia" w:ascii="宋体" w:hAnsi="宋体" w:cs="宋体"/>
          <w:color w:val="auto"/>
          <w:sz w:val="24"/>
          <w:highlight w:val="none"/>
        </w:rPr>
        <w:t>采购代理机构</w:t>
      </w:r>
      <w:r>
        <w:rPr>
          <w:rFonts w:hint="eastAsia" w:ascii="宋体"/>
          <w:color w:val="auto"/>
          <w:sz w:val="24"/>
          <w:highlight w:val="none"/>
        </w:rPr>
        <w:t>”</w:t>
      </w:r>
      <w:r>
        <w:rPr>
          <w:rFonts w:hint="eastAsia" w:ascii="宋体" w:hAnsi="宋体"/>
          <w:color w:val="auto"/>
          <w:sz w:val="24"/>
          <w:highlight w:val="none"/>
        </w:rPr>
        <w:t>）。</w:t>
      </w:r>
    </w:p>
    <w:p w14:paraId="5262BE89">
      <w:pPr>
        <w:tabs>
          <w:tab w:val="left" w:pos="7140"/>
        </w:tabs>
        <w:snapToGrid w:val="0"/>
        <w:ind w:firstLine="480" w:firstLineChars="200"/>
        <w:jc w:val="left"/>
        <w:rPr>
          <w:rFonts w:ascii="宋体"/>
          <w:color w:val="auto"/>
          <w:sz w:val="24"/>
          <w:highlight w:val="none"/>
        </w:rPr>
      </w:pPr>
      <w:r>
        <w:rPr>
          <w:rFonts w:ascii="宋体" w:hAnsi="宋体"/>
          <w:color w:val="auto"/>
          <w:sz w:val="24"/>
          <w:highlight w:val="none"/>
        </w:rPr>
        <w:t>2</w:t>
      </w:r>
      <w:r>
        <w:rPr>
          <w:rFonts w:ascii="宋体"/>
          <w:color w:val="auto"/>
          <w:sz w:val="24"/>
          <w:highlight w:val="none"/>
        </w:rPr>
        <w:t>.</w:t>
      </w:r>
      <w:r>
        <w:rPr>
          <w:rFonts w:hint="eastAsia" w:ascii="宋体" w:hAnsi="宋体"/>
          <w:color w:val="auto"/>
          <w:sz w:val="24"/>
          <w:highlight w:val="none"/>
        </w:rPr>
        <w:t>“投标人</w:t>
      </w:r>
      <w:r>
        <w:rPr>
          <w:rFonts w:hint="eastAsia" w:ascii="宋体"/>
          <w:color w:val="auto"/>
          <w:sz w:val="24"/>
          <w:highlight w:val="none"/>
        </w:rPr>
        <w:t>”</w:t>
      </w:r>
      <w:r>
        <w:rPr>
          <w:rFonts w:hint="eastAsia" w:ascii="宋体" w:hAnsi="宋体"/>
          <w:color w:val="auto"/>
          <w:sz w:val="24"/>
          <w:highlight w:val="none"/>
        </w:rPr>
        <w:t>系指向招标方提交投标文件的单位。</w:t>
      </w:r>
    </w:p>
    <w:p w14:paraId="4B5FAF63">
      <w:pPr>
        <w:tabs>
          <w:tab w:val="left" w:pos="7140"/>
        </w:tabs>
        <w:snapToGrid w:val="0"/>
        <w:ind w:firstLine="480" w:firstLineChars="200"/>
        <w:jc w:val="left"/>
        <w:rPr>
          <w:rFonts w:ascii="宋体"/>
          <w:color w:val="auto"/>
          <w:sz w:val="24"/>
          <w:highlight w:val="none"/>
        </w:rPr>
      </w:pPr>
      <w:r>
        <w:rPr>
          <w:rFonts w:ascii="宋体" w:hAnsi="宋体"/>
          <w:color w:val="auto"/>
          <w:sz w:val="24"/>
          <w:highlight w:val="none"/>
        </w:rPr>
        <w:t>3</w:t>
      </w:r>
      <w:r>
        <w:rPr>
          <w:rFonts w:ascii="宋体"/>
          <w:color w:val="auto"/>
          <w:sz w:val="24"/>
          <w:highlight w:val="none"/>
        </w:rPr>
        <w:t>.</w:t>
      </w:r>
      <w:r>
        <w:rPr>
          <w:rFonts w:hint="eastAsia" w:ascii="宋体"/>
          <w:color w:val="auto"/>
          <w:sz w:val="24"/>
          <w:highlight w:val="none"/>
        </w:rPr>
        <w:t>“</w:t>
      </w:r>
      <w:r>
        <w:rPr>
          <w:rFonts w:hint="eastAsia" w:ascii="宋体" w:hAnsi="宋体"/>
          <w:color w:val="auto"/>
          <w:sz w:val="24"/>
          <w:highlight w:val="none"/>
        </w:rPr>
        <w:t>产品</w:t>
      </w:r>
      <w:r>
        <w:rPr>
          <w:rFonts w:hint="eastAsia" w:ascii="宋体"/>
          <w:color w:val="auto"/>
          <w:sz w:val="24"/>
          <w:highlight w:val="none"/>
        </w:rPr>
        <w:t>”</w:t>
      </w:r>
      <w:r>
        <w:rPr>
          <w:rFonts w:hint="eastAsia" w:ascii="宋体" w:hAnsi="宋体"/>
          <w:color w:val="auto"/>
          <w:sz w:val="24"/>
          <w:highlight w:val="none"/>
        </w:rPr>
        <w:t>系指供方按招标文件规定，须向采购人提供的一切设备、保险、税金、备品备件、工具、手册及其它有关技术资料和材料。</w:t>
      </w:r>
    </w:p>
    <w:p w14:paraId="3F5CE7A3">
      <w:pPr>
        <w:tabs>
          <w:tab w:val="left" w:pos="7140"/>
        </w:tabs>
        <w:snapToGrid w:val="0"/>
        <w:ind w:firstLine="480" w:firstLineChars="200"/>
        <w:jc w:val="left"/>
        <w:rPr>
          <w:rFonts w:ascii="宋体"/>
          <w:color w:val="auto"/>
          <w:sz w:val="24"/>
          <w:highlight w:val="none"/>
        </w:rPr>
      </w:pPr>
      <w:r>
        <w:rPr>
          <w:rFonts w:ascii="宋体" w:hAnsi="宋体"/>
          <w:color w:val="auto"/>
          <w:sz w:val="24"/>
          <w:highlight w:val="none"/>
        </w:rPr>
        <w:t>4</w:t>
      </w:r>
      <w:r>
        <w:rPr>
          <w:rFonts w:ascii="宋体"/>
          <w:color w:val="auto"/>
          <w:sz w:val="24"/>
          <w:highlight w:val="none"/>
        </w:rPr>
        <w:t>.</w:t>
      </w:r>
      <w:r>
        <w:rPr>
          <w:rFonts w:hint="eastAsia" w:ascii="宋体" w:hAnsi="宋体" w:eastAsia="宋体" w:cs="Times New Roman"/>
          <w:color w:val="auto"/>
          <w:kern w:val="2"/>
          <w:sz w:val="24"/>
          <w:szCs w:val="24"/>
          <w:highlight w:val="none"/>
          <w:lang w:val="en-US" w:eastAsia="zh-CN" w:bidi="ar-SA"/>
        </w:rPr>
        <w:t>“服务”系指招标文件规定投标人须承担的人员、保险、税金、备品备件、工具、运输、清理、技术指导以及其他类似的义务。</w:t>
      </w:r>
    </w:p>
    <w:p w14:paraId="3D0ABC96">
      <w:pPr>
        <w:tabs>
          <w:tab w:val="left" w:pos="7140"/>
        </w:tabs>
        <w:snapToGrid w:val="0"/>
        <w:ind w:firstLine="480" w:firstLineChars="200"/>
        <w:jc w:val="left"/>
        <w:rPr>
          <w:rFonts w:ascii="宋体"/>
          <w:color w:val="auto"/>
          <w:sz w:val="24"/>
          <w:highlight w:val="none"/>
        </w:rPr>
      </w:pPr>
      <w:r>
        <w:rPr>
          <w:rFonts w:ascii="宋体" w:hAnsi="宋体"/>
          <w:color w:val="auto"/>
          <w:sz w:val="24"/>
          <w:highlight w:val="none"/>
        </w:rPr>
        <w:t>5</w:t>
      </w:r>
      <w:r>
        <w:rPr>
          <w:rFonts w:ascii="宋体"/>
          <w:color w:val="auto"/>
          <w:sz w:val="24"/>
          <w:highlight w:val="none"/>
        </w:rPr>
        <w:t>.</w:t>
      </w:r>
      <w:r>
        <w:rPr>
          <w:rFonts w:hint="eastAsia" w:ascii="宋体"/>
          <w:color w:val="auto"/>
          <w:sz w:val="24"/>
          <w:highlight w:val="none"/>
        </w:rPr>
        <w:t>“</w:t>
      </w:r>
      <w:r>
        <w:rPr>
          <w:rFonts w:hint="eastAsia" w:ascii="宋体" w:hAnsi="宋体"/>
          <w:color w:val="auto"/>
          <w:sz w:val="24"/>
          <w:highlight w:val="none"/>
        </w:rPr>
        <w:t>项目</w:t>
      </w:r>
      <w:r>
        <w:rPr>
          <w:rFonts w:hint="eastAsia" w:ascii="宋体"/>
          <w:color w:val="auto"/>
          <w:sz w:val="24"/>
          <w:highlight w:val="none"/>
        </w:rPr>
        <w:t>”</w:t>
      </w:r>
      <w:r>
        <w:rPr>
          <w:rFonts w:hint="eastAsia" w:ascii="宋体" w:hAnsi="宋体"/>
          <w:color w:val="auto"/>
          <w:sz w:val="24"/>
          <w:highlight w:val="none"/>
        </w:rPr>
        <w:t>系指投标人按招标文件规定向采购人提供的产品和服务。</w:t>
      </w:r>
    </w:p>
    <w:p w14:paraId="7EFE56C6">
      <w:pPr>
        <w:tabs>
          <w:tab w:val="left" w:pos="7140"/>
        </w:tabs>
        <w:snapToGrid w:val="0"/>
        <w:ind w:firstLine="480" w:firstLineChars="200"/>
        <w:jc w:val="left"/>
        <w:rPr>
          <w:rFonts w:ascii="宋体"/>
          <w:color w:val="auto"/>
          <w:sz w:val="24"/>
          <w:highlight w:val="none"/>
        </w:rPr>
      </w:pPr>
      <w:r>
        <w:rPr>
          <w:rFonts w:ascii="宋体" w:hAnsi="宋体"/>
          <w:color w:val="auto"/>
          <w:sz w:val="24"/>
          <w:highlight w:val="none"/>
        </w:rPr>
        <w:t>6</w:t>
      </w:r>
      <w:r>
        <w:rPr>
          <w:rFonts w:ascii="宋体"/>
          <w:color w:val="auto"/>
          <w:sz w:val="24"/>
          <w:highlight w:val="none"/>
        </w:rPr>
        <w:t>.</w:t>
      </w:r>
      <w:r>
        <w:rPr>
          <w:rFonts w:hint="eastAsia" w:ascii="宋体"/>
          <w:color w:val="auto"/>
          <w:sz w:val="24"/>
          <w:highlight w:val="none"/>
        </w:rPr>
        <w:t>“</w:t>
      </w:r>
      <w:r>
        <w:rPr>
          <w:rFonts w:hint="eastAsia" w:ascii="宋体" w:hAnsi="宋体"/>
          <w:color w:val="auto"/>
          <w:sz w:val="24"/>
          <w:highlight w:val="none"/>
        </w:rPr>
        <w:t>书面形式</w:t>
      </w:r>
      <w:r>
        <w:rPr>
          <w:rFonts w:hint="eastAsia" w:ascii="宋体"/>
          <w:color w:val="auto"/>
          <w:sz w:val="24"/>
          <w:highlight w:val="none"/>
        </w:rPr>
        <w:t>”</w:t>
      </w:r>
      <w:r>
        <w:rPr>
          <w:rFonts w:hint="eastAsia" w:ascii="宋体" w:hAnsi="宋体"/>
          <w:color w:val="auto"/>
          <w:sz w:val="24"/>
          <w:highlight w:val="none"/>
        </w:rPr>
        <w:t>包括信函、传真、电报等。</w:t>
      </w:r>
    </w:p>
    <w:p w14:paraId="0B983202">
      <w:pPr>
        <w:tabs>
          <w:tab w:val="left" w:pos="7140"/>
        </w:tabs>
        <w:snapToGrid w:val="0"/>
        <w:ind w:firstLine="480" w:firstLineChars="20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7.本招标文件中带“▲”的有关技术和商务条款为实质性条款，不允许负偏离，否则作无效标处理。</w:t>
      </w:r>
    </w:p>
    <w:p w14:paraId="734AA08E">
      <w:pPr>
        <w:snapToGrid w:val="0"/>
        <w:spacing w:beforeLines="50" w:line="360" w:lineRule="auto"/>
        <w:ind w:firstLine="472" w:firstLineChars="196"/>
        <w:jc w:val="left"/>
        <w:outlineLvl w:val="1"/>
        <w:rPr>
          <w:rFonts w:ascii="宋体"/>
          <w:b/>
          <w:color w:val="auto"/>
          <w:sz w:val="24"/>
          <w:szCs w:val="20"/>
          <w:highlight w:val="none"/>
        </w:rPr>
      </w:pPr>
      <w:r>
        <w:rPr>
          <w:rFonts w:hint="eastAsia" w:ascii="宋体" w:hAnsi="宋体"/>
          <w:b/>
          <w:color w:val="auto"/>
          <w:sz w:val="24"/>
          <w:highlight w:val="none"/>
        </w:rPr>
        <w:t>（三）招标方式</w:t>
      </w:r>
    </w:p>
    <w:p w14:paraId="275BC04F">
      <w:pPr>
        <w:snapToGrid w:val="0"/>
        <w:spacing w:line="360" w:lineRule="auto"/>
        <w:ind w:firstLine="480" w:firstLineChars="200"/>
        <w:jc w:val="left"/>
        <w:rPr>
          <w:rFonts w:ascii="宋体"/>
          <w:color w:val="auto"/>
          <w:sz w:val="24"/>
          <w:szCs w:val="20"/>
          <w:highlight w:val="none"/>
        </w:rPr>
      </w:pPr>
      <w:r>
        <w:rPr>
          <w:rFonts w:hint="eastAsia" w:ascii="宋体" w:hAnsi="宋体"/>
          <w:color w:val="auto"/>
          <w:sz w:val="24"/>
          <w:highlight w:val="none"/>
        </w:rPr>
        <w:t>本次招标采用公开招标方式进行。</w:t>
      </w:r>
    </w:p>
    <w:p w14:paraId="3A9F5D01">
      <w:pPr>
        <w:snapToGrid w:val="0"/>
        <w:spacing w:beforeLines="50" w:line="360" w:lineRule="auto"/>
        <w:ind w:firstLine="472" w:firstLineChars="196"/>
        <w:jc w:val="left"/>
        <w:outlineLvl w:val="1"/>
        <w:rPr>
          <w:rFonts w:ascii="宋体"/>
          <w:b/>
          <w:color w:val="auto"/>
          <w:sz w:val="24"/>
          <w:szCs w:val="20"/>
          <w:highlight w:val="none"/>
        </w:rPr>
      </w:pPr>
      <w:r>
        <w:rPr>
          <w:rFonts w:hint="eastAsia" w:ascii="宋体" w:hAnsi="宋体"/>
          <w:b/>
          <w:color w:val="auto"/>
          <w:sz w:val="24"/>
          <w:highlight w:val="none"/>
        </w:rPr>
        <w:t>（四）投标委托</w:t>
      </w:r>
    </w:p>
    <w:p w14:paraId="1EE57CB3">
      <w:pPr>
        <w:snapToGrid w:val="0"/>
        <w:spacing w:line="360" w:lineRule="auto"/>
        <w:ind w:firstLine="480" w:firstLineChars="200"/>
        <w:rPr>
          <w:bCs/>
          <w:color w:val="auto"/>
          <w:highlight w:val="none"/>
        </w:rPr>
      </w:pPr>
      <w:r>
        <w:rPr>
          <w:rFonts w:hint="eastAsia" w:ascii="宋体" w:hAnsi="宋体" w:cs="宋体"/>
          <w:bCs/>
          <w:color w:val="auto"/>
          <w:sz w:val="24"/>
          <w:highlight w:val="none"/>
        </w:rPr>
        <w:t>本项目不要求投标人到开标现场开标，但投标人应派法定代表人或委托代理人【委托代理人应当是投标人的在职正式职工（</w:t>
      </w:r>
      <w:r>
        <w:rPr>
          <w:rFonts w:hint="eastAsia" w:ascii="宋体" w:hAnsi="宋体" w:cs="Arial"/>
          <w:bCs/>
          <w:color w:val="auto"/>
          <w:sz w:val="24"/>
          <w:highlight w:val="none"/>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Cs/>
          <w:color w:val="auto"/>
          <w:sz w:val="24"/>
          <w:highlight w:val="none"/>
        </w:rPr>
        <w:t>）】准时在线出席电子开标会议，随时关注开标进度，如在开标过程中有电子询标，应在规定的时间内对电子询标函进行澄清</w:t>
      </w:r>
      <w:r>
        <w:rPr>
          <w:rFonts w:hint="eastAsia" w:ascii="宋体" w:hAnsi="宋体" w:cs="Arial"/>
          <w:bCs/>
          <w:color w:val="auto"/>
          <w:sz w:val="24"/>
          <w:highlight w:val="none"/>
        </w:rPr>
        <w:t>、答复</w:t>
      </w:r>
      <w:r>
        <w:rPr>
          <w:rFonts w:hint="eastAsia" w:ascii="宋体" w:hAnsi="宋体" w:cs="宋体"/>
          <w:bCs/>
          <w:color w:val="auto"/>
          <w:sz w:val="24"/>
          <w:highlight w:val="none"/>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3FD2FA25">
      <w:pPr>
        <w:snapToGrid w:val="0"/>
        <w:spacing w:beforeLines="50" w:line="360" w:lineRule="auto"/>
        <w:ind w:firstLine="470" w:firstLineChars="196"/>
        <w:jc w:val="left"/>
        <w:outlineLvl w:val="1"/>
        <w:rPr>
          <w:rFonts w:hint="eastAsia" w:ascii="宋体" w:hAnsi="宋体" w:cs="宋体"/>
          <w:color w:val="auto"/>
          <w:sz w:val="24"/>
          <w:highlight w:val="none"/>
        </w:rPr>
      </w:pPr>
      <w:r>
        <w:rPr>
          <w:rFonts w:hint="eastAsia" w:ascii="宋体" w:hAnsi="宋体" w:cs="Arial"/>
          <w:bCs/>
          <w:color w:val="auto"/>
          <w:sz w:val="24"/>
          <w:highlight w:val="none"/>
        </w:rPr>
        <w:t>投标人未按招标文件要求派代表参加电子开标会议的，视同认可开标结果，不得对开标过程及开标结果提出质疑</w:t>
      </w:r>
      <w:r>
        <w:rPr>
          <w:rFonts w:hint="eastAsia" w:ascii="宋体" w:hAnsi="宋体" w:cs="宋体"/>
          <w:color w:val="auto"/>
          <w:sz w:val="24"/>
          <w:highlight w:val="none"/>
        </w:rPr>
        <w:t>。</w:t>
      </w:r>
    </w:p>
    <w:p w14:paraId="67303554">
      <w:pPr>
        <w:snapToGrid w:val="0"/>
        <w:spacing w:beforeLines="50" w:line="360" w:lineRule="auto"/>
        <w:ind w:firstLine="472" w:firstLineChars="196"/>
        <w:jc w:val="left"/>
        <w:outlineLvl w:val="1"/>
        <w:rPr>
          <w:rFonts w:ascii="宋体"/>
          <w:b/>
          <w:color w:val="auto"/>
          <w:sz w:val="24"/>
          <w:szCs w:val="20"/>
          <w:highlight w:val="none"/>
        </w:rPr>
      </w:pPr>
      <w:r>
        <w:rPr>
          <w:rFonts w:hint="eastAsia" w:ascii="宋体" w:hAnsi="宋体"/>
          <w:b/>
          <w:color w:val="auto"/>
          <w:sz w:val="24"/>
          <w:highlight w:val="none"/>
        </w:rPr>
        <w:t>（五）投标费用</w:t>
      </w:r>
    </w:p>
    <w:p w14:paraId="0FDBEB20">
      <w:pPr>
        <w:snapToGrid w:val="0"/>
        <w:spacing w:line="312" w:lineRule="auto"/>
        <w:ind w:firstLine="720" w:firstLineChars="300"/>
        <w:jc w:val="left"/>
        <w:rPr>
          <w:rFonts w:ascii="宋体" w:hAnsi="宋体" w:cs="宋体"/>
          <w:color w:val="auto"/>
          <w:spacing w:val="-4"/>
          <w:sz w:val="24"/>
          <w:highlight w:val="none"/>
        </w:rPr>
      </w:pPr>
      <w:r>
        <w:rPr>
          <w:rFonts w:hint="eastAsia" w:ascii="宋体" w:hAnsi="宋体"/>
          <w:color w:val="auto"/>
          <w:sz w:val="24"/>
          <w:highlight w:val="none"/>
        </w:rPr>
        <w:t>不论投标结果如何，投标人均应自行承担所有与投标有关的全部费用（招标文件有相反规定除外）。</w:t>
      </w:r>
      <w:r>
        <w:rPr>
          <w:rFonts w:hint="eastAsia" w:ascii="宋体" w:hAnsi="宋体" w:cs="宋体"/>
          <w:color w:val="auto"/>
          <w:sz w:val="24"/>
          <w:highlight w:val="none"/>
          <w:lang w:eastAsia="zh-CN"/>
        </w:rPr>
        <w:t>泰宇建筑工程技术咨询有限公司</w:t>
      </w:r>
      <w:r>
        <w:rPr>
          <w:rFonts w:hint="eastAsia" w:ascii="宋体" w:hAnsi="宋体" w:cs="宋体"/>
          <w:color w:val="auto"/>
          <w:spacing w:val="-4"/>
          <w:sz w:val="24"/>
          <w:highlight w:val="none"/>
        </w:rPr>
        <w:t>根据中标金额按照中标服务费收费标准计收，中标单位须在领取中标通知书前向招标代理机构交纳中标服务费。</w:t>
      </w:r>
    </w:p>
    <w:p w14:paraId="7CC92B5C">
      <w:pPr>
        <w:snapToGrid w:val="0"/>
        <w:spacing w:line="312" w:lineRule="auto"/>
        <w:ind w:firstLine="696" w:firstLineChars="300"/>
        <w:jc w:val="left"/>
        <w:rPr>
          <w:rFonts w:ascii="宋体" w:hAnsi="宋体" w:cs="宋体"/>
          <w:color w:val="auto"/>
          <w:spacing w:val="-4"/>
          <w:sz w:val="24"/>
          <w:highlight w:val="none"/>
        </w:rPr>
      </w:pPr>
      <w:r>
        <w:rPr>
          <w:rFonts w:hint="eastAsia" w:ascii="宋体" w:hAnsi="宋体" w:cs="宋体"/>
          <w:color w:val="auto"/>
          <w:spacing w:val="-4"/>
          <w:sz w:val="24"/>
          <w:highlight w:val="none"/>
        </w:rPr>
        <w:t>中标服务费收费标准如下：</w:t>
      </w:r>
    </w:p>
    <w:tbl>
      <w:tblPr>
        <w:tblStyle w:val="45"/>
        <w:tblW w:w="9180" w:type="dxa"/>
        <w:tblCellSpacing w:w="15" w:type="dxa"/>
        <w:tblInd w:w="98" w:type="dxa"/>
        <w:tblLayout w:type="fixed"/>
        <w:tblCellMar>
          <w:top w:w="15" w:type="dxa"/>
          <w:left w:w="15" w:type="dxa"/>
          <w:bottom w:w="15" w:type="dxa"/>
          <w:right w:w="15" w:type="dxa"/>
        </w:tblCellMar>
      </w:tblPr>
      <w:tblGrid>
        <w:gridCol w:w="4290"/>
        <w:gridCol w:w="4890"/>
      </w:tblGrid>
      <w:tr w14:paraId="767FC650">
        <w:tblPrEx>
          <w:tblCellMar>
            <w:top w:w="15" w:type="dxa"/>
            <w:left w:w="15" w:type="dxa"/>
            <w:bottom w:w="15" w:type="dxa"/>
            <w:right w:w="15" w:type="dxa"/>
          </w:tblCellMar>
        </w:tblPrEx>
        <w:trPr>
          <w:trHeight w:val="300" w:hRule="atLeast"/>
          <w:tblCellSpacing w:w="15" w:type="dxa"/>
        </w:trPr>
        <w:tc>
          <w:tcPr>
            <w:tcW w:w="4245" w:type="dxa"/>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14:paraId="6E3B1C7B">
            <w:pPr>
              <w:widowControl/>
              <w:ind w:firstLine="211" w:firstLineChars="100"/>
              <w:rPr>
                <w:rFonts w:ascii="宋体" w:hAnsi="宋体" w:cs="宋体"/>
                <w:color w:val="auto"/>
                <w:kern w:val="0"/>
                <w:szCs w:val="21"/>
                <w:highlight w:val="none"/>
              </w:rPr>
            </w:pPr>
            <w:r>
              <w:rPr>
                <w:rFonts w:hint="eastAsia" w:ascii="宋体" w:hAnsi="宋体" w:cs="宋体"/>
                <w:b/>
                <w:bCs/>
                <w:color w:val="auto"/>
                <w:kern w:val="0"/>
                <w:szCs w:val="21"/>
                <w:highlight w:val="none"/>
              </w:rPr>
              <w:t>服务类型</w:t>
            </w:r>
            <w:r>
              <w:rPr>
                <w:rFonts w:ascii="宋体" w:hAnsi="宋体" w:cs="宋体"/>
                <w:b/>
                <w:bCs/>
                <w:color w:val="auto"/>
                <w:kern w:val="0"/>
                <w:szCs w:val="21"/>
                <w:highlight w:val="none"/>
              </w:rPr>
              <w:t xml:space="preserve"> / </w:t>
            </w:r>
            <w:r>
              <w:rPr>
                <w:rFonts w:hint="eastAsia" w:ascii="宋体" w:hAnsi="宋体" w:cs="宋体"/>
                <w:b/>
                <w:bCs/>
                <w:color w:val="auto"/>
                <w:kern w:val="0"/>
                <w:szCs w:val="21"/>
                <w:highlight w:val="none"/>
              </w:rPr>
              <w:t>中标金额（万元）</w:t>
            </w:r>
          </w:p>
        </w:tc>
        <w:tc>
          <w:tcPr>
            <w:tcW w:w="4845" w:type="dxa"/>
            <w:tcBorders>
              <w:top w:val="inset" w:color="000000" w:sz="6" w:space="0"/>
              <w:left w:val="single" w:color="auto" w:sz="0" w:space="0"/>
              <w:bottom w:val="inset" w:color="000000" w:sz="6" w:space="0"/>
              <w:right w:val="inset" w:color="000000" w:sz="6" w:space="0"/>
            </w:tcBorders>
            <w:tcMar>
              <w:top w:w="0" w:type="dxa"/>
              <w:left w:w="0" w:type="dxa"/>
              <w:bottom w:w="0" w:type="dxa"/>
              <w:right w:w="0" w:type="dxa"/>
            </w:tcMar>
            <w:vAlign w:val="center"/>
          </w:tcPr>
          <w:p w14:paraId="327FBFA5">
            <w:pPr>
              <w:widowControl/>
              <w:spacing w:before="105" w:after="105"/>
              <w:jc w:val="center"/>
              <w:rPr>
                <w:rFonts w:ascii="宋体" w:hAnsi="宋体" w:cs="宋体"/>
                <w:color w:val="auto"/>
                <w:kern w:val="0"/>
                <w:szCs w:val="21"/>
                <w:highlight w:val="none"/>
              </w:rPr>
            </w:pPr>
            <w:r>
              <w:rPr>
                <w:rFonts w:hint="eastAsia" w:ascii="宋体" w:hAnsi="宋体" w:cs="宋体"/>
                <w:b/>
                <w:bCs/>
                <w:color w:val="auto"/>
                <w:kern w:val="0"/>
                <w:szCs w:val="21"/>
                <w:highlight w:val="none"/>
              </w:rPr>
              <w:t>服务招标</w:t>
            </w:r>
          </w:p>
        </w:tc>
      </w:tr>
      <w:tr w14:paraId="019A9346">
        <w:tblPrEx>
          <w:tblCellMar>
            <w:top w:w="15" w:type="dxa"/>
            <w:left w:w="15" w:type="dxa"/>
            <w:bottom w:w="15" w:type="dxa"/>
            <w:right w:w="15" w:type="dxa"/>
          </w:tblCellMar>
        </w:tblPrEx>
        <w:trPr>
          <w:trHeight w:val="210" w:hRule="atLeast"/>
          <w:tblCellSpacing w:w="15" w:type="dxa"/>
        </w:trPr>
        <w:tc>
          <w:tcPr>
            <w:tcW w:w="4245" w:type="dxa"/>
            <w:tcBorders>
              <w:top w:val="single" w:color="auto" w:sz="0" w:space="0"/>
              <w:left w:val="inset" w:color="000000" w:sz="6" w:space="0"/>
              <w:bottom w:val="single" w:color="auto" w:sz="0" w:space="0"/>
              <w:right w:val="inset" w:color="000000" w:sz="6" w:space="0"/>
            </w:tcBorders>
            <w:tcMar>
              <w:top w:w="0" w:type="dxa"/>
              <w:left w:w="0" w:type="dxa"/>
              <w:bottom w:w="0" w:type="dxa"/>
              <w:right w:w="0" w:type="dxa"/>
            </w:tcMar>
            <w:vAlign w:val="center"/>
          </w:tcPr>
          <w:p w14:paraId="7A392E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100以下</w:t>
            </w:r>
          </w:p>
        </w:tc>
        <w:tc>
          <w:tcPr>
            <w:tcW w:w="4845" w:type="dxa"/>
            <w:tcBorders>
              <w:top w:val="single" w:color="auto" w:sz="0" w:space="0"/>
              <w:left w:val="single" w:color="auto" w:sz="0" w:space="0"/>
              <w:bottom w:val="single" w:color="auto" w:sz="0" w:space="0"/>
              <w:right w:val="inset" w:color="000000" w:sz="6" w:space="0"/>
            </w:tcBorders>
            <w:tcMar>
              <w:top w:w="0" w:type="dxa"/>
              <w:left w:w="0" w:type="dxa"/>
              <w:bottom w:w="0" w:type="dxa"/>
              <w:right w:w="0" w:type="dxa"/>
            </w:tcMar>
            <w:vAlign w:val="center"/>
          </w:tcPr>
          <w:p w14:paraId="746939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02093054">
        <w:tblPrEx>
          <w:tblCellMar>
            <w:top w:w="15" w:type="dxa"/>
            <w:left w:w="15" w:type="dxa"/>
            <w:bottom w:w="15" w:type="dxa"/>
            <w:right w:w="15" w:type="dxa"/>
          </w:tblCellMar>
        </w:tblPrEx>
        <w:trPr>
          <w:trHeight w:val="332" w:hRule="atLeast"/>
          <w:tblCellSpacing w:w="15" w:type="dxa"/>
        </w:trPr>
        <w:tc>
          <w:tcPr>
            <w:tcW w:w="4245" w:type="dxa"/>
            <w:tcBorders>
              <w:top w:val="single" w:color="auto" w:sz="0" w:space="0"/>
              <w:left w:val="inset" w:color="000000" w:sz="6" w:space="0"/>
              <w:bottom w:val="single" w:color="auto" w:sz="0" w:space="0"/>
              <w:right w:val="inset" w:color="000000" w:sz="6" w:space="0"/>
            </w:tcBorders>
            <w:tcMar>
              <w:top w:w="0" w:type="dxa"/>
              <w:left w:w="0" w:type="dxa"/>
              <w:bottom w:w="0" w:type="dxa"/>
              <w:right w:w="0" w:type="dxa"/>
            </w:tcMar>
            <w:vAlign w:val="center"/>
          </w:tcPr>
          <w:p w14:paraId="17664C9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100-500</w:t>
            </w:r>
          </w:p>
        </w:tc>
        <w:tc>
          <w:tcPr>
            <w:tcW w:w="4845" w:type="dxa"/>
            <w:tcBorders>
              <w:top w:val="single" w:color="auto" w:sz="0" w:space="0"/>
              <w:left w:val="single" w:color="auto" w:sz="0" w:space="0"/>
              <w:bottom w:val="single" w:color="auto" w:sz="0" w:space="0"/>
              <w:right w:val="inset" w:color="000000" w:sz="6" w:space="0"/>
            </w:tcBorders>
            <w:tcMar>
              <w:top w:w="0" w:type="dxa"/>
              <w:left w:w="0" w:type="dxa"/>
              <w:bottom w:w="0" w:type="dxa"/>
              <w:right w:w="0" w:type="dxa"/>
            </w:tcMar>
            <w:vAlign w:val="center"/>
          </w:tcPr>
          <w:p w14:paraId="5209F6F9">
            <w:pPr>
              <w:widowControl/>
              <w:jc w:val="center"/>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0.8</w:t>
            </w:r>
            <w:r>
              <w:rPr>
                <w:rFonts w:hint="eastAsia" w:ascii="宋体" w:hAnsi="宋体" w:cs="宋体"/>
                <w:color w:val="auto"/>
                <w:kern w:val="0"/>
                <w:szCs w:val="21"/>
                <w:highlight w:val="none"/>
              </w:rPr>
              <w:t>％</w:t>
            </w:r>
          </w:p>
        </w:tc>
      </w:tr>
    </w:tbl>
    <w:p w14:paraId="7EEE3B0B">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户名：</w:t>
      </w:r>
      <w:r>
        <w:rPr>
          <w:rFonts w:hint="eastAsia" w:ascii="宋体" w:hAnsi="宋体" w:cs="宋体"/>
          <w:b/>
          <w:color w:val="auto"/>
          <w:sz w:val="24"/>
          <w:highlight w:val="none"/>
          <w:lang w:eastAsia="zh-CN"/>
        </w:rPr>
        <w:t>泰宇建筑工程技术咨询有限公司东阳分公司</w:t>
      </w:r>
    </w:p>
    <w:p w14:paraId="69124FAD">
      <w:pPr>
        <w:snapToGrid w:val="0"/>
        <w:spacing w:line="360" w:lineRule="auto"/>
        <w:ind w:firstLine="472" w:firstLineChars="196"/>
        <w:jc w:val="left"/>
        <w:outlineLvl w:val="2"/>
        <w:rPr>
          <w:rFonts w:ascii="宋体" w:hAnsi="宋体" w:cs="宋体"/>
          <w:b/>
          <w:color w:val="auto"/>
          <w:sz w:val="24"/>
          <w:highlight w:val="none"/>
        </w:rPr>
      </w:pPr>
      <w:r>
        <w:rPr>
          <w:rFonts w:hint="eastAsia" w:ascii="宋体" w:hAnsi="宋体" w:cs="宋体"/>
          <w:b/>
          <w:color w:val="auto"/>
          <w:sz w:val="24"/>
          <w:highlight w:val="none"/>
        </w:rPr>
        <w:t>开户银行：中国建设银行股份有限公司东阳江北支行</w:t>
      </w:r>
    </w:p>
    <w:p w14:paraId="2C100596">
      <w:pPr>
        <w:snapToGrid w:val="0"/>
        <w:spacing w:line="360" w:lineRule="auto"/>
        <w:ind w:firstLine="482" w:firstLineChars="200"/>
        <w:jc w:val="left"/>
        <w:rPr>
          <w:rFonts w:hint="default" w:ascii="宋体" w:eastAsia="宋体"/>
          <w:color w:val="auto"/>
          <w:sz w:val="24"/>
          <w:szCs w:val="20"/>
          <w:highlight w:val="none"/>
          <w:lang w:val="en-US" w:eastAsia="zh-CN"/>
        </w:rPr>
      </w:pPr>
      <w:r>
        <w:rPr>
          <w:rFonts w:hint="eastAsia" w:ascii="宋体" w:hAnsi="宋体" w:cs="宋体"/>
          <w:b/>
          <w:color w:val="auto"/>
          <w:sz w:val="24"/>
          <w:highlight w:val="none"/>
        </w:rPr>
        <w:t>账 号：33050167636100000427</w:t>
      </w:r>
    </w:p>
    <w:p w14:paraId="4923CAD3">
      <w:pPr>
        <w:snapToGrid w:val="0"/>
        <w:spacing w:beforeLines="50" w:line="360" w:lineRule="auto"/>
        <w:ind w:firstLine="472" w:firstLineChars="196"/>
        <w:jc w:val="left"/>
        <w:rPr>
          <w:rFonts w:ascii="宋体"/>
          <w:b/>
          <w:color w:val="auto"/>
          <w:sz w:val="24"/>
          <w:szCs w:val="20"/>
          <w:highlight w:val="none"/>
        </w:rPr>
      </w:pPr>
      <w:r>
        <w:rPr>
          <w:rFonts w:hint="eastAsia" w:ascii="宋体" w:hAnsi="宋体"/>
          <w:b/>
          <w:color w:val="auto"/>
          <w:sz w:val="24"/>
          <w:highlight w:val="none"/>
        </w:rPr>
        <w:t>（六）联合体投标</w:t>
      </w:r>
    </w:p>
    <w:p w14:paraId="6058B02D">
      <w:pPr>
        <w:snapToGrid w:val="0"/>
        <w:spacing w:line="360" w:lineRule="auto"/>
        <w:ind w:firstLine="480" w:firstLineChars="200"/>
        <w:jc w:val="left"/>
        <w:rPr>
          <w:rFonts w:ascii="宋体"/>
          <w:color w:val="auto"/>
          <w:sz w:val="24"/>
          <w:highlight w:val="none"/>
        </w:rPr>
      </w:pPr>
      <w:r>
        <w:rPr>
          <w:rFonts w:hint="eastAsia" w:ascii="宋体" w:hAnsi="宋体" w:cs="宋体"/>
          <w:color w:val="auto"/>
          <w:sz w:val="24"/>
          <w:highlight w:val="none"/>
        </w:rPr>
        <w:t>本项目接受联合体投标</w:t>
      </w:r>
      <w:r>
        <w:rPr>
          <w:rFonts w:hint="eastAsia" w:ascii="宋体" w:hAnsi="宋体"/>
          <w:color w:val="auto"/>
          <w:sz w:val="24"/>
          <w:highlight w:val="none"/>
        </w:rPr>
        <w:t>。</w:t>
      </w:r>
    </w:p>
    <w:p w14:paraId="72DACAEC">
      <w:pPr>
        <w:snapToGrid w:val="0"/>
        <w:spacing w:beforeLines="50" w:line="360" w:lineRule="auto"/>
        <w:ind w:firstLine="472" w:firstLineChars="196"/>
        <w:jc w:val="left"/>
        <w:rPr>
          <w:rFonts w:ascii="宋体"/>
          <w:b/>
          <w:color w:val="auto"/>
          <w:sz w:val="24"/>
          <w:highlight w:val="none"/>
        </w:rPr>
      </w:pPr>
      <w:r>
        <w:rPr>
          <w:rFonts w:hint="eastAsia" w:ascii="宋体" w:hAnsi="宋体"/>
          <w:b/>
          <w:color w:val="auto"/>
          <w:sz w:val="24"/>
          <w:highlight w:val="none"/>
        </w:rPr>
        <w:t>（七）转包与分包</w:t>
      </w:r>
    </w:p>
    <w:p w14:paraId="3FC1238B">
      <w:pPr>
        <w:snapToGrid w:val="0"/>
        <w:spacing w:before="120" w:beforeLines="50" w:line="360" w:lineRule="auto"/>
        <w:ind w:firstLine="540" w:firstLineChars="225"/>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本项目不允许转包。</w:t>
      </w:r>
    </w:p>
    <w:p w14:paraId="15A8E4AE">
      <w:pPr>
        <w:snapToGrid w:val="0"/>
        <w:spacing w:before="120" w:beforeLines="50" w:line="360" w:lineRule="auto"/>
        <w:ind w:firstLine="540" w:firstLineChars="225"/>
        <w:jc w:val="left"/>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.本项目分包按照浙财采监[2022]3号文件执行。</w:t>
      </w:r>
    </w:p>
    <w:p w14:paraId="76C24927">
      <w:pPr>
        <w:snapToGrid w:val="0"/>
        <w:spacing w:beforeLines="50" w:line="360" w:lineRule="auto"/>
        <w:ind w:firstLine="472" w:firstLineChars="196"/>
        <w:jc w:val="left"/>
        <w:outlineLvl w:val="1"/>
        <w:rPr>
          <w:rFonts w:ascii="宋体"/>
          <w:b/>
          <w:color w:val="auto"/>
          <w:sz w:val="24"/>
          <w:highlight w:val="none"/>
        </w:rPr>
      </w:pPr>
      <w:r>
        <w:rPr>
          <w:rFonts w:hint="eastAsia" w:ascii="宋体" w:hAnsi="宋体"/>
          <w:b/>
          <w:color w:val="auto"/>
          <w:sz w:val="24"/>
          <w:highlight w:val="none"/>
        </w:rPr>
        <w:t>（八）特别说明：</w:t>
      </w:r>
    </w:p>
    <w:p w14:paraId="4CB07369">
      <w:pPr>
        <w:snapToGrid w:val="0"/>
        <w:spacing w:before="120" w:beforeLines="50" w:line="360" w:lineRule="auto"/>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▲1.多家投标人参加投标，如其中两家或两家以上投标人的法定代表人为同一人或相互之间存在投资关系且达到控股的，应当按一个投标人认定。</w:t>
      </w:r>
    </w:p>
    <w:p w14:paraId="5FA92305">
      <w:pPr>
        <w:snapToGrid w:val="0"/>
        <w:spacing w:before="120" w:beforeLines="50" w:line="360" w:lineRule="auto"/>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▲2.投标人投标所使用的资格、信誉、荣誉、业绩与企业认证必须为本投标单位所拥有。</w:t>
      </w:r>
    </w:p>
    <w:p w14:paraId="667C2FFF">
      <w:pPr>
        <w:snapToGrid w:val="0"/>
        <w:spacing w:before="120" w:beforeLines="50" w:line="360" w:lineRule="auto"/>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投标人投标所使用的采购项目实施人员必须为本投标单位员工（或必须为本投标单位或控股公司正式员工）。</w:t>
      </w:r>
    </w:p>
    <w:p w14:paraId="62C3B235">
      <w:pPr>
        <w:snapToGrid w:val="0"/>
        <w:spacing w:before="120" w:beforeLines="50" w:line="360" w:lineRule="auto"/>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.投标人应仔细阅读招标文件的所有内容，按照招标文件的要求提交投标文件，并对所提供的全部资料的真实性承担法律责任。</w:t>
      </w:r>
    </w:p>
    <w:p w14:paraId="5ABF05A0">
      <w:pPr>
        <w:snapToGrid w:val="0"/>
        <w:spacing w:before="120" w:beforeLines="50" w:line="360" w:lineRule="auto"/>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14:paraId="7FCE343F">
      <w:pPr>
        <w:snapToGrid w:val="0"/>
        <w:spacing w:before="120" w:beforeLines="50" w:line="360" w:lineRule="auto"/>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评标委员会认为投标人的报价明显低于其他通过符合性审查投标人的报价，有可能影响成果质量或者不能诚信履约的，应当要求其在评标现场合理的时间内提供书面说明，投标人不能证明其报价合理性的，评标委员会应当将其作为无效投标处理。</w:t>
      </w:r>
    </w:p>
    <w:p w14:paraId="21BB4BFD">
      <w:pPr>
        <w:snapToGrid w:val="0"/>
        <w:spacing w:before="120" w:beforeLines="50" w:line="360" w:lineRule="auto"/>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.招标方不保证最低报价者为中标方。</w:t>
      </w:r>
    </w:p>
    <w:p w14:paraId="4519D525">
      <w:pPr>
        <w:snapToGrid w:val="0"/>
        <w:spacing w:before="120" w:beforeLines="50" w:line="360" w:lineRule="auto"/>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.为维护国家利益及招标方自身利益，允许招标方在合同签订之前仍有选择或拒绝任何或全部投标的权力。</w:t>
      </w:r>
    </w:p>
    <w:p w14:paraId="26854A26">
      <w:pPr>
        <w:snapToGrid w:val="0"/>
        <w:spacing w:before="120" w:beforeLines="50" w:line="360" w:lineRule="auto"/>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.“政采云”平台运营机构以及与该机构有直接控股或者管理关系可能影响采购公正性的任何单位和个人，不得在该平台进行的政府采购项目电子交易中投标、响应政府采购项目。</w:t>
      </w:r>
    </w:p>
    <w:p w14:paraId="22F54778">
      <w:pPr>
        <w:pStyle w:val="24"/>
        <w:snapToGrid w:val="0"/>
        <w:spacing w:beforeLines="0" w:afterLines="0" w:line="360" w:lineRule="auto"/>
        <w:ind w:firstLine="472" w:firstLineChars="196"/>
        <w:outlineLvl w:val="1"/>
        <w:rPr>
          <w:rFonts w:hAnsi="宋体"/>
          <w:b/>
          <w:bCs/>
          <w:color w:val="auto"/>
          <w:highlight w:val="none"/>
        </w:rPr>
      </w:pPr>
      <w:r>
        <w:rPr>
          <w:rFonts w:hint="eastAsia" w:hAnsi="宋体"/>
          <w:b/>
          <w:bCs/>
          <w:color w:val="auto"/>
          <w:highlight w:val="none"/>
        </w:rPr>
        <w:t>（九）质疑和投诉</w:t>
      </w:r>
    </w:p>
    <w:p w14:paraId="730C1279">
      <w:pPr>
        <w:pStyle w:val="24"/>
        <w:snapToGrid w:val="0"/>
        <w:spacing w:beforeLines="0" w:afterLines="0" w:line="360" w:lineRule="auto"/>
        <w:ind w:firstLine="480" w:firstLineChars="200"/>
        <w:rPr>
          <w:rFonts w:hAnsi="宋体"/>
          <w:bCs/>
          <w:color w:val="auto"/>
          <w:highlight w:val="none"/>
        </w:rPr>
      </w:pPr>
      <w:r>
        <w:rPr>
          <w:rFonts w:hAnsi="宋体"/>
          <w:bCs/>
          <w:color w:val="auto"/>
          <w:highlight w:val="none"/>
        </w:rPr>
        <w:t>1.</w:t>
      </w:r>
      <w:r>
        <w:rPr>
          <w:rFonts w:hint="eastAsia" w:hAnsi="宋体"/>
          <w:bCs/>
          <w:color w:val="auto"/>
          <w:highlight w:val="none"/>
        </w:rPr>
        <w:t>投标人认为招标文件、招标过程或中标结果使自己的合法权益受到损害的，应当在知道或者应知其权益受到损害之日起七个工作日内，以书面形式向采购人、招标方提出质疑。</w:t>
      </w:r>
      <w:r>
        <w:rPr>
          <w:rFonts w:hint="eastAsia" w:hAnsi="宋体"/>
          <w:color w:val="auto"/>
          <w:highlight w:val="none"/>
        </w:rPr>
        <w:t>投标人对招标采购单位的质疑答复不满意或者招标采购单位未在规定时间内作出答复的，可以在答复期满后十五个工作日内向同级采购监管部门投诉。</w:t>
      </w:r>
    </w:p>
    <w:p w14:paraId="1F02F399">
      <w:pPr>
        <w:pStyle w:val="24"/>
        <w:snapToGrid w:val="0"/>
        <w:spacing w:beforeLines="0" w:afterLines="0" w:line="360" w:lineRule="auto"/>
        <w:ind w:firstLine="480" w:firstLineChars="200"/>
        <w:rPr>
          <w:rFonts w:hint="eastAsia" w:ascii="宋体" w:hAnsi="宋体" w:eastAsia="宋体" w:cs="Times New Roman"/>
          <w:bCs/>
          <w:color w:val="auto"/>
          <w:highlight w:val="none"/>
        </w:rPr>
      </w:pPr>
      <w:r>
        <w:rPr>
          <w:rFonts w:hAnsi="宋体"/>
          <w:bCs/>
          <w:color w:val="auto"/>
          <w:highlight w:val="none"/>
        </w:rPr>
        <w:t>2.</w:t>
      </w:r>
      <w:r>
        <w:rPr>
          <w:rFonts w:hint="eastAsia" w:hAnsi="宋体"/>
          <w:bCs/>
          <w:color w:val="auto"/>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w:t>
      </w:r>
      <w:r>
        <w:rPr>
          <w:rFonts w:hint="eastAsia" w:ascii="宋体" w:hAnsi="宋体" w:eastAsia="宋体" w:cs="Times New Roman"/>
          <w:bCs/>
          <w:color w:val="auto"/>
          <w:highlight w:val="none"/>
        </w:rPr>
        <w:t>处理。</w:t>
      </w:r>
    </w:p>
    <w:p w14:paraId="6E7B8F7A">
      <w:pPr>
        <w:pStyle w:val="24"/>
        <w:snapToGrid w:val="0"/>
        <w:spacing w:beforeLines="0" w:afterLines="0" w:line="360" w:lineRule="auto"/>
        <w:ind w:firstLine="480" w:firstLineChars="200"/>
        <w:rPr>
          <w:rFonts w:hint="eastAsia"/>
          <w:color w:val="auto"/>
          <w:highlight w:val="none"/>
        </w:rPr>
      </w:pPr>
      <w:r>
        <w:rPr>
          <w:rFonts w:hint="eastAsia" w:ascii="宋体" w:hAnsi="宋体" w:eastAsia="宋体" w:cs="Times New Roman"/>
          <w:bCs/>
          <w:color w:val="auto"/>
          <w:highlight w:val="none"/>
        </w:rPr>
        <w:t>3.采购人、招标方应当按照《浙江省政府采购供应商质疑处理办法》、中华人民共和国财政部第94号令《政府采购质疑和投诉办法》进行受理与答复质疑。</w:t>
      </w:r>
    </w:p>
    <w:p w14:paraId="5870812F">
      <w:pPr>
        <w:pStyle w:val="24"/>
        <w:snapToGrid w:val="0"/>
        <w:spacing w:before="120" w:after="120" w:line="360" w:lineRule="auto"/>
        <w:ind w:firstLine="472" w:firstLineChars="196"/>
        <w:outlineLvl w:val="1"/>
        <w:rPr>
          <w:rFonts w:hint="eastAsia" w:hAnsi="宋体"/>
          <w:b/>
          <w:bCs/>
          <w:color w:val="auto"/>
          <w:highlight w:val="none"/>
        </w:rPr>
      </w:pPr>
      <w:r>
        <w:rPr>
          <w:rFonts w:hint="eastAsia" w:hAnsi="宋体"/>
          <w:b/>
          <w:bCs/>
          <w:color w:val="auto"/>
          <w:highlight w:val="none"/>
          <w:lang w:eastAsia="zh-CN"/>
        </w:rPr>
        <w:t>（十）</w:t>
      </w:r>
      <w:r>
        <w:rPr>
          <w:rFonts w:hint="eastAsia" w:hAnsi="宋体"/>
          <w:b/>
          <w:bCs/>
          <w:color w:val="auto"/>
          <w:highlight w:val="none"/>
        </w:rPr>
        <w:t>政府采购政策落实</w:t>
      </w:r>
    </w:p>
    <w:p w14:paraId="0A00F8B8">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.采购项目需要落实的政府采购政策</w:t>
      </w:r>
    </w:p>
    <w:p w14:paraId="049C055E">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 xml:space="preserve">.1 </w:t>
      </w:r>
      <w:r>
        <w:rPr>
          <w:rFonts w:hint="eastAsia" w:ascii="宋体" w:hAnsi="宋体" w:cs="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F52705B">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 支持绿色发展</w:t>
      </w:r>
    </w:p>
    <w:p w14:paraId="12AFACEC">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.2.1</w:t>
      </w: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r>
        <w:rPr>
          <w:rFonts w:hint="eastAsia" w:cs="宋体"/>
          <w:color w:val="auto"/>
          <w:highlight w:val="none"/>
          <w:lang w:bidi="ar"/>
        </w:rPr>
        <w:t>。</w:t>
      </w:r>
    </w:p>
    <w:p w14:paraId="5290A8D8">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.2.2</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F7BFE57">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.3支持中小企业发展</w:t>
      </w:r>
    </w:p>
    <w:p w14:paraId="1E535773">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24A1701">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bidi="ar"/>
        </w:rPr>
        <w:t>符合中小企业划分标准的个体工商户，在政府采购活动中视同中小企业。</w:t>
      </w:r>
    </w:p>
    <w:p w14:paraId="0CE751DE">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.3.2在政府采购活动中，供应商提供的货物、工程或者服务符合下列情形的，享受中小企业扶持政策：</w:t>
      </w:r>
    </w:p>
    <w:p w14:paraId="57156959">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.3.2.1在货物采购项目中，货物由中小企业制造，即货物由中小企业生产且使用该中小企业商号或者注册商标；</w:t>
      </w:r>
    </w:p>
    <w:p w14:paraId="13457847">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.3.2.2在工程采购项目中，工程由中小企业承建，即工程施工单位为中小企业；</w:t>
      </w:r>
    </w:p>
    <w:p w14:paraId="2B5F1777">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.3.2.3在服务采购项目中，服务由中小企业承接，即提供服务的人员为中小企业依照《中华人民共和国劳动合同法》订立劳动合同的从业人员。</w:t>
      </w:r>
    </w:p>
    <w:p w14:paraId="6058D804">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bidi="ar"/>
        </w:rPr>
        <w:t>在货物采购项目中，供应商提供的货物既有中小企业制造货物，也有大型企业制造货物的，不享受中小企业扶持政策。</w:t>
      </w:r>
    </w:p>
    <w:p w14:paraId="323DBB11">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bidi="ar"/>
        </w:rPr>
        <w:t>以联合体形式参加政府采购活动，联合体各方均为中小企业的，联合体视同中小企业。其中，联合体各方均为小微企业的，联合体视同小微企业。</w:t>
      </w:r>
    </w:p>
    <w:p w14:paraId="0D36A2C3">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.3.3对于未预留份额专门面向中小企业的政府采购货物或服务项目，以及预留份额政府采购货物或服务项目中的非预留部分标项，对小型和微型企业的投标报价给予</w:t>
      </w:r>
      <w:r>
        <w:rPr>
          <w:rFonts w:hint="eastAsia" w:cs="宋体"/>
          <w:color w:val="auto"/>
          <w:highlight w:val="none"/>
          <w:lang w:val="en-US" w:eastAsia="zh-CN" w:bidi="ar"/>
        </w:rPr>
        <w:t>20</w:t>
      </w:r>
      <w:r>
        <w:rPr>
          <w:rFonts w:hint="eastAsia" w:cs="宋体"/>
          <w:color w:val="auto"/>
          <w:highlight w:val="none"/>
          <w:lang w:bidi="ar"/>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cs="宋体"/>
          <w:color w:val="auto"/>
          <w:highlight w:val="none"/>
          <w:lang w:val="en-US" w:eastAsia="zh-CN" w:bidi="ar"/>
        </w:rPr>
        <w:t>40</w:t>
      </w:r>
      <w:r>
        <w:rPr>
          <w:rFonts w:hint="eastAsia" w:cs="宋体"/>
          <w:color w:val="auto"/>
          <w:highlight w:val="none"/>
          <w:lang w:bidi="ar"/>
        </w:rPr>
        <w:t>%以上的，对联合体或者大中型企业的报价给予</w:t>
      </w:r>
      <w:r>
        <w:rPr>
          <w:rFonts w:hint="eastAsia" w:cs="宋体"/>
          <w:color w:val="auto"/>
          <w:highlight w:val="none"/>
          <w:lang w:val="en-US" w:eastAsia="zh-CN" w:bidi="ar"/>
        </w:rPr>
        <w:t>6</w:t>
      </w:r>
      <w:r>
        <w:rPr>
          <w:rFonts w:hint="eastAsia" w:cs="宋体"/>
          <w:color w:val="auto"/>
          <w:highlight w:val="none"/>
          <w:lang w:bidi="ar"/>
        </w:rPr>
        <w:t>%的扣除，用扣除后的价格参加评审。组成联合体或者接受分包的小微企业与联合体内其他企业、分包企业之间存在直接控股、管理关系的，不享受价格扣除优惠政策。</w:t>
      </w:r>
    </w:p>
    <w:p w14:paraId="386F667A">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.3.4符合《关于促进残疾人就业政府采购政策的通知》（财库〔2017〕141号）规定的条件并提供《残疾人福利性单位声明函》的残疾人福利性单位视同小型、微型企业；</w:t>
      </w:r>
    </w:p>
    <w:p w14:paraId="0E482072">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8D6293">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BFED4B7">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.3.7中小企业享受扶持政策获得政府采购合同的，小微企业不得将合同分包给大中型企业，中型企业不得将合同分包给大型企业。</w:t>
      </w:r>
    </w:p>
    <w:p w14:paraId="3719DFB5">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.4支持创新发展</w:t>
      </w:r>
    </w:p>
    <w:p w14:paraId="17D7C82F">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.4.1 采购人优先采购被认定为首台套产品和“制造精品”的自主创新产品。</w:t>
      </w:r>
    </w:p>
    <w:p w14:paraId="2456F03B">
      <w:pPr>
        <w:pStyle w:val="39"/>
        <w:adjustRightInd w:val="0"/>
        <w:snapToGrid w:val="0"/>
        <w:spacing w:beforeAutospacing="0" w:afterAutospacing="0" w:line="360" w:lineRule="auto"/>
        <w:ind w:firstLine="480" w:firstLineChars="200"/>
        <w:rPr>
          <w:rFonts w:hint="eastAsia" w:cs="宋体"/>
          <w:color w:val="auto"/>
          <w:highlight w:val="none"/>
          <w:lang w:bidi="ar"/>
        </w:rPr>
      </w:pPr>
      <w:r>
        <w:rPr>
          <w:rFonts w:hint="eastAsia" w:cs="宋体"/>
          <w:color w:val="auto"/>
          <w:highlight w:val="none"/>
          <w:lang w:val="en" w:bidi="ar"/>
        </w:rPr>
        <w:t>1</w:t>
      </w:r>
      <w:r>
        <w:rPr>
          <w:rFonts w:hint="eastAsia" w:cs="宋体"/>
          <w:color w:val="auto"/>
          <w:highlight w:val="none"/>
          <w:lang w:bidi="ar"/>
        </w:rPr>
        <w:t>.4.2</w:t>
      </w:r>
      <w:r>
        <w:rPr>
          <w:rFonts w:hint="eastAsia" w:cs="宋体" w:asciiTheme="majorEastAsia" w:hAnsiTheme="majorEastAsia" w:eastAsiaTheme="majorEastAsia"/>
          <w:color w:val="auto"/>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E3C92A2">
      <w:pPr>
        <w:pStyle w:val="39"/>
        <w:adjustRightInd w:val="0"/>
        <w:snapToGrid w:val="0"/>
        <w:spacing w:beforeAutospacing="0" w:afterAutospacing="0" w:line="360" w:lineRule="auto"/>
        <w:ind w:firstLine="480" w:firstLineChars="200"/>
        <w:rPr>
          <w:rFonts w:hint="eastAsia" w:eastAsia="宋体"/>
          <w:color w:val="auto"/>
          <w:highlight w:val="none"/>
          <w:lang w:eastAsia="zh-CN"/>
        </w:rPr>
      </w:pPr>
      <w:r>
        <w:rPr>
          <w:rFonts w:hint="eastAsia" w:cs="宋体"/>
          <w:color w:val="auto"/>
          <w:highlight w:val="none"/>
          <w:lang w:val="en" w:bidi="ar"/>
        </w:rPr>
        <w:t>1</w:t>
      </w:r>
      <w:r>
        <w:rPr>
          <w:rFonts w:hint="eastAsia" w:cs="宋体"/>
          <w:color w:val="auto"/>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B32B674">
      <w:pPr>
        <w:pStyle w:val="24"/>
        <w:snapToGrid w:val="0"/>
        <w:spacing w:beforeLines="0" w:afterLines="0" w:line="360" w:lineRule="auto"/>
        <w:ind w:firstLine="551" w:firstLineChars="196"/>
        <w:outlineLvl w:val="0"/>
        <w:rPr>
          <w:rFonts w:hAnsi="宋体"/>
          <w:b/>
          <w:color w:val="auto"/>
          <w:sz w:val="28"/>
          <w:szCs w:val="28"/>
          <w:highlight w:val="none"/>
        </w:rPr>
      </w:pPr>
      <w:r>
        <w:rPr>
          <w:rFonts w:hint="eastAsia" w:hAnsi="宋体"/>
          <w:b/>
          <w:color w:val="auto"/>
          <w:sz w:val="28"/>
          <w:szCs w:val="28"/>
          <w:highlight w:val="none"/>
        </w:rPr>
        <w:t>二、招标文件</w:t>
      </w:r>
    </w:p>
    <w:p w14:paraId="5EA7C565">
      <w:pPr>
        <w:snapToGrid w:val="0"/>
        <w:spacing w:line="360" w:lineRule="auto"/>
        <w:ind w:firstLine="472" w:firstLineChars="196"/>
        <w:jc w:val="left"/>
        <w:rPr>
          <w:rFonts w:ascii="宋体"/>
          <w:b/>
          <w:color w:val="auto"/>
          <w:sz w:val="24"/>
          <w:szCs w:val="20"/>
          <w:highlight w:val="none"/>
        </w:rPr>
      </w:pPr>
      <w:r>
        <w:rPr>
          <w:rFonts w:hint="eastAsia" w:ascii="宋体" w:hAnsi="宋体"/>
          <w:b/>
          <w:color w:val="auto"/>
          <w:sz w:val="24"/>
          <w:highlight w:val="none"/>
        </w:rPr>
        <w:t>（一）招标文件的构成。本招标文件由以下部分组成：</w:t>
      </w:r>
    </w:p>
    <w:p w14:paraId="42806F95">
      <w:pPr>
        <w:snapToGrid w:val="0"/>
        <w:spacing w:line="360" w:lineRule="auto"/>
        <w:ind w:firstLine="480" w:firstLineChars="200"/>
        <w:jc w:val="left"/>
        <w:rPr>
          <w:rFonts w:ascii="宋体"/>
          <w:color w:val="auto"/>
          <w:sz w:val="24"/>
          <w:szCs w:val="20"/>
          <w:highlight w:val="none"/>
        </w:rPr>
      </w:pPr>
      <w:r>
        <w:rPr>
          <w:rFonts w:ascii="宋体" w:hAnsi="宋体"/>
          <w:color w:val="auto"/>
          <w:sz w:val="24"/>
          <w:highlight w:val="none"/>
        </w:rPr>
        <w:t>1</w:t>
      </w:r>
      <w:r>
        <w:rPr>
          <w:rFonts w:ascii="宋体"/>
          <w:color w:val="auto"/>
          <w:sz w:val="24"/>
          <w:highlight w:val="none"/>
        </w:rPr>
        <w:t>.</w:t>
      </w:r>
      <w:r>
        <w:rPr>
          <w:rFonts w:hint="eastAsia" w:ascii="宋体" w:hAnsi="宋体"/>
          <w:color w:val="auto"/>
          <w:sz w:val="24"/>
          <w:highlight w:val="none"/>
        </w:rPr>
        <w:t>招标公告</w:t>
      </w:r>
    </w:p>
    <w:p w14:paraId="6ADFA5D6">
      <w:pPr>
        <w:snapToGrid w:val="0"/>
        <w:spacing w:line="360" w:lineRule="auto"/>
        <w:ind w:firstLine="480" w:firstLineChars="200"/>
        <w:jc w:val="left"/>
        <w:rPr>
          <w:rFonts w:ascii="宋体"/>
          <w:color w:val="auto"/>
          <w:sz w:val="24"/>
          <w:szCs w:val="20"/>
          <w:highlight w:val="none"/>
        </w:rPr>
      </w:pPr>
      <w:r>
        <w:rPr>
          <w:rFonts w:ascii="宋体" w:hAnsi="宋体"/>
          <w:color w:val="auto"/>
          <w:sz w:val="24"/>
          <w:highlight w:val="none"/>
        </w:rPr>
        <w:t>2</w:t>
      </w:r>
      <w:r>
        <w:rPr>
          <w:rFonts w:ascii="宋体"/>
          <w:color w:val="auto"/>
          <w:sz w:val="24"/>
          <w:highlight w:val="none"/>
        </w:rPr>
        <w:t>.</w:t>
      </w:r>
      <w:r>
        <w:rPr>
          <w:rFonts w:hint="eastAsia" w:ascii="宋体" w:hAnsi="宋体"/>
          <w:color w:val="auto"/>
          <w:sz w:val="24"/>
          <w:highlight w:val="none"/>
        </w:rPr>
        <w:t>招标需求</w:t>
      </w:r>
    </w:p>
    <w:p w14:paraId="519EC2D4">
      <w:pPr>
        <w:snapToGrid w:val="0"/>
        <w:spacing w:line="360" w:lineRule="auto"/>
        <w:ind w:firstLine="480" w:firstLineChars="200"/>
        <w:jc w:val="left"/>
        <w:rPr>
          <w:rFonts w:ascii="宋体"/>
          <w:color w:val="auto"/>
          <w:sz w:val="24"/>
          <w:szCs w:val="20"/>
          <w:highlight w:val="none"/>
        </w:rPr>
      </w:pPr>
      <w:r>
        <w:rPr>
          <w:rFonts w:ascii="宋体" w:hAnsi="宋体"/>
          <w:color w:val="auto"/>
          <w:sz w:val="24"/>
          <w:highlight w:val="none"/>
        </w:rPr>
        <w:t>3</w:t>
      </w:r>
      <w:r>
        <w:rPr>
          <w:rFonts w:ascii="宋体"/>
          <w:color w:val="auto"/>
          <w:sz w:val="24"/>
          <w:highlight w:val="none"/>
        </w:rPr>
        <w:t>.</w:t>
      </w:r>
      <w:r>
        <w:rPr>
          <w:rFonts w:hint="eastAsia" w:ascii="宋体" w:hAnsi="宋体"/>
          <w:color w:val="auto"/>
          <w:sz w:val="24"/>
          <w:highlight w:val="none"/>
        </w:rPr>
        <w:t>投标人须知</w:t>
      </w:r>
    </w:p>
    <w:p w14:paraId="05BA1C2A">
      <w:pPr>
        <w:snapToGrid w:val="0"/>
        <w:spacing w:line="360" w:lineRule="auto"/>
        <w:ind w:firstLine="480" w:firstLineChars="200"/>
        <w:jc w:val="left"/>
        <w:rPr>
          <w:rFonts w:ascii="宋体"/>
          <w:color w:val="auto"/>
          <w:sz w:val="24"/>
          <w:szCs w:val="20"/>
          <w:highlight w:val="none"/>
        </w:rPr>
      </w:pPr>
      <w:r>
        <w:rPr>
          <w:rFonts w:ascii="宋体" w:hAnsi="宋体"/>
          <w:color w:val="auto"/>
          <w:sz w:val="24"/>
          <w:highlight w:val="none"/>
        </w:rPr>
        <w:t>4</w:t>
      </w:r>
      <w:r>
        <w:rPr>
          <w:rFonts w:ascii="宋体"/>
          <w:color w:val="auto"/>
          <w:sz w:val="24"/>
          <w:highlight w:val="none"/>
        </w:rPr>
        <w:t>.</w:t>
      </w:r>
      <w:r>
        <w:rPr>
          <w:rFonts w:hint="eastAsia" w:ascii="宋体" w:hAnsi="宋体"/>
          <w:color w:val="auto"/>
          <w:sz w:val="24"/>
          <w:highlight w:val="none"/>
        </w:rPr>
        <w:t>评标办法及标准</w:t>
      </w:r>
    </w:p>
    <w:p w14:paraId="3C4D6F07">
      <w:pPr>
        <w:snapToGrid w:val="0"/>
        <w:spacing w:line="360" w:lineRule="auto"/>
        <w:ind w:firstLine="480" w:firstLineChars="200"/>
        <w:jc w:val="left"/>
        <w:rPr>
          <w:rFonts w:ascii="宋体"/>
          <w:color w:val="auto"/>
          <w:sz w:val="24"/>
          <w:szCs w:val="20"/>
          <w:highlight w:val="none"/>
        </w:rPr>
      </w:pPr>
      <w:r>
        <w:rPr>
          <w:rFonts w:ascii="宋体" w:hAnsi="宋体"/>
          <w:color w:val="auto"/>
          <w:sz w:val="24"/>
          <w:highlight w:val="none"/>
        </w:rPr>
        <w:t>5</w:t>
      </w:r>
      <w:r>
        <w:rPr>
          <w:rFonts w:ascii="宋体"/>
          <w:color w:val="auto"/>
          <w:sz w:val="24"/>
          <w:highlight w:val="none"/>
        </w:rPr>
        <w:t>.</w:t>
      </w:r>
      <w:r>
        <w:rPr>
          <w:rFonts w:hint="eastAsia" w:ascii="宋体" w:hAnsi="宋体"/>
          <w:color w:val="auto"/>
          <w:sz w:val="24"/>
          <w:highlight w:val="none"/>
        </w:rPr>
        <w:t>合同主要条款</w:t>
      </w:r>
    </w:p>
    <w:p w14:paraId="45640694">
      <w:pPr>
        <w:snapToGrid w:val="0"/>
        <w:spacing w:line="360" w:lineRule="auto"/>
        <w:ind w:firstLine="480" w:firstLineChars="200"/>
        <w:jc w:val="left"/>
        <w:rPr>
          <w:rFonts w:ascii="宋体"/>
          <w:color w:val="auto"/>
          <w:sz w:val="24"/>
          <w:highlight w:val="none"/>
        </w:rPr>
      </w:pPr>
      <w:r>
        <w:rPr>
          <w:rFonts w:ascii="宋体" w:hAnsi="宋体"/>
          <w:color w:val="auto"/>
          <w:sz w:val="24"/>
          <w:highlight w:val="none"/>
        </w:rPr>
        <w:t>6</w:t>
      </w:r>
      <w:r>
        <w:rPr>
          <w:rFonts w:ascii="宋体"/>
          <w:color w:val="auto"/>
          <w:sz w:val="24"/>
          <w:highlight w:val="none"/>
        </w:rPr>
        <w:t>.</w:t>
      </w:r>
      <w:r>
        <w:rPr>
          <w:rFonts w:hint="eastAsia" w:ascii="宋体" w:hAnsi="宋体"/>
          <w:color w:val="auto"/>
          <w:sz w:val="24"/>
          <w:highlight w:val="none"/>
        </w:rPr>
        <w:t>投标文件格式</w:t>
      </w:r>
    </w:p>
    <w:p w14:paraId="775AFE43">
      <w:pPr>
        <w:snapToGrid w:val="0"/>
        <w:spacing w:line="360" w:lineRule="auto"/>
        <w:ind w:firstLine="480" w:firstLineChars="200"/>
        <w:jc w:val="left"/>
        <w:rPr>
          <w:rFonts w:asci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本项目招标文件的澄清、答复、修改、补充的内容</w:t>
      </w:r>
    </w:p>
    <w:p w14:paraId="5F9830E9">
      <w:pPr>
        <w:snapToGrid w:val="0"/>
        <w:spacing w:beforeLines="50" w:line="360" w:lineRule="auto"/>
        <w:ind w:firstLine="472" w:firstLineChars="196"/>
        <w:jc w:val="left"/>
        <w:rPr>
          <w:rFonts w:ascii="宋体"/>
          <w:b/>
          <w:color w:val="auto"/>
          <w:sz w:val="24"/>
          <w:szCs w:val="20"/>
          <w:highlight w:val="none"/>
        </w:rPr>
      </w:pPr>
      <w:r>
        <w:rPr>
          <w:rFonts w:hint="eastAsia" w:ascii="宋体" w:hAnsi="宋体"/>
          <w:b/>
          <w:color w:val="auto"/>
          <w:sz w:val="24"/>
          <w:highlight w:val="none"/>
        </w:rPr>
        <w:t>（二）投标人的风险</w:t>
      </w:r>
    </w:p>
    <w:p w14:paraId="5ED31279">
      <w:pPr>
        <w:pStyle w:val="35"/>
        <w:spacing w:line="360" w:lineRule="auto"/>
        <w:ind w:firstLine="31680"/>
        <w:rPr>
          <w:rFonts w:ascii="宋体" w:eastAsia="宋体"/>
          <w:color w:val="auto"/>
          <w:szCs w:val="20"/>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14:paraId="49D440B5">
      <w:pPr>
        <w:pStyle w:val="12"/>
        <w:widowControl w:val="0"/>
        <w:tabs>
          <w:tab w:val="clear" w:pos="454"/>
        </w:tabs>
        <w:snapToGrid w:val="0"/>
        <w:spacing w:beforeLines="50" w:afterLines="0" w:line="360" w:lineRule="auto"/>
        <w:ind w:left="0" w:firstLine="472" w:firstLineChars="196"/>
        <w:rPr>
          <w:rFonts w:ascii="宋体"/>
          <w:b/>
          <w:color w:val="auto"/>
          <w:szCs w:val="24"/>
          <w:highlight w:val="none"/>
        </w:rPr>
      </w:pPr>
      <w:r>
        <w:rPr>
          <w:rFonts w:hint="eastAsia" w:ascii="宋体" w:hAnsi="宋体"/>
          <w:b/>
          <w:color w:val="auto"/>
          <w:szCs w:val="24"/>
          <w:highlight w:val="none"/>
        </w:rPr>
        <w:t>（三）招标文件的澄清与修改</w:t>
      </w:r>
    </w:p>
    <w:p w14:paraId="6FC2AC4B">
      <w:pPr>
        <w:pStyle w:val="24"/>
        <w:snapToGrid w:val="0"/>
        <w:spacing w:beforeLines="0" w:afterLines="0" w:line="360" w:lineRule="auto"/>
        <w:ind w:firstLine="480" w:firstLineChars="200"/>
        <w:rPr>
          <w:rFonts w:hAnsi="宋体"/>
          <w:color w:val="auto"/>
          <w:highlight w:val="none"/>
        </w:rPr>
      </w:pPr>
      <w:r>
        <w:rPr>
          <w:rFonts w:hAnsi="宋体"/>
          <w:color w:val="auto"/>
          <w:highlight w:val="none"/>
        </w:rPr>
        <w:t>1.</w:t>
      </w:r>
      <w:r>
        <w:rPr>
          <w:rFonts w:hint="eastAsia" w:hAnsi="宋体"/>
          <w:bCs/>
          <w:color w:val="auto"/>
          <w:highlight w:val="none"/>
        </w:rPr>
        <w:t>投标人应认真阅读本招标文件，发现其中有误或有不合理要求的，</w:t>
      </w:r>
      <w:r>
        <w:rPr>
          <w:rFonts w:hint="eastAsia" w:ascii="宋体" w:hAnsi="宋体" w:cs="宋体"/>
          <w:color w:val="auto"/>
          <w:sz w:val="24"/>
          <w:highlight w:val="none"/>
        </w:rPr>
        <w:t>投标人应当按照公开招标公告第八条规定以书面形式要求招标方澄清</w:t>
      </w:r>
      <w:r>
        <w:rPr>
          <w:rFonts w:hint="eastAsia" w:hAnsi="宋体"/>
          <w:color w:val="auto"/>
          <w:highlight w:val="none"/>
        </w:rPr>
        <w:t>。</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r>
        <w:rPr>
          <w:rFonts w:hint="eastAsia" w:hAnsi="宋体"/>
          <w:color w:val="auto"/>
          <w:highlight w:val="none"/>
        </w:rPr>
        <w:t>。</w:t>
      </w:r>
    </w:p>
    <w:p w14:paraId="5BF6C41B">
      <w:pPr>
        <w:pStyle w:val="24"/>
        <w:snapToGrid w:val="0"/>
        <w:spacing w:beforeLines="0" w:afterLines="0" w:line="360" w:lineRule="auto"/>
        <w:ind w:firstLine="480" w:firstLineChars="200"/>
        <w:rPr>
          <w:rFonts w:hAnsi="宋体"/>
          <w:color w:val="auto"/>
          <w:highlight w:val="none"/>
        </w:rPr>
      </w:pPr>
      <w:r>
        <w:rPr>
          <w:rFonts w:hAnsi="宋体"/>
          <w:color w:val="auto"/>
          <w:highlight w:val="none"/>
        </w:rPr>
        <w:t>2.</w:t>
      </w:r>
      <w:r>
        <w:rPr>
          <w:rFonts w:hint="eastAsia" w:hAnsi="宋体"/>
          <w:color w:val="auto"/>
          <w:highlight w:val="none"/>
        </w:rPr>
        <w:t>招标方必须以书面形式答复投标人要求澄清的问题，并将不包含问题来源的答复书面通知所有购买招标文件的投标人，除书面答复以外的其他澄清方式及澄清内容均无效。</w:t>
      </w:r>
    </w:p>
    <w:p w14:paraId="0BB987A2">
      <w:pPr>
        <w:pStyle w:val="24"/>
        <w:snapToGrid w:val="0"/>
        <w:spacing w:beforeLines="0" w:afterLines="0" w:line="360" w:lineRule="auto"/>
        <w:ind w:firstLine="480" w:firstLineChars="200"/>
        <w:rPr>
          <w:rFonts w:hAnsi="宋体"/>
          <w:color w:val="auto"/>
          <w:highlight w:val="none"/>
        </w:rPr>
      </w:pPr>
      <w:r>
        <w:rPr>
          <w:rFonts w:hAnsi="宋体"/>
          <w:color w:val="auto"/>
          <w:highlight w:val="none"/>
        </w:rPr>
        <w:t>3.</w:t>
      </w:r>
      <w:r>
        <w:rPr>
          <w:rFonts w:hint="eastAsia" w:hAnsi="宋体"/>
          <w:color w:val="auto"/>
          <w:highlight w:val="none"/>
        </w:rPr>
        <w:t>招标文件澄清、答复、修改、补充的内容为招标文件的组成部分。当招标文件与招标文件的答复、澄清、修改、补充通知就同一内容的表述不一致时，以最后发出的书面文件为准。</w:t>
      </w:r>
    </w:p>
    <w:p w14:paraId="12210A1E">
      <w:pPr>
        <w:pStyle w:val="24"/>
        <w:snapToGrid w:val="0"/>
        <w:spacing w:beforeLines="0" w:afterLines="0" w:line="360" w:lineRule="auto"/>
        <w:ind w:firstLine="480" w:firstLineChars="200"/>
        <w:rPr>
          <w:rFonts w:hint="eastAsia" w:hAnsi="宋体"/>
          <w:color w:val="auto"/>
          <w:highlight w:val="none"/>
        </w:rPr>
      </w:pPr>
      <w:r>
        <w:rPr>
          <w:rFonts w:hAnsi="宋体"/>
          <w:color w:val="auto"/>
          <w:highlight w:val="none"/>
        </w:rPr>
        <w:t>4.</w:t>
      </w:r>
      <w:r>
        <w:rPr>
          <w:rFonts w:hint="eastAsia" w:hAnsi="宋体"/>
          <w:color w:val="auto"/>
          <w:highlight w:val="none"/>
        </w:rPr>
        <w:t>招标文件的澄清、答复、修改或补充都应该通过本招标机构以法定形式发布，采购人非通过本机构，不得擅自澄清、答复、修改或补充招标文件。</w:t>
      </w:r>
    </w:p>
    <w:p w14:paraId="2FEDB214">
      <w:pPr>
        <w:pStyle w:val="24"/>
        <w:snapToGrid w:val="0"/>
        <w:spacing w:beforeLines="0" w:afterLines="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5. 采购人和招标代理机构的任何工作人员对投标人所作的任何口头解释、介绍、答复，仅供投标人参考，不作为招标依据，对采购人、招标代理机构和投标人无任何约束力，一切以网上公告及书面形式为准。</w:t>
      </w:r>
    </w:p>
    <w:p w14:paraId="799B65A3">
      <w:pPr>
        <w:pStyle w:val="24"/>
        <w:snapToGrid w:val="0"/>
        <w:spacing w:beforeLines="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三、投标文件的编制</w:t>
      </w:r>
    </w:p>
    <w:p w14:paraId="1EBDCBC6">
      <w:pPr>
        <w:snapToGrid w:val="0"/>
        <w:spacing w:line="360" w:lineRule="auto"/>
        <w:ind w:firstLine="472" w:firstLineChars="196"/>
        <w:jc w:val="left"/>
        <w:outlineLvl w:val="0"/>
        <w:rPr>
          <w:rFonts w:ascii="宋体"/>
          <w:b/>
          <w:color w:val="auto"/>
          <w:sz w:val="24"/>
          <w:szCs w:val="20"/>
          <w:highlight w:val="none"/>
        </w:rPr>
      </w:pPr>
      <w:r>
        <w:rPr>
          <w:rFonts w:hint="eastAsia" w:ascii="宋体" w:hAnsi="宋体"/>
          <w:b/>
          <w:color w:val="auto"/>
          <w:sz w:val="24"/>
          <w:highlight w:val="none"/>
        </w:rPr>
        <w:t>（一）投标文件的组成</w:t>
      </w:r>
    </w:p>
    <w:p w14:paraId="5BB6AC66">
      <w:pPr>
        <w:snapToGrid w:val="0"/>
        <w:spacing w:line="360" w:lineRule="auto"/>
        <w:ind w:firstLine="470" w:firstLineChars="196"/>
        <w:jc w:val="left"/>
        <w:rPr>
          <w:rFonts w:ascii="宋体"/>
          <w:color w:val="auto"/>
          <w:sz w:val="24"/>
          <w:highlight w:val="none"/>
        </w:rPr>
      </w:pPr>
      <w:r>
        <w:rPr>
          <w:rFonts w:hint="eastAsia" w:ascii="宋体" w:hAnsi="宋体"/>
          <w:color w:val="auto"/>
          <w:sz w:val="24"/>
          <w:highlight w:val="none"/>
        </w:rPr>
        <w:t>投标文件由</w:t>
      </w:r>
      <w:r>
        <w:rPr>
          <w:rFonts w:hint="eastAsia" w:ascii="宋体" w:hAnsi="宋体"/>
          <w:color w:val="auto"/>
          <w:sz w:val="24"/>
          <w:highlight w:val="none"/>
          <w:lang w:eastAsia="zh-CN"/>
        </w:rPr>
        <w:t>资格响应文件、商务资信技术文件、报价文件</w:t>
      </w:r>
      <w:r>
        <w:rPr>
          <w:rFonts w:hint="eastAsia" w:ascii="宋体" w:hAnsi="宋体"/>
          <w:color w:val="auto"/>
          <w:sz w:val="24"/>
          <w:highlight w:val="none"/>
        </w:rPr>
        <w:t>三部份组成。</w:t>
      </w:r>
    </w:p>
    <w:p w14:paraId="07903E1C">
      <w:pPr>
        <w:numPr>
          <w:ilvl w:val="0"/>
          <w:numId w:val="4"/>
        </w:numPr>
        <w:snapToGrid w:val="0"/>
        <w:spacing w:before="120" w:beforeLines="50" w:line="360" w:lineRule="auto"/>
        <w:ind w:firstLine="470" w:firstLineChars="196"/>
        <w:jc w:val="left"/>
        <w:rPr>
          <w:rFonts w:ascii="宋体" w:hAnsi="宋体"/>
          <w:b/>
          <w:color w:val="auto"/>
          <w:sz w:val="24"/>
          <w:szCs w:val="24"/>
          <w:highlight w:val="none"/>
        </w:rPr>
      </w:pPr>
      <w:r>
        <w:rPr>
          <w:rFonts w:hint="eastAsia" w:ascii="宋体" w:hAnsi="宋体"/>
          <w:color w:val="auto"/>
          <w:sz w:val="24"/>
          <w:szCs w:val="24"/>
          <w:highlight w:val="none"/>
        </w:rPr>
        <w:t>资格响应文件</w:t>
      </w:r>
      <w:r>
        <w:rPr>
          <w:rFonts w:ascii="宋体" w:hAnsi="宋体"/>
          <w:b/>
          <w:color w:val="auto"/>
          <w:sz w:val="24"/>
          <w:szCs w:val="24"/>
          <w:highlight w:val="none"/>
        </w:rPr>
        <w:t>：</w:t>
      </w:r>
    </w:p>
    <w:p w14:paraId="22BEE2E5">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（1）有效的企业法人营业执照副本(或事业法人登记证书或</w:t>
      </w:r>
      <w:r>
        <w:rPr>
          <w:rFonts w:hint="eastAsia" w:ascii="宋体" w:hAnsi="宋体" w:eastAsia="宋体" w:cs="宋体"/>
          <w:bCs/>
          <w:color w:val="auto"/>
          <w:sz w:val="24"/>
          <w:highlight w:val="none"/>
          <w:lang w:eastAsia="zh-CN"/>
        </w:rPr>
        <w:t>其他</w:t>
      </w:r>
      <w:r>
        <w:rPr>
          <w:rFonts w:hint="eastAsia" w:ascii="宋体" w:hAnsi="宋体" w:eastAsia="宋体" w:cs="宋体"/>
          <w:bCs/>
          <w:color w:val="auto"/>
          <w:sz w:val="24"/>
          <w:highlight w:val="none"/>
        </w:rPr>
        <w:t>工商等登记证明材料；自然人参与提供身份证)复印件；</w:t>
      </w:r>
    </w:p>
    <w:p w14:paraId="1A026AB9">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ascii="宋体" w:hAnsi="宋体" w:cs="宋体"/>
          <w:bCs/>
          <w:color w:val="auto"/>
          <w:sz w:val="24"/>
          <w:highlight w:val="none"/>
        </w:rPr>
      </w:pPr>
      <w:r>
        <w:rPr>
          <w:rFonts w:hint="eastAsia" w:ascii="宋体" w:hAnsi="宋体" w:eastAsia="宋体" w:cs="宋体"/>
          <w:bCs/>
          <w:color w:val="auto"/>
          <w:sz w:val="24"/>
          <w:highlight w:val="none"/>
        </w:rPr>
        <w:t>（2）法定代表人授权委托</w:t>
      </w:r>
      <w:r>
        <w:rPr>
          <w:rFonts w:hint="eastAsia" w:ascii="宋体" w:hAnsi="宋体" w:cs="宋体"/>
          <w:bCs/>
          <w:color w:val="auto"/>
          <w:sz w:val="24"/>
          <w:highlight w:val="none"/>
        </w:rPr>
        <w:t>书(格式见附件)；</w:t>
      </w:r>
    </w:p>
    <w:p w14:paraId="706E0348">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（3）法定代表人身份证复印件或被授权人身份证复印件；</w:t>
      </w:r>
    </w:p>
    <w:p w14:paraId="1DDE19E8">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 xml:space="preserve">）信用记录网络查询页面截图（信用中国与中国政府采购网）； </w:t>
      </w:r>
    </w:p>
    <w:p w14:paraId="6EC37FE8">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）符合参加政府采购活动应当具备的一般条件的承诺函（格式见附件）；</w:t>
      </w:r>
    </w:p>
    <w:p w14:paraId="4A5F43B5">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投标人依法缴纳税收和社保费、无失信行为的声明函(格式见附件)；</w:t>
      </w:r>
    </w:p>
    <w:p w14:paraId="44492B80">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浙江政府采购网注册正式供应商的网络截图或承诺书；</w:t>
      </w:r>
    </w:p>
    <w:p w14:paraId="0B6CCE4F">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）政府采购活动现场确认声明书 (格式见附件) ；</w:t>
      </w:r>
    </w:p>
    <w:p w14:paraId="3A1EDC8E">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rPr>
        <w:t>）政府采购代理机构考评表(格式见附件)；</w:t>
      </w:r>
    </w:p>
    <w:p w14:paraId="7CE79396">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）分包协议（分包时提供，格式见附件）；</w:t>
      </w:r>
    </w:p>
    <w:p w14:paraId="05B2D4DD">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rPr>
        <w:t>）中小企业声明函（格式见附件）</w:t>
      </w:r>
      <w:r>
        <w:rPr>
          <w:rFonts w:hint="eastAsia" w:ascii="宋体" w:hAnsi="宋体" w:eastAsia="宋体" w:cs="宋体"/>
          <w:bCs/>
          <w:color w:val="auto"/>
          <w:sz w:val="24"/>
          <w:highlight w:val="none"/>
          <w:lang w:eastAsia="zh-CN"/>
        </w:rPr>
        <w:t>；</w:t>
      </w:r>
    </w:p>
    <w:p w14:paraId="2836C471">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联合体协议书（格式见附件）</w:t>
      </w:r>
      <w:r>
        <w:rPr>
          <w:rFonts w:hint="eastAsia" w:ascii="宋体" w:hAnsi="宋体" w:eastAsia="宋体" w:cs="宋体"/>
          <w:bCs/>
          <w:color w:val="auto"/>
          <w:sz w:val="24"/>
          <w:highlight w:val="none"/>
          <w:lang w:eastAsia="zh-CN"/>
        </w:rPr>
        <w:t>；</w:t>
      </w:r>
    </w:p>
    <w:p w14:paraId="18F84E66">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13</w:t>
      </w:r>
      <w:r>
        <w:rPr>
          <w:rFonts w:hint="eastAsia" w:ascii="宋体" w:hAnsi="宋体" w:eastAsia="宋体" w:cs="宋体"/>
          <w:bCs/>
          <w:color w:val="auto"/>
          <w:sz w:val="24"/>
          <w:highlight w:val="none"/>
          <w:lang w:eastAsia="zh-CN"/>
        </w:rPr>
        <w:t>）投标人认为有必要提供的其他文件。</w:t>
      </w:r>
    </w:p>
    <w:p w14:paraId="69B4120D">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2.商务资信技术文件：</w:t>
      </w:r>
    </w:p>
    <w:p w14:paraId="278858DB">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（1）评分响应表（格式见附件）；</w:t>
      </w:r>
    </w:p>
    <w:p w14:paraId="289ADA60">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（2）投标声明书 (格式见附件)；</w:t>
      </w:r>
    </w:p>
    <w:p w14:paraId="27214D53">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（3）法定代表人授权委</w:t>
      </w:r>
      <w:r>
        <w:rPr>
          <w:rFonts w:hint="eastAsia" w:ascii="宋体" w:hAnsi="宋体" w:eastAsia="宋体" w:cs="宋体"/>
          <w:bCs/>
          <w:color w:val="auto"/>
          <w:sz w:val="24"/>
          <w:highlight w:val="none"/>
        </w:rPr>
        <w:t>托书(格式见附件)；</w:t>
      </w:r>
    </w:p>
    <w:p w14:paraId="16929047">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（4）投标单位情况表(格式见附件)；</w:t>
      </w:r>
    </w:p>
    <w:p w14:paraId="023506A7">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eastAsia="zh-CN"/>
        </w:rPr>
        <w:t>无重大违法记录声明书(格式见附件)；</w:t>
      </w:r>
    </w:p>
    <w:p w14:paraId="6FB83CAF">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eastAsia="zh-CN"/>
        </w:rPr>
        <w:t>）政府采购供应商诚信承诺书（格式见附件）；</w:t>
      </w:r>
    </w:p>
    <w:p w14:paraId="7B667D74">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eastAsia="zh-CN"/>
        </w:rPr>
        <w:t>）中标服务费承诺书（格式见附件）；</w:t>
      </w:r>
    </w:p>
    <w:p w14:paraId="3F4838EB">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项目服务方案；</w:t>
      </w:r>
    </w:p>
    <w:p w14:paraId="3AFB28BC">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服务计划及承诺</w:t>
      </w:r>
      <w:r>
        <w:rPr>
          <w:rFonts w:hint="eastAsia" w:ascii="宋体" w:hAnsi="宋体" w:eastAsia="宋体" w:cs="宋体"/>
          <w:bCs/>
          <w:color w:val="auto"/>
          <w:sz w:val="24"/>
          <w:highlight w:val="none"/>
          <w:lang w:eastAsia="zh-CN"/>
        </w:rPr>
        <w:t>；</w:t>
      </w:r>
    </w:p>
    <w:p w14:paraId="5FF700E9">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投标单位履约能力证明；</w:t>
      </w:r>
    </w:p>
    <w:p w14:paraId="38CF4D69">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lang w:eastAsia="zh-CN"/>
        </w:rPr>
        <w:t>）商务响应表</w:t>
      </w:r>
      <w:r>
        <w:rPr>
          <w:rFonts w:hint="eastAsia" w:ascii="宋体" w:hAnsi="宋体" w:eastAsia="宋体" w:cs="宋体"/>
          <w:bCs/>
          <w:color w:val="auto"/>
          <w:sz w:val="24"/>
          <w:highlight w:val="none"/>
          <w:lang w:val="zh-CN" w:eastAsia="zh-CN"/>
        </w:rPr>
        <w:t>（格式见附件）；</w:t>
      </w:r>
    </w:p>
    <w:p w14:paraId="20113B33">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同类业绩一览表</w:t>
      </w:r>
      <w:r>
        <w:rPr>
          <w:rFonts w:hint="eastAsia" w:ascii="宋体" w:hAnsi="宋体" w:eastAsia="宋体" w:cs="宋体"/>
          <w:bCs/>
          <w:color w:val="auto"/>
          <w:sz w:val="24"/>
          <w:highlight w:val="none"/>
          <w:lang w:eastAsia="zh-CN"/>
        </w:rPr>
        <w:t>（格式见附件）；</w:t>
      </w:r>
    </w:p>
    <w:p w14:paraId="4B43BC84">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项目实施人员一览表</w:t>
      </w:r>
      <w:r>
        <w:rPr>
          <w:rFonts w:hint="eastAsia" w:ascii="宋体" w:hAnsi="宋体" w:eastAsia="宋体" w:cs="宋体"/>
          <w:bCs/>
          <w:color w:val="auto"/>
          <w:sz w:val="24"/>
          <w:highlight w:val="none"/>
          <w:lang w:eastAsia="zh-CN"/>
        </w:rPr>
        <w:t>（格式见附件）；</w:t>
      </w:r>
    </w:p>
    <w:p w14:paraId="2DD98CD3">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）其他按照评标办法可加分的内容说明、证明文件；</w:t>
      </w:r>
    </w:p>
    <w:p w14:paraId="64355C8B">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（1</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eastAsia="zh-CN"/>
        </w:rPr>
        <w:t>）投标人需要说明的其他文件和说明。</w:t>
      </w:r>
    </w:p>
    <w:p w14:paraId="7DA1D495">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3.报价文件：</w:t>
      </w:r>
    </w:p>
    <w:p w14:paraId="53D26058">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（1）投标函（格式见附件）</w:t>
      </w:r>
    </w:p>
    <w:p w14:paraId="74485190">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（2）开标一览表（格式见附件）</w:t>
      </w:r>
    </w:p>
    <w:p w14:paraId="3C7889D0">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（3）投标人针对报价需要说明的其他文件和说明（不含报价）。</w:t>
      </w:r>
    </w:p>
    <w:p w14:paraId="2493B681">
      <w:pPr>
        <w:snapToGrid w:val="0"/>
        <w:spacing w:beforeLines="50" w:line="360" w:lineRule="auto"/>
        <w:ind w:firstLine="472" w:firstLineChars="196"/>
        <w:jc w:val="left"/>
        <w:outlineLvl w:val="0"/>
        <w:rPr>
          <w:rFonts w:ascii="宋体"/>
          <w:b/>
          <w:color w:val="auto"/>
          <w:sz w:val="24"/>
          <w:highlight w:val="none"/>
        </w:rPr>
      </w:pPr>
      <w:r>
        <w:rPr>
          <w:rFonts w:hint="eastAsia" w:ascii="宋体" w:hAnsi="宋体"/>
          <w:b/>
          <w:color w:val="auto"/>
          <w:sz w:val="24"/>
          <w:highlight w:val="none"/>
        </w:rPr>
        <w:t>（二）投标文件的语言及计量</w:t>
      </w:r>
    </w:p>
    <w:p w14:paraId="4F814897">
      <w:pPr>
        <w:snapToGrid w:val="0"/>
        <w:spacing w:line="360" w:lineRule="auto"/>
        <w:ind w:firstLine="420" w:firstLineChars="200"/>
        <w:jc w:val="left"/>
        <w:rPr>
          <w:rFonts w:ascii="宋体"/>
          <w:color w:val="auto"/>
          <w:sz w:val="24"/>
          <w:szCs w:val="20"/>
          <w:highlight w:val="none"/>
        </w:rPr>
      </w:pPr>
      <w:r>
        <w:rPr>
          <w:rFonts w:hint="eastAsia" w:ascii="宋体" w:hAnsi="宋体"/>
          <w:color w:val="auto"/>
          <w:szCs w:val="21"/>
          <w:highlight w:val="none"/>
        </w:rPr>
        <w:t>▲</w:t>
      </w:r>
      <w:r>
        <w:rPr>
          <w:rFonts w:ascii="宋体" w:hAnsi="宋体"/>
          <w:color w:val="auto"/>
          <w:sz w:val="24"/>
          <w:highlight w:val="none"/>
        </w:rPr>
        <w:t>1</w:t>
      </w:r>
      <w:r>
        <w:rPr>
          <w:rFonts w:hint="eastAsia" w:ascii="宋体" w:hAnsi="宋体"/>
          <w:color w:val="auto"/>
          <w:sz w:val="24"/>
          <w:highlight w:val="none"/>
        </w:rPr>
        <w:t>投标文件以及投标方与招标方就有关投标事宜的所有来往函电，均应以中文汉语书写。除签名、盖章、专用名称等特殊情形外，以中文汉语以外的文字表述的投标文件视同未提供。</w:t>
      </w:r>
    </w:p>
    <w:p w14:paraId="7F60AB08">
      <w:pPr>
        <w:snapToGrid w:val="0"/>
        <w:spacing w:line="360" w:lineRule="auto"/>
        <w:ind w:firstLine="420" w:firstLineChars="200"/>
        <w:jc w:val="left"/>
        <w:rPr>
          <w:rFonts w:ascii="宋体"/>
          <w:color w:val="auto"/>
          <w:sz w:val="24"/>
          <w:szCs w:val="20"/>
          <w:highlight w:val="none"/>
        </w:rPr>
      </w:pPr>
      <w:r>
        <w:rPr>
          <w:rFonts w:hint="eastAsia" w:ascii="宋体" w:hAnsi="宋体"/>
          <w:color w:val="auto"/>
          <w:szCs w:val="21"/>
          <w:highlight w:val="none"/>
        </w:rPr>
        <w:t>▲</w:t>
      </w:r>
      <w:r>
        <w:rPr>
          <w:rFonts w:ascii="宋体" w:hAnsi="宋体"/>
          <w:color w:val="auto"/>
          <w:sz w:val="24"/>
          <w:highlight w:val="none"/>
        </w:rPr>
        <w:t>2</w:t>
      </w:r>
      <w:r>
        <w:rPr>
          <w:rFonts w:hint="eastAsia" w:ascii="宋体" w:hAnsi="宋体"/>
          <w:color w:val="auto"/>
          <w:sz w:val="24"/>
          <w:highlight w:val="none"/>
        </w:rPr>
        <w:t>投标计量单位，应采用中华人民共和国法定计量单位（货币单位：人民币元），否则视同未响应。</w:t>
      </w:r>
    </w:p>
    <w:p w14:paraId="2BAC6CAB">
      <w:pPr>
        <w:snapToGrid w:val="0"/>
        <w:spacing w:beforeLines="50" w:afterLines="50" w:line="360" w:lineRule="auto"/>
        <w:ind w:firstLine="472" w:firstLineChars="196"/>
        <w:jc w:val="left"/>
        <w:outlineLvl w:val="0"/>
        <w:rPr>
          <w:rFonts w:ascii="宋体"/>
          <w:b/>
          <w:color w:val="auto"/>
          <w:sz w:val="24"/>
          <w:szCs w:val="20"/>
          <w:highlight w:val="none"/>
        </w:rPr>
      </w:pPr>
      <w:r>
        <w:rPr>
          <w:rFonts w:hint="eastAsia" w:ascii="宋体" w:hAnsi="宋体"/>
          <w:b/>
          <w:color w:val="auto"/>
          <w:sz w:val="24"/>
          <w:highlight w:val="none"/>
        </w:rPr>
        <w:t>（三）投标报价</w:t>
      </w:r>
    </w:p>
    <w:p w14:paraId="192EFE8D">
      <w:pPr>
        <w:pStyle w:val="24"/>
        <w:snapToGrid w:val="0"/>
        <w:spacing w:beforeLines="0" w:afterLines="0" w:line="360" w:lineRule="auto"/>
        <w:ind w:firstLine="720" w:firstLineChars="300"/>
        <w:jc w:val="left"/>
        <w:rPr>
          <w:rFonts w:hAnsi="宋体"/>
          <w:color w:val="auto"/>
          <w:highlight w:val="none"/>
        </w:rPr>
      </w:pPr>
      <w:r>
        <w:rPr>
          <w:rFonts w:hAnsi="宋体"/>
          <w:color w:val="auto"/>
          <w:highlight w:val="none"/>
        </w:rPr>
        <w:t>1.</w:t>
      </w:r>
      <w:r>
        <w:rPr>
          <w:rFonts w:hint="eastAsia" w:hAnsi="宋体"/>
          <w:color w:val="auto"/>
          <w:highlight w:val="none"/>
        </w:rPr>
        <w:t>投</w:t>
      </w:r>
      <w:r>
        <w:rPr>
          <w:rFonts w:hint="eastAsia" w:ascii="宋体" w:hAnsi="宋体" w:cs="宋体"/>
          <w:color w:val="auto"/>
          <w:sz w:val="24"/>
          <w:highlight w:val="none"/>
        </w:rPr>
        <w:t>标报价应按招标文件中相关附表格式填写</w:t>
      </w:r>
      <w:r>
        <w:rPr>
          <w:rFonts w:hint="eastAsia" w:hAnsi="宋体"/>
          <w:color w:val="auto"/>
          <w:highlight w:val="none"/>
        </w:rPr>
        <w:t>。</w:t>
      </w:r>
    </w:p>
    <w:p w14:paraId="159BA930">
      <w:pPr>
        <w:snapToGrid w:val="0"/>
        <w:spacing w:line="312" w:lineRule="auto"/>
        <w:ind w:firstLine="480" w:firstLineChars="200"/>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▲2</w:t>
      </w:r>
      <w:r>
        <w:rPr>
          <w:rFonts w:hint="eastAsia" w:ascii="宋体" w:hAnsi="宋体" w:cs="Times New Roman"/>
          <w:color w:val="auto"/>
          <w:kern w:val="2"/>
          <w:sz w:val="24"/>
          <w:szCs w:val="21"/>
          <w:highlight w:val="none"/>
          <w:lang w:val="en-US" w:eastAsia="zh-CN" w:bidi="ar-SA"/>
        </w:rPr>
        <w:t>.</w:t>
      </w:r>
      <w:r>
        <w:rPr>
          <w:rFonts w:hint="eastAsia" w:ascii="宋体" w:hAnsi="宋体" w:cs="宋体"/>
          <w:color w:val="auto"/>
          <w:sz w:val="24"/>
          <w:highlight w:val="none"/>
        </w:rPr>
        <w:t>投标报价包括</w:t>
      </w:r>
      <w:r>
        <w:rPr>
          <w:rFonts w:hint="eastAsia" w:ascii="宋体" w:hAnsi="宋体" w:cs="宋体"/>
          <w:color w:val="auto"/>
          <w:sz w:val="24"/>
          <w:highlight w:val="none"/>
          <w:lang w:val="en-US" w:eastAsia="zh-CN"/>
        </w:rPr>
        <w:t>招标文件规定相应的服务外还包括</w:t>
      </w:r>
      <w:r>
        <w:rPr>
          <w:rFonts w:hint="eastAsia" w:ascii="宋体" w:hAnsi="宋体" w:cs="宋体"/>
          <w:color w:val="auto"/>
          <w:sz w:val="24"/>
          <w:highlight w:val="none"/>
        </w:rPr>
        <w:t>人工费、工时费、所必须配备的附件、</w:t>
      </w:r>
      <w:r>
        <w:rPr>
          <w:rFonts w:hint="eastAsia" w:ascii="宋体" w:hAnsi="宋体" w:cs="宋体"/>
          <w:color w:val="auto"/>
          <w:sz w:val="24"/>
          <w:highlight w:val="none"/>
          <w:lang w:val="en-US" w:eastAsia="zh-CN"/>
        </w:rPr>
        <w:t>工作服、保险费</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劳保费等</w:t>
      </w:r>
      <w:r>
        <w:rPr>
          <w:rFonts w:hint="eastAsia" w:ascii="宋体" w:hAnsi="宋体" w:cs="宋体"/>
          <w:color w:val="auto"/>
          <w:sz w:val="24"/>
          <w:highlight w:val="none"/>
        </w:rPr>
        <w:t>完成本项目的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费用和政策性文件规定及合同包含的所有风险、责任等各项应有费用。如有漏项，视同已包含在本报价中，合同总价不做调整</w:t>
      </w:r>
      <w:r>
        <w:rPr>
          <w:rFonts w:hint="eastAsia" w:ascii="宋体" w:hAnsi="宋体" w:eastAsia="宋体" w:cs="Times New Roman"/>
          <w:color w:val="auto"/>
          <w:kern w:val="2"/>
          <w:sz w:val="24"/>
          <w:szCs w:val="21"/>
          <w:highlight w:val="none"/>
          <w:lang w:val="en-US" w:eastAsia="zh-CN" w:bidi="ar-SA"/>
        </w:rPr>
        <w:t>。</w:t>
      </w:r>
    </w:p>
    <w:p w14:paraId="3F3E9E3C">
      <w:pPr>
        <w:pStyle w:val="24"/>
        <w:snapToGrid w:val="0"/>
        <w:spacing w:beforeLines="0" w:afterLines="0" w:line="360" w:lineRule="auto"/>
        <w:ind w:firstLine="480" w:firstLineChars="200"/>
        <w:jc w:val="left"/>
        <w:rPr>
          <w:color w:val="auto"/>
          <w:highlight w:val="none"/>
        </w:rPr>
      </w:pPr>
      <w:r>
        <w:rPr>
          <w:rFonts w:hint="eastAsia" w:ascii="宋体" w:hAnsi="宋体" w:eastAsia="宋体" w:cs="Times New Roman"/>
          <w:color w:val="auto"/>
          <w:szCs w:val="21"/>
          <w:highlight w:val="none"/>
        </w:rPr>
        <w:t>▲</w:t>
      </w:r>
      <w:r>
        <w:rPr>
          <w:rFonts w:hint="eastAsia" w:hAnsi="宋体" w:cs="Times New Roman"/>
          <w:color w:val="auto"/>
          <w:szCs w:val="21"/>
          <w:highlight w:val="none"/>
          <w:lang w:val="en-US" w:eastAsia="zh-CN"/>
        </w:rPr>
        <w:t>3</w:t>
      </w:r>
      <w:r>
        <w:rPr>
          <w:rFonts w:hint="eastAsia" w:ascii="宋体" w:hAnsi="宋体" w:eastAsia="宋体" w:cs="Times New Roman"/>
          <w:color w:val="auto"/>
          <w:szCs w:val="21"/>
          <w:highlight w:val="none"/>
        </w:rPr>
        <w:t>.投标人的报价超出或等于</w:t>
      </w:r>
      <w:r>
        <w:rPr>
          <w:rFonts w:hint="eastAsia" w:hAnsi="宋体" w:cs="Times New Roman"/>
          <w:color w:val="auto"/>
          <w:szCs w:val="21"/>
          <w:highlight w:val="none"/>
          <w:lang w:eastAsia="zh-CN"/>
        </w:rPr>
        <w:t>最高限价的</w:t>
      </w:r>
      <w:r>
        <w:rPr>
          <w:rFonts w:hint="eastAsia" w:ascii="宋体" w:hAnsi="宋体" w:eastAsia="宋体" w:cs="Times New Roman"/>
          <w:color w:val="auto"/>
          <w:szCs w:val="21"/>
          <w:highlight w:val="none"/>
        </w:rPr>
        <w:t>都将做废标处理。</w:t>
      </w:r>
    </w:p>
    <w:p w14:paraId="13A5DA05">
      <w:pPr>
        <w:pStyle w:val="12"/>
        <w:widowControl w:val="0"/>
        <w:tabs>
          <w:tab w:val="clear" w:pos="454"/>
        </w:tabs>
        <w:snapToGrid w:val="0"/>
        <w:spacing w:afterLines="0" w:line="360" w:lineRule="auto"/>
        <w:ind w:left="0" w:firstLine="472" w:firstLineChars="196"/>
        <w:rPr>
          <w:rFonts w:ascii="宋体"/>
          <w:b/>
          <w:color w:val="auto"/>
          <w:szCs w:val="24"/>
          <w:highlight w:val="none"/>
        </w:rPr>
      </w:pPr>
      <w:r>
        <w:rPr>
          <w:rFonts w:hint="eastAsia" w:ascii="宋体" w:hAnsi="宋体"/>
          <w:b/>
          <w:color w:val="auto"/>
          <w:szCs w:val="24"/>
          <w:highlight w:val="none"/>
        </w:rPr>
        <w:t>（四）投标文件的有效期</w:t>
      </w:r>
    </w:p>
    <w:p w14:paraId="53DFEF11">
      <w:pPr>
        <w:pStyle w:val="12"/>
        <w:widowControl w:val="0"/>
        <w:tabs>
          <w:tab w:val="clear" w:pos="454"/>
        </w:tabs>
        <w:snapToGrid w:val="0"/>
        <w:spacing w:afterLines="0" w:line="360" w:lineRule="auto"/>
        <w:ind w:left="0" w:firstLine="480" w:firstLineChars="200"/>
        <w:rPr>
          <w:rFonts w:ascii="宋体"/>
          <w:color w:val="auto"/>
          <w:szCs w:val="24"/>
          <w:highlight w:val="none"/>
        </w:rPr>
      </w:pPr>
      <w:r>
        <w:rPr>
          <w:rFonts w:hint="eastAsia" w:ascii="宋体" w:hAnsi="宋体"/>
          <w:color w:val="auto"/>
          <w:szCs w:val="21"/>
          <w:highlight w:val="none"/>
        </w:rPr>
        <w:t>▲</w:t>
      </w:r>
      <w:r>
        <w:rPr>
          <w:rFonts w:ascii="宋体" w:hAnsi="宋体"/>
          <w:color w:val="auto"/>
          <w:szCs w:val="24"/>
          <w:highlight w:val="none"/>
        </w:rPr>
        <w:t>1</w:t>
      </w:r>
      <w:r>
        <w:rPr>
          <w:rFonts w:ascii="宋体"/>
          <w:color w:val="auto"/>
          <w:szCs w:val="24"/>
          <w:highlight w:val="none"/>
        </w:rPr>
        <w:t>.</w:t>
      </w:r>
      <w:r>
        <w:rPr>
          <w:rFonts w:hint="eastAsia" w:ascii="宋体" w:hAnsi="宋体"/>
          <w:color w:val="auto"/>
          <w:szCs w:val="24"/>
          <w:highlight w:val="none"/>
        </w:rPr>
        <w:t>自投标截止日起</w:t>
      </w:r>
      <w:r>
        <w:rPr>
          <w:rFonts w:ascii="宋体" w:hAnsi="宋体"/>
          <w:color w:val="auto"/>
          <w:szCs w:val="24"/>
          <w:highlight w:val="none"/>
          <w:u w:val="single"/>
        </w:rPr>
        <w:t>60</w:t>
      </w:r>
      <w:r>
        <w:rPr>
          <w:rFonts w:hint="eastAsia" w:ascii="宋体" w:hAnsi="宋体"/>
          <w:color w:val="auto"/>
          <w:szCs w:val="24"/>
          <w:highlight w:val="none"/>
        </w:rPr>
        <w:t>天投标文件应保持有效。有效期不足的投标文件将被拒绝。</w:t>
      </w:r>
    </w:p>
    <w:p w14:paraId="3DDA6C05">
      <w:pPr>
        <w:pStyle w:val="12"/>
        <w:widowControl w:val="0"/>
        <w:numPr>
          <w:ilvl w:val="0"/>
          <w:numId w:val="5"/>
        </w:numPr>
        <w:tabs>
          <w:tab w:val="clear" w:pos="312"/>
          <w:tab w:val="clear" w:pos="454"/>
        </w:tabs>
        <w:snapToGrid w:val="0"/>
        <w:spacing w:afterLines="0" w:line="360" w:lineRule="auto"/>
        <w:ind w:left="0" w:firstLine="480" w:firstLineChars="200"/>
        <w:rPr>
          <w:rFonts w:ascii="宋体"/>
          <w:color w:val="auto"/>
          <w:szCs w:val="24"/>
          <w:highlight w:val="none"/>
        </w:rPr>
      </w:pPr>
      <w:r>
        <w:rPr>
          <w:rFonts w:hint="eastAsia" w:ascii="宋体" w:hAnsi="宋体"/>
          <w:color w:val="auto"/>
          <w:szCs w:val="24"/>
          <w:highlight w:val="none"/>
        </w:rPr>
        <w:t>在特殊情况下，招标人可与投标人协商延长投标书的有效期，这种要求和答复均以书面形式进行。</w:t>
      </w:r>
    </w:p>
    <w:p w14:paraId="6E1EDEA4">
      <w:pPr>
        <w:pStyle w:val="12"/>
        <w:widowControl w:val="0"/>
        <w:numPr>
          <w:ilvl w:val="0"/>
          <w:numId w:val="5"/>
        </w:numPr>
        <w:tabs>
          <w:tab w:val="clear" w:pos="312"/>
          <w:tab w:val="clear" w:pos="454"/>
        </w:tabs>
        <w:snapToGrid w:val="0"/>
        <w:spacing w:afterLines="0" w:line="360" w:lineRule="auto"/>
        <w:ind w:left="0" w:firstLine="480" w:firstLineChars="200"/>
        <w:rPr>
          <w:rFonts w:ascii="宋体"/>
          <w:color w:val="auto"/>
          <w:szCs w:val="24"/>
          <w:highlight w:val="none"/>
        </w:rPr>
      </w:pPr>
      <w:bookmarkStart w:id="4" w:name="_Toc26731"/>
      <w:r>
        <w:rPr>
          <w:rFonts w:hint="eastAsia" w:ascii="宋体" w:hAnsi="宋体"/>
          <w:color w:val="auto"/>
          <w:highlight w:val="none"/>
        </w:rPr>
        <w:t>投标人可拒绝接受延期要求。同意延长有效期的投标人不能修改投标文件</w:t>
      </w:r>
      <w:r>
        <w:rPr>
          <w:rFonts w:hint="eastAsia" w:ascii="宋体" w:hAnsi="宋体"/>
          <w:color w:val="auto"/>
          <w:szCs w:val="24"/>
          <w:highlight w:val="none"/>
        </w:rPr>
        <w:t>。</w:t>
      </w:r>
      <w:bookmarkEnd w:id="4"/>
      <w:r>
        <w:rPr>
          <w:rFonts w:ascii="宋体" w:hAnsi="宋体"/>
          <w:color w:val="auto"/>
          <w:szCs w:val="24"/>
          <w:highlight w:val="none"/>
        </w:rPr>
        <w:t xml:space="preserve"> </w:t>
      </w:r>
    </w:p>
    <w:p w14:paraId="08196777">
      <w:pPr>
        <w:snapToGrid w:val="0"/>
        <w:spacing w:line="360" w:lineRule="auto"/>
        <w:ind w:firstLine="480" w:firstLineChars="200"/>
        <w:jc w:val="left"/>
        <w:outlineLvl w:val="0"/>
        <w:rPr>
          <w:rFonts w:asci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中标人的投标文件自开标之日起至合同履行完毕止均应保持有效。</w:t>
      </w:r>
    </w:p>
    <w:p w14:paraId="0289ACB5">
      <w:pPr>
        <w:snapToGrid w:val="0"/>
        <w:spacing w:beforeLines="50" w:line="360" w:lineRule="auto"/>
        <w:ind w:firstLine="472" w:firstLineChars="196"/>
        <w:jc w:val="left"/>
        <w:outlineLvl w:val="0"/>
        <w:rPr>
          <w:rFonts w:ascii="宋体"/>
          <w:b/>
          <w:color w:val="auto"/>
          <w:sz w:val="24"/>
          <w:szCs w:val="20"/>
          <w:highlight w:val="none"/>
        </w:rPr>
      </w:pPr>
      <w:r>
        <w:rPr>
          <w:rFonts w:hint="eastAsia" w:ascii="宋体" w:hAnsi="宋体"/>
          <w:b/>
          <w:color w:val="auto"/>
          <w:sz w:val="24"/>
          <w:highlight w:val="none"/>
        </w:rPr>
        <w:t>（五）投标文件的签署和份数</w:t>
      </w:r>
    </w:p>
    <w:p w14:paraId="7A48C999">
      <w:pPr>
        <w:snapToGrid w:val="0"/>
        <w:spacing w:line="312" w:lineRule="auto"/>
        <w:ind w:firstLine="480" w:firstLineChars="200"/>
        <w:jc w:val="left"/>
        <w:rPr>
          <w:rFonts w:hint="eastAsia" w:ascii="宋体" w:hAnsi="宋体"/>
          <w:b/>
          <w:bCs/>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.投标人应认真阅读招标文件所有内容，按</w:t>
      </w:r>
      <w:r>
        <w:rPr>
          <w:rFonts w:ascii="宋体" w:hAnsi="宋体"/>
          <w:color w:val="auto"/>
          <w:sz w:val="24"/>
          <w:highlight w:val="none"/>
        </w:rPr>
        <w:t>本招标文件规定的</w:t>
      </w:r>
      <w:r>
        <w:rPr>
          <w:rFonts w:hint="eastAsia" w:ascii="宋体" w:hAnsi="宋体"/>
          <w:color w:val="auto"/>
          <w:sz w:val="24"/>
          <w:highlight w:val="none"/>
        </w:rPr>
        <w:t>要求、编制</w:t>
      </w:r>
      <w:r>
        <w:rPr>
          <w:rFonts w:ascii="宋体" w:hAnsi="宋体"/>
          <w:color w:val="auto"/>
          <w:sz w:val="24"/>
          <w:highlight w:val="none"/>
        </w:rPr>
        <w:t>顺序</w:t>
      </w:r>
      <w:r>
        <w:rPr>
          <w:rFonts w:hint="eastAsia" w:ascii="宋体" w:hAnsi="宋体"/>
          <w:color w:val="auto"/>
          <w:sz w:val="24"/>
          <w:highlight w:val="none"/>
        </w:rPr>
        <w:t>和统一</w:t>
      </w:r>
      <w:r>
        <w:rPr>
          <w:rFonts w:ascii="宋体" w:hAnsi="宋体"/>
          <w:color w:val="auto"/>
          <w:sz w:val="24"/>
          <w:highlight w:val="none"/>
        </w:rPr>
        <w:t>格式编制投标文件</w:t>
      </w:r>
      <w:r>
        <w:rPr>
          <w:rFonts w:hint="eastAsia" w:ascii="宋体" w:hAnsi="宋体"/>
          <w:color w:val="auto"/>
          <w:sz w:val="24"/>
          <w:highlight w:val="none"/>
        </w:rPr>
        <w:t>并标注页码</w:t>
      </w:r>
      <w:r>
        <w:rPr>
          <w:rFonts w:ascii="宋体" w:hAnsi="宋体"/>
          <w:color w:val="auto"/>
          <w:sz w:val="24"/>
          <w:highlight w:val="none"/>
        </w:rPr>
        <w:t>，</w:t>
      </w:r>
      <w:r>
        <w:rPr>
          <w:rFonts w:hint="eastAsia" w:ascii="宋体" w:hAnsi="宋体"/>
          <w:b/>
          <w:bCs/>
          <w:color w:val="auto"/>
          <w:sz w:val="24"/>
          <w:highlight w:val="none"/>
        </w:rPr>
        <w:t>电子投标文件须进行关联定位。</w:t>
      </w:r>
      <w:r>
        <w:rPr>
          <w:rFonts w:ascii="宋体" w:hAnsi="宋体"/>
          <w:color w:val="auto"/>
          <w:sz w:val="24"/>
          <w:highlight w:val="none"/>
        </w:rPr>
        <w:t>投标文件</w:t>
      </w:r>
      <w:r>
        <w:rPr>
          <w:rFonts w:hint="eastAsia" w:ascii="宋体" w:hAnsi="宋体"/>
          <w:color w:val="auto"/>
          <w:sz w:val="24"/>
          <w:highlight w:val="none"/>
        </w:rPr>
        <w:t>因</w:t>
      </w:r>
      <w:r>
        <w:rPr>
          <w:rFonts w:ascii="宋体" w:hAnsi="宋体"/>
          <w:color w:val="auto"/>
          <w:sz w:val="24"/>
          <w:highlight w:val="none"/>
        </w:rPr>
        <w:t>内容不完整、编排混乱</w:t>
      </w:r>
      <w:r>
        <w:rPr>
          <w:rFonts w:hint="eastAsia" w:ascii="宋体" w:hAnsi="宋体"/>
          <w:color w:val="auto"/>
          <w:sz w:val="24"/>
          <w:highlight w:val="none"/>
        </w:rPr>
        <w:t>，</w:t>
      </w:r>
      <w:r>
        <w:rPr>
          <w:rFonts w:hint="eastAsia" w:ascii="宋体" w:hAnsi="宋体"/>
          <w:b/>
          <w:bCs/>
          <w:color w:val="auto"/>
          <w:sz w:val="24"/>
          <w:highlight w:val="none"/>
        </w:rPr>
        <w:t>或者电子投标文件未进行关联定位或者关联定位不准确，</w:t>
      </w:r>
      <w:r>
        <w:rPr>
          <w:rFonts w:ascii="宋体" w:hAnsi="宋体"/>
          <w:color w:val="auto"/>
          <w:sz w:val="24"/>
          <w:highlight w:val="none"/>
        </w:rPr>
        <w:t>导致投标文件被误读、漏读或者查找不到相关内容的，是投标人的责任。</w:t>
      </w:r>
      <w:r>
        <w:rPr>
          <w:rFonts w:hint="eastAsia" w:ascii="宋体" w:hAnsi="宋体"/>
          <w:b/>
          <w:color w:val="auto"/>
          <w:sz w:val="24"/>
          <w:highlight w:val="none"/>
        </w:rPr>
        <w:t>电子投标文件须</w:t>
      </w:r>
      <w:r>
        <w:rPr>
          <w:rFonts w:hint="eastAsia" w:ascii="宋体" w:hAnsi="宋体"/>
          <w:b/>
          <w:bCs/>
          <w:color w:val="auto"/>
          <w:sz w:val="24"/>
          <w:highlight w:val="none"/>
        </w:rPr>
        <w:t>按政采云平台供应商项目采购-电子招投标操作指南</w:t>
      </w:r>
      <w:r>
        <w:rPr>
          <w:rFonts w:hint="eastAsia" w:ascii="宋体" w:hAnsi="宋体"/>
          <w:b/>
          <w:color w:val="auto"/>
          <w:sz w:val="24"/>
          <w:highlight w:val="none"/>
        </w:rPr>
        <w:t>及本招标文件要求制作和加密。</w:t>
      </w:r>
      <w:r>
        <w:rPr>
          <w:rFonts w:hint="eastAsia" w:ascii="宋体" w:hAnsi="宋体"/>
          <w:b/>
          <w:bCs/>
          <w:color w:val="auto"/>
          <w:sz w:val="24"/>
          <w:highlight w:val="none"/>
        </w:rPr>
        <w:t>（操作指南下载网址：https://help.zcygov.cn/web/site_2/2018/12-28/2573.html）</w:t>
      </w:r>
    </w:p>
    <w:p w14:paraId="246D3B0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rPr>
      </w:pPr>
      <w:r>
        <w:rPr>
          <w:rFonts w:hint="eastAsia" w:ascii="宋体" w:hAnsi="宋体" w:cs="宋体"/>
          <w:b w:val="0"/>
          <w:bCs/>
          <w:color w:val="auto"/>
          <w:sz w:val="24"/>
          <w:lang w:val="en-US" w:eastAsia="zh-CN"/>
        </w:rPr>
        <w:t>2</w:t>
      </w:r>
      <w:r>
        <w:rPr>
          <w:rFonts w:hint="eastAsia" w:ascii="宋体" w:hAnsi="宋体" w:cs="宋体"/>
          <w:b w:val="0"/>
          <w:bCs/>
          <w:color w:val="auto"/>
          <w:sz w:val="24"/>
        </w:rPr>
        <w:t>. 投标文件需盖章签字的地方必须由投标人法定代表人或法定代表人的授权委托人签署并加盖单位公章，投标人应写全称。</w:t>
      </w:r>
    </w:p>
    <w:p w14:paraId="371DC8F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 w:val="0"/>
          <w:bCs/>
          <w:color w:val="auto"/>
          <w:sz w:val="24"/>
        </w:rPr>
      </w:pPr>
      <w:r>
        <w:rPr>
          <w:rFonts w:hint="eastAsia" w:ascii="宋体" w:hAnsi="宋体" w:cs="宋体"/>
          <w:b w:val="0"/>
          <w:bCs/>
          <w:color w:val="auto"/>
          <w:sz w:val="24"/>
          <w:lang w:val="en-US" w:eastAsia="zh-CN"/>
        </w:rPr>
        <w:t>3</w:t>
      </w:r>
      <w:r>
        <w:rPr>
          <w:rFonts w:hint="eastAsia" w:ascii="宋体" w:hAnsi="宋体" w:cs="宋体"/>
          <w:b w:val="0"/>
          <w:bCs/>
          <w:color w:val="auto"/>
          <w:sz w:val="24"/>
        </w:rPr>
        <w:t>.投标文件不得涂改，若有修改错漏处，须加盖单位公章和由法定代表人或授权委托人签字或盖章。投标文件因字迹潦草或表达不清所引起的后果由投标人负责。</w:t>
      </w:r>
    </w:p>
    <w:p w14:paraId="5D19AE6A">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Times New Roman"/>
          <w:b/>
          <w:color w:val="auto"/>
          <w:sz w:val="24"/>
          <w:highlight w:val="none"/>
        </w:rPr>
      </w:pPr>
      <w:r>
        <w:rPr>
          <w:rFonts w:hint="eastAsia" w:ascii="宋体" w:hAnsi="宋体" w:cs="宋体"/>
          <w:b w:val="0"/>
          <w:bCs/>
          <w:color w:val="auto"/>
          <w:sz w:val="24"/>
          <w:lang w:val="en-US" w:eastAsia="zh-CN"/>
        </w:rPr>
        <w:t>4</w:t>
      </w:r>
      <w:r>
        <w:rPr>
          <w:rFonts w:hint="eastAsia" w:ascii="宋体" w:hAnsi="宋体" w:cs="宋体"/>
          <w:b w:val="0"/>
          <w:bCs/>
          <w:color w:val="auto"/>
          <w:sz w:val="24"/>
        </w:rPr>
        <w:t>.招标文件对签字、盖章有特别要求的地方，纸质版本投标文件无论正本或副本（副本可以是正本的复印件）必须由投标人法定代表人或法定代表人的授权委托人签署并加盖单位公章。电子投标文件中有签字要求的部分，投标人可以将签字后的扫描件上传至政采云系统，有盖章要求的部分，要求采用CA签章。投标人应写全称。</w:t>
      </w:r>
    </w:p>
    <w:p w14:paraId="41CEE119">
      <w:pPr>
        <w:snapToGrid w:val="0"/>
        <w:spacing w:beforeLines="50" w:line="360" w:lineRule="auto"/>
        <w:jc w:val="left"/>
        <w:rPr>
          <w:rFonts w:ascii="宋体"/>
          <w:b/>
          <w:color w:val="auto"/>
          <w:sz w:val="24"/>
          <w:highlight w:val="none"/>
        </w:rPr>
      </w:pPr>
      <w:r>
        <w:rPr>
          <w:rFonts w:hint="eastAsia" w:ascii="宋体" w:hAnsi="宋体"/>
          <w:b/>
          <w:color w:val="auto"/>
          <w:sz w:val="24"/>
          <w:highlight w:val="none"/>
        </w:rPr>
        <w:t>（六）投标文件的递交、修改和撤回</w:t>
      </w:r>
    </w:p>
    <w:p w14:paraId="26612D78">
      <w:pPr>
        <w:snapToGrid w:val="0"/>
        <w:spacing w:beforeLines="50" w:afterLines="50" w:line="312" w:lineRule="auto"/>
        <w:ind w:firstLine="482" w:firstLineChars="200"/>
        <w:outlineLvl w:val="1"/>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、电子投标文件按政采云平台供应商项目采购</w:t>
      </w:r>
      <w:r>
        <w:rPr>
          <w:rFonts w:ascii="宋体"/>
          <w:b/>
          <w:bCs/>
          <w:color w:val="auto"/>
          <w:sz w:val="24"/>
          <w:highlight w:val="none"/>
        </w:rPr>
        <w:t>-</w:t>
      </w:r>
      <w:r>
        <w:rPr>
          <w:rFonts w:hint="eastAsia" w:ascii="宋体" w:hAnsi="宋体"/>
          <w:b/>
          <w:bCs/>
          <w:color w:val="auto"/>
          <w:sz w:val="24"/>
          <w:highlight w:val="none"/>
        </w:rPr>
        <w:t>电子招投标操作指南（网址：</w:t>
      </w:r>
      <w:r>
        <w:rPr>
          <w:color w:val="auto"/>
          <w:highlight w:val="none"/>
        </w:rPr>
        <w:fldChar w:fldCharType="begin"/>
      </w:r>
      <w:r>
        <w:rPr>
          <w:color w:val="auto"/>
          <w:highlight w:val="none"/>
        </w:rPr>
        <w:instrText xml:space="preserve"> HYPERLINK "https://help.zcygov.cn/web/site_2/2018/12-28/2573.html）及本招标文件规定的的要求、编制顺序和统一格式编制电子投标文件并进行关联定位。" </w:instrText>
      </w:r>
      <w:r>
        <w:rPr>
          <w:color w:val="auto"/>
          <w:highlight w:val="none"/>
        </w:rPr>
        <w:fldChar w:fldCharType="separate"/>
      </w:r>
      <w:r>
        <w:rPr>
          <w:rStyle w:val="52"/>
          <w:rFonts w:ascii="宋体" w:hAnsi="宋体"/>
          <w:b/>
          <w:bCs/>
          <w:color w:val="auto"/>
          <w:sz w:val="24"/>
          <w:highlight w:val="none"/>
        </w:rPr>
        <w:t>https://help.zcygov.cn/web/site_2/2018/12-28/2573.html</w:t>
      </w:r>
      <w:r>
        <w:rPr>
          <w:rStyle w:val="52"/>
          <w:rFonts w:hint="eastAsia" w:ascii="宋体" w:hAnsi="宋体"/>
          <w:b/>
          <w:bCs/>
          <w:color w:val="auto"/>
          <w:sz w:val="24"/>
          <w:highlight w:val="none"/>
        </w:rPr>
        <w:t>）及本招标文件规定的的要求、编制顺序和统一格式编制电子投标文件并进行关联定位。</w:t>
      </w:r>
      <w:r>
        <w:rPr>
          <w:rStyle w:val="52"/>
          <w:rFonts w:hint="eastAsia" w:ascii="宋体" w:hAnsi="宋体"/>
          <w:b/>
          <w:bCs/>
          <w:color w:val="auto"/>
          <w:sz w:val="24"/>
          <w:highlight w:val="none"/>
        </w:rPr>
        <w:fldChar w:fldCharType="end"/>
      </w:r>
    </w:p>
    <w:p w14:paraId="3F066429">
      <w:pPr>
        <w:snapToGrid w:val="0"/>
        <w:spacing w:line="312" w:lineRule="auto"/>
        <w:ind w:firstLine="480" w:firstLineChars="200"/>
        <w:jc w:val="left"/>
        <w:rPr>
          <w:rFonts w:ascii="宋体"/>
          <w:b/>
          <w:color w:val="auto"/>
          <w:sz w:val="24"/>
          <w:highlight w:val="none"/>
        </w:rPr>
      </w:pPr>
      <w:r>
        <w:rPr>
          <w:rFonts w:hint="eastAsia" w:ascii="宋体" w:hAnsi="宋体"/>
          <w:color w:val="auto"/>
          <w:sz w:val="24"/>
          <w:highlight w:val="none"/>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2CBA4D43">
      <w:pPr>
        <w:autoSpaceDE w:val="0"/>
        <w:autoSpaceDN w:val="0"/>
        <w:adjustRightInd w:val="0"/>
        <w:snapToGrid w:val="0"/>
        <w:spacing w:line="312" w:lineRule="auto"/>
        <w:ind w:firstLine="482" w:firstLineChars="200"/>
        <w:rPr>
          <w:rFonts w:asci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37815357">
      <w:pPr>
        <w:snapToGrid w:val="0"/>
        <w:spacing w:beforeLines="50" w:afterLines="50" w:line="312" w:lineRule="auto"/>
        <w:ind w:firstLine="482" w:firstLineChars="200"/>
        <w:outlineLvl w:val="1"/>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、投标人可以在投标截止时间前将电子备份投标文件（经政采云电子交易客户端和</w:t>
      </w:r>
      <w:r>
        <w:rPr>
          <w:rFonts w:ascii="宋体" w:hAnsi="宋体"/>
          <w:b/>
          <w:bCs/>
          <w:color w:val="auto"/>
          <w:sz w:val="24"/>
          <w:highlight w:val="none"/>
        </w:rPr>
        <w:t>CA</w:t>
      </w:r>
      <w:r>
        <w:rPr>
          <w:rFonts w:hint="eastAsia" w:ascii="宋体" w:hAnsi="宋体"/>
          <w:b/>
          <w:bCs/>
          <w:color w:val="auto"/>
          <w:sz w:val="24"/>
          <w:highlight w:val="none"/>
        </w:rPr>
        <w:t>驱动制作出的后缀名为“</w:t>
      </w:r>
      <w:r>
        <w:rPr>
          <w:rFonts w:ascii="宋体" w:hAnsi="宋体"/>
          <w:b/>
          <w:bCs/>
          <w:color w:val="auto"/>
          <w:sz w:val="24"/>
          <w:highlight w:val="none"/>
        </w:rPr>
        <w:t>bfbs</w:t>
      </w:r>
      <w:r>
        <w:rPr>
          <w:rFonts w:hint="eastAsia" w:ascii="宋体" w:hAnsi="宋体"/>
          <w:b/>
          <w:bCs/>
          <w:color w:val="auto"/>
          <w:sz w:val="24"/>
          <w:highlight w:val="none"/>
        </w:rPr>
        <w:t>”的加密电子备份投标文件）发送至邮箱：</w:t>
      </w:r>
      <w:r>
        <w:rPr>
          <w:rFonts w:hint="eastAsia" w:ascii="宋体" w:hAnsi="宋体"/>
          <w:b/>
          <w:bCs/>
          <w:color w:val="auto"/>
          <w:sz w:val="24"/>
          <w:highlight w:val="none"/>
          <w:lang w:eastAsia="zh-CN"/>
        </w:rPr>
        <w:t>1121762642</w:t>
      </w:r>
      <w:r>
        <w:rPr>
          <w:rFonts w:ascii="宋体" w:hAnsi="宋体"/>
          <w:b/>
          <w:bCs/>
          <w:color w:val="auto"/>
          <w:sz w:val="24"/>
          <w:highlight w:val="none"/>
        </w:rPr>
        <w:t>@qq.com</w:t>
      </w:r>
      <w:r>
        <w:rPr>
          <w:rFonts w:hint="eastAsia" w:ascii="宋体" w:hAnsi="宋体"/>
          <w:b/>
          <w:bCs/>
          <w:color w:val="auto"/>
          <w:sz w:val="24"/>
          <w:highlight w:val="none"/>
        </w:rPr>
        <w:t>，逾期发送或发错后缀名的电子备份投标文件将被视为无效；电子备份投标文件的提交不作强制性要求。电子备份投标文件的递交截止时间：投标人应当在</w:t>
      </w:r>
      <w:r>
        <w:rPr>
          <w:rFonts w:hint="eastAsia" w:ascii="宋体" w:hAnsi="宋体" w:cs="宋体"/>
          <w:b/>
          <w:bCs/>
          <w:color w:val="FF0000"/>
          <w:sz w:val="24"/>
          <w:highlight w:val="none"/>
          <w:u w:val="none"/>
        </w:rPr>
        <w:t>202</w:t>
      </w:r>
      <w:r>
        <w:rPr>
          <w:rFonts w:hint="eastAsia" w:ascii="宋体" w:hAnsi="宋体" w:cs="宋体"/>
          <w:b/>
          <w:bCs/>
          <w:color w:val="FF0000"/>
          <w:sz w:val="24"/>
          <w:highlight w:val="none"/>
          <w:u w:val="none"/>
          <w:lang w:val="en-US" w:eastAsia="zh-CN"/>
        </w:rPr>
        <w:t>5</w:t>
      </w:r>
      <w:r>
        <w:rPr>
          <w:rFonts w:hint="eastAsia" w:ascii="宋体" w:hAnsi="宋体" w:cs="宋体"/>
          <w:b/>
          <w:bCs/>
          <w:color w:val="FF0000"/>
          <w:sz w:val="24"/>
          <w:highlight w:val="none"/>
          <w:u w:val="none"/>
        </w:rPr>
        <w:t>年</w:t>
      </w:r>
      <w:r>
        <w:rPr>
          <w:rFonts w:hint="eastAsia" w:ascii="宋体" w:hAnsi="宋体" w:cs="宋体"/>
          <w:b/>
          <w:bCs/>
          <w:color w:val="FF0000"/>
          <w:sz w:val="24"/>
          <w:highlight w:val="none"/>
          <w:u w:val="none"/>
          <w:lang w:val="en-US" w:eastAsia="zh-CN"/>
        </w:rPr>
        <w:t>8月8日14</w:t>
      </w:r>
      <w:r>
        <w:rPr>
          <w:rFonts w:hint="eastAsia" w:ascii="宋体" w:hAnsi="宋体" w:cs="宋体"/>
          <w:b/>
          <w:bCs/>
          <w:color w:val="FF0000"/>
          <w:sz w:val="24"/>
          <w:highlight w:val="none"/>
          <w:u w:val="none"/>
        </w:rPr>
        <w:t>：00</w:t>
      </w:r>
      <w:r>
        <w:rPr>
          <w:rFonts w:hint="eastAsia" w:ascii="宋体" w:hAnsi="宋体"/>
          <w:b/>
          <w:bCs/>
          <w:color w:val="FF0000"/>
          <w:sz w:val="24"/>
          <w:highlight w:val="none"/>
        </w:rPr>
        <w:t>前</w:t>
      </w:r>
      <w:r>
        <w:rPr>
          <w:rFonts w:hint="eastAsia" w:ascii="宋体" w:hAnsi="宋体"/>
          <w:b/>
          <w:bCs/>
          <w:color w:val="auto"/>
          <w:sz w:val="24"/>
          <w:highlight w:val="none"/>
        </w:rPr>
        <w:t>，逾期未递交的视为自动放弃递交电子备份投标文件。</w:t>
      </w:r>
    </w:p>
    <w:p w14:paraId="296422A6">
      <w:pPr>
        <w:spacing w:line="480" w:lineRule="exact"/>
        <w:ind w:firstLine="482" w:firstLineChars="200"/>
        <w:rPr>
          <w:rFonts w:ascii="宋体" w:hAnsi="宋体" w:eastAsia="宋体" w:cs="Times New Roman"/>
          <w:b/>
          <w:bCs/>
          <w:color w:val="auto"/>
          <w:sz w:val="24"/>
          <w:highlight w:val="none"/>
        </w:rPr>
      </w:pPr>
      <w:r>
        <w:rPr>
          <w:rFonts w:ascii="宋体" w:hAnsi="宋体" w:eastAsia="宋体" w:cs="Times New Roman"/>
          <w:b/>
          <w:bCs/>
          <w:color w:val="auto"/>
          <w:sz w:val="24"/>
          <w:highlight w:val="none"/>
        </w:rPr>
        <w:t>4</w:t>
      </w:r>
      <w:r>
        <w:rPr>
          <w:rFonts w:hint="eastAsia" w:ascii="宋体" w:hAnsi="宋体" w:eastAsia="宋体" w:cs="Times New Roman"/>
          <w:b/>
          <w:bCs/>
          <w:color w:val="auto"/>
          <w:sz w:val="24"/>
          <w:highlight w:val="none"/>
        </w:rPr>
        <w:t>、未按规定上传的电子投标文件将被拒绝，由此造成投标文件解密失败或被误投的风险由投标人承担。</w:t>
      </w:r>
    </w:p>
    <w:p w14:paraId="6C191528">
      <w:pPr>
        <w:spacing w:line="480" w:lineRule="exact"/>
        <w:ind w:firstLine="482" w:firstLineChars="200"/>
        <w:rPr>
          <w:color w:val="auto"/>
          <w:sz w:val="24"/>
          <w:highlight w:val="none"/>
        </w:rPr>
      </w:pPr>
      <w:r>
        <w:rPr>
          <w:rFonts w:ascii="宋体" w:hAnsi="宋体" w:eastAsia="宋体" w:cs="Times New Roman"/>
          <w:b/>
          <w:bCs/>
          <w:color w:val="auto"/>
          <w:sz w:val="24"/>
          <w:highlight w:val="none"/>
        </w:rPr>
        <w:t>5</w:t>
      </w:r>
      <w:r>
        <w:rPr>
          <w:rFonts w:hint="eastAsia" w:ascii="宋体" w:hAnsi="宋体" w:eastAsia="宋体" w:cs="Times New Roman"/>
          <w:b/>
          <w:bCs/>
          <w:color w:val="auto"/>
          <w:sz w:val="24"/>
          <w:highlight w:val="none"/>
        </w:rPr>
        <w:t>、投标截止时间后，政采云（电子交易平台）自动提取所有在投标截止时间前上传好的投标文件，</w:t>
      </w:r>
      <w:r>
        <w:rPr>
          <w:rFonts w:hint="eastAsia" w:ascii="宋体" w:hAnsi="宋体" w:cs="Arial"/>
          <w:b/>
          <w:bCs/>
          <w:color w:val="auto"/>
          <w:sz w:val="24"/>
          <w:highlight w:val="none"/>
        </w:rPr>
        <w:t>投标人须在投标截止时间后</w:t>
      </w:r>
      <w:r>
        <w:rPr>
          <w:rFonts w:ascii="宋体" w:hAnsi="宋体" w:cs="Arial"/>
          <w:b/>
          <w:bCs/>
          <w:color w:val="auto"/>
          <w:sz w:val="24"/>
          <w:highlight w:val="none"/>
        </w:rPr>
        <w:t>30</w:t>
      </w:r>
      <w:r>
        <w:rPr>
          <w:rFonts w:hint="eastAsia" w:ascii="宋体" w:hAnsi="宋体" w:cs="Arial"/>
          <w:b/>
          <w:bCs/>
          <w:color w:val="auto"/>
          <w:sz w:val="24"/>
          <w:highlight w:val="none"/>
        </w:rPr>
        <w:t>分钟内对上传政采云的投标文件进行解密（为防止解密失败，政采云建议采用制作投标文件的电脑进行解密），所有投标人在规定的解密时限内</w:t>
      </w:r>
      <w:r>
        <w:rPr>
          <w:rFonts w:hint="eastAsia" w:ascii="宋体" w:hAnsi="宋体" w:cs="宋体"/>
          <w:b/>
          <w:bCs/>
          <w:color w:val="auto"/>
          <w:sz w:val="24"/>
          <w:highlight w:val="none"/>
        </w:rPr>
        <w:t>完成</w:t>
      </w:r>
      <w:r>
        <w:rPr>
          <w:rFonts w:hint="eastAsia" w:ascii="宋体" w:hAnsi="宋体" w:cs="Arial"/>
          <w:b/>
          <w:bCs/>
          <w:color w:val="auto"/>
          <w:sz w:val="24"/>
          <w:highlight w:val="none"/>
        </w:rPr>
        <w:t>解</w:t>
      </w:r>
      <w:r>
        <w:rPr>
          <w:rFonts w:hint="eastAsia" w:ascii="宋体" w:hAnsi="宋体" w:cs="宋体"/>
          <w:b/>
          <w:bCs/>
          <w:color w:val="auto"/>
          <w:sz w:val="24"/>
          <w:highlight w:val="none"/>
        </w:rPr>
        <w:t>密</w:t>
      </w:r>
      <w:r>
        <w:rPr>
          <w:rFonts w:hint="eastAsia" w:ascii="宋体" w:hAnsi="宋体" w:cs="Arial"/>
          <w:b/>
          <w:bCs/>
          <w:color w:val="auto"/>
          <w:sz w:val="24"/>
          <w:highlight w:val="none"/>
        </w:rPr>
        <w:t>或解密时限到后，采购代理机构开启投标文件；投标人超过解密时限解密的且采购代理机构无法开启投标文件的，系统默认自动放弃。</w:t>
      </w:r>
    </w:p>
    <w:p w14:paraId="63AD06AE">
      <w:pPr>
        <w:spacing w:line="480" w:lineRule="exact"/>
        <w:ind w:firstLine="482" w:firstLineChars="200"/>
        <w:rPr>
          <w:b/>
          <w:bCs/>
          <w:color w:val="auto"/>
          <w:sz w:val="24"/>
          <w:highlight w:val="none"/>
        </w:rPr>
      </w:pPr>
      <w:r>
        <w:rPr>
          <w:rFonts w:ascii="宋体" w:hAnsi="宋体"/>
          <w:b/>
          <w:bCs/>
          <w:color w:val="auto"/>
          <w:sz w:val="24"/>
          <w:highlight w:val="none"/>
        </w:rPr>
        <w:t>6</w:t>
      </w:r>
      <w:r>
        <w:rPr>
          <w:rFonts w:hint="eastAsia" w:ascii="宋体" w:hAnsi="宋体"/>
          <w:b/>
          <w:bCs/>
          <w:color w:val="auto"/>
          <w:sz w:val="24"/>
          <w:highlight w:val="none"/>
        </w:rPr>
        <w:t>、电子投标文件无法解密或解密失败时，投标人提供了电子备份投标文件的，以电子备份投标文件作为评审依据；否则视为投标文件无效。投标文件已按时解密的，电子备份投标文件自动失效。</w:t>
      </w:r>
    </w:p>
    <w:p w14:paraId="235AE116">
      <w:pPr>
        <w:snapToGrid w:val="0"/>
        <w:spacing w:beforeLines="50" w:line="360" w:lineRule="auto"/>
        <w:ind w:firstLine="470" w:firstLineChars="196"/>
        <w:outlineLvl w:val="2"/>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、投标截止时间后，投标人不得撤回、修改投标文件。修改后重新递交的投标文件应当按本招标文件的要求签署、盖章。</w:t>
      </w:r>
    </w:p>
    <w:p w14:paraId="5D9C2FDE">
      <w:pPr>
        <w:snapToGrid w:val="0"/>
        <w:spacing w:line="360" w:lineRule="auto"/>
        <w:ind w:firstLine="480" w:firstLineChars="200"/>
        <w:jc w:val="left"/>
        <w:rPr>
          <w:color w:val="auto"/>
          <w:highlight w:val="none"/>
        </w:rPr>
      </w:pPr>
      <w:r>
        <w:rPr>
          <w:rFonts w:hint="eastAsia" w:asciiTheme="majorEastAsia" w:hAnsiTheme="majorEastAsia" w:eastAsiaTheme="majorEastAsia"/>
          <w:color w:val="auto"/>
          <w:sz w:val="24"/>
          <w:highlight w:val="none"/>
        </w:rPr>
        <w:t>8、 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676F9E14">
      <w:pPr>
        <w:snapToGrid w:val="0"/>
        <w:spacing w:beforeLines="50" w:line="360" w:lineRule="auto"/>
        <w:ind w:firstLine="472" w:firstLineChars="196"/>
        <w:outlineLvl w:val="2"/>
        <w:rPr>
          <w:rFonts w:ascii="宋体"/>
          <w:b/>
          <w:color w:val="auto"/>
          <w:sz w:val="24"/>
          <w:highlight w:val="none"/>
        </w:rPr>
      </w:pPr>
      <w:r>
        <w:rPr>
          <w:rFonts w:hint="eastAsia" w:ascii="宋体" w:hAnsi="宋体"/>
          <w:b/>
          <w:color w:val="auto"/>
          <w:sz w:val="24"/>
          <w:highlight w:val="none"/>
        </w:rPr>
        <w:t>（七）供应商有下列情形之一的，列入失信名单，同时依照《政府采购法》第七十七条及《中华人民共和国政府采购法实施条例》第七十二条规定处罚并追求法律责任。</w:t>
      </w:r>
    </w:p>
    <w:p w14:paraId="6286D8E8">
      <w:pPr>
        <w:snapToGrid w:val="0"/>
        <w:spacing w:line="360" w:lineRule="auto"/>
        <w:ind w:left="479" w:leftChars="228"/>
        <w:jc w:val="left"/>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rPr>
        <w:t>、提供虚假材料谋取中标、成交的；</w:t>
      </w:r>
      <w:r>
        <w:rPr>
          <w:rFonts w:ascii="宋体" w:hAnsi="宋体"/>
          <w:color w:val="auto"/>
          <w:sz w:val="24"/>
          <w:highlight w:val="none"/>
        </w:rPr>
        <w:t xml:space="preserve"> </w:t>
      </w:r>
    </w:p>
    <w:p w14:paraId="58CD424F">
      <w:pPr>
        <w:snapToGrid w:val="0"/>
        <w:spacing w:line="360" w:lineRule="auto"/>
        <w:ind w:left="479" w:leftChars="228"/>
        <w:jc w:val="left"/>
        <w:rPr>
          <w:rFonts w:hint="eastAsia" w:ascii="宋体" w:hAnsi="宋体" w:eastAsia="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rPr>
        <w:t>、采取不正当手段诋毁、排挤其他供应商的；</w:t>
      </w:r>
      <w:r>
        <w:rPr>
          <w:rFonts w:ascii="宋体" w:hAnsi="宋体"/>
          <w:color w:val="auto"/>
          <w:sz w:val="24"/>
          <w:highlight w:val="none"/>
        </w:rPr>
        <w:t xml:space="preserve"> </w:t>
      </w:r>
    </w:p>
    <w:p w14:paraId="533EC89A">
      <w:pPr>
        <w:snapToGrid w:val="0"/>
        <w:spacing w:line="360" w:lineRule="auto"/>
        <w:ind w:left="479" w:leftChars="228"/>
        <w:jc w:val="left"/>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rPr>
        <w:t>、与采购人、其他供应商或者采购代理机构恶意串通的；</w:t>
      </w:r>
      <w:r>
        <w:rPr>
          <w:rFonts w:ascii="宋体" w:hAnsi="宋体"/>
          <w:color w:val="auto"/>
          <w:sz w:val="24"/>
          <w:highlight w:val="none"/>
        </w:rPr>
        <w:t xml:space="preserve"> </w:t>
      </w:r>
    </w:p>
    <w:p w14:paraId="4187043F">
      <w:pPr>
        <w:snapToGrid w:val="0"/>
        <w:spacing w:line="360" w:lineRule="auto"/>
        <w:ind w:left="479" w:leftChars="228"/>
        <w:jc w:val="left"/>
        <w:rPr>
          <w:rFonts w:hint="eastAsia" w:ascii="宋体" w:hAnsi="宋体" w:eastAsia="宋体"/>
          <w:color w:val="auto"/>
          <w:sz w:val="24"/>
          <w:highlight w:val="none"/>
          <w:lang w:eastAsia="zh-CN"/>
        </w:rPr>
      </w:pPr>
      <w:r>
        <w:rPr>
          <w:rFonts w:ascii="宋体" w:hAnsi="宋体"/>
          <w:color w:val="auto"/>
          <w:sz w:val="24"/>
          <w:highlight w:val="none"/>
        </w:rPr>
        <w:t>4</w:t>
      </w:r>
      <w:r>
        <w:rPr>
          <w:rFonts w:hint="eastAsia" w:ascii="宋体" w:hAnsi="宋体"/>
          <w:color w:val="auto"/>
          <w:sz w:val="24"/>
          <w:highlight w:val="none"/>
        </w:rPr>
        <w:t>、向采购人、采购代理机构行贿或者提供其他不正当利益的；</w:t>
      </w:r>
      <w:r>
        <w:rPr>
          <w:rFonts w:ascii="宋体" w:hAnsi="宋体"/>
          <w:color w:val="auto"/>
          <w:sz w:val="24"/>
          <w:highlight w:val="none"/>
        </w:rPr>
        <w:t xml:space="preserve"> </w:t>
      </w:r>
    </w:p>
    <w:p w14:paraId="156C3F9B">
      <w:pPr>
        <w:snapToGrid w:val="0"/>
        <w:spacing w:line="360" w:lineRule="auto"/>
        <w:ind w:left="479" w:leftChars="228"/>
        <w:jc w:val="left"/>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、在招标采购过程中与采购人进行协商谈判的；</w:t>
      </w:r>
      <w:r>
        <w:rPr>
          <w:rFonts w:ascii="宋体" w:hAnsi="宋体"/>
          <w:color w:val="auto"/>
          <w:sz w:val="24"/>
          <w:highlight w:val="none"/>
        </w:rPr>
        <w:t xml:space="preserve"> </w:t>
      </w:r>
    </w:p>
    <w:p w14:paraId="7700574A">
      <w:pPr>
        <w:snapToGrid w:val="0"/>
        <w:spacing w:line="360" w:lineRule="auto"/>
        <w:ind w:left="479" w:leftChars="228"/>
        <w:jc w:val="left"/>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、向评标委员会、竞争性谈判小组或者询价小组成员行贿或者提供其他不正当利益；</w:t>
      </w:r>
    </w:p>
    <w:p w14:paraId="6781D0BE">
      <w:pPr>
        <w:snapToGrid w:val="0"/>
        <w:spacing w:line="360" w:lineRule="auto"/>
        <w:ind w:left="479" w:leftChars="228"/>
        <w:jc w:val="left"/>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、中标或者成交后无正当理由拒不与采购人签订政府采购合同；</w:t>
      </w:r>
    </w:p>
    <w:p w14:paraId="5DA14C8A">
      <w:pPr>
        <w:snapToGrid w:val="0"/>
        <w:spacing w:line="360" w:lineRule="auto"/>
        <w:ind w:left="479" w:leftChars="228"/>
        <w:jc w:val="left"/>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、未按照采购文件确定的事项签订政府采购合同；</w:t>
      </w:r>
    </w:p>
    <w:p w14:paraId="091EF9AA">
      <w:pPr>
        <w:snapToGrid w:val="0"/>
        <w:spacing w:line="360" w:lineRule="auto"/>
        <w:ind w:left="479" w:leftChars="228"/>
        <w:jc w:val="left"/>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、将政府采购合同转包；</w:t>
      </w:r>
    </w:p>
    <w:p w14:paraId="63EBE01B">
      <w:pPr>
        <w:snapToGrid w:val="0"/>
        <w:spacing w:line="360" w:lineRule="auto"/>
        <w:ind w:left="479" w:leftChars="228"/>
        <w:jc w:val="left"/>
        <w:rPr>
          <w:rFonts w:asci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、提供假冒伪劣产品；</w:t>
      </w:r>
    </w:p>
    <w:p w14:paraId="21138BB3">
      <w:pPr>
        <w:snapToGrid w:val="0"/>
        <w:spacing w:line="360" w:lineRule="auto"/>
        <w:ind w:left="479" w:leftChars="228"/>
        <w:jc w:val="left"/>
        <w:rPr>
          <w:rFonts w:asci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、擅自变更、中止或者终止政府采购合同。</w:t>
      </w:r>
    </w:p>
    <w:p w14:paraId="6EF9281B">
      <w:pPr>
        <w:snapToGrid w:val="0"/>
        <w:spacing w:line="360" w:lineRule="auto"/>
        <w:ind w:left="479" w:leftChars="228"/>
        <w:jc w:val="left"/>
        <w:rPr>
          <w:rFonts w:ascii="宋体"/>
          <w:color w:val="auto"/>
          <w:sz w:val="24"/>
          <w:highlight w:val="none"/>
        </w:rPr>
      </w:pPr>
      <w:r>
        <w:rPr>
          <w:rFonts w:ascii="宋体" w:hAnsi="宋体"/>
          <w:color w:val="auto"/>
          <w:sz w:val="24"/>
          <w:highlight w:val="none"/>
        </w:rPr>
        <w:t>12</w:t>
      </w:r>
      <w:r>
        <w:rPr>
          <w:rFonts w:hint="eastAsia" w:ascii="宋体" w:hAnsi="宋体"/>
          <w:color w:val="auto"/>
          <w:sz w:val="24"/>
          <w:highlight w:val="none"/>
        </w:rPr>
        <w:t>、其他严重扰乱招投标程序的。</w:t>
      </w:r>
    </w:p>
    <w:p w14:paraId="5E07BB13">
      <w:pPr>
        <w:snapToGrid w:val="0"/>
        <w:spacing w:beforeLines="50" w:line="360" w:lineRule="auto"/>
        <w:ind w:firstLine="472" w:firstLineChars="196"/>
        <w:outlineLvl w:val="2"/>
        <w:rPr>
          <w:rFonts w:ascii="宋体"/>
          <w:color w:val="auto"/>
          <w:sz w:val="24"/>
          <w:highlight w:val="none"/>
        </w:rPr>
      </w:pPr>
      <w:r>
        <w:rPr>
          <w:rFonts w:hint="eastAsia" w:ascii="宋体" w:hAnsi="宋体"/>
          <w:b/>
          <w:color w:val="auto"/>
          <w:sz w:val="24"/>
          <w:highlight w:val="none"/>
        </w:rPr>
        <w:t>（八）投标无效的情形</w:t>
      </w:r>
    </w:p>
    <w:p w14:paraId="3E48438A">
      <w:pPr>
        <w:snapToGrid w:val="0"/>
        <w:spacing w:line="312" w:lineRule="auto"/>
        <w:ind w:firstLine="470" w:firstLineChars="196"/>
        <w:rPr>
          <w:rFonts w:ascii="宋体"/>
          <w:color w:val="auto"/>
          <w:sz w:val="24"/>
          <w:highlight w:val="none"/>
        </w:rPr>
      </w:pPr>
      <w:r>
        <w:rPr>
          <w:rFonts w:hint="eastAsia" w:ascii="宋体" w:hAnsi="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6F21FD30">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color w:val="auto"/>
          <w:sz w:val="22"/>
          <w:u w:val="single"/>
        </w:rPr>
      </w:pPr>
      <w:r>
        <w:rPr>
          <w:rFonts w:hint="eastAsia" w:ascii="宋体" w:hAnsi="宋体" w:cs="宋体"/>
          <w:b/>
          <w:bCs/>
          <w:color w:val="auto"/>
          <w:sz w:val="24"/>
        </w:rPr>
        <w:t>1.在资格审查时，如发现下列情形之一的，投标无效：</w:t>
      </w:r>
    </w:p>
    <w:p w14:paraId="7A7FD7DF">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（1）资格审查材料不全的，或者不符合招标文件要求的；</w:t>
      </w:r>
    </w:p>
    <w:p w14:paraId="7256CBB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（2）资格审查材料未按招标文件要求签署、盖章的；</w:t>
      </w:r>
    </w:p>
    <w:p w14:paraId="114E413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（3）不具备招标文件中规定的资格条件的；</w:t>
      </w:r>
    </w:p>
    <w:p w14:paraId="6664F0F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（4）经查询存在不良信用记录的；</w:t>
      </w:r>
    </w:p>
    <w:p w14:paraId="7910F81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（5）联合体投标的未提供</w:t>
      </w:r>
      <w:r>
        <w:rPr>
          <w:rFonts w:hint="eastAsia" w:ascii="宋体" w:hAnsi="宋体" w:eastAsia="宋体" w:cs="宋体"/>
          <w:color w:val="auto"/>
          <w:sz w:val="24"/>
          <w:lang w:val="zh-CN"/>
        </w:rPr>
        <w:t>联合体协议书的</w:t>
      </w:r>
      <w:r>
        <w:rPr>
          <w:rFonts w:hint="eastAsia" w:ascii="宋体" w:hAnsi="宋体" w:eastAsia="宋体" w:cs="宋体"/>
          <w:color w:val="auto"/>
          <w:sz w:val="24"/>
        </w:rPr>
        <w:t>；</w:t>
      </w:r>
    </w:p>
    <w:p w14:paraId="10881B7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（6）联合体各方在同一招标项目中以自己名义单独投标或者参加其他联合体投标的，相关投标均无效。</w:t>
      </w:r>
    </w:p>
    <w:p w14:paraId="6F830BF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w:t>
      </w:r>
      <w:r>
        <w:rPr>
          <w:rFonts w:hint="eastAsia" w:ascii="宋体" w:hAnsi="宋体" w:eastAsia="宋体" w:cs="宋体"/>
          <w:color w:val="auto"/>
          <w:sz w:val="24"/>
        </w:rPr>
        <w:t>如为专门面向中小微项目，未提供中小企业声明函的</w:t>
      </w:r>
      <w:r>
        <w:rPr>
          <w:rFonts w:hint="eastAsia" w:ascii="宋体" w:hAnsi="宋体" w:eastAsia="宋体" w:cs="宋体"/>
          <w:color w:val="auto"/>
          <w:sz w:val="24"/>
          <w:lang w:eastAsia="zh-CN"/>
        </w:rPr>
        <w:t>。</w:t>
      </w:r>
    </w:p>
    <w:p w14:paraId="3C7B31A3">
      <w:pPr>
        <w:keepNext w:val="0"/>
        <w:keepLines w:val="0"/>
        <w:pageBreakBefore w:val="0"/>
        <w:kinsoku/>
        <w:wordWrap/>
        <w:overflowPunct/>
        <w:topLinePunct w:val="0"/>
        <w:autoSpaceDE/>
        <w:autoSpaceDN/>
        <w:bidi w:val="0"/>
        <w:adjustRightInd w:val="0"/>
        <w:snapToGrid w:val="0"/>
        <w:spacing w:line="400" w:lineRule="exact"/>
        <w:ind w:firstLine="472" w:firstLineChars="196"/>
        <w:textAlignment w:val="auto"/>
        <w:rPr>
          <w:rFonts w:ascii="宋体" w:hAnsi="宋体" w:cs="宋体"/>
          <w:b/>
          <w:bCs/>
          <w:color w:val="auto"/>
          <w:sz w:val="24"/>
        </w:rPr>
      </w:pPr>
      <w:r>
        <w:rPr>
          <w:rFonts w:hint="eastAsia" w:ascii="宋体" w:hAnsi="宋体" w:cs="宋体"/>
          <w:b/>
          <w:bCs/>
          <w:color w:val="auto"/>
          <w:sz w:val="24"/>
        </w:rPr>
        <w:t>2.在符合性审查和商务评审时，如发现下列情形之一的，投标文件将被视为无效：</w:t>
      </w:r>
    </w:p>
    <w:p w14:paraId="062E9B0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（1）投标人仅提交电子备份投标文件的；</w:t>
      </w:r>
    </w:p>
    <w:p w14:paraId="043396E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（2）在开评标时出现电子投标文件无法解密或解密失败等情况，投标人未提供电子备份投标文件，无法对投标人继续进行评审的；</w:t>
      </w:r>
    </w:p>
    <w:p w14:paraId="2B3E521C">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ascii="宋体" w:hAnsi="宋体" w:cs="宋体"/>
          <w:color w:val="auto"/>
          <w:sz w:val="24"/>
        </w:rPr>
      </w:pPr>
      <w:r>
        <w:rPr>
          <w:rFonts w:hint="eastAsia" w:ascii="宋体" w:hAnsi="宋体" w:cs="宋体"/>
          <w:color w:val="auto"/>
          <w:sz w:val="24"/>
        </w:rPr>
        <w:t>（3）投标人未在规定的时间内对电子询标函进行澄清回复、拒绝澄清回复或澄清回复的内容改变了投标文件的实质性内容的；</w:t>
      </w:r>
    </w:p>
    <w:p w14:paraId="2EC17732">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ascii="宋体" w:hAnsi="宋体" w:cs="宋体"/>
          <w:color w:val="auto"/>
          <w:sz w:val="24"/>
        </w:rPr>
      </w:pPr>
      <w:r>
        <w:rPr>
          <w:rFonts w:hint="eastAsia" w:ascii="宋体" w:hAnsi="宋体" w:cs="宋体"/>
          <w:color w:val="auto"/>
          <w:sz w:val="24"/>
        </w:rPr>
        <w:t>（4）资信及商务标内有商务报价出现的；</w:t>
      </w:r>
    </w:p>
    <w:p w14:paraId="6452DDAA">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ascii="宋体" w:hAnsi="宋体" w:cs="宋体"/>
          <w:color w:val="auto"/>
          <w:sz w:val="24"/>
        </w:rPr>
      </w:pPr>
      <w:r>
        <w:rPr>
          <w:rFonts w:hint="eastAsia" w:ascii="宋体" w:hAnsi="宋体" w:cs="宋体"/>
          <w:color w:val="auto"/>
          <w:sz w:val="24"/>
        </w:rPr>
        <w:t>（5）资格证明文件不全的，或者不符合招标文件标明的资格要求的；</w:t>
      </w:r>
    </w:p>
    <w:p w14:paraId="52FA40F2">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）本招标文件明确规定投标文件需要投标人签字、盖章的地方，投标人没有按招标文件的规定进行签字、盖章的,或未提供法定代表人授权委托书、投标声明书或者填写项目不齐全的，或者授权委托书无效的；</w:t>
      </w:r>
    </w:p>
    <w:p w14:paraId="44656E03">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）投标文件无法定代表人签字,或未提供法定代表人授权委托书、投标声明书或者填写项目不齐全的；</w:t>
      </w:r>
    </w:p>
    <w:p w14:paraId="39FFC3B5">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）投标文件的实质性内容未使用中文表述、意思表述不明确、前后矛盾或者使用计量单位不符合招标文件要求的（经评标委员会认定并允许其当场更正的笔误除外）；</w:t>
      </w:r>
    </w:p>
    <w:p w14:paraId="5F6B8FD7">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9</w:t>
      </w:r>
      <w:r>
        <w:rPr>
          <w:rFonts w:hint="eastAsia" w:ascii="宋体" w:hAnsi="宋体" w:cs="宋体"/>
          <w:color w:val="auto"/>
          <w:sz w:val="24"/>
        </w:rPr>
        <w:t>）投标有效期、服务期（交货期）、质保期、付款方式等商务条款不能满足招标文件要求的；</w:t>
      </w:r>
    </w:p>
    <w:p w14:paraId="4435091A">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）未实质性响应招标文件中标有“▲”条款要求的；</w:t>
      </w:r>
    </w:p>
    <w:p w14:paraId="069CA796">
      <w:pPr>
        <w:pStyle w:val="20"/>
        <w:keepNext w:val="0"/>
        <w:keepLines w:val="0"/>
        <w:pageBreakBefore w:val="0"/>
        <w:kinsoku/>
        <w:wordWrap/>
        <w:overflowPunct/>
        <w:topLinePunct w:val="0"/>
        <w:autoSpaceDE/>
        <w:autoSpaceDN/>
        <w:bidi w:val="0"/>
        <w:adjustRightInd w:val="0"/>
        <w:snapToGrid w:val="0"/>
        <w:spacing w:line="400" w:lineRule="exact"/>
        <w:ind w:firstLine="454" w:firstLineChars="196"/>
        <w:textAlignment w:val="auto"/>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1</w:t>
      </w:r>
      <w:r>
        <w:rPr>
          <w:rFonts w:hint="eastAsia" w:hAnsi="宋体" w:cs="宋体"/>
          <w:color w:val="auto"/>
          <w:sz w:val="24"/>
          <w:szCs w:val="24"/>
        </w:rPr>
        <w:t>）投标文件有招标方不能接受的附加条件的；</w:t>
      </w:r>
    </w:p>
    <w:p w14:paraId="0181856E">
      <w:pPr>
        <w:pStyle w:val="20"/>
        <w:keepNext w:val="0"/>
        <w:keepLines w:val="0"/>
        <w:pageBreakBefore w:val="0"/>
        <w:kinsoku/>
        <w:wordWrap/>
        <w:overflowPunct/>
        <w:topLinePunct w:val="0"/>
        <w:autoSpaceDE/>
        <w:autoSpaceDN/>
        <w:bidi w:val="0"/>
        <w:adjustRightInd w:val="0"/>
        <w:snapToGrid w:val="0"/>
        <w:spacing w:line="400" w:lineRule="exact"/>
        <w:ind w:firstLine="454" w:firstLineChars="196"/>
        <w:textAlignment w:val="auto"/>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）电子投标文件未按规定要求提供电子签章的。</w:t>
      </w:r>
    </w:p>
    <w:p w14:paraId="4C45F40F">
      <w:pPr>
        <w:pStyle w:val="20"/>
        <w:keepNext w:val="0"/>
        <w:keepLines w:val="0"/>
        <w:pageBreakBefore w:val="0"/>
        <w:kinsoku/>
        <w:wordWrap/>
        <w:overflowPunct/>
        <w:topLinePunct w:val="0"/>
        <w:autoSpaceDE/>
        <w:autoSpaceDN/>
        <w:bidi w:val="0"/>
        <w:adjustRightInd w:val="0"/>
        <w:snapToGrid w:val="0"/>
        <w:spacing w:line="400" w:lineRule="exact"/>
        <w:ind w:firstLine="457" w:firstLineChars="196"/>
        <w:textAlignment w:val="auto"/>
        <w:rPr>
          <w:rFonts w:hAnsi="宋体" w:cs="宋体"/>
          <w:b/>
          <w:bCs/>
          <w:color w:val="auto"/>
          <w:sz w:val="24"/>
          <w:szCs w:val="24"/>
        </w:rPr>
      </w:pPr>
      <w:r>
        <w:rPr>
          <w:rFonts w:hint="eastAsia" w:hAnsi="宋体" w:cs="宋体"/>
          <w:b/>
          <w:bCs/>
          <w:color w:val="auto"/>
          <w:sz w:val="24"/>
          <w:szCs w:val="24"/>
        </w:rPr>
        <w:t>3.在技术评审时，如发现下列情形之一的，投标文件将被视为无效：</w:t>
      </w:r>
    </w:p>
    <w:p w14:paraId="0A86CB1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rPr>
      </w:pPr>
      <w:r>
        <w:rPr>
          <w:rFonts w:hint="eastAsia" w:ascii="宋体" w:hAnsi="宋体" w:cs="宋体"/>
          <w:color w:val="auto"/>
          <w:sz w:val="24"/>
        </w:rPr>
        <w:t>（1）投标人未在规定的时间内对电子询标函进行澄清回复、拒绝澄清回复或澄清回复的内容改变了投标文件的实质性内容的；</w:t>
      </w:r>
    </w:p>
    <w:p w14:paraId="4D7E9041">
      <w:pPr>
        <w:keepNext w:val="0"/>
        <w:keepLines w:val="0"/>
        <w:pageBreakBefore w:val="0"/>
        <w:kinsoku/>
        <w:wordWrap/>
        <w:overflowPunct/>
        <w:topLinePunct w:val="0"/>
        <w:autoSpaceDE/>
        <w:autoSpaceDN/>
        <w:bidi w:val="0"/>
        <w:adjustRightInd w:val="0"/>
        <w:snapToGrid w:val="0"/>
        <w:spacing w:line="400" w:lineRule="exact"/>
        <w:ind w:firstLine="470" w:firstLineChars="196"/>
        <w:textAlignment w:val="auto"/>
        <w:rPr>
          <w:rFonts w:ascii="宋体" w:hAnsi="宋体" w:cs="宋体"/>
          <w:color w:val="auto"/>
          <w:sz w:val="24"/>
        </w:rPr>
      </w:pPr>
      <w:r>
        <w:rPr>
          <w:rFonts w:hint="eastAsia" w:ascii="宋体" w:hAnsi="宋体" w:cs="宋体"/>
          <w:color w:val="auto"/>
          <w:sz w:val="24"/>
        </w:rPr>
        <w:t>（2）技术标内有商务报价出现的；</w:t>
      </w:r>
    </w:p>
    <w:p w14:paraId="5D37E2D7">
      <w:pPr>
        <w:pStyle w:val="20"/>
        <w:keepNext w:val="0"/>
        <w:keepLines w:val="0"/>
        <w:pageBreakBefore w:val="0"/>
        <w:kinsoku/>
        <w:wordWrap/>
        <w:overflowPunct/>
        <w:topLinePunct w:val="0"/>
        <w:autoSpaceDE/>
        <w:autoSpaceDN/>
        <w:bidi w:val="0"/>
        <w:adjustRightInd w:val="0"/>
        <w:snapToGrid w:val="0"/>
        <w:spacing w:line="400" w:lineRule="exact"/>
        <w:ind w:firstLine="454" w:firstLineChars="196"/>
        <w:textAlignment w:val="auto"/>
        <w:rPr>
          <w:rFonts w:hAnsi="宋体" w:cs="宋体"/>
          <w:color w:val="auto"/>
          <w:sz w:val="24"/>
        </w:rPr>
      </w:pPr>
      <w:r>
        <w:rPr>
          <w:rFonts w:hint="eastAsia" w:hAnsi="宋体" w:cs="宋体"/>
          <w:color w:val="auto"/>
          <w:sz w:val="24"/>
          <w:szCs w:val="24"/>
        </w:rPr>
        <w:t>（3）</w:t>
      </w:r>
      <w:r>
        <w:rPr>
          <w:rFonts w:hint="eastAsia" w:hAnsi="宋体" w:cs="宋体"/>
          <w:color w:val="auto"/>
          <w:sz w:val="24"/>
        </w:rPr>
        <w:t>投标技术方案不明确，存在一个或一个以上备选（替代）投标方案的；</w:t>
      </w:r>
    </w:p>
    <w:p w14:paraId="1B963B19">
      <w:pPr>
        <w:pStyle w:val="13"/>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（4）与其他参加本次投标供应商的投标文件（技术文件）的文字表述内容相同连续20行以上或者差错相同2处以上的；</w:t>
      </w:r>
    </w:p>
    <w:p w14:paraId="1EC687F6">
      <w:pPr>
        <w:pStyle w:val="20"/>
        <w:keepNext w:val="0"/>
        <w:keepLines w:val="0"/>
        <w:pageBreakBefore w:val="0"/>
        <w:kinsoku/>
        <w:wordWrap/>
        <w:overflowPunct/>
        <w:topLinePunct w:val="0"/>
        <w:autoSpaceDE/>
        <w:autoSpaceDN/>
        <w:bidi w:val="0"/>
        <w:adjustRightInd w:val="0"/>
        <w:snapToGrid w:val="0"/>
        <w:spacing w:line="400" w:lineRule="exact"/>
        <w:ind w:firstLine="454"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（5）招标文件规定的</w:t>
      </w:r>
      <w:r>
        <w:rPr>
          <w:rFonts w:hint="eastAsia" w:hAnsi="宋体" w:cs="宋体"/>
          <w:color w:val="auto"/>
          <w:sz w:val="24"/>
          <w:szCs w:val="24"/>
          <w:lang w:eastAsia="zh-CN"/>
        </w:rPr>
        <w:t>其他</w:t>
      </w:r>
      <w:r>
        <w:rPr>
          <w:rFonts w:hint="eastAsia" w:ascii="宋体" w:hAnsi="宋体" w:eastAsia="宋体" w:cs="宋体"/>
          <w:color w:val="auto"/>
          <w:sz w:val="24"/>
          <w:szCs w:val="24"/>
        </w:rPr>
        <w:t>投标无效的情况；</w:t>
      </w:r>
    </w:p>
    <w:p w14:paraId="2C2F15E3">
      <w:pPr>
        <w:pStyle w:val="20"/>
        <w:keepNext w:val="0"/>
        <w:keepLines w:val="0"/>
        <w:pageBreakBefore w:val="0"/>
        <w:kinsoku/>
        <w:wordWrap/>
        <w:overflowPunct/>
        <w:topLinePunct w:val="0"/>
        <w:autoSpaceDE/>
        <w:autoSpaceDN/>
        <w:bidi w:val="0"/>
        <w:adjustRightInd w:val="0"/>
        <w:snapToGrid w:val="0"/>
        <w:spacing w:line="400" w:lineRule="exact"/>
        <w:ind w:firstLine="454" w:firstLineChars="196"/>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）电子投标文件未按规定要求提供电子签章的</w:t>
      </w:r>
      <w:r>
        <w:rPr>
          <w:rFonts w:hint="eastAsia" w:ascii="宋体" w:hAnsi="宋体" w:eastAsia="宋体" w:cs="宋体"/>
          <w:color w:val="auto"/>
          <w:sz w:val="24"/>
          <w:szCs w:val="24"/>
          <w:lang w:eastAsia="zh-CN"/>
        </w:rPr>
        <w:t>；</w:t>
      </w:r>
    </w:p>
    <w:p w14:paraId="2A211003">
      <w:pPr>
        <w:pStyle w:val="20"/>
        <w:keepNext w:val="0"/>
        <w:keepLines w:val="0"/>
        <w:pageBreakBefore w:val="0"/>
        <w:kinsoku/>
        <w:wordWrap/>
        <w:overflowPunct/>
        <w:topLinePunct w:val="0"/>
        <w:autoSpaceDE/>
        <w:autoSpaceDN/>
        <w:bidi w:val="0"/>
        <w:adjustRightInd w:val="0"/>
        <w:snapToGrid w:val="0"/>
        <w:spacing w:line="400" w:lineRule="exact"/>
        <w:ind w:firstLine="454"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）法律、法规规定的</w:t>
      </w:r>
      <w:r>
        <w:rPr>
          <w:rFonts w:hint="eastAsia" w:hAnsi="宋体" w:cs="宋体"/>
          <w:color w:val="auto"/>
          <w:sz w:val="24"/>
          <w:szCs w:val="24"/>
          <w:lang w:eastAsia="zh-CN"/>
        </w:rPr>
        <w:t>其他</w:t>
      </w:r>
      <w:r>
        <w:rPr>
          <w:rFonts w:hint="eastAsia" w:ascii="宋体" w:hAnsi="宋体" w:eastAsia="宋体" w:cs="宋体"/>
          <w:color w:val="auto"/>
          <w:sz w:val="24"/>
          <w:szCs w:val="24"/>
        </w:rPr>
        <w:t>投标无效情况。</w:t>
      </w:r>
    </w:p>
    <w:p w14:paraId="5D19714D">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color w:val="auto"/>
          <w:sz w:val="24"/>
        </w:rPr>
      </w:pPr>
      <w:r>
        <w:rPr>
          <w:rFonts w:hint="eastAsia" w:ascii="宋体" w:hAnsi="宋体" w:cs="宋体"/>
          <w:b/>
          <w:color w:val="auto"/>
          <w:sz w:val="24"/>
        </w:rPr>
        <w:t>4.在报价评审时，如发现下列情形之一的，投标文件将被视为无效：</w:t>
      </w:r>
    </w:p>
    <w:p w14:paraId="0430943A">
      <w:pPr>
        <w:pStyle w:val="20"/>
        <w:keepNext w:val="0"/>
        <w:keepLines w:val="0"/>
        <w:pageBreakBefore w:val="0"/>
        <w:kinsoku/>
        <w:wordWrap/>
        <w:overflowPunct/>
        <w:topLinePunct w:val="0"/>
        <w:autoSpaceDE/>
        <w:autoSpaceDN/>
        <w:bidi w:val="0"/>
        <w:adjustRightInd w:val="0"/>
        <w:snapToGrid w:val="0"/>
        <w:spacing w:line="400" w:lineRule="exact"/>
        <w:ind w:firstLine="464" w:firstLineChars="200"/>
        <w:textAlignment w:val="auto"/>
        <w:rPr>
          <w:rFonts w:hAnsi="宋体" w:cs="宋体"/>
          <w:color w:val="auto"/>
          <w:sz w:val="24"/>
        </w:rPr>
      </w:pPr>
      <w:r>
        <w:rPr>
          <w:rFonts w:hint="eastAsia" w:hAnsi="宋体" w:cs="宋体"/>
          <w:color w:val="auto"/>
          <w:sz w:val="24"/>
        </w:rPr>
        <w:t>（1）投标人未在规定的时间内对电子询标函进行澄清回复、拒绝澄清回复或者澄清回复的内容改变了投标文件的实质性内容的；</w:t>
      </w:r>
    </w:p>
    <w:p w14:paraId="5652AA36">
      <w:pPr>
        <w:pStyle w:val="20"/>
        <w:keepNext w:val="0"/>
        <w:keepLines w:val="0"/>
        <w:pageBreakBefore w:val="0"/>
        <w:kinsoku/>
        <w:wordWrap/>
        <w:overflowPunct/>
        <w:topLinePunct w:val="0"/>
        <w:autoSpaceDE/>
        <w:autoSpaceDN/>
        <w:bidi w:val="0"/>
        <w:adjustRightInd w:val="0"/>
        <w:snapToGrid w:val="0"/>
        <w:spacing w:line="400" w:lineRule="exact"/>
        <w:ind w:firstLine="454" w:firstLineChars="196"/>
        <w:textAlignment w:val="auto"/>
        <w:rPr>
          <w:rFonts w:hAnsi="宋体" w:cs="宋体"/>
          <w:color w:val="auto"/>
          <w:sz w:val="24"/>
          <w:szCs w:val="24"/>
        </w:rPr>
      </w:pPr>
      <w:r>
        <w:rPr>
          <w:rFonts w:hint="eastAsia" w:hAnsi="宋体" w:cs="宋体"/>
          <w:color w:val="auto"/>
          <w:sz w:val="24"/>
          <w:szCs w:val="24"/>
        </w:rPr>
        <w:t>（2）未按照招标文件标明的格式报价的；</w:t>
      </w:r>
    </w:p>
    <w:p w14:paraId="140848D2">
      <w:pPr>
        <w:pStyle w:val="20"/>
        <w:keepNext w:val="0"/>
        <w:keepLines w:val="0"/>
        <w:pageBreakBefore w:val="0"/>
        <w:kinsoku/>
        <w:wordWrap/>
        <w:overflowPunct/>
        <w:topLinePunct w:val="0"/>
        <w:autoSpaceDE/>
        <w:autoSpaceDN/>
        <w:bidi w:val="0"/>
        <w:adjustRightInd w:val="0"/>
        <w:snapToGrid w:val="0"/>
        <w:spacing w:line="400" w:lineRule="exact"/>
        <w:ind w:firstLine="454" w:firstLineChars="196"/>
        <w:textAlignment w:val="auto"/>
        <w:rPr>
          <w:rFonts w:hAnsi="宋体" w:cs="宋体"/>
          <w:color w:val="auto"/>
          <w:sz w:val="24"/>
          <w:szCs w:val="24"/>
        </w:rPr>
      </w:pPr>
      <w:r>
        <w:rPr>
          <w:rFonts w:hint="eastAsia" w:hAnsi="宋体" w:cs="宋体"/>
          <w:color w:val="auto"/>
          <w:sz w:val="24"/>
          <w:szCs w:val="24"/>
        </w:rPr>
        <w:t>（3）报价</w:t>
      </w:r>
      <w:r>
        <w:rPr>
          <w:rFonts w:hint="eastAsia" w:hAnsi="宋体" w:cs="宋体"/>
          <w:color w:val="auto"/>
          <w:sz w:val="24"/>
        </w:rPr>
        <w:t>超出限价的</w:t>
      </w:r>
      <w:r>
        <w:rPr>
          <w:rFonts w:hint="eastAsia" w:hAnsi="宋体" w:cs="宋体"/>
          <w:color w:val="auto"/>
          <w:sz w:val="24"/>
          <w:szCs w:val="24"/>
        </w:rPr>
        <w:t>；</w:t>
      </w:r>
    </w:p>
    <w:p w14:paraId="566E05AE">
      <w:pPr>
        <w:pStyle w:val="20"/>
        <w:keepNext w:val="0"/>
        <w:keepLines w:val="0"/>
        <w:pageBreakBefore w:val="0"/>
        <w:kinsoku/>
        <w:wordWrap/>
        <w:overflowPunct/>
        <w:topLinePunct w:val="0"/>
        <w:autoSpaceDE/>
        <w:autoSpaceDN/>
        <w:bidi w:val="0"/>
        <w:adjustRightInd w:val="0"/>
        <w:snapToGrid w:val="0"/>
        <w:spacing w:line="400" w:lineRule="exact"/>
        <w:ind w:firstLine="454" w:firstLineChars="196"/>
        <w:textAlignment w:val="auto"/>
        <w:rPr>
          <w:rFonts w:hAnsi="宋体" w:cs="宋体"/>
          <w:color w:val="auto"/>
          <w:sz w:val="24"/>
          <w:szCs w:val="24"/>
        </w:rPr>
      </w:pPr>
      <w:r>
        <w:rPr>
          <w:rFonts w:hint="eastAsia" w:hAnsi="宋体" w:cs="宋体"/>
          <w:color w:val="auto"/>
          <w:sz w:val="24"/>
          <w:szCs w:val="24"/>
        </w:rPr>
        <w:t>（4）投标报价具有选择性的；</w:t>
      </w:r>
    </w:p>
    <w:p w14:paraId="377FFF15">
      <w:pPr>
        <w:pStyle w:val="20"/>
        <w:keepNext w:val="0"/>
        <w:keepLines w:val="0"/>
        <w:pageBreakBefore w:val="0"/>
        <w:kinsoku/>
        <w:wordWrap/>
        <w:overflowPunct/>
        <w:topLinePunct w:val="0"/>
        <w:autoSpaceDE/>
        <w:autoSpaceDN/>
        <w:bidi w:val="0"/>
        <w:adjustRightInd w:val="0"/>
        <w:snapToGrid w:val="0"/>
        <w:spacing w:line="400" w:lineRule="exact"/>
        <w:ind w:firstLine="454" w:firstLineChars="196"/>
        <w:textAlignment w:val="auto"/>
        <w:rPr>
          <w:rFonts w:hAnsi="宋体" w:cs="宋体"/>
          <w:b w:val="0"/>
          <w:bCs w:val="0"/>
          <w:color w:val="auto"/>
          <w:sz w:val="24"/>
          <w:szCs w:val="24"/>
        </w:rPr>
      </w:pPr>
      <w:r>
        <w:rPr>
          <w:rFonts w:hint="eastAsia" w:hAnsi="宋体" w:cs="宋体"/>
          <w:b w:val="0"/>
          <w:bCs w:val="0"/>
          <w:color w:val="auto"/>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1D30D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b w:val="0"/>
          <w:bCs w:val="0"/>
          <w:color w:val="auto"/>
          <w:sz w:val="24"/>
        </w:rPr>
      </w:pPr>
      <w:r>
        <w:rPr>
          <w:rFonts w:hint="eastAsia" w:ascii="宋体" w:hAnsi="宋体" w:cs="宋体"/>
          <w:b w:val="0"/>
          <w:bCs w:val="0"/>
          <w:color w:val="auto"/>
          <w:sz w:val="24"/>
        </w:rPr>
        <w:t>（6）电子投标文件解密失败的，且未在规定时间内提交电子备份投标文件的；</w:t>
      </w:r>
    </w:p>
    <w:p w14:paraId="7EAA804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b w:val="0"/>
          <w:bCs w:val="0"/>
          <w:color w:val="auto"/>
          <w:sz w:val="24"/>
        </w:rPr>
      </w:pPr>
      <w:r>
        <w:rPr>
          <w:rFonts w:hint="eastAsia" w:ascii="宋体" w:hAnsi="宋体" w:cs="宋体"/>
          <w:b w:val="0"/>
          <w:bCs w:val="0"/>
          <w:color w:val="auto"/>
          <w:sz w:val="24"/>
        </w:rPr>
        <w:t>（7）电子投标文件未按规定要求进行签字、电子签章的。</w:t>
      </w:r>
    </w:p>
    <w:p w14:paraId="22158079">
      <w:pPr>
        <w:pStyle w:val="20"/>
        <w:snapToGrid w:val="0"/>
        <w:spacing w:line="360" w:lineRule="auto"/>
        <w:ind w:firstLine="457" w:firstLineChars="196"/>
        <w:rPr>
          <w:rFonts w:hAnsi="宋体"/>
          <w:b/>
          <w:color w:val="auto"/>
          <w:sz w:val="24"/>
          <w:szCs w:val="24"/>
          <w:highlight w:val="none"/>
        </w:rPr>
      </w:pPr>
      <w:r>
        <w:rPr>
          <w:rFonts w:hint="eastAsia" w:ascii="宋体" w:hAnsi="宋体" w:cs="宋体"/>
          <w:b/>
          <w:color w:val="auto"/>
          <w:sz w:val="24"/>
        </w:rPr>
        <w:t>5.被拒绝的投标文件为无效。</w:t>
      </w:r>
    </w:p>
    <w:p w14:paraId="5F08172D">
      <w:pPr>
        <w:pStyle w:val="20"/>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6</w:t>
      </w:r>
      <w:r>
        <w:rPr>
          <w:rFonts w:hint="eastAsia" w:hAnsi="宋体"/>
          <w:b/>
          <w:color w:val="auto"/>
          <w:sz w:val="24"/>
          <w:szCs w:val="24"/>
          <w:highlight w:val="none"/>
          <w:lang w:val="en-US" w:eastAsia="zh-CN"/>
        </w:rPr>
        <w:t>.</w:t>
      </w:r>
      <w:r>
        <w:rPr>
          <w:rFonts w:hint="eastAsia" w:ascii="宋体" w:hAnsi="宋体" w:cs="宋体"/>
          <w:b/>
          <w:color w:val="auto"/>
          <w:sz w:val="24"/>
        </w:rPr>
        <w:t>根据有关法律、法规规定为无效、废标的，按法律、法规规定执行</w:t>
      </w:r>
      <w:r>
        <w:rPr>
          <w:rFonts w:hint="eastAsia" w:hAnsi="宋体"/>
          <w:b/>
          <w:color w:val="auto"/>
          <w:sz w:val="24"/>
          <w:szCs w:val="24"/>
          <w:highlight w:val="none"/>
        </w:rPr>
        <w:t>。</w:t>
      </w:r>
    </w:p>
    <w:p w14:paraId="0ADFCADC">
      <w:pPr>
        <w:pStyle w:val="20"/>
        <w:snapToGrid w:val="0"/>
        <w:spacing w:line="360" w:lineRule="auto"/>
        <w:ind w:firstLine="457" w:firstLineChars="196"/>
        <w:outlineLvl w:val="1"/>
        <w:rPr>
          <w:rFonts w:hAnsi="宋体"/>
          <w:b/>
          <w:snapToGrid w:val="0"/>
          <w:color w:val="auto"/>
          <w:sz w:val="24"/>
          <w:szCs w:val="24"/>
          <w:highlight w:val="none"/>
        </w:rPr>
      </w:pPr>
      <w:r>
        <w:rPr>
          <w:rFonts w:hint="eastAsia" w:hAnsi="宋体"/>
          <w:b/>
          <w:color w:val="auto"/>
          <w:sz w:val="24"/>
          <w:szCs w:val="24"/>
          <w:highlight w:val="none"/>
        </w:rPr>
        <w:t>四、开标</w:t>
      </w:r>
    </w:p>
    <w:p w14:paraId="3787E33C">
      <w:pPr>
        <w:pStyle w:val="24"/>
        <w:snapToGrid w:val="0"/>
        <w:spacing w:beforeLines="0" w:afterLines="0" w:line="360" w:lineRule="auto"/>
        <w:ind w:firstLine="241" w:firstLineChars="100"/>
        <w:rPr>
          <w:rFonts w:hAnsi="宋体"/>
          <w:b/>
          <w:color w:val="auto"/>
          <w:highlight w:val="none"/>
        </w:rPr>
      </w:pPr>
      <w:r>
        <w:rPr>
          <w:rFonts w:hint="eastAsia" w:hAnsi="宋体"/>
          <w:b/>
          <w:color w:val="auto"/>
          <w:highlight w:val="none"/>
        </w:rPr>
        <w:t>（一）开标准备</w:t>
      </w:r>
    </w:p>
    <w:p w14:paraId="7A10E8FA">
      <w:pPr>
        <w:snapToGrid w:val="0"/>
        <w:spacing w:line="380" w:lineRule="exact"/>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rPr>
        <w:t>本项目不要求投标人到开标现场开标，但投标人应派法定代表人或委托代理人【委托代理人应当是投标人的在职正式职工（</w:t>
      </w:r>
      <w:r>
        <w:rPr>
          <w:rFonts w:hint="eastAsia" w:ascii="宋体" w:hAnsi="宋体" w:cs="Arial"/>
          <w:b/>
          <w:bCs/>
          <w:color w:val="auto"/>
          <w:sz w:val="24"/>
          <w:highlight w:val="none"/>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color w:val="auto"/>
          <w:sz w:val="24"/>
          <w:highlight w:val="none"/>
        </w:rPr>
        <w:t>）】准时在线出席电子开标会议，随时关注开标进度，如在开标过程中有电子询标，应在规定的时间内对电子询标函进行澄清</w:t>
      </w:r>
      <w:r>
        <w:rPr>
          <w:rFonts w:hint="eastAsia" w:ascii="宋体" w:hAnsi="宋体" w:cs="Arial"/>
          <w:b/>
          <w:bCs/>
          <w:color w:val="auto"/>
          <w:sz w:val="24"/>
          <w:highlight w:val="none"/>
        </w:rPr>
        <w:t>、答复</w:t>
      </w:r>
      <w:r>
        <w:rPr>
          <w:rFonts w:hint="eastAsia" w:ascii="宋体" w:hAnsi="宋体" w:cs="宋体"/>
          <w:b/>
          <w:bCs/>
          <w:color w:val="auto"/>
          <w:sz w:val="24"/>
          <w:highlight w:val="none"/>
        </w:rPr>
        <w:t>。超过规定时间的询标函将不予接受，评标为委员会可以作出不利于被询标人的决定。评标委员会只对投标文件内容进行询问，以投标文件的内容作为评审依据，不接受外部补充证据，评标委员会</w:t>
      </w:r>
      <w:r>
        <w:rPr>
          <w:rFonts w:hint="eastAsia" w:ascii="宋体" w:hAnsi="宋体" w:eastAsia="宋体" w:cs="宋体"/>
          <w:b/>
          <w:bCs/>
          <w:color w:val="auto"/>
          <w:sz w:val="24"/>
          <w:highlight w:val="none"/>
        </w:rPr>
        <w:t>认为投标人不符合招标文件实质性要求明确时，可不经过询标而直接予以无效标认定，但代理机构应将无效标原因当场告知投标人。</w:t>
      </w:r>
    </w:p>
    <w:p w14:paraId="02D9EC6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5216B68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投标人未按招标文件要求派代表参加电子开标会议的，视同认可开标结果，不得对开标过程及开标结果提出质疑。</w:t>
      </w:r>
    </w:p>
    <w:p w14:paraId="00F9B70F">
      <w:pPr>
        <w:keepNext w:val="0"/>
        <w:keepLines w:val="0"/>
        <w:pageBreakBefore w:val="0"/>
        <w:kinsoku/>
        <w:wordWrap/>
        <w:overflowPunct/>
        <w:topLinePunct w:val="0"/>
        <w:autoSpaceDE/>
        <w:autoSpaceDN/>
        <w:bidi w:val="0"/>
        <w:adjustRightInd w:val="0"/>
        <w:snapToGrid w:val="0"/>
        <w:spacing w:line="400" w:lineRule="exact"/>
        <w:ind w:firstLine="241" w:firstLineChars="100"/>
        <w:textAlignment w:val="auto"/>
        <w:rPr>
          <w:rFonts w:ascii="宋体" w:hAnsi="宋体" w:cs="宋体"/>
          <w:b/>
          <w:color w:val="auto"/>
          <w:sz w:val="24"/>
        </w:rPr>
      </w:pPr>
      <w:r>
        <w:rPr>
          <w:rFonts w:hint="eastAsia" w:ascii="宋体" w:hAnsi="宋体" w:cs="宋体"/>
          <w:b/>
          <w:color w:val="auto"/>
          <w:sz w:val="24"/>
        </w:rPr>
        <w:t>（二）电子招投标开标程序</w:t>
      </w:r>
    </w:p>
    <w:p w14:paraId="75F117B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1.开标会由招标代理机构主持，主持人宣布开标会议开始；</w:t>
      </w:r>
    </w:p>
    <w:p w14:paraId="2AC02B4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 xml:space="preserve">2.主持人介绍参加开标会的人员名单； </w:t>
      </w:r>
    </w:p>
    <w:p w14:paraId="7BA2500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bCs/>
          <w:color w:val="auto"/>
          <w:sz w:val="24"/>
        </w:rPr>
      </w:pPr>
      <w:r>
        <w:rPr>
          <w:rFonts w:hint="eastAsia" w:ascii="宋体" w:hAnsi="宋体" w:cs="宋体"/>
          <w:bCs/>
          <w:color w:val="auto"/>
          <w:sz w:val="24"/>
        </w:rPr>
        <w:t>3.主持人宣布评标室会议纪律及评标期间的有关事项；告知应当回避的情形,提请有关人员回避；</w:t>
      </w:r>
    </w:p>
    <w:p w14:paraId="4E503BD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hAnsi="宋体" w:cs="宋体"/>
          <w:color w:val="auto"/>
          <w:sz w:val="24"/>
        </w:rPr>
      </w:pPr>
      <w:r>
        <w:rPr>
          <w:rFonts w:hint="eastAsia" w:ascii="宋体" w:hAnsi="宋体" w:cs="宋体"/>
          <w:color w:val="auto"/>
          <w:sz w:val="24"/>
        </w:rPr>
        <w:t>4.开标及评审程序</w:t>
      </w:r>
    </w:p>
    <w:p w14:paraId="09D174D0">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color w:val="auto"/>
          <w:sz w:val="24"/>
        </w:rPr>
      </w:pPr>
      <w:r>
        <w:rPr>
          <w:rFonts w:hint="eastAsia" w:ascii="宋体" w:hAnsi="宋体" w:cs="宋体"/>
          <w:color w:val="auto"/>
          <w:sz w:val="24"/>
        </w:rPr>
        <w:t>（1）在开标时间截止后30分钟内由各投标人自行对投标文件进行解密；</w:t>
      </w:r>
    </w:p>
    <w:p w14:paraId="0FF8CE33">
      <w:pPr>
        <w:keepNext w:val="0"/>
        <w:keepLines w:val="0"/>
        <w:pageBreakBefore w:val="0"/>
        <w:kinsoku/>
        <w:wordWrap/>
        <w:overflowPunct/>
        <w:topLinePunct w:val="0"/>
        <w:autoSpaceDE/>
        <w:autoSpaceDN/>
        <w:bidi w:val="0"/>
        <w:adjustRightInd w:val="0"/>
        <w:snapToGrid w:val="0"/>
        <w:spacing w:line="400" w:lineRule="exact"/>
        <w:ind w:left="479" w:leftChars="114" w:hanging="240" w:hangingChars="100"/>
        <w:textAlignment w:val="auto"/>
        <w:rPr>
          <w:rFonts w:ascii="宋体" w:hAnsi="宋体" w:cs="宋体"/>
          <w:color w:val="auto"/>
          <w:sz w:val="24"/>
        </w:rPr>
      </w:pPr>
      <w:r>
        <w:rPr>
          <w:rFonts w:hint="eastAsia" w:ascii="宋体" w:hAnsi="宋体" w:cs="宋体"/>
          <w:color w:val="auto"/>
          <w:sz w:val="24"/>
        </w:rPr>
        <w:t>（2）由采购人或代理机构进行资格审查，通过资格审查的投标人进入商务技术响应</w:t>
      </w:r>
    </w:p>
    <w:p w14:paraId="505871EC">
      <w:pPr>
        <w:keepNext w:val="0"/>
        <w:keepLines w:val="0"/>
        <w:pageBreakBefore w:val="0"/>
        <w:kinsoku/>
        <w:wordWrap/>
        <w:overflowPunct/>
        <w:topLinePunct w:val="0"/>
        <w:autoSpaceDE/>
        <w:autoSpaceDN/>
        <w:bidi w:val="0"/>
        <w:adjustRightInd w:val="0"/>
        <w:snapToGrid w:val="0"/>
        <w:spacing w:line="400" w:lineRule="exact"/>
        <w:ind w:left="479" w:leftChars="114" w:hanging="240" w:hangingChars="100"/>
        <w:textAlignment w:val="auto"/>
        <w:rPr>
          <w:rFonts w:ascii="宋体" w:hAnsi="宋体" w:cs="宋体"/>
          <w:color w:val="auto"/>
          <w:sz w:val="24"/>
        </w:rPr>
      </w:pPr>
      <w:r>
        <w:rPr>
          <w:rFonts w:hint="eastAsia" w:ascii="宋体" w:hAnsi="宋体" w:cs="宋体"/>
          <w:color w:val="auto"/>
          <w:sz w:val="24"/>
        </w:rPr>
        <w:t>文件进行评审；</w:t>
      </w:r>
    </w:p>
    <w:p w14:paraId="5EAC0171">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color w:val="auto"/>
          <w:sz w:val="24"/>
        </w:rPr>
      </w:pPr>
      <w:r>
        <w:rPr>
          <w:rFonts w:hint="eastAsia" w:ascii="宋体" w:hAnsi="宋体" w:cs="宋体"/>
          <w:color w:val="auto"/>
          <w:sz w:val="24"/>
        </w:rPr>
        <w:t>（3）系统对各投标人的商务资信技术进行汇总；</w:t>
      </w:r>
    </w:p>
    <w:p w14:paraId="34183825">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color w:val="auto"/>
          <w:sz w:val="24"/>
        </w:rPr>
      </w:pPr>
      <w:r>
        <w:rPr>
          <w:rFonts w:hint="eastAsia" w:ascii="宋体" w:hAnsi="宋体" w:cs="宋体"/>
          <w:color w:val="auto"/>
          <w:sz w:val="24"/>
        </w:rPr>
        <w:t>（4）在系统上公开报价开标情况；</w:t>
      </w:r>
    </w:p>
    <w:p w14:paraId="1BF2BEE5">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color w:val="auto"/>
          <w:sz w:val="24"/>
        </w:rPr>
      </w:pPr>
      <w:r>
        <w:rPr>
          <w:rFonts w:hint="eastAsia" w:ascii="宋体" w:hAnsi="宋体" w:cs="宋体"/>
          <w:color w:val="auto"/>
          <w:sz w:val="24"/>
        </w:rPr>
        <w:t>（5）评标委员会对报价情况进行评审；</w:t>
      </w:r>
    </w:p>
    <w:p w14:paraId="6CA9AB56">
      <w:pPr>
        <w:keepNext w:val="0"/>
        <w:keepLines w:val="0"/>
        <w:pageBreakBefore w:val="0"/>
        <w:kinsoku/>
        <w:wordWrap/>
        <w:overflowPunct/>
        <w:topLinePunct w:val="0"/>
        <w:autoSpaceDE/>
        <w:autoSpaceDN/>
        <w:bidi w:val="0"/>
        <w:adjustRightInd w:val="0"/>
        <w:snapToGrid w:val="0"/>
        <w:spacing w:line="400" w:lineRule="exact"/>
        <w:ind w:firstLine="240" w:firstLineChars="100"/>
        <w:textAlignment w:val="auto"/>
        <w:rPr>
          <w:rFonts w:ascii="宋体" w:hAnsi="宋体" w:cs="宋体"/>
          <w:color w:val="auto"/>
          <w:sz w:val="24"/>
        </w:rPr>
      </w:pPr>
      <w:r>
        <w:rPr>
          <w:rFonts w:hint="eastAsia" w:ascii="宋体" w:hAnsi="宋体" w:cs="宋体"/>
          <w:color w:val="auto"/>
          <w:sz w:val="24"/>
        </w:rPr>
        <w:t>（6）在系统上公布评审结果。</w:t>
      </w:r>
    </w:p>
    <w:p w14:paraId="6ADEE505">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hAnsi="宋体" w:cs="宋体"/>
          <w:b/>
          <w:color w:val="auto"/>
          <w:sz w:val="24"/>
        </w:rPr>
      </w:pPr>
      <w:r>
        <w:rPr>
          <w:rFonts w:hint="eastAsia" w:ascii="宋体" w:hAnsi="宋体" w:cs="宋体"/>
          <w:b/>
          <w:color w:val="auto"/>
          <w:sz w:val="24"/>
        </w:rPr>
        <w:t>特别说明：政采云公司如对电子化开标及评审程序有调整的，按调整后的程序操作。</w:t>
      </w:r>
    </w:p>
    <w:p w14:paraId="7731701E">
      <w:pPr>
        <w:spacing w:line="440" w:lineRule="exact"/>
        <w:ind w:firstLine="480" w:firstLineChars="200"/>
        <w:rPr>
          <w:color w:val="auto"/>
          <w:highlight w:val="none"/>
        </w:rPr>
      </w:pPr>
      <w:r>
        <w:rPr>
          <w:rFonts w:hint="eastAsia" w:ascii="宋体" w:hAnsi="宋体" w:cs="宋体"/>
          <w:color w:val="auto"/>
          <w:sz w:val="24"/>
        </w:rPr>
        <w:t>5.本项目采用政采云电子招投标开标及评审程序，开评标时出现电子投标文件无法解密或解密失败等情况时，采购代理机构可上传投标人的电子备份投标文件继续评审。</w:t>
      </w:r>
    </w:p>
    <w:p w14:paraId="6BCB66B0">
      <w:pPr>
        <w:pStyle w:val="24"/>
        <w:snapToGrid w:val="0"/>
        <w:spacing w:beforeLines="0" w:afterLines="0" w:line="360" w:lineRule="auto"/>
        <w:ind w:left="842" w:leftChars="267" w:hanging="281" w:hangingChars="100"/>
        <w:outlineLvl w:val="1"/>
        <w:rPr>
          <w:rFonts w:hAnsi="宋体"/>
          <w:b/>
          <w:color w:val="auto"/>
          <w:sz w:val="28"/>
          <w:szCs w:val="28"/>
          <w:highlight w:val="none"/>
        </w:rPr>
      </w:pPr>
      <w:r>
        <w:rPr>
          <w:rFonts w:hint="eastAsia" w:hAnsi="宋体"/>
          <w:b/>
          <w:color w:val="auto"/>
          <w:sz w:val="28"/>
          <w:szCs w:val="28"/>
          <w:highlight w:val="none"/>
        </w:rPr>
        <w:t>五、评标</w:t>
      </w:r>
    </w:p>
    <w:p w14:paraId="628CA24B">
      <w:pPr>
        <w:pStyle w:val="24"/>
        <w:snapToGrid w:val="0"/>
        <w:spacing w:beforeLines="0" w:afterLines="0" w:line="360" w:lineRule="auto"/>
        <w:ind w:left="720" w:leftChars="228" w:hanging="241" w:hangingChars="100"/>
        <w:rPr>
          <w:rFonts w:hAnsi="宋体"/>
          <w:b/>
          <w:color w:val="auto"/>
          <w:highlight w:val="none"/>
        </w:rPr>
      </w:pPr>
      <w:r>
        <w:rPr>
          <w:rFonts w:hint="eastAsia" w:hAnsi="宋体"/>
          <w:b/>
          <w:color w:val="auto"/>
          <w:highlight w:val="none"/>
        </w:rPr>
        <w:t>（一）组建评标委员会</w:t>
      </w:r>
    </w:p>
    <w:p w14:paraId="2C32F352">
      <w:pPr>
        <w:pStyle w:val="24"/>
        <w:snapToGrid w:val="0"/>
        <w:spacing w:beforeLines="0" w:afterLines="0" w:line="360" w:lineRule="auto"/>
        <w:ind w:firstLine="480" w:firstLineChars="200"/>
        <w:rPr>
          <w:rFonts w:hAnsi="宋体"/>
          <w:color w:val="auto"/>
          <w:highlight w:val="none"/>
        </w:rPr>
      </w:pPr>
      <w:r>
        <w:rPr>
          <w:rFonts w:hint="eastAsia" w:hAnsi="宋体"/>
          <w:color w:val="auto"/>
          <w:highlight w:val="none"/>
        </w:rPr>
        <w:t>本项目评标委员会由政府采购评审专家</w:t>
      </w:r>
      <w:r>
        <w:rPr>
          <w:rFonts w:hAnsi="宋体"/>
          <w:color w:val="auto"/>
          <w:highlight w:val="none"/>
          <w:u w:val="single"/>
        </w:rPr>
        <w:t>4</w:t>
      </w:r>
      <w:r>
        <w:rPr>
          <w:rFonts w:hint="eastAsia" w:hAnsi="宋体"/>
          <w:color w:val="auto"/>
          <w:highlight w:val="none"/>
        </w:rPr>
        <w:t>人和采购人代表</w:t>
      </w:r>
      <w:r>
        <w:rPr>
          <w:rFonts w:hAnsi="宋体"/>
          <w:color w:val="auto"/>
          <w:highlight w:val="none"/>
          <w:u w:val="single"/>
        </w:rPr>
        <w:t>1</w:t>
      </w:r>
      <w:r>
        <w:rPr>
          <w:rFonts w:hint="eastAsia" w:hAnsi="宋体"/>
          <w:color w:val="auto"/>
          <w:highlight w:val="none"/>
        </w:rPr>
        <w:t>人</w:t>
      </w:r>
      <w:r>
        <w:rPr>
          <w:rFonts w:hAnsi="宋体"/>
          <w:color w:val="auto"/>
          <w:highlight w:val="none"/>
        </w:rPr>
        <w:t>,</w:t>
      </w:r>
      <w:r>
        <w:rPr>
          <w:rFonts w:hint="eastAsia" w:hAnsi="宋体"/>
          <w:color w:val="auto"/>
          <w:highlight w:val="none"/>
        </w:rPr>
        <w:t>共</w:t>
      </w:r>
      <w:r>
        <w:rPr>
          <w:rFonts w:hAnsi="宋体"/>
          <w:color w:val="auto"/>
          <w:highlight w:val="none"/>
          <w:u w:val="single"/>
        </w:rPr>
        <w:t>5</w:t>
      </w:r>
      <w:r>
        <w:rPr>
          <w:rFonts w:hint="eastAsia" w:hAnsi="宋体"/>
          <w:color w:val="auto"/>
          <w:highlight w:val="none"/>
        </w:rPr>
        <w:t>人组成。</w:t>
      </w:r>
      <w:r>
        <w:rPr>
          <w:rFonts w:hint="eastAsia" w:ascii="宋体" w:hAnsi="宋体" w:eastAsia="宋体" w:cs="宋体"/>
          <w:kern w:val="0"/>
          <w:sz w:val="24"/>
          <w:szCs w:val="22"/>
        </w:rPr>
        <w:t>（允许采购人不推荐采购人代表参加，如采购人不推荐采购人代表参加评审时，评标委员会（5人）都从评标专家库中抽取）。</w:t>
      </w:r>
    </w:p>
    <w:p w14:paraId="5040A9A6">
      <w:pPr>
        <w:pStyle w:val="24"/>
        <w:snapToGrid w:val="0"/>
        <w:spacing w:beforeLines="0" w:afterLines="0" w:line="360" w:lineRule="auto"/>
        <w:ind w:left="720" w:leftChars="228" w:hanging="241" w:hangingChars="100"/>
        <w:rPr>
          <w:rFonts w:hAnsi="宋体"/>
          <w:b/>
          <w:color w:val="auto"/>
          <w:highlight w:val="none"/>
        </w:rPr>
      </w:pPr>
      <w:r>
        <w:rPr>
          <w:rFonts w:hint="eastAsia" w:hAnsi="宋体"/>
          <w:b/>
          <w:color w:val="auto"/>
          <w:highlight w:val="none"/>
        </w:rPr>
        <w:t>（二）评标的方式</w:t>
      </w:r>
    </w:p>
    <w:p w14:paraId="147E0DA9">
      <w:pPr>
        <w:pStyle w:val="24"/>
        <w:snapToGrid w:val="0"/>
        <w:spacing w:beforeLines="0" w:afterLines="0" w:line="360" w:lineRule="auto"/>
        <w:ind w:left="719" w:leftChars="228" w:hanging="240" w:hangingChars="100"/>
        <w:rPr>
          <w:rFonts w:hAnsi="宋体"/>
          <w:color w:val="auto"/>
          <w:highlight w:val="none"/>
        </w:rPr>
      </w:pPr>
      <w:r>
        <w:rPr>
          <w:rFonts w:hint="eastAsia" w:hAnsi="宋体"/>
          <w:color w:val="auto"/>
          <w:highlight w:val="none"/>
        </w:rPr>
        <w:t>本项目采用不公开方式评标，评标的依据为招标文件和投标文件。</w:t>
      </w:r>
    </w:p>
    <w:p w14:paraId="72E228E7">
      <w:pPr>
        <w:pStyle w:val="24"/>
        <w:numPr>
          <w:ilvl w:val="0"/>
          <w:numId w:val="0"/>
        </w:numPr>
        <w:snapToGrid w:val="0"/>
        <w:spacing w:beforeLines="0" w:afterLines="0" w:line="360" w:lineRule="auto"/>
        <w:ind w:left="567" w:leftChars="0"/>
        <w:rPr>
          <w:rFonts w:hAnsi="宋体"/>
          <w:b/>
          <w:bCs/>
          <w:color w:val="auto"/>
          <w:highlight w:val="none"/>
        </w:rPr>
      </w:pPr>
      <w:r>
        <w:rPr>
          <w:rFonts w:hint="eastAsia" w:hAnsi="宋体"/>
          <w:b/>
          <w:bCs/>
          <w:color w:val="auto"/>
          <w:highlight w:val="none"/>
          <w:lang w:val="en-US" w:eastAsia="zh-CN"/>
        </w:rPr>
        <w:t>(三)</w:t>
      </w:r>
      <w:r>
        <w:rPr>
          <w:rFonts w:hint="eastAsia" w:hAnsi="宋体"/>
          <w:b/>
          <w:bCs/>
          <w:color w:val="auto"/>
          <w:highlight w:val="none"/>
        </w:rPr>
        <w:t>评标程序</w:t>
      </w:r>
    </w:p>
    <w:p w14:paraId="51812856">
      <w:pPr>
        <w:snapToGrid w:val="0"/>
        <w:spacing w:line="360" w:lineRule="auto"/>
        <w:ind w:firstLine="472" w:firstLineChars="196"/>
        <w:rPr>
          <w:rFonts w:ascii="宋体" w:hAnsi="宋体"/>
          <w:b/>
          <w:bCs/>
          <w:color w:val="auto"/>
          <w:sz w:val="24"/>
          <w:szCs w:val="24"/>
          <w:highlight w:val="none"/>
        </w:rPr>
      </w:pPr>
      <w:r>
        <w:rPr>
          <w:rFonts w:ascii="宋体" w:hAnsi="宋体"/>
          <w:b/>
          <w:bCs/>
          <w:color w:val="auto"/>
          <w:sz w:val="24"/>
          <w:szCs w:val="24"/>
          <w:highlight w:val="none"/>
        </w:rPr>
        <w:t>1</w:t>
      </w:r>
      <w:r>
        <w:rPr>
          <w:rFonts w:hint="eastAsia" w:ascii="宋体" w:hAnsi="宋体"/>
          <w:b/>
          <w:bCs/>
          <w:color w:val="auto"/>
          <w:sz w:val="24"/>
          <w:szCs w:val="24"/>
          <w:highlight w:val="none"/>
        </w:rPr>
        <w:t>.</w:t>
      </w:r>
      <w:r>
        <w:rPr>
          <w:rFonts w:ascii="宋体" w:hAnsi="宋体"/>
          <w:b/>
          <w:bCs/>
          <w:color w:val="auto"/>
          <w:sz w:val="24"/>
          <w:szCs w:val="24"/>
          <w:highlight w:val="none"/>
        </w:rPr>
        <w:t>形式审查</w:t>
      </w:r>
    </w:p>
    <w:p w14:paraId="4811000E">
      <w:pPr>
        <w:snapToGrid w:val="0"/>
        <w:spacing w:line="360" w:lineRule="auto"/>
        <w:ind w:firstLine="480" w:firstLineChars="200"/>
        <w:rPr>
          <w:rFonts w:hint="eastAsia" w:ascii="宋体" w:hAnsi="宋体"/>
          <w:b/>
          <w:color w:val="auto"/>
          <w:sz w:val="24"/>
          <w:szCs w:val="24"/>
          <w:highlight w:val="none"/>
        </w:rPr>
      </w:pPr>
      <w:r>
        <w:rPr>
          <w:rFonts w:hint="eastAsia" w:ascii="宋体" w:hAnsi="宋体" w:cs="宋体"/>
          <w:color w:val="auto"/>
          <w:sz w:val="24"/>
        </w:rPr>
        <w:t>采购人代表和代理机构工作人员对投标人的资格文件的完整性、符合性等进行审查</w:t>
      </w:r>
      <w:r>
        <w:rPr>
          <w:rFonts w:ascii="宋体" w:hAnsi="宋体"/>
          <w:color w:val="auto"/>
          <w:sz w:val="24"/>
          <w:szCs w:val="24"/>
          <w:highlight w:val="none"/>
        </w:rPr>
        <w:t>。</w:t>
      </w:r>
    </w:p>
    <w:p w14:paraId="0F631393">
      <w:pPr>
        <w:snapToGrid w:val="0"/>
        <w:spacing w:line="360" w:lineRule="auto"/>
        <w:ind w:firstLine="472" w:firstLineChars="196"/>
        <w:rPr>
          <w:rFonts w:ascii="宋体" w:hAnsi="宋体"/>
          <w:b/>
          <w:bCs/>
          <w:color w:val="auto"/>
          <w:sz w:val="24"/>
          <w:szCs w:val="24"/>
          <w:highlight w:val="none"/>
        </w:rPr>
      </w:pPr>
      <w:r>
        <w:rPr>
          <w:rFonts w:ascii="宋体" w:hAnsi="宋体"/>
          <w:b/>
          <w:bCs/>
          <w:color w:val="auto"/>
          <w:sz w:val="24"/>
          <w:szCs w:val="24"/>
          <w:highlight w:val="none"/>
        </w:rPr>
        <w:t>2</w:t>
      </w:r>
      <w:r>
        <w:rPr>
          <w:rFonts w:hint="eastAsia" w:ascii="宋体" w:hAnsi="宋体"/>
          <w:b/>
          <w:bCs/>
          <w:color w:val="auto"/>
          <w:sz w:val="24"/>
          <w:szCs w:val="24"/>
          <w:highlight w:val="none"/>
        </w:rPr>
        <w:t>.</w:t>
      </w:r>
      <w:r>
        <w:rPr>
          <w:rFonts w:ascii="宋体" w:hAnsi="宋体"/>
          <w:b/>
          <w:bCs/>
          <w:color w:val="auto"/>
          <w:sz w:val="24"/>
          <w:szCs w:val="24"/>
          <w:highlight w:val="none"/>
        </w:rPr>
        <w:t>实质审查与比较</w:t>
      </w:r>
    </w:p>
    <w:p w14:paraId="725C76D6">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1）评标委员会审查投标文件的实质性内容是否符合招标文件的实质性要求。</w:t>
      </w:r>
    </w:p>
    <w:p w14:paraId="6C66CD83">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（2）评标委员会将对投标人的投标文件进行审查、核对,如有疑问,将对投标人进行电子询标,投标人须在规定的时间内向评标委员会澄清有关问题,并在政采云上进行询标答复。</w:t>
      </w:r>
    </w:p>
    <w:p w14:paraId="3D756768">
      <w:pPr>
        <w:snapToGrid w:val="0"/>
        <w:spacing w:line="360" w:lineRule="auto"/>
        <w:ind w:firstLine="482" w:firstLineChars="200"/>
        <w:rPr>
          <w:color w:val="auto"/>
          <w:sz w:val="24"/>
          <w:szCs w:val="24"/>
          <w:highlight w:val="none"/>
        </w:rPr>
      </w:pPr>
      <w:r>
        <w:rPr>
          <w:rFonts w:hint="eastAsia" w:ascii="宋体" w:hAnsi="宋体"/>
          <w:b/>
          <w:bCs/>
          <w:color w:val="auto"/>
          <w:sz w:val="24"/>
          <w:szCs w:val="24"/>
          <w:highlight w:val="none"/>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color w:val="auto"/>
          <w:sz w:val="24"/>
          <w:szCs w:val="24"/>
          <w:highlight w:val="none"/>
        </w:rPr>
        <w:t>评标委员会认为投标人不符合招投文件实质性要求明确时，可不经过询标而直接予以无效标认定，但代理机构应将无效标原因当场告知投标人。</w:t>
      </w:r>
    </w:p>
    <w:p w14:paraId="5A15842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技术、商务、资信及其他分按照评标委员会成员的独立评分结果的算术平均分计算，</w:t>
      </w:r>
      <w:r>
        <w:rPr>
          <w:rFonts w:ascii="宋体" w:hAnsi="宋体"/>
          <w:color w:val="auto"/>
          <w:sz w:val="24"/>
          <w:szCs w:val="24"/>
          <w:highlight w:val="none"/>
        </w:rPr>
        <w:t>由指定专人进行计算复核。</w:t>
      </w:r>
    </w:p>
    <w:p w14:paraId="34AF640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招标方工作人员协助</w:t>
      </w:r>
      <w:r>
        <w:rPr>
          <w:rFonts w:ascii="宋体" w:hAnsi="宋体"/>
          <w:color w:val="auto"/>
          <w:sz w:val="24"/>
          <w:szCs w:val="24"/>
          <w:highlight w:val="none"/>
        </w:rPr>
        <w:t>评标委员会</w:t>
      </w:r>
      <w:r>
        <w:rPr>
          <w:rFonts w:hint="eastAsia" w:ascii="宋体" w:hAnsi="宋体"/>
          <w:color w:val="auto"/>
          <w:sz w:val="24"/>
          <w:szCs w:val="24"/>
          <w:highlight w:val="none"/>
        </w:rPr>
        <w:t>审核投标报价有无计算错误，政采云系统</w:t>
      </w:r>
      <w:r>
        <w:rPr>
          <w:rFonts w:ascii="宋体" w:hAnsi="宋体"/>
          <w:color w:val="auto"/>
          <w:sz w:val="24"/>
          <w:szCs w:val="24"/>
          <w:highlight w:val="none"/>
        </w:rPr>
        <w:t>根据</w:t>
      </w:r>
      <w:r>
        <w:rPr>
          <w:rFonts w:hint="eastAsia" w:ascii="宋体" w:hAnsi="宋体"/>
          <w:color w:val="auto"/>
          <w:sz w:val="24"/>
          <w:szCs w:val="24"/>
          <w:highlight w:val="none"/>
        </w:rPr>
        <w:t>本项目的评分标准</w:t>
      </w:r>
      <w:r>
        <w:rPr>
          <w:rFonts w:ascii="宋体" w:hAnsi="宋体"/>
          <w:color w:val="auto"/>
          <w:sz w:val="24"/>
          <w:szCs w:val="24"/>
          <w:highlight w:val="none"/>
        </w:rPr>
        <w:t>计算各投标人的报价得分</w:t>
      </w:r>
      <w:r>
        <w:rPr>
          <w:rFonts w:hint="eastAsia" w:ascii="宋体" w:hAnsi="宋体"/>
          <w:color w:val="auto"/>
          <w:sz w:val="24"/>
          <w:szCs w:val="24"/>
          <w:highlight w:val="none"/>
        </w:rPr>
        <w:t>。</w:t>
      </w:r>
    </w:p>
    <w:p w14:paraId="6FC29C6B">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5）评标委员会完成评标后,</w:t>
      </w:r>
      <w:r>
        <w:rPr>
          <w:rFonts w:hint="eastAsia" w:ascii="宋体" w:hAnsi="宋体"/>
          <w:color w:val="auto"/>
          <w:sz w:val="24"/>
          <w:szCs w:val="24"/>
          <w:highlight w:val="none"/>
        </w:rPr>
        <w:t>招标方工作人员通过政采云系统</w:t>
      </w:r>
      <w:r>
        <w:rPr>
          <w:rFonts w:ascii="宋体" w:hAnsi="宋体"/>
          <w:color w:val="auto"/>
          <w:sz w:val="24"/>
          <w:szCs w:val="24"/>
          <w:highlight w:val="none"/>
        </w:rPr>
        <w:t>对各部分得分</w:t>
      </w:r>
      <w:r>
        <w:rPr>
          <w:rFonts w:hint="eastAsia" w:ascii="宋体" w:hAnsi="宋体"/>
          <w:color w:val="auto"/>
          <w:sz w:val="24"/>
          <w:szCs w:val="24"/>
          <w:highlight w:val="none"/>
        </w:rPr>
        <w:t>进行</w:t>
      </w:r>
      <w:r>
        <w:rPr>
          <w:rFonts w:ascii="宋体" w:hAnsi="宋体"/>
          <w:color w:val="auto"/>
          <w:sz w:val="24"/>
          <w:szCs w:val="24"/>
          <w:highlight w:val="none"/>
        </w:rPr>
        <w:t>汇总,</w:t>
      </w:r>
      <w:r>
        <w:rPr>
          <w:rFonts w:hint="eastAsia" w:ascii="宋体" w:hAnsi="宋体"/>
          <w:color w:val="auto"/>
          <w:sz w:val="24"/>
          <w:szCs w:val="24"/>
          <w:highlight w:val="none"/>
        </w:rPr>
        <w:t>计算</w:t>
      </w:r>
      <w:r>
        <w:rPr>
          <w:rFonts w:ascii="宋体" w:hAnsi="宋体"/>
          <w:color w:val="auto"/>
          <w:sz w:val="24"/>
          <w:szCs w:val="24"/>
          <w:highlight w:val="none"/>
        </w:rPr>
        <w:t>出本项目</w:t>
      </w:r>
      <w:r>
        <w:rPr>
          <w:rFonts w:hint="eastAsia" w:ascii="宋体" w:hAnsi="宋体"/>
          <w:color w:val="auto"/>
          <w:sz w:val="24"/>
          <w:szCs w:val="24"/>
          <w:highlight w:val="none"/>
        </w:rPr>
        <w:t>最终得分</w:t>
      </w:r>
      <w:r>
        <w:rPr>
          <w:rFonts w:ascii="宋体" w:hAnsi="宋体"/>
          <w:color w:val="auto"/>
          <w:sz w:val="24"/>
          <w:szCs w:val="24"/>
          <w:highlight w:val="none"/>
        </w:rPr>
        <w:t>。评标委员会按评标原则推荐中标候选人</w:t>
      </w:r>
      <w:r>
        <w:rPr>
          <w:rFonts w:hint="eastAsia" w:ascii="宋体" w:hAnsi="宋体"/>
          <w:color w:val="auto"/>
          <w:sz w:val="24"/>
          <w:szCs w:val="24"/>
          <w:highlight w:val="none"/>
        </w:rPr>
        <w:t>并</w:t>
      </w:r>
      <w:r>
        <w:rPr>
          <w:rFonts w:ascii="宋体" w:hAnsi="宋体"/>
          <w:color w:val="auto"/>
          <w:sz w:val="24"/>
          <w:szCs w:val="24"/>
          <w:highlight w:val="none"/>
        </w:rPr>
        <w:t>起草评标报告。</w:t>
      </w:r>
    </w:p>
    <w:p w14:paraId="00AEBA19">
      <w:pPr>
        <w:snapToGrid w:val="0"/>
        <w:spacing w:line="360" w:lineRule="auto"/>
        <w:ind w:firstLine="482" w:firstLineChars="200"/>
        <w:rPr>
          <w:rFonts w:ascii="宋体"/>
          <w:b/>
          <w:color w:val="auto"/>
          <w:sz w:val="24"/>
          <w:szCs w:val="20"/>
          <w:highlight w:val="none"/>
        </w:rPr>
      </w:pPr>
      <w:r>
        <w:rPr>
          <w:rFonts w:hint="eastAsia" w:ascii="宋体" w:hAnsi="宋体"/>
          <w:b/>
          <w:color w:val="auto"/>
          <w:sz w:val="24"/>
          <w:highlight w:val="none"/>
        </w:rPr>
        <w:t>（四）澄清问题的形式</w:t>
      </w:r>
    </w:p>
    <w:p w14:paraId="1EB306D4">
      <w:pPr>
        <w:snapToGrid w:val="0"/>
        <w:spacing w:line="360" w:lineRule="auto"/>
        <w:ind w:firstLine="480" w:firstLineChars="200"/>
        <w:rPr>
          <w:rFonts w:ascii="宋体"/>
          <w:color w:val="auto"/>
          <w:sz w:val="24"/>
          <w:szCs w:val="20"/>
          <w:highlight w:val="none"/>
        </w:rPr>
      </w:pPr>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w:t>
      </w:r>
      <w:r>
        <w:rPr>
          <w:rFonts w:ascii="宋体"/>
          <w:color w:val="auto"/>
          <w:sz w:val="24"/>
          <w:highlight w:val="none"/>
        </w:rPr>
        <w:t>,</w:t>
      </w:r>
      <w:r>
        <w:rPr>
          <w:rFonts w:hint="eastAsia" w:ascii="宋体" w:hAnsi="宋体"/>
          <w:color w:val="auto"/>
          <w:sz w:val="24"/>
          <w:highlight w:val="none"/>
        </w:rPr>
        <w:t>并在政采云上进行询标答复。投标人的澄清、说明或者补正不得超出投标文件的范围或者改变投标文件的实质性内容。</w:t>
      </w:r>
    </w:p>
    <w:p w14:paraId="775FC9AE">
      <w:pPr>
        <w:pStyle w:val="24"/>
        <w:snapToGrid w:val="0"/>
        <w:spacing w:beforeLines="0" w:afterLines="0" w:line="360" w:lineRule="auto"/>
        <w:ind w:left="720" w:leftChars="228" w:hanging="241" w:hangingChars="100"/>
        <w:rPr>
          <w:rFonts w:hAnsi="宋体"/>
          <w:b/>
          <w:color w:val="auto"/>
          <w:highlight w:val="none"/>
        </w:rPr>
      </w:pPr>
      <w:r>
        <w:rPr>
          <w:rFonts w:hint="eastAsia" w:hAnsi="宋体"/>
          <w:b/>
          <w:color w:val="auto"/>
          <w:highlight w:val="none"/>
        </w:rPr>
        <w:t>（五）错误修正</w:t>
      </w:r>
    </w:p>
    <w:p w14:paraId="0513B14E">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投标文件如果出现计算或表达上的错误，修正错误的原则如下：</w:t>
      </w:r>
    </w:p>
    <w:p w14:paraId="0A0C5ACA">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hint="eastAsia" w:ascii="宋体" w:hAnsi="宋体" w:eastAsia="宋体" w:cs="Times New Roman"/>
          <w:color w:val="auto"/>
          <w:sz w:val="24"/>
          <w:highlight w:val="none"/>
          <w:lang w:eastAsia="zh-CN"/>
        </w:rPr>
        <w:t>电子交易平台客户端里开标一览表录入的投标报价信息与扫描上传的报价文件不一致的，以扫描上传的报价文件为准</w:t>
      </w:r>
      <w:r>
        <w:rPr>
          <w:rFonts w:hint="eastAsia" w:ascii="宋体" w:hAnsi="宋体" w:eastAsia="宋体" w:cs="Times New Roman"/>
          <w:color w:val="auto"/>
          <w:sz w:val="24"/>
          <w:highlight w:val="none"/>
        </w:rPr>
        <w:t>；</w:t>
      </w:r>
    </w:p>
    <w:p w14:paraId="26F7C8FA">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.投标文件中开标一览表（报价表）内容与投标文件中相应内容不一致的，以开标一览表（报价表）为准；</w:t>
      </w:r>
    </w:p>
    <w:p w14:paraId="131B56D9">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.大写金额和小写金额不一致的，以大写金额为准；</w:t>
      </w:r>
    </w:p>
    <w:p w14:paraId="729826D9">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.单价金额小数点或者百分比有明显错位的，以开标一览表的总价为准，并修改单价；</w:t>
      </w:r>
    </w:p>
    <w:p w14:paraId="7AF4E639">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.总价金额与按单价汇总金额不一致的，以单价金额计算结果为准；</w:t>
      </w:r>
    </w:p>
    <w:p w14:paraId="0AA50996">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6.对不同文字文本投标文件的解释发生异议的，以中文文本为准。</w:t>
      </w:r>
    </w:p>
    <w:p w14:paraId="40E5CF18">
      <w:pPr>
        <w:snapToGrid w:val="0"/>
        <w:spacing w:line="360" w:lineRule="auto"/>
        <w:ind w:firstLine="480" w:firstLineChars="200"/>
        <w:rPr>
          <w:rFonts w:hAnsi="宋体"/>
          <w:b/>
          <w:bCs/>
          <w:color w:val="auto"/>
          <w:highlight w:val="none"/>
        </w:rPr>
      </w:pPr>
      <w:r>
        <w:rPr>
          <w:rFonts w:hint="eastAsia" w:ascii="宋体" w:hAnsi="宋体" w:eastAsia="宋体" w:cs="Times New Roman"/>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05D966EE">
      <w:pPr>
        <w:pStyle w:val="24"/>
        <w:tabs>
          <w:tab w:val="left" w:pos="630"/>
        </w:tabs>
        <w:snapToGrid w:val="0"/>
        <w:spacing w:beforeLines="0" w:afterLines="0" w:line="360" w:lineRule="auto"/>
        <w:ind w:firstLine="472" w:firstLineChars="196"/>
        <w:rPr>
          <w:rFonts w:hAnsi="宋体"/>
          <w:b/>
          <w:color w:val="auto"/>
          <w:highlight w:val="none"/>
        </w:rPr>
      </w:pPr>
      <w:r>
        <w:rPr>
          <w:rFonts w:hint="eastAsia" w:hAnsi="宋体"/>
          <w:b/>
          <w:color w:val="auto"/>
          <w:highlight w:val="none"/>
        </w:rPr>
        <w:t>（六）评标原则、办法及依据</w:t>
      </w:r>
    </w:p>
    <w:p w14:paraId="1336E336">
      <w:pPr>
        <w:pStyle w:val="24"/>
        <w:snapToGrid w:val="0"/>
        <w:spacing w:beforeLines="0" w:afterLines="0"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124154A">
      <w:pPr>
        <w:pStyle w:val="24"/>
        <w:snapToGrid w:val="0"/>
        <w:spacing w:beforeLines="0" w:afterLines="0" w:line="360" w:lineRule="auto"/>
        <w:ind w:firstLine="480" w:firstLineChars="200"/>
        <w:rPr>
          <w:rFonts w:hAnsi="宋体"/>
          <w:color w:val="auto"/>
          <w:highlight w:val="none"/>
        </w:rPr>
      </w:pPr>
      <w:r>
        <w:rPr>
          <w:rFonts w:hAnsi="宋体"/>
          <w:color w:val="auto"/>
          <w:highlight w:val="none"/>
        </w:rPr>
        <w:t>2.</w:t>
      </w:r>
      <w:r>
        <w:rPr>
          <w:rFonts w:hint="eastAsia" w:hAnsi="宋体"/>
          <w:color w:val="auto"/>
          <w:highlight w:val="none"/>
        </w:rPr>
        <w:t>评标办法。本项目评标办法是</w:t>
      </w:r>
      <w:r>
        <w:rPr>
          <w:rFonts w:hint="eastAsia" w:hAnsi="宋体"/>
          <w:color w:val="auto"/>
          <w:highlight w:val="none"/>
          <w:u w:val="single"/>
        </w:rPr>
        <w:t>综合评分法</w:t>
      </w:r>
      <w:r>
        <w:rPr>
          <w:rFonts w:hint="eastAsia" w:hAnsi="宋体"/>
          <w:color w:val="auto"/>
          <w:highlight w:val="none"/>
        </w:rPr>
        <w:t>，具体评标内容及评分标准等详见《第四章：评标办法及评分标准》。</w:t>
      </w:r>
    </w:p>
    <w:p w14:paraId="25FE7AF3">
      <w:pPr>
        <w:pStyle w:val="24"/>
        <w:snapToGrid w:val="0"/>
        <w:spacing w:beforeLines="0" w:afterLines="0" w:line="360" w:lineRule="auto"/>
        <w:ind w:firstLine="480" w:firstLineChars="200"/>
        <w:rPr>
          <w:rFonts w:hAnsi="宋体"/>
          <w:color w:val="auto"/>
          <w:highlight w:val="none"/>
        </w:rPr>
      </w:pPr>
      <w:r>
        <w:rPr>
          <w:rFonts w:hAnsi="宋体"/>
          <w:color w:val="auto"/>
          <w:highlight w:val="none"/>
        </w:rPr>
        <w:t>3</w:t>
      </w:r>
      <w:r>
        <w:rPr>
          <w:rFonts w:hint="eastAsia" w:hAnsi="宋体"/>
          <w:color w:val="auto"/>
          <w:highlight w:val="none"/>
        </w:rPr>
        <w:t>、评标依据：评标委员会决定投标的响应性只根据投标文件的内容，而不寻求外部的证据。</w:t>
      </w:r>
    </w:p>
    <w:p w14:paraId="6CD2F415">
      <w:pPr>
        <w:pStyle w:val="24"/>
        <w:snapToGrid w:val="0"/>
        <w:spacing w:beforeLines="0" w:afterLines="0" w:line="360" w:lineRule="auto"/>
        <w:ind w:firstLine="472" w:firstLineChars="196"/>
        <w:rPr>
          <w:rFonts w:hAnsi="宋体"/>
          <w:b/>
          <w:color w:val="auto"/>
          <w:highlight w:val="none"/>
        </w:rPr>
      </w:pPr>
      <w:r>
        <w:rPr>
          <w:rFonts w:hint="eastAsia" w:hAnsi="宋体"/>
          <w:b/>
          <w:color w:val="auto"/>
          <w:highlight w:val="none"/>
        </w:rPr>
        <w:t>（七）评标过程的监控</w:t>
      </w:r>
    </w:p>
    <w:p w14:paraId="68385EE7">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14:paraId="144E9CAB">
      <w:pPr>
        <w:pStyle w:val="39"/>
        <w:adjustRightInd w:val="0"/>
        <w:snapToGrid w:val="0"/>
        <w:spacing w:beforeAutospacing="0" w:afterAutospacing="0" w:line="360" w:lineRule="auto"/>
        <w:ind w:firstLine="482" w:firstLineChars="200"/>
        <w:rPr>
          <w:rFonts w:hint="eastAsia"/>
          <w:b/>
          <w:color w:val="auto"/>
          <w:kern w:val="2"/>
          <w:highlight w:val="none"/>
        </w:rPr>
      </w:pPr>
      <w:r>
        <w:rPr>
          <w:rFonts w:hint="eastAsia"/>
          <w:b/>
          <w:color w:val="auto"/>
          <w:kern w:val="2"/>
          <w:highlight w:val="none"/>
        </w:rPr>
        <w:t>（八）评审纪律和要求</w:t>
      </w:r>
    </w:p>
    <w:p w14:paraId="67662BAB">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1.评审专家必须公平、公正评审，遵纪守法，客观、廉洁地履行职责。</w:t>
      </w:r>
    </w:p>
    <w:p w14:paraId="4FFD4BED">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2.评审专家在评审开始前，应关闭并上交随身携带的各种通信工具。</w:t>
      </w:r>
    </w:p>
    <w:p w14:paraId="4FCB3753">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3.评审专家在评审过程中，未经许可不得中途离开评审现场，不得迟到早退。</w:t>
      </w:r>
    </w:p>
    <w:p w14:paraId="6D8A2BA3">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4.评审专家和工作人员不得透露评审过程中的讨论情况和评审结果。</w:t>
      </w:r>
    </w:p>
    <w:p w14:paraId="3F3C9425">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77A1E90">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6.采购人、采购代理机构不得向评审委员会的评审专家作倾向性、误导性的解释或者说明。</w:t>
      </w:r>
    </w:p>
    <w:p w14:paraId="572E3C3A">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92DE422">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8.评审专家在评审过程中不得将自己的观点强加给其他评审专家，评审专家应自主发表见解，对评审意见承担个人责任。</w:t>
      </w:r>
    </w:p>
    <w:p w14:paraId="04788ADF">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0A8DA8E">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61FE01DC">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11.评审专家应当遵守评审工作纪律，不得泄露评审文件、评审情况和评审中获悉的商业秘密。</w:t>
      </w:r>
    </w:p>
    <w:p w14:paraId="38B05E49">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评审委员会在评审过程中发现投标人有行贿、提供虚假材料或者串通等违法行为的，应当及时向财政部门报告。</w:t>
      </w:r>
    </w:p>
    <w:p w14:paraId="1F075DBA">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12.招标文件内容违反国家有关强制性规定的，评审委员会应当停止评审并向采购代理机构说明情况。</w:t>
      </w:r>
    </w:p>
    <w:p w14:paraId="216C7014">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13.评审专家应当配合采购代理机构答复投标人提出的质疑。</w:t>
      </w:r>
    </w:p>
    <w:p w14:paraId="3FE73FA9">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14.评审专家应当配合财政部门的投诉处理工作。</w:t>
      </w:r>
    </w:p>
    <w:p w14:paraId="5F9A4BBC">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15.评审专家有如下行为之一的，责令改正，给予警告，可以并处一千元以下的罚款：</w:t>
      </w:r>
    </w:p>
    <w:p w14:paraId="743495CC">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①明知应当回避而未主动回避的；</w:t>
      </w:r>
    </w:p>
    <w:p w14:paraId="3D7D4E91">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②在得知自己为评审专家身份后至评审结束前时段内私下接触投标人的；</w:t>
      </w:r>
    </w:p>
    <w:p w14:paraId="44A4A704">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③在评审过程中擅离职守，影响评审程序正常进行的；</w:t>
      </w:r>
    </w:p>
    <w:p w14:paraId="17C15055">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④在评审过程有明显不合理或者不正当倾向性的；</w:t>
      </w:r>
    </w:p>
    <w:p w14:paraId="4E0C1729">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⑤未按招标文件规定的评审方法和标准进行评审的。</w:t>
      </w:r>
    </w:p>
    <w:p w14:paraId="4D1AC371">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⑥上述①至⑤行为影响中标结果的，中标结果无效。</w:t>
      </w:r>
    </w:p>
    <w:p w14:paraId="4C394401">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BA761E1">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政府采购评审专家与投标人存在利害关系未回避的，处2万元以上5万元以下的罚款，禁止其参加政府采购评审活动。</w:t>
      </w:r>
    </w:p>
    <w:p w14:paraId="091D14D6">
      <w:pPr>
        <w:pStyle w:val="24"/>
        <w:snapToGrid w:val="0"/>
        <w:spacing w:beforeLines="0" w:afterLines="0" w:line="360" w:lineRule="auto"/>
        <w:ind w:firstLine="480" w:firstLineChars="200"/>
        <w:rPr>
          <w:rFonts w:hint="eastAsia" w:hAnsi="宋体"/>
          <w:color w:val="auto"/>
          <w:highlight w:val="none"/>
        </w:rPr>
      </w:pPr>
      <w:r>
        <w:rPr>
          <w:rFonts w:hint="eastAsia" w:hAnsi="宋体"/>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27B9D467">
      <w:pPr>
        <w:pStyle w:val="24"/>
        <w:snapToGrid w:val="0"/>
        <w:spacing w:beforeLines="0" w:afterLines="0" w:line="360" w:lineRule="auto"/>
        <w:ind w:firstLine="480" w:firstLineChars="200"/>
        <w:rPr>
          <w:rFonts w:hint="eastAsia" w:ascii="宋体" w:hAnsi="宋体" w:eastAsia="宋体" w:cs="Times New Roman"/>
          <w:color w:val="auto"/>
          <w:highlight w:val="none"/>
        </w:rPr>
      </w:pPr>
      <w:r>
        <w:rPr>
          <w:rFonts w:hint="eastAsia" w:hAnsi="宋体"/>
          <w:color w:val="auto"/>
          <w:highlight w:val="none"/>
        </w:rPr>
        <w:t>政府采购评审专家</w:t>
      </w:r>
      <w:r>
        <w:rPr>
          <w:rFonts w:hint="eastAsia" w:ascii="宋体" w:hAnsi="宋体" w:eastAsia="宋体" w:cs="Times New Roman"/>
          <w:color w:val="auto"/>
          <w:highlight w:val="none"/>
        </w:rPr>
        <w:t>有上述违法行为的，其评审意见无效，不得获取评审费；有违法所得的，没收违法所得；给他人造成损失的，依法承担民事责任。</w:t>
      </w:r>
    </w:p>
    <w:p w14:paraId="1FA3CDEE">
      <w:pPr>
        <w:pStyle w:val="24"/>
        <w:snapToGrid w:val="0"/>
        <w:spacing w:beforeLines="0" w:afterLines="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17.评标办法。本项目评标办法是：综合评分法 ，具体评标内容及评分标准等详见《第四章：评标办法及评分标准》。</w:t>
      </w:r>
    </w:p>
    <w:p w14:paraId="6B53B497">
      <w:pPr>
        <w:pStyle w:val="39"/>
        <w:adjustRightInd w:val="0"/>
        <w:snapToGrid w:val="0"/>
        <w:spacing w:beforeAutospacing="0" w:afterAutospacing="0" w:line="360" w:lineRule="auto"/>
        <w:ind w:firstLine="482" w:firstLineChars="200"/>
        <w:rPr>
          <w:rFonts w:hint="eastAsia" w:ascii="宋体" w:hAnsi="宋体" w:eastAsia="宋体" w:cs="Times New Roman"/>
          <w:b/>
          <w:color w:val="auto"/>
          <w:kern w:val="2"/>
          <w:highlight w:val="none"/>
        </w:rPr>
      </w:pPr>
      <w:r>
        <w:rPr>
          <w:rFonts w:hint="eastAsia" w:ascii="宋体" w:hAnsi="宋体" w:eastAsia="宋体" w:cs="Times New Roman"/>
          <w:b/>
          <w:color w:val="auto"/>
          <w:kern w:val="2"/>
          <w:highlight w:val="none"/>
        </w:rPr>
        <w:t>（</w:t>
      </w:r>
      <w:r>
        <w:rPr>
          <w:rFonts w:hint="eastAsia" w:ascii="宋体" w:hAnsi="宋体" w:eastAsia="宋体" w:cs="Times New Roman"/>
          <w:b/>
          <w:color w:val="auto"/>
          <w:kern w:val="2"/>
          <w:highlight w:val="none"/>
          <w:lang w:eastAsia="zh-CN"/>
        </w:rPr>
        <w:t>九</w:t>
      </w:r>
      <w:r>
        <w:rPr>
          <w:rFonts w:hint="eastAsia" w:ascii="宋体" w:hAnsi="宋体" w:eastAsia="宋体" w:cs="Times New Roman"/>
          <w:b/>
          <w:color w:val="auto"/>
          <w:kern w:val="2"/>
          <w:highlight w:val="none"/>
        </w:rPr>
        <w:t>）其他</w:t>
      </w:r>
    </w:p>
    <w:p w14:paraId="3568C22D">
      <w:pPr>
        <w:pStyle w:val="24"/>
        <w:snapToGrid w:val="0"/>
        <w:spacing w:beforeLines="0" w:afterLines="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采购过程中出现以下情形，导致电子交易平台无法正常运行，或者无法保证电子交易的公平、公正和安全时，采购组织机构可中止电子交易活动：</w:t>
      </w:r>
    </w:p>
    <w:p w14:paraId="1BBC159F">
      <w:pPr>
        <w:pStyle w:val="24"/>
        <w:snapToGrid w:val="0"/>
        <w:spacing w:beforeLines="0" w:afterLines="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1、电子交易平台发生故障而无法登录访问的；</w:t>
      </w:r>
    </w:p>
    <w:p w14:paraId="28486192">
      <w:pPr>
        <w:pStyle w:val="24"/>
        <w:snapToGrid w:val="0"/>
        <w:spacing w:beforeLines="0" w:afterLines="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2、电子交易平台应用或数据库出现错误，不能进行正常操作的；</w:t>
      </w:r>
    </w:p>
    <w:p w14:paraId="5F41380C">
      <w:pPr>
        <w:pStyle w:val="24"/>
        <w:snapToGrid w:val="0"/>
        <w:spacing w:beforeLines="0" w:afterLines="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3、电子交易平台发现严重安全漏洞，有潜在泄密危险的；</w:t>
      </w:r>
    </w:p>
    <w:p w14:paraId="33D13A3E">
      <w:pPr>
        <w:pStyle w:val="24"/>
        <w:snapToGrid w:val="0"/>
        <w:spacing w:beforeLines="0" w:afterLines="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4、病毒发作导致不能进行正常操作的；</w:t>
      </w:r>
    </w:p>
    <w:p w14:paraId="128A7B71">
      <w:pPr>
        <w:pStyle w:val="24"/>
        <w:snapToGrid w:val="0"/>
        <w:spacing w:beforeLines="0" w:afterLines="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5、其他无法保证电子交易的公平、公正和安全的情况。</w:t>
      </w:r>
    </w:p>
    <w:p w14:paraId="14A0FE0F">
      <w:pPr>
        <w:pStyle w:val="24"/>
        <w:snapToGrid w:val="0"/>
        <w:spacing w:beforeLines="0" w:afterLines="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出现前款规定情形，不影响采购公平、公正性的，采购组织机构可以待上述情形消除后继续组织电子交易活动；影响或可能影响采购公平、公正性的，应当重新采购。</w:t>
      </w:r>
    </w:p>
    <w:p w14:paraId="6EDF8C4C">
      <w:pPr>
        <w:pStyle w:val="24"/>
        <w:keepNext w:val="0"/>
        <w:keepLines w:val="0"/>
        <w:pageBreakBefore w:val="0"/>
        <w:widowControl w:val="0"/>
        <w:kinsoku/>
        <w:wordWrap/>
        <w:overflowPunct/>
        <w:topLinePunct w:val="0"/>
        <w:autoSpaceDE/>
        <w:autoSpaceDN/>
        <w:bidi w:val="0"/>
        <w:adjustRightInd/>
        <w:snapToGrid w:val="0"/>
        <w:spacing w:beforeLines="0" w:afterLines="0" w:line="336" w:lineRule="auto"/>
        <w:ind w:firstLine="551" w:firstLineChars="196"/>
        <w:textAlignment w:val="auto"/>
        <w:outlineLvl w:val="1"/>
        <w:rPr>
          <w:rFonts w:hAnsi="宋体"/>
          <w:b/>
          <w:color w:val="auto"/>
          <w:sz w:val="28"/>
          <w:szCs w:val="28"/>
          <w:highlight w:val="none"/>
        </w:rPr>
      </w:pPr>
      <w:r>
        <w:rPr>
          <w:rFonts w:hint="eastAsia" w:hAnsi="宋体"/>
          <w:b/>
          <w:color w:val="auto"/>
          <w:sz w:val="28"/>
          <w:szCs w:val="28"/>
          <w:highlight w:val="none"/>
        </w:rPr>
        <w:t>六、定标</w:t>
      </w:r>
    </w:p>
    <w:p w14:paraId="434DAB6C">
      <w:pPr>
        <w:pStyle w:val="24"/>
        <w:snapToGrid w:val="0"/>
        <w:spacing w:before="120" w:after="120" w:line="360" w:lineRule="auto"/>
        <w:ind w:firstLine="472" w:firstLineChars="196"/>
        <w:outlineLvl w:val="1"/>
        <w:rPr>
          <w:rFonts w:hAnsi="宋体"/>
          <w:b/>
          <w:bCs/>
          <w:color w:val="auto"/>
          <w:highlight w:val="none"/>
        </w:rPr>
      </w:pPr>
      <w:r>
        <w:rPr>
          <w:rFonts w:hint="eastAsia" w:hAnsi="宋体"/>
          <w:b/>
          <w:bCs/>
          <w:color w:val="auto"/>
          <w:highlight w:val="none"/>
        </w:rPr>
        <w:t>（一）确定中标人。本项目由采购人或者采购人授权评标委员会确定中标人。</w:t>
      </w:r>
    </w:p>
    <w:p w14:paraId="2D6F45FA">
      <w:pPr>
        <w:pStyle w:val="24"/>
        <w:snapToGrid w:val="0"/>
        <w:spacing w:before="120" w:after="120" w:line="360" w:lineRule="auto"/>
        <w:ind w:firstLine="480" w:firstLineChars="200"/>
        <w:rPr>
          <w:rFonts w:hAnsi="宋体"/>
          <w:color w:val="auto"/>
          <w:highlight w:val="none"/>
        </w:rPr>
      </w:pPr>
      <w:r>
        <w:rPr>
          <w:rFonts w:hint="eastAsia" w:hAnsi="宋体"/>
          <w:color w:val="auto"/>
          <w:highlight w:val="none"/>
        </w:rPr>
        <w:t>1．排名第一的候选供应商，因自身原因放弃中标成交或因不可抗力不能履行合同的，</w:t>
      </w:r>
      <w:r>
        <w:rPr>
          <w:rFonts w:hAnsi="宋体"/>
          <w:color w:val="auto"/>
          <w:highlight w:val="none"/>
        </w:rPr>
        <w:t>采购人</w:t>
      </w:r>
      <w:r>
        <w:rPr>
          <w:rFonts w:hint="eastAsia" w:hAnsi="宋体"/>
          <w:color w:val="auto"/>
          <w:highlight w:val="none"/>
        </w:rPr>
        <w:t>或者采购人授权的评标委员会</w:t>
      </w:r>
      <w:r>
        <w:rPr>
          <w:rFonts w:hAnsi="宋体"/>
          <w:color w:val="auto"/>
          <w:highlight w:val="none"/>
        </w:rPr>
        <w:t>可以按照评审报告推荐的中标或者成交候选人名单排序，确定下一候选人为中标或者成交供应商，也可以重新开展政府采购活动。</w:t>
      </w:r>
    </w:p>
    <w:p w14:paraId="661A0405">
      <w:pPr>
        <w:pStyle w:val="24"/>
        <w:snapToGrid w:val="0"/>
        <w:spacing w:before="120" w:after="120" w:line="360" w:lineRule="auto"/>
        <w:ind w:firstLine="480" w:firstLineChars="200"/>
        <w:rPr>
          <w:rFonts w:hint="eastAsia" w:hAnsi="宋体"/>
          <w:color w:val="auto"/>
          <w:highlight w:val="none"/>
        </w:rPr>
      </w:pPr>
      <w:r>
        <w:rPr>
          <w:rFonts w:hint="eastAsia" w:hAnsi="宋体"/>
          <w:color w:val="auto"/>
          <w:highlight w:val="none"/>
        </w:rPr>
        <w:t>2.经质疑，采购组织机构审查确认因排名第一的候选供应商在本次采购活动中存在违法违规行为或其他原因使质疑成立的，依照相关法律法规有关规定执行。</w:t>
      </w:r>
    </w:p>
    <w:p w14:paraId="120533D7">
      <w:pPr>
        <w:pStyle w:val="24"/>
        <w:snapToGrid w:val="0"/>
        <w:spacing w:before="120" w:after="120" w:line="360" w:lineRule="auto"/>
        <w:ind w:firstLine="480" w:firstLineChars="200"/>
        <w:rPr>
          <w:rFonts w:hint="eastAsia" w:hAnsi="宋体" w:cs="宋体"/>
          <w:color w:val="auto"/>
          <w:highlight w:val="none"/>
        </w:rPr>
      </w:pPr>
      <w:r>
        <w:rPr>
          <w:rFonts w:hint="eastAsia" w:hAnsi="宋体" w:cs="宋体"/>
          <w:color w:val="auto"/>
          <w:highlight w:val="none"/>
        </w:rPr>
        <w:t>3.采购人应当自收到评审报告之日起5个工作日内在评审报告推荐的中标或者成交候选人中按顺序确定中标或者成交供应商。如有投标人对评标结果提出质疑的，采购人可在质疑处理完毕后确定中标人。</w:t>
      </w:r>
    </w:p>
    <w:p w14:paraId="1F8E8E5F">
      <w:pPr>
        <w:pStyle w:val="24"/>
        <w:snapToGrid w:val="0"/>
        <w:spacing w:before="120" w:after="120" w:line="360" w:lineRule="auto"/>
        <w:ind w:firstLine="480" w:firstLineChars="200"/>
        <w:rPr>
          <w:rFonts w:hint="eastAsia" w:hAnsi="宋体" w:cs="宋体"/>
          <w:bCs/>
          <w:color w:val="auto"/>
          <w:highlight w:val="none"/>
        </w:rPr>
      </w:pPr>
      <w:r>
        <w:rPr>
          <w:rFonts w:hint="eastAsia" w:hAnsi="宋体" w:cs="宋体"/>
          <w:color w:val="auto"/>
          <w:highlight w:val="none"/>
        </w:rPr>
        <w:t>4.采购人或者采购代理机构应当自中标、成交供应商确定之日起2个工作日内，发出中标、成交通知书，并在省级以上人民政府财政部门指定的媒体上公告中标、成交结果。</w:t>
      </w:r>
    </w:p>
    <w:p w14:paraId="0D14F3F4">
      <w:pPr>
        <w:pStyle w:val="24"/>
        <w:keepNext w:val="0"/>
        <w:keepLines w:val="0"/>
        <w:pageBreakBefore w:val="0"/>
        <w:widowControl w:val="0"/>
        <w:kinsoku/>
        <w:wordWrap/>
        <w:overflowPunct/>
        <w:topLinePunct w:val="0"/>
        <w:autoSpaceDE/>
        <w:autoSpaceDN/>
        <w:bidi w:val="0"/>
        <w:adjustRightInd/>
        <w:snapToGrid w:val="0"/>
        <w:spacing w:beforeLines="0" w:afterLines="0" w:line="336" w:lineRule="auto"/>
        <w:ind w:firstLine="551" w:firstLineChars="196"/>
        <w:textAlignment w:val="auto"/>
        <w:outlineLvl w:val="1"/>
        <w:rPr>
          <w:rFonts w:hAnsi="宋体"/>
          <w:b/>
          <w:color w:val="auto"/>
          <w:sz w:val="28"/>
          <w:szCs w:val="28"/>
          <w:highlight w:val="none"/>
        </w:rPr>
      </w:pPr>
      <w:r>
        <w:rPr>
          <w:rFonts w:hint="eastAsia" w:hAnsi="宋体"/>
          <w:b/>
          <w:color w:val="auto"/>
          <w:sz w:val="28"/>
          <w:szCs w:val="28"/>
          <w:highlight w:val="none"/>
        </w:rPr>
        <w:t>七、合同授予</w:t>
      </w:r>
    </w:p>
    <w:p w14:paraId="5EFBAC0E">
      <w:pPr>
        <w:snapToGrid w:val="0"/>
        <w:spacing w:line="360" w:lineRule="auto"/>
        <w:ind w:firstLine="472" w:firstLineChars="196"/>
        <w:rPr>
          <w:rFonts w:ascii="宋体" w:hAnsi="宋体"/>
          <w:b/>
          <w:bCs/>
          <w:color w:val="auto"/>
          <w:sz w:val="24"/>
          <w:szCs w:val="20"/>
          <w:highlight w:val="none"/>
        </w:rPr>
      </w:pPr>
      <w:r>
        <w:rPr>
          <w:rFonts w:hint="eastAsia" w:ascii="宋体" w:hAnsi="宋体"/>
          <w:b/>
          <w:bCs/>
          <w:color w:val="auto"/>
          <w:sz w:val="24"/>
          <w:highlight w:val="none"/>
        </w:rPr>
        <w:t>1</w:t>
      </w:r>
      <w:r>
        <w:rPr>
          <w:rFonts w:hint="eastAsia" w:ascii="宋体" w:hAnsi="宋体" w:cs="宋体"/>
          <w:b/>
          <w:color w:val="auto"/>
          <w:sz w:val="24"/>
          <w:highlight w:val="none"/>
        </w:rPr>
        <w:t xml:space="preserve">. </w:t>
      </w:r>
      <w:r>
        <w:rPr>
          <w:rFonts w:hint="eastAsia" w:ascii="宋体" w:hAnsi="宋体"/>
          <w:b/>
          <w:bCs/>
          <w:color w:val="auto"/>
          <w:sz w:val="24"/>
          <w:highlight w:val="none"/>
        </w:rPr>
        <w:t>签订合同</w:t>
      </w:r>
    </w:p>
    <w:p w14:paraId="3A1E0B0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1.1除不可抗力等特殊情况外，采购人原则上应当在中标通知书发出之日起20日内，与成交人按照采购文件确定的事项签订政府采购合同，并在签订之日起2个工作日</w:t>
      </w:r>
      <w:r>
        <w:rPr>
          <w:rFonts w:hint="eastAsia" w:ascii="宋体" w:hAnsi="宋体" w:cs="宋体"/>
          <w:color w:val="auto"/>
          <w:sz w:val="24"/>
          <w:highlight w:val="none"/>
        </w:rPr>
        <w:t>内将政府采购合同在浙江政府采购网上公告。</w:t>
      </w:r>
    </w:p>
    <w:p w14:paraId="70D86856">
      <w:pPr>
        <w:pStyle w:val="122"/>
        <w:adjustRightInd w:val="0"/>
        <w:snapToGrid w:val="0"/>
        <w:spacing w:before="120" w:after="120"/>
        <w:rPr>
          <w:rFonts w:hint="eastAsia" w:ascii="宋体" w:hAnsi="宋体" w:cs="宋体"/>
          <w:color w:val="auto"/>
          <w:kern w:val="0"/>
          <w:szCs w:val="24"/>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4C2722F2">
      <w:pPr>
        <w:pStyle w:val="122"/>
        <w:adjustRightInd w:val="0"/>
        <w:snapToGrid w:val="0"/>
        <w:spacing w:before="120" w:after="120"/>
        <w:rPr>
          <w:rFonts w:hint="eastAsia" w:ascii="宋体" w:hAnsi="宋体" w:cs="宋体"/>
          <w:color w:val="auto"/>
          <w:szCs w:val="24"/>
          <w:highlight w:val="none"/>
        </w:rPr>
      </w:pPr>
      <w:r>
        <w:rPr>
          <w:rFonts w:hint="eastAsia" w:ascii="宋体" w:hAnsi="宋体" w:cs="宋体"/>
          <w:color w:val="auto"/>
          <w:szCs w:val="24"/>
          <w:highlight w:val="none"/>
        </w:rPr>
        <w:t>1.3如签订合同并生效后，供应商无故拒绝或延期，除按照合同条款处理外，列入不良行为记录一次，并给予通报。</w:t>
      </w:r>
    </w:p>
    <w:p w14:paraId="12664AC0">
      <w:pPr>
        <w:pStyle w:val="122"/>
        <w:adjustRightInd w:val="0"/>
        <w:snapToGrid w:val="0"/>
        <w:spacing w:before="120" w:after="120"/>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1.4成交人拒绝与采购人签订合同的，采购人可以按照评审报告推荐的中标或者成交候选人名单排序，确定下一候选人为成交人，也可以重新开展政府采购活动。</w:t>
      </w:r>
    </w:p>
    <w:p w14:paraId="31B6B919">
      <w:pPr>
        <w:pStyle w:val="122"/>
        <w:adjustRightInd w:val="0"/>
        <w:snapToGrid w:val="0"/>
        <w:spacing w:before="120" w:after="120"/>
        <w:ind w:firstLine="482"/>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cs="宋体"/>
          <w:b w:val="0"/>
          <w:bCs w:val="0"/>
          <w:color w:val="auto"/>
          <w:szCs w:val="24"/>
          <w:highlight w:val="none"/>
        </w:rPr>
        <w:t>1.5政府采购货物和服务项目不得收取质量保证金。政府采购工程以及与工程建设有</w:t>
      </w:r>
      <w:r>
        <w:rPr>
          <w:rFonts w:hint="eastAsia" w:ascii="宋体" w:hAnsi="宋体" w:eastAsia="宋体" w:cs="宋体"/>
          <w:b w:val="0"/>
          <w:bCs w:val="0"/>
          <w:color w:val="auto"/>
          <w:spacing w:val="0"/>
          <w:kern w:val="2"/>
          <w:sz w:val="24"/>
          <w:szCs w:val="24"/>
          <w:highlight w:val="none"/>
          <w:lang w:val="en-US" w:eastAsia="zh-CN" w:bidi="ar-SA"/>
        </w:rPr>
        <w:t>关的货物、服务，采用招标方式采购的，按国家和省有关规定执行。</w:t>
      </w:r>
    </w:p>
    <w:p w14:paraId="596E3107">
      <w:pPr>
        <w:pStyle w:val="20"/>
        <w:adjustRightInd w:val="0"/>
        <w:snapToGrid w:val="0"/>
        <w:spacing w:line="360" w:lineRule="auto"/>
        <w:ind w:left="403" w:leftChars="192" w:firstLine="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 履约保证金</w:t>
      </w:r>
    </w:p>
    <w:p w14:paraId="411B834D">
      <w:pPr>
        <w:pStyle w:val="20"/>
        <w:adjustRightInd w:val="0"/>
        <w:snapToGrid w:val="0"/>
        <w:spacing w:line="360" w:lineRule="auto"/>
        <w:ind w:left="403" w:leftChars="192" w:firstLine="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本项目无需缴纳履约保证金。</w:t>
      </w:r>
    </w:p>
    <w:p w14:paraId="0750C814">
      <w:pPr>
        <w:pStyle w:val="24"/>
        <w:keepNext w:val="0"/>
        <w:keepLines w:val="0"/>
        <w:pageBreakBefore w:val="0"/>
        <w:kinsoku/>
        <w:wordWrap/>
        <w:overflowPunct/>
        <w:topLinePunct w:val="0"/>
        <w:autoSpaceDE/>
        <w:autoSpaceDN/>
        <w:bidi w:val="0"/>
        <w:adjustRightInd w:val="0"/>
        <w:snapToGrid w:val="0"/>
        <w:spacing w:before="120" w:after="120" w:line="400" w:lineRule="exact"/>
        <w:ind w:firstLine="241" w:firstLineChars="100"/>
        <w:contextualSpacing/>
        <w:textAlignment w:val="auto"/>
        <w:rPr>
          <w:rFonts w:hint="eastAsia" w:hAnsi="宋体" w:cs="宋体"/>
          <w:b/>
          <w:color w:val="auto"/>
          <w:highlight w:val="none"/>
        </w:rPr>
      </w:pPr>
      <w:r>
        <w:rPr>
          <w:rFonts w:hint="eastAsia" w:hAnsi="宋体" w:cs="宋体"/>
          <w:b/>
          <w:color w:val="auto"/>
          <w:highlight w:val="none"/>
        </w:rPr>
        <w:t>八、公共资源交易领域涉黑涉恶举报</w:t>
      </w:r>
    </w:p>
    <w:p w14:paraId="60B7F9A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01D25A0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市扫黑办 ：0579-86655381              市公安局 ：110、0579-86096000</w:t>
      </w:r>
    </w:p>
    <w:p w14:paraId="2A10B7A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市检察院 : 0579-86642000              市 法 院 ：0579-86620148</w:t>
      </w:r>
    </w:p>
    <w:p w14:paraId="509D155B">
      <w:pPr>
        <w:adjustRightInd w:val="0"/>
        <w:spacing w:line="360" w:lineRule="exact"/>
        <w:ind w:firstLine="480" w:firstLineChars="200"/>
        <w:rPr>
          <w:rFonts w:hint="eastAsia" w:hAnsi="宋体" w:cs="宋体"/>
          <w:b/>
          <w:bCs/>
          <w:color w:val="auto"/>
          <w:sz w:val="32"/>
          <w:szCs w:val="32"/>
          <w:highlight w:val="none"/>
        </w:rPr>
      </w:pPr>
      <w:r>
        <w:rPr>
          <w:rFonts w:hint="eastAsia" w:ascii="宋体" w:hAnsi="宋体" w:cs="宋体"/>
          <w:color w:val="auto"/>
          <w:sz w:val="24"/>
          <w:highlight w:val="none"/>
        </w:rPr>
        <w:t xml:space="preserve">市公共资源办:0579-86691835            市公共资源交易中心:0579-86691729 </w:t>
      </w:r>
    </w:p>
    <w:p w14:paraId="69F74AA6">
      <w:pPr>
        <w:pStyle w:val="24"/>
        <w:snapToGrid w:val="0"/>
        <w:spacing w:before="120" w:after="120" w:line="360" w:lineRule="auto"/>
        <w:jc w:val="center"/>
        <w:rPr>
          <w:rFonts w:hint="eastAsia" w:ascii="黑体" w:hAnsi="宋体" w:eastAsia="黑体"/>
          <w:b/>
          <w:bCs/>
          <w:color w:val="auto"/>
          <w:sz w:val="32"/>
          <w:szCs w:val="32"/>
          <w:highlight w:val="none"/>
        </w:rPr>
      </w:pPr>
    </w:p>
    <w:p w14:paraId="68E90947">
      <w:pPr>
        <w:pStyle w:val="24"/>
        <w:snapToGrid w:val="0"/>
        <w:spacing w:before="120" w:after="120" w:line="360" w:lineRule="auto"/>
        <w:jc w:val="center"/>
        <w:rPr>
          <w:rFonts w:hint="eastAsia" w:ascii="黑体" w:hAnsi="宋体" w:eastAsia="黑体"/>
          <w:b/>
          <w:bCs/>
          <w:color w:val="auto"/>
          <w:sz w:val="32"/>
          <w:szCs w:val="32"/>
          <w:highlight w:val="none"/>
        </w:rPr>
      </w:pPr>
    </w:p>
    <w:p w14:paraId="4FB5D617">
      <w:pPr>
        <w:pStyle w:val="25"/>
        <w:rPr>
          <w:rFonts w:hint="eastAsia"/>
          <w:color w:val="auto"/>
          <w:highlight w:val="none"/>
        </w:rPr>
      </w:pPr>
    </w:p>
    <w:p w14:paraId="6F57C1B7">
      <w:pPr>
        <w:pStyle w:val="40"/>
        <w:jc w:val="both"/>
        <w:rPr>
          <w:rFonts w:hint="eastAsia"/>
          <w:color w:val="auto"/>
          <w:highlight w:val="none"/>
        </w:rPr>
      </w:pPr>
    </w:p>
    <w:p w14:paraId="1A8D5D33">
      <w:pPr>
        <w:rPr>
          <w:rFonts w:hint="eastAsia"/>
          <w:color w:val="auto"/>
          <w:highlight w:val="none"/>
        </w:rPr>
      </w:pPr>
    </w:p>
    <w:p w14:paraId="0BD14B3A">
      <w:pPr>
        <w:pStyle w:val="42"/>
        <w:rPr>
          <w:rFonts w:hint="eastAsia"/>
          <w:color w:val="auto"/>
          <w:highlight w:val="none"/>
        </w:rPr>
      </w:pPr>
    </w:p>
    <w:p w14:paraId="3781ADBF">
      <w:pPr>
        <w:pStyle w:val="34"/>
        <w:rPr>
          <w:rFonts w:hint="eastAsia"/>
          <w:color w:val="auto"/>
          <w:highlight w:val="none"/>
        </w:rPr>
      </w:pPr>
    </w:p>
    <w:p w14:paraId="34706388">
      <w:pPr>
        <w:rPr>
          <w:rFonts w:hint="eastAsia"/>
          <w:color w:val="auto"/>
          <w:highlight w:val="none"/>
        </w:rPr>
      </w:pPr>
    </w:p>
    <w:p w14:paraId="7D572EE3">
      <w:pPr>
        <w:pStyle w:val="42"/>
        <w:rPr>
          <w:rFonts w:hint="eastAsia"/>
          <w:color w:val="auto"/>
          <w:highlight w:val="none"/>
        </w:rPr>
      </w:pPr>
    </w:p>
    <w:p w14:paraId="4E7C91D9">
      <w:pPr>
        <w:pStyle w:val="34"/>
        <w:rPr>
          <w:rFonts w:hint="eastAsia"/>
          <w:color w:val="auto"/>
          <w:highlight w:val="none"/>
        </w:rPr>
      </w:pPr>
    </w:p>
    <w:p w14:paraId="1AA342D6">
      <w:pPr>
        <w:rPr>
          <w:rFonts w:hint="eastAsia"/>
          <w:color w:val="auto"/>
          <w:highlight w:val="none"/>
        </w:rPr>
      </w:pPr>
    </w:p>
    <w:p w14:paraId="36FCDA6D">
      <w:pPr>
        <w:pStyle w:val="42"/>
        <w:rPr>
          <w:rFonts w:hint="eastAsia"/>
          <w:color w:val="auto"/>
          <w:highlight w:val="none"/>
        </w:rPr>
      </w:pPr>
    </w:p>
    <w:p w14:paraId="0F9EC520">
      <w:pPr>
        <w:pStyle w:val="34"/>
        <w:rPr>
          <w:rFonts w:hint="eastAsia"/>
          <w:color w:val="auto"/>
          <w:highlight w:val="none"/>
        </w:rPr>
      </w:pPr>
    </w:p>
    <w:p w14:paraId="20581365">
      <w:pPr>
        <w:rPr>
          <w:rFonts w:hint="eastAsia"/>
          <w:color w:val="auto"/>
          <w:highlight w:val="none"/>
        </w:rPr>
      </w:pPr>
    </w:p>
    <w:p w14:paraId="7A7AB7B6">
      <w:pPr>
        <w:pStyle w:val="42"/>
        <w:rPr>
          <w:rFonts w:hint="eastAsia"/>
          <w:color w:val="auto"/>
          <w:highlight w:val="none"/>
        </w:rPr>
      </w:pPr>
    </w:p>
    <w:p w14:paraId="44D3FF05">
      <w:pPr>
        <w:pStyle w:val="34"/>
        <w:rPr>
          <w:rFonts w:hint="eastAsia"/>
          <w:color w:val="auto"/>
          <w:highlight w:val="none"/>
        </w:rPr>
      </w:pPr>
    </w:p>
    <w:p w14:paraId="6F8C1761">
      <w:pPr>
        <w:rPr>
          <w:rFonts w:hint="eastAsia"/>
          <w:color w:val="auto"/>
          <w:highlight w:val="none"/>
        </w:rPr>
      </w:pPr>
    </w:p>
    <w:p w14:paraId="31EAB88E">
      <w:pPr>
        <w:pStyle w:val="42"/>
        <w:rPr>
          <w:rFonts w:hint="eastAsia"/>
          <w:color w:val="auto"/>
          <w:highlight w:val="none"/>
        </w:rPr>
      </w:pPr>
    </w:p>
    <w:p w14:paraId="2297F628">
      <w:pPr>
        <w:pStyle w:val="34"/>
        <w:rPr>
          <w:rFonts w:hint="eastAsia"/>
          <w:color w:val="auto"/>
          <w:highlight w:val="none"/>
        </w:rPr>
      </w:pPr>
    </w:p>
    <w:p w14:paraId="154E8DD2">
      <w:pPr>
        <w:rPr>
          <w:rFonts w:hint="eastAsia"/>
          <w:color w:val="auto"/>
          <w:highlight w:val="none"/>
        </w:rPr>
      </w:pPr>
    </w:p>
    <w:p w14:paraId="53A9A0E3">
      <w:pPr>
        <w:pStyle w:val="42"/>
        <w:rPr>
          <w:rFonts w:hint="eastAsia"/>
          <w:color w:val="auto"/>
          <w:highlight w:val="none"/>
        </w:rPr>
      </w:pPr>
    </w:p>
    <w:p w14:paraId="30542C11">
      <w:pPr>
        <w:pStyle w:val="34"/>
        <w:rPr>
          <w:rFonts w:hint="eastAsia"/>
          <w:color w:val="auto"/>
          <w:highlight w:val="none"/>
        </w:rPr>
      </w:pPr>
    </w:p>
    <w:p w14:paraId="2AC4E0DD">
      <w:pPr>
        <w:rPr>
          <w:rFonts w:hint="eastAsia"/>
          <w:color w:val="auto"/>
          <w:highlight w:val="none"/>
        </w:rPr>
      </w:pPr>
    </w:p>
    <w:p w14:paraId="168123A2">
      <w:pPr>
        <w:pStyle w:val="24"/>
        <w:snapToGrid w:val="0"/>
        <w:spacing w:before="120" w:after="120" w:line="360" w:lineRule="auto"/>
        <w:jc w:val="center"/>
        <w:rPr>
          <w:rFonts w:ascii="黑体" w:hAnsi="宋体" w:eastAsia="黑体"/>
          <w:color w:val="auto"/>
          <w:sz w:val="30"/>
          <w:szCs w:val="30"/>
          <w:highlight w:val="none"/>
        </w:rPr>
      </w:pPr>
      <w:bookmarkStart w:id="5" w:name="OLE_LINK1"/>
      <w:r>
        <w:rPr>
          <w:rFonts w:hint="eastAsia" w:ascii="黑体" w:hAnsi="宋体" w:eastAsia="黑体"/>
          <w:b/>
          <w:bCs/>
          <w:color w:val="auto"/>
          <w:sz w:val="32"/>
          <w:szCs w:val="32"/>
          <w:highlight w:val="none"/>
        </w:rPr>
        <w:t>第四章评标办法及评分标准</w:t>
      </w:r>
    </w:p>
    <w:p w14:paraId="4DF8AF3A">
      <w:pPr>
        <w:spacing w:beforeLines="50" w:afterLines="50" w:line="360" w:lineRule="auto"/>
        <w:ind w:firstLine="480" w:firstLineChars="200"/>
        <w:rPr>
          <w:rFonts w:asci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为公正、公平、科学地选择中标人，根据《中华人民共和国政府采购法》等有关法律法规的规定，并结合本项目的实际，制定本办法。</w:t>
      </w:r>
    </w:p>
    <w:p w14:paraId="54845DA6">
      <w:pPr>
        <w:spacing w:beforeLines="50" w:afterLines="50" w:line="360" w:lineRule="auto"/>
        <w:ind w:firstLine="470" w:firstLineChars="196"/>
        <w:rPr>
          <w:rFonts w:hint="eastAsia" w:ascii="宋体" w:hAnsi="宋体"/>
          <w:color w:val="auto"/>
          <w:sz w:val="24"/>
          <w:highlight w:val="none"/>
        </w:rPr>
      </w:pPr>
      <w:r>
        <w:rPr>
          <w:rFonts w:hint="eastAsia" w:ascii="宋体" w:hAnsi="宋体"/>
          <w:color w:val="auto"/>
          <w:sz w:val="24"/>
          <w:highlight w:val="none"/>
        </w:rPr>
        <w:t>本办法适用于</w:t>
      </w:r>
      <w:r>
        <w:rPr>
          <w:rFonts w:hint="eastAsia" w:ascii="宋体" w:hAnsi="宋体"/>
          <w:b/>
          <w:color w:val="auto"/>
          <w:sz w:val="24"/>
          <w:highlight w:val="none"/>
          <w:u w:val="single"/>
          <w:lang w:eastAsia="zh-CN"/>
        </w:rPr>
        <w:t>东阳市公安局食材配送服务采购项目</w:t>
      </w:r>
      <w:r>
        <w:rPr>
          <w:rFonts w:hint="eastAsia" w:ascii="宋体" w:hAnsi="宋体"/>
          <w:color w:val="auto"/>
          <w:sz w:val="24"/>
          <w:highlight w:val="none"/>
        </w:rPr>
        <w:t>的评标。</w:t>
      </w:r>
    </w:p>
    <w:p w14:paraId="26AF07FA">
      <w:pPr>
        <w:spacing w:beforeLines="50" w:afterLines="50" w:line="360" w:lineRule="auto"/>
        <w:ind w:firstLine="472" w:firstLineChars="196"/>
        <w:rPr>
          <w:rFonts w:hint="eastAsia" w:ascii="宋体" w:hAnsi="宋体" w:eastAsia="宋体" w:cs="Times New Roman"/>
          <w:b/>
          <w:bCs/>
          <w:color w:val="auto"/>
          <w:kern w:val="0"/>
          <w:sz w:val="24"/>
          <w:szCs w:val="20"/>
          <w:highlight w:val="none"/>
          <w:lang w:val="en-GB" w:eastAsia="zh-CN" w:bidi="ar-SA"/>
        </w:rPr>
      </w:pPr>
      <w:r>
        <w:rPr>
          <w:rFonts w:hint="eastAsia" w:ascii="宋体" w:hAnsi="宋体" w:eastAsia="宋体" w:cs="Times New Roman"/>
          <w:b/>
          <w:bCs/>
          <w:color w:val="auto"/>
          <w:kern w:val="0"/>
          <w:sz w:val="24"/>
          <w:szCs w:val="20"/>
          <w:highlight w:val="none"/>
          <w:lang w:val="en-GB" w:eastAsia="zh-CN" w:bidi="ar-SA"/>
        </w:rPr>
        <w:t>一、总则</w:t>
      </w:r>
    </w:p>
    <w:p w14:paraId="3908E27C">
      <w:pPr>
        <w:spacing w:before="72" w:beforeLines="30" w:after="72" w:afterLines="30" w:line="440" w:lineRule="exact"/>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本次评标采用综合评分法，总分为100分，其中价格分</w:t>
      </w:r>
      <w:r>
        <w:rPr>
          <w:rFonts w:hint="eastAsia" w:ascii="宋体" w:hAnsi="宋体"/>
          <w:color w:val="auto"/>
          <w:sz w:val="24"/>
          <w:highlight w:val="none"/>
          <w:lang w:val="en-US" w:eastAsia="zh-CN"/>
        </w:rPr>
        <w:t>30</w:t>
      </w:r>
      <w:r>
        <w:rPr>
          <w:rFonts w:hint="eastAsia" w:ascii="宋体" w:hAnsi="宋体"/>
          <w:color w:val="auto"/>
          <w:sz w:val="24"/>
          <w:highlight w:val="none"/>
        </w:rPr>
        <w:t>分、技术、商务、资信及其他分值详见各个标的评标内容。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color w:val="auto"/>
          <w:sz w:val="24"/>
          <w:highlight w:val="none"/>
          <w:lang w:val="en-US" w:eastAsia="zh-CN"/>
        </w:rPr>
        <w:t>(有效投标人为3家时推荐2名中标候选人，有效标大于3家时，推荐3名中标候选人)</w:t>
      </w:r>
      <w:r>
        <w:rPr>
          <w:rFonts w:hint="eastAsia" w:ascii="宋体" w:hAnsi="宋体"/>
          <w:color w:val="auto"/>
          <w:sz w:val="24"/>
          <w:highlight w:val="none"/>
        </w:rPr>
        <w:t>……其他投标人中标候选资格依此类推。评分过程中采用四舍五入法，并保留小数2位</w:t>
      </w:r>
      <w:r>
        <w:rPr>
          <w:rFonts w:hint="eastAsia" w:ascii="宋体" w:hAnsi="宋体"/>
          <w:bCs/>
          <w:color w:val="auto"/>
          <w:sz w:val="24"/>
          <w:highlight w:val="none"/>
        </w:rPr>
        <w:t>。</w:t>
      </w:r>
    </w:p>
    <w:p w14:paraId="2B236FD8">
      <w:pPr>
        <w:numPr>
          <w:ilvl w:val="0"/>
          <w:numId w:val="0"/>
        </w:numPr>
        <w:spacing w:beforeLines="50" w:afterLines="50" w:line="360" w:lineRule="auto"/>
        <w:ind w:firstLine="480" w:firstLineChars="200"/>
        <w:rPr>
          <w:rFonts w:asci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综合得分=价格分+(技术分+商务分+资信及其他分)</w:t>
      </w:r>
    </w:p>
    <w:p w14:paraId="406D0CB6">
      <w:pPr>
        <w:pStyle w:val="40"/>
        <w:numPr>
          <w:ilvl w:val="0"/>
          <w:numId w:val="0"/>
        </w:numPr>
        <w:spacing w:line="360" w:lineRule="auto"/>
        <w:ind w:firstLine="480" w:firstLineChars="200"/>
        <w:jc w:val="both"/>
        <w:rPr>
          <w:rFonts w:hint="eastAsia"/>
          <w:color w:val="auto"/>
          <w:highlight w:val="none"/>
          <w:lang w:val="en-US" w:eastAsia="zh-CN"/>
        </w:rPr>
      </w:pPr>
      <w:r>
        <w:rPr>
          <w:rFonts w:hint="eastAsia" w:ascii="宋体" w:hAnsi="宋体"/>
          <w:b w:val="0"/>
          <w:color w:val="auto"/>
          <w:sz w:val="24"/>
          <w:highlight w:val="none"/>
        </w:rPr>
        <w:t>二、</w:t>
      </w:r>
      <w:r>
        <w:rPr>
          <w:rFonts w:hint="eastAsia"/>
          <w:color w:val="auto"/>
          <w:highlight w:val="none"/>
          <w:lang w:val="en-US" w:eastAsia="zh-CN"/>
        </w:rPr>
        <w:t>价格分（30分；</w:t>
      </w:r>
      <w:r>
        <w:rPr>
          <w:rFonts w:hint="eastAsia" w:ascii="宋体" w:hAnsi="宋体" w:cs="宋体"/>
          <w:b/>
          <w:color w:val="auto"/>
          <w:sz w:val="24"/>
          <w:highlight w:val="none"/>
          <w:lang w:val="en-US" w:eastAsia="zh-CN"/>
        </w:rPr>
        <w:t>蔬菜类</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其它菜类、</w:t>
      </w:r>
      <w:r>
        <w:rPr>
          <w:rFonts w:hint="eastAsia" w:ascii="宋体" w:hAnsi="宋体" w:cs="宋体"/>
          <w:b/>
          <w:color w:val="auto"/>
          <w:sz w:val="24"/>
          <w:highlight w:val="none"/>
        </w:rPr>
        <w:t>粮油类</w:t>
      </w:r>
      <w:r>
        <w:rPr>
          <w:rFonts w:hint="eastAsia" w:ascii="宋体" w:hAnsi="宋体" w:cs="宋体"/>
          <w:b/>
          <w:color w:val="auto"/>
          <w:sz w:val="24"/>
          <w:highlight w:val="none"/>
          <w:lang w:val="en-US" w:eastAsia="zh-CN"/>
        </w:rPr>
        <w:t>各</w:t>
      </w:r>
      <w:r>
        <w:rPr>
          <w:rFonts w:hint="eastAsia" w:ascii="宋体" w:hAnsi="宋体" w:cs="宋体"/>
          <w:b/>
          <w:color w:val="auto"/>
          <w:sz w:val="24"/>
          <w:highlight w:val="none"/>
        </w:rPr>
        <w:t>占6分、</w:t>
      </w:r>
      <w:r>
        <w:rPr>
          <w:rFonts w:hint="eastAsia" w:ascii="宋体" w:hAnsi="宋体" w:cs="宋体"/>
          <w:b/>
          <w:color w:val="auto"/>
          <w:sz w:val="24"/>
          <w:highlight w:val="none"/>
          <w:lang w:val="en-US" w:eastAsia="zh-CN"/>
        </w:rPr>
        <w:t>鲜</w:t>
      </w:r>
      <w:r>
        <w:rPr>
          <w:rFonts w:hint="eastAsia" w:ascii="宋体" w:hAnsi="宋体" w:cs="宋体"/>
          <w:b/>
          <w:color w:val="auto"/>
          <w:sz w:val="24"/>
          <w:highlight w:val="none"/>
        </w:rPr>
        <w:t>肉类占12分）</w:t>
      </w:r>
    </w:p>
    <w:p w14:paraId="6B145437">
      <w:pPr>
        <w:spacing w:line="360" w:lineRule="auto"/>
        <w:ind w:firstLine="464" w:firstLineChars="200"/>
        <w:rPr>
          <w:rFonts w:ascii="宋体" w:hAnsi="宋体"/>
          <w:bCs/>
          <w:color w:val="auto"/>
          <w:spacing w:val="-4"/>
          <w:sz w:val="24"/>
          <w:szCs w:val="20"/>
          <w:highlight w:val="none"/>
        </w:rPr>
      </w:pPr>
      <w:r>
        <w:rPr>
          <w:rFonts w:hint="eastAsia" w:ascii="宋体" w:hAnsi="宋体"/>
          <w:bCs/>
          <w:color w:val="auto"/>
          <w:spacing w:val="-4"/>
          <w:sz w:val="24"/>
          <w:szCs w:val="20"/>
          <w:highlight w:val="none"/>
        </w:rPr>
        <w:t>价格分采用低价优先法计算，取所有技术、资信商务得分入围投标人中，投标让利下浮率最高的投标报价为评标基准价，其他投标人的价格分按照下列公式计算：</w:t>
      </w:r>
    </w:p>
    <w:p w14:paraId="2C2933B9">
      <w:pPr>
        <w:spacing w:line="360" w:lineRule="auto"/>
        <w:ind w:firstLine="466" w:firstLineChars="200"/>
        <w:rPr>
          <w:rFonts w:hint="eastAsia" w:ascii="宋体" w:hAnsi="宋体" w:cs="宋体"/>
          <w:b/>
          <w:bCs w:val="0"/>
          <w:color w:val="auto"/>
          <w:sz w:val="24"/>
          <w:highlight w:val="none"/>
          <w:lang w:val="en-US" w:eastAsia="zh-CN"/>
        </w:rPr>
      </w:pPr>
      <w:r>
        <w:rPr>
          <w:rFonts w:hint="eastAsia" w:ascii="宋体" w:hAnsi="宋体"/>
          <w:b/>
          <w:bCs w:val="0"/>
          <w:color w:val="auto"/>
          <w:spacing w:val="-4"/>
          <w:sz w:val="24"/>
          <w:szCs w:val="20"/>
          <w:highlight w:val="none"/>
        </w:rPr>
        <w:t>价格分=（1-</w:t>
      </w:r>
      <w:r>
        <w:rPr>
          <w:rFonts w:hint="eastAsia" w:ascii="宋体" w:hAnsi="宋体" w:cs="宋体"/>
          <w:b/>
          <w:bCs w:val="0"/>
          <w:color w:val="auto"/>
          <w:sz w:val="24"/>
          <w:highlight w:val="none"/>
          <w:lang w:val="en-US" w:eastAsia="zh-CN"/>
        </w:rPr>
        <w:t>蔬菜类</w:t>
      </w:r>
      <w:r>
        <w:rPr>
          <w:rFonts w:hint="eastAsia" w:ascii="宋体" w:hAnsi="宋体"/>
          <w:b/>
          <w:bCs w:val="0"/>
          <w:color w:val="auto"/>
          <w:spacing w:val="-4"/>
          <w:sz w:val="24"/>
          <w:szCs w:val="20"/>
          <w:highlight w:val="none"/>
        </w:rPr>
        <w:t>评标基准让利下浮率）/（1-</w:t>
      </w:r>
      <w:r>
        <w:rPr>
          <w:rFonts w:hint="eastAsia" w:ascii="宋体" w:hAnsi="宋体" w:cs="宋体"/>
          <w:b/>
          <w:bCs w:val="0"/>
          <w:color w:val="auto"/>
          <w:sz w:val="24"/>
          <w:highlight w:val="none"/>
          <w:lang w:val="en-US" w:eastAsia="zh-CN"/>
        </w:rPr>
        <w:t>蔬菜类</w:t>
      </w:r>
      <w:r>
        <w:rPr>
          <w:rFonts w:hint="eastAsia" w:ascii="宋体" w:hAnsi="宋体"/>
          <w:b/>
          <w:bCs w:val="0"/>
          <w:color w:val="auto"/>
          <w:spacing w:val="-4"/>
          <w:sz w:val="24"/>
          <w:szCs w:val="20"/>
          <w:highlight w:val="none"/>
        </w:rPr>
        <w:t>投标让利下浮率）×</w:t>
      </w:r>
      <w:r>
        <w:rPr>
          <w:rFonts w:hint="eastAsia" w:ascii="宋体" w:hAnsi="宋体" w:cs="宋体"/>
          <w:b/>
          <w:bCs w:val="0"/>
          <w:color w:val="auto"/>
          <w:sz w:val="24"/>
          <w:highlight w:val="none"/>
          <w:lang w:val="en-US" w:eastAsia="zh-CN"/>
        </w:rPr>
        <w:t>6</w:t>
      </w:r>
      <w:r>
        <w:rPr>
          <w:rFonts w:hint="eastAsia" w:ascii="宋体" w:hAnsi="宋体"/>
          <w:b/>
          <w:bCs w:val="0"/>
          <w:color w:val="auto"/>
          <w:spacing w:val="-4"/>
          <w:sz w:val="24"/>
          <w:szCs w:val="20"/>
          <w:highlight w:val="none"/>
        </w:rPr>
        <w:t>分</w:t>
      </w:r>
      <w:r>
        <w:rPr>
          <w:rFonts w:hint="eastAsia" w:ascii="宋体" w:hAnsi="宋体" w:cs="宋体"/>
          <w:b/>
          <w:bCs w:val="0"/>
          <w:color w:val="auto"/>
          <w:sz w:val="24"/>
          <w:highlight w:val="none"/>
        </w:rPr>
        <w:t xml:space="preserve"> +</w:t>
      </w:r>
      <w:r>
        <w:rPr>
          <w:rFonts w:hint="eastAsia" w:ascii="宋体" w:hAnsi="宋体"/>
          <w:b/>
          <w:bCs w:val="0"/>
          <w:color w:val="auto"/>
          <w:spacing w:val="-4"/>
          <w:sz w:val="24"/>
          <w:szCs w:val="20"/>
          <w:highlight w:val="none"/>
        </w:rPr>
        <w:t>（1-</w:t>
      </w:r>
      <w:r>
        <w:rPr>
          <w:rFonts w:hint="eastAsia" w:ascii="宋体" w:hAnsi="宋体" w:cs="宋体"/>
          <w:b/>
          <w:bCs w:val="0"/>
          <w:color w:val="auto"/>
          <w:sz w:val="24"/>
          <w:highlight w:val="none"/>
          <w:lang w:val="en-US" w:eastAsia="zh-CN"/>
        </w:rPr>
        <w:t>鲜肉类</w:t>
      </w:r>
      <w:r>
        <w:rPr>
          <w:rFonts w:hint="eastAsia" w:ascii="宋体" w:hAnsi="宋体"/>
          <w:b/>
          <w:bCs w:val="0"/>
          <w:color w:val="auto"/>
          <w:spacing w:val="-4"/>
          <w:sz w:val="24"/>
          <w:szCs w:val="20"/>
          <w:highlight w:val="none"/>
        </w:rPr>
        <w:t>评标基准让利</w:t>
      </w:r>
      <w:r>
        <w:rPr>
          <w:rFonts w:hint="eastAsia" w:ascii="宋体" w:hAnsi="宋体"/>
          <w:b/>
          <w:bCs w:val="0"/>
          <w:color w:val="auto"/>
          <w:spacing w:val="-4"/>
          <w:sz w:val="24"/>
          <w:szCs w:val="20"/>
          <w:highlight w:val="none"/>
          <w:lang w:eastAsia="zh-CN"/>
        </w:rPr>
        <w:t>下浮率</w:t>
      </w:r>
      <w:r>
        <w:rPr>
          <w:rFonts w:hint="eastAsia" w:ascii="宋体" w:hAnsi="宋体"/>
          <w:b/>
          <w:bCs w:val="0"/>
          <w:color w:val="auto"/>
          <w:spacing w:val="-4"/>
          <w:sz w:val="24"/>
          <w:szCs w:val="20"/>
          <w:highlight w:val="none"/>
        </w:rPr>
        <w:t>）/（1-</w:t>
      </w:r>
      <w:r>
        <w:rPr>
          <w:rFonts w:hint="eastAsia" w:ascii="宋体" w:hAnsi="宋体" w:cs="宋体"/>
          <w:b/>
          <w:bCs w:val="0"/>
          <w:color w:val="auto"/>
          <w:sz w:val="24"/>
          <w:highlight w:val="none"/>
          <w:lang w:val="en-US" w:eastAsia="zh-CN"/>
        </w:rPr>
        <w:t>鲜肉类</w:t>
      </w:r>
      <w:r>
        <w:rPr>
          <w:rFonts w:hint="eastAsia" w:ascii="宋体" w:hAnsi="宋体"/>
          <w:b/>
          <w:bCs w:val="0"/>
          <w:color w:val="auto"/>
          <w:spacing w:val="-4"/>
          <w:sz w:val="24"/>
          <w:szCs w:val="20"/>
          <w:highlight w:val="none"/>
        </w:rPr>
        <w:t>投标让利</w:t>
      </w:r>
      <w:r>
        <w:rPr>
          <w:rFonts w:hint="eastAsia" w:ascii="宋体" w:hAnsi="宋体"/>
          <w:b/>
          <w:bCs w:val="0"/>
          <w:color w:val="auto"/>
          <w:spacing w:val="-4"/>
          <w:sz w:val="24"/>
          <w:szCs w:val="20"/>
          <w:highlight w:val="none"/>
          <w:lang w:eastAsia="zh-CN"/>
        </w:rPr>
        <w:t>下浮率</w:t>
      </w:r>
      <w:r>
        <w:rPr>
          <w:rFonts w:hint="eastAsia" w:ascii="宋体" w:hAnsi="宋体"/>
          <w:b/>
          <w:bCs w:val="0"/>
          <w:color w:val="auto"/>
          <w:spacing w:val="-4"/>
          <w:sz w:val="24"/>
          <w:szCs w:val="20"/>
          <w:highlight w:val="none"/>
        </w:rPr>
        <w:t>）</w:t>
      </w:r>
      <w:r>
        <w:rPr>
          <w:rFonts w:hint="eastAsia" w:ascii="宋体" w:hAnsi="宋体" w:cs="宋体"/>
          <w:b/>
          <w:bCs w:val="0"/>
          <w:color w:val="auto"/>
          <w:sz w:val="24"/>
          <w:highlight w:val="none"/>
          <w:lang w:val="en-US" w:eastAsia="zh-CN"/>
        </w:rPr>
        <w:t>×12 +</w:t>
      </w:r>
      <w:r>
        <w:rPr>
          <w:rFonts w:hint="eastAsia" w:ascii="宋体" w:hAnsi="宋体"/>
          <w:b/>
          <w:bCs w:val="0"/>
          <w:color w:val="auto"/>
          <w:spacing w:val="-4"/>
          <w:sz w:val="24"/>
          <w:szCs w:val="20"/>
          <w:highlight w:val="none"/>
        </w:rPr>
        <w:t>（1-</w:t>
      </w:r>
      <w:r>
        <w:rPr>
          <w:rFonts w:hint="eastAsia" w:ascii="宋体" w:hAnsi="宋体" w:cs="宋体"/>
          <w:b/>
          <w:bCs w:val="0"/>
          <w:color w:val="auto"/>
          <w:sz w:val="24"/>
          <w:highlight w:val="none"/>
          <w:lang w:val="en-US" w:eastAsia="zh-CN"/>
        </w:rPr>
        <w:t>其它菜类</w:t>
      </w:r>
      <w:r>
        <w:rPr>
          <w:rFonts w:hint="eastAsia" w:ascii="宋体" w:hAnsi="宋体"/>
          <w:b/>
          <w:bCs w:val="0"/>
          <w:color w:val="auto"/>
          <w:spacing w:val="-4"/>
          <w:sz w:val="24"/>
          <w:szCs w:val="20"/>
          <w:highlight w:val="none"/>
        </w:rPr>
        <w:t>评标基准让利下浮率）/（1-</w:t>
      </w:r>
      <w:r>
        <w:rPr>
          <w:rFonts w:hint="eastAsia" w:ascii="宋体" w:hAnsi="宋体" w:cs="宋体"/>
          <w:b/>
          <w:bCs w:val="0"/>
          <w:color w:val="auto"/>
          <w:sz w:val="24"/>
          <w:highlight w:val="none"/>
          <w:lang w:val="en-US" w:eastAsia="zh-CN"/>
        </w:rPr>
        <w:t>其它菜类</w:t>
      </w:r>
      <w:r>
        <w:rPr>
          <w:rFonts w:hint="eastAsia" w:ascii="宋体" w:hAnsi="宋体"/>
          <w:b/>
          <w:bCs w:val="0"/>
          <w:color w:val="auto"/>
          <w:spacing w:val="-4"/>
          <w:sz w:val="24"/>
          <w:szCs w:val="20"/>
          <w:highlight w:val="none"/>
        </w:rPr>
        <w:t>投标让利下浮率）</w:t>
      </w:r>
      <w:r>
        <w:rPr>
          <w:rFonts w:hint="eastAsia" w:ascii="宋体" w:hAnsi="宋体" w:cs="宋体"/>
          <w:b/>
          <w:bCs w:val="0"/>
          <w:color w:val="auto"/>
          <w:sz w:val="24"/>
          <w:highlight w:val="none"/>
          <w:lang w:val="en-US" w:eastAsia="zh-CN"/>
        </w:rPr>
        <w:t>×6 +</w:t>
      </w:r>
      <w:r>
        <w:rPr>
          <w:rFonts w:hint="eastAsia" w:ascii="宋体" w:hAnsi="宋体"/>
          <w:b/>
          <w:bCs w:val="0"/>
          <w:color w:val="auto"/>
          <w:spacing w:val="-4"/>
          <w:sz w:val="24"/>
          <w:szCs w:val="20"/>
          <w:highlight w:val="none"/>
        </w:rPr>
        <w:t>（1-</w:t>
      </w:r>
      <w:r>
        <w:rPr>
          <w:rFonts w:hint="eastAsia" w:ascii="宋体" w:hAnsi="宋体" w:cs="宋体"/>
          <w:b/>
          <w:bCs w:val="0"/>
          <w:color w:val="auto"/>
          <w:sz w:val="24"/>
          <w:highlight w:val="none"/>
          <w:lang w:val="en-US" w:eastAsia="zh-CN"/>
        </w:rPr>
        <w:t>粮油类</w:t>
      </w:r>
      <w:r>
        <w:rPr>
          <w:rFonts w:hint="eastAsia" w:ascii="宋体" w:hAnsi="宋体"/>
          <w:b/>
          <w:bCs w:val="0"/>
          <w:color w:val="auto"/>
          <w:spacing w:val="-4"/>
          <w:sz w:val="24"/>
          <w:szCs w:val="20"/>
          <w:highlight w:val="none"/>
        </w:rPr>
        <w:t>评标基准让利下浮率）/（1-</w:t>
      </w:r>
      <w:r>
        <w:rPr>
          <w:rFonts w:hint="eastAsia" w:ascii="宋体" w:hAnsi="宋体" w:cs="宋体"/>
          <w:b/>
          <w:bCs w:val="0"/>
          <w:color w:val="auto"/>
          <w:sz w:val="24"/>
          <w:highlight w:val="none"/>
          <w:lang w:val="en-US" w:eastAsia="zh-CN"/>
        </w:rPr>
        <w:t>粮油类</w:t>
      </w:r>
      <w:r>
        <w:rPr>
          <w:rFonts w:hint="eastAsia" w:ascii="宋体" w:hAnsi="宋体"/>
          <w:b/>
          <w:bCs w:val="0"/>
          <w:color w:val="auto"/>
          <w:spacing w:val="-4"/>
          <w:sz w:val="24"/>
          <w:szCs w:val="20"/>
          <w:highlight w:val="none"/>
        </w:rPr>
        <w:t>投标让利下浮率）</w:t>
      </w:r>
      <w:r>
        <w:rPr>
          <w:rFonts w:hint="eastAsia" w:ascii="宋体" w:hAnsi="宋体" w:cs="宋体"/>
          <w:b/>
          <w:bCs w:val="0"/>
          <w:color w:val="auto"/>
          <w:sz w:val="24"/>
          <w:highlight w:val="none"/>
          <w:lang w:val="en-US" w:eastAsia="zh-CN"/>
        </w:rPr>
        <w:t>×6</w:t>
      </w:r>
    </w:p>
    <w:p w14:paraId="2C9B0BAC">
      <w:pPr>
        <w:pStyle w:val="20"/>
        <w:spacing w:line="360" w:lineRule="auto"/>
        <w:rPr>
          <w:rFonts w:hint="eastAsia" w:ascii="宋体" w:hAnsi="宋体" w:cs="仿宋_GB2312"/>
          <w:b w:val="0"/>
          <w:bCs/>
          <w:color w:val="auto"/>
          <w:sz w:val="24"/>
          <w:highlight w:val="none"/>
        </w:rPr>
      </w:pPr>
      <w:r>
        <w:rPr>
          <w:rFonts w:hint="eastAsia" w:ascii="宋体" w:hAnsi="宋体" w:cs="仿宋_GB2312"/>
          <w:b w:val="0"/>
          <w:bCs/>
          <w:color w:val="auto"/>
          <w:sz w:val="24"/>
          <w:highlight w:val="none"/>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141号）、《财政部关于进一步加大政府采购支持中小企业力度的通知》（财库[2022]19号）、《浙江省财政厅关于进一步加大政府采购支持中小企业力度 助力扎实稳住经济的通知》（浙财采监[2022]8号）的规定，对小型和微型企业、监狱企业、残疾人福利性单位生产的产品价格给予10%～20%的扣除，用扣除后的价格参与评审。本项目的扣除比例为</w:t>
      </w:r>
      <w:r>
        <w:rPr>
          <w:rFonts w:hint="eastAsia" w:hAnsi="宋体" w:cs="仿宋_GB2312"/>
          <w:b w:val="0"/>
          <w:bCs/>
          <w:color w:val="auto"/>
          <w:sz w:val="24"/>
          <w:highlight w:val="none"/>
          <w:lang w:val="en-US" w:eastAsia="zh-CN"/>
        </w:rPr>
        <w:t>20</w:t>
      </w:r>
      <w:r>
        <w:rPr>
          <w:rFonts w:hint="eastAsia" w:ascii="宋体" w:hAnsi="宋体" w:cs="仿宋_GB2312"/>
          <w:b w:val="0"/>
          <w:bCs/>
          <w:color w:val="auto"/>
          <w:sz w:val="24"/>
          <w:highlight w:val="none"/>
        </w:rPr>
        <w:t>%。</w:t>
      </w:r>
      <w:r>
        <w:rPr>
          <w:rFonts w:hint="eastAsia" w:ascii="宋体" w:hAnsi="宋体" w:cs="仿宋_GB2312"/>
          <w:b w:val="0"/>
          <w:bCs/>
          <w:color w:val="auto"/>
          <w:sz w:val="24"/>
          <w:highlight w:val="none"/>
          <w:u w:val="single"/>
        </w:rPr>
        <w:t>本项目已对中小微企业进行预留，不再重复享受价格扣除的优惠政策</w:t>
      </w:r>
      <w:r>
        <w:rPr>
          <w:rFonts w:hint="eastAsia" w:ascii="宋体" w:hAnsi="宋体" w:cs="仿宋_GB2312"/>
          <w:b w:val="0"/>
          <w:bCs/>
          <w:color w:val="auto"/>
          <w:sz w:val="24"/>
          <w:highlight w:val="none"/>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6448FE74">
      <w:pPr>
        <w:spacing w:beforeLines="50" w:afterLines="50"/>
        <w:ind w:firstLine="472" w:firstLineChars="196"/>
        <w:rPr>
          <w:rFonts w:cs="宋体" w:asciiTheme="majorEastAsia" w:hAnsiTheme="majorEastAsia" w:eastAsiaTheme="majorEastAsia"/>
          <w:b/>
          <w:bCs/>
          <w:color w:val="auto"/>
          <w:sz w:val="24"/>
          <w:highlight w:val="none"/>
        </w:rPr>
      </w:pPr>
      <w:r>
        <w:rPr>
          <w:rFonts w:hint="eastAsia" w:cs="宋体" w:asciiTheme="majorEastAsia" w:hAnsiTheme="majorEastAsia" w:eastAsiaTheme="majorEastAsia"/>
          <w:b/>
          <w:color w:val="auto"/>
          <w:sz w:val="24"/>
          <w:highlight w:val="none"/>
          <w:lang w:eastAsia="zh-CN"/>
        </w:rPr>
        <w:t>三、</w:t>
      </w:r>
      <w:r>
        <w:rPr>
          <w:rFonts w:hint="eastAsia" w:cs="宋体" w:asciiTheme="majorEastAsia" w:hAnsiTheme="majorEastAsia" w:eastAsiaTheme="majorEastAsia"/>
          <w:b/>
          <w:color w:val="auto"/>
          <w:sz w:val="24"/>
          <w:highlight w:val="none"/>
        </w:rPr>
        <w:t>技术分、商务分、资信及其他分，共</w:t>
      </w:r>
      <w:r>
        <w:rPr>
          <w:rFonts w:hint="eastAsia" w:cs="宋体" w:asciiTheme="majorEastAsia" w:hAnsiTheme="majorEastAsia" w:eastAsiaTheme="majorEastAsia"/>
          <w:b/>
          <w:color w:val="auto"/>
          <w:sz w:val="24"/>
          <w:highlight w:val="none"/>
          <w:lang w:val="en-US" w:eastAsia="zh-CN"/>
        </w:rPr>
        <w:t>70</w:t>
      </w:r>
      <w:r>
        <w:rPr>
          <w:rFonts w:hint="eastAsia" w:cs="宋体" w:asciiTheme="majorEastAsia" w:hAnsiTheme="majorEastAsia" w:eastAsiaTheme="majorEastAsia"/>
          <w:b/>
          <w:color w:val="auto"/>
          <w:sz w:val="24"/>
          <w:highlight w:val="none"/>
        </w:rPr>
        <w:t>分。</w:t>
      </w:r>
    </w:p>
    <w:p w14:paraId="67C52FC0">
      <w:pPr>
        <w:tabs>
          <w:tab w:val="left" w:pos="1154"/>
        </w:tabs>
        <w:ind w:firstLine="464" w:firstLineChars="200"/>
        <w:rPr>
          <w:rFonts w:hint="eastAsia" w:ascii="宋体" w:hAnsi="宋体" w:eastAsia="宋体" w:cs="仿宋_GB2312"/>
          <w:b w:val="0"/>
          <w:bCs/>
          <w:color w:val="auto"/>
          <w:spacing w:val="-4"/>
          <w:kern w:val="2"/>
          <w:sz w:val="24"/>
          <w:szCs w:val="20"/>
          <w:highlight w:val="none"/>
          <w:lang w:val="en-US" w:eastAsia="zh-CN" w:bidi="ar-SA"/>
        </w:rPr>
      </w:pPr>
      <w:r>
        <w:rPr>
          <w:rFonts w:hint="eastAsia" w:ascii="宋体" w:hAnsi="宋体" w:eastAsia="宋体" w:cs="仿宋_GB2312"/>
          <w:b w:val="0"/>
          <w:bCs/>
          <w:color w:val="auto"/>
          <w:spacing w:val="-4"/>
          <w:kern w:val="2"/>
          <w:sz w:val="24"/>
          <w:szCs w:val="20"/>
          <w:highlight w:val="none"/>
          <w:lang w:val="en-US" w:eastAsia="zh-CN" w:bidi="ar-SA"/>
        </w:rPr>
        <w:t>所有投标人均开启报价文件并唱标，符合第三章（八）特别说明1.规定的情况时，多个供应商按一个供应商计算，并取其中投标让利率最高的一家进入价格评审。有效投标人不足3名时，本标项予以废标，择期将重新组织招标。</w:t>
      </w:r>
    </w:p>
    <w:p w14:paraId="1225F20D">
      <w:pPr>
        <w:spacing w:beforeLines="50" w:afterLines="50"/>
        <w:ind w:firstLine="464" w:firstLineChars="200"/>
        <w:rPr>
          <w:rFonts w:hint="eastAsia" w:ascii="宋体" w:hAnsi="宋体" w:eastAsia="宋体" w:cs="仿宋_GB2312"/>
          <w:b w:val="0"/>
          <w:bCs/>
          <w:color w:val="auto"/>
          <w:spacing w:val="-4"/>
          <w:kern w:val="2"/>
          <w:sz w:val="24"/>
          <w:szCs w:val="20"/>
          <w:highlight w:val="none"/>
          <w:lang w:val="en-US" w:eastAsia="zh-CN" w:bidi="ar-SA"/>
        </w:rPr>
      </w:pPr>
      <w:r>
        <w:rPr>
          <w:rFonts w:hint="eastAsia" w:ascii="宋体" w:hAnsi="宋体" w:eastAsia="宋体" w:cs="仿宋_GB2312"/>
          <w:b w:val="0"/>
          <w:bCs/>
          <w:color w:val="auto"/>
          <w:spacing w:val="-4"/>
          <w:kern w:val="2"/>
          <w:sz w:val="24"/>
          <w:szCs w:val="20"/>
          <w:highlight w:val="none"/>
          <w:lang w:val="en-US" w:eastAsia="zh-CN" w:bidi="ar-SA"/>
        </w:rPr>
        <w:t>技术、商务、资信及其他分按照评标委员会成员的独立评分结果汇总数的算术平均分计算，计算公式为：</w:t>
      </w:r>
    </w:p>
    <w:p w14:paraId="7FB9C7F2">
      <w:pPr>
        <w:tabs>
          <w:tab w:val="left" w:pos="1154"/>
        </w:tabs>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技术商务资信及其他分=（评标委员会所有成员评分合计数）/（评标委员会组成人员数）</w:t>
      </w:r>
    </w:p>
    <w:p w14:paraId="38467856">
      <w:pPr>
        <w:tabs>
          <w:tab w:val="left" w:pos="1154"/>
        </w:tabs>
        <w:spacing w:line="360" w:lineRule="auto"/>
        <w:rPr>
          <w:rFonts w:hint="eastAsia" w:asciiTheme="majorEastAsia" w:hAnsiTheme="majorEastAsia" w:eastAsiaTheme="majorEastAsia"/>
          <w:b/>
          <w:color w:val="auto"/>
          <w:sz w:val="24"/>
          <w:szCs w:val="22"/>
          <w:highlight w:val="none"/>
        </w:rPr>
      </w:pPr>
      <w:r>
        <w:rPr>
          <w:rFonts w:hint="eastAsia" w:asciiTheme="majorEastAsia" w:hAnsiTheme="majorEastAsia" w:eastAsiaTheme="majorEastAsia"/>
          <w:b/>
          <w:color w:val="auto"/>
          <w:sz w:val="24"/>
          <w:szCs w:val="22"/>
          <w:highlight w:val="none"/>
        </w:rPr>
        <w:t>附件：评分表格式（技术、商务、资信及其他分，共</w:t>
      </w:r>
      <w:r>
        <w:rPr>
          <w:rFonts w:hint="eastAsia" w:asciiTheme="majorEastAsia" w:hAnsiTheme="majorEastAsia" w:eastAsiaTheme="majorEastAsia"/>
          <w:b/>
          <w:color w:val="auto"/>
          <w:sz w:val="24"/>
          <w:szCs w:val="22"/>
          <w:highlight w:val="none"/>
          <w:lang w:val="en-US" w:eastAsia="zh-CN"/>
        </w:rPr>
        <w:t>70</w:t>
      </w:r>
      <w:r>
        <w:rPr>
          <w:rFonts w:hint="eastAsia" w:asciiTheme="majorEastAsia" w:hAnsiTheme="majorEastAsia" w:eastAsiaTheme="majorEastAsia"/>
          <w:b/>
          <w:color w:val="auto"/>
          <w:sz w:val="24"/>
          <w:szCs w:val="22"/>
          <w:highlight w:val="none"/>
        </w:rPr>
        <w:t>分）</w:t>
      </w:r>
    </w:p>
    <w:tbl>
      <w:tblPr>
        <w:tblStyle w:val="45"/>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52"/>
        <w:gridCol w:w="7136"/>
        <w:gridCol w:w="717"/>
      </w:tblGrid>
      <w:tr w14:paraId="1508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28262FA">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14:paraId="13371CAB">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项目</w:t>
            </w:r>
          </w:p>
        </w:tc>
        <w:tc>
          <w:tcPr>
            <w:tcW w:w="7136" w:type="dxa"/>
            <w:tcBorders>
              <w:top w:val="single" w:color="auto" w:sz="4" w:space="0"/>
              <w:left w:val="single" w:color="auto" w:sz="4" w:space="0"/>
              <w:bottom w:val="single" w:color="auto" w:sz="4" w:space="0"/>
              <w:right w:val="single" w:color="auto" w:sz="4" w:space="0"/>
            </w:tcBorders>
            <w:vAlign w:val="center"/>
          </w:tcPr>
          <w:p w14:paraId="1E7D0A0B">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评分细则</w:t>
            </w:r>
          </w:p>
        </w:tc>
        <w:tc>
          <w:tcPr>
            <w:tcW w:w="717" w:type="dxa"/>
            <w:tcBorders>
              <w:top w:val="single" w:color="auto" w:sz="4" w:space="0"/>
              <w:left w:val="single" w:color="auto" w:sz="4" w:space="0"/>
              <w:bottom w:val="single" w:color="auto" w:sz="4" w:space="0"/>
              <w:right w:val="single" w:color="auto" w:sz="4" w:space="0"/>
            </w:tcBorders>
            <w:vAlign w:val="center"/>
          </w:tcPr>
          <w:p w14:paraId="59870809">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分值</w:t>
            </w:r>
          </w:p>
        </w:tc>
      </w:tr>
      <w:tr w14:paraId="5E8D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54EFD89">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w:t>
            </w:r>
          </w:p>
        </w:tc>
        <w:tc>
          <w:tcPr>
            <w:tcW w:w="1252" w:type="dxa"/>
            <w:tcBorders>
              <w:top w:val="single" w:color="auto" w:sz="4" w:space="0"/>
              <w:left w:val="single" w:color="auto" w:sz="4" w:space="0"/>
              <w:right w:val="single" w:color="auto" w:sz="4" w:space="0"/>
            </w:tcBorders>
            <w:vAlign w:val="center"/>
          </w:tcPr>
          <w:p w14:paraId="5A944B01">
            <w:pPr>
              <w:spacing w:line="360" w:lineRule="auto"/>
              <w:jc w:val="center"/>
              <w:rPr>
                <w:rFonts w:ascii="宋体" w:hAnsi="宋体" w:cs="宋体"/>
                <w:bCs/>
                <w:color w:val="auto"/>
                <w:sz w:val="24"/>
                <w:szCs w:val="24"/>
                <w:highlight w:val="none"/>
              </w:rPr>
            </w:pPr>
            <w:r>
              <w:rPr>
                <w:rFonts w:hint="eastAsia" w:ascii="宋体" w:hAnsi="宋体"/>
                <w:color w:val="auto"/>
                <w:sz w:val="24"/>
                <w:highlight w:val="none"/>
              </w:rPr>
              <w:t>项目实施方案</w:t>
            </w:r>
          </w:p>
        </w:tc>
        <w:tc>
          <w:tcPr>
            <w:tcW w:w="7136" w:type="dxa"/>
            <w:tcBorders>
              <w:top w:val="single" w:color="auto" w:sz="4" w:space="0"/>
              <w:left w:val="single" w:color="auto" w:sz="4" w:space="0"/>
              <w:bottom w:val="single" w:color="auto" w:sz="4" w:space="0"/>
              <w:right w:val="single" w:color="auto" w:sz="4" w:space="0"/>
            </w:tcBorders>
            <w:vAlign w:val="center"/>
          </w:tcPr>
          <w:p w14:paraId="05048132">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auto"/>
              </w:rPr>
              <w:t>投标人对采购服务项目总体配送实施方案（包含运行方案</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0-3</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、管理方针</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0-2</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、管理目标</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0-2</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、仓储情况</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0-3</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、难点要点分析</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0-2</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等</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内容进行评审</w:t>
            </w:r>
            <w:r>
              <w:rPr>
                <w:rFonts w:hint="eastAsia" w:ascii="宋体" w:hAnsi="宋体" w:eastAsia="宋体" w:cs="宋体"/>
                <w:color w:val="auto"/>
                <w:sz w:val="24"/>
                <w:szCs w:val="24"/>
                <w:highlight w:val="none"/>
                <w:shd w:val="clear" w:color="auto" w:fill="auto"/>
              </w:rPr>
              <w:t>），结合各投标文件，根据投标单位提供方案</w:t>
            </w:r>
            <w:r>
              <w:rPr>
                <w:rFonts w:hint="eastAsia" w:ascii="宋体" w:hAnsi="宋体" w:cs="宋体"/>
                <w:color w:val="auto"/>
                <w:sz w:val="24"/>
                <w:szCs w:val="24"/>
                <w:highlight w:val="none"/>
                <w:shd w:val="clear" w:color="auto" w:fill="auto"/>
                <w:lang w:eastAsia="zh-CN"/>
              </w:rPr>
              <w:t>的</w:t>
            </w:r>
            <w:r>
              <w:rPr>
                <w:rFonts w:hint="eastAsia" w:ascii="宋体" w:hAnsi="宋体" w:eastAsia="宋体" w:cs="宋体"/>
                <w:color w:val="auto"/>
                <w:sz w:val="24"/>
                <w:szCs w:val="24"/>
                <w:highlight w:val="none"/>
                <w:shd w:val="clear" w:color="auto" w:fill="auto"/>
              </w:rPr>
              <w:t>思路清晰</w:t>
            </w:r>
            <w:r>
              <w:rPr>
                <w:rFonts w:hint="eastAsia" w:ascii="宋体" w:hAnsi="宋体" w:eastAsia="宋体" w:cs="宋体"/>
                <w:color w:val="auto"/>
                <w:sz w:val="24"/>
                <w:szCs w:val="24"/>
                <w:highlight w:val="none"/>
                <w:shd w:val="clear" w:color="auto" w:fill="auto"/>
                <w:lang w:eastAsia="zh-CN"/>
              </w:rPr>
              <w:t>性</w:t>
            </w:r>
            <w:r>
              <w:rPr>
                <w:rFonts w:hint="eastAsia" w:ascii="宋体" w:hAnsi="宋体" w:eastAsia="宋体" w:cs="宋体"/>
                <w:color w:val="auto"/>
                <w:sz w:val="24"/>
                <w:szCs w:val="24"/>
                <w:highlight w:val="none"/>
                <w:shd w:val="clear" w:color="auto" w:fill="auto"/>
              </w:rPr>
              <w:t>、操作性，按时按质完成</w:t>
            </w:r>
            <w:r>
              <w:rPr>
                <w:rFonts w:hint="eastAsia" w:ascii="宋体" w:hAnsi="宋体" w:eastAsia="宋体" w:cs="宋体"/>
                <w:color w:val="auto"/>
                <w:sz w:val="24"/>
                <w:szCs w:val="24"/>
                <w:highlight w:val="none"/>
                <w:shd w:val="clear" w:color="auto" w:fill="auto"/>
                <w:lang w:eastAsia="zh-CN"/>
              </w:rPr>
              <w:t>程度等进行打分</w:t>
            </w:r>
            <w:r>
              <w:rPr>
                <w:rFonts w:hint="eastAsia" w:ascii="宋体" w:hAnsi="宋体" w:cs="宋体"/>
                <w:color w:val="auto"/>
                <w:sz w:val="24"/>
                <w:szCs w:val="24"/>
                <w:highlight w:val="none"/>
                <w:shd w:val="clear" w:color="auto" w:fill="auto"/>
                <w:lang w:eastAsia="zh-CN"/>
              </w:rPr>
              <w:t>，</w:t>
            </w:r>
            <w:r>
              <w:rPr>
                <w:rFonts w:hint="eastAsia" w:ascii="宋体" w:hAnsi="宋体" w:cs="宋体"/>
                <w:bCs/>
                <w:color w:val="auto"/>
                <w:kern w:val="2"/>
                <w:sz w:val="24"/>
                <w:szCs w:val="24"/>
                <w:highlight w:val="none"/>
                <w:lang w:val="en-US" w:eastAsia="zh-CN" w:bidi="ar-SA"/>
              </w:rPr>
              <w:t>本项最高得12分</w:t>
            </w:r>
            <w:r>
              <w:rPr>
                <w:rFonts w:hint="eastAsia" w:ascii="宋体" w:hAnsi="宋体" w:eastAsia="宋体" w:cs="宋体"/>
                <w:bCs/>
                <w:color w:val="auto"/>
                <w:kern w:val="2"/>
                <w:sz w:val="24"/>
                <w:szCs w:val="24"/>
                <w:highlight w:val="none"/>
                <w:lang w:val="en-US" w:eastAsia="zh-CN" w:bidi="ar-SA"/>
              </w:rPr>
              <w:t>。</w:t>
            </w:r>
          </w:p>
        </w:tc>
        <w:tc>
          <w:tcPr>
            <w:tcW w:w="717" w:type="dxa"/>
            <w:tcBorders>
              <w:top w:val="single" w:color="auto" w:sz="4" w:space="0"/>
              <w:left w:val="single" w:color="auto" w:sz="4" w:space="0"/>
              <w:bottom w:val="single" w:color="auto" w:sz="4" w:space="0"/>
              <w:right w:val="single" w:color="auto" w:sz="4" w:space="0"/>
            </w:tcBorders>
            <w:vAlign w:val="center"/>
          </w:tcPr>
          <w:p w14:paraId="028E42FF">
            <w:pPr>
              <w:jc w:val="both"/>
              <w:rPr>
                <w:rFonts w:hint="eastAsia" w:ascii="宋体" w:hAnsi="宋体" w:cs="宋体"/>
                <w:bCs/>
                <w:color w:val="auto"/>
                <w:sz w:val="24"/>
                <w:szCs w:val="24"/>
                <w:highlight w:val="none"/>
                <w:lang w:val="en-US" w:eastAsia="zh-CN"/>
              </w:rPr>
            </w:pPr>
          </w:p>
          <w:p w14:paraId="70E0DBA6">
            <w:pPr>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12</w:t>
            </w:r>
          </w:p>
        </w:tc>
      </w:tr>
      <w:tr w14:paraId="7081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6880B7A">
            <w:pPr>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p>
        </w:tc>
        <w:tc>
          <w:tcPr>
            <w:tcW w:w="1252" w:type="dxa"/>
            <w:tcBorders>
              <w:top w:val="single" w:color="auto" w:sz="4" w:space="0"/>
              <w:left w:val="single" w:color="auto" w:sz="4" w:space="0"/>
              <w:bottom w:val="single" w:color="auto" w:sz="4" w:space="0"/>
              <w:right w:val="single" w:color="auto" w:sz="4" w:space="0"/>
            </w:tcBorders>
            <w:vAlign w:val="center"/>
          </w:tcPr>
          <w:p w14:paraId="2CFB5B84">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保证商品质量的技术方案和措施</w:t>
            </w:r>
          </w:p>
        </w:tc>
        <w:tc>
          <w:tcPr>
            <w:tcW w:w="7136" w:type="dxa"/>
            <w:tcBorders>
              <w:top w:val="single" w:color="auto" w:sz="4" w:space="0"/>
              <w:left w:val="single" w:color="auto" w:sz="4" w:space="0"/>
              <w:bottom w:val="single" w:color="auto" w:sz="4" w:space="0"/>
              <w:right w:val="single" w:color="auto" w:sz="4" w:space="0"/>
            </w:tcBorders>
            <w:vAlign w:val="top"/>
          </w:tcPr>
          <w:p w14:paraId="1767D603">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由评委根据</w:t>
            </w:r>
            <w:r>
              <w:rPr>
                <w:rFonts w:hint="eastAsia" w:ascii="宋体" w:hAnsi="宋体" w:eastAsia="宋体" w:cs="宋体"/>
                <w:color w:val="auto"/>
                <w:sz w:val="24"/>
                <w:szCs w:val="24"/>
                <w:highlight w:val="none"/>
                <w:shd w:val="clear" w:color="auto" w:fill="auto"/>
                <w:lang w:eastAsia="zh-CN"/>
              </w:rPr>
              <w:t>各投标人提供的</w:t>
            </w:r>
            <w:r>
              <w:rPr>
                <w:rFonts w:hint="eastAsia" w:ascii="宋体" w:hAnsi="宋体" w:eastAsia="宋体" w:cs="宋体"/>
                <w:color w:val="auto"/>
                <w:sz w:val="24"/>
                <w:szCs w:val="24"/>
                <w:highlight w:val="none"/>
                <w:shd w:val="clear" w:color="auto" w:fill="auto"/>
              </w:rPr>
              <w:t>保证商品质量的技术方案和措施的严密性、科学性进行</w:t>
            </w:r>
            <w:r>
              <w:rPr>
                <w:rFonts w:hint="eastAsia" w:ascii="宋体" w:hAnsi="宋体" w:eastAsia="宋体" w:cs="宋体"/>
                <w:color w:val="auto"/>
                <w:sz w:val="24"/>
                <w:szCs w:val="24"/>
                <w:highlight w:val="none"/>
                <w:shd w:val="clear" w:color="auto" w:fill="auto"/>
                <w:lang w:eastAsia="zh-CN"/>
              </w:rPr>
              <w:t>打</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w:t>
            </w:r>
          </w:p>
          <w:p w14:paraId="62D01C74">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时间安排</w:t>
            </w:r>
            <w:r>
              <w:rPr>
                <w:rFonts w:hint="eastAsia" w:ascii="宋体" w:hAnsi="宋体" w:eastAsia="宋体" w:cs="宋体"/>
                <w:color w:val="auto"/>
                <w:sz w:val="24"/>
                <w:szCs w:val="24"/>
                <w:highlight w:val="none"/>
                <w:shd w:val="clear" w:color="auto" w:fill="auto"/>
                <w:lang w:eastAsia="zh-CN"/>
              </w:rPr>
              <w:t>的合理性</w:t>
            </w:r>
            <w:r>
              <w:rPr>
                <w:rFonts w:hint="eastAsia" w:ascii="宋体" w:hAnsi="宋体" w:cs="宋体"/>
                <w:color w:val="auto"/>
                <w:sz w:val="24"/>
                <w:szCs w:val="24"/>
                <w:highlight w:val="none"/>
                <w:shd w:val="clear" w:color="auto" w:fill="auto"/>
                <w:lang w:val="en-US" w:eastAsia="zh-CN"/>
              </w:rPr>
              <w:t>(0-2分)</w:t>
            </w:r>
            <w:r>
              <w:rPr>
                <w:rFonts w:hint="eastAsia" w:ascii="宋体" w:hAnsi="宋体" w:eastAsia="宋体" w:cs="宋体"/>
                <w:color w:val="auto"/>
                <w:sz w:val="24"/>
                <w:szCs w:val="24"/>
                <w:highlight w:val="none"/>
                <w:shd w:val="clear" w:color="auto" w:fill="auto"/>
              </w:rPr>
              <w:t>、人员配备</w:t>
            </w:r>
            <w:r>
              <w:rPr>
                <w:rFonts w:hint="eastAsia" w:ascii="宋体" w:hAnsi="宋体" w:eastAsia="宋体" w:cs="宋体"/>
                <w:color w:val="auto"/>
                <w:sz w:val="24"/>
                <w:szCs w:val="24"/>
                <w:highlight w:val="none"/>
                <w:shd w:val="clear" w:color="auto" w:fill="auto"/>
                <w:lang w:eastAsia="zh-CN"/>
              </w:rPr>
              <w:t>的合理性</w:t>
            </w:r>
            <w:r>
              <w:rPr>
                <w:rFonts w:hint="eastAsia" w:ascii="宋体" w:hAnsi="宋体" w:cs="宋体"/>
                <w:color w:val="auto"/>
                <w:sz w:val="24"/>
                <w:szCs w:val="24"/>
                <w:highlight w:val="none"/>
                <w:shd w:val="clear" w:color="auto" w:fill="auto"/>
                <w:lang w:val="en-US" w:eastAsia="zh-CN"/>
              </w:rPr>
              <w:t>(0-2分)</w:t>
            </w:r>
            <w:r>
              <w:rPr>
                <w:rFonts w:hint="eastAsia" w:ascii="宋体" w:hAnsi="宋体" w:eastAsia="宋体" w:cs="宋体"/>
                <w:color w:val="auto"/>
                <w:sz w:val="24"/>
                <w:szCs w:val="24"/>
                <w:highlight w:val="none"/>
                <w:shd w:val="clear" w:color="auto" w:fill="auto"/>
                <w:lang w:eastAsia="zh-CN"/>
              </w:rPr>
              <w:t>等</w:t>
            </w:r>
            <w:r>
              <w:rPr>
                <w:rFonts w:hint="eastAsia" w:ascii="宋体" w:hAnsi="宋体" w:eastAsia="宋体" w:cs="宋体"/>
                <w:color w:val="auto"/>
                <w:sz w:val="24"/>
                <w:szCs w:val="24"/>
                <w:highlight w:val="none"/>
                <w:shd w:val="clear" w:color="auto" w:fill="auto"/>
                <w:lang w:val="en-US" w:eastAsia="zh-CN"/>
              </w:rPr>
              <w:t>；</w:t>
            </w:r>
          </w:p>
          <w:p w14:paraId="770BB7A1">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送货配备的保证</w:t>
            </w:r>
            <w:r>
              <w:rPr>
                <w:rFonts w:hint="eastAsia" w:ascii="宋体" w:hAnsi="宋体" w:cs="宋体"/>
                <w:color w:val="auto"/>
                <w:sz w:val="24"/>
                <w:szCs w:val="24"/>
                <w:highlight w:val="none"/>
                <w:shd w:val="clear" w:color="auto" w:fill="auto"/>
                <w:lang w:val="en-US" w:eastAsia="zh-CN"/>
              </w:rPr>
              <w:t>(0-2分)</w:t>
            </w:r>
            <w:r>
              <w:rPr>
                <w:rFonts w:hint="eastAsia" w:ascii="宋体" w:hAnsi="宋体" w:eastAsia="宋体" w:cs="宋体"/>
                <w:color w:val="auto"/>
                <w:sz w:val="24"/>
                <w:szCs w:val="24"/>
                <w:highlight w:val="none"/>
                <w:shd w:val="clear" w:color="auto" w:fill="auto"/>
              </w:rPr>
              <w:t>、产品质量的保证</w:t>
            </w:r>
            <w:r>
              <w:rPr>
                <w:rFonts w:hint="eastAsia" w:ascii="宋体" w:hAnsi="宋体" w:cs="宋体"/>
                <w:color w:val="auto"/>
                <w:sz w:val="24"/>
                <w:szCs w:val="24"/>
                <w:highlight w:val="none"/>
                <w:shd w:val="clear" w:color="auto" w:fill="auto"/>
                <w:lang w:val="en-US" w:eastAsia="zh-CN"/>
              </w:rPr>
              <w:t>(0-2分)</w:t>
            </w:r>
            <w:r>
              <w:rPr>
                <w:rFonts w:hint="eastAsia" w:ascii="宋体" w:hAnsi="宋体" w:eastAsia="宋体" w:cs="宋体"/>
                <w:color w:val="auto"/>
                <w:sz w:val="24"/>
                <w:szCs w:val="24"/>
                <w:highlight w:val="none"/>
                <w:shd w:val="clear" w:color="auto" w:fill="auto"/>
              </w:rPr>
              <w:t>等</w:t>
            </w:r>
            <w:r>
              <w:rPr>
                <w:rFonts w:hint="eastAsia" w:ascii="宋体" w:hAnsi="宋体" w:eastAsia="宋体" w:cs="宋体"/>
                <w:color w:val="auto"/>
                <w:sz w:val="24"/>
                <w:szCs w:val="24"/>
                <w:highlight w:val="none"/>
                <w:shd w:val="clear" w:color="auto" w:fill="auto"/>
                <w:lang w:val="en-US" w:eastAsia="zh-CN"/>
              </w:rPr>
              <w:t>。</w:t>
            </w:r>
          </w:p>
        </w:tc>
        <w:tc>
          <w:tcPr>
            <w:tcW w:w="717" w:type="dxa"/>
            <w:tcBorders>
              <w:top w:val="single" w:color="auto" w:sz="4" w:space="0"/>
              <w:left w:val="single" w:color="auto" w:sz="4" w:space="0"/>
              <w:bottom w:val="single" w:color="auto" w:sz="4" w:space="0"/>
              <w:right w:val="single" w:color="auto" w:sz="4" w:space="0"/>
            </w:tcBorders>
            <w:vAlign w:val="center"/>
          </w:tcPr>
          <w:p w14:paraId="54FE3510">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8</w:t>
            </w:r>
          </w:p>
        </w:tc>
      </w:tr>
      <w:tr w14:paraId="6B7C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3D2CBC0">
            <w:pPr>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c>
          <w:tcPr>
            <w:tcW w:w="1252" w:type="dxa"/>
            <w:tcBorders>
              <w:top w:val="single" w:color="auto" w:sz="4" w:space="0"/>
              <w:left w:val="single" w:color="auto" w:sz="4" w:space="0"/>
              <w:bottom w:val="single" w:color="auto" w:sz="4" w:space="0"/>
              <w:right w:val="single" w:color="auto" w:sz="4" w:space="0"/>
            </w:tcBorders>
            <w:vAlign w:val="center"/>
          </w:tcPr>
          <w:p w14:paraId="30119F59">
            <w:pPr>
              <w:spacing w:line="360" w:lineRule="auto"/>
              <w:jc w:val="center"/>
              <w:rPr>
                <w:rFonts w:hint="eastAsia" w:ascii="宋体" w:hAnsi="宋体" w:cs="宋体"/>
                <w:bCs/>
                <w:color w:val="auto"/>
                <w:sz w:val="24"/>
                <w:szCs w:val="24"/>
                <w:highlight w:val="none"/>
              </w:rPr>
            </w:pPr>
            <w:r>
              <w:rPr>
                <w:rFonts w:hint="eastAsia" w:ascii="宋体" w:hAnsi="宋体" w:eastAsia="宋体" w:cs="宋体"/>
                <w:color w:val="auto"/>
                <w:sz w:val="24"/>
                <w:szCs w:val="24"/>
                <w:highlight w:val="none"/>
                <w:shd w:val="clear" w:color="auto" w:fill="auto"/>
              </w:rPr>
              <w:t>应急方案</w:t>
            </w:r>
          </w:p>
        </w:tc>
        <w:tc>
          <w:tcPr>
            <w:tcW w:w="7136" w:type="dxa"/>
            <w:tcBorders>
              <w:top w:val="single" w:color="auto" w:sz="4" w:space="0"/>
              <w:left w:val="single" w:color="auto" w:sz="4" w:space="0"/>
              <w:bottom w:val="single" w:color="auto" w:sz="4" w:space="0"/>
              <w:right w:val="single" w:color="auto" w:sz="4" w:space="0"/>
            </w:tcBorders>
            <w:vAlign w:val="center"/>
          </w:tcPr>
          <w:p w14:paraId="407CA347">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应急实施方案(临时突发性特殊采购</w:t>
            </w:r>
            <w:r>
              <w:rPr>
                <w:rFonts w:hint="eastAsia" w:ascii="宋体" w:hAnsi="宋体" w:cs="宋体"/>
                <w:bCs/>
                <w:color w:val="auto"/>
                <w:kern w:val="2"/>
                <w:sz w:val="24"/>
                <w:szCs w:val="24"/>
                <w:highlight w:val="none"/>
                <w:lang w:val="en-US" w:eastAsia="zh-CN" w:bidi="ar-SA"/>
              </w:rPr>
              <w:t>（0-2分）</w:t>
            </w:r>
            <w:r>
              <w:rPr>
                <w:rFonts w:hint="eastAsia" w:ascii="宋体" w:hAnsi="宋体" w:eastAsia="宋体" w:cs="宋体"/>
                <w:bCs/>
                <w:color w:val="auto"/>
                <w:kern w:val="2"/>
                <w:sz w:val="24"/>
                <w:szCs w:val="24"/>
                <w:highlight w:val="none"/>
                <w:lang w:val="en-US" w:eastAsia="zh-CN" w:bidi="ar-SA"/>
              </w:rPr>
              <w:t>、急件采购</w:t>
            </w:r>
            <w:r>
              <w:rPr>
                <w:rFonts w:hint="eastAsia" w:ascii="宋体" w:hAnsi="宋体" w:cs="宋体"/>
                <w:bCs/>
                <w:color w:val="auto"/>
                <w:kern w:val="2"/>
                <w:sz w:val="24"/>
                <w:szCs w:val="24"/>
                <w:highlight w:val="none"/>
                <w:lang w:val="en-US" w:eastAsia="zh-CN" w:bidi="ar-SA"/>
              </w:rPr>
              <w:t>（0-2分）</w:t>
            </w:r>
            <w:r>
              <w:rPr>
                <w:rFonts w:hint="eastAsia" w:ascii="宋体" w:hAnsi="宋体" w:eastAsia="宋体" w:cs="宋体"/>
                <w:bCs/>
                <w:color w:val="auto"/>
                <w:kern w:val="2"/>
                <w:sz w:val="24"/>
                <w:szCs w:val="24"/>
                <w:highlight w:val="none"/>
                <w:lang w:val="en-US" w:eastAsia="zh-CN" w:bidi="ar-SA"/>
              </w:rPr>
              <w:t>、大宗采购</w:t>
            </w:r>
            <w:r>
              <w:rPr>
                <w:rFonts w:hint="eastAsia" w:ascii="宋体" w:hAnsi="宋体" w:cs="宋体"/>
                <w:bCs/>
                <w:color w:val="auto"/>
                <w:kern w:val="2"/>
                <w:sz w:val="24"/>
                <w:szCs w:val="24"/>
                <w:highlight w:val="none"/>
                <w:lang w:val="en-US" w:eastAsia="zh-CN" w:bidi="ar-SA"/>
              </w:rPr>
              <w:t>（0-2分）</w:t>
            </w:r>
            <w:r>
              <w:rPr>
                <w:rFonts w:hint="eastAsia" w:ascii="宋体" w:hAnsi="宋体" w:eastAsia="宋体" w:cs="宋体"/>
                <w:bCs/>
                <w:color w:val="auto"/>
                <w:kern w:val="2"/>
                <w:sz w:val="24"/>
                <w:szCs w:val="24"/>
                <w:highlight w:val="none"/>
                <w:lang w:val="en-US" w:eastAsia="zh-CN" w:bidi="ar-SA"/>
              </w:rPr>
              <w:t>等服务项目)的科学性、合理性，由评委根据投标单位提供的方案进行打分</w:t>
            </w:r>
            <w:r>
              <w:rPr>
                <w:rFonts w:hint="eastAsia" w:ascii="宋体" w:hAnsi="宋体" w:cs="宋体"/>
                <w:bCs/>
                <w:color w:val="auto"/>
                <w:kern w:val="2"/>
                <w:sz w:val="24"/>
                <w:szCs w:val="24"/>
                <w:highlight w:val="none"/>
                <w:lang w:val="en-US" w:eastAsia="zh-CN" w:bidi="ar-SA"/>
              </w:rPr>
              <w:t>，本项最高得6分</w:t>
            </w:r>
            <w:r>
              <w:rPr>
                <w:rFonts w:hint="eastAsia" w:ascii="宋体" w:hAnsi="宋体" w:eastAsia="宋体" w:cs="宋体"/>
                <w:bCs/>
                <w:color w:val="auto"/>
                <w:kern w:val="2"/>
                <w:sz w:val="24"/>
                <w:szCs w:val="24"/>
                <w:highlight w:val="none"/>
                <w:lang w:val="en-US" w:eastAsia="zh-CN" w:bidi="ar-SA"/>
              </w:rPr>
              <w:t>。</w:t>
            </w:r>
          </w:p>
        </w:tc>
        <w:tc>
          <w:tcPr>
            <w:tcW w:w="717" w:type="dxa"/>
            <w:tcBorders>
              <w:top w:val="single" w:color="auto" w:sz="4" w:space="0"/>
              <w:left w:val="single" w:color="auto" w:sz="4" w:space="0"/>
              <w:bottom w:val="single" w:color="auto" w:sz="4" w:space="0"/>
              <w:right w:val="single" w:color="auto" w:sz="4" w:space="0"/>
            </w:tcBorders>
            <w:vAlign w:val="center"/>
          </w:tcPr>
          <w:p w14:paraId="586FEF0C">
            <w:pPr>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r>
      <w:tr w14:paraId="1F71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EC7F19">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1252" w:type="dxa"/>
            <w:tcBorders>
              <w:top w:val="single" w:color="auto" w:sz="4" w:space="0"/>
              <w:left w:val="single" w:color="auto" w:sz="4" w:space="0"/>
              <w:bottom w:val="single" w:color="auto" w:sz="4" w:space="0"/>
              <w:right w:val="single" w:color="auto" w:sz="4" w:space="0"/>
            </w:tcBorders>
            <w:vAlign w:val="center"/>
          </w:tcPr>
          <w:p w14:paraId="68D30734">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企业管理</w:t>
            </w:r>
          </w:p>
        </w:tc>
        <w:tc>
          <w:tcPr>
            <w:tcW w:w="7136" w:type="dxa"/>
            <w:tcBorders>
              <w:top w:val="single" w:color="auto" w:sz="4" w:space="0"/>
              <w:left w:val="single" w:color="auto" w:sz="4" w:space="0"/>
              <w:bottom w:val="single" w:color="auto" w:sz="4" w:space="0"/>
              <w:right w:val="single" w:color="auto" w:sz="4" w:space="0"/>
            </w:tcBorders>
            <w:vAlign w:val="center"/>
          </w:tcPr>
          <w:p w14:paraId="719766BF">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投标人提供各项企业管理制度，包括质量管理制度（0-</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）、食品采购制度（0-</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）、考核制度（0-</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）等，由评委</w:t>
            </w:r>
            <w:r>
              <w:rPr>
                <w:rFonts w:hint="eastAsia" w:ascii="宋体" w:hAnsi="宋体" w:cs="宋体"/>
                <w:bCs/>
                <w:color w:val="auto"/>
                <w:kern w:val="2"/>
                <w:sz w:val="24"/>
                <w:szCs w:val="24"/>
                <w:highlight w:val="none"/>
                <w:lang w:val="en-US" w:eastAsia="zh-CN" w:bidi="ar-SA"/>
              </w:rPr>
              <w:t>根据</w:t>
            </w:r>
            <w:r>
              <w:rPr>
                <w:rFonts w:hint="eastAsia" w:ascii="宋体" w:hAnsi="宋体" w:eastAsia="宋体" w:cs="宋体"/>
                <w:bCs/>
                <w:color w:val="auto"/>
                <w:kern w:val="2"/>
                <w:sz w:val="24"/>
                <w:szCs w:val="24"/>
                <w:highlight w:val="none"/>
                <w:lang w:val="en-US" w:eastAsia="zh-CN" w:bidi="ar-SA"/>
              </w:rPr>
              <w:t>投标单位提供的管理方案进行打分</w:t>
            </w:r>
            <w:r>
              <w:rPr>
                <w:rFonts w:hint="eastAsia" w:ascii="宋体" w:hAnsi="宋体" w:cs="宋体"/>
                <w:bCs/>
                <w:color w:val="auto"/>
                <w:kern w:val="2"/>
                <w:sz w:val="24"/>
                <w:szCs w:val="24"/>
                <w:highlight w:val="none"/>
                <w:lang w:val="en-US" w:eastAsia="zh-CN" w:bidi="ar-SA"/>
              </w:rPr>
              <w:t>，本项最高得6分</w:t>
            </w:r>
            <w:r>
              <w:rPr>
                <w:rFonts w:hint="eastAsia" w:ascii="宋体" w:hAnsi="宋体" w:eastAsia="宋体" w:cs="宋体"/>
                <w:bCs/>
                <w:color w:val="auto"/>
                <w:kern w:val="2"/>
                <w:sz w:val="24"/>
                <w:szCs w:val="24"/>
                <w:highlight w:val="none"/>
                <w:lang w:val="en-US" w:eastAsia="zh-CN" w:bidi="ar-SA"/>
              </w:rPr>
              <w:t>。</w:t>
            </w:r>
          </w:p>
        </w:tc>
        <w:tc>
          <w:tcPr>
            <w:tcW w:w="717" w:type="dxa"/>
            <w:tcBorders>
              <w:top w:val="single" w:color="auto" w:sz="4" w:space="0"/>
              <w:left w:val="single" w:color="auto" w:sz="4" w:space="0"/>
              <w:bottom w:val="single" w:color="auto" w:sz="4" w:space="0"/>
              <w:right w:val="single" w:color="auto" w:sz="4" w:space="0"/>
            </w:tcBorders>
            <w:vAlign w:val="center"/>
          </w:tcPr>
          <w:p w14:paraId="65AD25BE">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r>
      <w:tr w14:paraId="1AC3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4C2BBEC">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c>
          <w:tcPr>
            <w:tcW w:w="1252" w:type="dxa"/>
            <w:tcBorders>
              <w:top w:val="single" w:color="auto" w:sz="4" w:space="0"/>
              <w:left w:val="single" w:color="auto" w:sz="4" w:space="0"/>
              <w:bottom w:val="single" w:color="auto" w:sz="4" w:space="0"/>
              <w:right w:val="single" w:color="auto" w:sz="4" w:space="0"/>
            </w:tcBorders>
            <w:vAlign w:val="center"/>
          </w:tcPr>
          <w:p w14:paraId="1D600A90">
            <w:pPr>
              <w:spacing w:line="360" w:lineRule="auto"/>
              <w:jc w:val="center"/>
              <w:rPr>
                <w:rFonts w:ascii="宋体" w:hAnsi="宋体" w:cs="宋体"/>
                <w:bCs/>
                <w:color w:val="auto"/>
                <w:sz w:val="24"/>
                <w:szCs w:val="24"/>
                <w:highlight w:val="none"/>
              </w:rPr>
            </w:pPr>
            <w:r>
              <w:rPr>
                <w:rFonts w:hint="eastAsia" w:ascii="宋体" w:hAnsi="宋体" w:eastAsia="宋体" w:cs="宋体"/>
                <w:color w:val="auto"/>
                <w:sz w:val="24"/>
                <w:szCs w:val="24"/>
                <w:highlight w:val="none"/>
                <w:shd w:val="clear" w:color="auto" w:fill="auto"/>
              </w:rPr>
              <w:t>供货保证措施及承诺</w:t>
            </w:r>
          </w:p>
        </w:tc>
        <w:tc>
          <w:tcPr>
            <w:tcW w:w="7136" w:type="dxa"/>
            <w:tcBorders>
              <w:top w:val="single" w:color="auto" w:sz="4" w:space="0"/>
              <w:left w:val="single" w:color="auto" w:sz="4" w:space="0"/>
              <w:bottom w:val="single" w:color="auto" w:sz="4" w:space="0"/>
              <w:right w:val="single" w:color="auto" w:sz="4" w:space="0"/>
            </w:tcBorders>
            <w:vAlign w:val="center"/>
          </w:tcPr>
          <w:p w14:paraId="3D02F92A">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1.收到业主的订货通知后能按照业主要求的时间内送到的相关保证措施，合理、可行的得3（含 ）-4分，较合理的得2（含）-3（不含）分，一般的得1-2（不含）分；本项最高得4分。</w:t>
            </w:r>
          </w:p>
          <w:p w14:paraId="7EDE04BF">
            <w:pPr>
              <w:spacing w:line="360" w:lineRule="auto"/>
              <w:rPr>
                <w:rFonts w:hint="eastAsia"/>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2.承诺每出现一次供货不及时，处罚10000元（含）及以上的得2分，承诺处罚5000（不含）—10000元（不含）的得1分，5000元（含）及以下的不得分。（以上内容未承诺不得分，承诺书格式自拟）</w:t>
            </w:r>
          </w:p>
        </w:tc>
        <w:tc>
          <w:tcPr>
            <w:tcW w:w="717" w:type="dxa"/>
            <w:tcBorders>
              <w:top w:val="single" w:color="auto" w:sz="4" w:space="0"/>
              <w:left w:val="single" w:color="auto" w:sz="4" w:space="0"/>
              <w:bottom w:val="single" w:color="auto" w:sz="4" w:space="0"/>
              <w:right w:val="single" w:color="auto" w:sz="4" w:space="0"/>
            </w:tcBorders>
            <w:vAlign w:val="center"/>
          </w:tcPr>
          <w:p w14:paraId="486AD2E6">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r>
      <w:tr w14:paraId="4A97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535FF84">
            <w:pPr>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252" w:type="dxa"/>
            <w:tcBorders>
              <w:top w:val="single" w:color="auto" w:sz="4" w:space="0"/>
              <w:left w:val="single" w:color="auto" w:sz="4" w:space="0"/>
              <w:bottom w:val="single" w:color="auto" w:sz="4" w:space="0"/>
              <w:right w:val="single" w:color="auto" w:sz="4" w:space="0"/>
            </w:tcBorders>
            <w:vAlign w:val="center"/>
          </w:tcPr>
          <w:p w14:paraId="47C3404A">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食品安全检测</w:t>
            </w:r>
          </w:p>
        </w:tc>
        <w:tc>
          <w:tcPr>
            <w:tcW w:w="7136" w:type="dxa"/>
            <w:tcBorders>
              <w:top w:val="single" w:color="auto" w:sz="4" w:space="0"/>
              <w:left w:val="single" w:color="auto" w:sz="4" w:space="0"/>
              <w:bottom w:val="single" w:color="auto" w:sz="4" w:space="0"/>
              <w:right w:val="single" w:color="auto" w:sz="4" w:space="0"/>
            </w:tcBorders>
            <w:vAlign w:val="center"/>
          </w:tcPr>
          <w:p w14:paraId="2135C3FC">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1、投标人设有标准食品检验室的得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544B7A22">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2、食品检验室基本检验检测设备配置齐全，功能包含农药残留快速检测</w:t>
            </w:r>
            <w:r>
              <w:rPr>
                <w:rFonts w:hint="eastAsia" w:ascii="宋体" w:hAnsi="宋体" w:cs="宋体"/>
                <w:bCs/>
                <w:color w:val="auto"/>
                <w:kern w:val="2"/>
                <w:sz w:val="24"/>
                <w:szCs w:val="24"/>
                <w:highlight w:val="none"/>
                <w:lang w:val="en-US" w:eastAsia="zh-CN" w:bidi="ar-SA"/>
              </w:rPr>
              <w:t>或</w:t>
            </w:r>
            <w:r>
              <w:rPr>
                <w:rFonts w:hint="eastAsia" w:ascii="宋体" w:hAnsi="宋体" w:eastAsia="宋体" w:cs="宋体"/>
                <w:bCs/>
                <w:color w:val="auto"/>
                <w:kern w:val="2"/>
                <w:sz w:val="24"/>
                <w:szCs w:val="24"/>
                <w:highlight w:val="none"/>
                <w:lang w:val="en-US" w:eastAsia="zh-CN" w:bidi="ar-SA"/>
              </w:rPr>
              <w:t>重金属检测</w:t>
            </w:r>
            <w:r>
              <w:rPr>
                <w:rFonts w:hint="eastAsia" w:ascii="宋体" w:hAnsi="宋体" w:cs="宋体"/>
                <w:bCs/>
                <w:color w:val="auto"/>
                <w:kern w:val="2"/>
                <w:sz w:val="24"/>
                <w:szCs w:val="24"/>
                <w:highlight w:val="none"/>
                <w:lang w:val="en-US" w:eastAsia="zh-CN" w:bidi="ar-SA"/>
              </w:rPr>
              <w:t>的</w:t>
            </w:r>
            <w:r>
              <w:rPr>
                <w:rFonts w:hint="eastAsia" w:ascii="宋体" w:hAnsi="宋体" w:eastAsia="宋体" w:cs="宋体"/>
                <w:bCs/>
                <w:color w:val="auto"/>
                <w:kern w:val="2"/>
                <w:sz w:val="24"/>
                <w:szCs w:val="24"/>
                <w:highlight w:val="none"/>
                <w:lang w:val="en-US" w:eastAsia="zh-CN" w:bidi="ar-SA"/>
              </w:rPr>
              <w:t>，根据投标单位</w:t>
            </w:r>
            <w:r>
              <w:rPr>
                <w:rFonts w:hint="eastAsia" w:ascii="宋体" w:hAnsi="宋体" w:cs="宋体"/>
                <w:bCs/>
                <w:color w:val="auto"/>
                <w:kern w:val="2"/>
                <w:sz w:val="24"/>
                <w:szCs w:val="24"/>
                <w:highlight w:val="none"/>
                <w:lang w:val="en-US" w:eastAsia="zh-CN" w:bidi="ar-SA"/>
              </w:rPr>
              <w:t>提供</w:t>
            </w:r>
            <w:r>
              <w:rPr>
                <w:rFonts w:hint="eastAsia" w:ascii="宋体" w:hAnsi="宋体" w:eastAsia="宋体" w:cs="宋体"/>
                <w:bCs/>
                <w:color w:val="auto"/>
                <w:kern w:val="2"/>
                <w:sz w:val="24"/>
                <w:szCs w:val="24"/>
                <w:highlight w:val="none"/>
                <w:lang w:val="en-US" w:eastAsia="zh-CN" w:bidi="ar-SA"/>
              </w:rPr>
              <w:t>的自有检测设备设施情况进行0-</w:t>
            </w:r>
            <w:r>
              <w:rPr>
                <w:rFonts w:hint="eastAsia" w:ascii="宋体" w:hAnsi="宋体" w:cs="宋体"/>
                <w:bCs/>
                <w:color w:val="auto"/>
                <w:kern w:val="2"/>
                <w:sz w:val="24"/>
                <w:szCs w:val="24"/>
                <w:highlight w:val="none"/>
                <w:lang w:val="en-US" w:eastAsia="zh-CN" w:bidi="ar-SA"/>
              </w:rPr>
              <w:t>3</w:t>
            </w:r>
            <w:r>
              <w:rPr>
                <w:rFonts w:hint="eastAsia" w:ascii="宋体" w:hAnsi="宋体" w:eastAsia="宋体" w:cs="宋体"/>
                <w:bCs/>
                <w:color w:val="auto"/>
                <w:kern w:val="2"/>
                <w:sz w:val="24"/>
                <w:szCs w:val="24"/>
                <w:highlight w:val="none"/>
                <w:lang w:val="en-US" w:eastAsia="zh-CN" w:bidi="ar-SA"/>
              </w:rPr>
              <w:t>分打分。（以上设备设施需提供购置发票和实景图片证明材料，未提供的不得分，材料发票和投标人名称不一致的不得分。）</w:t>
            </w:r>
          </w:p>
        </w:tc>
        <w:tc>
          <w:tcPr>
            <w:tcW w:w="717" w:type="dxa"/>
            <w:tcBorders>
              <w:top w:val="single" w:color="auto" w:sz="4" w:space="0"/>
              <w:left w:val="single" w:color="auto" w:sz="4" w:space="0"/>
              <w:bottom w:val="single" w:color="auto" w:sz="4" w:space="0"/>
              <w:right w:val="single" w:color="auto" w:sz="4" w:space="0"/>
            </w:tcBorders>
            <w:vAlign w:val="center"/>
          </w:tcPr>
          <w:p w14:paraId="02D091C1">
            <w:pPr>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r>
      <w:tr w14:paraId="7128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89180E2">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1252" w:type="dxa"/>
            <w:tcBorders>
              <w:top w:val="single" w:color="auto" w:sz="4" w:space="0"/>
              <w:left w:val="single" w:color="auto" w:sz="4" w:space="0"/>
              <w:bottom w:val="single" w:color="auto" w:sz="4" w:space="0"/>
              <w:right w:val="single" w:color="auto" w:sz="4" w:space="0"/>
            </w:tcBorders>
            <w:vAlign w:val="center"/>
          </w:tcPr>
          <w:p w14:paraId="7AE8ECB8">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配送保障</w:t>
            </w:r>
          </w:p>
        </w:tc>
        <w:tc>
          <w:tcPr>
            <w:tcW w:w="7136" w:type="dxa"/>
            <w:tcBorders>
              <w:top w:val="single" w:color="auto" w:sz="4" w:space="0"/>
              <w:left w:val="single" w:color="auto" w:sz="4" w:space="0"/>
              <w:bottom w:val="single" w:color="auto" w:sz="4" w:space="0"/>
              <w:right w:val="single" w:color="auto" w:sz="4" w:space="0"/>
            </w:tcBorders>
            <w:vAlign w:val="center"/>
          </w:tcPr>
          <w:p w14:paraId="469F3142">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投标人自有</w:t>
            </w:r>
            <w:r>
              <w:rPr>
                <w:rFonts w:hint="eastAsia" w:ascii="宋体" w:hAnsi="宋体" w:eastAsia="宋体" w:cs="宋体"/>
                <w:color w:val="auto"/>
                <w:sz w:val="24"/>
                <w:szCs w:val="24"/>
                <w:highlight w:val="none"/>
                <w:shd w:val="clear" w:color="auto" w:fill="auto"/>
              </w:rPr>
              <w:t>冷藏式配送车辆</w:t>
            </w:r>
            <w:r>
              <w:rPr>
                <w:rFonts w:hint="eastAsia" w:ascii="宋体" w:hAnsi="宋体" w:cs="宋体"/>
                <w:bCs/>
                <w:color w:val="auto"/>
                <w:sz w:val="24"/>
                <w:highlight w:val="none"/>
              </w:rPr>
              <w:t>每辆车得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分，最多得</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分，（需提供车辆行驶证复印件、实景车辆照片、购置发票或租赁合同，且须在检测合格期内，未提供相关证明不得分。）</w:t>
            </w:r>
            <w:bookmarkStart w:id="22" w:name="_GoBack"/>
            <w:bookmarkEnd w:id="22"/>
          </w:p>
        </w:tc>
        <w:tc>
          <w:tcPr>
            <w:tcW w:w="717" w:type="dxa"/>
            <w:tcBorders>
              <w:top w:val="single" w:color="auto" w:sz="4" w:space="0"/>
              <w:left w:val="single" w:color="auto" w:sz="4" w:space="0"/>
              <w:bottom w:val="single" w:color="auto" w:sz="4" w:space="0"/>
              <w:right w:val="single" w:color="auto" w:sz="4" w:space="0"/>
            </w:tcBorders>
            <w:vAlign w:val="center"/>
          </w:tcPr>
          <w:p w14:paraId="2C78631D">
            <w:pPr>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r>
      <w:tr w14:paraId="7168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02FD0F9">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p>
        </w:tc>
        <w:tc>
          <w:tcPr>
            <w:tcW w:w="1252" w:type="dxa"/>
            <w:tcBorders>
              <w:top w:val="single" w:color="auto" w:sz="4" w:space="0"/>
              <w:left w:val="single" w:color="auto" w:sz="4" w:space="0"/>
              <w:bottom w:val="single" w:color="auto" w:sz="4" w:space="0"/>
              <w:right w:val="single" w:color="auto" w:sz="4" w:space="0"/>
            </w:tcBorders>
            <w:vAlign w:val="center"/>
          </w:tcPr>
          <w:p w14:paraId="65E62D78">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履约能力</w:t>
            </w:r>
          </w:p>
        </w:tc>
        <w:tc>
          <w:tcPr>
            <w:tcW w:w="7136" w:type="dxa"/>
            <w:tcBorders>
              <w:top w:val="single" w:color="auto" w:sz="4" w:space="0"/>
              <w:left w:val="single" w:color="auto" w:sz="4" w:space="0"/>
              <w:bottom w:val="single" w:color="auto" w:sz="4" w:space="0"/>
              <w:right w:val="single" w:color="auto" w:sz="4" w:space="0"/>
            </w:tcBorders>
            <w:vAlign w:val="center"/>
          </w:tcPr>
          <w:p w14:paraId="41F055A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投标人企业</w:t>
            </w:r>
            <w:r>
              <w:rPr>
                <w:rFonts w:hint="eastAsia" w:ascii="宋体" w:hAnsi="宋体" w:cs="宋体"/>
                <w:bCs/>
                <w:color w:val="auto"/>
                <w:sz w:val="24"/>
                <w:szCs w:val="24"/>
                <w:highlight w:val="none"/>
                <w:lang w:eastAsia="zh-CN"/>
              </w:rPr>
              <w:t>有</w:t>
            </w:r>
            <w:r>
              <w:rPr>
                <w:rFonts w:hint="eastAsia" w:ascii="宋体" w:hAnsi="宋体" w:eastAsia="宋体" w:cs="宋体"/>
                <w:bCs/>
                <w:color w:val="auto"/>
                <w:sz w:val="24"/>
                <w:szCs w:val="24"/>
                <w:highlight w:val="none"/>
              </w:rPr>
              <w:t>配送场地</w:t>
            </w:r>
            <w:r>
              <w:rPr>
                <w:rFonts w:hint="eastAsia" w:ascii="宋体" w:hAnsi="宋体" w:cs="宋体"/>
                <w:bCs/>
                <w:color w:val="auto"/>
                <w:sz w:val="24"/>
                <w:szCs w:val="24"/>
                <w:highlight w:val="none"/>
                <w:lang w:eastAsia="zh-CN"/>
              </w:rPr>
              <w:t>（不含违章建筑）面积</w:t>
            </w:r>
            <w:r>
              <w:rPr>
                <w:rFonts w:hint="eastAsia" w:ascii="宋体" w:hAnsi="宋体" w:cs="宋体"/>
                <w:bCs/>
                <w:color w:val="auto"/>
                <w:sz w:val="24"/>
                <w:szCs w:val="24"/>
                <w:highlight w:val="none"/>
                <w:lang w:val="en-US" w:eastAsia="zh-CN"/>
              </w:rPr>
              <w:t>500平方米（不含）-1000平方米（含）的得2分，1000平方米（不含）-2000平方米（含）的得4分，2000平方米（不含）以上的得6分。</w:t>
            </w:r>
            <w:r>
              <w:rPr>
                <w:rFonts w:hint="eastAsia" w:ascii="宋体" w:hAnsi="宋体" w:cs="宋体"/>
                <w:bCs/>
                <w:color w:val="auto"/>
                <w:sz w:val="24"/>
                <w:szCs w:val="24"/>
                <w:highlight w:val="none"/>
                <w:lang w:val="zh-CN"/>
              </w:rPr>
              <w:t>（</w:t>
            </w:r>
            <w:r>
              <w:rPr>
                <w:rFonts w:hint="eastAsia" w:ascii="宋体" w:hAnsi="宋体" w:eastAsia="宋体" w:cs="宋体"/>
                <w:bCs/>
                <w:color w:val="auto"/>
                <w:sz w:val="24"/>
                <w:szCs w:val="24"/>
                <w:highlight w:val="none"/>
              </w:rPr>
              <w:t>企业经营配送场地必须与营业执照地址相一致</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提供经营场所的</w:t>
            </w:r>
            <w:r>
              <w:rPr>
                <w:rFonts w:hint="eastAsia" w:ascii="宋体" w:hAnsi="宋体" w:cs="宋体"/>
                <w:bCs/>
                <w:color w:val="auto"/>
                <w:sz w:val="24"/>
                <w:szCs w:val="24"/>
                <w:highlight w:val="none"/>
                <w:lang w:eastAsia="zh-CN"/>
              </w:rPr>
              <w:t>规模大小</w:t>
            </w:r>
            <w:r>
              <w:rPr>
                <w:rFonts w:hint="eastAsia" w:ascii="宋体" w:hAnsi="宋体" w:eastAsia="宋体" w:cs="宋体"/>
                <w:bCs/>
                <w:color w:val="auto"/>
                <w:sz w:val="24"/>
                <w:szCs w:val="24"/>
                <w:highlight w:val="none"/>
              </w:rPr>
              <w:t>证明及场地平面图并加盖公章，不提供不得分</w:t>
            </w:r>
            <w:r>
              <w:rPr>
                <w:rFonts w:hint="eastAsia" w:ascii="宋体" w:hAnsi="宋体" w:cs="宋体"/>
                <w:bCs/>
                <w:color w:val="auto"/>
                <w:sz w:val="24"/>
                <w:szCs w:val="24"/>
                <w:highlight w:val="none"/>
                <w:lang w:val="zh-CN"/>
              </w:rPr>
              <w:t>）</w:t>
            </w:r>
          </w:p>
        </w:tc>
        <w:tc>
          <w:tcPr>
            <w:tcW w:w="717" w:type="dxa"/>
            <w:tcBorders>
              <w:top w:val="single" w:color="auto" w:sz="4" w:space="0"/>
              <w:left w:val="single" w:color="auto" w:sz="4" w:space="0"/>
              <w:bottom w:val="single" w:color="auto" w:sz="4" w:space="0"/>
              <w:right w:val="single" w:color="auto" w:sz="4" w:space="0"/>
            </w:tcBorders>
            <w:vAlign w:val="center"/>
          </w:tcPr>
          <w:p w14:paraId="2FD6C3D7">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r>
      <w:tr w14:paraId="1C48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85C8FF0">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9</w:t>
            </w:r>
          </w:p>
        </w:tc>
        <w:tc>
          <w:tcPr>
            <w:tcW w:w="1252" w:type="dxa"/>
            <w:tcBorders>
              <w:top w:val="single" w:color="auto" w:sz="4" w:space="0"/>
              <w:left w:val="single" w:color="auto" w:sz="4" w:space="0"/>
              <w:bottom w:val="single" w:color="auto" w:sz="4" w:space="0"/>
              <w:right w:val="single" w:color="auto" w:sz="4" w:space="0"/>
            </w:tcBorders>
            <w:vAlign w:val="center"/>
          </w:tcPr>
          <w:p w14:paraId="48C5E82C">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企业人员</w:t>
            </w:r>
          </w:p>
        </w:tc>
        <w:tc>
          <w:tcPr>
            <w:tcW w:w="7136" w:type="dxa"/>
            <w:tcBorders>
              <w:top w:val="single" w:color="auto" w:sz="4" w:space="0"/>
              <w:left w:val="single" w:color="auto" w:sz="4" w:space="0"/>
              <w:bottom w:val="single" w:color="auto" w:sz="4" w:space="0"/>
              <w:right w:val="single" w:color="auto" w:sz="4" w:space="0"/>
            </w:tcBorders>
            <w:vAlign w:val="center"/>
          </w:tcPr>
          <w:p w14:paraId="38204A12">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根据投标企业人员在职人员持有健康证情况每人计0.</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分，最高</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w:t>
            </w:r>
          </w:p>
          <w:p w14:paraId="7C95090D">
            <w:pPr>
              <w:spacing w:line="360" w:lineRule="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2.投标企业人员具有食品检测类证书四级的得1分，三级得2分，二级及以上得3分，不累计得分，最高得3分。</w:t>
            </w:r>
          </w:p>
          <w:p w14:paraId="2F6E2FEB">
            <w:pPr>
              <w:spacing w:line="360" w:lineRule="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3.投标企业人员具有食品安全管理员证书的，每一名得1分，最高得2分。</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lang w:val="en-US" w:eastAsia="zh-CN"/>
              </w:rPr>
              <w:t>需提供人员身份证</w:t>
            </w:r>
            <w:r>
              <w:rPr>
                <w:rFonts w:hint="eastAsia" w:ascii="宋体" w:hAnsi="宋体" w:cs="宋体"/>
                <w:bCs/>
                <w:color w:val="auto"/>
                <w:sz w:val="24"/>
                <w:szCs w:val="24"/>
                <w:highlight w:val="none"/>
                <w:lang w:val="en-US" w:eastAsia="zh-CN"/>
              </w:rPr>
              <w:t>、</w:t>
            </w:r>
            <w:r>
              <w:rPr>
                <w:rFonts w:hint="eastAsia" w:ascii="宋体" w:hAnsi="宋体" w:cs="宋体"/>
                <w:bCs/>
                <w:color w:val="auto"/>
                <w:sz w:val="24"/>
                <w:highlight w:val="none"/>
              </w:rPr>
              <w:t>健康证复印件</w:t>
            </w:r>
            <w:r>
              <w:rPr>
                <w:rFonts w:hint="eastAsia" w:ascii="宋体" w:hAnsi="宋体" w:cs="宋体"/>
                <w:bCs/>
                <w:color w:val="auto"/>
                <w:sz w:val="24"/>
                <w:highlight w:val="none"/>
                <w:lang w:eastAsia="zh-CN"/>
              </w:rPr>
              <w:t>、证书复印件、缴纳社保证明或已</w:t>
            </w:r>
            <w:r>
              <w:rPr>
                <w:rFonts w:hint="eastAsia" w:ascii="宋体" w:hAnsi="宋体" w:eastAsia="宋体" w:cs="宋体"/>
                <w:bCs/>
                <w:color w:val="auto"/>
                <w:sz w:val="24"/>
                <w:highlight w:val="none"/>
                <w:lang w:val="en-US" w:eastAsia="zh-CN"/>
              </w:rPr>
              <w:t>缴纳社保的承诺书，提供承诺的，须在发布中标公告后3个工作日内提供社保缴纳凭证</w:t>
            </w:r>
            <w:r>
              <w:rPr>
                <w:rFonts w:hint="eastAsia" w:ascii="宋体" w:hAnsi="宋体" w:eastAsia="宋体" w:cs="宋体"/>
                <w:bCs/>
                <w:color w:val="auto"/>
                <w:sz w:val="24"/>
                <w:highlight w:val="none"/>
                <w:lang w:eastAsia="zh-CN"/>
              </w:rPr>
              <w:t>；以上资料需</w:t>
            </w:r>
            <w:r>
              <w:rPr>
                <w:rFonts w:hint="eastAsia" w:ascii="宋体" w:hAnsi="宋体" w:eastAsia="宋体" w:cs="宋体"/>
                <w:bCs/>
                <w:color w:val="auto"/>
                <w:sz w:val="24"/>
                <w:highlight w:val="none"/>
                <w:lang w:val="en-US" w:eastAsia="zh-CN"/>
              </w:rPr>
              <w:t>加盖投标人公章，</w:t>
            </w:r>
            <w:r>
              <w:rPr>
                <w:rFonts w:hint="eastAsia" w:ascii="宋体" w:hAnsi="宋体" w:eastAsia="宋体" w:cs="宋体"/>
                <w:bCs/>
                <w:color w:val="auto"/>
                <w:sz w:val="24"/>
                <w:highlight w:val="none"/>
                <w:lang w:val="zh-CN"/>
              </w:rPr>
              <w:t>不</w:t>
            </w:r>
            <w:r>
              <w:rPr>
                <w:rFonts w:hint="eastAsia" w:ascii="宋体" w:hAnsi="宋体" w:eastAsia="宋体" w:cs="宋体"/>
                <w:bCs/>
                <w:color w:val="auto"/>
                <w:sz w:val="24"/>
                <w:szCs w:val="24"/>
                <w:highlight w:val="none"/>
                <w:lang w:val="zh-CN"/>
              </w:rPr>
              <w:t>提供不得分）</w:t>
            </w:r>
          </w:p>
        </w:tc>
        <w:tc>
          <w:tcPr>
            <w:tcW w:w="717" w:type="dxa"/>
            <w:tcBorders>
              <w:top w:val="single" w:color="auto" w:sz="4" w:space="0"/>
              <w:left w:val="single" w:color="auto" w:sz="4" w:space="0"/>
              <w:bottom w:val="single" w:color="auto" w:sz="4" w:space="0"/>
              <w:right w:val="single" w:color="auto" w:sz="4" w:space="0"/>
            </w:tcBorders>
            <w:vAlign w:val="center"/>
          </w:tcPr>
          <w:p w14:paraId="585CFC71">
            <w:pP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 xml:space="preserve">  8</w:t>
            </w:r>
          </w:p>
        </w:tc>
      </w:tr>
      <w:tr w14:paraId="04E1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5AEF1BA">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c>
          <w:tcPr>
            <w:tcW w:w="1252" w:type="dxa"/>
            <w:tcBorders>
              <w:top w:val="single" w:color="auto" w:sz="4" w:space="0"/>
              <w:left w:val="single" w:color="auto" w:sz="4" w:space="0"/>
              <w:bottom w:val="single" w:color="auto" w:sz="4" w:space="0"/>
              <w:right w:val="single" w:color="auto" w:sz="4" w:space="0"/>
            </w:tcBorders>
            <w:vAlign w:val="bottom"/>
          </w:tcPr>
          <w:p w14:paraId="523CD18B">
            <w:pPr>
              <w:spacing w:line="360" w:lineRule="auto"/>
              <w:jc w:val="both"/>
              <w:rPr>
                <w:rFonts w:ascii="宋体" w:hAnsi="宋体" w:cs="宋体"/>
                <w:bCs/>
                <w:color w:val="auto"/>
                <w:sz w:val="24"/>
                <w:szCs w:val="24"/>
                <w:highlight w:val="none"/>
              </w:rPr>
            </w:pPr>
            <w:r>
              <w:rPr>
                <w:rFonts w:hint="eastAsia" w:ascii="宋体" w:hAnsi="宋体" w:cs="宋体"/>
                <w:bCs/>
                <w:color w:val="auto"/>
                <w:sz w:val="24"/>
                <w:szCs w:val="24"/>
                <w:highlight w:val="none"/>
              </w:rPr>
              <w:t>经营业绩</w:t>
            </w:r>
          </w:p>
        </w:tc>
        <w:tc>
          <w:tcPr>
            <w:tcW w:w="7136" w:type="dxa"/>
            <w:tcBorders>
              <w:top w:val="single" w:color="auto" w:sz="4" w:space="0"/>
              <w:left w:val="single" w:color="auto" w:sz="4" w:space="0"/>
              <w:bottom w:val="single" w:color="auto" w:sz="4" w:space="0"/>
              <w:right w:val="single" w:color="auto" w:sz="4" w:space="0"/>
            </w:tcBorders>
            <w:vAlign w:val="center"/>
          </w:tcPr>
          <w:p w14:paraId="118EEA1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投标人自20</w:t>
            </w:r>
            <w:r>
              <w:rPr>
                <w:rFonts w:hint="eastAsia" w:ascii="宋体" w:hAnsi="宋体" w:cs="宋体"/>
                <w:bCs/>
                <w:color w:val="auto"/>
                <w:sz w:val="24"/>
                <w:szCs w:val="24"/>
                <w:highlight w:val="none"/>
                <w:lang w:val="en-US" w:eastAsia="zh-CN"/>
              </w:rPr>
              <w:t>23</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月1日（以签订合同的</w:t>
            </w:r>
            <w:r>
              <w:rPr>
                <w:rFonts w:hint="eastAsia" w:ascii="宋体" w:hAnsi="宋体" w:cs="宋体"/>
                <w:bCs/>
                <w:color w:val="auto"/>
                <w:sz w:val="24"/>
                <w:szCs w:val="24"/>
                <w:highlight w:val="none"/>
                <w:lang w:eastAsia="zh-CN"/>
              </w:rPr>
              <w:t>时间</w:t>
            </w:r>
            <w:r>
              <w:rPr>
                <w:rFonts w:hint="eastAsia" w:ascii="宋体" w:hAnsi="宋体" w:eastAsia="宋体" w:cs="宋体"/>
                <w:bCs/>
                <w:color w:val="auto"/>
                <w:sz w:val="24"/>
                <w:szCs w:val="24"/>
                <w:highlight w:val="none"/>
              </w:rPr>
              <w:t>为准）以来有类似配送项目业绩，每</w:t>
            </w:r>
            <w:r>
              <w:rPr>
                <w:rFonts w:hint="eastAsia" w:ascii="宋体" w:hAnsi="宋体" w:cs="宋体"/>
                <w:bCs/>
                <w:color w:val="auto"/>
                <w:sz w:val="24"/>
                <w:szCs w:val="24"/>
                <w:highlight w:val="none"/>
                <w:lang w:eastAsia="zh-CN"/>
              </w:rPr>
              <w:t>个项目</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分，最高得3分。(需提供合同复印件及发票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zh-CN"/>
              </w:rPr>
              <w:t>不提供不得分</w:t>
            </w:r>
            <w:r>
              <w:rPr>
                <w:rFonts w:hint="eastAsia" w:ascii="宋体" w:hAnsi="宋体" w:eastAsia="宋体" w:cs="宋体"/>
                <w:bCs/>
                <w:color w:val="auto"/>
                <w:sz w:val="24"/>
                <w:szCs w:val="24"/>
                <w:highlight w:val="none"/>
              </w:rPr>
              <w:t>)</w:t>
            </w:r>
          </w:p>
        </w:tc>
        <w:tc>
          <w:tcPr>
            <w:tcW w:w="717" w:type="dxa"/>
            <w:tcBorders>
              <w:top w:val="single" w:color="auto" w:sz="4" w:space="0"/>
              <w:left w:val="single" w:color="auto" w:sz="4" w:space="0"/>
              <w:bottom w:val="single" w:color="auto" w:sz="4" w:space="0"/>
              <w:right w:val="single" w:color="auto" w:sz="4" w:space="0"/>
            </w:tcBorders>
            <w:vAlign w:val="center"/>
          </w:tcPr>
          <w:p w14:paraId="2F013418">
            <w:pPr>
              <w:spacing w:line="360" w:lineRule="auto"/>
              <w:rPr>
                <w:rFonts w:ascii="宋体" w:hAnsi="宋体" w:cs="宋体"/>
                <w:bCs/>
                <w:color w:val="auto"/>
                <w:sz w:val="24"/>
                <w:szCs w:val="24"/>
                <w:highlight w:val="none"/>
              </w:rPr>
            </w:pPr>
          </w:p>
          <w:p w14:paraId="3DAAED47">
            <w:pP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 xml:space="preserve">  3</w:t>
            </w:r>
          </w:p>
          <w:p w14:paraId="3D228C32">
            <w:pPr>
              <w:spacing w:line="360" w:lineRule="auto"/>
              <w:rPr>
                <w:rFonts w:ascii="宋体" w:hAnsi="宋体" w:cs="宋体"/>
                <w:bCs/>
                <w:color w:val="auto"/>
                <w:sz w:val="24"/>
                <w:szCs w:val="24"/>
                <w:highlight w:val="none"/>
              </w:rPr>
            </w:pPr>
          </w:p>
        </w:tc>
      </w:tr>
      <w:tr w14:paraId="37F2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2E036B">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1252" w:type="dxa"/>
            <w:tcBorders>
              <w:top w:val="single" w:color="auto" w:sz="4" w:space="0"/>
              <w:left w:val="single" w:color="auto" w:sz="4" w:space="0"/>
              <w:bottom w:val="single" w:color="auto" w:sz="4" w:space="0"/>
              <w:right w:val="single" w:color="auto" w:sz="4" w:space="0"/>
            </w:tcBorders>
            <w:vAlign w:val="center"/>
          </w:tcPr>
          <w:p w14:paraId="36DB41B5">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企业认证</w:t>
            </w:r>
          </w:p>
        </w:tc>
        <w:tc>
          <w:tcPr>
            <w:tcW w:w="7136" w:type="dxa"/>
            <w:tcBorders>
              <w:top w:val="single" w:color="auto" w:sz="4" w:space="0"/>
              <w:left w:val="single" w:color="auto" w:sz="4" w:space="0"/>
              <w:bottom w:val="single" w:color="auto" w:sz="4" w:space="0"/>
              <w:right w:val="single" w:color="auto" w:sz="4" w:space="0"/>
            </w:tcBorders>
            <w:vAlign w:val="center"/>
          </w:tcPr>
          <w:p w14:paraId="081E4D76">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投标人通过ISO质量管理体系认证的计</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p w14:paraId="06CB1D78">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通过ISO环境管理体系认证的计</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p w14:paraId="5A00F1CA">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通过ISO职业健康安全管理体系认证的计</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p w14:paraId="43A963B8">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通过ISO食品安全管理体系认证的计</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p w14:paraId="4D053E71">
            <w:pPr>
              <w:spacing w:line="360" w:lineRule="auto"/>
              <w:rPr>
                <w:rFonts w:hint="eastAsia" w:ascii="宋体" w:hAnsi="宋体" w:eastAsia="宋体" w:cs="宋体"/>
                <w:bCs/>
                <w:color w:val="auto"/>
                <w:sz w:val="24"/>
                <w:szCs w:val="24"/>
                <w:highlight w:val="none"/>
              </w:rPr>
            </w:pPr>
            <w:r>
              <w:rPr>
                <w:rFonts w:hint="eastAsia" w:ascii="宋体" w:hAnsi="宋体" w:cs="宋体"/>
                <w:bCs/>
                <w:color w:val="auto"/>
                <w:sz w:val="24"/>
                <w:highlight w:val="none"/>
              </w:rPr>
              <w:t>（各类认证证书以中文版本为准，提供认监网www.cnca.gcv.cn查询截图和证书复印件进入响应文件，复印件加盖公章，不提供不得分。如经发现证书弄虚作假，取消投标单位本次投标资格）。</w:t>
            </w:r>
          </w:p>
        </w:tc>
        <w:tc>
          <w:tcPr>
            <w:tcW w:w="717" w:type="dxa"/>
            <w:tcBorders>
              <w:top w:val="single" w:color="auto" w:sz="4" w:space="0"/>
              <w:left w:val="single" w:color="auto" w:sz="4" w:space="0"/>
              <w:bottom w:val="single" w:color="auto" w:sz="4" w:space="0"/>
              <w:right w:val="single" w:color="auto" w:sz="4" w:space="0"/>
            </w:tcBorders>
            <w:vAlign w:val="center"/>
          </w:tcPr>
          <w:p w14:paraId="0D36B624">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r>
    </w:tbl>
    <w:p w14:paraId="1CFBFA0E">
      <w:pPr>
        <w:rPr>
          <w:rFonts w:hint="eastAsia"/>
          <w:color w:val="auto"/>
          <w:highlight w:val="none"/>
        </w:rPr>
      </w:pPr>
    </w:p>
    <w:p w14:paraId="1FB5D729">
      <w:pPr>
        <w:tabs>
          <w:tab w:val="left" w:pos="1154"/>
        </w:tabs>
        <w:spacing w:line="360" w:lineRule="auto"/>
        <w:jc w:val="center"/>
        <w:rPr>
          <w:rFonts w:hint="eastAsia" w:ascii="宋体" w:hAnsi="宋体"/>
          <w:b/>
          <w:color w:val="auto"/>
          <w:sz w:val="32"/>
          <w:szCs w:val="28"/>
          <w:highlight w:val="none"/>
        </w:rPr>
      </w:pPr>
    </w:p>
    <w:p w14:paraId="25F7AB04">
      <w:pPr>
        <w:tabs>
          <w:tab w:val="left" w:pos="1154"/>
        </w:tabs>
        <w:spacing w:line="360" w:lineRule="auto"/>
        <w:jc w:val="center"/>
        <w:rPr>
          <w:rFonts w:hint="eastAsia" w:ascii="宋体" w:hAnsi="宋体"/>
          <w:b/>
          <w:color w:val="auto"/>
          <w:sz w:val="32"/>
          <w:szCs w:val="28"/>
          <w:highlight w:val="none"/>
        </w:rPr>
      </w:pPr>
    </w:p>
    <w:p w14:paraId="3E1A1E47">
      <w:pPr>
        <w:tabs>
          <w:tab w:val="left" w:pos="1154"/>
        </w:tabs>
        <w:spacing w:line="360" w:lineRule="auto"/>
        <w:jc w:val="center"/>
        <w:rPr>
          <w:rFonts w:hint="eastAsia" w:ascii="宋体" w:hAnsi="宋体"/>
          <w:b/>
          <w:color w:val="auto"/>
          <w:sz w:val="32"/>
          <w:szCs w:val="28"/>
          <w:highlight w:val="none"/>
        </w:rPr>
      </w:pPr>
    </w:p>
    <w:p w14:paraId="0B05AC4C">
      <w:pPr>
        <w:tabs>
          <w:tab w:val="left" w:pos="1154"/>
        </w:tabs>
        <w:spacing w:line="360" w:lineRule="auto"/>
        <w:jc w:val="center"/>
        <w:rPr>
          <w:rFonts w:hint="eastAsia" w:ascii="宋体" w:hAnsi="宋体"/>
          <w:b/>
          <w:color w:val="auto"/>
          <w:sz w:val="32"/>
          <w:szCs w:val="28"/>
          <w:highlight w:val="none"/>
        </w:rPr>
      </w:pPr>
    </w:p>
    <w:p w14:paraId="33D7187A">
      <w:pPr>
        <w:tabs>
          <w:tab w:val="left" w:pos="1154"/>
        </w:tabs>
        <w:spacing w:line="360" w:lineRule="auto"/>
        <w:jc w:val="center"/>
        <w:rPr>
          <w:rFonts w:hint="eastAsia" w:ascii="宋体" w:hAnsi="宋体"/>
          <w:b/>
          <w:color w:val="auto"/>
          <w:sz w:val="32"/>
          <w:szCs w:val="28"/>
          <w:highlight w:val="none"/>
        </w:rPr>
      </w:pPr>
    </w:p>
    <w:p w14:paraId="30538B87">
      <w:pPr>
        <w:tabs>
          <w:tab w:val="left" w:pos="1154"/>
        </w:tabs>
        <w:spacing w:line="360" w:lineRule="auto"/>
        <w:jc w:val="center"/>
        <w:rPr>
          <w:rFonts w:hint="eastAsia" w:ascii="宋体" w:hAnsi="宋体"/>
          <w:b/>
          <w:color w:val="auto"/>
          <w:sz w:val="32"/>
          <w:szCs w:val="28"/>
          <w:highlight w:val="none"/>
        </w:rPr>
      </w:pPr>
    </w:p>
    <w:p w14:paraId="701B546B">
      <w:pPr>
        <w:tabs>
          <w:tab w:val="left" w:pos="1154"/>
        </w:tabs>
        <w:spacing w:line="360" w:lineRule="auto"/>
        <w:jc w:val="center"/>
        <w:rPr>
          <w:rFonts w:hint="eastAsia" w:ascii="宋体" w:hAnsi="宋体"/>
          <w:b/>
          <w:color w:val="auto"/>
          <w:sz w:val="32"/>
          <w:szCs w:val="28"/>
          <w:highlight w:val="none"/>
        </w:rPr>
      </w:pPr>
    </w:p>
    <w:p w14:paraId="7540C8F1">
      <w:pPr>
        <w:tabs>
          <w:tab w:val="left" w:pos="1154"/>
        </w:tabs>
        <w:spacing w:line="360" w:lineRule="auto"/>
        <w:jc w:val="center"/>
        <w:rPr>
          <w:rFonts w:hint="eastAsia" w:ascii="宋体" w:hAnsi="宋体"/>
          <w:b/>
          <w:color w:val="auto"/>
          <w:sz w:val="32"/>
          <w:szCs w:val="28"/>
          <w:highlight w:val="none"/>
        </w:rPr>
      </w:pPr>
    </w:p>
    <w:p w14:paraId="51FAC240">
      <w:pPr>
        <w:pStyle w:val="42"/>
        <w:rPr>
          <w:rFonts w:hint="eastAsia" w:ascii="宋体" w:hAnsi="宋体"/>
          <w:b/>
          <w:color w:val="auto"/>
          <w:sz w:val="32"/>
          <w:szCs w:val="28"/>
          <w:highlight w:val="none"/>
        </w:rPr>
      </w:pPr>
    </w:p>
    <w:p w14:paraId="3BB17806">
      <w:pPr>
        <w:rPr>
          <w:rFonts w:hint="eastAsia" w:ascii="宋体" w:hAnsi="宋体"/>
          <w:b/>
          <w:color w:val="auto"/>
          <w:sz w:val="32"/>
          <w:szCs w:val="28"/>
          <w:highlight w:val="none"/>
        </w:rPr>
      </w:pPr>
    </w:p>
    <w:p w14:paraId="7C7A50B4">
      <w:pPr>
        <w:pStyle w:val="42"/>
        <w:rPr>
          <w:rFonts w:hint="eastAsia" w:ascii="宋体" w:hAnsi="宋体"/>
          <w:b/>
          <w:color w:val="auto"/>
          <w:sz w:val="32"/>
          <w:szCs w:val="28"/>
          <w:highlight w:val="none"/>
        </w:rPr>
      </w:pPr>
    </w:p>
    <w:p w14:paraId="02ECFE86">
      <w:pPr>
        <w:tabs>
          <w:tab w:val="left" w:pos="1154"/>
        </w:tabs>
        <w:spacing w:line="360" w:lineRule="auto"/>
        <w:jc w:val="both"/>
        <w:rPr>
          <w:rFonts w:hint="eastAsia" w:ascii="宋体" w:hAnsi="宋体"/>
          <w:b/>
          <w:color w:val="auto"/>
          <w:sz w:val="32"/>
          <w:szCs w:val="28"/>
          <w:highlight w:val="none"/>
        </w:rPr>
      </w:pPr>
    </w:p>
    <w:p w14:paraId="21BA24C8">
      <w:pPr>
        <w:pStyle w:val="42"/>
        <w:rPr>
          <w:rFonts w:hint="eastAsia" w:ascii="宋体" w:hAnsi="宋体"/>
          <w:b/>
          <w:color w:val="auto"/>
          <w:sz w:val="32"/>
          <w:szCs w:val="28"/>
          <w:highlight w:val="none"/>
        </w:rPr>
      </w:pPr>
    </w:p>
    <w:p w14:paraId="7785DF4C">
      <w:pPr>
        <w:pStyle w:val="34"/>
        <w:rPr>
          <w:rFonts w:hint="eastAsia" w:ascii="宋体" w:hAnsi="宋体"/>
          <w:b/>
          <w:color w:val="auto"/>
          <w:sz w:val="32"/>
          <w:szCs w:val="28"/>
          <w:highlight w:val="none"/>
        </w:rPr>
      </w:pPr>
    </w:p>
    <w:p w14:paraId="49672589">
      <w:pPr>
        <w:rPr>
          <w:rFonts w:hint="eastAsia" w:ascii="宋体" w:hAnsi="宋体"/>
          <w:b/>
          <w:color w:val="auto"/>
          <w:sz w:val="32"/>
          <w:szCs w:val="28"/>
          <w:highlight w:val="none"/>
        </w:rPr>
      </w:pPr>
    </w:p>
    <w:bookmarkEnd w:id="5"/>
    <w:p w14:paraId="66F87C0C">
      <w:pPr>
        <w:pStyle w:val="34"/>
        <w:rPr>
          <w:rFonts w:hint="eastAsia"/>
        </w:rPr>
      </w:pPr>
    </w:p>
    <w:p w14:paraId="38367188">
      <w:pPr>
        <w:tabs>
          <w:tab w:val="left" w:pos="1154"/>
        </w:tabs>
        <w:spacing w:line="360" w:lineRule="auto"/>
        <w:jc w:val="center"/>
        <w:rPr>
          <w:rFonts w:ascii="宋体" w:hAnsi="宋体"/>
          <w:b/>
          <w:color w:val="auto"/>
          <w:sz w:val="30"/>
          <w:highlight w:val="none"/>
        </w:rPr>
      </w:pPr>
      <w:r>
        <w:rPr>
          <w:rFonts w:hint="eastAsia" w:ascii="宋体" w:hAnsi="宋体"/>
          <w:b/>
          <w:color w:val="auto"/>
          <w:sz w:val="32"/>
          <w:szCs w:val="28"/>
          <w:highlight w:val="none"/>
        </w:rPr>
        <w:t>第五章  东阳市政府采购合同（样本）</w:t>
      </w:r>
    </w:p>
    <w:p w14:paraId="5CC47CB0">
      <w:pPr>
        <w:pStyle w:val="24"/>
        <w:snapToGrid w:val="0"/>
        <w:spacing w:before="120" w:after="120" w:line="336" w:lineRule="auto"/>
        <w:rPr>
          <w:rFonts w:hint="eastAsia" w:hAnsi="宋体"/>
          <w:color w:val="auto"/>
          <w:highlight w:val="none"/>
        </w:rPr>
      </w:pPr>
      <w:r>
        <w:rPr>
          <w:rFonts w:hAnsi="宋体"/>
          <w:color w:val="auto"/>
          <w:highlight w:val="none"/>
        </w:rPr>
        <w:t>项目名称：</w:t>
      </w:r>
      <w:r>
        <w:rPr>
          <w:rFonts w:hint="eastAsia" w:hAnsi="宋体"/>
          <w:color w:val="auto"/>
          <w:highlight w:val="none"/>
        </w:rPr>
        <w:t xml:space="preserve">                    </w:t>
      </w:r>
      <w:r>
        <w:rPr>
          <w:rFonts w:hAnsi="宋体"/>
          <w:color w:val="auto"/>
          <w:highlight w:val="none"/>
        </w:rPr>
        <w:t>项目编号：</w:t>
      </w:r>
      <w:r>
        <w:rPr>
          <w:rFonts w:hint="eastAsia" w:hAnsi="宋体"/>
          <w:color w:val="auto"/>
          <w:highlight w:val="none"/>
        </w:rPr>
        <w:t xml:space="preserve">                     合同号：</w:t>
      </w:r>
    </w:p>
    <w:p w14:paraId="5473DC15">
      <w:pPr>
        <w:pStyle w:val="24"/>
        <w:snapToGrid w:val="0"/>
        <w:spacing w:before="120" w:after="120" w:line="336" w:lineRule="auto"/>
        <w:rPr>
          <w:rFonts w:hint="eastAsia" w:hAnsi="宋体"/>
          <w:color w:val="auto"/>
          <w:highlight w:val="none"/>
        </w:rPr>
      </w:pPr>
      <w:r>
        <w:rPr>
          <w:rFonts w:hAnsi="宋体"/>
          <w:color w:val="auto"/>
          <w:highlight w:val="none"/>
        </w:rPr>
        <w:t>甲方（买方）</w:t>
      </w:r>
      <w:r>
        <w:rPr>
          <w:rFonts w:hint="eastAsia" w:hAnsi="宋体"/>
          <w:color w:val="auto"/>
          <w:highlight w:val="none"/>
        </w:rPr>
        <w:t>：</w:t>
      </w:r>
    </w:p>
    <w:p w14:paraId="47DB9C51">
      <w:pPr>
        <w:pStyle w:val="24"/>
        <w:snapToGrid w:val="0"/>
        <w:spacing w:before="120" w:after="120" w:line="336" w:lineRule="auto"/>
        <w:rPr>
          <w:rFonts w:hint="eastAsia" w:hAnsi="宋体"/>
          <w:color w:val="auto"/>
          <w:highlight w:val="none"/>
        </w:rPr>
      </w:pPr>
      <w:r>
        <w:rPr>
          <w:rFonts w:hAnsi="宋体"/>
          <w:color w:val="auto"/>
          <w:highlight w:val="none"/>
        </w:rPr>
        <w:t>乙方（卖方）</w:t>
      </w:r>
      <w:r>
        <w:rPr>
          <w:rFonts w:hint="eastAsia" w:hAnsi="宋体"/>
          <w:color w:val="auto"/>
          <w:highlight w:val="none"/>
        </w:rPr>
        <w:t>：</w:t>
      </w:r>
    </w:p>
    <w:p w14:paraId="03B2362F">
      <w:pPr>
        <w:pStyle w:val="24"/>
        <w:snapToGrid w:val="0"/>
        <w:spacing w:before="0" w:beforeLines="0" w:after="0" w:afterLines="0" w:line="336" w:lineRule="auto"/>
        <w:ind w:firstLine="480" w:firstLineChars="200"/>
        <w:rPr>
          <w:rFonts w:hAnsi="宋体"/>
          <w:b/>
          <w:color w:val="auto"/>
          <w:highlight w:val="none"/>
        </w:rPr>
      </w:pPr>
      <w:r>
        <w:rPr>
          <w:rFonts w:hAnsi="宋体"/>
          <w:color w:val="auto"/>
          <w:highlight w:val="none"/>
        </w:rPr>
        <w:t>甲、乙双方根据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r>
        <w:rPr>
          <w:rFonts w:hint="eastAsia" w:hAnsi="宋体"/>
          <w:color w:val="auto"/>
          <w:highlight w:val="none"/>
          <w:lang w:eastAsia="zh-CN"/>
        </w:rPr>
        <w:t>泰宇建筑工程技术咨询有限公司</w:t>
      </w:r>
      <w:r>
        <w:rPr>
          <w:rFonts w:hAnsi="宋体"/>
          <w:color w:val="auto"/>
          <w:highlight w:val="none"/>
        </w:rPr>
        <w:t>关于</w:t>
      </w:r>
      <w:r>
        <w:rPr>
          <w:rFonts w:hint="eastAsia" w:hAnsi="宋体"/>
          <w:color w:val="auto"/>
          <w:highlight w:val="none"/>
          <w:u w:val="single"/>
        </w:rPr>
        <w:t xml:space="preserve">     </w:t>
      </w:r>
      <w:r>
        <w:rPr>
          <w:rFonts w:hAnsi="宋体"/>
          <w:color w:val="auto"/>
          <w:highlight w:val="none"/>
        </w:rPr>
        <w:t>项目公开招标</w:t>
      </w:r>
      <w:r>
        <w:rPr>
          <w:rFonts w:hint="eastAsia" w:hAnsi="宋体"/>
          <w:color w:val="auto"/>
          <w:highlight w:val="none"/>
        </w:rPr>
        <w:t>的</w:t>
      </w:r>
      <w:r>
        <w:rPr>
          <w:rFonts w:hAnsi="宋体"/>
          <w:color w:val="auto"/>
          <w:highlight w:val="none"/>
        </w:rPr>
        <w:t>结果，签署本合同。</w:t>
      </w:r>
    </w:p>
    <w:p w14:paraId="444CA19D">
      <w:pPr>
        <w:pStyle w:val="24"/>
        <w:snapToGrid w:val="0"/>
        <w:spacing w:before="0" w:beforeLines="0" w:after="0" w:afterLines="0" w:line="336" w:lineRule="auto"/>
        <w:rPr>
          <w:rFonts w:hAnsi="宋体"/>
          <w:b/>
          <w:color w:val="auto"/>
          <w:highlight w:val="none"/>
        </w:rPr>
      </w:pPr>
      <w:r>
        <w:rPr>
          <w:rFonts w:hAnsi="宋体"/>
          <w:b/>
          <w:color w:val="auto"/>
          <w:highlight w:val="none"/>
        </w:rPr>
        <w:t>一、</w:t>
      </w:r>
      <w:r>
        <w:rPr>
          <w:rFonts w:hint="eastAsia" w:hAnsi="宋体"/>
          <w:b/>
          <w:color w:val="auto"/>
          <w:sz w:val="24"/>
          <w:szCs w:val="24"/>
          <w:highlight w:val="none"/>
        </w:rPr>
        <w:t>服务</w:t>
      </w:r>
      <w:r>
        <w:rPr>
          <w:rFonts w:hAnsi="宋体"/>
          <w:b/>
          <w:color w:val="auto"/>
          <w:highlight w:val="none"/>
        </w:rPr>
        <w:t>内容</w:t>
      </w:r>
    </w:p>
    <w:p w14:paraId="611DD6B2">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1. 服务名称：</w:t>
      </w:r>
    </w:p>
    <w:p w14:paraId="200D2CBB">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2. 服务期限：</w:t>
      </w:r>
    </w:p>
    <w:p w14:paraId="6E2FC77D">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color w:val="auto"/>
          <w:highlight w:val="none"/>
        </w:rPr>
      </w:pPr>
      <w:r>
        <w:rPr>
          <w:rFonts w:hint="eastAsia" w:hAnsi="宋体" w:cs="宋体"/>
          <w:color w:val="auto"/>
          <w:highlight w:val="none"/>
        </w:rPr>
        <w:t>3. 服务地址：</w:t>
      </w:r>
    </w:p>
    <w:p w14:paraId="73F07B79">
      <w:pPr>
        <w:rPr>
          <w:color w:val="auto"/>
          <w:highlight w:val="none"/>
        </w:rPr>
      </w:pPr>
    </w:p>
    <w:p w14:paraId="37316F53">
      <w:pPr>
        <w:pStyle w:val="24"/>
        <w:snapToGrid w:val="0"/>
        <w:spacing w:before="0" w:beforeLines="0" w:after="0" w:afterLines="0" w:line="336" w:lineRule="auto"/>
        <w:rPr>
          <w:rFonts w:hAnsi="宋体"/>
          <w:b/>
          <w:color w:val="auto"/>
          <w:highlight w:val="none"/>
        </w:rPr>
      </w:pPr>
      <w:r>
        <w:rPr>
          <w:rFonts w:hAnsi="宋体"/>
          <w:b/>
          <w:color w:val="auto"/>
          <w:highlight w:val="none"/>
        </w:rPr>
        <w:t>二、合同金额</w:t>
      </w:r>
    </w:p>
    <w:p w14:paraId="68F2952C">
      <w:pPr>
        <w:pStyle w:val="24"/>
        <w:snapToGrid w:val="0"/>
        <w:spacing w:before="0" w:beforeLines="0" w:after="0" w:afterLines="0" w:line="336" w:lineRule="auto"/>
        <w:ind w:firstLine="480" w:firstLineChars="200"/>
        <w:rPr>
          <w:rFonts w:hint="eastAsia" w:hAnsi="宋体"/>
          <w:color w:val="auto"/>
          <w:highlight w:val="none"/>
        </w:rPr>
      </w:pPr>
      <w:r>
        <w:rPr>
          <w:rFonts w:hAnsi="宋体"/>
          <w:color w:val="auto"/>
          <w:highlight w:val="none"/>
        </w:rPr>
        <w:t>本合同金额为（大写）：_______________________元（￥_________元）人民币。</w:t>
      </w:r>
      <w:r>
        <w:rPr>
          <w:rFonts w:hint="eastAsia" w:hAnsi="宋体"/>
          <w:color w:val="auto"/>
          <w:highlight w:val="none"/>
        </w:rPr>
        <w:t>数量以甲方实际采购需要为准。</w:t>
      </w:r>
    </w:p>
    <w:p w14:paraId="42990154">
      <w:pPr>
        <w:pStyle w:val="24"/>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三、知识产权及技术资料</w:t>
      </w:r>
    </w:p>
    <w:p w14:paraId="018CE3AF">
      <w:pPr>
        <w:pStyle w:val="24"/>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6D8D97E">
      <w:pPr>
        <w:pStyle w:val="24"/>
        <w:snapToGrid w:val="0"/>
        <w:spacing w:before="0" w:beforeLines="0" w:after="0" w:afterLines="0" w:line="336"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2.乙方应保证所提供的技术服务或其任何一部分均不会侵犯任何第三方的知识产权。</w:t>
      </w:r>
    </w:p>
    <w:p w14:paraId="769F2C3C">
      <w:pPr>
        <w:pStyle w:val="24"/>
        <w:snapToGrid w:val="0"/>
        <w:spacing w:before="0" w:beforeLines="0" w:after="0" w:afterLines="0" w:line="336" w:lineRule="auto"/>
        <w:rPr>
          <w:rFonts w:hint="eastAsia" w:hAnsi="宋体" w:cs="宋体"/>
          <w:b/>
          <w:color w:val="auto"/>
          <w:highlight w:val="none"/>
        </w:rPr>
      </w:pPr>
      <w:r>
        <w:rPr>
          <w:rFonts w:hint="eastAsia" w:hAnsi="宋体"/>
          <w:b/>
          <w:color w:val="auto"/>
          <w:highlight w:val="none"/>
        </w:rPr>
        <w:t>四</w:t>
      </w:r>
      <w:r>
        <w:rPr>
          <w:rFonts w:hAnsi="宋体"/>
          <w:b/>
          <w:color w:val="auto"/>
          <w:highlight w:val="none"/>
        </w:rPr>
        <w:t>、</w:t>
      </w:r>
      <w:r>
        <w:rPr>
          <w:rFonts w:hint="eastAsia" w:hAnsi="宋体" w:cs="宋体"/>
          <w:b/>
          <w:color w:val="auto"/>
          <w:highlight w:val="none"/>
        </w:rPr>
        <w:t>履约保证金</w:t>
      </w:r>
    </w:p>
    <w:p w14:paraId="757995F1">
      <w:pPr>
        <w:pStyle w:val="24"/>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color w:val="auto"/>
          <w:highlight w:val="none"/>
        </w:rPr>
      </w:pPr>
      <w:r>
        <w:rPr>
          <w:rFonts w:hint="eastAsia" w:hAnsi="宋体" w:cs="宋体"/>
          <w:color w:val="auto"/>
          <w:highlight w:val="none"/>
          <w:lang w:val="en-US" w:eastAsia="zh-CN"/>
        </w:rPr>
        <w:t>本项目无需缴纳履约保证金。</w:t>
      </w:r>
    </w:p>
    <w:p w14:paraId="65A48D2E">
      <w:pPr>
        <w:pStyle w:val="24"/>
        <w:snapToGrid w:val="0"/>
        <w:spacing w:before="0" w:beforeLines="0" w:after="0" w:afterLines="0" w:line="336" w:lineRule="auto"/>
        <w:rPr>
          <w:rFonts w:hAnsi="宋体"/>
          <w:b/>
          <w:color w:val="auto"/>
          <w:highlight w:val="none"/>
        </w:rPr>
      </w:pPr>
      <w:r>
        <w:rPr>
          <w:rFonts w:hint="eastAsia" w:hAnsi="宋体"/>
          <w:b/>
          <w:color w:val="auto"/>
          <w:highlight w:val="none"/>
          <w:lang w:eastAsia="zh-CN"/>
        </w:rPr>
        <w:t>五</w:t>
      </w:r>
      <w:r>
        <w:rPr>
          <w:rFonts w:hint="eastAsia" w:hAnsi="宋体"/>
          <w:b/>
          <w:color w:val="auto"/>
          <w:highlight w:val="none"/>
        </w:rPr>
        <w:t>、转包或分包</w:t>
      </w:r>
    </w:p>
    <w:p w14:paraId="33CDFB3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kern w:val="0"/>
          <w:sz w:val="24"/>
          <w:szCs w:val="20"/>
          <w:highlight w:val="none"/>
        </w:rPr>
      </w:pPr>
      <w:r>
        <w:rPr>
          <w:rFonts w:hint="eastAsia" w:ascii="宋体" w:hAnsi="宋体" w:cs="宋体"/>
          <w:color w:val="auto"/>
          <w:kern w:val="0"/>
          <w:sz w:val="24"/>
          <w:highlight w:val="none"/>
        </w:rPr>
        <w:t>1.本项目不允许转包。</w:t>
      </w:r>
    </w:p>
    <w:p w14:paraId="3806E5AB">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kern w:val="0"/>
          <w:highlight w:val="none"/>
        </w:rPr>
      </w:pPr>
      <w:r>
        <w:rPr>
          <w:rFonts w:hint="eastAsia" w:hAnsi="宋体" w:cs="宋体"/>
          <w:color w:val="auto"/>
          <w:kern w:val="0"/>
          <w:highlight w:val="none"/>
        </w:rPr>
        <w:t>2.本项目分包按照浙财采监[2022]3号文件执行。</w:t>
      </w:r>
    </w:p>
    <w:p w14:paraId="48DD43AB">
      <w:pPr>
        <w:snapToGrid w:val="0"/>
        <w:spacing w:before="120" w:after="120" w:line="276" w:lineRule="auto"/>
        <w:rPr>
          <w:rFonts w:hint="eastAsia" w:ascii="宋体" w:hAnsi="宋体" w:eastAsia="宋体" w:cs="Times New Roman"/>
          <w:b/>
          <w:color w:val="auto"/>
          <w:kern w:val="2"/>
          <w:sz w:val="24"/>
          <w:szCs w:val="24"/>
          <w:highlight w:val="none"/>
          <w:lang w:val="en-US" w:eastAsia="zh-CN" w:bidi="ar-SA"/>
        </w:rPr>
      </w:pPr>
      <w:r>
        <w:rPr>
          <w:rFonts w:hint="eastAsia" w:ascii="宋体" w:hAnsi="宋体" w:cs="Times New Roman"/>
          <w:b/>
          <w:color w:val="auto"/>
          <w:kern w:val="2"/>
          <w:sz w:val="24"/>
          <w:szCs w:val="24"/>
          <w:highlight w:val="none"/>
          <w:lang w:val="en-US" w:eastAsia="zh-CN" w:bidi="ar-SA"/>
        </w:rPr>
        <w:t>六</w:t>
      </w:r>
      <w:r>
        <w:rPr>
          <w:rFonts w:hint="eastAsia" w:ascii="宋体" w:hAnsi="宋体" w:eastAsia="宋体" w:cs="Times New Roman"/>
          <w:b/>
          <w:color w:val="auto"/>
          <w:kern w:val="2"/>
          <w:sz w:val="24"/>
          <w:szCs w:val="24"/>
          <w:highlight w:val="none"/>
          <w:lang w:val="en-US" w:eastAsia="zh-CN" w:bidi="ar-SA"/>
        </w:rPr>
        <w:t>、</w:t>
      </w:r>
      <w:r>
        <w:rPr>
          <w:rFonts w:ascii="宋体" w:hAnsi="宋体"/>
          <w:b/>
          <w:color w:val="auto"/>
          <w:sz w:val="24"/>
          <w:highlight w:val="none"/>
        </w:rPr>
        <w:t>付款方式</w:t>
      </w:r>
    </w:p>
    <w:p w14:paraId="4CB58E41">
      <w:pPr>
        <w:pStyle w:val="24"/>
        <w:snapToGrid w:val="0"/>
        <w:spacing w:before="0" w:beforeLines="0" w:after="0" w:afterLines="0"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w:t>
      </w:r>
      <w:r>
        <w:rPr>
          <w:rFonts w:hint="eastAsia" w:hAnsi="宋体" w:cs="Times New Roman"/>
          <w:color w:val="auto"/>
          <w:sz w:val="24"/>
          <w:highlight w:val="none"/>
          <w:lang w:val="en-US" w:eastAsia="zh-CN"/>
        </w:rPr>
        <w:t>合同生效以及具备实施条件后7个工作日内支付</w:t>
      </w:r>
      <w:r>
        <w:rPr>
          <w:rFonts w:hint="eastAsia" w:ascii="宋体" w:hAnsi="宋体" w:eastAsia="宋体" w:cs="Times New Roman"/>
          <w:color w:val="auto"/>
          <w:sz w:val="24"/>
          <w:highlight w:val="none"/>
          <w:lang w:val="en-US" w:eastAsia="zh-CN"/>
        </w:rPr>
        <w:t>合同金额的</w:t>
      </w:r>
      <w:r>
        <w:rPr>
          <w:rFonts w:hint="eastAsia"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0%作为项目的预付款</w:t>
      </w:r>
      <w:r>
        <w:rPr>
          <w:rFonts w:hint="eastAsia" w:ascii="宋体" w:hAnsi="宋体" w:eastAsia="宋体" w:cs="宋体"/>
          <w:b w:val="0"/>
          <w:bCs w:val="0"/>
          <w:color w:val="auto"/>
          <w:kern w:val="0"/>
          <w:sz w:val="24"/>
          <w:szCs w:val="20"/>
          <w:highlight w:val="none"/>
          <w:lang w:eastAsia="zh-CN"/>
        </w:rPr>
        <w:t>（采购人根据项目特点、供应商诚信等因素，可以要求中标人提交预付款保函）</w:t>
      </w:r>
      <w:r>
        <w:rPr>
          <w:rFonts w:hint="eastAsia" w:ascii="宋体" w:hAnsi="宋体" w:eastAsia="宋体" w:cs="Times New Roman"/>
          <w:color w:val="auto"/>
          <w:sz w:val="24"/>
          <w:highlight w:val="none"/>
          <w:lang w:val="en-US" w:eastAsia="zh-CN"/>
        </w:rPr>
        <w:t>；</w:t>
      </w:r>
    </w:p>
    <w:p w14:paraId="08568B64">
      <w:pPr>
        <w:pStyle w:val="24"/>
        <w:snapToGrid w:val="0"/>
        <w:spacing w:before="0" w:beforeLines="0" w:after="0" w:afterLines="0" w:line="360" w:lineRule="auto"/>
        <w:ind w:firstLine="480" w:firstLineChars="200"/>
        <w:rPr>
          <w:rFonts w:hAnsi="宋体"/>
          <w:b/>
          <w:color w:val="auto"/>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配送单位送货时必须提供三联的送货清单，验收签字后一张留食堂记台账，一张返还中标配送企业，一张作为月底结账凭据，每月结账一次</w:t>
      </w:r>
      <w:r>
        <w:rPr>
          <w:rFonts w:hint="eastAsia" w:ascii="宋体" w:hAnsi="宋体" w:eastAsia="宋体" w:cs="Times New Roman"/>
          <w:color w:val="auto"/>
          <w:sz w:val="24"/>
          <w:highlight w:val="none"/>
          <w:lang w:val="en-US" w:eastAsia="zh-CN"/>
        </w:rPr>
        <w:t>。每月初根据上个月送货清单，经双方核对后5日内由中标方提供正式税务发票，采购单位报销手续完成后支付（不计息）。</w:t>
      </w:r>
    </w:p>
    <w:p w14:paraId="5147FC83">
      <w:pPr>
        <w:snapToGrid w:val="0"/>
        <w:rPr>
          <w:rFonts w:ascii="宋体" w:hAnsi="宋体"/>
          <w:b/>
          <w:color w:val="auto"/>
          <w:sz w:val="24"/>
          <w:szCs w:val="20"/>
          <w:highlight w:val="none"/>
        </w:rPr>
      </w:pPr>
      <w:r>
        <w:rPr>
          <w:rFonts w:hint="eastAsia" w:ascii="宋体" w:hAnsi="宋体"/>
          <w:b/>
          <w:color w:val="auto"/>
          <w:sz w:val="24"/>
          <w:highlight w:val="none"/>
          <w:lang w:eastAsia="zh-CN"/>
        </w:rPr>
        <w:t>七</w:t>
      </w:r>
      <w:r>
        <w:rPr>
          <w:rFonts w:hint="eastAsia" w:ascii="宋体" w:hAnsi="宋体"/>
          <w:b/>
          <w:color w:val="auto"/>
          <w:sz w:val="24"/>
          <w:highlight w:val="none"/>
        </w:rPr>
        <w:t>、税费</w:t>
      </w:r>
    </w:p>
    <w:p w14:paraId="3AB3E75E">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本合同执行中相关的一切税费均由</w:t>
      </w:r>
      <w:r>
        <w:rPr>
          <w:rFonts w:hAnsi="宋体"/>
          <w:color w:val="auto"/>
          <w:sz w:val="24"/>
          <w:highlight w:val="none"/>
        </w:rPr>
        <w:t>乙</w:t>
      </w:r>
      <w:r>
        <w:rPr>
          <w:rFonts w:hint="eastAsia" w:ascii="宋体" w:hAnsi="宋体"/>
          <w:color w:val="auto"/>
          <w:sz w:val="24"/>
          <w:highlight w:val="none"/>
        </w:rPr>
        <w:t>方负担。</w:t>
      </w:r>
    </w:p>
    <w:p w14:paraId="615CDAA9">
      <w:pPr>
        <w:keepNext w:val="0"/>
        <w:keepLines w:val="0"/>
        <w:pageBreakBefore w:val="0"/>
        <w:widowControl w:val="0"/>
        <w:kinsoku/>
        <w:wordWrap/>
        <w:overflowPunct/>
        <w:topLinePunct w:val="0"/>
        <w:autoSpaceDE/>
        <w:autoSpaceDN/>
        <w:bidi w:val="0"/>
        <w:adjustRightInd/>
        <w:snapToGrid w:val="0"/>
        <w:spacing w:before="120" w:beforeLines="50" w:after="120" w:afterLines="50"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八、调试和验收</w:t>
      </w:r>
    </w:p>
    <w:p w14:paraId="6B3F2832">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left="479" w:leftChars="228" w:firstLine="69" w:firstLineChars="29"/>
        <w:textAlignment w:val="auto"/>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采购单位组织</w:t>
      </w:r>
      <w:r>
        <w:rPr>
          <w:rFonts w:hint="eastAsia" w:ascii="宋体" w:hAnsi="宋体" w:eastAsia="宋体" w:cs="宋体"/>
          <w:color w:val="auto"/>
          <w:highlight w:val="none"/>
          <w:lang w:val="en-US" w:eastAsia="zh-CN"/>
        </w:rPr>
        <w:t>验收</w:t>
      </w:r>
    </w:p>
    <w:p w14:paraId="583D4C0C">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left="412" w:hanging="412" w:hangingChars="171"/>
        <w:textAlignment w:val="auto"/>
        <w:rPr>
          <w:rFonts w:hAnsi="宋体" w:cs="宋体"/>
          <w:color w:val="auto"/>
          <w:highlight w:val="none"/>
        </w:rPr>
      </w:pPr>
      <w:r>
        <w:rPr>
          <w:rFonts w:hint="eastAsia" w:hAnsi="宋体" w:cs="宋体"/>
          <w:b/>
          <w:color w:val="auto"/>
          <w:highlight w:val="none"/>
        </w:rPr>
        <w:t>九、服务质量保证及售后服务</w:t>
      </w:r>
    </w:p>
    <w:p w14:paraId="6A5BC557">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w:t>
      </w:r>
      <w:r>
        <w:rPr>
          <w:rFonts w:ascii="宋体" w:hAnsi="宋体" w:eastAsia="宋体" w:cs="Times New Roman"/>
          <w:color w:val="auto"/>
          <w:highlight w:val="none"/>
        </w:rPr>
        <w:t>乙方应按招标文件规定向甲方提供服务</w:t>
      </w:r>
      <w:r>
        <w:rPr>
          <w:rFonts w:hint="eastAsia" w:ascii="宋体" w:hAnsi="宋体" w:eastAsia="宋体" w:cs="Times New Roman"/>
          <w:color w:val="auto"/>
          <w:highlight w:val="none"/>
        </w:rPr>
        <w:t>。</w:t>
      </w:r>
    </w:p>
    <w:p w14:paraId="322CFC32">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ascii="宋体" w:hAnsi="宋体" w:eastAsia="宋体" w:cs="Times New Roman"/>
          <w:color w:val="auto"/>
          <w:highlight w:val="none"/>
        </w:rPr>
      </w:pPr>
      <w:r>
        <w:rPr>
          <w:rFonts w:hint="eastAsia" w:ascii="宋体" w:hAnsi="宋体" w:eastAsia="宋体" w:cs="Times New Roman"/>
          <w:color w:val="auto"/>
          <w:highlight w:val="none"/>
          <w:lang w:val="en-US" w:eastAsia="zh-CN"/>
        </w:rPr>
        <w:t>2.</w:t>
      </w:r>
      <w:r>
        <w:rPr>
          <w:rFonts w:ascii="宋体" w:hAnsi="宋体" w:eastAsia="宋体" w:cs="Times New Roman"/>
          <w:color w:val="auto"/>
          <w:highlight w:val="none"/>
        </w:rPr>
        <w:t>乙方提供的服务成果在服务质量保证期内发生故障，乙方应负责免费提供后续服务。对达不到要求者，根据实际情况，经双方协商，可按以下办法处理：</w:t>
      </w:r>
    </w:p>
    <w:p w14:paraId="1FF53B7C">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ascii="宋体" w:hAnsi="宋体" w:eastAsia="宋体" w:cs="Times New Roman"/>
          <w:color w:val="auto"/>
          <w:highlight w:val="none"/>
        </w:rPr>
      </w:pPr>
      <w:r>
        <w:rPr>
          <w:rFonts w:ascii="宋体" w:hAnsi="宋体" w:eastAsia="宋体" w:cs="Times New Roman"/>
          <w:color w:val="auto"/>
          <w:highlight w:val="none"/>
        </w:rPr>
        <w:t>⑴重做：由乙方承担所发生的全部费用。</w:t>
      </w:r>
    </w:p>
    <w:p w14:paraId="0ADCAC2E">
      <w:pPr>
        <w:pStyle w:val="24"/>
        <w:snapToGrid w:val="0"/>
        <w:spacing w:before="120" w:after="120" w:line="240" w:lineRule="auto"/>
        <w:ind w:firstLine="480" w:firstLineChars="200"/>
        <w:rPr>
          <w:rFonts w:hAnsi="宋体"/>
          <w:color w:val="auto"/>
          <w:highlight w:val="none"/>
        </w:rPr>
      </w:pPr>
      <w:r>
        <w:rPr>
          <w:rFonts w:hAnsi="宋体"/>
          <w:color w:val="auto"/>
          <w:highlight w:val="none"/>
        </w:rPr>
        <w:t>⑵贬值处理：由甲乙双方合议定价。</w:t>
      </w:r>
    </w:p>
    <w:p w14:paraId="6E4E3FBC">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eastAsia="宋体" w:cs="宋体"/>
          <w:color w:val="auto"/>
          <w:highlight w:val="none"/>
        </w:rPr>
      </w:pPr>
      <w:r>
        <w:rPr>
          <w:rFonts w:hAnsi="宋体"/>
          <w:color w:val="auto"/>
          <w:highlight w:val="none"/>
        </w:rPr>
        <w:t>⑶解除合同</w:t>
      </w:r>
      <w:r>
        <w:rPr>
          <w:rFonts w:hint="eastAsia" w:ascii="宋体" w:hAnsi="宋体" w:eastAsia="宋体" w:cs="宋体"/>
          <w:color w:val="auto"/>
          <w:highlight w:val="none"/>
        </w:rPr>
        <w:t>。</w:t>
      </w:r>
    </w:p>
    <w:p w14:paraId="68AC13ED">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hAnsi="宋体" w:cs="宋体"/>
          <w:color w:val="auto"/>
          <w:highlight w:val="none"/>
          <w:lang w:val="en-US" w:eastAsia="zh-CN"/>
        </w:rPr>
        <w:t>.</w:t>
      </w:r>
      <w:r>
        <w:rPr>
          <w:rFonts w:hAnsi="宋体"/>
          <w:color w:val="auto"/>
          <w:highlight w:val="none"/>
        </w:rPr>
        <w:t>如在使用过程中发生问题，乙方在接到甲方通知后</w:t>
      </w:r>
      <w:r>
        <w:rPr>
          <w:rFonts w:hint="eastAsia" w:hAnsi="宋体"/>
          <w:color w:val="auto"/>
          <w:highlight w:val="none"/>
          <w:u w:val="single"/>
        </w:rPr>
        <w:t xml:space="preserve">    </w:t>
      </w:r>
      <w:r>
        <w:rPr>
          <w:rFonts w:hAnsi="宋体"/>
          <w:color w:val="auto"/>
          <w:highlight w:val="none"/>
        </w:rPr>
        <w:t>小时内到达甲方现场</w:t>
      </w:r>
      <w:r>
        <w:rPr>
          <w:rFonts w:hint="eastAsia" w:ascii="宋体" w:hAnsi="宋体" w:eastAsia="宋体" w:cs="宋体"/>
          <w:color w:val="auto"/>
          <w:highlight w:val="none"/>
        </w:rPr>
        <w:t>。</w:t>
      </w:r>
    </w:p>
    <w:p w14:paraId="12CE358A">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int="eastAsia" w:hAnsi="宋体" w:cs="宋体"/>
          <w:color w:val="auto"/>
          <w:highlight w:val="none"/>
        </w:rPr>
      </w:pPr>
      <w:r>
        <w:rPr>
          <w:rFonts w:hint="eastAsia" w:hAnsi="宋体" w:cs="宋体"/>
          <w:color w:val="auto"/>
          <w:highlight w:val="none"/>
          <w:lang w:val="en-US" w:eastAsia="zh-CN"/>
        </w:rPr>
        <w:t>4.</w:t>
      </w:r>
      <w:r>
        <w:rPr>
          <w:rFonts w:hint="eastAsia" w:hAnsi="宋体" w:cs="宋体"/>
          <w:color w:val="auto"/>
          <w:highlight w:val="none"/>
        </w:rPr>
        <w:t>在服务期内，乙方应对服务成果出现的质量问题负责处理解决并承担一切费用。</w:t>
      </w:r>
    </w:p>
    <w:p w14:paraId="3E481575">
      <w:pPr>
        <w:pStyle w:val="24"/>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lang w:eastAsia="zh-CN"/>
        </w:rPr>
        <w:t>十、</w:t>
      </w:r>
      <w:r>
        <w:rPr>
          <w:rFonts w:hint="eastAsia" w:hAnsi="宋体" w:cs="宋体"/>
          <w:b/>
          <w:color w:val="auto"/>
          <w:highlight w:val="none"/>
        </w:rPr>
        <w:t>不可抗力事件处理</w:t>
      </w:r>
    </w:p>
    <w:p w14:paraId="3B03D0D7">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1.在合同有效期内，任何一方因不可抗力事件导致不能履行合同，则合同履行期可延长，其延长期与不可抗力影响期相同。</w:t>
      </w:r>
    </w:p>
    <w:p w14:paraId="175A94B0">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2.不可抗力事件发生后，应立即通知对方，并寄送有关权威机构出具的证明。</w:t>
      </w:r>
    </w:p>
    <w:p w14:paraId="7CB9176D">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3.不可抗力事件延续120天以上，双方应通过友好协商，确定是否继续履行合同。</w:t>
      </w:r>
    </w:p>
    <w:p w14:paraId="259239D4">
      <w:pPr>
        <w:pStyle w:val="24"/>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十一、诉讼</w:t>
      </w:r>
    </w:p>
    <w:p w14:paraId="4DE82438">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双方在执行合同中所发生的一切争议，应通过协商解决。如协商不成，可向甲方所在地法院起诉。</w:t>
      </w:r>
    </w:p>
    <w:p w14:paraId="309E5258">
      <w:pPr>
        <w:pStyle w:val="24"/>
        <w:keepNext w:val="0"/>
        <w:keepLines w:val="0"/>
        <w:pageBreakBefore w:val="0"/>
        <w:widowControl w:val="0"/>
        <w:kinsoku/>
        <w:wordWrap/>
        <w:overflowPunct/>
        <w:topLinePunct w:val="0"/>
        <w:autoSpaceDE/>
        <w:autoSpaceDN/>
        <w:bidi w:val="0"/>
        <w:adjustRightInd/>
        <w:snapToGrid w:val="0"/>
        <w:spacing w:before="120" w:after="120" w:line="400" w:lineRule="exact"/>
        <w:textAlignment w:val="auto"/>
        <w:rPr>
          <w:rFonts w:hAnsi="宋体" w:cs="宋体"/>
          <w:b/>
          <w:color w:val="auto"/>
          <w:highlight w:val="none"/>
        </w:rPr>
      </w:pPr>
      <w:r>
        <w:rPr>
          <w:rFonts w:hint="eastAsia" w:hAnsi="宋体" w:cs="宋体"/>
          <w:b/>
          <w:color w:val="auto"/>
          <w:highlight w:val="none"/>
        </w:rPr>
        <w:t>十二、合同生效及其它</w:t>
      </w:r>
    </w:p>
    <w:p w14:paraId="148AEBCF">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1.合同经双方法定代表人或委托代理人签字并加盖单位公章后生效。</w:t>
      </w:r>
    </w:p>
    <w:p w14:paraId="067EE83A">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2.合同执行中涉及采购资金和采购内容修改或补充的，须经财政部门审批，并签书面补充协议报政府采购监督管理部门备案，方可作为主合同不可分割的一部分。</w:t>
      </w:r>
    </w:p>
    <w:p w14:paraId="3104F605">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3.本合同未尽事宜，遵照《民法典》有关条文执行。</w:t>
      </w:r>
    </w:p>
    <w:p w14:paraId="61065062">
      <w:pPr>
        <w:pStyle w:val="24"/>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rPr>
          <w:rFonts w:hAnsi="宋体" w:cs="宋体"/>
          <w:color w:val="auto"/>
          <w:highlight w:val="none"/>
        </w:rPr>
      </w:pPr>
      <w:r>
        <w:rPr>
          <w:rFonts w:hint="eastAsia" w:hAnsi="宋体" w:cs="宋体"/>
          <w:color w:val="auto"/>
          <w:highlight w:val="none"/>
        </w:rPr>
        <w:t>4.本合同一式六份，甲乙双方各执二份、采购办、代理机构各执一份，具有同等法律效力。</w:t>
      </w:r>
    </w:p>
    <w:p w14:paraId="6AE2BB9E">
      <w:pPr>
        <w:pStyle w:val="24"/>
        <w:snapToGrid w:val="0"/>
        <w:spacing w:before="0" w:beforeLines="0" w:after="0" w:afterLines="0" w:line="360" w:lineRule="auto"/>
        <w:ind w:firstLine="480" w:firstLineChars="200"/>
        <w:rPr>
          <w:rFonts w:hint="eastAsia" w:hAnsi="宋体"/>
          <w:color w:val="auto"/>
          <w:highlight w:val="none"/>
        </w:rPr>
      </w:pPr>
      <w:r>
        <w:rPr>
          <w:rFonts w:hint="eastAsia" w:hAnsi="宋体" w:cs="宋体"/>
          <w:color w:val="auto"/>
          <w:highlight w:val="none"/>
        </w:rPr>
        <w:t>5.声明：本合同样本仅供参考，甲乙双方可就招标文件的非实质性条款进行修改，但不能修改实质性条款，甲乙双方对合同的真实性负责，鉴证方只负责见证项目招标的真实性。</w:t>
      </w:r>
    </w:p>
    <w:p w14:paraId="7EA536DE">
      <w:pPr>
        <w:snapToGrid w:val="0"/>
        <w:spacing w:line="360" w:lineRule="auto"/>
        <w:rPr>
          <w:rFonts w:ascii="宋体" w:hAnsi="宋体"/>
          <w:color w:val="auto"/>
          <w:sz w:val="24"/>
          <w:highlight w:val="none"/>
        </w:rPr>
      </w:pPr>
      <w:r>
        <w:rPr>
          <w:rFonts w:hint="eastAsia" w:ascii="宋体" w:hAnsi="宋体"/>
          <w:b/>
          <w:color w:val="auto"/>
          <w:sz w:val="24"/>
          <w:highlight w:val="none"/>
        </w:rPr>
        <w:t>甲方（公章）：        乙方（公章）：</w:t>
      </w:r>
    </w:p>
    <w:p w14:paraId="7267F6CE">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法定代表人或受委托人               法定代表人或受委托人</w:t>
      </w:r>
    </w:p>
    <w:p w14:paraId="51F9CC2B">
      <w:pPr>
        <w:snapToGrid w:val="0"/>
        <w:spacing w:line="360" w:lineRule="auto"/>
        <w:rPr>
          <w:rFonts w:ascii="宋体" w:hAnsi="宋体"/>
          <w:color w:val="auto"/>
          <w:sz w:val="24"/>
          <w:highlight w:val="none"/>
        </w:rPr>
      </w:pPr>
      <w:r>
        <w:rPr>
          <w:rFonts w:hint="eastAsia" w:ascii="宋体" w:hAnsi="宋体"/>
          <w:color w:val="auto"/>
          <w:sz w:val="24"/>
          <w:highlight w:val="none"/>
        </w:rPr>
        <w:t>（签字）                            （签字）</w:t>
      </w:r>
    </w:p>
    <w:p w14:paraId="0287A068">
      <w:pPr>
        <w:snapToGrid w:val="0"/>
        <w:spacing w:line="360" w:lineRule="auto"/>
        <w:rPr>
          <w:rFonts w:ascii="宋体" w:hAnsi="宋体"/>
          <w:color w:val="auto"/>
          <w:sz w:val="24"/>
          <w:highlight w:val="none"/>
        </w:rPr>
      </w:pPr>
      <w:r>
        <w:rPr>
          <w:rFonts w:hint="eastAsia" w:ascii="宋体" w:hAnsi="宋体"/>
          <w:color w:val="auto"/>
          <w:sz w:val="24"/>
          <w:highlight w:val="none"/>
        </w:rPr>
        <w:t>地址：                             地址：</w:t>
      </w:r>
    </w:p>
    <w:p w14:paraId="3D846E35">
      <w:pPr>
        <w:snapToGrid w:val="0"/>
        <w:spacing w:line="360" w:lineRule="auto"/>
        <w:rPr>
          <w:rFonts w:ascii="宋体" w:hAnsi="宋体"/>
          <w:color w:val="auto"/>
          <w:sz w:val="24"/>
          <w:highlight w:val="none"/>
        </w:rPr>
      </w:pPr>
      <w:r>
        <w:rPr>
          <w:rFonts w:hint="eastAsia" w:ascii="宋体" w:hAnsi="宋体"/>
          <w:color w:val="auto"/>
          <w:sz w:val="24"/>
          <w:highlight w:val="none"/>
        </w:rPr>
        <w:t>邮编：                             邮编：</w:t>
      </w:r>
    </w:p>
    <w:p w14:paraId="15E1BDD0">
      <w:pPr>
        <w:snapToGrid w:val="0"/>
        <w:spacing w:line="360" w:lineRule="auto"/>
        <w:rPr>
          <w:rFonts w:ascii="宋体" w:hAnsi="宋体"/>
          <w:color w:val="auto"/>
          <w:sz w:val="24"/>
          <w:highlight w:val="none"/>
        </w:rPr>
      </w:pPr>
      <w:r>
        <w:rPr>
          <w:rFonts w:hint="eastAsia" w:ascii="宋体" w:hAnsi="宋体"/>
          <w:color w:val="auto"/>
          <w:sz w:val="24"/>
          <w:highlight w:val="none"/>
        </w:rPr>
        <w:t>电话：                             电话：</w:t>
      </w:r>
    </w:p>
    <w:p w14:paraId="09CB11FC">
      <w:pPr>
        <w:snapToGrid w:val="0"/>
        <w:spacing w:line="360" w:lineRule="auto"/>
        <w:rPr>
          <w:rFonts w:ascii="宋体" w:hAnsi="宋体"/>
          <w:color w:val="auto"/>
          <w:sz w:val="24"/>
          <w:highlight w:val="none"/>
        </w:rPr>
      </w:pPr>
      <w:r>
        <w:rPr>
          <w:rFonts w:hint="eastAsia" w:ascii="宋体" w:hAnsi="宋体"/>
          <w:color w:val="auto"/>
          <w:sz w:val="24"/>
          <w:highlight w:val="none"/>
        </w:rPr>
        <w:t>传真：                             传真：</w:t>
      </w:r>
    </w:p>
    <w:p w14:paraId="7FA56605">
      <w:pPr>
        <w:snapToGrid w:val="0"/>
        <w:spacing w:line="360" w:lineRule="auto"/>
        <w:rPr>
          <w:rFonts w:ascii="宋体" w:hAnsi="宋体"/>
          <w:b/>
          <w:bCs/>
          <w:color w:val="auto"/>
          <w:szCs w:val="21"/>
          <w:highlight w:val="none"/>
        </w:rPr>
      </w:pPr>
      <w:r>
        <w:rPr>
          <w:rFonts w:hint="eastAsia" w:ascii="宋体" w:hAnsi="宋体"/>
          <w:color w:val="auto"/>
          <w:sz w:val="24"/>
          <w:highlight w:val="none"/>
        </w:rPr>
        <w:t>户名：                             户名：</w:t>
      </w:r>
    </w:p>
    <w:p w14:paraId="50B8337D">
      <w:pPr>
        <w:snapToGrid w:val="0"/>
        <w:spacing w:line="360" w:lineRule="auto"/>
        <w:rPr>
          <w:rFonts w:ascii="宋体" w:hAnsi="宋体"/>
          <w:color w:val="auto"/>
          <w:sz w:val="24"/>
          <w:highlight w:val="none"/>
        </w:rPr>
      </w:pPr>
      <w:r>
        <w:rPr>
          <w:rFonts w:hint="eastAsia" w:ascii="宋体" w:hAnsi="宋体"/>
          <w:color w:val="auto"/>
          <w:sz w:val="24"/>
          <w:highlight w:val="none"/>
        </w:rPr>
        <w:t>开户银行：                         开户银行：</w:t>
      </w:r>
    </w:p>
    <w:p w14:paraId="5AC3F796">
      <w:pPr>
        <w:snapToGrid w:val="0"/>
        <w:spacing w:line="360" w:lineRule="auto"/>
        <w:rPr>
          <w:rFonts w:hAnsi="宋体" w:cs="宋体"/>
          <w:color w:val="auto"/>
          <w:highlight w:val="none"/>
        </w:rPr>
      </w:pPr>
      <w:r>
        <w:rPr>
          <w:rFonts w:hint="eastAsia" w:ascii="宋体" w:hAnsi="宋体"/>
          <w:color w:val="auto"/>
          <w:sz w:val="24"/>
          <w:highlight w:val="none"/>
        </w:rPr>
        <w:t>帐号：                             帐号：</w:t>
      </w:r>
    </w:p>
    <w:p w14:paraId="7FD47546">
      <w:pPr>
        <w:snapToGrid w:val="0"/>
        <w:spacing w:line="276" w:lineRule="auto"/>
        <w:rPr>
          <w:rFonts w:ascii="宋体" w:hAnsi="宋体"/>
          <w:color w:val="auto"/>
          <w:sz w:val="24"/>
          <w:highlight w:val="none"/>
        </w:rPr>
      </w:pPr>
    </w:p>
    <w:p w14:paraId="200114BF">
      <w:pPr>
        <w:snapToGrid w:val="0"/>
        <w:spacing w:line="276" w:lineRule="auto"/>
        <w:rPr>
          <w:rFonts w:ascii="宋体" w:hAnsi="宋体"/>
          <w:color w:val="auto"/>
          <w:sz w:val="24"/>
          <w:highlight w:val="none"/>
        </w:rPr>
      </w:pPr>
      <w:r>
        <w:rPr>
          <w:rFonts w:hint="eastAsia" w:ascii="宋体" w:hAnsi="宋体"/>
          <w:color w:val="auto"/>
          <w:sz w:val="24"/>
          <w:highlight w:val="none"/>
        </w:rPr>
        <w:t xml:space="preserve">   签约地点：                            签约时间：</w:t>
      </w:r>
    </w:p>
    <w:p w14:paraId="465F30A4">
      <w:pPr>
        <w:spacing w:line="360" w:lineRule="auto"/>
        <w:rPr>
          <w:rFonts w:hint="eastAsia"/>
          <w:color w:val="auto"/>
          <w:highlight w:val="none"/>
        </w:rPr>
      </w:pPr>
    </w:p>
    <w:p w14:paraId="2CF49DBD">
      <w:pPr>
        <w:spacing w:line="360" w:lineRule="auto"/>
        <w:jc w:val="center"/>
        <w:rPr>
          <w:rFonts w:hint="eastAsia" w:ascii="黑体" w:hAnsi="宋体" w:eastAsia="黑体"/>
          <w:color w:val="auto"/>
          <w:sz w:val="32"/>
          <w:szCs w:val="32"/>
          <w:highlight w:val="none"/>
        </w:rPr>
      </w:pPr>
    </w:p>
    <w:p w14:paraId="36CCD3A1">
      <w:pPr>
        <w:snapToGrid w:val="0"/>
        <w:spacing w:line="276" w:lineRule="auto"/>
        <w:rPr>
          <w:rFonts w:hint="eastAsia" w:ascii="黑体" w:hAnsi="宋体" w:eastAsia="黑体"/>
          <w:color w:val="auto"/>
          <w:sz w:val="32"/>
          <w:szCs w:val="32"/>
          <w:highlight w:val="none"/>
        </w:rPr>
      </w:pPr>
    </w:p>
    <w:p w14:paraId="3D996FFE">
      <w:pPr>
        <w:spacing w:line="360" w:lineRule="auto"/>
        <w:jc w:val="center"/>
        <w:rPr>
          <w:rFonts w:ascii="黑体" w:hAnsi="宋体" w:eastAsia="黑体"/>
          <w:color w:val="auto"/>
          <w:sz w:val="32"/>
          <w:szCs w:val="32"/>
          <w:highlight w:val="none"/>
        </w:rPr>
      </w:pPr>
    </w:p>
    <w:p w14:paraId="6141D3ED">
      <w:pPr>
        <w:spacing w:line="360" w:lineRule="auto"/>
        <w:jc w:val="center"/>
        <w:rPr>
          <w:rFonts w:ascii="黑体" w:hAnsi="宋体" w:eastAsia="黑体"/>
          <w:color w:val="auto"/>
          <w:sz w:val="32"/>
          <w:szCs w:val="32"/>
          <w:highlight w:val="none"/>
        </w:rPr>
      </w:pPr>
    </w:p>
    <w:p w14:paraId="4CA5F00A">
      <w:pPr>
        <w:spacing w:line="360" w:lineRule="auto"/>
        <w:jc w:val="center"/>
        <w:rPr>
          <w:rFonts w:ascii="黑体" w:hAnsi="宋体" w:eastAsia="黑体"/>
          <w:color w:val="auto"/>
          <w:sz w:val="32"/>
          <w:szCs w:val="32"/>
          <w:highlight w:val="none"/>
        </w:rPr>
      </w:pPr>
    </w:p>
    <w:p w14:paraId="4A8FACD4">
      <w:pPr>
        <w:pageBreakBefore/>
        <w:spacing w:line="360" w:lineRule="auto"/>
        <w:ind w:firstLine="2891" w:firstLineChars="900"/>
        <w:outlineLvl w:val="1"/>
        <w:rPr>
          <w:rFonts w:ascii="宋体" w:hAnsi="宋体" w:cs="宋体"/>
          <w:b/>
          <w:color w:val="auto"/>
          <w:sz w:val="32"/>
          <w:szCs w:val="32"/>
          <w:highlight w:val="none"/>
        </w:rPr>
      </w:pPr>
      <w:bookmarkStart w:id="6" w:name="_Toc17278025"/>
      <w:r>
        <w:rPr>
          <w:rFonts w:hint="eastAsia" w:ascii="宋体" w:hAnsi="宋体" w:cs="宋体"/>
          <w:b/>
          <w:color w:val="auto"/>
          <w:sz w:val="32"/>
          <w:szCs w:val="32"/>
          <w:highlight w:val="none"/>
        </w:rPr>
        <w:t>政府采购廉洁承诺书</w:t>
      </w:r>
      <w:bookmarkEnd w:id="6"/>
    </w:p>
    <w:p w14:paraId="06A8ACD1">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424BCC74">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51C66E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6DA405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参与政府采购活动时，除具备采购文件规定的资格、资质要求外，我方还将严格遵守有关法律、法规、政策以及国家、地方关于廉政建设的各项规定。</w:t>
      </w:r>
    </w:p>
    <w:p w14:paraId="37A21F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遵循公开、公平、公正、诚实信用原则，不发生损害上述原则及各方当事人合法权益得不正当竞争行为。</w:t>
      </w:r>
    </w:p>
    <w:p w14:paraId="640A28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与政府采购各方当事人保持正常的业务交往，不向采购人、采购代理机构、监督机构、评审专家、工作人员及其他参与采购活动的人员提供不正当利益。主要有：</w:t>
      </w:r>
    </w:p>
    <w:p w14:paraId="05224D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67DF28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6BC77B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5F1DF4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672A5A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严格执行采购合同，自觉按合同办事；在合同执行过程中，不发生本承诺书第三条中所列不良行为。    ．</w:t>
      </w:r>
    </w:p>
    <w:p w14:paraId="751A31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445216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17D4B1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72D01FE5">
      <w:pPr>
        <w:spacing w:line="360" w:lineRule="auto"/>
        <w:ind w:left="840" w:hanging="840" w:hangingChars="350"/>
        <w:jc w:val="center"/>
        <w:rPr>
          <w:rFonts w:ascii="宋体" w:hAnsi="宋体" w:cs="宋体"/>
          <w:color w:val="auto"/>
          <w:sz w:val="24"/>
          <w:highlight w:val="none"/>
        </w:rPr>
      </w:pPr>
    </w:p>
    <w:p w14:paraId="74DC2867">
      <w:pPr>
        <w:pStyle w:val="43"/>
        <w:ind w:firstLine="0" w:firstLineChars="0"/>
        <w:rPr>
          <w:rFonts w:hAnsi="宋体" w:cs="宋体"/>
          <w:color w:val="auto"/>
          <w:highlight w:val="none"/>
        </w:rPr>
      </w:pPr>
    </w:p>
    <w:p w14:paraId="5249BDF9">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投标人（盖章）：</w:t>
      </w:r>
    </w:p>
    <w:p w14:paraId="4376475E">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39A28EB0">
      <w:pPr>
        <w:spacing w:line="360" w:lineRule="auto"/>
        <w:ind w:left="840" w:hanging="840" w:hangingChars="350"/>
        <w:rPr>
          <w:rFonts w:hint="eastAsia" w:ascii="黑体" w:hAnsi="宋体" w:eastAsia="黑体"/>
          <w:color w:val="auto"/>
          <w:sz w:val="32"/>
          <w:szCs w:val="32"/>
          <w:highlight w:val="none"/>
        </w:rPr>
      </w:pPr>
      <w:r>
        <w:rPr>
          <w:rFonts w:hint="eastAsia" w:ascii="宋体" w:hAnsi="宋体" w:cs="宋体"/>
          <w:color w:val="auto"/>
          <w:sz w:val="24"/>
          <w:highlight w:val="none"/>
        </w:rPr>
        <w:t xml:space="preserve">                                                    年    月   日</w:t>
      </w:r>
    </w:p>
    <w:p w14:paraId="4C8AFBF4">
      <w:pPr>
        <w:numPr>
          <w:ilvl w:val="0"/>
          <w:numId w:val="0"/>
        </w:numPr>
        <w:spacing w:line="360" w:lineRule="auto"/>
        <w:ind w:left="180" w:leftChars="0"/>
        <w:jc w:val="center"/>
        <w:rPr>
          <w:rFonts w:hint="eastAsia" w:ascii="黑体" w:hAnsi="宋体" w:eastAsia="黑体"/>
          <w:color w:val="auto"/>
          <w:sz w:val="32"/>
          <w:szCs w:val="32"/>
          <w:highlight w:val="none"/>
        </w:rPr>
      </w:pPr>
      <w:r>
        <w:rPr>
          <w:rFonts w:hint="eastAsia" w:ascii="黑体" w:hAnsi="宋体" w:eastAsia="黑体"/>
          <w:color w:val="auto"/>
          <w:sz w:val="32"/>
          <w:szCs w:val="32"/>
          <w:highlight w:val="none"/>
          <w:lang w:eastAsia="zh-CN"/>
        </w:rPr>
        <w:t>第六章</w:t>
      </w:r>
      <w:r>
        <w:rPr>
          <w:rFonts w:hint="eastAsia" w:ascii="黑体" w:hAnsi="宋体" w:eastAsia="黑体"/>
          <w:color w:val="auto"/>
          <w:sz w:val="32"/>
          <w:szCs w:val="32"/>
          <w:highlight w:val="none"/>
          <w:lang w:val="en-US" w:eastAsia="zh-CN"/>
        </w:rPr>
        <w:t xml:space="preserve">  </w:t>
      </w:r>
      <w:r>
        <w:rPr>
          <w:rFonts w:hint="eastAsia" w:ascii="黑体" w:hAnsi="宋体" w:eastAsia="黑体"/>
          <w:color w:val="auto"/>
          <w:sz w:val="32"/>
          <w:szCs w:val="32"/>
          <w:highlight w:val="none"/>
        </w:rPr>
        <w:t>投标文件格式</w:t>
      </w:r>
    </w:p>
    <w:p w14:paraId="69B8BC7B">
      <w:pPr>
        <w:numPr>
          <w:ilvl w:val="0"/>
          <w:numId w:val="0"/>
        </w:numPr>
        <w:snapToGrid w:val="0"/>
        <w:spacing w:before="120" w:beforeLines="50" w:line="360" w:lineRule="auto"/>
        <w:ind w:firstLine="480" w:firstLineChars="200"/>
        <w:jc w:val="left"/>
        <w:rPr>
          <w:rFonts w:ascii="宋体" w:hAnsi="宋体"/>
          <w:b/>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资格响应文件</w:t>
      </w:r>
      <w:r>
        <w:rPr>
          <w:rFonts w:ascii="宋体" w:hAnsi="宋体"/>
          <w:b/>
          <w:color w:val="auto"/>
          <w:sz w:val="24"/>
          <w:szCs w:val="24"/>
          <w:highlight w:val="none"/>
        </w:rPr>
        <w:t>：</w:t>
      </w:r>
    </w:p>
    <w:p w14:paraId="3852DC8D">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（1）有效的企业法人营业执照副本(或事业法人登记证书或</w:t>
      </w:r>
      <w:r>
        <w:rPr>
          <w:rFonts w:hint="eastAsia" w:ascii="宋体" w:hAnsi="宋体" w:eastAsia="宋体" w:cs="宋体"/>
          <w:bCs/>
          <w:color w:val="auto"/>
          <w:sz w:val="24"/>
          <w:highlight w:val="none"/>
          <w:lang w:eastAsia="zh-CN"/>
        </w:rPr>
        <w:t>其他</w:t>
      </w:r>
      <w:r>
        <w:rPr>
          <w:rFonts w:hint="eastAsia" w:ascii="宋体" w:hAnsi="宋体" w:eastAsia="宋体" w:cs="宋体"/>
          <w:bCs/>
          <w:color w:val="auto"/>
          <w:sz w:val="24"/>
          <w:highlight w:val="none"/>
        </w:rPr>
        <w:t>工商等登记证明材料；自然人参与提供身份证)复印件；</w:t>
      </w:r>
    </w:p>
    <w:p w14:paraId="49599815">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ascii="宋体" w:hAnsi="宋体" w:cs="宋体"/>
          <w:bCs/>
          <w:color w:val="auto"/>
          <w:sz w:val="24"/>
          <w:highlight w:val="none"/>
        </w:rPr>
      </w:pPr>
      <w:r>
        <w:rPr>
          <w:rFonts w:hint="eastAsia" w:ascii="宋体" w:hAnsi="宋体" w:eastAsia="宋体" w:cs="宋体"/>
          <w:bCs/>
          <w:color w:val="auto"/>
          <w:sz w:val="24"/>
          <w:highlight w:val="none"/>
        </w:rPr>
        <w:t>（2）法定代表人授权委托</w:t>
      </w:r>
      <w:r>
        <w:rPr>
          <w:rFonts w:hint="eastAsia" w:ascii="宋体" w:hAnsi="宋体" w:cs="宋体"/>
          <w:bCs/>
          <w:color w:val="auto"/>
          <w:sz w:val="24"/>
          <w:highlight w:val="none"/>
        </w:rPr>
        <w:t>书(格式见附件)；</w:t>
      </w:r>
    </w:p>
    <w:p w14:paraId="447E41A4">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（3）法定代表人身份证复印件或被授权人身份证复印件；</w:t>
      </w:r>
    </w:p>
    <w:p w14:paraId="4BF18D43">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 xml:space="preserve">）信用记录网络查询页面截图（信用中国与中国政府采购网）； </w:t>
      </w:r>
    </w:p>
    <w:p w14:paraId="6E8A3697">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）符合参加政府采购活动应当具备的一般条件的承诺函（格式见附件）；</w:t>
      </w:r>
    </w:p>
    <w:p w14:paraId="7877C998">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投标人依法缴纳税收和社保费、无失信行为的声明函(格式见附件)；</w:t>
      </w:r>
    </w:p>
    <w:p w14:paraId="4B6A0140">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浙江政府采购网注册正式供应商的网络截图或承诺书；</w:t>
      </w:r>
    </w:p>
    <w:p w14:paraId="4BD3A84A">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）政府采购活动现场确认声明书 (格式见附件) ；</w:t>
      </w:r>
    </w:p>
    <w:p w14:paraId="48B962D4">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rPr>
        <w:t>）政府采购代理机构考评表(格式见附件)；</w:t>
      </w:r>
    </w:p>
    <w:p w14:paraId="1A593B2F">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）分包协议（分包时提供，格式见附件）；</w:t>
      </w:r>
    </w:p>
    <w:p w14:paraId="5E9245A4">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rPr>
        <w:t>）中小企业声明函（格式见附件）</w:t>
      </w:r>
      <w:r>
        <w:rPr>
          <w:rFonts w:hint="eastAsia" w:ascii="宋体" w:hAnsi="宋体" w:eastAsia="宋体" w:cs="宋体"/>
          <w:bCs/>
          <w:color w:val="auto"/>
          <w:sz w:val="24"/>
          <w:highlight w:val="none"/>
          <w:lang w:eastAsia="zh-CN"/>
        </w:rPr>
        <w:t>；</w:t>
      </w:r>
    </w:p>
    <w:p w14:paraId="1280F89C">
      <w:pPr>
        <w:keepLines w:val="0"/>
        <w:pageBreakBefore w:val="0"/>
        <w:widowControl w:val="0"/>
        <w:kinsoku/>
        <w:wordWrap/>
        <w:overflowPunct/>
        <w:topLinePunct w:val="0"/>
        <w:autoSpaceDE/>
        <w:autoSpaceDN/>
        <w:bidi w:val="0"/>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联合体协议书（格式见附件）</w:t>
      </w:r>
      <w:r>
        <w:rPr>
          <w:rFonts w:hint="eastAsia" w:ascii="宋体" w:hAnsi="宋体" w:eastAsia="宋体" w:cs="宋体"/>
          <w:bCs/>
          <w:color w:val="auto"/>
          <w:sz w:val="24"/>
          <w:highlight w:val="none"/>
          <w:lang w:eastAsia="zh-CN"/>
        </w:rPr>
        <w:t>；</w:t>
      </w:r>
    </w:p>
    <w:p w14:paraId="0181F820">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13</w:t>
      </w:r>
      <w:r>
        <w:rPr>
          <w:rFonts w:hint="eastAsia" w:ascii="宋体" w:hAnsi="宋体" w:eastAsia="宋体" w:cs="宋体"/>
          <w:bCs/>
          <w:color w:val="auto"/>
          <w:sz w:val="24"/>
          <w:highlight w:val="none"/>
          <w:lang w:eastAsia="zh-CN"/>
        </w:rPr>
        <w:t>）投标人认为有必要提供的其他文件。</w:t>
      </w:r>
    </w:p>
    <w:p w14:paraId="1482CB9A">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2.商务资信技术文件：</w:t>
      </w:r>
    </w:p>
    <w:p w14:paraId="487D04DA">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（1）评分响应表（格式见附件）；</w:t>
      </w:r>
    </w:p>
    <w:p w14:paraId="3BB82B1E">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（2）投标声明书 (格式见附件)；</w:t>
      </w:r>
    </w:p>
    <w:p w14:paraId="3E52F093">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（3）法定代表人授权委</w:t>
      </w:r>
      <w:r>
        <w:rPr>
          <w:rFonts w:hint="eastAsia" w:ascii="宋体" w:hAnsi="宋体" w:eastAsia="宋体" w:cs="宋体"/>
          <w:bCs/>
          <w:color w:val="auto"/>
          <w:sz w:val="24"/>
          <w:highlight w:val="none"/>
        </w:rPr>
        <w:t>托书(格式见附件)；</w:t>
      </w:r>
    </w:p>
    <w:p w14:paraId="7590A645">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（4）投标单位情况表(格式见附件)；</w:t>
      </w:r>
    </w:p>
    <w:p w14:paraId="68EBA2C1">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eastAsia="zh-CN"/>
        </w:rPr>
        <w:t>无重大违法记录声明书(格式见附件)；</w:t>
      </w:r>
    </w:p>
    <w:p w14:paraId="0A3D1437">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eastAsia="zh-CN"/>
        </w:rPr>
        <w:t>）政府采购供应商诚信承诺书（格式见附件）；</w:t>
      </w:r>
    </w:p>
    <w:p w14:paraId="572191FE">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eastAsia="zh-CN"/>
        </w:rPr>
        <w:t>）中标服务费承诺书（格式见附件）；</w:t>
      </w:r>
    </w:p>
    <w:p w14:paraId="08BC5882">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项目服务方案；</w:t>
      </w:r>
    </w:p>
    <w:p w14:paraId="3B137646">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服务计划及承诺</w:t>
      </w:r>
      <w:r>
        <w:rPr>
          <w:rFonts w:hint="eastAsia" w:ascii="宋体" w:hAnsi="宋体" w:eastAsia="宋体" w:cs="宋体"/>
          <w:bCs/>
          <w:color w:val="auto"/>
          <w:sz w:val="24"/>
          <w:highlight w:val="none"/>
          <w:lang w:eastAsia="zh-CN"/>
        </w:rPr>
        <w:t>；</w:t>
      </w:r>
    </w:p>
    <w:p w14:paraId="7D953383">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投标单位履约能力证明；</w:t>
      </w:r>
    </w:p>
    <w:p w14:paraId="70CA2EFF">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11</w:t>
      </w:r>
      <w:r>
        <w:rPr>
          <w:rFonts w:hint="eastAsia" w:ascii="宋体" w:hAnsi="宋体" w:eastAsia="宋体" w:cs="宋体"/>
          <w:bCs/>
          <w:color w:val="auto"/>
          <w:sz w:val="24"/>
          <w:highlight w:val="none"/>
          <w:lang w:eastAsia="zh-CN"/>
        </w:rPr>
        <w:t>）商务响应表</w:t>
      </w:r>
      <w:r>
        <w:rPr>
          <w:rFonts w:hint="eastAsia" w:ascii="宋体" w:hAnsi="宋体" w:eastAsia="宋体" w:cs="宋体"/>
          <w:bCs/>
          <w:color w:val="auto"/>
          <w:sz w:val="24"/>
          <w:highlight w:val="none"/>
          <w:lang w:val="zh-CN" w:eastAsia="zh-CN"/>
        </w:rPr>
        <w:t>（格式见附件）；</w:t>
      </w:r>
    </w:p>
    <w:p w14:paraId="4E4C3EE2">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同类业绩一览表</w:t>
      </w:r>
      <w:r>
        <w:rPr>
          <w:rFonts w:hint="eastAsia" w:ascii="宋体" w:hAnsi="宋体" w:eastAsia="宋体" w:cs="宋体"/>
          <w:bCs/>
          <w:color w:val="auto"/>
          <w:sz w:val="24"/>
          <w:highlight w:val="none"/>
          <w:lang w:eastAsia="zh-CN"/>
        </w:rPr>
        <w:t>（格式见附件）；</w:t>
      </w:r>
    </w:p>
    <w:p w14:paraId="6274364C">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项目实施人员一览表</w:t>
      </w:r>
      <w:r>
        <w:rPr>
          <w:rFonts w:hint="eastAsia" w:ascii="宋体" w:hAnsi="宋体" w:eastAsia="宋体" w:cs="宋体"/>
          <w:bCs/>
          <w:color w:val="auto"/>
          <w:sz w:val="24"/>
          <w:highlight w:val="none"/>
          <w:lang w:eastAsia="zh-CN"/>
        </w:rPr>
        <w:t>（格式见附件）；</w:t>
      </w:r>
    </w:p>
    <w:p w14:paraId="1A111F41">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）其他按照评标办法可加分的内容说明、证明文件；</w:t>
      </w:r>
    </w:p>
    <w:p w14:paraId="3DFEB516">
      <w:pPr>
        <w:keepNext w:val="0"/>
        <w:keepLines w:val="0"/>
        <w:pageBreakBefore w:val="0"/>
        <w:widowControl w:val="0"/>
        <w:kinsoku/>
        <w:wordWrap/>
        <w:overflowPunct/>
        <w:topLinePunct w:val="0"/>
        <w:autoSpaceDE/>
        <w:autoSpaceDN/>
        <w:bidi w:val="0"/>
        <w:adjustRightInd/>
        <w:snapToGrid w:val="0"/>
        <w:spacing w:before="120" w:beforeLines="50" w:line="340" w:lineRule="exact"/>
        <w:ind w:left="412" w:leftChars="196"/>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（1</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eastAsia="zh-CN"/>
        </w:rPr>
        <w:t>）投标人需要说明的其他文件和说明。</w:t>
      </w:r>
    </w:p>
    <w:p w14:paraId="02B0E22C">
      <w:pPr>
        <w:pStyle w:val="42"/>
        <w:numPr>
          <w:ilvl w:val="0"/>
          <w:numId w:val="0"/>
        </w:numPr>
        <w:ind w:left="180" w:leftChars="0"/>
      </w:pPr>
    </w:p>
    <w:p w14:paraId="0D4A5B5B">
      <w:pPr>
        <w:snapToGrid w:val="0"/>
        <w:spacing w:before="50" w:after="120" w:afterLines="50"/>
        <w:jc w:val="left"/>
        <w:rPr>
          <w:rFonts w:hint="eastAsia" w:ascii="宋体" w:hAnsi="宋体" w:cs="宋体"/>
          <w:b/>
          <w:color w:val="auto"/>
          <w:sz w:val="24"/>
          <w:highlight w:val="none"/>
        </w:rPr>
      </w:pPr>
    </w:p>
    <w:p w14:paraId="4F4FA95B">
      <w:pPr>
        <w:snapToGrid w:val="0"/>
        <w:spacing w:before="50" w:after="120" w:afterLines="50"/>
        <w:jc w:val="left"/>
        <w:rPr>
          <w:rFonts w:hint="eastAsia" w:ascii="宋体" w:hAnsi="宋体" w:cs="宋体"/>
          <w:b/>
          <w:color w:val="auto"/>
          <w:sz w:val="24"/>
          <w:highlight w:val="none"/>
        </w:rPr>
      </w:pPr>
    </w:p>
    <w:p w14:paraId="29B6477C">
      <w:pPr>
        <w:snapToGrid w:val="0"/>
        <w:spacing w:before="50" w:after="120" w:afterLines="50"/>
        <w:jc w:val="left"/>
        <w:rPr>
          <w:rFonts w:hint="eastAsia" w:ascii="宋体" w:hAnsi="宋体" w:cs="宋体"/>
          <w:b/>
          <w:color w:val="auto"/>
          <w:sz w:val="24"/>
          <w:highlight w:val="none"/>
        </w:rPr>
      </w:pPr>
    </w:p>
    <w:p w14:paraId="1B1DD167">
      <w:pPr>
        <w:snapToGrid w:val="0"/>
        <w:spacing w:before="50" w:after="120" w:afterLines="50"/>
        <w:jc w:val="left"/>
        <w:rPr>
          <w:rFonts w:hint="eastAsia" w:ascii="宋体" w:hAnsi="宋体" w:cs="宋体"/>
          <w:b/>
          <w:color w:val="auto"/>
          <w:sz w:val="24"/>
          <w:highlight w:val="none"/>
        </w:rPr>
      </w:pPr>
    </w:p>
    <w:p w14:paraId="491908A2">
      <w:pPr>
        <w:snapToGrid w:val="0"/>
        <w:spacing w:before="50" w:after="120" w:afterLines="50"/>
        <w:jc w:val="left"/>
        <w:rPr>
          <w:rFonts w:hint="eastAsia" w:ascii="宋体" w:hAnsi="宋体" w:cs="宋体"/>
          <w:b/>
          <w:color w:val="auto"/>
          <w:sz w:val="24"/>
          <w:highlight w:val="none"/>
        </w:rPr>
      </w:pPr>
    </w:p>
    <w:p w14:paraId="76FAE98F">
      <w:pPr>
        <w:snapToGrid w:val="0"/>
        <w:spacing w:before="50" w:after="120" w:afterLines="50"/>
        <w:jc w:val="left"/>
        <w:rPr>
          <w:rFonts w:hint="eastAsia" w:ascii="宋体" w:hAnsi="宋体" w:cs="宋体"/>
          <w:b/>
          <w:color w:val="auto"/>
          <w:sz w:val="24"/>
          <w:highlight w:val="none"/>
        </w:rPr>
      </w:pPr>
    </w:p>
    <w:p w14:paraId="5B1C0994">
      <w:pPr>
        <w:snapToGrid w:val="0"/>
        <w:spacing w:before="50" w:after="120" w:afterLines="50"/>
        <w:jc w:val="left"/>
        <w:rPr>
          <w:rFonts w:hint="eastAsia" w:ascii="宋体" w:hAnsi="宋体" w:cs="宋体"/>
          <w:b/>
          <w:color w:val="auto"/>
          <w:sz w:val="24"/>
          <w:highlight w:val="none"/>
        </w:rPr>
      </w:pPr>
    </w:p>
    <w:p w14:paraId="6CD845E3">
      <w:pPr>
        <w:snapToGrid w:val="0"/>
        <w:spacing w:before="50" w:after="120" w:afterLines="50"/>
        <w:jc w:val="left"/>
        <w:rPr>
          <w:rFonts w:hint="eastAsia" w:ascii="宋体" w:hAnsi="宋体" w:cs="宋体"/>
          <w:b/>
          <w:color w:val="auto"/>
          <w:sz w:val="24"/>
          <w:highlight w:val="none"/>
        </w:rPr>
      </w:pPr>
    </w:p>
    <w:p w14:paraId="0791C081">
      <w:pPr>
        <w:snapToGrid w:val="0"/>
        <w:spacing w:before="50" w:after="120" w:afterLines="50"/>
        <w:jc w:val="left"/>
        <w:rPr>
          <w:rFonts w:hint="eastAsia" w:ascii="宋体" w:hAnsi="宋体" w:cs="宋体"/>
          <w:b/>
          <w:color w:val="auto"/>
          <w:sz w:val="24"/>
          <w:highlight w:val="none"/>
        </w:rPr>
      </w:pPr>
    </w:p>
    <w:p w14:paraId="34991AAF">
      <w:pPr>
        <w:snapToGrid w:val="0"/>
        <w:spacing w:before="50" w:after="120" w:afterLines="50"/>
        <w:jc w:val="left"/>
        <w:rPr>
          <w:rFonts w:hint="eastAsia" w:ascii="宋体" w:hAnsi="宋体" w:cs="宋体"/>
          <w:b/>
          <w:color w:val="auto"/>
          <w:sz w:val="24"/>
          <w:highlight w:val="none"/>
        </w:rPr>
      </w:pPr>
    </w:p>
    <w:p w14:paraId="0DF61110">
      <w:pPr>
        <w:snapToGrid w:val="0"/>
        <w:spacing w:before="50" w:after="120" w:afterLines="50"/>
        <w:jc w:val="left"/>
        <w:rPr>
          <w:rFonts w:hint="eastAsia" w:ascii="宋体" w:hAnsi="宋体" w:cs="宋体"/>
          <w:b/>
          <w:color w:val="auto"/>
          <w:sz w:val="24"/>
          <w:highlight w:val="none"/>
        </w:rPr>
      </w:pPr>
    </w:p>
    <w:p w14:paraId="08DEC0EC">
      <w:pPr>
        <w:snapToGrid w:val="0"/>
        <w:spacing w:before="50" w:after="120" w:afterLines="50"/>
        <w:jc w:val="left"/>
        <w:rPr>
          <w:rFonts w:hint="eastAsia" w:ascii="宋体" w:hAnsi="宋体" w:cs="宋体"/>
          <w:b/>
          <w:color w:val="auto"/>
          <w:sz w:val="24"/>
          <w:highlight w:val="none"/>
        </w:rPr>
      </w:pPr>
    </w:p>
    <w:p w14:paraId="4D378064">
      <w:pPr>
        <w:snapToGrid w:val="0"/>
        <w:spacing w:before="50" w:after="120" w:afterLines="50"/>
        <w:jc w:val="left"/>
        <w:rPr>
          <w:rFonts w:hint="eastAsia" w:ascii="宋体" w:hAnsi="宋体" w:cs="宋体"/>
          <w:b/>
          <w:color w:val="auto"/>
          <w:sz w:val="24"/>
          <w:highlight w:val="none"/>
        </w:rPr>
      </w:pPr>
    </w:p>
    <w:p w14:paraId="649FC27A">
      <w:pPr>
        <w:snapToGrid w:val="0"/>
        <w:spacing w:before="50" w:after="120" w:afterLines="50"/>
        <w:jc w:val="left"/>
        <w:rPr>
          <w:rFonts w:hint="eastAsia" w:ascii="宋体" w:hAnsi="宋体" w:cs="宋体"/>
          <w:b/>
          <w:color w:val="auto"/>
          <w:sz w:val="24"/>
          <w:highlight w:val="none"/>
        </w:rPr>
      </w:pPr>
    </w:p>
    <w:p w14:paraId="329C3F51">
      <w:pPr>
        <w:snapToGrid w:val="0"/>
        <w:spacing w:before="50" w:after="120" w:afterLines="50"/>
        <w:jc w:val="left"/>
        <w:rPr>
          <w:rFonts w:hint="eastAsia" w:ascii="宋体" w:hAnsi="宋体" w:cs="宋体"/>
          <w:b/>
          <w:color w:val="auto"/>
          <w:sz w:val="24"/>
          <w:highlight w:val="none"/>
        </w:rPr>
      </w:pPr>
    </w:p>
    <w:p w14:paraId="1513A51D">
      <w:pPr>
        <w:snapToGrid w:val="0"/>
        <w:spacing w:before="50" w:after="120" w:afterLines="50"/>
        <w:jc w:val="left"/>
        <w:rPr>
          <w:rFonts w:hint="eastAsia" w:ascii="宋体" w:hAnsi="宋体" w:cs="宋体"/>
          <w:b/>
          <w:color w:val="auto"/>
          <w:sz w:val="24"/>
          <w:highlight w:val="none"/>
        </w:rPr>
      </w:pPr>
    </w:p>
    <w:p w14:paraId="70204C0D">
      <w:pPr>
        <w:snapToGrid w:val="0"/>
        <w:spacing w:before="50" w:after="120" w:afterLines="50"/>
        <w:jc w:val="left"/>
        <w:rPr>
          <w:rFonts w:hint="eastAsia" w:ascii="宋体" w:hAnsi="宋体" w:cs="宋体"/>
          <w:b/>
          <w:color w:val="auto"/>
          <w:sz w:val="24"/>
          <w:highlight w:val="none"/>
        </w:rPr>
      </w:pPr>
    </w:p>
    <w:p w14:paraId="6E5E29CC">
      <w:pPr>
        <w:snapToGrid w:val="0"/>
        <w:spacing w:before="50" w:after="120" w:afterLines="50"/>
        <w:jc w:val="left"/>
        <w:rPr>
          <w:rFonts w:hint="eastAsia" w:ascii="宋体" w:hAnsi="宋体" w:cs="宋体"/>
          <w:b/>
          <w:color w:val="auto"/>
          <w:sz w:val="24"/>
          <w:highlight w:val="none"/>
        </w:rPr>
      </w:pPr>
    </w:p>
    <w:p w14:paraId="2A2AB819">
      <w:pPr>
        <w:snapToGrid w:val="0"/>
        <w:spacing w:before="50" w:after="120" w:afterLines="50"/>
        <w:jc w:val="left"/>
        <w:rPr>
          <w:rFonts w:hint="eastAsia" w:ascii="宋体" w:hAnsi="宋体" w:cs="宋体"/>
          <w:b/>
          <w:color w:val="auto"/>
          <w:sz w:val="24"/>
          <w:highlight w:val="none"/>
        </w:rPr>
      </w:pPr>
    </w:p>
    <w:p w14:paraId="1418F0AF">
      <w:pPr>
        <w:snapToGrid w:val="0"/>
        <w:spacing w:before="50" w:after="120" w:afterLines="50"/>
        <w:jc w:val="left"/>
        <w:rPr>
          <w:rFonts w:hint="eastAsia" w:ascii="宋体" w:hAnsi="宋体" w:cs="宋体"/>
          <w:b/>
          <w:color w:val="auto"/>
          <w:sz w:val="24"/>
          <w:highlight w:val="none"/>
        </w:rPr>
      </w:pPr>
    </w:p>
    <w:p w14:paraId="09A32FBD">
      <w:pPr>
        <w:snapToGrid w:val="0"/>
        <w:spacing w:before="50" w:after="120" w:afterLines="50"/>
        <w:jc w:val="left"/>
        <w:rPr>
          <w:rFonts w:hint="eastAsia" w:ascii="宋体" w:hAnsi="宋体" w:cs="宋体"/>
          <w:b/>
          <w:color w:val="auto"/>
          <w:sz w:val="24"/>
          <w:highlight w:val="none"/>
        </w:rPr>
      </w:pPr>
    </w:p>
    <w:p w14:paraId="795E308C">
      <w:pPr>
        <w:snapToGrid w:val="0"/>
        <w:spacing w:before="50" w:after="120" w:afterLines="50"/>
        <w:jc w:val="left"/>
        <w:rPr>
          <w:rFonts w:hint="eastAsia" w:ascii="宋体" w:hAnsi="宋体" w:cs="宋体"/>
          <w:b/>
          <w:color w:val="auto"/>
          <w:sz w:val="24"/>
          <w:highlight w:val="none"/>
        </w:rPr>
      </w:pPr>
    </w:p>
    <w:p w14:paraId="6976E888">
      <w:pPr>
        <w:snapToGrid w:val="0"/>
        <w:spacing w:before="50" w:after="120" w:afterLines="50"/>
        <w:jc w:val="left"/>
        <w:rPr>
          <w:rFonts w:hint="eastAsia" w:ascii="宋体" w:hAnsi="宋体" w:cs="宋体"/>
          <w:b/>
          <w:color w:val="auto"/>
          <w:sz w:val="24"/>
          <w:highlight w:val="none"/>
        </w:rPr>
      </w:pPr>
    </w:p>
    <w:p w14:paraId="1625DCB8">
      <w:pPr>
        <w:snapToGrid w:val="0"/>
        <w:spacing w:before="50" w:after="120" w:afterLines="50"/>
        <w:jc w:val="left"/>
        <w:rPr>
          <w:rFonts w:hint="eastAsia" w:ascii="宋体" w:hAnsi="宋体" w:cs="宋体"/>
          <w:b/>
          <w:color w:val="auto"/>
          <w:sz w:val="24"/>
          <w:highlight w:val="none"/>
        </w:rPr>
      </w:pPr>
    </w:p>
    <w:p w14:paraId="45E5F13D">
      <w:pPr>
        <w:snapToGrid w:val="0"/>
        <w:spacing w:before="50" w:after="120" w:afterLines="50"/>
        <w:jc w:val="left"/>
        <w:rPr>
          <w:rFonts w:hint="eastAsia" w:ascii="宋体" w:hAnsi="宋体" w:cs="宋体"/>
          <w:b/>
          <w:color w:val="auto"/>
          <w:sz w:val="24"/>
          <w:highlight w:val="none"/>
        </w:rPr>
      </w:pPr>
    </w:p>
    <w:p w14:paraId="65E00674">
      <w:pPr>
        <w:snapToGrid w:val="0"/>
        <w:spacing w:before="50" w:after="120" w:afterLines="50"/>
        <w:jc w:val="left"/>
        <w:rPr>
          <w:rFonts w:hint="eastAsia" w:ascii="宋体" w:hAnsi="宋体" w:cs="宋体"/>
          <w:b/>
          <w:color w:val="auto"/>
          <w:sz w:val="24"/>
          <w:highlight w:val="none"/>
          <w:lang w:eastAsia="zh-CN"/>
        </w:rPr>
      </w:pPr>
    </w:p>
    <w:p w14:paraId="486E07C3">
      <w:pPr>
        <w:snapToGrid w:val="0"/>
        <w:spacing w:before="50" w:after="120" w:afterLines="50"/>
        <w:jc w:val="left"/>
        <w:rPr>
          <w:rFonts w:hint="eastAsia" w:ascii="宋体" w:hAnsi="宋体" w:cs="宋体"/>
          <w:b/>
          <w:color w:val="auto"/>
          <w:sz w:val="24"/>
          <w:highlight w:val="none"/>
          <w:lang w:eastAsia="zh-CN"/>
        </w:rPr>
      </w:pPr>
    </w:p>
    <w:p w14:paraId="0B936DDF">
      <w:pPr>
        <w:snapToGrid w:val="0"/>
        <w:spacing w:before="50" w:after="120" w:afterLines="50"/>
        <w:jc w:val="left"/>
        <w:rPr>
          <w:rFonts w:hint="eastAsia" w:ascii="宋体" w:hAnsi="宋体" w:cs="宋体"/>
          <w:b/>
          <w:color w:val="auto"/>
          <w:sz w:val="24"/>
          <w:highlight w:val="none"/>
          <w:lang w:eastAsia="zh-CN"/>
        </w:rPr>
      </w:pPr>
    </w:p>
    <w:p w14:paraId="585B2767">
      <w:pPr>
        <w:snapToGrid w:val="0"/>
        <w:spacing w:before="50" w:after="120" w:afterLines="50"/>
        <w:jc w:val="left"/>
        <w:rPr>
          <w:rFonts w:hint="eastAsia" w:ascii="宋体" w:hAnsi="宋体" w:cs="宋体"/>
          <w:b/>
          <w:color w:val="auto"/>
          <w:sz w:val="24"/>
          <w:highlight w:val="none"/>
          <w:lang w:eastAsia="zh-CN"/>
        </w:rPr>
      </w:pPr>
    </w:p>
    <w:p w14:paraId="4FB23A47">
      <w:pPr>
        <w:snapToGrid w:val="0"/>
        <w:spacing w:before="50" w:after="120" w:afterLines="50"/>
        <w:jc w:val="left"/>
        <w:rPr>
          <w:rFonts w:hint="eastAsia" w:ascii="宋体" w:hAnsi="宋体" w:cs="宋体"/>
          <w:b/>
          <w:color w:val="auto"/>
          <w:sz w:val="24"/>
          <w:highlight w:val="none"/>
          <w:lang w:eastAsia="zh-CN"/>
        </w:rPr>
      </w:pPr>
    </w:p>
    <w:p w14:paraId="03559E20">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lang w:eastAsia="zh-CN"/>
        </w:rPr>
        <w:t>附件</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 xml:space="preserve">评分响应表格式： </w:t>
      </w:r>
    </w:p>
    <w:p w14:paraId="6DA1F445">
      <w:pPr>
        <w:snapToGrid w:val="0"/>
        <w:spacing w:before="120" w:beforeLines="50" w:after="50"/>
        <w:rPr>
          <w:rFonts w:ascii="宋体" w:hAnsi="宋体" w:cs="宋体"/>
          <w:b/>
          <w:color w:val="auto"/>
          <w:sz w:val="24"/>
          <w:highlight w:val="none"/>
        </w:rPr>
      </w:pPr>
    </w:p>
    <w:p w14:paraId="736D2006">
      <w:pPr>
        <w:snapToGrid w:val="0"/>
        <w:spacing w:before="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投标人资信商务、技术自评得分表</w:t>
      </w:r>
    </w:p>
    <w:p w14:paraId="72D87C32">
      <w:pPr>
        <w:snapToGrid w:val="0"/>
        <w:spacing w:before="50" w:after="50"/>
        <w:rPr>
          <w:rFonts w:ascii="宋体" w:hAnsi="宋体" w:cs="宋体"/>
          <w:b/>
          <w:color w:val="auto"/>
          <w:sz w:val="24"/>
          <w:highlight w:val="none"/>
        </w:rPr>
      </w:pPr>
    </w:p>
    <w:p w14:paraId="320EC89F">
      <w:pPr>
        <w:snapToGrid w:val="0"/>
        <w:spacing w:before="50" w:after="50" w:line="360" w:lineRule="auto"/>
        <w:rPr>
          <w:rFonts w:ascii="宋体" w:hAnsi="宋体" w:cs="宋体"/>
          <w:b/>
          <w:color w:val="auto"/>
          <w:sz w:val="24"/>
          <w:highlight w:val="none"/>
          <w:u w:val="single"/>
        </w:rPr>
      </w:pPr>
      <w:r>
        <w:rPr>
          <w:rFonts w:hint="eastAsia" w:ascii="宋体" w:hAnsi="宋体" w:cs="宋体"/>
          <w:b/>
          <w:color w:val="auto"/>
          <w:sz w:val="24"/>
          <w:highlight w:val="none"/>
        </w:rPr>
        <w:t>投标单位名称：</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444"/>
        <w:gridCol w:w="2998"/>
        <w:gridCol w:w="1452"/>
        <w:gridCol w:w="2404"/>
      </w:tblGrid>
      <w:tr w14:paraId="74AF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6A55FF09">
            <w:pPr>
              <w:pStyle w:val="35"/>
              <w:ind w:firstLine="0" w:firstLineChars="0"/>
              <w:jc w:val="center"/>
              <w:rPr>
                <w:rFonts w:ascii="宋体" w:eastAsia="宋体" w:cs="宋体"/>
                <w:b/>
                <w:bCs/>
                <w:color w:val="auto"/>
                <w:highlight w:val="none"/>
              </w:rPr>
            </w:pPr>
            <w:r>
              <w:rPr>
                <w:rFonts w:hint="eastAsia" w:ascii="宋体" w:eastAsia="宋体" w:cs="宋体"/>
                <w:b/>
                <w:bCs/>
                <w:color w:val="auto"/>
                <w:highlight w:val="none"/>
              </w:rPr>
              <w:t>序号</w:t>
            </w:r>
          </w:p>
        </w:tc>
        <w:tc>
          <w:tcPr>
            <w:tcW w:w="1444" w:type="dxa"/>
            <w:tcBorders>
              <w:top w:val="single" w:color="auto" w:sz="4" w:space="0"/>
              <w:left w:val="single" w:color="auto" w:sz="4" w:space="0"/>
              <w:bottom w:val="single" w:color="auto" w:sz="4" w:space="0"/>
              <w:right w:val="single" w:color="auto" w:sz="4" w:space="0"/>
            </w:tcBorders>
            <w:vAlign w:val="center"/>
          </w:tcPr>
          <w:p w14:paraId="453AA6E8">
            <w:pPr>
              <w:pStyle w:val="35"/>
              <w:ind w:firstLine="0" w:firstLineChars="0"/>
              <w:jc w:val="center"/>
              <w:rPr>
                <w:rFonts w:ascii="宋体" w:eastAsia="宋体" w:cs="宋体"/>
                <w:b/>
                <w:bCs/>
                <w:color w:val="auto"/>
                <w:highlight w:val="none"/>
              </w:rPr>
            </w:pPr>
            <w:r>
              <w:rPr>
                <w:rFonts w:hint="eastAsia" w:ascii="宋体" w:eastAsia="宋体" w:cs="宋体"/>
                <w:b/>
                <w:bCs/>
                <w:color w:val="auto"/>
                <w:highlight w:val="none"/>
              </w:rPr>
              <w:t>评审内容</w:t>
            </w:r>
          </w:p>
        </w:tc>
        <w:tc>
          <w:tcPr>
            <w:tcW w:w="2998" w:type="dxa"/>
            <w:tcBorders>
              <w:top w:val="single" w:color="auto" w:sz="4" w:space="0"/>
              <w:left w:val="single" w:color="auto" w:sz="4" w:space="0"/>
              <w:bottom w:val="single" w:color="auto" w:sz="4" w:space="0"/>
              <w:right w:val="single" w:color="auto" w:sz="4" w:space="0"/>
            </w:tcBorders>
            <w:vAlign w:val="center"/>
          </w:tcPr>
          <w:p w14:paraId="26E4C087">
            <w:pPr>
              <w:pStyle w:val="35"/>
              <w:ind w:firstLine="482"/>
              <w:jc w:val="center"/>
              <w:rPr>
                <w:rFonts w:ascii="宋体" w:eastAsia="宋体" w:cs="宋体"/>
                <w:b/>
                <w:bCs/>
                <w:color w:val="auto"/>
                <w:highlight w:val="none"/>
              </w:rPr>
            </w:pPr>
            <w:r>
              <w:rPr>
                <w:rFonts w:hint="eastAsia" w:ascii="宋体" w:eastAsia="宋体" w:cs="宋体"/>
                <w:b/>
                <w:bCs/>
                <w:color w:val="auto"/>
                <w:highlight w:val="none"/>
              </w:rPr>
              <w:t>评分标准</w:t>
            </w:r>
          </w:p>
        </w:tc>
        <w:tc>
          <w:tcPr>
            <w:tcW w:w="1452" w:type="dxa"/>
            <w:tcBorders>
              <w:top w:val="single" w:color="auto" w:sz="4" w:space="0"/>
              <w:left w:val="single" w:color="auto" w:sz="4" w:space="0"/>
              <w:bottom w:val="single" w:color="auto" w:sz="4" w:space="0"/>
              <w:right w:val="single" w:color="auto" w:sz="4" w:space="0"/>
            </w:tcBorders>
            <w:vAlign w:val="center"/>
          </w:tcPr>
          <w:p w14:paraId="15D5C719">
            <w:pPr>
              <w:pStyle w:val="35"/>
              <w:ind w:firstLine="0" w:firstLineChars="0"/>
              <w:jc w:val="center"/>
              <w:rPr>
                <w:rFonts w:ascii="宋体" w:eastAsia="宋体" w:cs="宋体"/>
                <w:b/>
                <w:bCs/>
                <w:color w:val="auto"/>
                <w:highlight w:val="none"/>
              </w:rPr>
            </w:pPr>
            <w:r>
              <w:rPr>
                <w:rFonts w:hint="eastAsia" w:ascii="宋体" w:eastAsia="宋体" w:cs="宋体"/>
                <w:b/>
                <w:bCs/>
                <w:color w:val="auto"/>
                <w:highlight w:val="none"/>
              </w:rPr>
              <w:t>自评得分</w:t>
            </w:r>
          </w:p>
        </w:tc>
        <w:tc>
          <w:tcPr>
            <w:tcW w:w="2404" w:type="dxa"/>
            <w:tcBorders>
              <w:top w:val="single" w:color="auto" w:sz="4" w:space="0"/>
              <w:left w:val="single" w:color="auto" w:sz="4" w:space="0"/>
              <w:bottom w:val="single" w:color="auto" w:sz="4" w:space="0"/>
              <w:right w:val="single" w:color="auto" w:sz="4" w:space="0"/>
            </w:tcBorders>
            <w:vAlign w:val="center"/>
          </w:tcPr>
          <w:p w14:paraId="231FA323">
            <w:pPr>
              <w:pStyle w:val="35"/>
              <w:ind w:firstLine="0" w:firstLineChars="0"/>
              <w:jc w:val="center"/>
              <w:rPr>
                <w:rFonts w:ascii="宋体" w:eastAsia="宋体" w:cs="宋体"/>
                <w:b/>
                <w:bCs/>
                <w:color w:val="auto"/>
                <w:highlight w:val="none"/>
              </w:rPr>
            </w:pPr>
            <w:r>
              <w:rPr>
                <w:rFonts w:hint="eastAsia" w:ascii="宋体" w:eastAsia="宋体" w:cs="宋体"/>
                <w:b/>
                <w:bCs/>
                <w:color w:val="auto"/>
                <w:highlight w:val="none"/>
              </w:rPr>
              <w:t>页码</w:t>
            </w:r>
          </w:p>
        </w:tc>
      </w:tr>
      <w:tr w14:paraId="6B8C0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1B637FDB">
            <w:pPr>
              <w:pStyle w:val="35"/>
              <w:ind w:firstLine="0" w:firstLineChars="0"/>
              <w:jc w:val="center"/>
              <w:rPr>
                <w:rFonts w:ascii="宋体" w:eastAsia="宋体" w:cs="宋体"/>
                <w:b/>
                <w:bCs/>
                <w:color w:val="auto"/>
                <w:highlight w:val="none"/>
              </w:rPr>
            </w:pPr>
            <w:r>
              <w:rPr>
                <w:rFonts w:hint="eastAsia" w:ascii="宋体" w:eastAsia="宋体" w:cs="宋体"/>
                <w:b/>
                <w:bCs/>
                <w:color w:val="auto"/>
                <w:highlight w:val="none"/>
              </w:rPr>
              <w:t>一</w:t>
            </w:r>
          </w:p>
        </w:tc>
        <w:tc>
          <w:tcPr>
            <w:tcW w:w="1444" w:type="dxa"/>
            <w:tcBorders>
              <w:top w:val="single" w:color="auto" w:sz="4" w:space="0"/>
              <w:left w:val="single" w:color="auto" w:sz="4" w:space="0"/>
              <w:bottom w:val="single" w:color="auto" w:sz="4" w:space="0"/>
              <w:right w:val="single" w:color="auto" w:sz="4" w:space="0"/>
            </w:tcBorders>
            <w:vAlign w:val="center"/>
          </w:tcPr>
          <w:p w14:paraId="3ABE98AB">
            <w:pPr>
              <w:pStyle w:val="35"/>
              <w:ind w:firstLine="0" w:firstLineChars="0"/>
              <w:jc w:val="center"/>
              <w:rPr>
                <w:rFonts w:ascii="宋体" w:eastAsia="宋体" w:cs="宋体"/>
                <w:b/>
                <w:bCs/>
                <w:color w:val="auto"/>
                <w:highlight w:val="none"/>
              </w:rPr>
            </w:pPr>
            <w:r>
              <w:rPr>
                <w:rFonts w:hint="eastAsia" w:ascii="宋体" w:eastAsia="宋体" w:cs="宋体"/>
                <w:b/>
                <w:bCs/>
                <w:color w:val="auto"/>
                <w:highlight w:val="none"/>
              </w:rPr>
              <w:t>技术分</w:t>
            </w:r>
          </w:p>
        </w:tc>
        <w:tc>
          <w:tcPr>
            <w:tcW w:w="2998" w:type="dxa"/>
            <w:tcBorders>
              <w:top w:val="single" w:color="auto" w:sz="4" w:space="0"/>
              <w:left w:val="single" w:color="auto" w:sz="4" w:space="0"/>
              <w:bottom w:val="single" w:color="auto" w:sz="4" w:space="0"/>
              <w:right w:val="single" w:color="auto" w:sz="4" w:space="0"/>
            </w:tcBorders>
            <w:vAlign w:val="center"/>
          </w:tcPr>
          <w:p w14:paraId="5ECDEFE6">
            <w:pPr>
              <w:pStyle w:val="35"/>
              <w:ind w:firstLine="482"/>
              <w:jc w:val="center"/>
              <w:rPr>
                <w:rFonts w:ascii="宋体" w:eastAsia="宋体" w:cs="宋体"/>
                <w:b/>
                <w:bCs/>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16A61423">
            <w:pPr>
              <w:pStyle w:val="35"/>
              <w:ind w:firstLine="0" w:firstLineChars="0"/>
              <w:jc w:val="center"/>
              <w:rPr>
                <w:rFonts w:ascii="宋体" w:eastAsia="宋体" w:cs="宋体"/>
                <w:b/>
                <w:bCs/>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2FE3F9DB">
            <w:pPr>
              <w:pStyle w:val="35"/>
              <w:ind w:firstLine="0" w:firstLineChars="0"/>
              <w:jc w:val="center"/>
              <w:rPr>
                <w:rFonts w:ascii="宋体" w:eastAsia="宋体" w:cs="宋体"/>
                <w:b/>
                <w:bCs/>
                <w:color w:val="auto"/>
                <w:highlight w:val="none"/>
              </w:rPr>
            </w:pPr>
          </w:p>
        </w:tc>
      </w:tr>
      <w:tr w14:paraId="57260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518584AE">
            <w:pPr>
              <w:widowControl/>
              <w:rPr>
                <w:rFonts w:ascii="宋体" w:hAnsi="宋体" w:cs="宋体"/>
                <w:color w:val="auto"/>
                <w:sz w:val="24"/>
                <w:highlight w:val="none"/>
              </w:rPr>
            </w:pPr>
            <w:r>
              <w:rPr>
                <w:rFonts w:hint="eastAsia" w:ascii="宋体" w:hAnsi="宋体" w:cs="宋体"/>
                <w:color w:val="auto"/>
                <w:sz w:val="24"/>
                <w:highlight w:val="none"/>
              </w:rPr>
              <w:t>1</w:t>
            </w:r>
          </w:p>
        </w:tc>
        <w:tc>
          <w:tcPr>
            <w:tcW w:w="1444" w:type="dxa"/>
            <w:tcBorders>
              <w:top w:val="single" w:color="auto" w:sz="4" w:space="0"/>
              <w:left w:val="single" w:color="auto" w:sz="4" w:space="0"/>
              <w:bottom w:val="single" w:color="auto" w:sz="4" w:space="0"/>
              <w:right w:val="single" w:color="auto" w:sz="4" w:space="0"/>
            </w:tcBorders>
            <w:vAlign w:val="center"/>
          </w:tcPr>
          <w:p w14:paraId="32BA1D01">
            <w:pPr>
              <w:rPr>
                <w:rFonts w:ascii="宋体" w:hAnsi="宋体" w:cs="宋体"/>
                <w:color w:val="auto"/>
                <w:sz w:val="24"/>
                <w:highlight w:val="none"/>
              </w:rPr>
            </w:pPr>
          </w:p>
        </w:tc>
        <w:tc>
          <w:tcPr>
            <w:tcW w:w="2998" w:type="dxa"/>
            <w:tcBorders>
              <w:top w:val="single" w:color="auto" w:sz="4" w:space="0"/>
              <w:left w:val="single" w:color="auto" w:sz="4" w:space="0"/>
              <w:right w:val="single" w:color="auto" w:sz="4" w:space="0"/>
            </w:tcBorders>
            <w:vAlign w:val="center"/>
          </w:tcPr>
          <w:p w14:paraId="2F67487E">
            <w:pPr>
              <w:rPr>
                <w:rFonts w:ascii="宋体" w:hAnsi="宋体" w:cs="宋体"/>
                <w:color w:val="auto"/>
                <w:sz w:val="24"/>
                <w:highlight w:val="none"/>
              </w:rPr>
            </w:pPr>
          </w:p>
        </w:tc>
        <w:tc>
          <w:tcPr>
            <w:tcW w:w="1452" w:type="dxa"/>
            <w:tcBorders>
              <w:top w:val="single" w:color="auto" w:sz="4" w:space="0"/>
              <w:left w:val="single" w:color="auto" w:sz="4" w:space="0"/>
              <w:right w:val="single" w:color="auto" w:sz="4" w:space="0"/>
            </w:tcBorders>
            <w:vAlign w:val="center"/>
          </w:tcPr>
          <w:p w14:paraId="4188D8D1">
            <w:pPr>
              <w:jc w:val="center"/>
              <w:rPr>
                <w:rFonts w:ascii="宋体" w:hAnsi="宋体" w:cs="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14:paraId="1700EE9A">
            <w:pPr>
              <w:jc w:val="center"/>
              <w:rPr>
                <w:rFonts w:ascii="宋体" w:hAnsi="宋体" w:cs="宋体"/>
                <w:bCs/>
                <w:color w:val="auto"/>
                <w:sz w:val="24"/>
                <w:highlight w:val="none"/>
              </w:rPr>
            </w:pPr>
            <w:r>
              <w:rPr>
                <w:rFonts w:hint="eastAsia" w:ascii="宋体" w:hAnsi="宋体" w:cs="宋体"/>
                <w:bCs/>
                <w:color w:val="auto"/>
                <w:sz w:val="24"/>
                <w:highlight w:val="none"/>
              </w:rPr>
              <w:t>详见第几页</w:t>
            </w:r>
          </w:p>
        </w:tc>
      </w:tr>
      <w:tr w14:paraId="17AF8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0FA2B8AA">
            <w:pPr>
              <w:widowControl/>
              <w:rPr>
                <w:rFonts w:ascii="宋体" w:hAnsi="宋体" w:cs="宋体"/>
                <w:color w:val="auto"/>
                <w:sz w:val="24"/>
                <w:highlight w:val="none"/>
              </w:rPr>
            </w:pPr>
            <w:r>
              <w:rPr>
                <w:rFonts w:hint="eastAsia" w:ascii="宋体" w:hAnsi="宋体" w:cs="宋体"/>
                <w:color w:val="auto"/>
                <w:sz w:val="24"/>
                <w:highlight w:val="none"/>
              </w:rPr>
              <w:t>2</w:t>
            </w:r>
          </w:p>
        </w:tc>
        <w:tc>
          <w:tcPr>
            <w:tcW w:w="1444" w:type="dxa"/>
            <w:tcBorders>
              <w:top w:val="single" w:color="auto" w:sz="4" w:space="0"/>
              <w:left w:val="single" w:color="auto" w:sz="4" w:space="0"/>
              <w:bottom w:val="single" w:color="auto" w:sz="4" w:space="0"/>
              <w:right w:val="single" w:color="auto" w:sz="4" w:space="0"/>
            </w:tcBorders>
            <w:vAlign w:val="center"/>
          </w:tcPr>
          <w:p w14:paraId="4EF4B0F9">
            <w:pPr>
              <w:spacing w:line="320" w:lineRule="exact"/>
              <w:rPr>
                <w:rFonts w:ascii="宋体" w:hAnsi="宋体" w:cs="宋体"/>
                <w:color w:val="auto"/>
                <w:sz w:val="24"/>
                <w:highlight w:val="none"/>
              </w:rPr>
            </w:pPr>
          </w:p>
        </w:tc>
        <w:tc>
          <w:tcPr>
            <w:tcW w:w="2998" w:type="dxa"/>
            <w:tcBorders>
              <w:top w:val="single" w:color="auto" w:sz="4" w:space="0"/>
              <w:left w:val="single" w:color="auto" w:sz="4" w:space="0"/>
              <w:right w:val="single" w:color="auto" w:sz="4" w:space="0"/>
            </w:tcBorders>
            <w:vAlign w:val="center"/>
          </w:tcPr>
          <w:p w14:paraId="2865E023">
            <w:pPr>
              <w:widowControl/>
              <w:rPr>
                <w:rFonts w:ascii="宋体" w:hAnsi="宋体" w:cs="宋体"/>
                <w:color w:val="auto"/>
                <w:kern w:val="0"/>
                <w:sz w:val="24"/>
                <w:highlight w:val="none"/>
              </w:rPr>
            </w:pPr>
          </w:p>
        </w:tc>
        <w:tc>
          <w:tcPr>
            <w:tcW w:w="1452" w:type="dxa"/>
            <w:tcBorders>
              <w:top w:val="single" w:color="auto" w:sz="4" w:space="0"/>
              <w:left w:val="single" w:color="auto" w:sz="4" w:space="0"/>
              <w:right w:val="single" w:color="auto" w:sz="4" w:space="0"/>
            </w:tcBorders>
            <w:vAlign w:val="center"/>
          </w:tcPr>
          <w:p w14:paraId="24E129F0">
            <w:pPr>
              <w:spacing w:line="320" w:lineRule="exact"/>
              <w:jc w:val="center"/>
              <w:rPr>
                <w:rFonts w:ascii="宋体" w:hAnsi="宋体" w:cs="宋体"/>
                <w:bCs/>
                <w:color w:val="auto"/>
                <w:sz w:val="24"/>
                <w:highlight w:val="none"/>
              </w:rPr>
            </w:pPr>
          </w:p>
        </w:tc>
        <w:tc>
          <w:tcPr>
            <w:tcW w:w="2404" w:type="dxa"/>
            <w:tcBorders>
              <w:top w:val="single" w:color="auto" w:sz="4" w:space="0"/>
              <w:left w:val="single" w:color="auto" w:sz="4" w:space="0"/>
              <w:right w:val="single" w:color="auto" w:sz="4" w:space="0"/>
            </w:tcBorders>
            <w:vAlign w:val="center"/>
          </w:tcPr>
          <w:p w14:paraId="2077F059">
            <w:pPr>
              <w:jc w:val="center"/>
              <w:rPr>
                <w:rFonts w:ascii="宋体" w:hAnsi="宋体" w:cs="宋体"/>
                <w:bCs/>
                <w:color w:val="auto"/>
                <w:sz w:val="24"/>
                <w:highlight w:val="none"/>
              </w:rPr>
            </w:pPr>
            <w:r>
              <w:rPr>
                <w:rFonts w:hint="eastAsia" w:ascii="宋体" w:hAnsi="宋体" w:cs="宋体"/>
                <w:bCs/>
                <w:color w:val="auto"/>
                <w:sz w:val="24"/>
                <w:highlight w:val="none"/>
              </w:rPr>
              <w:t>……</w:t>
            </w:r>
          </w:p>
        </w:tc>
      </w:tr>
      <w:tr w14:paraId="5AD21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786" w:type="dxa"/>
            <w:tcBorders>
              <w:left w:val="single" w:color="auto" w:sz="4" w:space="0"/>
              <w:bottom w:val="single" w:color="auto" w:sz="4" w:space="0"/>
              <w:right w:val="single" w:color="auto" w:sz="4" w:space="0"/>
            </w:tcBorders>
            <w:vAlign w:val="center"/>
          </w:tcPr>
          <w:p w14:paraId="29A8F6E7">
            <w:pPr>
              <w:widowControl/>
              <w:rPr>
                <w:rFonts w:ascii="宋体" w:hAnsi="宋体" w:cs="宋体"/>
                <w:color w:val="auto"/>
                <w:sz w:val="24"/>
                <w:highlight w:val="none"/>
              </w:rPr>
            </w:pPr>
            <w:r>
              <w:rPr>
                <w:rFonts w:hint="eastAsia" w:ascii="宋体" w:hAnsi="宋体" w:cs="宋体"/>
                <w:color w:val="auto"/>
                <w:sz w:val="24"/>
                <w:highlight w:val="none"/>
              </w:rPr>
              <w:t>……</w:t>
            </w:r>
          </w:p>
        </w:tc>
        <w:tc>
          <w:tcPr>
            <w:tcW w:w="1444" w:type="dxa"/>
            <w:tcBorders>
              <w:left w:val="single" w:color="auto" w:sz="4" w:space="0"/>
              <w:bottom w:val="single" w:color="auto" w:sz="4" w:space="0"/>
              <w:right w:val="single" w:color="auto" w:sz="4" w:space="0"/>
            </w:tcBorders>
            <w:vAlign w:val="center"/>
          </w:tcPr>
          <w:p w14:paraId="5B896DAE">
            <w:pPr>
              <w:widowControl/>
              <w:rPr>
                <w:rFonts w:ascii="宋体" w:hAnsi="宋体" w:cs="宋体"/>
                <w:color w:val="auto"/>
                <w:kern w:val="0"/>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14:paraId="5FF56123">
            <w:pPr>
              <w:ind w:left="55" w:leftChars="26"/>
              <w:rPr>
                <w:rFonts w:ascii="宋体" w:hAnsi="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634ACBCD">
            <w:pPr>
              <w:spacing w:line="320" w:lineRule="exact"/>
              <w:jc w:val="center"/>
              <w:rPr>
                <w:rFonts w:ascii="宋体" w:hAnsi="宋体" w:cs="宋体"/>
                <w:bCs/>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552D91C4">
            <w:pPr>
              <w:jc w:val="center"/>
              <w:rPr>
                <w:rFonts w:ascii="宋体" w:hAnsi="宋体" w:cs="宋体"/>
                <w:bCs/>
                <w:color w:val="auto"/>
                <w:sz w:val="24"/>
                <w:highlight w:val="none"/>
              </w:rPr>
            </w:pPr>
          </w:p>
        </w:tc>
      </w:tr>
      <w:tr w14:paraId="53324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44CF3181">
            <w:pPr>
              <w:widowControl/>
              <w:rPr>
                <w:rFonts w:ascii="宋体" w:hAnsi="宋体" w:cs="宋体"/>
                <w:b/>
                <w:color w:val="auto"/>
                <w:sz w:val="24"/>
                <w:highlight w:val="none"/>
              </w:rPr>
            </w:pPr>
          </w:p>
        </w:tc>
        <w:tc>
          <w:tcPr>
            <w:tcW w:w="1444" w:type="dxa"/>
            <w:tcBorders>
              <w:top w:val="single" w:color="auto" w:sz="4" w:space="0"/>
              <w:left w:val="single" w:color="auto" w:sz="4" w:space="0"/>
              <w:bottom w:val="single" w:color="auto" w:sz="4" w:space="0"/>
              <w:right w:val="single" w:color="auto" w:sz="4" w:space="0"/>
            </w:tcBorders>
            <w:vAlign w:val="center"/>
          </w:tcPr>
          <w:p w14:paraId="580ECFF7">
            <w:pPr>
              <w:widowControl/>
              <w:rPr>
                <w:rFonts w:ascii="宋体" w:hAnsi="宋体" w:cs="宋体"/>
                <w:b/>
                <w:color w:val="auto"/>
                <w:sz w:val="24"/>
                <w:highlight w:val="none"/>
              </w:rPr>
            </w:pPr>
            <w:r>
              <w:rPr>
                <w:rFonts w:hint="eastAsia" w:ascii="宋体" w:hAnsi="宋体" w:cs="宋体"/>
                <w:b/>
                <w:color w:val="auto"/>
                <w:sz w:val="24"/>
                <w:highlight w:val="none"/>
              </w:rPr>
              <w:t>资信商务分</w:t>
            </w:r>
          </w:p>
        </w:tc>
        <w:tc>
          <w:tcPr>
            <w:tcW w:w="2998" w:type="dxa"/>
            <w:tcBorders>
              <w:top w:val="single" w:color="auto" w:sz="4" w:space="0"/>
              <w:left w:val="single" w:color="auto" w:sz="4" w:space="0"/>
              <w:bottom w:val="single" w:color="auto" w:sz="4" w:space="0"/>
              <w:right w:val="single" w:color="auto" w:sz="4" w:space="0"/>
            </w:tcBorders>
            <w:vAlign w:val="center"/>
          </w:tcPr>
          <w:p w14:paraId="7AF2E6DC">
            <w:pPr>
              <w:pStyle w:val="35"/>
              <w:ind w:firstLine="0" w:firstLineChars="0"/>
              <w:jc w:val="both"/>
              <w:rPr>
                <w:rFonts w:ascii="宋体" w:eastAsia="宋体" w:cs="宋体"/>
                <w:b/>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09B47AA2">
            <w:pPr>
              <w:pStyle w:val="35"/>
              <w:ind w:firstLine="0" w:firstLineChars="0"/>
              <w:jc w:val="center"/>
              <w:rPr>
                <w:rFonts w:ascii="宋体" w:eastAsia="宋体" w:cs="宋体"/>
                <w:b/>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705D3947">
            <w:pPr>
              <w:pStyle w:val="35"/>
              <w:ind w:firstLine="0" w:firstLineChars="0"/>
              <w:jc w:val="center"/>
              <w:rPr>
                <w:rFonts w:ascii="宋体" w:eastAsia="宋体" w:cs="宋体"/>
                <w:b/>
                <w:color w:val="auto"/>
                <w:highlight w:val="none"/>
              </w:rPr>
            </w:pPr>
          </w:p>
        </w:tc>
      </w:tr>
      <w:tr w14:paraId="3BC1B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221BE2F0">
            <w:pPr>
              <w:widowControl/>
              <w:rPr>
                <w:rFonts w:ascii="宋体" w:hAnsi="宋体" w:cs="宋体"/>
                <w:color w:val="auto"/>
                <w:sz w:val="24"/>
                <w:highlight w:val="none"/>
              </w:rPr>
            </w:pPr>
            <w:r>
              <w:rPr>
                <w:rFonts w:hint="eastAsia" w:ascii="宋体" w:hAnsi="宋体" w:cs="宋体"/>
                <w:color w:val="auto"/>
                <w:sz w:val="24"/>
                <w:highlight w:val="none"/>
              </w:rPr>
              <w:t>1</w:t>
            </w:r>
          </w:p>
        </w:tc>
        <w:tc>
          <w:tcPr>
            <w:tcW w:w="1444" w:type="dxa"/>
            <w:tcBorders>
              <w:top w:val="single" w:color="auto" w:sz="4" w:space="0"/>
              <w:left w:val="single" w:color="auto" w:sz="4" w:space="0"/>
              <w:bottom w:val="single" w:color="auto" w:sz="4" w:space="0"/>
              <w:right w:val="single" w:color="auto" w:sz="4" w:space="0"/>
            </w:tcBorders>
            <w:vAlign w:val="center"/>
          </w:tcPr>
          <w:p w14:paraId="3CBB297D">
            <w:pPr>
              <w:spacing w:line="320" w:lineRule="exact"/>
              <w:rPr>
                <w:rFonts w:ascii="宋体" w:hAnsi="宋体" w:cs="宋体"/>
                <w:color w:val="auto"/>
                <w:kern w:val="0"/>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14:paraId="282DD936">
            <w:pPr>
              <w:spacing w:line="320" w:lineRule="exact"/>
              <w:rPr>
                <w:rFonts w:ascii="宋体" w:hAnsi="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27E211CA">
            <w:pPr>
              <w:pStyle w:val="35"/>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7EB79AF8">
            <w:pPr>
              <w:jc w:val="center"/>
              <w:rPr>
                <w:rFonts w:ascii="宋体" w:hAnsi="宋体" w:cs="宋体"/>
                <w:bCs/>
                <w:color w:val="auto"/>
                <w:sz w:val="24"/>
                <w:highlight w:val="none"/>
              </w:rPr>
            </w:pPr>
            <w:r>
              <w:rPr>
                <w:rFonts w:hint="eastAsia" w:ascii="宋体" w:hAnsi="宋体" w:cs="宋体"/>
                <w:bCs/>
                <w:color w:val="auto"/>
                <w:sz w:val="24"/>
                <w:highlight w:val="none"/>
              </w:rPr>
              <w:t>详见第几页</w:t>
            </w:r>
          </w:p>
        </w:tc>
      </w:tr>
      <w:tr w14:paraId="01420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0F9BC875">
            <w:pPr>
              <w:widowControl/>
              <w:rPr>
                <w:rFonts w:ascii="宋体" w:hAnsi="宋体" w:cs="宋体"/>
                <w:color w:val="auto"/>
                <w:sz w:val="24"/>
                <w:highlight w:val="none"/>
              </w:rPr>
            </w:pPr>
            <w:r>
              <w:rPr>
                <w:rFonts w:hint="eastAsia" w:ascii="宋体" w:hAnsi="宋体" w:cs="宋体"/>
                <w:color w:val="auto"/>
                <w:sz w:val="24"/>
                <w:highlight w:val="none"/>
              </w:rPr>
              <w:t>2</w:t>
            </w:r>
          </w:p>
        </w:tc>
        <w:tc>
          <w:tcPr>
            <w:tcW w:w="1444" w:type="dxa"/>
            <w:tcBorders>
              <w:top w:val="single" w:color="auto" w:sz="4" w:space="0"/>
              <w:left w:val="single" w:color="auto" w:sz="4" w:space="0"/>
              <w:bottom w:val="single" w:color="auto" w:sz="4" w:space="0"/>
              <w:right w:val="single" w:color="auto" w:sz="4" w:space="0"/>
            </w:tcBorders>
            <w:vAlign w:val="center"/>
          </w:tcPr>
          <w:p w14:paraId="27D5928B">
            <w:pPr>
              <w:rPr>
                <w:rFonts w:ascii="宋体" w:hAnsi="宋体" w:cs="宋体"/>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14:paraId="29C9340E">
            <w:pPr>
              <w:rPr>
                <w:rFonts w:ascii="宋体" w:hAnsi="宋体" w:cs="宋体"/>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77EA037E">
            <w:pPr>
              <w:pStyle w:val="35"/>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5C8E7F6B">
            <w:pPr>
              <w:pStyle w:val="35"/>
              <w:ind w:firstLine="0" w:firstLineChars="0"/>
              <w:jc w:val="center"/>
              <w:rPr>
                <w:rFonts w:ascii="宋体" w:eastAsia="宋体" w:cs="宋体"/>
                <w:color w:val="auto"/>
                <w:highlight w:val="none"/>
              </w:rPr>
            </w:pPr>
            <w:r>
              <w:rPr>
                <w:rFonts w:hint="eastAsia" w:ascii="宋体" w:eastAsia="宋体" w:cs="宋体"/>
                <w:color w:val="auto"/>
                <w:highlight w:val="none"/>
              </w:rPr>
              <w:t>……</w:t>
            </w:r>
          </w:p>
        </w:tc>
      </w:tr>
      <w:tr w14:paraId="15D9B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14:paraId="79007F5A">
            <w:pPr>
              <w:widowControl/>
              <w:rPr>
                <w:rFonts w:ascii="宋体" w:hAnsi="宋体" w:cs="宋体"/>
                <w:color w:val="auto"/>
                <w:sz w:val="24"/>
                <w:highlight w:val="none"/>
              </w:rPr>
            </w:pPr>
            <w:r>
              <w:rPr>
                <w:rFonts w:hint="eastAsia" w:ascii="宋体" w:hAnsi="宋体" w:cs="宋体"/>
                <w:color w:val="auto"/>
                <w:sz w:val="24"/>
                <w:highlight w:val="none"/>
              </w:rPr>
              <w:t>……</w:t>
            </w:r>
          </w:p>
        </w:tc>
        <w:tc>
          <w:tcPr>
            <w:tcW w:w="1444" w:type="dxa"/>
            <w:tcBorders>
              <w:top w:val="single" w:color="auto" w:sz="4" w:space="0"/>
              <w:left w:val="single" w:color="auto" w:sz="4" w:space="0"/>
              <w:bottom w:val="single" w:color="auto" w:sz="4" w:space="0"/>
              <w:right w:val="single" w:color="auto" w:sz="4" w:space="0"/>
            </w:tcBorders>
            <w:vAlign w:val="center"/>
          </w:tcPr>
          <w:p w14:paraId="499FFEE9">
            <w:pPr>
              <w:rPr>
                <w:rFonts w:ascii="宋体" w:hAnsi="宋体" w:cs="宋体"/>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14:paraId="2A802033">
            <w:pPr>
              <w:rPr>
                <w:rFonts w:ascii="宋体" w:hAnsi="宋体" w:cs="宋体"/>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7F858443">
            <w:pPr>
              <w:pStyle w:val="35"/>
              <w:ind w:firstLine="0" w:firstLineChars="0"/>
              <w:jc w:val="center"/>
              <w:rPr>
                <w:rFonts w:ascii="宋体" w:eastAsia="宋体" w:cs="宋体"/>
                <w:color w:val="auto"/>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0F7BFF1B">
            <w:pPr>
              <w:pStyle w:val="35"/>
              <w:ind w:firstLine="0" w:firstLineChars="0"/>
              <w:jc w:val="center"/>
              <w:rPr>
                <w:rFonts w:ascii="宋体" w:eastAsia="宋体" w:cs="宋体"/>
                <w:color w:val="auto"/>
                <w:highlight w:val="none"/>
              </w:rPr>
            </w:pPr>
          </w:p>
        </w:tc>
      </w:tr>
      <w:tr w14:paraId="6F69A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vAlign w:val="center"/>
          </w:tcPr>
          <w:p w14:paraId="7686DBE5">
            <w:pPr>
              <w:widowControl/>
              <w:rPr>
                <w:rFonts w:ascii="宋体" w:hAnsi="宋体" w:cs="宋体"/>
                <w:color w:val="auto"/>
                <w:sz w:val="24"/>
                <w:highlight w:val="none"/>
              </w:rPr>
            </w:pPr>
          </w:p>
        </w:tc>
        <w:tc>
          <w:tcPr>
            <w:tcW w:w="1444" w:type="dxa"/>
            <w:tcBorders>
              <w:left w:val="single" w:color="auto" w:sz="4" w:space="0"/>
              <w:bottom w:val="single" w:color="auto" w:sz="4" w:space="0"/>
              <w:right w:val="single" w:color="auto" w:sz="4" w:space="0"/>
            </w:tcBorders>
            <w:vAlign w:val="center"/>
          </w:tcPr>
          <w:p w14:paraId="3AEBB4B7">
            <w:pPr>
              <w:widowControl/>
              <w:rPr>
                <w:rFonts w:ascii="宋体" w:hAnsi="宋体" w:cs="宋体"/>
                <w:b/>
                <w:color w:val="auto"/>
                <w:sz w:val="24"/>
                <w:highlight w:val="none"/>
              </w:rPr>
            </w:pPr>
          </w:p>
        </w:tc>
        <w:tc>
          <w:tcPr>
            <w:tcW w:w="2998" w:type="dxa"/>
            <w:tcBorders>
              <w:top w:val="single" w:color="auto" w:sz="4" w:space="0"/>
              <w:left w:val="single" w:color="auto" w:sz="4" w:space="0"/>
              <w:bottom w:val="single" w:color="auto" w:sz="4" w:space="0"/>
              <w:right w:val="single" w:color="auto" w:sz="4" w:space="0"/>
            </w:tcBorders>
            <w:vAlign w:val="center"/>
          </w:tcPr>
          <w:p w14:paraId="60CBCB47">
            <w:pPr>
              <w:pStyle w:val="35"/>
              <w:ind w:firstLine="0" w:firstLineChars="0"/>
              <w:jc w:val="both"/>
              <w:rPr>
                <w:rFonts w:ascii="宋体" w:eastAsia="宋体" w:cs="宋体"/>
                <w:color w:val="auto"/>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570BCEAC">
            <w:pPr>
              <w:widowControl/>
              <w:jc w:val="center"/>
              <w:rPr>
                <w:rFonts w:ascii="宋体" w:hAnsi="宋体" w:cs="宋体"/>
                <w:b/>
                <w:color w:val="auto"/>
                <w:sz w:val="24"/>
                <w:highlight w:val="none"/>
              </w:rPr>
            </w:pPr>
          </w:p>
        </w:tc>
        <w:tc>
          <w:tcPr>
            <w:tcW w:w="2404" w:type="dxa"/>
            <w:tcBorders>
              <w:top w:val="single" w:color="auto" w:sz="4" w:space="0"/>
              <w:left w:val="single" w:color="auto" w:sz="4" w:space="0"/>
              <w:bottom w:val="single" w:color="auto" w:sz="4" w:space="0"/>
              <w:right w:val="single" w:color="auto" w:sz="4" w:space="0"/>
            </w:tcBorders>
            <w:vAlign w:val="center"/>
          </w:tcPr>
          <w:p w14:paraId="03800F98">
            <w:pPr>
              <w:widowControl/>
              <w:jc w:val="center"/>
              <w:rPr>
                <w:rFonts w:ascii="宋体" w:hAnsi="宋体" w:cs="宋体"/>
                <w:b/>
                <w:color w:val="auto"/>
                <w:sz w:val="24"/>
                <w:highlight w:val="none"/>
              </w:rPr>
            </w:pPr>
          </w:p>
        </w:tc>
      </w:tr>
    </w:tbl>
    <w:p w14:paraId="775D5C9D">
      <w:pPr>
        <w:snapToGrid w:val="0"/>
        <w:spacing w:before="50" w:after="50"/>
        <w:rPr>
          <w:rFonts w:ascii="宋体" w:hAnsi="宋体" w:cs="宋体"/>
          <w:color w:val="auto"/>
          <w:sz w:val="24"/>
          <w:highlight w:val="none"/>
        </w:rPr>
      </w:pPr>
      <w:r>
        <w:rPr>
          <w:rFonts w:hint="eastAsia" w:ascii="宋体" w:hAnsi="宋体" w:cs="宋体"/>
          <w:color w:val="auto"/>
          <w:sz w:val="24"/>
          <w:highlight w:val="none"/>
        </w:rPr>
        <w:t>注：投标单位根据所投标项的评分表内容，按此格式提供评分响应表置于技术文件第1页。</w:t>
      </w:r>
    </w:p>
    <w:p w14:paraId="6168173A">
      <w:pPr>
        <w:snapToGrid w:val="0"/>
        <w:spacing w:line="360" w:lineRule="auto"/>
        <w:rPr>
          <w:rFonts w:hint="eastAsia" w:ascii="宋体" w:hAnsi="宋体"/>
          <w:b/>
          <w:color w:val="auto"/>
          <w:sz w:val="24"/>
          <w:highlight w:val="none"/>
        </w:rPr>
      </w:pPr>
    </w:p>
    <w:p w14:paraId="52D0202C">
      <w:pPr>
        <w:snapToGrid w:val="0"/>
        <w:spacing w:line="360" w:lineRule="auto"/>
        <w:rPr>
          <w:rFonts w:hint="eastAsia" w:ascii="宋体" w:hAnsi="宋体"/>
          <w:b/>
          <w:color w:val="auto"/>
          <w:sz w:val="24"/>
          <w:highlight w:val="none"/>
        </w:rPr>
      </w:pPr>
    </w:p>
    <w:p w14:paraId="116D4B0D">
      <w:pPr>
        <w:snapToGrid w:val="0"/>
        <w:spacing w:line="360" w:lineRule="auto"/>
        <w:rPr>
          <w:rFonts w:hint="eastAsia" w:ascii="宋体" w:hAnsi="宋体"/>
          <w:b/>
          <w:color w:val="auto"/>
          <w:sz w:val="24"/>
          <w:highlight w:val="none"/>
        </w:rPr>
      </w:pPr>
    </w:p>
    <w:p w14:paraId="79CDB9F5">
      <w:pPr>
        <w:snapToGrid w:val="0"/>
        <w:spacing w:line="360" w:lineRule="auto"/>
        <w:rPr>
          <w:rFonts w:hint="eastAsia" w:ascii="宋体" w:hAnsi="宋体"/>
          <w:b/>
          <w:color w:val="auto"/>
          <w:sz w:val="24"/>
          <w:highlight w:val="none"/>
        </w:rPr>
      </w:pPr>
    </w:p>
    <w:p w14:paraId="314B177B">
      <w:pPr>
        <w:snapToGrid w:val="0"/>
        <w:spacing w:line="360" w:lineRule="auto"/>
        <w:rPr>
          <w:rFonts w:hint="eastAsia" w:ascii="宋体" w:hAnsi="宋体"/>
          <w:b/>
          <w:color w:val="auto"/>
          <w:sz w:val="24"/>
          <w:highlight w:val="none"/>
        </w:rPr>
      </w:pPr>
    </w:p>
    <w:p w14:paraId="30B7988E">
      <w:pPr>
        <w:snapToGrid w:val="0"/>
        <w:spacing w:line="360" w:lineRule="auto"/>
        <w:rPr>
          <w:rFonts w:hint="eastAsia" w:ascii="宋体" w:hAnsi="宋体"/>
          <w:b/>
          <w:color w:val="auto"/>
          <w:sz w:val="24"/>
          <w:highlight w:val="none"/>
        </w:rPr>
      </w:pPr>
    </w:p>
    <w:p w14:paraId="2374E43B">
      <w:pPr>
        <w:snapToGrid w:val="0"/>
        <w:spacing w:line="360" w:lineRule="auto"/>
        <w:rPr>
          <w:rFonts w:hint="eastAsia" w:ascii="宋体" w:hAnsi="宋体"/>
          <w:b/>
          <w:color w:val="auto"/>
          <w:sz w:val="24"/>
          <w:highlight w:val="none"/>
        </w:rPr>
      </w:pPr>
    </w:p>
    <w:p w14:paraId="0F14BB8E">
      <w:pPr>
        <w:snapToGrid w:val="0"/>
        <w:spacing w:line="360" w:lineRule="auto"/>
        <w:rPr>
          <w:rFonts w:hint="eastAsia" w:ascii="宋体" w:hAnsi="宋体"/>
          <w:b/>
          <w:color w:val="auto"/>
          <w:sz w:val="24"/>
          <w:highlight w:val="none"/>
        </w:rPr>
      </w:pPr>
    </w:p>
    <w:p w14:paraId="1527A711">
      <w:pPr>
        <w:snapToGrid w:val="0"/>
        <w:spacing w:line="360" w:lineRule="auto"/>
        <w:rPr>
          <w:rFonts w:hint="eastAsia" w:ascii="宋体" w:hAnsi="宋体"/>
          <w:b/>
          <w:color w:val="auto"/>
          <w:sz w:val="24"/>
          <w:highlight w:val="none"/>
        </w:rPr>
      </w:pPr>
    </w:p>
    <w:p w14:paraId="525D2481">
      <w:pPr>
        <w:snapToGrid w:val="0"/>
        <w:spacing w:line="360" w:lineRule="auto"/>
        <w:rPr>
          <w:rFonts w:hint="eastAsia" w:ascii="宋体" w:hAnsi="宋体"/>
          <w:b/>
          <w:color w:val="auto"/>
          <w:sz w:val="24"/>
          <w:highlight w:val="none"/>
        </w:rPr>
      </w:pPr>
    </w:p>
    <w:p w14:paraId="7D51DBEE">
      <w:pPr>
        <w:snapToGrid w:val="0"/>
        <w:spacing w:line="360" w:lineRule="auto"/>
        <w:rPr>
          <w:rFonts w:hint="eastAsia" w:ascii="宋体" w:hAnsi="宋体"/>
          <w:b/>
          <w:color w:val="auto"/>
          <w:sz w:val="24"/>
          <w:highlight w:val="none"/>
        </w:rPr>
      </w:pPr>
    </w:p>
    <w:p w14:paraId="1D765DE6">
      <w:pPr>
        <w:snapToGrid w:val="0"/>
        <w:spacing w:line="360" w:lineRule="auto"/>
        <w:rPr>
          <w:rFonts w:hint="eastAsia" w:ascii="宋体" w:hAnsi="宋体"/>
          <w:b/>
          <w:color w:val="auto"/>
          <w:sz w:val="24"/>
          <w:highlight w:val="none"/>
        </w:rPr>
      </w:pPr>
    </w:p>
    <w:p w14:paraId="657DFCBA">
      <w:pPr>
        <w:snapToGrid w:val="0"/>
        <w:spacing w:line="360" w:lineRule="auto"/>
        <w:rPr>
          <w:rFonts w:hint="eastAsia" w:ascii="宋体" w:hAnsi="宋体"/>
          <w:color w:val="auto"/>
          <w:sz w:val="24"/>
          <w:highlight w:val="none"/>
        </w:rPr>
      </w:pPr>
    </w:p>
    <w:p w14:paraId="4B079EBD">
      <w:pPr>
        <w:snapToGrid w:val="0"/>
        <w:spacing w:line="360" w:lineRule="auto"/>
        <w:ind w:firstLine="5520" w:firstLineChars="2300"/>
        <w:rPr>
          <w:rFonts w:hint="eastAsia" w:ascii="宋体" w:hAnsi="宋体"/>
          <w:color w:val="auto"/>
          <w:sz w:val="24"/>
          <w:highlight w:val="none"/>
        </w:rPr>
      </w:pPr>
    </w:p>
    <w:p w14:paraId="5648FCD1">
      <w:pPr>
        <w:snapToGrid w:val="0"/>
        <w:spacing w:line="360" w:lineRule="auto"/>
        <w:jc w:val="left"/>
        <w:rPr>
          <w:rFonts w:ascii="宋体"/>
          <w:bCs w:val="0"/>
          <w:color w:val="auto"/>
          <w:sz w:val="24"/>
          <w:szCs w:val="24"/>
          <w:highlight w:val="none"/>
        </w:rPr>
      </w:pPr>
      <w:r>
        <w:rPr>
          <w:rFonts w:hint="eastAsia" w:ascii="宋体" w:hAnsi="宋体"/>
          <w:b/>
          <w:bCs/>
          <w:color w:val="auto"/>
          <w:sz w:val="24"/>
          <w:szCs w:val="24"/>
          <w:highlight w:val="none"/>
        </w:rPr>
        <w:t>附件：投标声明书格式</w:t>
      </w:r>
      <w:r>
        <w:rPr>
          <w:rFonts w:hint="eastAsia" w:ascii="宋体" w:hAnsi="宋体"/>
          <w:bCs w:val="0"/>
          <w:color w:val="auto"/>
          <w:sz w:val="24"/>
          <w:szCs w:val="24"/>
          <w:highlight w:val="none"/>
        </w:rPr>
        <w:t>：</w:t>
      </w:r>
    </w:p>
    <w:p w14:paraId="06610C11">
      <w:pPr>
        <w:snapToGrid w:val="0"/>
        <w:spacing w:beforeLines="50" w:after="50" w:line="360" w:lineRule="auto"/>
        <w:jc w:val="center"/>
        <w:rPr>
          <w:rFonts w:ascii="宋体"/>
          <w:color w:val="auto"/>
          <w:sz w:val="24"/>
          <w:szCs w:val="20"/>
          <w:highlight w:val="none"/>
        </w:rPr>
      </w:pPr>
      <w:r>
        <w:rPr>
          <w:rFonts w:hint="eastAsia" w:ascii="宋体" w:hAnsi="宋体"/>
          <w:color w:val="auto"/>
          <w:sz w:val="30"/>
          <w:highlight w:val="none"/>
        </w:rPr>
        <w:t>投标声明书</w:t>
      </w:r>
    </w:p>
    <w:p w14:paraId="32E806C1">
      <w:pPr>
        <w:snapToGrid w:val="0"/>
        <w:spacing w:beforeLines="50" w:after="50" w:line="360" w:lineRule="auto"/>
        <w:rPr>
          <w:rFonts w:asci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lang w:eastAsia="zh-CN"/>
        </w:rPr>
        <w:t>泰宇建筑工程技术咨询有限公司</w:t>
      </w:r>
      <w:r>
        <w:rPr>
          <w:rFonts w:hint="eastAsia" w:ascii="宋体" w:hAnsi="宋体"/>
          <w:color w:val="auto"/>
          <w:sz w:val="24"/>
          <w:highlight w:val="none"/>
        </w:rPr>
        <w:t>：</w:t>
      </w:r>
    </w:p>
    <w:p w14:paraId="7B2BBD10">
      <w:pPr>
        <w:snapToGrid w:val="0"/>
        <w:spacing w:beforeLines="50" w:after="50" w:line="360" w:lineRule="auto"/>
        <w:ind w:firstLine="480" w:firstLineChars="200"/>
        <w:rPr>
          <w:rFonts w:ascii="宋体"/>
          <w:color w:val="auto"/>
          <w:sz w:val="24"/>
          <w:szCs w:val="20"/>
          <w:highlight w:val="none"/>
        </w:rPr>
      </w:pPr>
      <w:r>
        <w:rPr>
          <w:rFonts w:ascii="宋体" w:hAnsi="宋体"/>
          <w:color w:val="auto"/>
          <w:sz w:val="24"/>
          <w:highlight w:val="none"/>
        </w:rPr>
        <w:t>_______</w:t>
      </w:r>
      <w:r>
        <w:rPr>
          <w:rFonts w:hint="eastAsia" w:ascii="宋体" w:hAnsi="宋体"/>
          <w:color w:val="auto"/>
          <w:sz w:val="24"/>
          <w:highlight w:val="none"/>
        </w:rPr>
        <w:t>（投标人名称）系中华人民共和国合法企业，经营地址。</w:t>
      </w:r>
    </w:p>
    <w:p w14:paraId="2004DA21">
      <w:pPr>
        <w:snapToGrid w:val="0"/>
        <w:spacing w:beforeLines="50" w:after="50" w:line="360" w:lineRule="auto"/>
        <w:ind w:firstLine="480" w:firstLineChars="200"/>
        <w:rPr>
          <w:rFonts w:asci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____</w:t>
      </w:r>
      <w:r>
        <w:rPr>
          <w:rFonts w:hint="eastAsia" w:ascii="宋体" w:hAnsi="宋体"/>
          <w:color w:val="auto"/>
          <w:sz w:val="24"/>
          <w:highlight w:val="none"/>
        </w:rPr>
        <w:t>（姓名）系</w:t>
      </w:r>
      <w:r>
        <w:rPr>
          <w:rFonts w:ascii="宋体" w:hAnsi="宋体"/>
          <w:color w:val="auto"/>
          <w:sz w:val="24"/>
          <w:highlight w:val="none"/>
        </w:rPr>
        <w:t>_______</w:t>
      </w:r>
      <w:r>
        <w:rPr>
          <w:rFonts w:hint="eastAsia" w:ascii="宋体" w:hAnsi="宋体"/>
          <w:color w:val="auto"/>
          <w:sz w:val="24"/>
          <w:highlight w:val="none"/>
        </w:rPr>
        <w:t>（投标人名称）的法定代表人，我方愿意参加贵方组织的</w:t>
      </w:r>
      <w:r>
        <w:rPr>
          <w:rFonts w:ascii="宋体" w:hAnsi="宋体"/>
          <w:color w:val="auto"/>
          <w:sz w:val="24"/>
          <w:highlight w:val="none"/>
        </w:rPr>
        <w:t>______</w:t>
      </w:r>
      <w:r>
        <w:rPr>
          <w:rFonts w:hint="eastAsia" w:ascii="宋体" w:hAnsi="宋体"/>
          <w:color w:val="auto"/>
          <w:sz w:val="24"/>
          <w:highlight w:val="none"/>
        </w:rPr>
        <w:t>项目的投标，为便于贵方公正、择优地确定中标人及其投标产品和服务，我方就本次投标有关事项郑重声明如下：</w:t>
      </w:r>
    </w:p>
    <w:p w14:paraId="39C1725F">
      <w:pPr>
        <w:snapToGrid w:val="0"/>
        <w:spacing w:line="360" w:lineRule="auto"/>
        <w:ind w:firstLine="480" w:firstLineChars="200"/>
        <w:rPr>
          <w:rFonts w:ascii="宋体"/>
          <w:color w:val="auto"/>
          <w:sz w:val="24"/>
          <w:szCs w:val="20"/>
          <w:highlight w:val="none"/>
        </w:rPr>
      </w:pPr>
      <w:r>
        <w:rPr>
          <w:rFonts w:ascii="宋体" w:hAnsi="宋体"/>
          <w:color w:val="auto"/>
          <w:sz w:val="24"/>
          <w:highlight w:val="none"/>
        </w:rPr>
        <w:t>1</w:t>
      </w:r>
      <w:r>
        <w:rPr>
          <w:rFonts w:ascii="宋体"/>
          <w:color w:val="auto"/>
          <w:sz w:val="24"/>
          <w:highlight w:val="none"/>
        </w:rPr>
        <w:t>.</w:t>
      </w:r>
      <w:r>
        <w:rPr>
          <w:rFonts w:hint="eastAsia" w:ascii="宋体" w:hAnsi="宋体"/>
          <w:color w:val="auto"/>
          <w:sz w:val="24"/>
          <w:highlight w:val="none"/>
        </w:rPr>
        <w:t>我方向贵方提交的所有投标文件、资料都是准确的和真实的。</w:t>
      </w:r>
    </w:p>
    <w:p w14:paraId="4C97252B">
      <w:pPr>
        <w:snapToGrid w:val="0"/>
        <w:spacing w:beforeLines="50" w:line="360" w:lineRule="auto"/>
        <w:ind w:firstLine="480" w:firstLineChars="200"/>
        <w:rPr>
          <w:rFonts w:ascii="宋体"/>
          <w:color w:val="auto"/>
          <w:sz w:val="24"/>
          <w:highlight w:val="none"/>
        </w:rPr>
      </w:pPr>
      <w:r>
        <w:rPr>
          <w:rFonts w:ascii="宋体" w:hAnsi="宋体"/>
          <w:color w:val="auto"/>
          <w:sz w:val="24"/>
          <w:highlight w:val="none"/>
        </w:rPr>
        <w:t>2</w:t>
      </w:r>
      <w:r>
        <w:rPr>
          <w:rFonts w:ascii="宋体"/>
          <w:color w:val="auto"/>
          <w:sz w:val="24"/>
          <w:highlight w:val="none"/>
        </w:rPr>
        <w:t>.</w:t>
      </w:r>
      <w:r>
        <w:rPr>
          <w:rFonts w:hint="eastAsia" w:ascii="宋体" w:hAnsi="宋体"/>
          <w:color w:val="auto"/>
          <w:sz w:val="24"/>
          <w:highlight w:val="none"/>
        </w:rPr>
        <w:t>我方不是采购人的附属机构</w:t>
      </w:r>
    </w:p>
    <w:p w14:paraId="04FFE5B0">
      <w:pPr>
        <w:snapToGrid w:val="0"/>
        <w:spacing w:beforeLines="50" w:line="360" w:lineRule="auto"/>
        <w:ind w:firstLine="480" w:firstLineChars="200"/>
        <w:rPr>
          <w:rFonts w:ascii="宋体"/>
          <w:color w:val="auto"/>
          <w:sz w:val="24"/>
          <w:szCs w:val="20"/>
          <w:highlight w:val="none"/>
        </w:rPr>
      </w:pPr>
      <w:r>
        <w:rPr>
          <w:rFonts w:hint="eastAsia" w:ascii="宋体" w:hAnsi="宋体"/>
          <w:color w:val="auto"/>
          <w:sz w:val="24"/>
          <w:highlight w:val="none"/>
        </w:rPr>
        <w:t>在获知本项目采购信息后，与采购人聘请的为此项目提供咨询服务的公司及其附属机构没有任何联系。</w:t>
      </w:r>
    </w:p>
    <w:p w14:paraId="2ACAA400">
      <w:pPr>
        <w:pStyle w:val="20"/>
        <w:snapToGrid w:val="0"/>
        <w:spacing w:line="360" w:lineRule="auto"/>
        <w:ind w:firstLine="464" w:firstLineChars="200"/>
        <w:rPr>
          <w:rFonts w:hAnsi="宋体"/>
          <w:color w:val="auto"/>
          <w:sz w:val="24"/>
          <w:highlight w:val="none"/>
        </w:rPr>
      </w:pPr>
      <w:r>
        <w:rPr>
          <w:rFonts w:hint="eastAsia" w:hAnsi="宋体"/>
          <w:color w:val="auto"/>
          <w:sz w:val="24"/>
          <w:highlight w:val="none"/>
          <w:lang w:val="en-US" w:eastAsia="zh-CN"/>
        </w:rPr>
        <w:t>3</w:t>
      </w:r>
      <w:r>
        <w:rPr>
          <w:rFonts w:hAnsi="宋体"/>
          <w:color w:val="auto"/>
          <w:sz w:val="24"/>
          <w:highlight w:val="none"/>
        </w:rPr>
        <w:t>.</w:t>
      </w:r>
      <w:r>
        <w:rPr>
          <w:rFonts w:hint="eastAsia" w:hAnsi="宋体"/>
          <w:color w:val="auto"/>
          <w:sz w:val="24"/>
          <w:highlight w:val="none"/>
        </w:rPr>
        <w:t>我方及由本人担任法定代表人的其他机构最近三年内被通报、被处罚的违法行为或者可认定为不良行为的有：</w:t>
      </w:r>
    </w:p>
    <w:p w14:paraId="0B2EA695">
      <w:pPr>
        <w:snapToGrid w:val="0"/>
        <w:spacing w:beforeLines="50" w:line="360" w:lineRule="auto"/>
        <w:ind w:firstLine="480" w:firstLineChars="200"/>
        <w:rPr>
          <w:rFonts w:ascii="宋体"/>
          <w:color w:val="auto"/>
          <w:sz w:val="24"/>
          <w:szCs w:val="20"/>
          <w:highlight w:val="none"/>
          <w:u w:val="single"/>
        </w:rPr>
      </w:pPr>
      <w:r>
        <w:rPr>
          <w:rFonts w:hint="eastAsia" w:ascii="宋体" w:hAnsi="宋体"/>
          <w:color w:val="auto"/>
          <w:sz w:val="24"/>
          <w:highlight w:val="none"/>
          <w:u w:val="single"/>
        </w:rPr>
        <w:t>　　　　　　　　　　　　　　　　　　　　　　　　　　　</w:t>
      </w:r>
    </w:p>
    <w:p w14:paraId="501BF5B5">
      <w:pPr>
        <w:snapToGrid w:val="0"/>
        <w:spacing w:line="360" w:lineRule="auto"/>
        <w:ind w:firstLine="464" w:firstLineChars="200"/>
        <w:rPr>
          <w:rFonts w:ascii="宋体"/>
          <w:color w:val="auto"/>
          <w:spacing w:val="-4"/>
          <w:sz w:val="24"/>
          <w:szCs w:val="20"/>
          <w:highlight w:val="none"/>
        </w:rPr>
      </w:pPr>
      <w:r>
        <w:rPr>
          <w:rFonts w:hint="eastAsia" w:ascii="宋体" w:hAnsi="宋体"/>
          <w:color w:val="auto"/>
          <w:spacing w:val="-4"/>
          <w:sz w:val="24"/>
          <w:szCs w:val="20"/>
          <w:highlight w:val="none"/>
          <w:lang w:val="en-US" w:eastAsia="zh-CN"/>
        </w:rPr>
        <w:t>4</w:t>
      </w:r>
      <w:r>
        <w:rPr>
          <w:rFonts w:ascii="宋体" w:hAnsi="宋体"/>
          <w:color w:val="auto"/>
          <w:spacing w:val="-4"/>
          <w:sz w:val="24"/>
          <w:szCs w:val="20"/>
          <w:highlight w:val="none"/>
        </w:rPr>
        <w:t>.</w:t>
      </w:r>
      <w:r>
        <w:rPr>
          <w:rFonts w:hint="eastAsia" w:ascii="宋体" w:hAnsi="宋体"/>
          <w:color w:val="auto"/>
          <w:spacing w:val="-4"/>
          <w:sz w:val="24"/>
          <w:szCs w:val="20"/>
          <w:highlight w:val="none"/>
        </w:rPr>
        <w:t>以上事项如有虚假或隐瞒，我方愿意承担一切后果，并不再寻求任何旨在减轻或免除法律责任的辩解。</w:t>
      </w:r>
    </w:p>
    <w:p w14:paraId="15F47DEA">
      <w:pPr>
        <w:snapToGrid w:val="0"/>
        <w:spacing w:beforeLines="50" w:after="50" w:line="360" w:lineRule="auto"/>
        <w:ind w:firstLine="360" w:firstLineChars="150"/>
        <w:rPr>
          <w:rFonts w:hint="eastAsia" w:ascii="宋体" w:hAnsi="宋体"/>
          <w:color w:val="auto"/>
          <w:sz w:val="24"/>
          <w:highlight w:val="none"/>
        </w:rPr>
      </w:pPr>
    </w:p>
    <w:p w14:paraId="1B230636">
      <w:pPr>
        <w:snapToGrid w:val="0"/>
        <w:spacing w:beforeLines="50" w:after="50" w:line="360" w:lineRule="auto"/>
        <w:ind w:firstLine="360" w:firstLineChars="150"/>
        <w:rPr>
          <w:rFonts w:hint="eastAsia" w:ascii="宋体" w:hAnsi="宋体"/>
          <w:color w:val="auto"/>
          <w:sz w:val="24"/>
          <w:highlight w:val="none"/>
        </w:rPr>
      </w:pPr>
    </w:p>
    <w:p w14:paraId="75E08736">
      <w:pPr>
        <w:snapToGrid w:val="0"/>
        <w:spacing w:beforeLines="50" w:after="50" w:line="360" w:lineRule="auto"/>
        <w:ind w:firstLine="360" w:firstLineChars="150"/>
        <w:rPr>
          <w:rFonts w:asci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lang w:eastAsia="zh-CN"/>
        </w:rPr>
        <w:t>全称</w:t>
      </w:r>
      <w:r>
        <w:rPr>
          <w:rFonts w:hint="eastAsia" w:ascii="宋体" w:hAnsi="宋体"/>
          <w:color w:val="auto"/>
          <w:sz w:val="24"/>
          <w:highlight w:val="none"/>
        </w:rPr>
        <w:t>（盖公章或电子签章）：</w:t>
      </w:r>
    </w:p>
    <w:p w14:paraId="3B54EFE6">
      <w:pPr>
        <w:snapToGrid w:val="0"/>
        <w:spacing w:beforeLines="50" w:after="50" w:line="360" w:lineRule="auto"/>
        <w:ind w:firstLine="480" w:firstLineChars="200"/>
        <w:rPr>
          <w:rFonts w:ascii="宋体"/>
          <w:color w:val="auto"/>
          <w:sz w:val="24"/>
          <w:szCs w:val="20"/>
          <w:highlight w:val="none"/>
        </w:rPr>
      </w:pPr>
      <w:r>
        <w:rPr>
          <w:rFonts w:hint="eastAsia" w:ascii="宋体" w:hAnsi="宋体" w:eastAsia="宋体" w:cs="Times New Roman"/>
          <w:color w:val="auto"/>
          <w:sz w:val="24"/>
          <w:highlight w:val="none"/>
        </w:rPr>
        <w:t>年   月   日</w:t>
      </w:r>
      <w:r>
        <w:rPr>
          <w:rFonts w:ascii="宋体"/>
          <w:color w:val="auto"/>
          <w:highlight w:val="none"/>
        </w:rPr>
        <w:br w:type="page"/>
      </w:r>
      <w:r>
        <w:rPr>
          <w:rFonts w:hint="eastAsia" w:ascii="宋体" w:hAnsi="宋体"/>
          <w:b/>
          <w:color w:val="auto"/>
          <w:sz w:val="24"/>
          <w:highlight w:val="none"/>
        </w:rPr>
        <w:t>附件：法定代表人授权委托书格式：</w:t>
      </w:r>
    </w:p>
    <w:p w14:paraId="070C38EB">
      <w:pPr>
        <w:snapToGrid w:val="0"/>
        <w:spacing w:beforeLines="50" w:after="50" w:line="360" w:lineRule="auto"/>
        <w:jc w:val="center"/>
        <w:rPr>
          <w:rFonts w:ascii="宋体"/>
          <w:color w:val="auto"/>
          <w:sz w:val="30"/>
          <w:szCs w:val="20"/>
          <w:highlight w:val="none"/>
        </w:rPr>
      </w:pPr>
    </w:p>
    <w:p w14:paraId="2720AA59">
      <w:pPr>
        <w:snapToGrid w:val="0"/>
        <w:spacing w:beforeLines="50" w:after="50" w:line="360" w:lineRule="auto"/>
        <w:jc w:val="center"/>
        <w:rPr>
          <w:rFonts w:ascii="宋体"/>
          <w:b/>
          <w:color w:val="auto"/>
          <w:sz w:val="24"/>
          <w:szCs w:val="20"/>
          <w:highlight w:val="none"/>
        </w:rPr>
      </w:pPr>
      <w:r>
        <w:rPr>
          <w:rFonts w:hint="eastAsia" w:ascii="宋体" w:hAnsi="宋体"/>
          <w:b/>
          <w:color w:val="auto"/>
          <w:sz w:val="24"/>
          <w:highlight w:val="none"/>
        </w:rPr>
        <w:t>法定代表人授权委托书</w:t>
      </w:r>
    </w:p>
    <w:p w14:paraId="7F9AF277">
      <w:pPr>
        <w:snapToGrid w:val="0"/>
        <w:spacing w:beforeLines="50" w:after="50" w:line="360" w:lineRule="auto"/>
        <w:rPr>
          <w:rFonts w:ascii="宋体"/>
          <w:bCs/>
          <w:color w:val="auto"/>
          <w:sz w:val="24"/>
          <w:highlight w:val="none"/>
        </w:rPr>
      </w:pPr>
    </w:p>
    <w:p w14:paraId="68FADFDB">
      <w:pPr>
        <w:snapToGrid w:val="0"/>
        <w:spacing w:beforeLines="50" w:after="50" w:line="360" w:lineRule="auto"/>
        <w:rPr>
          <w:rFonts w:asci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u w:val="single"/>
          <w:lang w:eastAsia="zh-CN"/>
        </w:rPr>
        <w:t>泰宇建筑工程技术咨询有限公司</w:t>
      </w:r>
      <w:r>
        <w:rPr>
          <w:rFonts w:hint="eastAsia" w:ascii="宋体" w:hAnsi="宋体"/>
          <w:color w:val="auto"/>
          <w:sz w:val="24"/>
          <w:highlight w:val="none"/>
        </w:rPr>
        <w:t>：</w:t>
      </w:r>
    </w:p>
    <w:p w14:paraId="571D0FA0">
      <w:pPr>
        <w:snapToGrid w:val="0"/>
        <w:spacing w:beforeLines="50" w:after="50" w:line="360" w:lineRule="auto"/>
        <w:ind w:firstLine="720" w:firstLineChars="300"/>
        <w:rPr>
          <w:rFonts w:ascii="宋体"/>
          <w:color w:val="auto"/>
          <w:sz w:val="24"/>
          <w:highlight w:val="none"/>
        </w:rPr>
      </w:pPr>
      <w:r>
        <w:rPr>
          <w:rFonts w:hint="eastAsia" w:ascii="宋体" w:hAnsi="宋体"/>
          <w:color w:val="auto"/>
          <w:sz w:val="24"/>
          <w:highlight w:val="none"/>
        </w:rPr>
        <w:t>我</w:t>
      </w:r>
      <w:r>
        <w:rPr>
          <w:rFonts w:ascii="宋体" w:hAnsi="宋体"/>
          <w:color w:val="auto"/>
          <w:sz w:val="24"/>
          <w:highlight w:val="none"/>
        </w:rPr>
        <w:t>______</w:t>
      </w:r>
      <w:r>
        <w:rPr>
          <w:rFonts w:hint="eastAsia" w:ascii="宋体" w:hAnsi="宋体"/>
          <w:color w:val="auto"/>
          <w:sz w:val="24"/>
          <w:highlight w:val="none"/>
        </w:rPr>
        <w:t>（姓名）系</w:t>
      </w:r>
      <w:r>
        <w:rPr>
          <w:rFonts w:ascii="宋体" w:hAnsi="宋体"/>
          <w:color w:val="auto"/>
          <w:sz w:val="24"/>
          <w:highlight w:val="none"/>
        </w:rPr>
        <w:t>______</w:t>
      </w:r>
      <w:r>
        <w:rPr>
          <w:rFonts w:hint="eastAsia" w:ascii="宋体" w:hAnsi="宋体"/>
          <w:color w:val="auto"/>
          <w:sz w:val="24"/>
          <w:highlight w:val="none"/>
        </w:rPr>
        <w:t>（投标人名称）的法定代表人，现授权委托本单位在职职工（姓名）以我方的名义参加</w:t>
      </w:r>
      <w:r>
        <w:rPr>
          <w:rFonts w:hint="eastAsia"/>
          <w:b/>
          <w:color w:val="auto"/>
          <w:sz w:val="24"/>
          <w:highlight w:val="none"/>
          <w:u w:val="single"/>
          <w:lang w:eastAsia="zh-CN"/>
        </w:rPr>
        <w:t>东阳市公安局食材配送服务采购项目</w:t>
      </w:r>
      <w:r>
        <w:rPr>
          <w:rFonts w:hint="eastAsia" w:ascii="宋体" w:hAnsi="宋体"/>
          <w:color w:val="auto"/>
          <w:sz w:val="24"/>
          <w:highlight w:val="none"/>
        </w:rPr>
        <w:t>的投标活动，并代表我方全权办理针对上述项目的投标、开标、评标、签约等具体事务和签署相关文件。</w:t>
      </w:r>
    </w:p>
    <w:p w14:paraId="71C6FE78">
      <w:pPr>
        <w:snapToGrid w:val="0"/>
        <w:spacing w:beforeLines="50" w:after="50" w:line="360" w:lineRule="auto"/>
        <w:ind w:firstLine="480" w:firstLineChars="200"/>
        <w:rPr>
          <w:rFonts w:ascii="宋体"/>
          <w:color w:val="auto"/>
          <w:sz w:val="24"/>
          <w:highlight w:val="none"/>
        </w:rPr>
      </w:pPr>
      <w:r>
        <w:rPr>
          <w:rFonts w:hint="eastAsia" w:ascii="宋体" w:hAnsi="宋体"/>
          <w:color w:val="auto"/>
          <w:sz w:val="24"/>
          <w:highlight w:val="none"/>
        </w:rPr>
        <w:t>我方对被授权人的签名事项负全部责任。</w:t>
      </w:r>
    </w:p>
    <w:p w14:paraId="587EB879">
      <w:pPr>
        <w:snapToGrid w:val="0"/>
        <w:spacing w:beforeLines="50" w:after="50" w:line="360" w:lineRule="auto"/>
        <w:ind w:firstLine="480"/>
        <w:rPr>
          <w:rFonts w:asci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63151629">
      <w:pPr>
        <w:snapToGrid w:val="0"/>
        <w:spacing w:beforeLines="50" w:after="50" w:line="360" w:lineRule="auto"/>
        <w:ind w:firstLine="480"/>
        <w:rPr>
          <w:rFonts w:ascii="宋体"/>
          <w:color w:val="auto"/>
          <w:sz w:val="24"/>
          <w:szCs w:val="20"/>
          <w:highlight w:val="none"/>
        </w:rPr>
      </w:pPr>
      <w:r>
        <w:rPr>
          <w:rFonts w:hint="eastAsia" w:ascii="宋体" w:hAnsi="宋体"/>
          <w:color w:val="auto"/>
          <w:sz w:val="24"/>
          <w:highlight w:val="none"/>
        </w:rPr>
        <w:t>被授权人无转委托权，特此委托。</w:t>
      </w:r>
    </w:p>
    <w:p w14:paraId="6850D7D8">
      <w:pPr>
        <w:snapToGrid w:val="0"/>
        <w:spacing w:beforeLines="50" w:after="50" w:line="360" w:lineRule="auto"/>
        <w:rPr>
          <w:rFonts w:ascii="宋体"/>
          <w:color w:val="auto"/>
          <w:sz w:val="24"/>
          <w:szCs w:val="20"/>
          <w:highlight w:val="none"/>
        </w:rPr>
      </w:pPr>
    </w:p>
    <w:p w14:paraId="020D5B8B">
      <w:pPr>
        <w:snapToGrid w:val="0"/>
        <w:spacing w:beforeLines="50" w:after="50" w:line="360" w:lineRule="auto"/>
        <w:rPr>
          <w:rFonts w:ascii="宋体"/>
          <w:color w:val="auto"/>
          <w:sz w:val="24"/>
          <w:szCs w:val="20"/>
          <w:highlight w:val="none"/>
          <w:u w:val="single"/>
        </w:rPr>
      </w:pPr>
      <w:r>
        <w:rPr>
          <w:rFonts w:hint="eastAsia" w:ascii="宋体" w:hAnsi="宋体"/>
          <w:color w:val="auto"/>
          <w:sz w:val="24"/>
          <w:highlight w:val="none"/>
        </w:rPr>
        <w:t>被授权人签名：</w:t>
      </w:r>
      <w:r>
        <w:rPr>
          <w:rFonts w:ascii="宋体" w:hAnsi="宋体"/>
          <w:color w:val="auto"/>
          <w:sz w:val="24"/>
          <w:highlight w:val="none"/>
        </w:rPr>
        <w:t xml:space="preserve">                                   </w:t>
      </w:r>
      <w:r>
        <w:rPr>
          <w:rFonts w:hint="eastAsia" w:ascii="宋体" w:hAnsi="宋体"/>
          <w:color w:val="auto"/>
          <w:sz w:val="24"/>
          <w:highlight w:val="none"/>
        </w:rPr>
        <w:t>法定代表人签名</w:t>
      </w:r>
      <w:r>
        <w:rPr>
          <w:rFonts w:hint="eastAsia" w:ascii="宋体" w:hAnsi="宋体" w:cs="宋体"/>
          <w:color w:val="auto"/>
          <w:sz w:val="24"/>
          <w:highlight w:val="none"/>
        </w:rPr>
        <w:t>（签字或</w:t>
      </w:r>
      <w:r>
        <w:rPr>
          <w:rFonts w:ascii="宋体" w:hAnsi="宋体" w:cs="宋体"/>
          <w:color w:val="auto"/>
          <w:sz w:val="24"/>
          <w:highlight w:val="none"/>
        </w:rPr>
        <w:t>盖章</w:t>
      </w:r>
      <w:r>
        <w:rPr>
          <w:rFonts w:hint="eastAsia" w:ascii="宋体" w:hAnsi="宋体" w:cs="宋体"/>
          <w:color w:val="auto"/>
          <w:sz w:val="24"/>
          <w:highlight w:val="none"/>
        </w:rPr>
        <w:t>）</w:t>
      </w:r>
      <w:r>
        <w:rPr>
          <w:rFonts w:hint="eastAsia" w:ascii="宋体" w:hAnsi="宋体"/>
          <w:color w:val="auto"/>
          <w:sz w:val="24"/>
          <w:highlight w:val="none"/>
        </w:rPr>
        <w:t>：</w:t>
      </w:r>
    </w:p>
    <w:p w14:paraId="51AF62C4">
      <w:pPr>
        <w:snapToGrid w:val="0"/>
        <w:spacing w:beforeLines="50" w:after="50" w:line="360" w:lineRule="auto"/>
        <w:rPr>
          <w:rFonts w:ascii="宋体"/>
          <w:color w:val="auto"/>
          <w:sz w:val="24"/>
          <w:szCs w:val="20"/>
          <w:highlight w:val="none"/>
        </w:rPr>
      </w:pPr>
      <w:r>
        <w:rPr>
          <w:rFonts w:hint="eastAsia" w:ascii="宋体" w:hAnsi="宋体"/>
          <w:color w:val="auto"/>
          <w:sz w:val="24"/>
          <w:highlight w:val="none"/>
        </w:rPr>
        <w:t>职务：</w:t>
      </w:r>
      <w:r>
        <w:rPr>
          <w:rFonts w:ascii="宋体" w:hAnsi="宋体"/>
          <w:color w:val="auto"/>
          <w:sz w:val="24"/>
          <w:highlight w:val="none"/>
        </w:rPr>
        <w:t xml:space="preserve">                                           </w:t>
      </w:r>
      <w:r>
        <w:rPr>
          <w:rFonts w:hint="eastAsia" w:ascii="宋体" w:hAnsi="宋体"/>
          <w:color w:val="auto"/>
          <w:sz w:val="24"/>
          <w:highlight w:val="none"/>
        </w:rPr>
        <w:t>职务：</w:t>
      </w:r>
    </w:p>
    <w:p w14:paraId="5A84268B">
      <w:pPr>
        <w:snapToGrid w:val="0"/>
        <w:spacing w:beforeLines="50" w:after="50" w:line="360" w:lineRule="auto"/>
        <w:rPr>
          <w:rFonts w:ascii="宋体"/>
          <w:color w:val="auto"/>
          <w:sz w:val="24"/>
          <w:highlight w:val="none"/>
        </w:rPr>
      </w:pPr>
      <w:r>
        <w:rPr>
          <w:rFonts w:hint="eastAsia" w:ascii="宋体" w:hAnsi="宋体"/>
          <w:color w:val="auto"/>
          <w:sz w:val="24"/>
          <w:highlight w:val="none"/>
        </w:rPr>
        <w:t>被授权人身份证复印件：</w:t>
      </w:r>
    </w:p>
    <w:p w14:paraId="22695586">
      <w:pPr>
        <w:snapToGrid w:val="0"/>
        <w:spacing w:beforeLines="50" w:after="50" w:line="360" w:lineRule="auto"/>
        <w:rPr>
          <w:rFonts w:ascii="宋体"/>
          <w:color w:val="auto"/>
          <w:sz w:val="24"/>
          <w:highlight w:val="none"/>
        </w:rPr>
      </w:pPr>
    </w:p>
    <w:p w14:paraId="48828D61">
      <w:pPr>
        <w:snapToGrid w:val="0"/>
        <w:spacing w:beforeLines="50" w:after="50" w:line="360" w:lineRule="auto"/>
        <w:rPr>
          <w:rFonts w:ascii="宋体"/>
          <w:color w:val="auto"/>
          <w:sz w:val="24"/>
          <w:highlight w:val="none"/>
        </w:rPr>
      </w:pPr>
    </w:p>
    <w:p w14:paraId="6A286239">
      <w:pPr>
        <w:snapToGrid w:val="0"/>
        <w:spacing w:beforeLines="50" w:after="50" w:line="360" w:lineRule="auto"/>
        <w:rPr>
          <w:rFonts w:ascii="宋体"/>
          <w:color w:val="auto"/>
          <w:sz w:val="24"/>
          <w:highlight w:val="none"/>
        </w:rPr>
      </w:pPr>
    </w:p>
    <w:p w14:paraId="3C114357">
      <w:pPr>
        <w:snapToGrid w:val="0"/>
        <w:spacing w:beforeLines="50" w:after="50" w:line="360" w:lineRule="auto"/>
        <w:rPr>
          <w:rFonts w:ascii="宋体"/>
          <w:color w:val="auto"/>
          <w:sz w:val="24"/>
          <w:szCs w:val="20"/>
          <w:highlight w:val="none"/>
        </w:rPr>
      </w:pPr>
    </w:p>
    <w:p w14:paraId="5AA6B4BB">
      <w:pPr>
        <w:snapToGrid w:val="0"/>
        <w:spacing w:beforeLines="50" w:after="50" w:line="360" w:lineRule="auto"/>
        <w:rPr>
          <w:rFonts w:ascii="宋体"/>
          <w:color w:val="auto"/>
          <w:sz w:val="24"/>
          <w:szCs w:val="20"/>
          <w:highlight w:val="none"/>
        </w:rPr>
      </w:pPr>
      <w:r>
        <w:rPr>
          <w:rFonts w:hint="eastAsia" w:ascii="宋体" w:hAnsi="宋体"/>
          <w:color w:val="auto"/>
          <w:sz w:val="24"/>
          <w:highlight w:val="none"/>
        </w:rPr>
        <w:t>投标人</w:t>
      </w:r>
      <w:r>
        <w:rPr>
          <w:rFonts w:hint="eastAsia" w:ascii="宋体" w:hAnsi="宋体"/>
          <w:color w:val="auto"/>
          <w:sz w:val="24"/>
          <w:highlight w:val="none"/>
          <w:lang w:eastAsia="zh-CN"/>
        </w:rPr>
        <w:t>全称</w:t>
      </w:r>
      <w:r>
        <w:rPr>
          <w:rFonts w:hint="eastAsia" w:ascii="宋体" w:hAnsi="宋体" w:cs="宋体"/>
          <w:color w:val="auto"/>
          <w:sz w:val="24"/>
          <w:highlight w:val="none"/>
        </w:rPr>
        <w:t>（盖公章或电子签章）</w:t>
      </w:r>
      <w:r>
        <w:rPr>
          <w:rFonts w:hint="eastAsia" w:ascii="宋体" w:hAnsi="宋体"/>
          <w:color w:val="auto"/>
          <w:sz w:val="24"/>
          <w:highlight w:val="none"/>
        </w:rPr>
        <w:t>：</w:t>
      </w:r>
    </w:p>
    <w:p w14:paraId="3408DDB3">
      <w:pPr>
        <w:snapToGrid w:val="0"/>
        <w:spacing w:beforeLines="50" w:after="50" w:line="360" w:lineRule="auto"/>
        <w:jc w:val="both"/>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02965657">
      <w:pPr>
        <w:snapToGrid w:val="0"/>
        <w:spacing w:beforeLines="50" w:after="50" w:line="360" w:lineRule="auto"/>
        <w:rPr>
          <w:rFonts w:ascii="宋体"/>
          <w:color w:val="auto"/>
          <w:sz w:val="24"/>
          <w:highlight w:val="none"/>
        </w:rPr>
      </w:pPr>
    </w:p>
    <w:p w14:paraId="649BC2A5">
      <w:pPr>
        <w:snapToGrid w:val="0"/>
        <w:spacing w:beforeLines="50" w:after="50" w:line="360" w:lineRule="auto"/>
        <w:rPr>
          <w:rFonts w:ascii="宋体"/>
          <w:color w:val="auto"/>
          <w:sz w:val="24"/>
          <w:highlight w:val="none"/>
        </w:rPr>
      </w:pPr>
    </w:p>
    <w:p w14:paraId="3425292B">
      <w:pPr>
        <w:snapToGrid w:val="0"/>
        <w:spacing w:beforeLines="50" w:after="50" w:line="360" w:lineRule="auto"/>
        <w:jc w:val="center"/>
        <w:rPr>
          <w:rFonts w:ascii="宋体"/>
          <w:color w:val="auto"/>
          <w:highlight w:val="none"/>
        </w:rPr>
        <w:sectPr>
          <w:footerReference r:id="rId7" w:type="first"/>
          <w:footerReference r:id="rId6" w:type="default"/>
          <w:type w:val="continuous"/>
          <w:pgSz w:w="11906" w:h="16838"/>
          <w:pgMar w:top="1417" w:right="907" w:bottom="850" w:left="1588" w:header="851" w:footer="850" w:gutter="0"/>
          <w:pgNumType w:fmt="decimal"/>
          <w:cols w:space="0" w:num="1"/>
          <w:titlePg/>
          <w:docGrid w:linePitch="312" w:charSpace="0"/>
        </w:sectPr>
      </w:pPr>
    </w:p>
    <w:p w14:paraId="00CDC390">
      <w:pPr>
        <w:snapToGrid w:val="0"/>
        <w:spacing w:before="50" w:afterLines="50" w:line="360" w:lineRule="auto"/>
        <w:jc w:val="left"/>
        <w:rPr>
          <w:rFonts w:hint="eastAsia" w:ascii="宋体" w:hAnsi="宋体"/>
          <w:b/>
          <w:color w:val="auto"/>
          <w:sz w:val="24"/>
          <w:highlight w:val="none"/>
        </w:rPr>
      </w:pPr>
    </w:p>
    <w:p w14:paraId="77BFC62D">
      <w:pPr>
        <w:snapToGrid w:val="0"/>
        <w:spacing w:before="50" w:afterLines="50" w:line="360" w:lineRule="auto"/>
        <w:jc w:val="left"/>
        <w:rPr>
          <w:rFonts w:ascii="宋体"/>
          <w:b/>
          <w:color w:val="auto"/>
          <w:sz w:val="24"/>
          <w:highlight w:val="none"/>
        </w:rPr>
      </w:pPr>
      <w:r>
        <w:rPr>
          <w:rFonts w:hint="eastAsia" w:ascii="宋体" w:hAnsi="宋体"/>
          <w:b/>
          <w:color w:val="auto"/>
          <w:sz w:val="24"/>
          <w:highlight w:val="none"/>
        </w:rPr>
        <w:t>附件：投标单位情况表：</w:t>
      </w:r>
    </w:p>
    <w:p w14:paraId="33ACD2C4">
      <w:pPr>
        <w:snapToGrid w:val="0"/>
        <w:spacing w:beforeLines="50" w:after="50" w:line="360" w:lineRule="auto"/>
        <w:jc w:val="center"/>
        <w:rPr>
          <w:rFonts w:ascii="宋体"/>
          <w:b/>
          <w:color w:val="auto"/>
          <w:sz w:val="24"/>
          <w:highlight w:val="none"/>
        </w:rPr>
      </w:pPr>
      <w:r>
        <w:rPr>
          <w:rFonts w:hint="eastAsia" w:ascii="宋体" w:hAnsi="宋体"/>
          <w:b/>
          <w:color w:val="auto"/>
          <w:sz w:val="24"/>
          <w:highlight w:val="none"/>
        </w:rPr>
        <w:t>投标单位情况表</w:t>
      </w:r>
    </w:p>
    <w:p w14:paraId="2EAAE3E4">
      <w:pPr>
        <w:pStyle w:val="24"/>
        <w:spacing w:before="156" w:after="156"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投标单位：</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填表日期：</w:t>
      </w:r>
    </w:p>
    <w:tbl>
      <w:tblPr>
        <w:tblStyle w:val="45"/>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65BD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53DF802F">
            <w:pPr>
              <w:pStyle w:val="24"/>
              <w:spacing w:before="156" w:after="156" w:line="360" w:lineRule="auto"/>
              <w:rPr>
                <w:rFonts w:ascii="Times New Roman" w:hAnsi="Times New Roman"/>
                <w:color w:val="auto"/>
                <w:highlight w:val="none"/>
              </w:rPr>
            </w:pPr>
            <w:r>
              <w:rPr>
                <w:rFonts w:hint="eastAsia" w:ascii="Times New Roman" w:hAnsi="Times New Roman"/>
                <w:color w:val="auto"/>
                <w:highlight w:val="none"/>
              </w:rPr>
              <w:t>单位名称</w:t>
            </w:r>
          </w:p>
        </w:tc>
        <w:tc>
          <w:tcPr>
            <w:tcW w:w="2887" w:type="dxa"/>
            <w:vAlign w:val="center"/>
          </w:tcPr>
          <w:p w14:paraId="4F20EB2A">
            <w:pPr>
              <w:widowControl/>
              <w:spacing w:line="360" w:lineRule="auto"/>
              <w:jc w:val="center"/>
              <w:rPr>
                <w:color w:val="auto"/>
                <w:sz w:val="24"/>
                <w:highlight w:val="none"/>
              </w:rPr>
            </w:pPr>
          </w:p>
        </w:tc>
        <w:tc>
          <w:tcPr>
            <w:tcW w:w="1388" w:type="dxa"/>
            <w:gridSpan w:val="2"/>
            <w:vAlign w:val="center"/>
          </w:tcPr>
          <w:p w14:paraId="7F1EE9E3">
            <w:pPr>
              <w:pStyle w:val="24"/>
              <w:spacing w:before="156" w:after="156" w:line="360" w:lineRule="auto"/>
              <w:rPr>
                <w:rFonts w:ascii="Times New Roman" w:hAnsi="Times New Roman"/>
                <w:color w:val="auto"/>
                <w:highlight w:val="none"/>
              </w:rPr>
            </w:pPr>
            <w:r>
              <w:rPr>
                <w:rFonts w:hint="eastAsia" w:ascii="Times New Roman" w:hAnsi="Times New Roman"/>
                <w:color w:val="auto"/>
                <w:highlight w:val="none"/>
              </w:rPr>
              <w:t>电话</w:t>
            </w:r>
          </w:p>
        </w:tc>
        <w:tc>
          <w:tcPr>
            <w:tcW w:w="2534" w:type="dxa"/>
            <w:vAlign w:val="center"/>
          </w:tcPr>
          <w:p w14:paraId="217C4B48">
            <w:pPr>
              <w:pStyle w:val="24"/>
              <w:spacing w:before="156" w:after="156" w:line="360" w:lineRule="auto"/>
              <w:jc w:val="center"/>
              <w:rPr>
                <w:rFonts w:ascii="Times New Roman" w:hAnsi="Times New Roman"/>
                <w:color w:val="auto"/>
                <w:highlight w:val="none"/>
              </w:rPr>
            </w:pPr>
          </w:p>
        </w:tc>
      </w:tr>
      <w:tr w14:paraId="6213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7DC0E344">
            <w:pPr>
              <w:pStyle w:val="24"/>
              <w:spacing w:before="156" w:after="156" w:line="360" w:lineRule="auto"/>
              <w:rPr>
                <w:rFonts w:ascii="Times New Roman" w:hAnsi="Times New Roman"/>
                <w:color w:val="auto"/>
                <w:highlight w:val="none"/>
              </w:rPr>
            </w:pPr>
            <w:r>
              <w:rPr>
                <w:rFonts w:hint="eastAsia" w:ascii="Times New Roman" w:hAnsi="Times New Roman"/>
                <w:color w:val="auto"/>
                <w:highlight w:val="none"/>
              </w:rPr>
              <w:t>地址</w:t>
            </w:r>
          </w:p>
        </w:tc>
        <w:tc>
          <w:tcPr>
            <w:tcW w:w="2887" w:type="dxa"/>
            <w:vAlign w:val="center"/>
          </w:tcPr>
          <w:p w14:paraId="725A2098">
            <w:pPr>
              <w:pStyle w:val="24"/>
              <w:spacing w:before="156" w:after="156" w:line="360" w:lineRule="auto"/>
              <w:jc w:val="center"/>
              <w:rPr>
                <w:rFonts w:ascii="Times New Roman" w:hAnsi="Times New Roman"/>
                <w:color w:val="auto"/>
                <w:highlight w:val="none"/>
              </w:rPr>
            </w:pPr>
          </w:p>
        </w:tc>
        <w:tc>
          <w:tcPr>
            <w:tcW w:w="1388" w:type="dxa"/>
            <w:gridSpan w:val="2"/>
            <w:vAlign w:val="center"/>
          </w:tcPr>
          <w:p w14:paraId="689A2CDC">
            <w:pPr>
              <w:pStyle w:val="24"/>
              <w:spacing w:before="156" w:after="156" w:line="360" w:lineRule="auto"/>
              <w:rPr>
                <w:rFonts w:ascii="Times New Roman" w:hAnsi="Times New Roman"/>
                <w:color w:val="auto"/>
                <w:highlight w:val="none"/>
              </w:rPr>
            </w:pPr>
            <w:r>
              <w:rPr>
                <w:rFonts w:hint="eastAsia" w:ascii="Times New Roman" w:hAnsi="Times New Roman"/>
                <w:color w:val="auto"/>
                <w:highlight w:val="none"/>
              </w:rPr>
              <w:t>传真</w:t>
            </w:r>
          </w:p>
        </w:tc>
        <w:tc>
          <w:tcPr>
            <w:tcW w:w="2534" w:type="dxa"/>
            <w:vAlign w:val="center"/>
          </w:tcPr>
          <w:p w14:paraId="71D271EB">
            <w:pPr>
              <w:pStyle w:val="24"/>
              <w:spacing w:before="156" w:after="156" w:line="360" w:lineRule="auto"/>
              <w:jc w:val="center"/>
              <w:rPr>
                <w:rFonts w:ascii="Times New Roman" w:hAnsi="Times New Roman"/>
                <w:color w:val="auto"/>
                <w:highlight w:val="none"/>
              </w:rPr>
            </w:pPr>
          </w:p>
        </w:tc>
      </w:tr>
      <w:tr w14:paraId="03B9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61AEF7F3">
            <w:pPr>
              <w:pStyle w:val="24"/>
              <w:spacing w:before="156" w:after="156" w:line="360" w:lineRule="auto"/>
              <w:rPr>
                <w:rFonts w:ascii="Times New Roman" w:hAnsi="Times New Roman"/>
                <w:color w:val="auto"/>
                <w:highlight w:val="none"/>
              </w:rPr>
            </w:pPr>
            <w:r>
              <w:rPr>
                <w:rFonts w:hint="eastAsia" w:ascii="Times New Roman" w:hAnsi="Times New Roman"/>
                <w:color w:val="auto"/>
                <w:highlight w:val="none"/>
              </w:rPr>
              <w:t>主管部门</w:t>
            </w:r>
          </w:p>
        </w:tc>
        <w:tc>
          <w:tcPr>
            <w:tcW w:w="2887" w:type="dxa"/>
            <w:vAlign w:val="center"/>
          </w:tcPr>
          <w:p w14:paraId="75287DE2">
            <w:pPr>
              <w:pStyle w:val="24"/>
              <w:spacing w:before="156" w:after="156" w:line="360" w:lineRule="auto"/>
              <w:jc w:val="center"/>
              <w:rPr>
                <w:rFonts w:ascii="Times New Roman" w:hAnsi="Times New Roman"/>
                <w:color w:val="auto"/>
                <w:highlight w:val="none"/>
              </w:rPr>
            </w:pPr>
          </w:p>
        </w:tc>
        <w:tc>
          <w:tcPr>
            <w:tcW w:w="1388" w:type="dxa"/>
            <w:gridSpan w:val="2"/>
            <w:vAlign w:val="center"/>
          </w:tcPr>
          <w:p w14:paraId="67DE7EF2">
            <w:pPr>
              <w:pStyle w:val="24"/>
              <w:spacing w:before="156" w:after="156" w:line="360" w:lineRule="auto"/>
              <w:rPr>
                <w:rFonts w:ascii="Times New Roman" w:hAnsi="Times New Roman"/>
                <w:color w:val="auto"/>
                <w:highlight w:val="none"/>
              </w:rPr>
            </w:pPr>
            <w:r>
              <w:rPr>
                <w:rFonts w:hint="eastAsia" w:ascii="Times New Roman" w:hAnsi="Times New Roman"/>
                <w:color w:val="auto"/>
                <w:highlight w:val="none"/>
              </w:rPr>
              <w:t>企业性质</w:t>
            </w:r>
          </w:p>
        </w:tc>
        <w:tc>
          <w:tcPr>
            <w:tcW w:w="2534" w:type="dxa"/>
            <w:vAlign w:val="center"/>
          </w:tcPr>
          <w:p w14:paraId="45861D53">
            <w:pPr>
              <w:pStyle w:val="24"/>
              <w:spacing w:before="156" w:after="156" w:line="360" w:lineRule="auto"/>
              <w:jc w:val="center"/>
              <w:rPr>
                <w:rFonts w:ascii="Times New Roman" w:hAnsi="Times New Roman"/>
                <w:color w:val="auto"/>
                <w:highlight w:val="none"/>
              </w:rPr>
            </w:pPr>
          </w:p>
        </w:tc>
      </w:tr>
      <w:tr w14:paraId="7EEF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11F11ABC">
            <w:pPr>
              <w:pStyle w:val="24"/>
              <w:spacing w:before="156" w:after="156" w:line="360" w:lineRule="auto"/>
              <w:rPr>
                <w:rFonts w:ascii="Times New Roman" w:hAnsi="Times New Roman"/>
                <w:color w:val="auto"/>
                <w:highlight w:val="none"/>
              </w:rPr>
            </w:pPr>
            <w:r>
              <w:rPr>
                <w:rFonts w:hint="eastAsia" w:ascii="Times New Roman" w:hAnsi="Times New Roman"/>
                <w:color w:val="auto"/>
                <w:highlight w:val="none"/>
              </w:rPr>
              <w:t>企业法人</w:t>
            </w:r>
          </w:p>
        </w:tc>
        <w:tc>
          <w:tcPr>
            <w:tcW w:w="2887" w:type="dxa"/>
            <w:vAlign w:val="center"/>
          </w:tcPr>
          <w:p w14:paraId="4FCB63F2">
            <w:pPr>
              <w:pStyle w:val="24"/>
              <w:spacing w:before="156" w:after="156" w:line="360" w:lineRule="auto"/>
              <w:jc w:val="center"/>
              <w:rPr>
                <w:rFonts w:ascii="Times New Roman" w:hAnsi="Times New Roman"/>
                <w:color w:val="auto"/>
                <w:highlight w:val="none"/>
              </w:rPr>
            </w:pPr>
          </w:p>
        </w:tc>
        <w:tc>
          <w:tcPr>
            <w:tcW w:w="1388" w:type="dxa"/>
            <w:gridSpan w:val="2"/>
            <w:vAlign w:val="center"/>
          </w:tcPr>
          <w:p w14:paraId="1B4EB323">
            <w:pPr>
              <w:pStyle w:val="24"/>
              <w:spacing w:before="156" w:after="156" w:line="360" w:lineRule="auto"/>
              <w:rPr>
                <w:rFonts w:ascii="Times New Roman" w:hAnsi="Times New Roman"/>
                <w:color w:val="auto"/>
                <w:highlight w:val="none"/>
              </w:rPr>
            </w:pPr>
            <w:r>
              <w:rPr>
                <w:rFonts w:hint="eastAsia"/>
                <w:color w:val="auto"/>
                <w:highlight w:val="none"/>
              </w:rPr>
              <w:t>资质等级</w:t>
            </w:r>
          </w:p>
        </w:tc>
        <w:tc>
          <w:tcPr>
            <w:tcW w:w="2534" w:type="dxa"/>
            <w:vAlign w:val="center"/>
          </w:tcPr>
          <w:p w14:paraId="0CB2F13C">
            <w:pPr>
              <w:pStyle w:val="24"/>
              <w:spacing w:before="156" w:after="156" w:line="360" w:lineRule="auto"/>
              <w:jc w:val="center"/>
              <w:rPr>
                <w:rFonts w:ascii="Times New Roman" w:hAnsi="Times New Roman"/>
                <w:color w:val="auto"/>
                <w:highlight w:val="none"/>
              </w:rPr>
            </w:pPr>
          </w:p>
        </w:tc>
      </w:tr>
      <w:tr w14:paraId="587E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7BB076DC">
            <w:pPr>
              <w:pStyle w:val="24"/>
              <w:spacing w:before="156" w:after="156" w:line="360" w:lineRule="auto"/>
              <w:rPr>
                <w:rFonts w:ascii="Times New Roman" w:hAnsi="Times New Roman"/>
                <w:color w:val="auto"/>
                <w:highlight w:val="none"/>
              </w:rPr>
            </w:pPr>
            <w:r>
              <w:rPr>
                <w:rFonts w:hint="eastAsia" w:ascii="Times New Roman" w:hAnsi="Times New Roman"/>
                <w:color w:val="auto"/>
                <w:highlight w:val="none"/>
              </w:rPr>
              <w:t>授权代表</w:t>
            </w:r>
          </w:p>
        </w:tc>
        <w:tc>
          <w:tcPr>
            <w:tcW w:w="2887" w:type="dxa"/>
            <w:vAlign w:val="center"/>
          </w:tcPr>
          <w:p w14:paraId="7FD454DB">
            <w:pPr>
              <w:pStyle w:val="24"/>
              <w:spacing w:before="156" w:after="156" w:line="360" w:lineRule="auto"/>
              <w:jc w:val="center"/>
              <w:rPr>
                <w:rFonts w:ascii="Times New Roman" w:hAnsi="Times New Roman"/>
                <w:color w:val="auto"/>
                <w:highlight w:val="none"/>
              </w:rPr>
            </w:pPr>
          </w:p>
        </w:tc>
        <w:tc>
          <w:tcPr>
            <w:tcW w:w="1388" w:type="dxa"/>
            <w:gridSpan w:val="2"/>
            <w:vAlign w:val="center"/>
          </w:tcPr>
          <w:p w14:paraId="01F81D26">
            <w:pPr>
              <w:pStyle w:val="24"/>
              <w:spacing w:before="156" w:after="156" w:line="360" w:lineRule="auto"/>
              <w:rPr>
                <w:rFonts w:ascii="Times New Roman" w:hAnsi="Times New Roman"/>
                <w:color w:val="auto"/>
                <w:highlight w:val="none"/>
              </w:rPr>
            </w:pPr>
            <w:r>
              <w:rPr>
                <w:rFonts w:hint="eastAsia" w:ascii="Times New Roman" w:hAnsi="Times New Roman"/>
                <w:color w:val="auto"/>
                <w:highlight w:val="none"/>
              </w:rPr>
              <w:t>职务</w:t>
            </w:r>
          </w:p>
        </w:tc>
        <w:tc>
          <w:tcPr>
            <w:tcW w:w="2534" w:type="dxa"/>
            <w:vAlign w:val="center"/>
          </w:tcPr>
          <w:p w14:paraId="05EA440E">
            <w:pPr>
              <w:pStyle w:val="24"/>
              <w:spacing w:before="156" w:after="156" w:line="360" w:lineRule="auto"/>
              <w:jc w:val="center"/>
              <w:rPr>
                <w:rFonts w:ascii="Times New Roman" w:hAnsi="Times New Roman"/>
                <w:color w:val="auto"/>
                <w:highlight w:val="none"/>
              </w:rPr>
            </w:pPr>
          </w:p>
        </w:tc>
      </w:tr>
      <w:tr w14:paraId="71C1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088D34F2">
            <w:pPr>
              <w:pStyle w:val="24"/>
              <w:spacing w:before="156" w:after="156" w:line="360" w:lineRule="auto"/>
              <w:ind w:firstLine="720" w:firstLineChars="300"/>
              <w:jc w:val="center"/>
              <w:rPr>
                <w:rFonts w:ascii="Times New Roman" w:hAnsi="Times New Roman"/>
                <w:color w:val="auto"/>
                <w:highlight w:val="none"/>
              </w:rPr>
            </w:pPr>
          </w:p>
          <w:p w14:paraId="35EB7C03">
            <w:pPr>
              <w:pStyle w:val="24"/>
              <w:spacing w:before="156" w:after="156" w:line="360" w:lineRule="auto"/>
              <w:jc w:val="center"/>
              <w:rPr>
                <w:rFonts w:ascii="Times New Roman" w:hAnsi="Times New Roman"/>
                <w:color w:val="auto"/>
                <w:highlight w:val="none"/>
              </w:rPr>
            </w:pPr>
            <w:r>
              <w:rPr>
                <w:rFonts w:hint="eastAsia" w:ascii="Times New Roman" w:hAnsi="Times New Roman"/>
                <w:color w:val="auto"/>
                <w:highlight w:val="none"/>
              </w:rPr>
              <w:t>单位概况</w:t>
            </w:r>
          </w:p>
          <w:p w14:paraId="0677D781">
            <w:pPr>
              <w:pStyle w:val="24"/>
              <w:spacing w:before="156" w:after="156" w:line="360" w:lineRule="auto"/>
              <w:ind w:firstLine="720" w:firstLineChars="300"/>
              <w:jc w:val="center"/>
              <w:rPr>
                <w:rFonts w:ascii="Times New Roman" w:hAnsi="Times New Roman"/>
                <w:color w:val="auto"/>
                <w:highlight w:val="none"/>
              </w:rPr>
            </w:pPr>
          </w:p>
          <w:p w14:paraId="59DBD048">
            <w:pPr>
              <w:pStyle w:val="24"/>
              <w:spacing w:before="156" w:after="156" w:line="360" w:lineRule="auto"/>
              <w:ind w:firstLine="720" w:firstLineChars="300"/>
              <w:jc w:val="center"/>
              <w:rPr>
                <w:rFonts w:ascii="Times New Roman" w:hAnsi="Times New Roman"/>
                <w:color w:val="auto"/>
                <w:highlight w:val="none"/>
              </w:rPr>
            </w:pPr>
          </w:p>
          <w:p w14:paraId="230661E0">
            <w:pPr>
              <w:pStyle w:val="24"/>
              <w:spacing w:before="156" w:after="156" w:line="360" w:lineRule="auto"/>
              <w:ind w:firstLine="720" w:firstLineChars="300"/>
              <w:jc w:val="center"/>
              <w:rPr>
                <w:rFonts w:ascii="Times New Roman" w:hAnsi="Times New Roman"/>
                <w:color w:val="auto"/>
                <w:highlight w:val="none"/>
              </w:rPr>
            </w:pPr>
          </w:p>
          <w:p w14:paraId="6E24E04D">
            <w:pPr>
              <w:pStyle w:val="24"/>
              <w:spacing w:before="156" w:after="156" w:line="360" w:lineRule="auto"/>
              <w:ind w:firstLine="720" w:firstLineChars="300"/>
              <w:jc w:val="center"/>
              <w:rPr>
                <w:rFonts w:ascii="Times New Roman" w:hAnsi="Times New Roman"/>
                <w:color w:val="auto"/>
                <w:highlight w:val="none"/>
              </w:rPr>
            </w:pPr>
          </w:p>
        </w:tc>
        <w:tc>
          <w:tcPr>
            <w:tcW w:w="1260" w:type="dxa"/>
            <w:vMerge w:val="restart"/>
            <w:vAlign w:val="center"/>
          </w:tcPr>
          <w:p w14:paraId="51AB5779">
            <w:pPr>
              <w:spacing w:line="360" w:lineRule="auto"/>
              <w:jc w:val="center"/>
              <w:rPr>
                <w:color w:val="auto"/>
                <w:sz w:val="24"/>
                <w:highlight w:val="none"/>
              </w:rPr>
            </w:pPr>
            <w:r>
              <w:rPr>
                <w:rFonts w:hint="eastAsia"/>
                <w:color w:val="auto"/>
                <w:sz w:val="24"/>
                <w:highlight w:val="none"/>
              </w:rPr>
              <w:t>职工总数</w:t>
            </w:r>
          </w:p>
        </w:tc>
        <w:tc>
          <w:tcPr>
            <w:tcW w:w="2887" w:type="dxa"/>
            <w:vAlign w:val="center"/>
          </w:tcPr>
          <w:p w14:paraId="1D007582">
            <w:pPr>
              <w:pStyle w:val="24"/>
              <w:spacing w:before="156" w:after="156" w:line="360" w:lineRule="auto"/>
              <w:rPr>
                <w:rFonts w:ascii="Times New Roman" w:hAnsi="Times New Roman"/>
                <w:color w:val="auto"/>
                <w:highlight w:val="none"/>
              </w:rPr>
            </w:pPr>
            <w:r>
              <w:rPr>
                <w:rFonts w:hint="eastAsia" w:asciiTheme="majorEastAsia" w:hAnsiTheme="majorEastAsia" w:eastAsiaTheme="majorEastAsia"/>
                <w:color w:val="auto"/>
                <w:highlight w:val="none"/>
              </w:rPr>
              <w:t>员工（包括技术工人、高级技师、工程师）：   人</w:t>
            </w:r>
          </w:p>
        </w:tc>
        <w:tc>
          <w:tcPr>
            <w:tcW w:w="3922" w:type="dxa"/>
            <w:gridSpan w:val="3"/>
            <w:vAlign w:val="center"/>
          </w:tcPr>
          <w:p w14:paraId="523FB96B">
            <w:pPr>
              <w:pStyle w:val="24"/>
              <w:spacing w:before="156" w:after="156" w:line="360" w:lineRule="auto"/>
              <w:rPr>
                <w:rFonts w:ascii="Times New Roman" w:hAnsi="Times New Roman"/>
                <w:color w:val="auto"/>
                <w:highlight w:val="none"/>
              </w:rPr>
            </w:pPr>
            <w:r>
              <w:rPr>
                <w:rFonts w:hint="eastAsia" w:ascii="Times New Roman" w:hAnsi="Times New Roman"/>
                <w:color w:val="auto"/>
                <w:highlight w:val="none"/>
              </w:rPr>
              <w:t>技术工人：人</w:t>
            </w:r>
          </w:p>
        </w:tc>
      </w:tr>
      <w:tr w14:paraId="094E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094EC476">
            <w:pPr>
              <w:pStyle w:val="24"/>
              <w:spacing w:before="156" w:after="156" w:line="360" w:lineRule="auto"/>
              <w:ind w:firstLine="720" w:firstLineChars="300"/>
              <w:jc w:val="center"/>
              <w:rPr>
                <w:rFonts w:ascii="Times New Roman" w:hAnsi="Times New Roman"/>
                <w:color w:val="auto"/>
                <w:highlight w:val="none"/>
              </w:rPr>
            </w:pPr>
          </w:p>
        </w:tc>
        <w:tc>
          <w:tcPr>
            <w:tcW w:w="1260" w:type="dxa"/>
            <w:vMerge w:val="continue"/>
            <w:vAlign w:val="center"/>
          </w:tcPr>
          <w:p w14:paraId="5AABC435">
            <w:pPr>
              <w:widowControl/>
              <w:spacing w:line="360" w:lineRule="auto"/>
              <w:jc w:val="center"/>
              <w:rPr>
                <w:color w:val="auto"/>
                <w:sz w:val="24"/>
                <w:highlight w:val="none"/>
              </w:rPr>
            </w:pPr>
          </w:p>
        </w:tc>
        <w:tc>
          <w:tcPr>
            <w:tcW w:w="2887" w:type="dxa"/>
            <w:vAlign w:val="center"/>
          </w:tcPr>
          <w:p w14:paraId="175B498C">
            <w:pPr>
              <w:pStyle w:val="24"/>
              <w:spacing w:before="156" w:after="156" w:line="360" w:lineRule="auto"/>
              <w:rPr>
                <w:color w:val="auto"/>
                <w:highlight w:val="none"/>
              </w:rPr>
            </w:pPr>
            <w:r>
              <w:rPr>
                <w:rFonts w:hint="eastAsia"/>
                <w:color w:val="auto"/>
                <w:highlight w:val="none"/>
              </w:rPr>
              <w:t>高级技师：人</w:t>
            </w:r>
          </w:p>
        </w:tc>
        <w:tc>
          <w:tcPr>
            <w:tcW w:w="3922" w:type="dxa"/>
            <w:gridSpan w:val="3"/>
            <w:vAlign w:val="center"/>
          </w:tcPr>
          <w:p w14:paraId="11078C37">
            <w:pPr>
              <w:pStyle w:val="24"/>
              <w:spacing w:before="156" w:after="156" w:line="360" w:lineRule="auto"/>
              <w:rPr>
                <w:color w:val="auto"/>
                <w:highlight w:val="none"/>
              </w:rPr>
            </w:pPr>
            <w:r>
              <w:rPr>
                <w:rFonts w:hint="eastAsia"/>
                <w:color w:val="auto"/>
                <w:highlight w:val="none"/>
              </w:rPr>
              <w:t>工程师：人</w:t>
            </w:r>
          </w:p>
        </w:tc>
      </w:tr>
      <w:tr w14:paraId="5646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44" w:type="dxa"/>
            <w:vMerge w:val="continue"/>
            <w:vAlign w:val="center"/>
          </w:tcPr>
          <w:p w14:paraId="0673DBB9">
            <w:pPr>
              <w:pStyle w:val="24"/>
              <w:spacing w:before="156" w:after="156" w:line="360" w:lineRule="auto"/>
              <w:ind w:firstLine="720" w:firstLineChars="300"/>
              <w:jc w:val="center"/>
              <w:rPr>
                <w:rFonts w:ascii="Times New Roman" w:hAnsi="Times New Roman"/>
                <w:color w:val="auto"/>
                <w:highlight w:val="none"/>
              </w:rPr>
            </w:pPr>
          </w:p>
        </w:tc>
        <w:tc>
          <w:tcPr>
            <w:tcW w:w="1260" w:type="dxa"/>
            <w:vAlign w:val="center"/>
          </w:tcPr>
          <w:p w14:paraId="4BB99A4F">
            <w:pPr>
              <w:pStyle w:val="24"/>
              <w:spacing w:before="156" w:after="156" w:line="360" w:lineRule="auto"/>
              <w:jc w:val="center"/>
              <w:rPr>
                <w:color w:val="auto"/>
                <w:highlight w:val="none"/>
              </w:rPr>
            </w:pPr>
            <w:r>
              <w:rPr>
                <w:rFonts w:hint="eastAsia"/>
                <w:color w:val="auto"/>
                <w:highlight w:val="none"/>
              </w:rPr>
              <w:t>流动资金</w:t>
            </w:r>
          </w:p>
        </w:tc>
        <w:tc>
          <w:tcPr>
            <w:tcW w:w="2887" w:type="dxa"/>
            <w:vAlign w:val="center"/>
          </w:tcPr>
          <w:p w14:paraId="5ABEF4A6">
            <w:pPr>
              <w:pStyle w:val="24"/>
              <w:spacing w:before="156" w:after="156" w:line="360" w:lineRule="auto"/>
              <w:jc w:val="center"/>
              <w:rPr>
                <w:color w:val="auto"/>
                <w:highlight w:val="none"/>
              </w:rPr>
            </w:pPr>
          </w:p>
        </w:tc>
        <w:tc>
          <w:tcPr>
            <w:tcW w:w="1222" w:type="dxa"/>
            <w:vAlign w:val="center"/>
          </w:tcPr>
          <w:p w14:paraId="4DA964D8">
            <w:pPr>
              <w:pStyle w:val="24"/>
              <w:spacing w:before="156" w:after="156" w:line="360" w:lineRule="auto"/>
              <w:jc w:val="center"/>
              <w:rPr>
                <w:color w:val="auto"/>
                <w:highlight w:val="none"/>
              </w:rPr>
            </w:pPr>
            <w:r>
              <w:rPr>
                <w:rFonts w:hint="eastAsia"/>
                <w:color w:val="auto"/>
                <w:highlight w:val="none"/>
              </w:rPr>
              <w:t>营业面积</w:t>
            </w:r>
          </w:p>
        </w:tc>
        <w:tc>
          <w:tcPr>
            <w:tcW w:w="2700" w:type="dxa"/>
            <w:gridSpan w:val="2"/>
            <w:vAlign w:val="center"/>
          </w:tcPr>
          <w:p w14:paraId="409A81E1">
            <w:pPr>
              <w:pStyle w:val="24"/>
              <w:spacing w:before="156" w:after="156" w:line="360" w:lineRule="auto"/>
              <w:jc w:val="center"/>
              <w:rPr>
                <w:color w:val="auto"/>
                <w:highlight w:val="none"/>
              </w:rPr>
            </w:pPr>
          </w:p>
        </w:tc>
      </w:tr>
      <w:tr w14:paraId="6671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844" w:type="dxa"/>
            <w:vMerge w:val="continue"/>
            <w:vAlign w:val="center"/>
          </w:tcPr>
          <w:p w14:paraId="37800EEC">
            <w:pPr>
              <w:pStyle w:val="24"/>
              <w:spacing w:before="156" w:after="156" w:line="360" w:lineRule="auto"/>
              <w:ind w:firstLine="720" w:firstLineChars="300"/>
              <w:jc w:val="center"/>
              <w:rPr>
                <w:rFonts w:ascii="Times New Roman" w:hAnsi="Times New Roman"/>
                <w:color w:val="auto"/>
                <w:highlight w:val="none"/>
              </w:rPr>
            </w:pPr>
          </w:p>
        </w:tc>
        <w:tc>
          <w:tcPr>
            <w:tcW w:w="1260" w:type="dxa"/>
            <w:vAlign w:val="center"/>
          </w:tcPr>
          <w:p w14:paraId="47DC69D7">
            <w:pPr>
              <w:pStyle w:val="24"/>
              <w:spacing w:before="156" w:after="156" w:line="360" w:lineRule="auto"/>
              <w:jc w:val="center"/>
              <w:rPr>
                <w:color w:val="auto"/>
                <w:highlight w:val="none"/>
              </w:rPr>
            </w:pPr>
            <w:r>
              <w:rPr>
                <w:rFonts w:hint="eastAsia"/>
                <w:color w:val="auto"/>
                <w:highlight w:val="none"/>
              </w:rPr>
              <w:t>固定资金</w:t>
            </w:r>
          </w:p>
        </w:tc>
        <w:tc>
          <w:tcPr>
            <w:tcW w:w="2887" w:type="dxa"/>
            <w:vAlign w:val="center"/>
          </w:tcPr>
          <w:p w14:paraId="394B50D7">
            <w:pPr>
              <w:widowControl/>
              <w:spacing w:line="360" w:lineRule="auto"/>
              <w:jc w:val="center"/>
              <w:rPr>
                <w:color w:val="auto"/>
                <w:sz w:val="24"/>
                <w:highlight w:val="none"/>
              </w:rPr>
            </w:pPr>
          </w:p>
        </w:tc>
        <w:tc>
          <w:tcPr>
            <w:tcW w:w="1222" w:type="dxa"/>
            <w:vAlign w:val="center"/>
          </w:tcPr>
          <w:p w14:paraId="571B8C79">
            <w:pPr>
              <w:pStyle w:val="24"/>
              <w:spacing w:before="156" w:after="156" w:line="360" w:lineRule="auto"/>
              <w:jc w:val="center"/>
              <w:rPr>
                <w:color w:val="auto"/>
                <w:highlight w:val="none"/>
              </w:rPr>
            </w:pPr>
            <w:r>
              <w:rPr>
                <w:rFonts w:hint="eastAsia"/>
                <w:color w:val="auto"/>
                <w:highlight w:val="none"/>
              </w:rPr>
              <w:t>维修网点</w:t>
            </w:r>
          </w:p>
        </w:tc>
        <w:tc>
          <w:tcPr>
            <w:tcW w:w="2700" w:type="dxa"/>
            <w:gridSpan w:val="2"/>
            <w:vAlign w:val="center"/>
          </w:tcPr>
          <w:p w14:paraId="7F9C8C07">
            <w:pPr>
              <w:widowControl/>
              <w:spacing w:line="360" w:lineRule="auto"/>
              <w:jc w:val="center"/>
              <w:rPr>
                <w:color w:val="auto"/>
                <w:sz w:val="24"/>
                <w:highlight w:val="none"/>
              </w:rPr>
            </w:pPr>
          </w:p>
        </w:tc>
      </w:tr>
      <w:tr w14:paraId="3D60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19A05BA5">
            <w:pPr>
              <w:pStyle w:val="24"/>
              <w:spacing w:before="156" w:after="156" w:line="360" w:lineRule="auto"/>
              <w:jc w:val="center"/>
              <w:rPr>
                <w:rFonts w:ascii="Times New Roman" w:hAnsi="Times New Roman"/>
                <w:color w:val="auto"/>
                <w:highlight w:val="none"/>
              </w:rPr>
            </w:pPr>
            <w:r>
              <w:rPr>
                <w:rFonts w:hint="eastAsia" w:ascii="Times New Roman" w:hAnsi="Times New Roman"/>
                <w:color w:val="auto"/>
                <w:highlight w:val="none"/>
              </w:rPr>
              <w:t>单位简历</w:t>
            </w:r>
          </w:p>
        </w:tc>
        <w:tc>
          <w:tcPr>
            <w:tcW w:w="8069" w:type="dxa"/>
            <w:gridSpan w:val="5"/>
          </w:tcPr>
          <w:p w14:paraId="5640AFDB">
            <w:pPr>
              <w:spacing w:line="360" w:lineRule="auto"/>
              <w:jc w:val="left"/>
              <w:rPr>
                <w:color w:val="auto"/>
                <w:sz w:val="24"/>
                <w:highlight w:val="none"/>
              </w:rPr>
            </w:pPr>
          </w:p>
        </w:tc>
      </w:tr>
      <w:tr w14:paraId="348D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44" w:type="dxa"/>
            <w:vAlign w:val="center"/>
          </w:tcPr>
          <w:p w14:paraId="492C5B6F">
            <w:pPr>
              <w:pStyle w:val="24"/>
              <w:spacing w:before="156" w:after="156" w:line="360" w:lineRule="auto"/>
              <w:jc w:val="center"/>
              <w:rPr>
                <w:rFonts w:ascii="Times New Roman" w:hAnsi="Times New Roman"/>
                <w:color w:val="auto"/>
                <w:highlight w:val="none"/>
              </w:rPr>
            </w:pPr>
            <w:r>
              <w:rPr>
                <w:rFonts w:hint="eastAsia" w:ascii="Times New Roman" w:hAnsi="Times New Roman"/>
                <w:color w:val="auto"/>
                <w:highlight w:val="none"/>
              </w:rPr>
              <w:t>优势及特长</w:t>
            </w:r>
          </w:p>
        </w:tc>
        <w:tc>
          <w:tcPr>
            <w:tcW w:w="8069" w:type="dxa"/>
            <w:gridSpan w:val="5"/>
          </w:tcPr>
          <w:p w14:paraId="438D2D75">
            <w:pPr>
              <w:spacing w:line="360" w:lineRule="auto"/>
              <w:jc w:val="left"/>
              <w:rPr>
                <w:color w:val="auto"/>
                <w:sz w:val="24"/>
                <w:highlight w:val="none"/>
              </w:rPr>
            </w:pPr>
          </w:p>
        </w:tc>
      </w:tr>
    </w:tbl>
    <w:p w14:paraId="1055AA17">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注：附营业执照等相关资料。</w:t>
      </w:r>
    </w:p>
    <w:p w14:paraId="64E8192E">
      <w:pPr>
        <w:snapToGrid w:val="0"/>
        <w:spacing w:beforeLines="50" w:after="50" w:line="360" w:lineRule="auto"/>
        <w:ind w:firstLine="480" w:firstLineChars="200"/>
        <w:rPr>
          <w:rFonts w:ascii="宋体"/>
          <w:color w:val="auto"/>
          <w:sz w:val="24"/>
          <w:szCs w:val="20"/>
          <w:highlight w:val="none"/>
        </w:rPr>
      </w:pPr>
      <w:r>
        <w:rPr>
          <w:rFonts w:hint="eastAsia" w:ascii="宋体" w:hAnsi="宋体"/>
          <w:color w:val="auto"/>
          <w:sz w:val="24"/>
          <w:highlight w:val="none"/>
        </w:rPr>
        <w:t>投标人</w:t>
      </w:r>
      <w:r>
        <w:rPr>
          <w:rFonts w:hint="eastAsia" w:ascii="宋体" w:hAnsi="宋体"/>
          <w:color w:val="auto"/>
          <w:sz w:val="24"/>
          <w:highlight w:val="none"/>
          <w:lang w:eastAsia="zh-CN"/>
        </w:rPr>
        <w:t>全称</w:t>
      </w:r>
      <w:r>
        <w:rPr>
          <w:rFonts w:hint="eastAsia" w:ascii="宋体" w:hAnsi="宋体" w:cs="宋体"/>
          <w:color w:val="auto"/>
          <w:sz w:val="24"/>
          <w:highlight w:val="none"/>
        </w:rPr>
        <w:t>（盖公章或电子签章）</w:t>
      </w:r>
      <w:r>
        <w:rPr>
          <w:rFonts w:hint="eastAsia" w:ascii="宋体" w:hAnsi="宋体"/>
          <w:color w:val="auto"/>
          <w:sz w:val="24"/>
          <w:highlight w:val="none"/>
        </w:rPr>
        <w:t>：</w:t>
      </w:r>
    </w:p>
    <w:p w14:paraId="6B4A4D20">
      <w:pPr>
        <w:snapToGrid w:val="0"/>
        <w:spacing w:beforeLines="50" w:after="50" w:line="360" w:lineRule="auto"/>
        <w:jc w:val="both"/>
        <w:rPr>
          <w:rFonts w:hint="eastAsia" w:ascii="宋体" w:hAnsi="宋体"/>
          <w:b/>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325B5719">
      <w:pPr>
        <w:pStyle w:val="4"/>
        <w:rPr>
          <w:rFonts w:ascii="宋体" w:hAnsi="宋体" w:eastAsia="宋体" w:cs="宋体"/>
          <w:bCs w:val="0"/>
          <w:color w:val="auto"/>
          <w:sz w:val="24"/>
          <w:szCs w:val="24"/>
          <w:highlight w:val="none"/>
        </w:rPr>
      </w:pPr>
      <w:r>
        <w:rPr>
          <w:rFonts w:hint="eastAsia" w:ascii="宋体" w:hAnsi="宋体" w:cs="宋体"/>
          <w:bCs w:val="0"/>
          <w:color w:val="auto"/>
          <w:sz w:val="24"/>
          <w:szCs w:val="24"/>
          <w:highlight w:val="none"/>
          <w:lang w:eastAsia="zh-CN"/>
        </w:rPr>
        <w:t>附件</w:t>
      </w:r>
      <w:r>
        <w:rPr>
          <w:rFonts w:hint="eastAsia" w:ascii="宋体" w:hAnsi="宋体" w:cs="宋体"/>
          <w:bCs w:val="0"/>
          <w:color w:val="auto"/>
          <w:sz w:val="24"/>
          <w:szCs w:val="24"/>
          <w:highlight w:val="none"/>
          <w:lang w:val="en-US" w:eastAsia="zh-CN"/>
        </w:rPr>
        <w:t>:</w:t>
      </w:r>
      <w:r>
        <w:rPr>
          <w:rFonts w:hint="eastAsia" w:ascii="宋体" w:hAnsi="宋体" w:eastAsia="宋体" w:cs="宋体"/>
          <w:bCs w:val="0"/>
          <w:color w:val="auto"/>
          <w:sz w:val="24"/>
          <w:szCs w:val="24"/>
          <w:highlight w:val="none"/>
        </w:rPr>
        <w:t>投标人依法缴纳税收和社保费、无失信行为的声明函</w:t>
      </w:r>
    </w:p>
    <w:p w14:paraId="305B5B43">
      <w:pPr>
        <w:pStyle w:val="4"/>
        <w:jc w:val="center"/>
        <w:rPr>
          <w:rFonts w:ascii="宋体" w:hAnsi="宋体" w:cs="宋体"/>
          <w:bCs w:val="0"/>
          <w:color w:val="auto"/>
          <w:sz w:val="30"/>
          <w:szCs w:val="30"/>
          <w:highlight w:val="none"/>
        </w:rPr>
      </w:pPr>
      <w:r>
        <w:rPr>
          <w:rFonts w:hint="eastAsia" w:ascii="宋体" w:hAnsi="宋体" w:eastAsia="宋体" w:cs="宋体"/>
          <w:bCs w:val="0"/>
          <w:color w:val="auto"/>
          <w:sz w:val="30"/>
          <w:szCs w:val="30"/>
          <w:highlight w:val="none"/>
        </w:rPr>
        <w:t>投标人依法缴纳税收和社保费、无失信行为的声明函</w:t>
      </w:r>
    </w:p>
    <w:p w14:paraId="41B0DF3A">
      <w:pPr>
        <w:pStyle w:val="4"/>
        <w:jc w:val="center"/>
        <w:rPr>
          <w:rFonts w:ascii="宋体" w:hAnsi="宋体" w:cs="宋体"/>
          <w:bCs w:val="0"/>
          <w:color w:val="auto"/>
          <w:sz w:val="30"/>
          <w:szCs w:val="30"/>
          <w:highlight w:val="none"/>
        </w:rPr>
      </w:pPr>
    </w:p>
    <w:p w14:paraId="6E1A23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致：采购人</w:t>
      </w:r>
    </w:p>
    <w:p w14:paraId="2ECB46B7">
      <w:pPr>
        <w:pStyle w:val="4"/>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本公司（单位）在参加采购编号为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，项目名称为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的政府采购活动前，在生产经营活动中始终依法缴纳税收和社保费。截至公告发布日止，相关主体在“信用中国”网站(www.creditchina.gov.cn)及中国政府采购网(www.ccgp.gov.cn)无有失信行为。</w:t>
      </w:r>
    </w:p>
    <w:p w14:paraId="79DDFFD7">
      <w:pPr>
        <w:pStyle w:val="4"/>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特此声明。</w:t>
      </w:r>
    </w:p>
    <w:p w14:paraId="0E345645">
      <w:pPr>
        <w:snapToGrid w:val="0"/>
        <w:spacing w:line="360" w:lineRule="auto"/>
        <w:rPr>
          <w:rFonts w:ascii="宋体" w:hAnsi="宋体" w:cs="宋体"/>
          <w:color w:val="auto"/>
          <w:sz w:val="24"/>
          <w:highlight w:val="none"/>
          <w:u w:val="singl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14:paraId="2AB553AE">
      <w:pPr>
        <w:pStyle w:val="4"/>
        <w:rPr>
          <w:rFonts w:ascii="宋体" w:hAnsi="宋体" w:eastAsia="宋体"/>
          <w:b w:val="0"/>
          <w:bCs w:val="0"/>
          <w:color w:val="auto"/>
          <w:spacing w:val="20"/>
          <w:sz w:val="24"/>
          <w:szCs w:val="24"/>
          <w:highlight w:val="none"/>
        </w:rPr>
      </w:pPr>
      <w:r>
        <w:rPr>
          <w:rFonts w:hint="eastAsia" w:ascii="宋体" w:hAnsi="宋体" w:eastAsia="宋体"/>
          <w:b w:val="0"/>
          <w:bCs w:val="0"/>
          <w:color w:val="auto"/>
          <w:spacing w:val="20"/>
          <w:sz w:val="24"/>
          <w:szCs w:val="24"/>
          <w:highlight w:val="none"/>
        </w:rPr>
        <w:t>年   月   日：</w:t>
      </w:r>
    </w:p>
    <w:p w14:paraId="586119B1">
      <w:pPr>
        <w:snapToGrid w:val="0"/>
        <w:spacing w:before="120" w:beforeLines="50" w:after="50"/>
        <w:rPr>
          <w:rFonts w:hint="eastAsia" w:ascii="宋体" w:hAnsi="宋体" w:cs="宋体"/>
          <w:b/>
          <w:color w:val="auto"/>
          <w:sz w:val="24"/>
          <w:highlight w:val="none"/>
          <w:lang w:eastAsia="zh-CN"/>
        </w:rPr>
      </w:pPr>
    </w:p>
    <w:p w14:paraId="623AC373">
      <w:pPr>
        <w:snapToGrid w:val="0"/>
        <w:spacing w:before="120" w:beforeLines="50" w:after="50"/>
        <w:rPr>
          <w:rFonts w:hint="eastAsia" w:ascii="宋体" w:hAnsi="宋体" w:cs="宋体"/>
          <w:b/>
          <w:color w:val="auto"/>
          <w:sz w:val="24"/>
          <w:highlight w:val="none"/>
          <w:lang w:eastAsia="zh-CN"/>
        </w:rPr>
      </w:pPr>
    </w:p>
    <w:p w14:paraId="566AB059">
      <w:pPr>
        <w:snapToGrid w:val="0"/>
        <w:spacing w:before="120" w:beforeLines="50" w:after="50"/>
        <w:rPr>
          <w:rFonts w:hint="eastAsia" w:ascii="宋体" w:hAnsi="宋体" w:cs="宋体"/>
          <w:b/>
          <w:color w:val="auto"/>
          <w:sz w:val="24"/>
          <w:highlight w:val="none"/>
          <w:lang w:eastAsia="zh-CN"/>
        </w:rPr>
      </w:pPr>
    </w:p>
    <w:p w14:paraId="3F1FCACC">
      <w:pPr>
        <w:snapToGrid w:val="0"/>
        <w:spacing w:before="120" w:beforeLines="50" w:after="50"/>
        <w:rPr>
          <w:rFonts w:hint="eastAsia" w:ascii="宋体" w:hAnsi="宋体" w:cs="宋体"/>
          <w:b/>
          <w:color w:val="auto"/>
          <w:sz w:val="24"/>
          <w:highlight w:val="none"/>
          <w:lang w:eastAsia="zh-CN"/>
        </w:rPr>
      </w:pPr>
    </w:p>
    <w:p w14:paraId="2039F2EF">
      <w:pPr>
        <w:snapToGrid w:val="0"/>
        <w:spacing w:before="120" w:beforeLines="50" w:after="50"/>
        <w:rPr>
          <w:rFonts w:hint="eastAsia" w:ascii="宋体" w:hAnsi="宋体" w:cs="宋体"/>
          <w:b/>
          <w:color w:val="auto"/>
          <w:sz w:val="24"/>
          <w:highlight w:val="none"/>
          <w:lang w:eastAsia="zh-CN"/>
        </w:rPr>
      </w:pPr>
    </w:p>
    <w:p w14:paraId="4C949042">
      <w:pPr>
        <w:snapToGrid w:val="0"/>
        <w:spacing w:before="120" w:beforeLines="50" w:after="50"/>
        <w:rPr>
          <w:rFonts w:hint="eastAsia" w:ascii="宋体" w:hAnsi="宋体" w:cs="宋体"/>
          <w:b/>
          <w:color w:val="auto"/>
          <w:sz w:val="24"/>
          <w:highlight w:val="none"/>
          <w:lang w:eastAsia="zh-CN"/>
        </w:rPr>
      </w:pPr>
    </w:p>
    <w:p w14:paraId="10D31B04">
      <w:pPr>
        <w:snapToGrid w:val="0"/>
        <w:spacing w:before="120" w:beforeLines="50" w:after="50"/>
        <w:rPr>
          <w:rFonts w:hint="eastAsia" w:ascii="宋体" w:hAnsi="宋体" w:cs="宋体"/>
          <w:b/>
          <w:color w:val="auto"/>
          <w:sz w:val="24"/>
          <w:highlight w:val="none"/>
          <w:lang w:eastAsia="zh-CN"/>
        </w:rPr>
      </w:pPr>
    </w:p>
    <w:p w14:paraId="30D3C815">
      <w:pPr>
        <w:snapToGrid w:val="0"/>
        <w:spacing w:before="120" w:beforeLines="50" w:after="50"/>
        <w:rPr>
          <w:rFonts w:hint="eastAsia" w:ascii="宋体" w:hAnsi="宋体" w:cs="宋体"/>
          <w:b/>
          <w:color w:val="auto"/>
          <w:sz w:val="24"/>
          <w:highlight w:val="none"/>
          <w:lang w:eastAsia="zh-CN"/>
        </w:rPr>
      </w:pPr>
    </w:p>
    <w:p w14:paraId="1E18B507">
      <w:pPr>
        <w:snapToGrid w:val="0"/>
        <w:spacing w:before="120" w:beforeLines="50" w:after="50"/>
        <w:rPr>
          <w:rFonts w:hint="eastAsia" w:ascii="宋体" w:hAnsi="宋体" w:cs="宋体"/>
          <w:b/>
          <w:color w:val="auto"/>
          <w:sz w:val="24"/>
          <w:highlight w:val="none"/>
          <w:lang w:eastAsia="zh-CN"/>
        </w:rPr>
      </w:pPr>
    </w:p>
    <w:p w14:paraId="4839C6E1">
      <w:pPr>
        <w:snapToGrid w:val="0"/>
        <w:spacing w:before="120" w:beforeLines="50" w:after="50"/>
        <w:rPr>
          <w:rFonts w:hint="eastAsia" w:ascii="宋体" w:hAnsi="宋体" w:cs="宋体"/>
          <w:b/>
          <w:color w:val="auto"/>
          <w:sz w:val="24"/>
          <w:highlight w:val="none"/>
          <w:lang w:eastAsia="zh-CN"/>
        </w:rPr>
      </w:pPr>
    </w:p>
    <w:p w14:paraId="75A03224">
      <w:pPr>
        <w:snapToGrid w:val="0"/>
        <w:spacing w:before="120" w:beforeLines="50" w:after="50"/>
        <w:rPr>
          <w:rFonts w:hint="eastAsia" w:ascii="宋体" w:hAnsi="宋体" w:cs="宋体"/>
          <w:b/>
          <w:color w:val="auto"/>
          <w:sz w:val="24"/>
          <w:highlight w:val="none"/>
          <w:lang w:eastAsia="zh-CN"/>
        </w:rPr>
      </w:pPr>
    </w:p>
    <w:p w14:paraId="1A4122DC">
      <w:pPr>
        <w:snapToGrid w:val="0"/>
        <w:spacing w:before="120" w:beforeLines="50" w:after="50"/>
        <w:rPr>
          <w:rFonts w:hint="eastAsia" w:ascii="宋体" w:hAnsi="宋体" w:cs="宋体"/>
          <w:b/>
          <w:color w:val="auto"/>
          <w:sz w:val="24"/>
          <w:highlight w:val="none"/>
          <w:lang w:eastAsia="zh-CN"/>
        </w:rPr>
      </w:pPr>
    </w:p>
    <w:p w14:paraId="320D383D">
      <w:pPr>
        <w:snapToGrid w:val="0"/>
        <w:spacing w:before="120" w:beforeLines="50" w:after="50"/>
        <w:rPr>
          <w:rFonts w:hint="eastAsia" w:ascii="宋体" w:hAnsi="宋体" w:cs="宋体"/>
          <w:b/>
          <w:color w:val="auto"/>
          <w:sz w:val="24"/>
          <w:highlight w:val="none"/>
          <w:lang w:eastAsia="zh-CN"/>
        </w:rPr>
      </w:pPr>
    </w:p>
    <w:p w14:paraId="7AF0AA77">
      <w:pPr>
        <w:snapToGrid w:val="0"/>
        <w:spacing w:before="120" w:beforeLines="50" w:after="50"/>
        <w:rPr>
          <w:rFonts w:hint="eastAsia" w:ascii="宋体" w:hAnsi="宋体" w:cs="宋体"/>
          <w:b/>
          <w:color w:val="auto"/>
          <w:sz w:val="24"/>
          <w:highlight w:val="none"/>
          <w:lang w:eastAsia="zh-CN"/>
        </w:rPr>
      </w:pPr>
    </w:p>
    <w:p w14:paraId="7A054D69">
      <w:pPr>
        <w:snapToGrid w:val="0"/>
        <w:spacing w:before="120" w:beforeLines="50" w:after="50"/>
        <w:rPr>
          <w:rFonts w:ascii="宋体" w:hAnsi="宋体" w:cs="宋体"/>
          <w:b/>
          <w:color w:val="auto"/>
          <w:sz w:val="24"/>
          <w:highlight w:val="none"/>
        </w:rPr>
      </w:pPr>
      <w:r>
        <w:rPr>
          <w:rFonts w:hint="eastAsia" w:ascii="宋体" w:hAnsi="宋体" w:cs="宋体"/>
          <w:b/>
          <w:color w:val="auto"/>
          <w:sz w:val="24"/>
          <w:highlight w:val="none"/>
          <w:lang w:eastAsia="zh-CN"/>
        </w:rPr>
        <w:t>附件：</w:t>
      </w:r>
      <w:r>
        <w:rPr>
          <w:rFonts w:hint="eastAsia" w:ascii="宋体" w:hAnsi="宋体" w:cs="宋体"/>
          <w:b/>
          <w:color w:val="auto"/>
          <w:sz w:val="24"/>
          <w:highlight w:val="none"/>
        </w:rPr>
        <w:t>政府采购供应商诚信承诺书：</w:t>
      </w:r>
    </w:p>
    <w:p w14:paraId="7EC6DFAF">
      <w:pPr>
        <w:widowControl/>
        <w:spacing w:before="100" w:beforeAutospacing="1" w:after="190"/>
        <w:ind w:firstLine="2789" w:firstLineChars="926"/>
        <w:rPr>
          <w:rFonts w:ascii="宋体" w:hAnsi="宋体" w:cs="宋体"/>
          <w:color w:val="auto"/>
          <w:kern w:val="0"/>
          <w:sz w:val="30"/>
          <w:szCs w:val="30"/>
          <w:highlight w:val="none"/>
        </w:rPr>
      </w:pPr>
      <w:r>
        <w:rPr>
          <w:rFonts w:hint="eastAsia" w:ascii="宋体" w:hAnsi="宋体" w:cs="宋体"/>
          <w:b/>
          <w:bCs/>
          <w:color w:val="auto"/>
          <w:kern w:val="0"/>
          <w:sz w:val="30"/>
          <w:szCs w:val="30"/>
          <w:highlight w:val="none"/>
        </w:rPr>
        <w:t>政府采购供应商诚信承诺书</w:t>
      </w:r>
    </w:p>
    <w:p w14:paraId="6F5307A4">
      <w:pPr>
        <w:widowControl/>
        <w:spacing w:before="100" w:beforeAutospacing="1" w:after="190"/>
        <w:jc w:val="left"/>
        <w:rPr>
          <w:rFonts w:ascii="宋体" w:hAnsi="宋体" w:cs="宋体"/>
          <w:b/>
          <w:color w:val="auto"/>
          <w:kern w:val="0"/>
          <w:sz w:val="24"/>
          <w:highlight w:val="none"/>
          <w:u w:val="single"/>
        </w:rPr>
      </w:pPr>
      <w:r>
        <w:rPr>
          <w:rFonts w:hint="eastAsia" w:ascii="宋体" w:hAnsi="宋体" w:cs="宋体"/>
          <w:b/>
          <w:color w:val="auto"/>
          <w:kern w:val="0"/>
          <w:sz w:val="24"/>
          <w:highlight w:val="none"/>
          <w:u w:val="single"/>
          <w:lang w:eastAsia="zh-CN"/>
        </w:rPr>
        <w:t>泰宇建筑工程技术咨询有限公司</w:t>
      </w:r>
      <w:r>
        <w:rPr>
          <w:rFonts w:hint="eastAsia" w:ascii="宋体" w:hAnsi="宋体" w:cs="宋体"/>
          <w:b/>
          <w:color w:val="auto"/>
          <w:kern w:val="0"/>
          <w:sz w:val="24"/>
          <w:highlight w:val="none"/>
          <w:u w:val="single"/>
        </w:rPr>
        <w:t>：</w:t>
      </w:r>
    </w:p>
    <w:p w14:paraId="6F3C7B9C">
      <w:pPr>
        <w:spacing w:line="3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我公司自愿参与贵单位组织的</w:t>
      </w:r>
      <w:r>
        <w:rPr>
          <w:rFonts w:hint="eastAsia" w:ascii="宋体" w:hAnsi="宋体" w:cs="宋体"/>
          <w:b/>
          <w:color w:val="auto"/>
          <w:kern w:val="0"/>
          <w:sz w:val="24"/>
          <w:highlight w:val="none"/>
          <w:u w:val="single"/>
        </w:rPr>
        <w:t xml:space="preserve">                   项目（招标编号：     ）</w:t>
      </w:r>
      <w:r>
        <w:rPr>
          <w:rFonts w:hint="eastAsia" w:ascii="宋体" w:hAnsi="宋体" w:cs="宋体"/>
          <w:color w:val="auto"/>
          <w:kern w:val="0"/>
          <w:sz w:val="24"/>
          <w:highlight w:val="none"/>
        </w:rPr>
        <w:t>采购活动，严格遵守《中华人民共和国</w:t>
      </w:r>
      <w:r>
        <w:rPr>
          <w:rFonts w:hint="eastAsia" w:ascii="宋体" w:hAnsi="宋体" w:cs="宋体"/>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725D2B78">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（一）提供虚假材料谋取中标的；</w:t>
      </w:r>
    </w:p>
    <w:p w14:paraId="6CC4E25D">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（二）采取不正当手段诋毁、排挤</w:t>
      </w:r>
      <w:r>
        <w:rPr>
          <w:color w:val="auto"/>
          <w:highlight w:val="none"/>
        </w:rPr>
        <w:fldChar w:fldCharType="begin"/>
      </w:r>
      <w:r>
        <w:rPr>
          <w:color w:val="auto"/>
          <w:highlight w:val="none"/>
        </w:rPr>
        <w:instrText xml:space="preserve"> HYPERLINK "http://www.oh100.com/qita/" \t "_blank" </w:instrText>
      </w:r>
      <w:r>
        <w:rPr>
          <w:color w:val="auto"/>
          <w:highlight w:val="none"/>
        </w:rPr>
        <w:fldChar w:fldCharType="separate"/>
      </w:r>
      <w:r>
        <w:rPr>
          <w:rStyle w:val="52"/>
          <w:rFonts w:hint="eastAsia" w:ascii="宋体" w:hAnsi="宋体" w:cs="宋体"/>
          <w:color w:val="auto"/>
          <w:sz w:val="24"/>
          <w:highlight w:val="none"/>
        </w:rPr>
        <w:t>其他</w:t>
      </w:r>
      <w:r>
        <w:rPr>
          <w:rStyle w:val="52"/>
          <w:rFonts w:hint="eastAsia" w:ascii="宋体" w:hAnsi="宋体" w:cs="宋体"/>
          <w:color w:val="auto"/>
          <w:sz w:val="24"/>
          <w:highlight w:val="none"/>
        </w:rPr>
        <w:fldChar w:fldCharType="end"/>
      </w:r>
      <w:r>
        <w:rPr>
          <w:rFonts w:hint="eastAsia" w:ascii="宋体" w:hAnsi="宋体" w:cs="宋体"/>
          <w:color w:val="auto"/>
          <w:sz w:val="24"/>
          <w:highlight w:val="none"/>
        </w:rPr>
        <w:t>供应商的；</w:t>
      </w:r>
    </w:p>
    <w:p w14:paraId="3C43D970">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（三）与招标采购单位、其他投标人恶意串通的；</w:t>
      </w:r>
    </w:p>
    <w:p w14:paraId="656AEA84">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（四）向招标采购单位行贿或提供其他不正当利益的；</w:t>
      </w:r>
    </w:p>
    <w:p w14:paraId="373A4A75">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（五）在招标过程中与招标采购单位进行协商谈判、不按照招标文件和投标文件订立合同，或者与采购人另立背离合同实质性内容协议的；</w:t>
      </w:r>
    </w:p>
    <w:p w14:paraId="33ED71C9">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（六）开标后擅自撤销投标，影响招标继续进行的或领取招标文件后不投标导致废标的；</w:t>
      </w:r>
    </w:p>
    <w:p w14:paraId="1CADEF12">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（七）中标后无正当理由，在规定时间内不与采购单位签订合同的；</w:t>
      </w:r>
    </w:p>
    <w:p w14:paraId="604E31B0">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（八）将中标项目转让给他人或非法分包他人的；</w:t>
      </w:r>
    </w:p>
    <w:p w14:paraId="7D4FE17C">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（九）无正当理由，拒绝履行合同义务的；</w:t>
      </w:r>
    </w:p>
    <w:p w14:paraId="575ACB5E">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（十）无正当理由放弃中标（成交）项目的；</w:t>
      </w:r>
    </w:p>
    <w:p w14:paraId="5D2DB8C7">
      <w:pPr>
        <w:spacing w:line="3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6DBA0C8A">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（十二）与采购人串通，对尚未履约完毕的采购项目出具虚假验收报告的；</w:t>
      </w:r>
    </w:p>
    <w:p w14:paraId="708E961A">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（十三）无不可抗力因素，拒绝提供售后服务、售后服务态度恶劣、故意提高维修配件价格（高于市场平均价）的；</w:t>
      </w:r>
    </w:p>
    <w:p w14:paraId="609A7189">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（十四）开标后对招标文件的相关内容再进行质疑的；</w:t>
      </w:r>
    </w:p>
    <w:p w14:paraId="285FADCD">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（十五）恶意投诉的行为：投诉经查无实据的、捏造事实或者提供虚假投诉材料的；</w:t>
      </w:r>
    </w:p>
    <w:p w14:paraId="1A9FE29C">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（十六）拒绝有关部门监督检查或者提供虚假情况的；</w:t>
      </w:r>
    </w:p>
    <w:p w14:paraId="13BCBD8B">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（十七）财政、监察部门认定的其他不诚信行为。</w:t>
      </w:r>
    </w:p>
    <w:p w14:paraId="02B767E1">
      <w:pPr>
        <w:spacing w:line="3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（十八）招标文件规定的其他不诚信行为。</w:t>
      </w:r>
    </w:p>
    <w:p w14:paraId="4C4EBE12">
      <w:pPr>
        <w:spacing w:line="340" w:lineRule="exact"/>
        <w:ind w:firstLine="5760" w:firstLineChars="2400"/>
        <w:rPr>
          <w:rFonts w:ascii="宋体" w:hAnsi="宋体" w:cs="宋体"/>
          <w:color w:val="auto"/>
          <w:sz w:val="24"/>
          <w:highlight w:val="none"/>
        </w:rPr>
      </w:pPr>
    </w:p>
    <w:p w14:paraId="7DCFBD97">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14:paraId="6F963115">
      <w:pPr>
        <w:snapToGrid w:val="0"/>
        <w:spacing w:line="360" w:lineRule="auto"/>
        <w:jc w:val="left"/>
        <w:rPr>
          <w:rFonts w:ascii="宋体" w:hAnsi="宋体"/>
          <w:color w:val="auto"/>
          <w:spacing w:val="20"/>
          <w:sz w:val="24"/>
          <w:highlight w:val="none"/>
        </w:rPr>
      </w:pPr>
      <w:r>
        <w:rPr>
          <w:rFonts w:hint="eastAsia" w:ascii="宋体" w:hAnsi="宋体" w:eastAsia="宋体"/>
          <w:b w:val="0"/>
          <w:bCs w:val="0"/>
          <w:color w:val="auto"/>
          <w:spacing w:val="20"/>
          <w:sz w:val="24"/>
          <w:szCs w:val="24"/>
          <w:highlight w:val="none"/>
        </w:rPr>
        <w:t>年   月   日</w:t>
      </w:r>
    </w:p>
    <w:p w14:paraId="35090628">
      <w:pPr>
        <w:snapToGrid w:val="0"/>
        <w:spacing w:before="50" w:after="120" w:afterLines="50" w:line="360" w:lineRule="auto"/>
        <w:jc w:val="left"/>
        <w:rPr>
          <w:rFonts w:hint="eastAsia" w:ascii="宋体" w:hAnsi="宋体"/>
          <w:b/>
          <w:color w:val="auto"/>
          <w:sz w:val="24"/>
          <w:highlight w:val="none"/>
        </w:rPr>
      </w:pPr>
    </w:p>
    <w:p w14:paraId="0D076BA7">
      <w:pPr>
        <w:snapToGrid w:val="0"/>
        <w:spacing w:before="50" w:after="120" w:afterLines="50" w:line="360" w:lineRule="auto"/>
        <w:jc w:val="left"/>
        <w:rPr>
          <w:rFonts w:hint="eastAsia" w:ascii="宋体" w:hAnsi="宋体"/>
          <w:b/>
          <w:color w:val="auto"/>
          <w:sz w:val="24"/>
          <w:highlight w:val="none"/>
        </w:rPr>
      </w:pPr>
    </w:p>
    <w:p w14:paraId="4A45AA47">
      <w:pPr>
        <w:snapToGrid w:val="0"/>
        <w:spacing w:before="50" w:after="120" w:afterLines="50" w:line="360" w:lineRule="auto"/>
        <w:jc w:val="left"/>
        <w:rPr>
          <w:rFonts w:hint="eastAsia" w:ascii="宋体" w:hAnsi="宋体"/>
          <w:b/>
          <w:color w:val="auto"/>
          <w:sz w:val="24"/>
          <w:highlight w:val="none"/>
        </w:rPr>
      </w:pPr>
    </w:p>
    <w:p w14:paraId="091E6703">
      <w:pPr>
        <w:pStyle w:val="4"/>
        <w:rPr>
          <w:rFonts w:ascii="宋体" w:hAnsi="宋体" w:eastAsia="宋体"/>
          <w:color w:val="auto"/>
          <w:sz w:val="24"/>
          <w:szCs w:val="24"/>
        </w:rPr>
      </w:pPr>
      <w:r>
        <w:rPr>
          <w:rFonts w:hint="eastAsia" w:ascii="宋体" w:hAnsi="宋体"/>
          <w:color w:val="auto"/>
          <w:sz w:val="24"/>
          <w:szCs w:val="24"/>
          <w:lang w:eastAsia="zh-CN"/>
        </w:rPr>
        <w:t>附件：</w:t>
      </w:r>
      <w:r>
        <w:rPr>
          <w:rFonts w:hint="eastAsia" w:ascii="宋体" w:hAnsi="宋体" w:eastAsia="宋体"/>
          <w:color w:val="auto"/>
          <w:sz w:val="24"/>
          <w:szCs w:val="24"/>
        </w:rPr>
        <w:t>无重大违法记录声明书:</w:t>
      </w:r>
    </w:p>
    <w:p w14:paraId="4F340118">
      <w:pPr>
        <w:pStyle w:val="13"/>
        <w:spacing w:line="360" w:lineRule="auto"/>
        <w:ind w:firstLine="0"/>
        <w:jc w:val="center"/>
        <w:rPr>
          <w:rFonts w:ascii="宋体" w:hAnsi="宋体" w:eastAsia="宋体"/>
          <w:b/>
          <w:color w:val="auto"/>
          <w:sz w:val="32"/>
          <w:szCs w:val="32"/>
        </w:rPr>
      </w:pPr>
      <w:r>
        <w:rPr>
          <w:rFonts w:hint="eastAsia" w:ascii="宋体" w:hAnsi="宋体" w:eastAsia="宋体"/>
          <w:b/>
          <w:color w:val="auto"/>
          <w:sz w:val="32"/>
          <w:szCs w:val="32"/>
        </w:rPr>
        <w:t>无重大违法记录声明书</w:t>
      </w:r>
    </w:p>
    <w:p w14:paraId="3CEE4A4C">
      <w:pPr>
        <w:pStyle w:val="270"/>
        <w:spacing w:line="360" w:lineRule="auto"/>
        <w:rPr>
          <w:rFonts w:ascii="宋体" w:hAnsi="宋体" w:eastAsia="宋体"/>
          <w:color w:val="auto"/>
          <w:spacing w:val="6"/>
          <w:sz w:val="24"/>
        </w:rPr>
      </w:pPr>
      <w:r>
        <w:rPr>
          <w:rFonts w:hint="eastAsia" w:ascii="宋体" w:hAnsi="宋体" w:eastAsia="宋体"/>
          <w:color w:val="auto"/>
          <w:sz w:val="24"/>
          <w:u w:val="single"/>
        </w:rPr>
        <w:t>（采购人名称）</w:t>
      </w:r>
      <w:r>
        <w:rPr>
          <w:rFonts w:hint="eastAsia" w:ascii="宋体" w:hAnsi="宋体" w:eastAsia="宋体"/>
          <w:color w:val="auto"/>
          <w:spacing w:val="6"/>
          <w:sz w:val="24"/>
        </w:rPr>
        <w:t>：</w:t>
      </w:r>
    </w:p>
    <w:p w14:paraId="28F2894D">
      <w:pPr>
        <w:pStyle w:val="270"/>
        <w:spacing w:line="360" w:lineRule="auto"/>
        <w:ind w:firstLine="504" w:firstLineChars="200"/>
        <w:rPr>
          <w:rFonts w:ascii="宋体" w:hAnsi="宋体" w:eastAsia="宋体"/>
          <w:color w:val="auto"/>
          <w:spacing w:val="6"/>
          <w:sz w:val="24"/>
        </w:rPr>
      </w:pPr>
      <w:r>
        <w:rPr>
          <w:rFonts w:hint="eastAsia" w:ascii="宋体" w:hAnsi="宋体" w:eastAsia="宋体"/>
          <w:color w:val="auto"/>
          <w:spacing w:val="6"/>
          <w:sz w:val="24"/>
        </w:rPr>
        <w:t xml:space="preserve"> 我方参与的</w:t>
      </w:r>
      <w:r>
        <w:rPr>
          <w:rFonts w:hint="eastAsia" w:ascii="宋体" w:hAnsi="宋体" w:eastAsia="宋体"/>
          <w:color w:val="auto"/>
          <w:spacing w:val="6"/>
          <w:sz w:val="24"/>
          <w:u w:val="single"/>
        </w:rPr>
        <w:t xml:space="preserve">     （项目名称）（项目编号）（标项）    </w:t>
      </w:r>
      <w:r>
        <w:rPr>
          <w:rFonts w:hint="eastAsia" w:ascii="宋体" w:hAnsi="宋体" w:eastAsia="宋体"/>
          <w:color w:val="auto"/>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5D275174">
      <w:pPr>
        <w:keepNext/>
        <w:keepLines/>
        <w:spacing w:before="260" w:after="260" w:line="416" w:lineRule="auto"/>
        <w:outlineLvl w:val="1"/>
        <w:rPr>
          <w:rFonts w:hint="eastAsia" w:ascii="宋体" w:hAnsi="宋体" w:eastAsia="宋体"/>
          <w:color w:val="auto"/>
          <w:spacing w:val="6"/>
          <w:sz w:val="24"/>
        </w:rPr>
      </w:pPr>
      <w:r>
        <w:rPr>
          <w:rFonts w:hint="eastAsia" w:ascii="宋体" w:hAnsi="宋体" w:eastAsia="宋体"/>
          <w:color w:val="auto"/>
          <w:spacing w:val="6"/>
          <w:sz w:val="24"/>
        </w:rPr>
        <w:tab/>
      </w:r>
      <w:r>
        <w:rPr>
          <w:rFonts w:hint="eastAsia" w:ascii="宋体" w:hAnsi="宋体" w:eastAsia="宋体"/>
          <w:color w:val="auto"/>
          <w:spacing w:val="6"/>
          <w:sz w:val="24"/>
        </w:rPr>
        <w:t>特此声明。</w:t>
      </w:r>
    </w:p>
    <w:p w14:paraId="3DE83785">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14:paraId="3158EB98">
      <w:pPr>
        <w:snapToGrid w:val="0"/>
        <w:spacing w:line="360" w:lineRule="auto"/>
        <w:jc w:val="left"/>
        <w:rPr>
          <w:rFonts w:ascii="宋体" w:hAnsi="宋体"/>
          <w:color w:val="auto"/>
          <w:spacing w:val="20"/>
          <w:sz w:val="24"/>
          <w:highlight w:val="none"/>
        </w:rPr>
      </w:pPr>
      <w:r>
        <w:rPr>
          <w:rFonts w:hint="eastAsia" w:ascii="宋体" w:hAnsi="宋体" w:eastAsia="宋体"/>
          <w:b w:val="0"/>
          <w:bCs w:val="0"/>
          <w:color w:val="auto"/>
          <w:spacing w:val="20"/>
          <w:sz w:val="24"/>
          <w:szCs w:val="24"/>
          <w:highlight w:val="none"/>
        </w:rPr>
        <w:t>年   月   日</w:t>
      </w:r>
    </w:p>
    <w:p w14:paraId="00BDE6CD">
      <w:pPr>
        <w:pStyle w:val="42"/>
      </w:pPr>
    </w:p>
    <w:p w14:paraId="7A8AC44F">
      <w:pPr>
        <w:snapToGrid w:val="0"/>
        <w:spacing w:before="50" w:after="120" w:afterLines="50" w:line="360" w:lineRule="auto"/>
        <w:jc w:val="left"/>
        <w:rPr>
          <w:rFonts w:hint="eastAsia" w:ascii="宋体" w:hAnsi="宋体"/>
          <w:b/>
          <w:color w:val="auto"/>
          <w:sz w:val="24"/>
          <w:highlight w:val="none"/>
        </w:rPr>
      </w:pPr>
    </w:p>
    <w:p w14:paraId="64ACA1E0">
      <w:pPr>
        <w:snapToGrid w:val="0"/>
        <w:spacing w:before="50" w:after="120" w:afterLines="50" w:line="360" w:lineRule="auto"/>
        <w:jc w:val="left"/>
        <w:rPr>
          <w:rFonts w:hint="eastAsia" w:ascii="宋体" w:hAnsi="宋体"/>
          <w:b/>
          <w:color w:val="auto"/>
          <w:sz w:val="24"/>
          <w:highlight w:val="none"/>
        </w:rPr>
      </w:pPr>
    </w:p>
    <w:p w14:paraId="588F9EC6">
      <w:pPr>
        <w:rPr>
          <w:rFonts w:hint="eastAsia" w:ascii="宋体" w:hAnsi="宋体" w:cs="宋体"/>
          <w:b/>
          <w:color w:val="auto"/>
          <w:sz w:val="24"/>
          <w:highlight w:val="none"/>
          <w:lang w:eastAsia="zh-CN"/>
        </w:rPr>
      </w:pPr>
    </w:p>
    <w:p w14:paraId="3FE8AD91">
      <w:pPr>
        <w:rPr>
          <w:rFonts w:hint="eastAsia" w:ascii="宋体" w:hAnsi="宋体" w:cs="宋体"/>
          <w:b/>
          <w:color w:val="auto"/>
          <w:sz w:val="24"/>
          <w:highlight w:val="none"/>
          <w:lang w:eastAsia="zh-CN"/>
        </w:rPr>
      </w:pPr>
    </w:p>
    <w:p w14:paraId="25C99B5C">
      <w:pPr>
        <w:rPr>
          <w:rFonts w:hint="eastAsia" w:ascii="宋体" w:hAnsi="宋体" w:cs="宋体"/>
          <w:b/>
          <w:color w:val="auto"/>
          <w:sz w:val="24"/>
          <w:highlight w:val="none"/>
          <w:lang w:eastAsia="zh-CN"/>
        </w:rPr>
      </w:pPr>
    </w:p>
    <w:p w14:paraId="5F4DF240">
      <w:pPr>
        <w:rPr>
          <w:rFonts w:hint="eastAsia" w:ascii="宋体" w:hAnsi="宋体" w:cs="宋体"/>
          <w:b/>
          <w:color w:val="auto"/>
          <w:sz w:val="24"/>
          <w:highlight w:val="none"/>
          <w:lang w:eastAsia="zh-CN"/>
        </w:rPr>
      </w:pPr>
    </w:p>
    <w:p w14:paraId="0FEAD66C">
      <w:pPr>
        <w:rPr>
          <w:rFonts w:hint="eastAsia" w:ascii="宋体" w:hAnsi="宋体" w:cs="宋体"/>
          <w:b/>
          <w:color w:val="auto"/>
          <w:sz w:val="24"/>
          <w:highlight w:val="none"/>
          <w:lang w:eastAsia="zh-CN"/>
        </w:rPr>
      </w:pPr>
    </w:p>
    <w:p w14:paraId="7F586424">
      <w:pPr>
        <w:rPr>
          <w:rFonts w:hint="eastAsia" w:ascii="宋体" w:hAnsi="宋体" w:cs="宋体"/>
          <w:b/>
          <w:color w:val="auto"/>
          <w:sz w:val="24"/>
          <w:highlight w:val="none"/>
          <w:lang w:eastAsia="zh-CN"/>
        </w:rPr>
      </w:pPr>
    </w:p>
    <w:p w14:paraId="2EEADCC2">
      <w:pPr>
        <w:rPr>
          <w:rFonts w:hint="eastAsia" w:ascii="宋体" w:hAnsi="宋体" w:cs="宋体"/>
          <w:b/>
          <w:color w:val="auto"/>
          <w:sz w:val="24"/>
          <w:highlight w:val="none"/>
          <w:lang w:eastAsia="zh-CN"/>
        </w:rPr>
      </w:pPr>
    </w:p>
    <w:p w14:paraId="0DE9BE34">
      <w:pPr>
        <w:rPr>
          <w:rFonts w:hint="eastAsia" w:ascii="宋体" w:hAnsi="宋体" w:cs="宋体"/>
          <w:b/>
          <w:color w:val="auto"/>
          <w:sz w:val="24"/>
          <w:highlight w:val="none"/>
          <w:lang w:eastAsia="zh-CN"/>
        </w:rPr>
      </w:pPr>
    </w:p>
    <w:p w14:paraId="4FEE724A">
      <w:pPr>
        <w:rPr>
          <w:rFonts w:hint="eastAsia" w:ascii="宋体" w:hAnsi="宋体" w:cs="宋体"/>
          <w:b/>
          <w:color w:val="auto"/>
          <w:sz w:val="24"/>
          <w:highlight w:val="none"/>
          <w:lang w:eastAsia="zh-CN"/>
        </w:rPr>
      </w:pPr>
    </w:p>
    <w:p w14:paraId="380CCC39">
      <w:pPr>
        <w:rPr>
          <w:rFonts w:hint="eastAsia" w:ascii="宋体" w:hAnsi="宋体" w:cs="宋体"/>
          <w:b/>
          <w:color w:val="auto"/>
          <w:sz w:val="24"/>
          <w:highlight w:val="none"/>
          <w:lang w:eastAsia="zh-CN"/>
        </w:rPr>
      </w:pPr>
    </w:p>
    <w:p w14:paraId="487A9668">
      <w:pPr>
        <w:rPr>
          <w:rFonts w:hint="eastAsia" w:ascii="宋体" w:hAnsi="宋体" w:cs="宋体"/>
          <w:b/>
          <w:color w:val="auto"/>
          <w:sz w:val="24"/>
          <w:highlight w:val="none"/>
          <w:lang w:eastAsia="zh-CN"/>
        </w:rPr>
      </w:pPr>
    </w:p>
    <w:p w14:paraId="30228F32">
      <w:pPr>
        <w:rPr>
          <w:rFonts w:hint="eastAsia" w:ascii="宋体" w:hAnsi="宋体" w:cs="宋体"/>
          <w:b/>
          <w:color w:val="auto"/>
          <w:sz w:val="24"/>
          <w:highlight w:val="none"/>
          <w:lang w:eastAsia="zh-CN"/>
        </w:rPr>
      </w:pPr>
    </w:p>
    <w:p w14:paraId="73852798">
      <w:pPr>
        <w:rPr>
          <w:rFonts w:hint="eastAsia" w:ascii="宋体" w:hAnsi="宋体" w:cs="宋体"/>
          <w:b/>
          <w:color w:val="auto"/>
          <w:sz w:val="24"/>
          <w:highlight w:val="none"/>
          <w:lang w:eastAsia="zh-CN"/>
        </w:rPr>
      </w:pPr>
    </w:p>
    <w:p w14:paraId="285AB514">
      <w:pPr>
        <w:rPr>
          <w:rFonts w:hint="eastAsia" w:ascii="宋体" w:hAnsi="宋体" w:cs="宋体"/>
          <w:b/>
          <w:color w:val="auto"/>
          <w:sz w:val="24"/>
          <w:highlight w:val="none"/>
          <w:lang w:eastAsia="zh-CN"/>
        </w:rPr>
      </w:pPr>
    </w:p>
    <w:p w14:paraId="5610B869">
      <w:pPr>
        <w:rPr>
          <w:rFonts w:hint="eastAsia" w:ascii="宋体" w:hAnsi="宋体" w:cs="宋体"/>
          <w:b/>
          <w:color w:val="auto"/>
          <w:sz w:val="24"/>
          <w:highlight w:val="none"/>
          <w:lang w:eastAsia="zh-CN"/>
        </w:rPr>
      </w:pPr>
    </w:p>
    <w:p w14:paraId="08571F5E">
      <w:pPr>
        <w:pStyle w:val="42"/>
        <w:rPr>
          <w:rFonts w:hint="eastAsia"/>
          <w:lang w:eastAsia="zh-CN"/>
        </w:rPr>
      </w:pPr>
    </w:p>
    <w:p w14:paraId="3EEE6982">
      <w:pPr>
        <w:rPr>
          <w:rFonts w:hint="eastAsia" w:ascii="宋体" w:hAnsi="宋体" w:cs="宋体"/>
          <w:b/>
          <w:color w:val="auto"/>
          <w:sz w:val="24"/>
          <w:highlight w:val="none"/>
          <w:lang w:eastAsia="zh-CN"/>
        </w:rPr>
      </w:pPr>
    </w:p>
    <w:p w14:paraId="3ED9A89F">
      <w:pPr>
        <w:rPr>
          <w:rFonts w:hint="eastAsia" w:ascii="宋体" w:hAnsi="宋体" w:cs="宋体"/>
          <w:b/>
          <w:color w:val="auto"/>
          <w:sz w:val="24"/>
          <w:highlight w:val="none"/>
          <w:lang w:eastAsia="zh-CN"/>
        </w:rPr>
      </w:pPr>
    </w:p>
    <w:p w14:paraId="426CE06B">
      <w:pPr>
        <w:rPr>
          <w:rFonts w:hint="eastAsia" w:ascii="宋体" w:hAnsi="宋体" w:cs="宋体"/>
          <w:b/>
          <w:color w:val="auto"/>
          <w:sz w:val="24"/>
          <w:highlight w:val="none"/>
          <w:lang w:eastAsia="zh-CN"/>
        </w:rPr>
      </w:pPr>
    </w:p>
    <w:p w14:paraId="1376299C">
      <w:pPr>
        <w:rPr>
          <w:rFonts w:ascii="宋体" w:hAnsi="宋体" w:cs="宋体"/>
          <w:b/>
          <w:color w:val="auto"/>
          <w:sz w:val="30"/>
          <w:szCs w:val="30"/>
          <w:highlight w:val="none"/>
        </w:rPr>
      </w:pPr>
      <w:r>
        <w:rPr>
          <w:rFonts w:hint="eastAsia" w:ascii="宋体" w:hAnsi="宋体" w:cs="宋体"/>
          <w:b/>
          <w:color w:val="auto"/>
          <w:sz w:val="24"/>
          <w:highlight w:val="none"/>
          <w:lang w:eastAsia="zh-CN"/>
        </w:rPr>
        <w:t>附件：中标服务费</w:t>
      </w:r>
      <w:r>
        <w:rPr>
          <w:rFonts w:hint="eastAsia" w:ascii="宋体" w:hAnsi="宋体" w:cs="宋体"/>
          <w:b/>
          <w:color w:val="auto"/>
          <w:sz w:val="24"/>
          <w:highlight w:val="none"/>
        </w:rPr>
        <w:t>承诺书：</w:t>
      </w:r>
    </w:p>
    <w:p w14:paraId="09EECF18">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中标服务承诺书</w:t>
      </w:r>
    </w:p>
    <w:p w14:paraId="4485892A">
      <w:pPr>
        <w:widowControl/>
        <w:spacing w:line="360" w:lineRule="auto"/>
        <w:jc w:val="left"/>
        <w:rPr>
          <w:rFonts w:ascii="宋体" w:hAnsi="宋体" w:cs="宋体"/>
          <w:b/>
          <w:color w:val="auto"/>
          <w:sz w:val="28"/>
          <w:szCs w:val="28"/>
          <w:highlight w:val="none"/>
        </w:rPr>
      </w:pPr>
    </w:p>
    <w:p w14:paraId="2DE43C37">
      <w:pPr>
        <w:widowControl/>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u w:val="single"/>
        </w:rPr>
        <w:t>致：</w:t>
      </w:r>
      <w:r>
        <w:rPr>
          <w:rFonts w:hint="eastAsia" w:ascii="宋体" w:hAnsi="宋体" w:cs="宋体"/>
          <w:color w:val="auto"/>
          <w:kern w:val="0"/>
          <w:sz w:val="24"/>
          <w:highlight w:val="none"/>
          <w:u w:val="single"/>
          <w:lang w:eastAsia="zh-CN"/>
        </w:rPr>
        <w:t>泰宇建筑工程技术咨询有限公司</w:t>
      </w:r>
    </w:p>
    <w:p w14:paraId="0EC6CDC2">
      <w:pPr>
        <w:widowControl/>
        <w:spacing w:line="360" w:lineRule="auto"/>
        <w:ind w:firstLine="600" w:firstLineChars="250"/>
        <w:jc w:val="left"/>
        <w:rPr>
          <w:rFonts w:ascii="宋体" w:hAnsi="宋体" w:cs="宋体"/>
          <w:color w:val="auto"/>
          <w:kern w:val="0"/>
          <w:sz w:val="24"/>
          <w:highlight w:val="none"/>
        </w:rPr>
      </w:pPr>
    </w:p>
    <w:p w14:paraId="3BEE27C1">
      <w:pPr>
        <w:widowControl/>
        <w:spacing w:line="360" w:lineRule="auto"/>
        <w:ind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若我公司中标时，愿按招标文件规定的收费标准向</w:t>
      </w:r>
      <w:r>
        <w:rPr>
          <w:rFonts w:hint="eastAsia" w:ascii="宋体" w:hAnsi="宋体" w:cs="宋体"/>
          <w:color w:val="auto"/>
          <w:kern w:val="0"/>
          <w:sz w:val="24"/>
          <w:highlight w:val="none"/>
          <w:lang w:eastAsia="zh-CN"/>
        </w:rPr>
        <w:t>泰宇建筑工程技术咨询有限公司</w:t>
      </w:r>
      <w:r>
        <w:rPr>
          <w:rFonts w:hint="eastAsia" w:ascii="宋体" w:hAnsi="宋体" w:cs="宋体"/>
          <w:color w:val="auto"/>
          <w:kern w:val="0"/>
          <w:sz w:val="24"/>
          <w:highlight w:val="none"/>
        </w:rPr>
        <w:t>支付中标服务费。</w:t>
      </w:r>
    </w:p>
    <w:p w14:paraId="5EAA20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我方如未在规定时间交纳时，愿意凭贵方开出的违约通知，由采购人在本次招标项目的服务款中200%直接扣缴。</w:t>
      </w:r>
    </w:p>
    <w:p w14:paraId="12623D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53D85977">
      <w:pPr>
        <w:spacing w:line="360" w:lineRule="auto"/>
        <w:rPr>
          <w:rFonts w:ascii="宋体" w:hAnsi="宋体" w:cs="宋体"/>
          <w:color w:val="auto"/>
          <w:sz w:val="24"/>
          <w:highlight w:val="none"/>
        </w:rPr>
      </w:pPr>
    </w:p>
    <w:p w14:paraId="4073067D">
      <w:pPr>
        <w:spacing w:line="360" w:lineRule="auto"/>
        <w:rPr>
          <w:rFonts w:ascii="宋体" w:hAnsi="宋体" w:cs="宋体"/>
          <w:color w:val="auto"/>
          <w:sz w:val="24"/>
          <w:highlight w:val="none"/>
        </w:rPr>
      </w:pPr>
    </w:p>
    <w:p w14:paraId="651DF55E">
      <w:pPr>
        <w:spacing w:line="360" w:lineRule="auto"/>
        <w:rPr>
          <w:rFonts w:ascii="宋体" w:hAnsi="宋体" w:cs="宋体"/>
          <w:color w:val="auto"/>
          <w:sz w:val="24"/>
          <w:highlight w:val="none"/>
        </w:rPr>
      </w:pPr>
    </w:p>
    <w:p w14:paraId="72C45947">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14:paraId="2BFBB7A5">
      <w:pPr>
        <w:snapToGrid w:val="0"/>
        <w:spacing w:line="360" w:lineRule="auto"/>
        <w:jc w:val="left"/>
        <w:rPr>
          <w:rFonts w:ascii="宋体" w:hAnsi="宋体"/>
          <w:color w:val="auto"/>
          <w:spacing w:val="20"/>
          <w:sz w:val="24"/>
          <w:highlight w:val="none"/>
        </w:rPr>
      </w:pPr>
      <w:r>
        <w:rPr>
          <w:rFonts w:hint="eastAsia" w:ascii="宋体" w:hAnsi="宋体" w:eastAsia="宋体"/>
          <w:b w:val="0"/>
          <w:bCs w:val="0"/>
          <w:color w:val="auto"/>
          <w:spacing w:val="20"/>
          <w:sz w:val="24"/>
          <w:szCs w:val="24"/>
          <w:highlight w:val="none"/>
        </w:rPr>
        <w:t>年   月   日</w:t>
      </w:r>
    </w:p>
    <w:p w14:paraId="268B78A9">
      <w:pPr>
        <w:snapToGrid w:val="0"/>
        <w:spacing w:before="50" w:after="120" w:afterLines="50" w:line="360" w:lineRule="auto"/>
        <w:jc w:val="left"/>
        <w:rPr>
          <w:rFonts w:hint="eastAsia" w:ascii="宋体" w:hAnsi="宋体"/>
          <w:b/>
          <w:color w:val="auto"/>
          <w:sz w:val="24"/>
          <w:highlight w:val="none"/>
        </w:rPr>
      </w:pPr>
    </w:p>
    <w:p w14:paraId="0D34BF81">
      <w:pPr>
        <w:snapToGrid w:val="0"/>
        <w:spacing w:before="50" w:after="120" w:afterLines="50" w:line="360" w:lineRule="auto"/>
        <w:jc w:val="left"/>
        <w:rPr>
          <w:rFonts w:hint="eastAsia" w:ascii="宋体" w:hAnsi="宋体"/>
          <w:b/>
          <w:color w:val="auto"/>
          <w:sz w:val="24"/>
          <w:highlight w:val="none"/>
        </w:rPr>
      </w:pPr>
    </w:p>
    <w:p w14:paraId="113FA324">
      <w:pPr>
        <w:snapToGrid w:val="0"/>
        <w:spacing w:before="50" w:after="120" w:afterLines="50" w:line="360" w:lineRule="auto"/>
        <w:jc w:val="left"/>
        <w:rPr>
          <w:rFonts w:hint="eastAsia" w:ascii="宋体" w:hAnsi="宋体"/>
          <w:b/>
          <w:color w:val="auto"/>
          <w:sz w:val="24"/>
          <w:highlight w:val="none"/>
        </w:rPr>
      </w:pPr>
    </w:p>
    <w:p w14:paraId="3FE88B01">
      <w:pPr>
        <w:snapToGrid w:val="0"/>
        <w:spacing w:before="50" w:after="120" w:afterLines="50" w:line="360" w:lineRule="auto"/>
        <w:jc w:val="left"/>
        <w:rPr>
          <w:rFonts w:hint="eastAsia" w:ascii="宋体" w:hAnsi="宋体"/>
          <w:b/>
          <w:color w:val="auto"/>
          <w:sz w:val="24"/>
          <w:highlight w:val="none"/>
        </w:rPr>
      </w:pPr>
    </w:p>
    <w:p w14:paraId="2E97F523">
      <w:pPr>
        <w:snapToGrid w:val="0"/>
        <w:spacing w:before="50" w:after="120" w:afterLines="50" w:line="360" w:lineRule="auto"/>
        <w:jc w:val="left"/>
        <w:rPr>
          <w:rFonts w:hint="eastAsia" w:ascii="宋体" w:hAnsi="宋体"/>
          <w:b/>
          <w:color w:val="auto"/>
          <w:sz w:val="24"/>
          <w:highlight w:val="none"/>
        </w:rPr>
      </w:pPr>
    </w:p>
    <w:p w14:paraId="6431862D">
      <w:pPr>
        <w:snapToGrid w:val="0"/>
        <w:spacing w:before="50" w:after="120" w:afterLines="50" w:line="360" w:lineRule="auto"/>
        <w:jc w:val="left"/>
        <w:rPr>
          <w:rFonts w:hint="eastAsia" w:ascii="宋体" w:hAnsi="宋体"/>
          <w:b/>
          <w:color w:val="auto"/>
          <w:sz w:val="24"/>
          <w:highlight w:val="none"/>
        </w:rPr>
      </w:pPr>
    </w:p>
    <w:p w14:paraId="295D0A26">
      <w:pPr>
        <w:snapToGrid w:val="0"/>
        <w:spacing w:before="50" w:after="120" w:afterLines="50" w:line="360" w:lineRule="auto"/>
        <w:jc w:val="left"/>
        <w:rPr>
          <w:rFonts w:hint="eastAsia" w:ascii="宋体" w:hAnsi="宋体"/>
          <w:b/>
          <w:color w:val="auto"/>
          <w:sz w:val="24"/>
          <w:highlight w:val="none"/>
        </w:rPr>
      </w:pPr>
    </w:p>
    <w:p w14:paraId="71D8EB79">
      <w:pPr>
        <w:snapToGrid w:val="0"/>
        <w:spacing w:before="50" w:after="120" w:afterLines="50" w:line="360" w:lineRule="auto"/>
        <w:jc w:val="left"/>
        <w:rPr>
          <w:rFonts w:hint="eastAsia" w:ascii="宋体" w:hAnsi="宋体"/>
          <w:b/>
          <w:color w:val="auto"/>
          <w:sz w:val="24"/>
          <w:highlight w:val="none"/>
        </w:rPr>
      </w:pPr>
    </w:p>
    <w:p w14:paraId="13EB4112">
      <w:pPr>
        <w:snapToGrid w:val="0"/>
        <w:spacing w:before="50" w:after="120" w:afterLines="50" w:line="360" w:lineRule="auto"/>
        <w:jc w:val="left"/>
        <w:rPr>
          <w:rFonts w:hint="eastAsia" w:ascii="宋体" w:hAnsi="宋体"/>
          <w:b/>
          <w:color w:val="auto"/>
          <w:sz w:val="24"/>
          <w:highlight w:val="none"/>
        </w:rPr>
      </w:pPr>
    </w:p>
    <w:p w14:paraId="4F81EE7D">
      <w:pPr>
        <w:snapToGrid w:val="0"/>
        <w:spacing w:before="50" w:after="120" w:afterLines="50" w:line="360" w:lineRule="auto"/>
        <w:jc w:val="left"/>
        <w:rPr>
          <w:rFonts w:hint="eastAsia" w:ascii="宋体" w:hAnsi="宋体"/>
          <w:b/>
          <w:color w:val="auto"/>
          <w:sz w:val="24"/>
          <w:highlight w:val="none"/>
        </w:rPr>
      </w:pPr>
    </w:p>
    <w:p w14:paraId="12A1B2C4">
      <w:pPr>
        <w:snapToGrid w:val="0"/>
        <w:spacing w:before="50" w:after="120" w:afterLines="50" w:line="360" w:lineRule="auto"/>
        <w:jc w:val="left"/>
        <w:rPr>
          <w:rFonts w:hint="eastAsia" w:ascii="宋体" w:hAnsi="宋体"/>
          <w:b/>
          <w:color w:val="auto"/>
          <w:sz w:val="24"/>
          <w:highlight w:val="none"/>
        </w:rPr>
      </w:pPr>
    </w:p>
    <w:p w14:paraId="52ACC2E2">
      <w:pPr>
        <w:pStyle w:val="42"/>
        <w:rPr>
          <w:rFonts w:hint="eastAsia"/>
        </w:rPr>
      </w:pPr>
    </w:p>
    <w:p w14:paraId="350D0644">
      <w:pPr>
        <w:snapToGrid w:val="0"/>
        <w:spacing w:before="50" w:after="120" w:afterLines="50" w:line="360" w:lineRule="auto"/>
        <w:jc w:val="left"/>
        <w:rPr>
          <w:rFonts w:hint="eastAsia" w:ascii="宋体" w:hAnsi="宋体"/>
          <w:b/>
          <w:color w:val="auto"/>
          <w:sz w:val="24"/>
          <w:highlight w:val="none"/>
        </w:rPr>
      </w:pPr>
    </w:p>
    <w:p w14:paraId="151365D6">
      <w:pPr>
        <w:snapToGrid w:val="0"/>
        <w:spacing w:before="50" w:after="120" w:afterLines="50" w:line="360" w:lineRule="auto"/>
        <w:jc w:val="left"/>
        <w:rPr>
          <w:rFonts w:ascii="宋体" w:hAnsi="宋体"/>
          <w:b/>
          <w:color w:val="auto"/>
          <w:sz w:val="24"/>
          <w:highlight w:val="none"/>
        </w:rPr>
      </w:pPr>
      <w:r>
        <w:rPr>
          <w:rFonts w:hint="eastAsia" w:ascii="宋体" w:hAnsi="宋体"/>
          <w:b/>
          <w:color w:val="auto"/>
          <w:sz w:val="24"/>
          <w:highlight w:val="none"/>
        </w:rPr>
        <w:t>附件：服务计划表：</w:t>
      </w:r>
    </w:p>
    <w:p w14:paraId="3B7EF4C6">
      <w:pPr>
        <w:snapToGrid w:val="0"/>
        <w:spacing w:before="120" w:beforeLines="50" w:after="50" w:line="360" w:lineRule="auto"/>
        <w:jc w:val="center"/>
        <w:rPr>
          <w:rFonts w:hint="eastAsia" w:ascii="宋体" w:hAnsi="宋体"/>
          <w:b/>
          <w:color w:val="auto"/>
          <w:sz w:val="24"/>
          <w:highlight w:val="none"/>
        </w:rPr>
      </w:pPr>
      <w:r>
        <w:rPr>
          <w:rFonts w:hint="eastAsia" w:ascii="宋体" w:hAnsi="宋体"/>
          <w:b/>
          <w:color w:val="auto"/>
          <w:sz w:val="24"/>
          <w:highlight w:val="none"/>
        </w:rPr>
        <w:t>服务计划表</w:t>
      </w:r>
    </w:p>
    <w:p w14:paraId="72A2E1A5">
      <w:pPr>
        <w:snapToGrid w:val="0"/>
        <w:spacing w:before="120" w:beforeLines="50" w:after="50" w:line="360" w:lineRule="auto"/>
        <w:jc w:val="center"/>
        <w:rPr>
          <w:rFonts w:hint="eastAsia" w:ascii="宋体" w:hAnsi="宋体"/>
          <w:b/>
          <w:color w:val="auto"/>
          <w:sz w:val="24"/>
          <w:highlight w:val="none"/>
        </w:rPr>
      </w:pP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064"/>
        <w:gridCol w:w="1896"/>
      </w:tblGrid>
      <w:tr w14:paraId="07EB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036856A">
            <w:pPr>
              <w:pStyle w:val="24"/>
              <w:spacing w:before="120" w:after="120" w:line="360" w:lineRule="auto"/>
              <w:jc w:val="center"/>
              <w:rPr>
                <w:rFonts w:hint="eastAsia" w:hAnsi="宋体"/>
                <w:color w:val="auto"/>
                <w:highlight w:val="none"/>
              </w:rPr>
            </w:pPr>
            <w:r>
              <w:rPr>
                <w:rFonts w:hint="eastAsia" w:hAnsi="宋体"/>
                <w:color w:val="auto"/>
                <w:highlight w:val="none"/>
              </w:rPr>
              <w:t>序号</w:t>
            </w:r>
          </w:p>
        </w:tc>
        <w:tc>
          <w:tcPr>
            <w:tcW w:w="4500" w:type="dxa"/>
            <w:vAlign w:val="center"/>
          </w:tcPr>
          <w:p w14:paraId="4D103ECD">
            <w:pPr>
              <w:pStyle w:val="24"/>
              <w:spacing w:before="120" w:after="120" w:line="360" w:lineRule="auto"/>
              <w:jc w:val="center"/>
              <w:rPr>
                <w:rFonts w:hint="eastAsia" w:hAnsi="宋体"/>
                <w:color w:val="auto"/>
                <w:highlight w:val="none"/>
              </w:rPr>
            </w:pPr>
            <w:r>
              <w:rPr>
                <w:rFonts w:hint="eastAsia" w:hAnsi="宋体"/>
                <w:color w:val="auto"/>
                <w:highlight w:val="none"/>
              </w:rPr>
              <w:t>质量保障措施及服务内容</w:t>
            </w:r>
          </w:p>
        </w:tc>
        <w:tc>
          <w:tcPr>
            <w:tcW w:w="2064" w:type="dxa"/>
            <w:vAlign w:val="center"/>
          </w:tcPr>
          <w:p w14:paraId="34134B69">
            <w:pPr>
              <w:pStyle w:val="24"/>
              <w:spacing w:before="120" w:after="120" w:line="360" w:lineRule="auto"/>
              <w:jc w:val="center"/>
              <w:rPr>
                <w:rFonts w:hint="eastAsia" w:hAnsi="宋体"/>
                <w:color w:val="auto"/>
                <w:highlight w:val="none"/>
              </w:rPr>
            </w:pPr>
            <w:r>
              <w:rPr>
                <w:rFonts w:hint="eastAsia" w:hAnsi="宋体"/>
                <w:color w:val="auto"/>
                <w:highlight w:val="none"/>
              </w:rPr>
              <w:t>承诺</w:t>
            </w:r>
          </w:p>
        </w:tc>
        <w:tc>
          <w:tcPr>
            <w:tcW w:w="1896" w:type="dxa"/>
            <w:vAlign w:val="center"/>
          </w:tcPr>
          <w:p w14:paraId="3BFB745E">
            <w:pPr>
              <w:pStyle w:val="24"/>
              <w:spacing w:before="120" w:after="120" w:line="360" w:lineRule="auto"/>
              <w:jc w:val="center"/>
              <w:rPr>
                <w:rFonts w:hint="eastAsia" w:hAnsi="宋体"/>
                <w:color w:val="auto"/>
                <w:highlight w:val="none"/>
              </w:rPr>
            </w:pPr>
            <w:r>
              <w:rPr>
                <w:rFonts w:hint="eastAsia" w:hAnsi="宋体"/>
                <w:color w:val="auto"/>
                <w:highlight w:val="none"/>
              </w:rPr>
              <w:t>备注</w:t>
            </w:r>
          </w:p>
        </w:tc>
      </w:tr>
      <w:tr w14:paraId="063A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0346219B">
            <w:pPr>
              <w:pStyle w:val="24"/>
              <w:spacing w:before="120" w:after="120" w:line="360" w:lineRule="auto"/>
              <w:jc w:val="center"/>
              <w:rPr>
                <w:rFonts w:hint="eastAsia" w:hAnsi="宋体" w:eastAsia="宋体"/>
                <w:color w:val="auto"/>
                <w:highlight w:val="none"/>
                <w:lang w:eastAsia="zh-CN"/>
              </w:rPr>
            </w:pPr>
            <w:r>
              <w:rPr>
                <w:rFonts w:hint="eastAsia" w:hAnsi="宋体"/>
                <w:color w:val="auto"/>
                <w:highlight w:val="none"/>
                <w:lang w:val="en-US" w:eastAsia="zh-CN"/>
              </w:rPr>
              <w:t>1</w:t>
            </w:r>
          </w:p>
        </w:tc>
        <w:tc>
          <w:tcPr>
            <w:tcW w:w="4500" w:type="dxa"/>
            <w:vAlign w:val="center"/>
          </w:tcPr>
          <w:p w14:paraId="5A29A3DB">
            <w:pPr>
              <w:pStyle w:val="24"/>
              <w:spacing w:line="360" w:lineRule="auto"/>
              <w:jc w:val="left"/>
              <w:rPr>
                <w:rFonts w:hint="eastAsia" w:hAnsi="宋体"/>
                <w:color w:val="auto"/>
                <w:highlight w:val="none"/>
              </w:rPr>
            </w:pPr>
            <w:r>
              <w:rPr>
                <w:rFonts w:hint="eastAsia" w:ascii="Times New Roman" w:hAnsi="Times New Roman"/>
                <w:color w:val="auto"/>
                <w:highlight w:val="none"/>
                <w:lang w:eastAsia="zh-CN"/>
              </w:rPr>
              <w:t>服务</w:t>
            </w:r>
            <w:r>
              <w:rPr>
                <w:rFonts w:hint="eastAsia" w:ascii="Times New Roman" w:hAnsi="Times New Roman"/>
                <w:color w:val="auto"/>
                <w:highlight w:val="none"/>
              </w:rPr>
              <w:t>地点</w:t>
            </w:r>
          </w:p>
        </w:tc>
        <w:tc>
          <w:tcPr>
            <w:tcW w:w="2064" w:type="dxa"/>
            <w:vAlign w:val="top"/>
          </w:tcPr>
          <w:p w14:paraId="33ABFEAC">
            <w:pPr>
              <w:pStyle w:val="24"/>
              <w:spacing w:before="120" w:after="120" w:line="360" w:lineRule="auto"/>
              <w:rPr>
                <w:rFonts w:hint="eastAsia" w:hAnsi="宋体"/>
                <w:color w:val="auto"/>
                <w:highlight w:val="none"/>
              </w:rPr>
            </w:pPr>
          </w:p>
        </w:tc>
        <w:tc>
          <w:tcPr>
            <w:tcW w:w="1896" w:type="dxa"/>
            <w:vAlign w:val="top"/>
          </w:tcPr>
          <w:p w14:paraId="1E5DEB12">
            <w:pPr>
              <w:pStyle w:val="24"/>
              <w:spacing w:before="120" w:after="120" w:line="360" w:lineRule="auto"/>
              <w:rPr>
                <w:rFonts w:hint="eastAsia" w:hAnsi="宋体"/>
                <w:color w:val="auto"/>
                <w:highlight w:val="none"/>
              </w:rPr>
            </w:pPr>
          </w:p>
        </w:tc>
      </w:tr>
      <w:tr w14:paraId="250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049E07B0">
            <w:pPr>
              <w:pStyle w:val="24"/>
              <w:spacing w:before="120" w:after="120" w:line="360" w:lineRule="auto"/>
              <w:jc w:val="center"/>
              <w:rPr>
                <w:rFonts w:hint="eastAsia" w:hAnsi="宋体" w:eastAsia="宋体"/>
                <w:color w:val="auto"/>
                <w:highlight w:val="none"/>
                <w:lang w:eastAsia="zh-CN"/>
              </w:rPr>
            </w:pPr>
            <w:r>
              <w:rPr>
                <w:rFonts w:hint="eastAsia" w:hAnsi="宋体"/>
                <w:color w:val="auto"/>
                <w:highlight w:val="none"/>
                <w:lang w:val="en-US" w:eastAsia="zh-CN"/>
              </w:rPr>
              <w:t>2</w:t>
            </w:r>
          </w:p>
        </w:tc>
        <w:tc>
          <w:tcPr>
            <w:tcW w:w="4500" w:type="dxa"/>
            <w:vAlign w:val="center"/>
          </w:tcPr>
          <w:p w14:paraId="00D70637">
            <w:pPr>
              <w:pStyle w:val="24"/>
              <w:spacing w:line="360" w:lineRule="auto"/>
              <w:jc w:val="left"/>
              <w:rPr>
                <w:rFonts w:hint="eastAsia" w:hAnsi="宋体"/>
                <w:color w:val="auto"/>
                <w:highlight w:val="none"/>
              </w:rPr>
            </w:pPr>
            <w:r>
              <w:rPr>
                <w:rFonts w:hint="eastAsia" w:ascii="Times New Roman" w:hAnsi="Times New Roman"/>
                <w:color w:val="auto"/>
                <w:highlight w:val="none"/>
                <w:lang w:eastAsia="zh-CN"/>
              </w:rPr>
              <w:t>服务</w:t>
            </w:r>
            <w:r>
              <w:rPr>
                <w:rFonts w:hint="eastAsia" w:ascii="Times New Roman" w:hAnsi="Times New Roman"/>
                <w:color w:val="auto"/>
                <w:highlight w:val="none"/>
              </w:rPr>
              <w:t>时间</w:t>
            </w:r>
          </w:p>
        </w:tc>
        <w:tc>
          <w:tcPr>
            <w:tcW w:w="2064" w:type="dxa"/>
            <w:vAlign w:val="top"/>
          </w:tcPr>
          <w:p w14:paraId="26B02278">
            <w:pPr>
              <w:pStyle w:val="24"/>
              <w:spacing w:before="120" w:after="120" w:line="360" w:lineRule="auto"/>
              <w:rPr>
                <w:rFonts w:hint="eastAsia" w:hAnsi="宋体"/>
                <w:color w:val="auto"/>
                <w:highlight w:val="none"/>
              </w:rPr>
            </w:pPr>
          </w:p>
        </w:tc>
        <w:tc>
          <w:tcPr>
            <w:tcW w:w="1896" w:type="dxa"/>
            <w:vAlign w:val="top"/>
          </w:tcPr>
          <w:p w14:paraId="2FFF7673">
            <w:pPr>
              <w:pStyle w:val="24"/>
              <w:spacing w:before="120" w:after="120" w:line="360" w:lineRule="auto"/>
              <w:rPr>
                <w:rFonts w:hint="eastAsia" w:hAnsi="宋体"/>
                <w:color w:val="auto"/>
                <w:highlight w:val="none"/>
              </w:rPr>
            </w:pPr>
          </w:p>
        </w:tc>
      </w:tr>
      <w:tr w14:paraId="5E4D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00E4A5FD">
            <w:pPr>
              <w:pStyle w:val="24"/>
              <w:spacing w:before="120" w:after="120" w:line="360" w:lineRule="auto"/>
              <w:jc w:val="center"/>
              <w:rPr>
                <w:rFonts w:hint="eastAsia" w:hAnsi="宋体" w:eastAsia="宋体"/>
                <w:color w:val="auto"/>
                <w:highlight w:val="none"/>
                <w:lang w:eastAsia="zh-CN"/>
              </w:rPr>
            </w:pPr>
            <w:r>
              <w:rPr>
                <w:rFonts w:hint="eastAsia" w:hAnsi="宋体"/>
                <w:color w:val="auto"/>
                <w:highlight w:val="none"/>
                <w:lang w:val="en-US" w:eastAsia="zh-CN"/>
              </w:rPr>
              <w:t>3</w:t>
            </w:r>
          </w:p>
        </w:tc>
        <w:tc>
          <w:tcPr>
            <w:tcW w:w="4500" w:type="dxa"/>
            <w:vAlign w:val="center"/>
          </w:tcPr>
          <w:p w14:paraId="02E0F164">
            <w:pPr>
              <w:pStyle w:val="24"/>
              <w:spacing w:line="360" w:lineRule="auto"/>
              <w:jc w:val="left"/>
              <w:rPr>
                <w:rFonts w:hint="eastAsia" w:hAnsi="宋体"/>
                <w:color w:val="auto"/>
                <w:highlight w:val="none"/>
              </w:rPr>
            </w:pPr>
            <w:r>
              <w:rPr>
                <w:rFonts w:hint="eastAsia" w:ascii="Times New Roman" w:hAnsi="Times New Roman"/>
                <w:color w:val="auto"/>
                <w:highlight w:val="none"/>
              </w:rPr>
              <w:t>付款方式</w:t>
            </w:r>
          </w:p>
        </w:tc>
        <w:tc>
          <w:tcPr>
            <w:tcW w:w="2064" w:type="dxa"/>
            <w:vAlign w:val="top"/>
          </w:tcPr>
          <w:p w14:paraId="2187D051">
            <w:pPr>
              <w:pStyle w:val="24"/>
              <w:spacing w:before="120" w:after="120" w:line="360" w:lineRule="auto"/>
              <w:rPr>
                <w:rFonts w:hint="eastAsia" w:hAnsi="宋体"/>
                <w:color w:val="auto"/>
                <w:highlight w:val="none"/>
              </w:rPr>
            </w:pPr>
          </w:p>
        </w:tc>
        <w:tc>
          <w:tcPr>
            <w:tcW w:w="1896" w:type="dxa"/>
            <w:vAlign w:val="top"/>
          </w:tcPr>
          <w:p w14:paraId="042B0E52">
            <w:pPr>
              <w:pStyle w:val="24"/>
              <w:spacing w:before="120" w:after="120" w:line="360" w:lineRule="auto"/>
              <w:rPr>
                <w:rFonts w:hint="eastAsia" w:hAnsi="宋体"/>
                <w:color w:val="auto"/>
                <w:highlight w:val="none"/>
              </w:rPr>
            </w:pPr>
          </w:p>
        </w:tc>
      </w:tr>
      <w:tr w14:paraId="7A4B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73759B4">
            <w:pPr>
              <w:pStyle w:val="24"/>
              <w:spacing w:before="120" w:after="120" w:line="360" w:lineRule="auto"/>
              <w:jc w:val="center"/>
              <w:rPr>
                <w:rFonts w:hint="eastAsia" w:hAnsi="宋体" w:eastAsia="宋体"/>
                <w:color w:val="auto"/>
                <w:highlight w:val="none"/>
                <w:lang w:eastAsia="zh-CN"/>
              </w:rPr>
            </w:pPr>
            <w:r>
              <w:rPr>
                <w:rFonts w:hint="eastAsia" w:hAnsi="宋体"/>
                <w:color w:val="auto"/>
                <w:highlight w:val="none"/>
                <w:lang w:val="en-US" w:eastAsia="zh-CN"/>
              </w:rPr>
              <w:t>4</w:t>
            </w:r>
          </w:p>
        </w:tc>
        <w:tc>
          <w:tcPr>
            <w:tcW w:w="4500" w:type="dxa"/>
            <w:vAlign w:val="center"/>
          </w:tcPr>
          <w:p w14:paraId="1A08706D">
            <w:pPr>
              <w:pStyle w:val="24"/>
              <w:spacing w:line="360" w:lineRule="auto"/>
              <w:jc w:val="center"/>
              <w:rPr>
                <w:rFonts w:hint="eastAsia" w:hAnsi="宋体"/>
                <w:color w:val="auto"/>
                <w:highlight w:val="none"/>
              </w:rPr>
            </w:pPr>
          </w:p>
        </w:tc>
        <w:tc>
          <w:tcPr>
            <w:tcW w:w="2064" w:type="dxa"/>
            <w:vAlign w:val="top"/>
          </w:tcPr>
          <w:p w14:paraId="614EC696">
            <w:pPr>
              <w:pStyle w:val="24"/>
              <w:spacing w:before="120" w:after="120" w:line="360" w:lineRule="auto"/>
              <w:rPr>
                <w:rFonts w:hint="eastAsia" w:hAnsi="宋体"/>
                <w:color w:val="auto"/>
                <w:highlight w:val="none"/>
              </w:rPr>
            </w:pPr>
          </w:p>
        </w:tc>
        <w:tc>
          <w:tcPr>
            <w:tcW w:w="1896" w:type="dxa"/>
            <w:vAlign w:val="top"/>
          </w:tcPr>
          <w:p w14:paraId="308E2C7C">
            <w:pPr>
              <w:pStyle w:val="24"/>
              <w:spacing w:before="120" w:after="120" w:line="360" w:lineRule="auto"/>
              <w:rPr>
                <w:rFonts w:hint="eastAsia" w:hAnsi="宋体"/>
                <w:color w:val="auto"/>
                <w:highlight w:val="none"/>
              </w:rPr>
            </w:pPr>
          </w:p>
        </w:tc>
      </w:tr>
    </w:tbl>
    <w:p w14:paraId="76B5FC31">
      <w:pPr>
        <w:pStyle w:val="24"/>
        <w:spacing w:before="120" w:after="120" w:line="360" w:lineRule="auto"/>
        <w:ind w:firstLine="720" w:firstLineChars="300"/>
        <w:rPr>
          <w:rFonts w:hint="eastAsia" w:ascii="Times New Roman" w:hAnsi="Times New Roman"/>
          <w:color w:val="auto"/>
          <w:highlight w:val="none"/>
        </w:rPr>
      </w:pPr>
    </w:p>
    <w:p w14:paraId="1AC723E6">
      <w:pPr>
        <w:pStyle w:val="24"/>
        <w:spacing w:before="120" w:after="120" w:line="360" w:lineRule="auto"/>
        <w:ind w:firstLine="720" w:firstLineChars="300"/>
        <w:rPr>
          <w:rFonts w:hint="eastAsia" w:ascii="Times New Roman" w:hAnsi="Times New Roman"/>
          <w:color w:val="auto"/>
          <w:highlight w:val="none"/>
        </w:rPr>
      </w:pPr>
    </w:p>
    <w:p w14:paraId="16386C1D">
      <w:pPr>
        <w:pStyle w:val="24"/>
        <w:spacing w:before="120" w:after="120" w:line="360" w:lineRule="auto"/>
        <w:jc w:val="left"/>
        <w:rPr>
          <w:rFonts w:hint="eastAsia" w:ascii="Times New Roman" w:hAnsi="Times New Roman"/>
          <w:color w:val="auto"/>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Times New Roman" w:hAnsi="Times New Roman"/>
          <w:color w:val="auto"/>
          <w:highlight w:val="none"/>
        </w:rPr>
        <w:t>：</w:t>
      </w:r>
    </w:p>
    <w:p w14:paraId="6E97126E">
      <w:pPr>
        <w:snapToGrid w:val="0"/>
        <w:spacing w:line="360" w:lineRule="auto"/>
        <w:jc w:val="left"/>
        <w:rPr>
          <w:color w:val="auto"/>
          <w:sz w:val="24"/>
          <w:highlight w:val="none"/>
        </w:rPr>
      </w:pPr>
      <w:r>
        <w:rPr>
          <w:rFonts w:hint="eastAsia" w:ascii="宋体" w:hAnsi="宋体" w:eastAsia="宋体"/>
          <w:b w:val="0"/>
          <w:bCs w:val="0"/>
          <w:color w:val="auto"/>
          <w:spacing w:val="20"/>
          <w:sz w:val="24"/>
          <w:szCs w:val="24"/>
          <w:highlight w:val="none"/>
        </w:rPr>
        <w:t>年   月   日</w:t>
      </w:r>
    </w:p>
    <w:p w14:paraId="209D2374">
      <w:pPr>
        <w:spacing w:before="50" w:after="50" w:line="500" w:lineRule="exact"/>
        <w:jc w:val="left"/>
        <w:outlineLvl w:val="2"/>
        <w:rPr>
          <w:rFonts w:hint="eastAsia" w:ascii="宋体" w:hAnsi="宋体"/>
          <w:b/>
          <w:color w:val="auto"/>
          <w:sz w:val="24"/>
          <w:highlight w:val="none"/>
        </w:rPr>
      </w:pPr>
    </w:p>
    <w:p w14:paraId="28920BE1">
      <w:pPr>
        <w:pStyle w:val="2"/>
        <w:rPr>
          <w:rFonts w:hint="eastAsia"/>
          <w:color w:val="auto"/>
          <w:highlight w:val="none"/>
        </w:rPr>
      </w:pPr>
    </w:p>
    <w:p w14:paraId="52056138">
      <w:pPr>
        <w:spacing w:line="360" w:lineRule="auto"/>
        <w:rPr>
          <w:color w:val="auto"/>
          <w:sz w:val="24"/>
          <w:highlight w:val="none"/>
        </w:rPr>
      </w:pPr>
    </w:p>
    <w:p w14:paraId="35543641">
      <w:pPr>
        <w:snapToGrid w:val="0"/>
        <w:spacing w:before="50" w:after="156" w:afterLines="50" w:line="312" w:lineRule="auto"/>
        <w:jc w:val="left"/>
        <w:rPr>
          <w:rFonts w:hint="eastAsia" w:ascii="宋体" w:hAnsi="宋体"/>
          <w:b/>
          <w:color w:val="auto"/>
          <w:sz w:val="24"/>
          <w:highlight w:val="none"/>
        </w:rPr>
      </w:pPr>
    </w:p>
    <w:p w14:paraId="7F99C7B5">
      <w:pPr>
        <w:snapToGrid w:val="0"/>
        <w:spacing w:before="50" w:after="156" w:afterLines="50" w:line="312" w:lineRule="auto"/>
        <w:jc w:val="left"/>
        <w:rPr>
          <w:rFonts w:hint="eastAsia" w:ascii="宋体" w:hAnsi="宋体"/>
          <w:b/>
          <w:color w:val="auto"/>
          <w:sz w:val="24"/>
          <w:highlight w:val="none"/>
        </w:rPr>
      </w:pPr>
    </w:p>
    <w:p w14:paraId="4973768D">
      <w:pPr>
        <w:snapToGrid w:val="0"/>
        <w:spacing w:before="50" w:after="156" w:afterLines="50" w:line="312" w:lineRule="auto"/>
        <w:jc w:val="left"/>
        <w:rPr>
          <w:rFonts w:hint="eastAsia" w:ascii="宋体" w:hAnsi="宋体"/>
          <w:b/>
          <w:color w:val="auto"/>
          <w:sz w:val="24"/>
          <w:highlight w:val="none"/>
        </w:rPr>
      </w:pPr>
    </w:p>
    <w:p w14:paraId="30C85E79">
      <w:pPr>
        <w:snapToGrid w:val="0"/>
        <w:spacing w:before="50" w:after="156" w:afterLines="50" w:line="312" w:lineRule="auto"/>
        <w:jc w:val="both"/>
        <w:rPr>
          <w:rFonts w:hint="eastAsia" w:ascii="宋体" w:hAnsi="宋体"/>
          <w:b/>
          <w:color w:val="auto"/>
          <w:sz w:val="24"/>
          <w:highlight w:val="none"/>
        </w:rPr>
      </w:pPr>
    </w:p>
    <w:p w14:paraId="44DFFA53">
      <w:pPr>
        <w:snapToGrid w:val="0"/>
        <w:spacing w:before="50" w:after="156" w:afterLines="50" w:line="312" w:lineRule="auto"/>
        <w:jc w:val="both"/>
        <w:rPr>
          <w:rFonts w:hint="eastAsia" w:ascii="宋体" w:hAnsi="宋体"/>
          <w:b/>
          <w:color w:val="auto"/>
          <w:sz w:val="24"/>
          <w:highlight w:val="none"/>
        </w:rPr>
      </w:pPr>
    </w:p>
    <w:p w14:paraId="044A3392">
      <w:pPr>
        <w:snapToGrid w:val="0"/>
        <w:spacing w:before="50" w:after="156" w:afterLines="50" w:line="312" w:lineRule="auto"/>
        <w:jc w:val="both"/>
        <w:rPr>
          <w:rFonts w:hint="eastAsia" w:ascii="宋体" w:hAnsi="宋体"/>
          <w:b/>
          <w:color w:val="auto"/>
          <w:sz w:val="24"/>
          <w:highlight w:val="none"/>
        </w:rPr>
      </w:pPr>
    </w:p>
    <w:p w14:paraId="7790FF19">
      <w:pPr>
        <w:pStyle w:val="42"/>
        <w:rPr>
          <w:rFonts w:hint="eastAsia" w:ascii="宋体" w:hAnsi="宋体"/>
          <w:b/>
          <w:color w:val="auto"/>
          <w:sz w:val="24"/>
          <w:highlight w:val="none"/>
        </w:rPr>
      </w:pPr>
    </w:p>
    <w:p w14:paraId="2C44DA55">
      <w:pPr>
        <w:pStyle w:val="34"/>
        <w:rPr>
          <w:rFonts w:hint="eastAsia" w:ascii="宋体" w:hAnsi="宋体"/>
          <w:b/>
          <w:color w:val="auto"/>
          <w:sz w:val="24"/>
          <w:highlight w:val="none"/>
        </w:rPr>
      </w:pPr>
    </w:p>
    <w:p w14:paraId="5069E811">
      <w:pPr>
        <w:rPr>
          <w:rFonts w:hint="eastAsia"/>
        </w:rPr>
      </w:pPr>
    </w:p>
    <w:p w14:paraId="0E439A59">
      <w:pPr>
        <w:snapToGrid w:val="0"/>
        <w:spacing w:before="50" w:after="156" w:afterLines="50" w:line="312" w:lineRule="auto"/>
        <w:jc w:val="both"/>
        <w:rPr>
          <w:rFonts w:hint="eastAsia" w:ascii="宋体" w:hAnsi="宋体"/>
          <w:b/>
          <w:color w:val="auto"/>
          <w:sz w:val="24"/>
          <w:highlight w:val="none"/>
        </w:rPr>
      </w:pPr>
    </w:p>
    <w:p w14:paraId="0BAA774D">
      <w:pPr>
        <w:snapToGrid w:val="0"/>
        <w:spacing w:before="50" w:after="120" w:afterLines="50"/>
        <w:jc w:val="left"/>
        <w:rPr>
          <w:rFonts w:hint="eastAsia" w:ascii="宋体" w:eastAsia="宋体"/>
          <w:b w:val="0"/>
          <w:bCs/>
          <w:color w:val="auto"/>
          <w:sz w:val="28"/>
          <w:szCs w:val="28"/>
          <w:lang w:eastAsia="zh-CN"/>
        </w:rPr>
      </w:pPr>
      <w:r>
        <w:rPr>
          <w:rFonts w:hint="eastAsia" w:ascii="宋体" w:hAnsi="宋体" w:cs="宋体"/>
          <w:b/>
          <w:color w:val="auto"/>
          <w:sz w:val="24"/>
          <w:highlight w:val="none"/>
          <w:lang w:eastAsia="zh-CN"/>
        </w:rPr>
        <w:t>附件</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eastAsia="zh-CN"/>
        </w:rPr>
        <w:t>商务响应表：</w:t>
      </w:r>
    </w:p>
    <w:p w14:paraId="3C3D4D3C">
      <w:pPr>
        <w:snapToGrid w:val="0"/>
        <w:spacing w:before="50" w:after="120" w:afterLines="50"/>
        <w:jc w:val="center"/>
        <w:rPr>
          <w:rFonts w:hint="eastAsia" w:ascii="宋体"/>
          <w:b/>
          <w:color w:val="auto"/>
          <w:sz w:val="28"/>
          <w:szCs w:val="28"/>
        </w:rPr>
      </w:pPr>
    </w:p>
    <w:p w14:paraId="3C3BF836">
      <w:pPr>
        <w:snapToGrid w:val="0"/>
        <w:spacing w:before="50" w:after="120" w:afterLines="50"/>
        <w:jc w:val="center"/>
        <w:rPr>
          <w:rFonts w:ascii="宋体"/>
          <w:b/>
          <w:color w:val="auto"/>
          <w:sz w:val="28"/>
          <w:szCs w:val="28"/>
        </w:rPr>
      </w:pPr>
      <w:r>
        <w:rPr>
          <w:rFonts w:hint="eastAsia" w:ascii="宋体"/>
          <w:b/>
          <w:color w:val="auto"/>
          <w:sz w:val="28"/>
          <w:szCs w:val="28"/>
        </w:rPr>
        <w:t>商务响应表</w:t>
      </w:r>
    </w:p>
    <w:p w14:paraId="7379026E">
      <w:pPr>
        <w:snapToGrid w:val="0"/>
        <w:spacing w:line="540" w:lineRule="exact"/>
        <w:rPr>
          <w:rFonts w:hint="eastAsia" w:ascii="宋体" w:hAnsi="宋体" w:cs="宋体"/>
          <w:color w:val="auto"/>
          <w:sz w:val="24"/>
        </w:rPr>
      </w:pPr>
      <w:r>
        <w:rPr>
          <w:rFonts w:hint="eastAsia" w:ascii="宋体" w:hAnsi="宋体" w:cs="宋体"/>
          <w:color w:val="auto"/>
          <w:sz w:val="24"/>
        </w:rPr>
        <w:t xml:space="preserve">项目名称： </w:t>
      </w:r>
    </w:p>
    <w:p w14:paraId="6E3CDAF3">
      <w:pPr>
        <w:snapToGrid w:val="0"/>
        <w:spacing w:before="50" w:after="120" w:afterLines="50"/>
        <w:jc w:val="left"/>
        <w:rPr>
          <w:rFonts w:ascii="宋体"/>
          <w:color w:val="auto"/>
          <w:sz w:val="24"/>
          <w:u w:val="single"/>
        </w:rPr>
      </w:pPr>
      <w:r>
        <w:rPr>
          <w:rFonts w:hint="eastAsia" w:ascii="宋体" w:hAnsi="宋体" w:cs="宋体"/>
          <w:color w:val="auto"/>
          <w:sz w:val="24"/>
        </w:rPr>
        <w:t>项目编号：</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1727"/>
        <w:gridCol w:w="1959"/>
        <w:gridCol w:w="2409"/>
      </w:tblGrid>
      <w:tr w14:paraId="522A7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top"/>
          </w:tcPr>
          <w:p w14:paraId="7D8D76CC">
            <w:pPr>
              <w:snapToGrid w:val="0"/>
              <w:spacing w:before="120" w:beforeLines="50"/>
              <w:jc w:val="center"/>
              <w:rPr>
                <w:rFonts w:ascii="宋体"/>
                <w:color w:val="auto"/>
                <w:sz w:val="24"/>
                <w:szCs w:val="20"/>
              </w:rPr>
            </w:pPr>
            <w:r>
              <w:rPr>
                <w:rFonts w:hint="eastAsia" w:ascii="宋体"/>
                <w:color w:val="auto"/>
                <w:sz w:val="24"/>
              </w:rPr>
              <w:t>项目</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2F281182">
            <w:pPr>
              <w:snapToGrid w:val="0"/>
              <w:spacing w:before="120" w:beforeLines="50"/>
              <w:jc w:val="center"/>
              <w:rPr>
                <w:rFonts w:ascii="宋体"/>
                <w:color w:val="auto"/>
                <w:sz w:val="24"/>
                <w:szCs w:val="20"/>
              </w:rPr>
            </w:pPr>
            <w:r>
              <w:rPr>
                <w:rFonts w:hint="eastAsia" w:ascii="宋体"/>
                <w:color w:val="auto"/>
                <w:sz w:val="24"/>
              </w:rPr>
              <w:t>招标文件要求</w:t>
            </w:r>
          </w:p>
        </w:tc>
        <w:tc>
          <w:tcPr>
            <w:tcW w:w="1959" w:type="dxa"/>
            <w:tcBorders>
              <w:top w:val="single" w:color="auto" w:sz="4" w:space="0"/>
              <w:left w:val="single" w:color="auto" w:sz="4" w:space="0"/>
              <w:bottom w:val="single" w:color="auto" w:sz="4" w:space="0"/>
              <w:right w:val="single" w:color="auto" w:sz="4" w:space="0"/>
            </w:tcBorders>
            <w:noWrap w:val="0"/>
            <w:vAlign w:val="top"/>
          </w:tcPr>
          <w:p w14:paraId="6BE385A2">
            <w:pPr>
              <w:snapToGrid w:val="0"/>
              <w:spacing w:before="120" w:beforeLines="50"/>
              <w:jc w:val="center"/>
              <w:rPr>
                <w:rFonts w:ascii="宋体"/>
                <w:color w:val="auto"/>
                <w:sz w:val="24"/>
                <w:szCs w:val="20"/>
              </w:rPr>
            </w:pPr>
            <w:r>
              <w:rPr>
                <w:rFonts w:hint="eastAsia" w:ascii="宋体"/>
                <w:color w:val="auto"/>
                <w:sz w:val="24"/>
              </w:rPr>
              <w:t>响应及偏离情况</w:t>
            </w:r>
          </w:p>
        </w:tc>
        <w:tc>
          <w:tcPr>
            <w:tcW w:w="2409" w:type="dxa"/>
            <w:tcBorders>
              <w:top w:val="single" w:color="auto" w:sz="4" w:space="0"/>
              <w:left w:val="single" w:color="auto" w:sz="4" w:space="0"/>
              <w:bottom w:val="single" w:color="auto" w:sz="4" w:space="0"/>
            </w:tcBorders>
            <w:noWrap w:val="0"/>
            <w:vAlign w:val="top"/>
          </w:tcPr>
          <w:p w14:paraId="125B2A50">
            <w:pPr>
              <w:snapToGrid w:val="0"/>
              <w:spacing w:before="120" w:beforeLines="50"/>
              <w:jc w:val="center"/>
              <w:rPr>
                <w:rFonts w:ascii="宋体"/>
                <w:color w:val="auto"/>
                <w:sz w:val="24"/>
                <w:szCs w:val="20"/>
              </w:rPr>
            </w:pPr>
            <w:r>
              <w:rPr>
                <w:rFonts w:hint="eastAsia" w:ascii="宋体"/>
                <w:color w:val="auto"/>
                <w:sz w:val="24"/>
              </w:rPr>
              <w:t>投标人的承诺或说明</w:t>
            </w:r>
          </w:p>
        </w:tc>
      </w:tr>
      <w:tr w14:paraId="4A786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73DDDE22">
            <w:pPr>
              <w:pStyle w:val="24"/>
              <w:snapToGrid w:val="0"/>
              <w:spacing w:beforeLines="0" w:afterLines="0" w:line="240" w:lineRule="auto"/>
              <w:outlineLvl w:val="0"/>
              <w:rPr>
                <w:rFonts w:hint="eastAsia"/>
                <w:color w:val="auto"/>
              </w:rPr>
            </w:pPr>
            <w:bookmarkStart w:id="7" w:name="_Toc408477084"/>
            <w:bookmarkStart w:id="8" w:name="_Toc414870809"/>
            <w:r>
              <w:rPr>
                <w:rFonts w:hint="eastAsia"/>
                <w:color w:val="auto"/>
              </w:rPr>
              <w:t>一、</w:t>
            </w:r>
            <w:bookmarkEnd w:id="7"/>
            <w:bookmarkEnd w:id="8"/>
            <w:r>
              <w:rPr>
                <w:rFonts w:hint="eastAsia"/>
                <w:color w:val="auto"/>
              </w:rPr>
              <w:t>人员配备</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4CFDD939">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6876CBCB">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450C80CB">
            <w:pPr>
              <w:snapToGrid w:val="0"/>
              <w:spacing w:before="120" w:beforeLines="50"/>
              <w:rPr>
                <w:rFonts w:ascii="宋体"/>
                <w:b/>
                <w:color w:val="auto"/>
                <w:sz w:val="24"/>
                <w:u w:val="single"/>
              </w:rPr>
            </w:pPr>
          </w:p>
        </w:tc>
      </w:tr>
      <w:tr w14:paraId="6CE23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20BE0803">
            <w:pPr>
              <w:pStyle w:val="24"/>
              <w:tabs>
                <w:tab w:val="right" w:pos="2302"/>
              </w:tabs>
              <w:snapToGrid w:val="0"/>
              <w:spacing w:beforeLines="0" w:afterLines="0" w:line="240" w:lineRule="auto"/>
              <w:outlineLvl w:val="0"/>
              <w:rPr>
                <w:rFonts w:hint="eastAsia"/>
                <w:color w:val="auto"/>
              </w:rPr>
            </w:pPr>
            <w:bookmarkStart w:id="9" w:name="_Toc414870810"/>
            <w:bookmarkStart w:id="10" w:name="_Toc408477085"/>
            <w:r>
              <w:rPr>
                <w:rFonts w:hint="eastAsia"/>
                <w:color w:val="auto"/>
              </w:rPr>
              <w:t>二、售后服务</w:t>
            </w:r>
            <w:bookmarkEnd w:id="9"/>
            <w:bookmarkEnd w:id="10"/>
          </w:p>
        </w:tc>
        <w:tc>
          <w:tcPr>
            <w:tcW w:w="1727" w:type="dxa"/>
            <w:tcBorders>
              <w:top w:val="single" w:color="auto" w:sz="4" w:space="0"/>
              <w:left w:val="single" w:color="auto" w:sz="4" w:space="0"/>
              <w:bottom w:val="single" w:color="auto" w:sz="4" w:space="0"/>
              <w:right w:val="single" w:color="auto" w:sz="4" w:space="0"/>
            </w:tcBorders>
            <w:noWrap w:val="0"/>
            <w:vAlign w:val="top"/>
          </w:tcPr>
          <w:p w14:paraId="6608E22F">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2791DC09">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34BFF6B3">
            <w:pPr>
              <w:snapToGrid w:val="0"/>
              <w:spacing w:before="120" w:beforeLines="50"/>
              <w:rPr>
                <w:rFonts w:ascii="宋体"/>
                <w:b/>
                <w:color w:val="auto"/>
                <w:sz w:val="24"/>
                <w:u w:val="single"/>
              </w:rPr>
            </w:pPr>
          </w:p>
        </w:tc>
      </w:tr>
      <w:tr w14:paraId="3C6E3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2BAADE47">
            <w:pPr>
              <w:pStyle w:val="24"/>
              <w:snapToGrid w:val="0"/>
              <w:spacing w:beforeLines="0" w:afterLines="0" w:line="240" w:lineRule="auto"/>
              <w:outlineLvl w:val="0"/>
              <w:rPr>
                <w:rFonts w:hint="eastAsia"/>
                <w:color w:val="auto"/>
              </w:rPr>
            </w:pPr>
            <w:bookmarkStart w:id="11" w:name="_Toc414870811"/>
            <w:bookmarkStart w:id="12" w:name="_Toc408477086"/>
            <w:r>
              <w:rPr>
                <w:rFonts w:hint="eastAsia"/>
                <w:color w:val="auto"/>
              </w:rPr>
              <w:t>三、</w:t>
            </w:r>
            <w:bookmarkEnd w:id="11"/>
            <w:bookmarkEnd w:id="12"/>
            <w:r>
              <w:rPr>
                <w:rFonts w:hint="eastAsia"/>
                <w:color w:val="auto"/>
              </w:rPr>
              <w:t>服务期限</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5C90C8CC">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000C66DF">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2D86F58A">
            <w:pPr>
              <w:snapToGrid w:val="0"/>
              <w:spacing w:before="120" w:beforeLines="50"/>
              <w:rPr>
                <w:rFonts w:ascii="宋体"/>
                <w:b/>
                <w:color w:val="auto"/>
                <w:sz w:val="24"/>
                <w:u w:val="single"/>
              </w:rPr>
            </w:pPr>
          </w:p>
        </w:tc>
      </w:tr>
      <w:tr w14:paraId="51D7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4725827C">
            <w:pPr>
              <w:pStyle w:val="24"/>
              <w:snapToGrid w:val="0"/>
              <w:spacing w:beforeLines="0" w:afterLines="0" w:line="240" w:lineRule="auto"/>
              <w:outlineLvl w:val="0"/>
              <w:rPr>
                <w:color w:val="auto"/>
              </w:rPr>
            </w:pPr>
            <w:bookmarkStart w:id="13" w:name="_Toc408477087"/>
            <w:bookmarkStart w:id="14" w:name="_Toc414870812"/>
            <w:r>
              <w:rPr>
                <w:rFonts w:hint="eastAsia"/>
                <w:color w:val="auto"/>
              </w:rPr>
              <w:t>四、</w:t>
            </w:r>
            <w:bookmarkEnd w:id="13"/>
            <w:bookmarkEnd w:id="14"/>
            <w:r>
              <w:rPr>
                <w:rFonts w:hint="eastAsia"/>
                <w:color w:val="auto"/>
              </w:rPr>
              <w:t>付款方式</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0500D5C7">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2B24762B">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712A3E6C">
            <w:pPr>
              <w:snapToGrid w:val="0"/>
              <w:spacing w:before="120" w:beforeLines="50"/>
              <w:rPr>
                <w:rFonts w:ascii="宋体"/>
                <w:b/>
                <w:color w:val="auto"/>
                <w:sz w:val="24"/>
                <w:u w:val="single"/>
              </w:rPr>
            </w:pPr>
          </w:p>
        </w:tc>
      </w:tr>
      <w:tr w14:paraId="6CC9C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6D0F4735">
            <w:pPr>
              <w:pStyle w:val="24"/>
              <w:snapToGrid w:val="0"/>
              <w:spacing w:beforeLines="0" w:afterLines="0" w:line="240" w:lineRule="auto"/>
              <w:outlineLvl w:val="0"/>
              <w:rPr>
                <w:color w:val="auto"/>
              </w:rPr>
            </w:pPr>
          </w:p>
        </w:tc>
        <w:tc>
          <w:tcPr>
            <w:tcW w:w="1727" w:type="dxa"/>
            <w:tcBorders>
              <w:top w:val="single" w:color="auto" w:sz="4" w:space="0"/>
              <w:left w:val="single" w:color="auto" w:sz="4" w:space="0"/>
              <w:bottom w:val="single" w:color="auto" w:sz="4" w:space="0"/>
              <w:right w:val="single" w:color="auto" w:sz="4" w:space="0"/>
            </w:tcBorders>
            <w:noWrap w:val="0"/>
            <w:vAlign w:val="top"/>
          </w:tcPr>
          <w:p w14:paraId="3EF3A444">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5918A699">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671FBABC">
            <w:pPr>
              <w:snapToGrid w:val="0"/>
              <w:spacing w:before="120" w:beforeLines="50"/>
              <w:rPr>
                <w:rFonts w:ascii="宋体"/>
                <w:b/>
                <w:color w:val="auto"/>
                <w:sz w:val="24"/>
                <w:u w:val="single"/>
              </w:rPr>
            </w:pPr>
          </w:p>
        </w:tc>
      </w:tr>
      <w:tr w14:paraId="3BF2E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6064D1E7">
            <w:pPr>
              <w:pStyle w:val="24"/>
              <w:snapToGrid w:val="0"/>
              <w:spacing w:beforeLines="0" w:afterLines="0" w:line="240" w:lineRule="auto"/>
              <w:outlineLvl w:val="0"/>
              <w:rPr>
                <w:color w:val="auto"/>
              </w:rPr>
            </w:pPr>
            <w:bookmarkStart w:id="15" w:name="_Toc414870816"/>
            <w:r>
              <w:rPr>
                <w:rFonts w:hint="eastAsia"/>
                <w:color w:val="auto"/>
              </w:rPr>
              <w:t>……</w:t>
            </w:r>
            <w:bookmarkEnd w:id="15"/>
          </w:p>
        </w:tc>
        <w:tc>
          <w:tcPr>
            <w:tcW w:w="1727" w:type="dxa"/>
            <w:tcBorders>
              <w:top w:val="single" w:color="auto" w:sz="4" w:space="0"/>
              <w:left w:val="single" w:color="auto" w:sz="4" w:space="0"/>
              <w:bottom w:val="single" w:color="auto" w:sz="4" w:space="0"/>
              <w:right w:val="single" w:color="auto" w:sz="4" w:space="0"/>
            </w:tcBorders>
            <w:noWrap w:val="0"/>
            <w:vAlign w:val="top"/>
          </w:tcPr>
          <w:p w14:paraId="153CDA26">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6A84E85F">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48B8AD9F">
            <w:pPr>
              <w:snapToGrid w:val="0"/>
              <w:spacing w:before="120" w:beforeLines="50"/>
              <w:rPr>
                <w:rFonts w:ascii="宋体"/>
                <w:b/>
                <w:color w:val="auto"/>
                <w:sz w:val="24"/>
                <w:u w:val="single"/>
              </w:rPr>
            </w:pPr>
          </w:p>
        </w:tc>
      </w:tr>
      <w:tr w14:paraId="2FA67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18" w:type="dxa"/>
            <w:tcBorders>
              <w:top w:val="single" w:color="auto" w:sz="4" w:space="0"/>
              <w:bottom w:val="single" w:color="auto" w:sz="4" w:space="0"/>
              <w:right w:val="single" w:color="auto" w:sz="4" w:space="0"/>
            </w:tcBorders>
            <w:noWrap w:val="0"/>
            <w:vAlign w:val="center"/>
          </w:tcPr>
          <w:p w14:paraId="502C80F9">
            <w:pPr>
              <w:pStyle w:val="24"/>
              <w:snapToGrid w:val="0"/>
              <w:spacing w:beforeLines="0" w:afterLines="0" w:line="240" w:lineRule="auto"/>
              <w:outlineLvl w:val="0"/>
              <w:rPr>
                <w:color w:val="auto"/>
              </w:rPr>
            </w:pPr>
            <w:bookmarkStart w:id="16" w:name="_Toc414870817"/>
            <w:bookmarkStart w:id="17" w:name="_Toc408477092"/>
            <w:r>
              <w:rPr>
                <w:rFonts w:hint="eastAsia"/>
                <w:color w:val="auto"/>
              </w:rPr>
              <w:t>……</w:t>
            </w:r>
            <w:bookmarkEnd w:id="16"/>
            <w:bookmarkEnd w:id="17"/>
          </w:p>
        </w:tc>
        <w:tc>
          <w:tcPr>
            <w:tcW w:w="1727" w:type="dxa"/>
            <w:tcBorders>
              <w:top w:val="single" w:color="auto" w:sz="4" w:space="0"/>
              <w:left w:val="single" w:color="auto" w:sz="4" w:space="0"/>
              <w:bottom w:val="single" w:color="auto" w:sz="4" w:space="0"/>
              <w:right w:val="single" w:color="auto" w:sz="4" w:space="0"/>
            </w:tcBorders>
            <w:noWrap w:val="0"/>
            <w:vAlign w:val="top"/>
          </w:tcPr>
          <w:p w14:paraId="18B7FB2F">
            <w:pPr>
              <w:snapToGrid w:val="0"/>
              <w:spacing w:before="120" w:beforeLines="50"/>
              <w:rPr>
                <w:rFonts w:ascii="宋体"/>
                <w:color w:val="auto"/>
                <w:sz w:val="24"/>
              </w:rPr>
            </w:pPr>
          </w:p>
        </w:tc>
        <w:tc>
          <w:tcPr>
            <w:tcW w:w="1959" w:type="dxa"/>
            <w:tcBorders>
              <w:top w:val="single" w:color="auto" w:sz="4" w:space="0"/>
              <w:left w:val="single" w:color="auto" w:sz="4" w:space="0"/>
              <w:bottom w:val="single" w:color="auto" w:sz="4" w:space="0"/>
              <w:right w:val="single" w:color="auto" w:sz="4" w:space="0"/>
            </w:tcBorders>
            <w:noWrap w:val="0"/>
            <w:vAlign w:val="top"/>
          </w:tcPr>
          <w:p w14:paraId="3AAEE701">
            <w:pPr>
              <w:snapToGrid w:val="0"/>
              <w:spacing w:before="120" w:beforeLines="50"/>
              <w:rPr>
                <w:rFonts w:ascii="宋体"/>
                <w:b/>
                <w:color w:val="auto"/>
                <w:sz w:val="24"/>
                <w:u w:val="single"/>
              </w:rPr>
            </w:pPr>
          </w:p>
        </w:tc>
        <w:tc>
          <w:tcPr>
            <w:tcW w:w="2409" w:type="dxa"/>
            <w:tcBorders>
              <w:top w:val="single" w:color="auto" w:sz="4" w:space="0"/>
              <w:left w:val="single" w:color="auto" w:sz="4" w:space="0"/>
              <w:bottom w:val="single" w:color="auto" w:sz="4" w:space="0"/>
            </w:tcBorders>
            <w:noWrap w:val="0"/>
            <w:vAlign w:val="top"/>
          </w:tcPr>
          <w:p w14:paraId="4622F0F8">
            <w:pPr>
              <w:snapToGrid w:val="0"/>
              <w:spacing w:before="120" w:beforeLines="50"/>
              <w:rPr>
                <w:rFonts w:ascii="宋体"/>
                <w:b/>
                <w:color w:val="auto"/>
                <w:sz w:val="24"/>
                <w:u w:val="single"/>
              </w:rPr>
            </w:pPr>
          </w:p>
        </w:tc>
      </w:tr>
    </w:tbl>
    <w:p w14:paraId="25301F0E">
      <w:pPr>
        <w:snapToGrid w:val="0"/>
        <w:spacing w:before="120" w:beforeLines="50"/>
        <w:rPr>
          <w:rFonts w:ascii="宋体"/>
          <w:color w:val="auto"/>
          <w:sz w:val="24"/>
          <w:szCs w:val="20"/>
        </w:rPr>
      </w:pPr>
    </w:p>
    <w:p w14:paraId="6F1A85B6">
      <w:pPr>
        <w:pStyle w:val="14"/>
        <w:snapToGrid w:val="0"/>
        <w:rPr>
          <w:rFonts w:ascii="宋体" w:hAnsi="宋体" w:eastAsia="宋体" w:cs="宋体"/>
          <w:color w:val="auto"/>
          <w:sz w:val="24"/>
          <w:highlight w:val="none"/>
        </w:rPr>
      </w:pPr>
    </w:p>
    <w:p w14:paraId="5CF1F021">
      <w:pPr>
        <w:pStyle w:val="14"/>
        <w:snapToGrid w:val="0"/>
        <w:rPr>
          <w:rFonts w:ascii="宋体" w:hAnsi="宋体" w:eastAsia="宋体" w:cs="宋体"/>
          <w:color w:val="auto"/>
          <w:sz w:val="24"/>
          <w:highlight w:val="none"/>
        </w:rPr>
      </w:pPr>
    </w:p>
    <w:p w14:paraId="33842BF3">
      <w:pPr>
        <w:snapToGrid w:val="0"/>
        <w:spacing w:before="50" w:after="156" w:afterLines="50" w:line="312" w:lineRule="auto"/>
        <w:jc w:val="both"/>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14:paraId="7C6B183C">
      <w:pPr>
        <w:snapToGrid w:val="0"/>
        <w:spacing w:line="360" w:lineRule="auto"/>
        <w:jc w:val="left"/>
        <w:rPr>
          <w:color w:val="auto"/>
          <w:sz w:val="24"/>
          <w:highlight w:val="none"/>
        </w:rPr>
      </w:pPr>
      <w:r>
        <w:rPr>
          <w:rFonts w:hint="eastAsia" w:ascii="宋体" w:hAnsi="宋体" w:eastAsia="宋体"/>
          <w:b w:val="0"/>
          <w:bCs w:val="0"/>
          <w:color w:val="auto"/>
          <w:spacing w:val="20"/>
          <w:sz w:val="24"/>
          <w:szCs w:val="24"/>
          <w:highlight w:val="none"/>
        </w:rPr>
        <w:t>年   月   日</w:t>
      </w:r>
    </w:p>
    <w:p w14:paraId="3DFF676C">
      <w:pPr>
        <w:snapToGrid w:val="0"/>
        <w:spacing w:before="50" w:after="120" w:afterLines="50"/>
        <w:jc w:val="left"/>
        <w:rPr>
          <w:rFonts w:hint="eastAsia" w:ascii="宋体" w:hAnsi="宋体" w:cs="宋体"/>
          <w:b/>
          <w:color w:val="auto"/>
          <w:sz w:val="24"/>
          <w:highlight w:val="none"/>
          <w:lang w:eastAsia="zh-CN"/>
        </w:rPr>
      </w:pPr>
    </w:p>
    <w:p w14:paraId="0C19283D">
      <w:pPr>
        <w:snapToGrid w:val="0"/>
        <w:spacing w:before="50" w:after="120" w:afterLines="50"/>
        <w:jc w:val="left"/>
        <w:rPr>
          <w:rFonts w:hint="eastAsia" w:ascii="宋体" w:hAnsi="宋体" w:cs="宋体"/>
          <w:b/>
          <w:color w:val="auto"/>
          <w:sz w:val="24"/>
          <w:highlight w:val="none"/>
          <w:lang w:eastAsia="zh-CN"/>
        </w:rPr>
      </w:pPr>
    </w:p>
    <w:p w14:paraId="1A6D689E">
      <w:pPr>
        <w:snapToGrid w:val="0"/>
        <w:spacing w:before="50" w:after="120" w:afterLines="50"/>
        <w:jc w:val="left"/>
        <w:rPr>
          <w:rFonts w:hint="eastAsia" w:ascii="宋体" w:hAnsi="宋体" w:cs="宋体"/>
          <w:b/>
          <w:color w:val="auto"/>
          <w:sz w:val="24"/>
          <w:highlight w:val="none"/>
          <w:lang w:eastAsia="zh-CN"/>
        </w:rPr>
      </w:pPr>
    </w:p>
    <w:p w14:paraId="69CFEF64">
      <w:pPr>
        <w:snapToGrid w:val="0"/>
        <w:spacing w:before="50" w:after="120" w:afterLines="50"/>
        <w:jc w:val="left"/>
        <w:rPr>
          <w:rFonts w:hint="eastAsia" w:ascii="宋体" w:hAnsi="宋体" w:cs="宋体"/>
          <w:b/>
          <w:color w:val="auto"/>
          <w:sz w:val="24"/>
          <w:highlight w:val="none"/>
          <w:lang w:eastAsia="zh-CN"/>
        </w:rPr>
      </w:pPr>
    </w:p>
    <w:p w14:paraId="59A9AB33">
      <w:pPr>
        <w:snapToGrid w:val="0"/>
        <w:spacing w:before="50" w:after="120" w:afterLines="50"/>
        <w:jc w:val="left"/>
        <w:rPr>
          <w:rFonts w:hint="eastAsia" w:ascii="宋体" w:hAnsi="宋体" w:cs="宋体"/>
          <w:b/>
          <w:color w:val="auto"/>
          <w:sz w:val="24"/>
          <w:highlight w:val="none"/>
          <w:lang w:eastAsia="zh-CN"/>
        </w:rPr>
      </w:pPr>
    </w:p>
    <w:p w14:paraId="677F0B90">
      <w:pPr>
        <w:snapToGrid w:val="0"/>
        <w:spacing w:before="50" w:after="120" w:afterLines="50"/>
        <w:jc w:val="left"/>
        <w:rPr>
          <w:rFonts w:hint="eastAsia" w:ascii="宋体" w:hAnsi="宋体" w:cs="宋体"/>
          <w:b/>
          <w:color w:val="auto"/>
          <w:sz w:val="24"/>
          <w:highlight w:val="none"/>
          <w:lang w:eastAsia="zh-CN"/>
        </w:rPr>
      </w:pPr>
    </w:p>
    <w:p w14:paraId="24C2509B">
      <w:pPr>
        <w:pStyle w:val="42"/>
        <w:rPr>
          <w:rFonts w:hint="eastAsia" w:ascii="宋体" w:hAnsi="宋体" w:cs="宋体"/>
          <w:b/>
          <w:color w:val="auto"/>
          <w:sz w:val="24"/>
          <w:highlight w:val="none"/>
          <w:lang w:eastAsia="zh-CN"/>
        </w:rPr>
      </w:pPr>
    </w:p>
    <w:p w14:paraId="5459D590">
      <w:pPr>
        <w:pStyle w:val="34"/>
        <w:rPr>
          <w:rFonts w:hint="eastAsia"/>
          <w:lang w:eastAsia="zh-CN"/>
        </w:rPr>
      </w:pPr>
    </w:p>
    <w:p w14:paraId="2950260E">
      <w:pPr>
        <w:snapToGrid w:val="0"/>
        <w:spacing w:before="50" w:after="120" w:afterLines="50"/>
        <w:jc w:val="left"/>
        <w:rPr>
          <w:rFonts w:hint="eastAsia" w:ascii="宋体" w:hAnsi="宋体" w:cs="宋体"/>
          <w:b/>
          <w:color w:val="auto"/>
          <w:sz w:val="24"/>
          <w:highlight w:val="none"/>
          <w:lang w:eastAsia="zh-CN"/>
        </w:rPr>
      </w:pPr>
    </w:p>
    <w:p w14:paraId="5CD9C0D9">
      <w:pPr>
        <w:snapToGrid w:val="0"/>
        <w:spacing w:before="50" w:after="120" w:afterLines="50"/>
        <w:jc w:val="left"/>
        <w:rPr>
          <w:rFonts w:ascii="宋体" w:hAnsi="宋体" w:cs="宋体"/>
          <w:b/>
          <w:color w:val="auto"/>
          <w:sz w:val="24"/>
          <w:highlight w:val="none"/>
        </w:rPr>
      </w:pPr>
      <w:r>
        <w:rPr>
          <w:rFonts w:hint="eastAsia" w:ascii="宋体" w:hAnsi="宋体" w:cs="宋体"/>
          <w:b/>
          <w:color w:val="auto"/>
          <w:sz w:val="24"/>
          <w:highlight w:val="none"/>
          <w:lang w:eastAsia="zh-CN"/>
        </w:rPr>
        <w:t>附件</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lang w:eastAsia="zh-CN"/>
        </w:rPr>
        <w:t>投标承诺书：</w:t>
      </w:r>
    </w:p>
    <w:p w14:paraId="40F4E057">
      <w:pPr>
        <w:pStyle w:val="24"/>
        <w:spacing w:line="460" w:lineRule="exact"/>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政府采购项目投标承诺书</w:t>
      </w:r>
    </w:p>
    <w:p w14:paraId="5EEBB63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成交；</w:t>
      </w:r>
    </w:p>
    <w:p w14:paraId="484A436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2.自愿接受</w:t>
      </w:r>
      <w:r>
        <w:rPr>
          <w:rFonts w:hint="eastAsia" w:ascii="宋体" w:hAnsi="宋体" w:eastAsia="宋体" w:cs="宋体"/>
          <w:color w:val="auto"/>
          <w:sz w:val="24"/>
          <w:szCs w:val="24"/>
          <w:lang w:eastAsia="zh-CN"/>
        </w:rPr>
        <w:t>东阳</w:t>
      </w:r>
      <w:r>
        <w:rPr>
          <w:rFonts w:hint="eastAsia" w:ascii="宋体" w:hAnsi="宋体" w:eastAsia="宋体" w:cs="宋体"/>
          <w:color w:val="auto"/>
          <w:sz w:val="24"/>
          <w:szCs w:val="24"/>
        </w:rPr>
        <w:t>市财政局（以下简称财政局）的管理，并严格遵守财政局制定的招投标管理制度、规范和纪律。</w:t>
      </w:r>
    </w:p>
    <w:p w14:paraId="694E2BE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3.我单位承诺参与本次投标的资格符合《中华人民共和国政府采购法》和《中华人民共和国政府采购法实施条例》的规定，并承诺近三年内，在经营活动中没有重大违法记录。</w:t>
      </w:r>
    </w:p>
    <w:p w14:paraId="2C6A6F6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14:paraId="2369038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5.不转让、出借、涂改、伪造资质（资格）证书或者以其他方式允许其他单位（个人）以我单位（本人）名义承接业务。</w:t>
      </w:r>
    </w:p>
    <w:p w14:paraId="2E0CF2DF">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6.不与采购人或者其他投标人相互串通投标，围标，不以行贿等不正当手段谋取成交。</w:t>
      </w:r>
    </w:p>
    <w:p w14:paraId="4483A30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7.在备案、招标、投标、现场获取招标文件、开标、评标、询标、成交、签订合同、合同备案等招投标预备和进行的全过程中提供的资料均真实、有效，不弄虚作假。</w:t>
      </w:r>
    </w:p>
    <w:p w14:paraId="0A841B5A">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8.我方已详细审核全部招标文件，包括修改文件(如果有的话)，及有关附件，我方同意放弃提出含糊不清或误解的权力。 </w:t>
      </w:r>
    </w:p>
    <w:p w14:paraId="51A10894">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9.我方同意所递交的投标文件在招标期内有效，在此期间内我方有可能成交，我方将受此约束。</w:t>
      </w:r>
    </w:p>
    <w:p w14:paraId="198FE363">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10.我方相信贵方的招标结果是公正、合法的，无论我方成交还是落标，我方将接受这一结果。 </w:t>
      </w:r>
    </w:p>
    <w:p w14:paraId="460A29D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11.一旦我方成交，我方将严格依照招标文件中的相关规定与采购人签订合同。</w:t>
      </w:r>
    </w:p>
    <w:p w14:paraId="37826EE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12.不低于企业成本价投标，不恶意过高报价，不扰乱招投标的正常秩序。</w:t>
      </w:r>
    </w:p>
    <w:p w14:paraId="61328EF0">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13.严格遵守开标会议纪律，不在开标会场吵闹、滋事，服从工作人员指挥。</w:t>
      </w:r>
    </w:p>
    <w:p w14:paraId="4BFD515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14.按照法律法规和本项目招标文件规定的程序和方式进行异议和投诉，不越级投诉，不无理投诉。如捏造事实、伪造材料或者以非法手段取得说明材料进行投诉，给他人造成损失的，依法承担赔偿责任。</w:t>
      </w:r>
    </w:p>
    <w:p w14:paraId="21BFCAD7">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作出的任何管理和处理决定，并自愿承担一切不利的后果。</w:t>
      </w:r>
    </w:p>
    <w:p w14:paraId="3D2C0738">
      <w:pPr>
        <w:snapToGrid w:val="0"/>
        <w:spacing w:line="360" w:lineRule="auto"/>
        <w:jc w:val="left"/>
        <w:rPr>
          <w:rFonts w:hint="eastAsia" w:ascii="宋体" w:hAnsi="宋体"/>
          <w:color w:val="auto"/>
          <w:spacing w:val="20"/>
          <w:sz w:val="24"/>
          <w:highlight w:val="none"/>
        </w:rPr>
      </w:pPr>
    </w:p>
    <w:p w14:paraId="06F2C79A">
      <w:pPr>
        <w:snapToGrid w:val="0"/>
        <w:spacing w:line="360" w:lineRule="auto"/>
        <w:jc w:val="left"/>
        <w:rPr>
          <w:rFonts w:hint="eastAsia"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olor w:val="auto"/>
          <w:spacing w:val="20"/>
          <w:sz w:val="24"/>
          <w:highlight w:val="none"/>
        </w:rPr>
        <w:t>：</w:t>
      </w:r>
    </w:p>
    <w:p w14:paraId="6C133DC1">
      <w:pPr>
        <w:snapToGrid w:val="0"/>
        <w:spacing w:line="360" w:lineRule="auto"/>
        <w:jc w:val="left"/>
      </w:pPr>
      <w:r>
        <w:rPr>
          <w:rFonts w:hint="eastAsia" w:ascii="宋体" w:hAnsi="宋体" w:eastAsia="宋体"/>
          <w:b w:val="0"/>
          <w:bCs w:val="0"/>
          <w:color w:val="auto"/>
          <w:spacing w:val="20"/>
          <w:sz w:val="24"/>
          <w:szCs w:val="24"/>
          <w:highlight w:val="none"/>
        </w:rPr>
        <w:t>年   月   日</w:t>
      </w:r>
    </w:p>
    <w:p w14:paraId="13BC4BF6">
      <w:pPr>
        <w:snapToGrid w:val="0"/>
        <w:spacing w:before="50" w:after="156" w:afterLines="50" w:line="312" w:lineRule="auto"/>
        <w:jc w:val="both"/>
        <w:rPr>
          <w:rFonts w:hint="eastAsia" w:ascii="宋体" w:hAnsi="宋体"/>
          <w:b/>
          <w:color w:val="auto"/>
          <w:sz w:val="24"/>
          <w:highlight w:val="none"/>
        </w:rPr>
      </w:pPr>
    </w:p>
    <w:p w14:paraId="69F9140D">
      <w:pPr>
        <w:snapToGrid w:val="0"/>
        <w:spacing w:before="50" w:after="156" w:afterLines="50" w:line="312" w:lineRule="auto"/>
        <w:jc w:val="both"/>
        <w:rPr>
          <w:rFonts w:hint="eastAsia" w:ascii="宋体" w:hAnsi="宋体"/>
          <w:b/>
          <w:color w:val="auto"/>
          <w:sz w:val="24"/>
          <w:highlight w:val="none"/>
        </w:rPr>
      </w:pPr>
      <w:r>
        <w:rPr>
          <w:rFonts w:hint="eastAsia" w:ascii="宋体" w:hAnsi="宋体"/>
          <w:b/>
          <w:color w:val="auto"/>
          <w:sz w:val="24"/>
          <w:highlight w:val="none"/>
        </w:rPr>
        <w:t>附件：项目实施人员一览表</w:t>
      </w:r>
    </w:p>
    <w:p w14:paraId="1555CA22">
      <w:pPr>
        <w:rPr>
          <w:color w:val="auto"/>
          <w:highlight w:val="none"/>
        </w:rPr>
      </w:pPr>
      <w:r>
        <w:rPr>
          <w:rFonts w:hint="eastAsia"/>
          <w:snapToGrid w:val="0"/>
          <w:color w:val="auto"/>
          <w:highlight w:val="none"/>
        </w:rPr>
        <w:t xml:space="preserve">                       </w:t>
      </w:r>
      <w:r>
        <w:rPr>
          <w:rFonts w:hint="eastAsia"/>
          <w:snapToGrid w:val="0"/>
          <w:color w:val="auto"/>
          <w:highlight w:val="none"/>
          <w:lang w:val="en-US" w:eastAsia="zh-CN"/>
        </w:rPr>
        <w:t xml:space="preserve">      </w:t>
      </w:r>
      <w:r>
        <w:rPr>
          <w:rFonts w:hint="eastAsia"/>
          <w:snapToGrid w:val="0"/>
          <w:color w:val="auto"/>
          <w:sz w:val="30"/>
          <w:szCs w:val="30"/>
          <w:highlight w:val="none"/>
          <w:lang w:val="en-US" w:eastAsia="zh-CN"/>
        </w:rPr>
        <w:t xml:space="preserve"> </w:t>
      </w:r>
      <w:r>
        <w:rPr>
          <w:rFonts w:hint="eastAsia" w:ascii="宋体" w:hAnsi="宋体"/>
          <w:b/>
          <w:color w:val="auto"/>
          <w:sz w:val="28"/>
          <w:szCs w:val="28"/>
          <w:highlight w:val="none"/>
        </w:rPr>
        <w:t>项目实施人员一览表</w:t>
      </w:r>
    </w:p>
    <w:tbl>
      <w:tblPr>
        <w:tblStyle w:val="45"/>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14:paraId="5FFD2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BD95D00">
            <w:pPr>
              <w:snapToGrid w:val="0"/>
              <w:jc w:val="center"/>
              <w:rPr>
                <w:snapToGrid w:val="0"/>
                <w:color w:val="auto"/>
                <w:szCs w:val="21"/>
                <w:highlight w:val="none"/>
              </w:rPr>
            </w:pPr>
            <w:r>
              <w:rPr>
                <w:rFonts w:hint="eastAsia" w:ascii="宋体" w:hAnsi="宋体"/>
                <w:color w:val="auto"/>
                <w:sz w:val="24"/>
                <w:highlight w:val="none"/>
              </w:rPr>
              <w:t>姓名</w:t>
            </w:r>
          </w:p>
        </w:tc>
        <w:tc>
          <w:tcPr>
            <w:tcW w:w="1653" w:type="dxa"/>
            <w:vAlign w:val="center"/>
          </w:tcPr>
          <w:p w14:paraId="55AD7568">
            <w:pPr>
              <w:snapToGrid w:val="0"/>
              <w:jc w:val="center"/>
              <w:rPr>
                <w:snapToGrid w:val="0"/>
                <w:color w:val="auto"/>
                <w:szCs w:val="21"/>
                <w:highlight w:val="none"/>
              </w:rPr>
            </w:pPr>
            <w:r>
              <w:rPr>
                <w:rFonts w:hint="eastAsia" w:ascii="宋体" w:hAnsi="宋体"/>
                <w:color w:val="auto"/>
                <w:sz w:val="24"/>
                <w:highlight w:val="none"/>
              </w:rPr>
              <w:t>职称</w:t>
            </w:r>
          </w:p>
        </w:tc>
        <w:tc>
          <w:tcPr>
            <w:tcW w:w="1240" w:type="dxa"/>
            <w:vAlign w:val="center"/>
          </w:tcPr>
          <w:p w14:paraId="102F2229">
            <w:pPr>
              <w:snapToGrid w:val="0"/>
              <w:jc w:val="center"/>
              <w:rPr>
                <w:snapToGrid w:val="0"/>
                <w:color w:val="auto"/>
                <w:szCs w:val="21"/>
                <w:highlight w:val="none"/>
              </w:rPr>
            </w:pPr>
            <w:r>
              <w:rPr>
                <w:rFonts w:hint="eastAsia" w:ascii="宋体" w:hAnsi="宋体"/>
                <w:color w:val="auto"/>
                <w:sz w:val="24"/>
                <w:highlight w:val="none"/>
              </w:rPr>
              <w:t>文化程度</w:t>
            </w:r>
          </w:p>
        </w:tc>
        <w:tc>
          <w:tcPr>
            <w:tcW w:w="1033" w:type="dxa"/>
            <w:vAlign w:val="center"/>
          </w:tcPr>
          <w:p w14:paraId="2C46FA7F">
            <w:pPr>
              <w:snapToGrid w:val="0"/>
              <w:jc w:val="center"/>
              <w:rPr>
                <w:snapToGrid w:val="0"/>
                <w:color w:val="auto"/>
                <w:szCs w:val="21"/>
                <w:highlight w:val="none"/>
              </w:rPr>
            </w:pPr>
            <w:r>
              <w:rPr>
                <w:rFonts w:hint="eastAsia" w:ascii="宋体" w:hAnsi="宋体"/>
                <w:color w:val="auto"/>
                <w:sz w:val="24"/>
                <w:highlight w:val="none"/>
              </w:rPr>
              <w:t>专业技术资格</w:t>
            </w:r>
          </w:p>
        </w:tc>
        <w:tc>
          <w:tcPr>
            <w:tcW w:w="1343" w:type="dxa"/>
            <w:vAlign w:val="center"/>
          </w:tcPr>
          <w:p w14:paraId="3463E1CC">
            <w:pPr>
              <w:snapToGrid w:val="0"/>
              <w:jc w:val="center"/>
              <w:rPr>
                <w:snapToGrid w:val="0"/>
                <w:color w:val="auto"/>
                <w:szCs w:val="21"/>
                <w:highlight w:val="none"/>
              </w:rPr>
            </w:pPr>
            <w:r>
              <w:rPr>
                <w:rFonts w:hint="eastAsia" w:ascii="宋体" w:hAnsi="宋体"/>
                <w:color w:val="auto"/>
                <w:sz w:val="24"/>
                <w:highlight w:val="none"/>
              </w:rPr>
              <w:t>证书编号</w:t>
            </w:r>
          </w:p>
        </w:tc>
        <w:tc>
          <w:tcPr>
            <w:tcW w:w="2580" w:type="dxa"/>
            <w:vAlign w:val="center"/>
          </w:tcPr>
          <w:p w14:paraId="255CDA36">
            <w:pPr>
              <w:snapToGrid w:val="0"/>
              <w:jc w:val="center"/>
              <w:rPr>
                <w:snapToGrid w:val="0"/>
                <w:color w:val="auto"/>
                <w:szCs w:val="21"/>
                <w:highlight w:val="none"/>
              </w:rPr>
            </w:pPr>
            <w:r>
              <w:rPr>
                <w:rFonts w:hint="eastAsia" w:ascii="宋体" w:hAnsi="宋体"/>
                <w:bCs/>
                <w:color w:val="auto"/>
                <w:sz w:val="24"/>
                <w:highlight w:val="none"/>
              </w:rPr>
              <w:t>参加本单位工作时间</w:t>
            </w:r>
          </w:p>
        </w:tc>
      </w:tr>
      <w:tr w14:paraId="12C3A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7396433">
            <w:pPr>
              <w:jc w:val="center"/>
              <w:rPr>
                <w:snapToGrid w:val="0"/>
                <w:color w:val="auto"/>
                <w:highlight w:val="none"/>
              </w:rPr>
            </w:pPr>
          </w:p>
        </w:tc>
        <w:tc>
          <w:tcPr>
            <w:tcW w:w="1653" w:type="dxa"/>
            <w:vAlign w:val="center"/>
          </w:tcPr>
          <w:p w14:paraId="13CFE414">
            <w:pPr>
              <w:jc w:val="center"/>
              <w:rPr>
                <w:snapToGrid w:val="0"/>
                <w:color w:val="auto"/>
                <w:highlight w:val="none"/>
              </w:rPr>
            </w:pPr>
          </w:p>
        </w:tc>
        <w:tc>
          <w:tcPr>
            <w:tcW w:w="1240" w:type="dxa"/>
            <w:vAlign w:val="center"/>
          </w:tcPr>
          <w:p w14:paraId="3C045FEC">
            <w:pPr>
              <w:jc w:val="center"/>
              <w:rPr>
                <w:snapToGrid w:val="0"/>
                <w:color w:val="auto"/>
                <w:highlight w:val="none"/>
              </w:rPr>
            </w:pPr>
          </w:p>
        </w:tc>
        <w:tc>
          <w:tcPr>
            <w:tcW w:w="1033" w:type="dxa"/>
            <w:vAlign w:val="center"/>
          </w:tcPr>
          <w:p w14:paraId="5DC9C240">
            <w:pPr>
              <w:jc w:val="center"/>
              <w:rPr>
                <w:snapToGrid w:val="0"/>
                <w:color w:val="auto"/>
                <w:highlight w:val="none"/>
              </w:rPr>
            </w:pPr>
          </w:p>
        </w:tc>
        <w:tc>
          <w:tcPr>
            <w:tcW w:w="1343" w:type="dxa"/>
            <w:vAlign w:val="center"/>
          </w:tcPr>
          <w:p w14:paraId="6466E9E4">
            <w:pPr>
              <w:jc w:val="center"/>
              <w:rPr>
                <w:snapToGrid w:val="0"/>
                <w:color w:val="auto"/>
                <w:highlight w:val="none"/>
              </w:rPr>
            </w:pPr>
          </w:p>
        </w:tc>
        <w:tc>
          <w:tcPr>
            <w:tcW w:w="2580" w:type="dxa"/>
            <w:vAlign w:val="center"/>
          </w:tcPr>
          <w:p w14:paraId="4BA6AD0A">
            <w:pPr>
              <w:jc w:val="center"/>
              <w:rPr>
                <w:snapToGrid w:val="0"/>
                <w:color w:val="auto"/>
                <w:highlight w:val="none"/>
              </w:rPr>
            </w:pPr>
          </w:p>
        </w:tc>
      </w:tr>
      <w:tr w14:paraId="124D8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AADA414">
            <w:pPr>
              <w:jc w:val="center"/>
              <w:rPr>
                <w:snapToGrid w:val="0"/>
                <w:color w:val="auto"/>
                <w:highlight w:val="none"/>
              </w:rPr>
            </w:pPr>
          </w:p>
        </w:tc>
        <w:tc>
          <w:tcPr>
            <w:tcW w:w="1653" w:type="dxa"/>
            <w:vAlign w:val="center"/>
          </w:tcPr>
          <w:p w14:paraId="0D4AC07A">
            <w:pPr>
              <w:jc w:val="center"/>
              <w:rPr>
                <w:snapToGrid w:val="0"/>
                <w:color w:val="auto"/>
                <w:highlight w:val="none"/>
              </w:rPr>
            </w:pPr>
          </w:p>
        </w:tc>
        <w:tc>
          <w:tcPr>
            <w:tcW w:w="1240" w:type="dxa"/>
            <w:vAlign w:val="center"/>
          </w:tcPr>
          <w:p w14:paraId="7F939D4D">
            <w:pPr>
              <w:jc w:val="center"/>
              <w:rPr>
                <w:snapToGrid w:val="0"/>
                <w:color w:val="auto"/>
                <w:highlight w:val="none"/>
              </w:rPr>
            </w:pPr>
          </w:p>
        </w:tc>
        <w:tc>
          <w:tcPr>
            <w:tcW w:w="1033" w:type="dxa"/>
            <w:vAlign w:val="center"/>
          </w:tcPr>
          <w:p w14:paraId="2124C422">
            <w:pPr>
              <w:jc w:val="center"/>
              <w:rPr>
                <w:snapToGrid w:val="0"/>
                <w:color w:val="auto"/>
                <w:highlight w:val="none"/>
              </w:rPr>
            </w:pPr>
          </w:p>
        </w:tc>
        <w:tc>
          <w:tcPr>
            <w:tcW w:w="1343" w:type="dxa"/>
            <w:vAlign w:val="center"/>
          </w:tcPr>
          <w:p w14:paraId="3A1C74B8">
            <w:pPr>
              <w:jc w:val="center"/>
              <w:rPr>
                <w:snapToGrid w:val="0"/>
                <w:color w:val="auto"/>
                <w:highlight w:val="none"/>
              </w:rPr>
            </w:pPr>
          </w:p>
        </w:tc>
        <w:tc>
          <w:tcPr>
            <w:tcW w:w="2580" w:type="dxa"/>
            <w:vAlign w:val="center"/>
          </w:tcPr>
          <w:p w14:paraId="6F8D274E">
            <w:pPr>
              <w:jc w:val="center"/>
              <w:rPr>
                <w:snapToGrid w:val="0"/>
                <w:color w:val="auto"/>
                <w:highlight w:val="none"/>
              </w:rPr>
            </w:pPr>
          </w:p>
        </w:tc>
      </w:tr>
      <w:tr w14:paraId="72DD1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E80F9B3">
            <w:pPr>
              <w:jc w:val="center"/>
              <w:rPr>
                <w:snapToGrid w:val="0"/>
                <w:color w:val="auto"/>
                <w:highlight w:val="none"/>
              </w:rPr>
            </w:pPr>
          </w:p>
        </w:tc>
        <w:tc>
          <w:tcPr>
            <w:tcW w:w="1653" w:type="dxa"/>
            <w:vAlign w:val="center"/>
          </w:tcPr>
          <w:p w14:paraId="74CBD5EA">
            <w:pPr>
              <w:jc w:val="center"/>
              <w:rPr>
                <w:snapToGrid w:val="0"/>
                <w:color w:val="auto"/>
                <w:highlight w:val="none"/>
              </w:rPr>
            </w:pPr>
          </w:p>
        </w:tc>
        <w:tc>
          <w:tcPr>
            <w:tcW w:w="1240" w:type="dxa"/>
            <w:vAlign w:val="center"/>
          </w:tcPr>
          <w:p w14:paraId="19144CD6">
            <w:pPr>
              <w:jc w:val="center"/>
              <w:rPr>
                <w:snapToGrid w:val="0"/>
                <w:color w:val="auto"/>
                <w:highlight w:val="none"/>
              </w:rPr>
            </w:pPr>
          </w:p>
        </w:tc>
        <w:tc>
          <w:tcPr>
            <w:tcW w:w="1033" w:type="dxa"/>
            <w:vAlign w:val="center"/>
          </w:tcPr>
          <w:p w14:paraId="1FCFB4C5">
            <w:pPr>
              <w:jc w:val="center"/>
              <w:rPr>
                <w:snapToGrid w:val="0"/>
                <w:color w:val="auto"/>
                <w:highlight w:val="none"/>
              </w:rPr>
            </w:pPr>
          </w:p>
        </w:tc>
        <w:tc>
          <w:tcPr>
            <w:tcW w:w="1343" w:type="dxa"/>
            <w:vAlign w:val="center"/>
          </w:tcPr>
          <w:p w14:paraId="53F5EAFC">
            <w:pPr>
              <w:jc w:val="center"/>
              <w:rPr>
                <w:snapToGrid w:val="0"/>
                <w:color w:val="auto"/>
                <w:highlight w:val="none"/>
              </w:rPr>
            </w:pPr>
          </w:p>
        </w:tc>
        <w:tc>
          <w:tcPr>
            <w:tcW w:w="2580" w:type="dxa"/>
            <w:vAlign w:val="center"/>
          </w:tcPr>
          <w:p w14:paraId="3E7ED1BC">
            <w:pPr>
              <w:jc w:val="center"/>
              <w:rPr>
                <w:snapToGrid w:val="0"/>
                <w:color w:val="auto"/>
                <w:highlight w:val="none"/>
              </w:rPr>
            </w:pPr>
          </w:p>
        </w:tc>
      </w:tr>
      <w:tr w14:paraId="6A1CC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6CD26AB">
            <w:pPr>
              <w:jc w:val="center"/>
              <w:rPr>
                <w:snapToGrid w:val="0"/>
                <w:color w:val="auto"/>
                <w:highlight w:val="none"/>
              </w:rPr>
            </w:pPr>
          </w:p>
        </w:tc>
        <w:tc>
          <w:tcPr>
            <w:tcW w:w="1653" w:type="dxa"/>
            <w:vAlign w:val="center"/>
          </w:tcPr>
          <w:p w14:paraId="034F9383">
            <w:pPr>
              <w:jc w:val="center"/>
              <w:rPr>
                <w:snapToGrid w:val="0"/>
                <w:color w:val="auto"/>
                <w:highlight w:val="none"/>
              </w:rPr>
            </w:pPr>
          </w:p>
        </w:tc>
        <w:tc>
          <w:tcPr>
            <w:tcW w:w="1240" w:type="dxa"/>
            <w:vAlign w:val="center"/>
          </w:tcPr>
          <w:p w14:paraId="76997036">
            <w:pPr>
              <w:jc w:val="center"/>
              <w:rPr>
                <w:snapToGrid w:val="0"/>
                <w:color w:val="auto"/>
                <w:highlight w:val="none"/>
              </w:rPr>
            </w:pPr>
          </w:p>
        </w:tc>
        <w:tc>
          <w:tcPr>
            <w:tcW w:w="1033" w:type="dxa"/>
            <w:vAlign w:val="center"/>
          </w:tcPr>
          <w:p w14:paraId="1668846C">
            <w:pPr>
              <w:jc w:val="center"/>
              <w:rPr>
                <w:snapToGrid w:val="0"/>
                <w:color w:val="auto"/>
                <w:highlight w:val="none"/>
              </w:rPr>
            </w:pPr>
          </w:p>
        </w:tc>
        <w:tc>
          <w:tcPr>
            <w:tcW w:w="1343" w:type="dxa"/>
            <w:vAlign w:val="center"/>
          </w:tcPr>
          <w:p w14:paraId="0513EBF9">
            <w:pPr>
              <w:jc w:val="center"/>
              <w:rPr>
                <w:snapToGrid w:val="0"/>
                <w:color w:val="auto"/>
                <w:highlight w:val="none"/>
              </w:rPr>
            </w:pPr>
          </w:p>
        </w:tc>
        <w:tc>
          <w:tcPr>
            <w:tcW w:w="2580" w:type="dxa"/>
            <w:vAlign w:val="center"/>
          </w:tcPr>
          <w:p w14:paraId="510F790A">
            <w:pPr>
              <w:jc w:val="center"/>
              <w:rPr>
                <w:snapToGrid w:val="0"/>
                <w:color w:val="auto"/>
                <w:highlight w:val="none"/>
              </w:rPr>
            </w:pPr>
          </w:p>
        </w:tc>
      </w:tr>
      <w:tr w14:paraId="740B4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B59AAC5">
            <w:pPr>
              <w:jc w:val="center"/>
              <w:rPr>
                <w:snapToGrid w:val="0"/>
                <w:color w:val="auto"/>
                <w:highlight w:val="none"/>
              </w:rPr>
            </w:pPr>
          </w:p>
        </w:tc>
        <w:tc>
          <w:tcPr>
            <w:tcW w:w="1653" w:type="dxa"/>
            <w:vAlign w:val="center"/>
          </w:tcPr>
          <w:p w14:paraId="30D402F6">
            <w:pPr>
              <w:jc w:val="center"/>
              <w:rPr>
                <w:snapToGrid w:val="0"/>
                <w:color w:val="auto"/>
                <w:highlight w:val="none"/>
              </w:rPr>
            </w:pPr>
          </w:p>
        </w:tc>
        <w:tc>
          <w:tcPr>
            <w:tcW w:w="1240" w:type="dxa"/>
            <w:vAlign w:val="center"/>
          </w:tcPr>
          <w:p w14:paraId="7ED3C0A8">
            <w:pPr>
              <w:jc w:val="center"/>
              <w:rPr>
                <w:snapToGrid w:val="0"/>
                <w:color w:val="auto"/>
                <w:highlight w:val="none"/>
              </w:rPr>
            </w:pPr>
          </w:p>
        </w:tc>
        <w:tc>
          <w:tcPr>
            <w:tcW w:w="1033" w:type="dxa"/>
            <w:vAlign w:val="center"/>
          </w:tcPr>
          <w:p w14:paraId="53137A51">
            <w:pPr>
              <w:jc w:val="center"/>
              <w:rPr>
                <w:snapToGrid w:val="0"/>
                <w:color w:val="auto"/>
                <w:highlight w:val="none"/>
              </w:rPr>
            </w:pPr>
          </w:p>
        </w:tc>
        <w:tc>
          <w:tcPr>
            <w:tcW w:w="1343" w:type="dxa"/>
            <w:vAlign w:val="center"/>
          </w:tcPr>
          <w:p w14:paraId="18E56D1E">
            <w:pPr>
              <w:jc w:val="center"/>
              <w:rPr>
                <w:snapToGrid w:val="0"/>
                <w:color w:val="auto"/>
                <w:highlight w:val="none"/>
              </w:rPr>
            </w:pPr>
          </w:p>
        </w:tc>
        <w:tc>
          <w:tcPr>
            <w:tcW w:w="2580" w:type="dxa"/>
            <w:vAlign w:val="center"/>
          </w:tcPr>
          <w:p w14:paraId="7792949A">
            <w:pPr>
              <w:jc w:val="center"/>
              <w:rPr>
                <w:snapToGrid w:val="0"/>
                <w:color w:val="auto"/>
                <w:highlight w:val="none"/>
              </w:rPr>
            </w:pPr>
          </w:p>
        </w:tc>
      </w:tr>
      <w:tr w14:paraId="1A288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BA6E56C">
            <w:pPr>
              <w:jc w:val="center"/>
              <w:rPr>
                <w:snapToGrid w:val="0"/>
                <w:color w:val="auto"/>
                <w:highlight w:val="none"/>
              </w:rPr>
            </w:pPr>
          </w:p>
        </w:tc>
        <w:tc>
          <w:tcPr>
            <w:tcW w:w="1653" w:type="dxa"/>
            <w:vAlign w:val="center"/>
          </w:tcPr>
          <w:p w14:paraId="59372DBF">
            <w:pPr>
              <w:jc w:val="center"/>
              <w:rPr>
                <w:snapToGrid w:val="0"/>
                <w:color w:val="auto"/>
                <w:highlight w:val="none"/>
              </w:rPr>
            </w:pPr>
          </w:p>
        </w:tc>
        <w:tc>
          <w:tcPr>
            <w:tcW w:w="1240" w:type="dxa"/>
            <w:vAlign w:val="center"/>
          </w:tcPr>
          <w:p w14:paraId="5081FA36">
            <w:pPr>
              <w:jc w:val="center"/>
              <w:rPr>
                <w:snapToGrid w:val="0"/>
                <w:color w:val="auto"/>
                <w:highlight w:val="none"/>
              </w:rPr>
            </w:pPr>
          </w:p>
        </w:tc>
        <w:tc>
          <w:tcPr>
            <w:tcW w:w="1033" w:type="dxa"/>
            <w:vAlign w:val="center"/>
          </w:tcPr>
          <w:p w14:paraId="1F3BCA2A">
            <w:pPr>
              <w:jc w:val="center"/>
              <w:rPr>
                <w:snapToGrid w:val="0"/>
                <w:color w:val="auto"/>
                <w:highlight w:val="none"/>
              </w:rPr>
            </w:pPr>
          </w:p>
        </w:tc>
        <w:tc>
          <w:tcPr>
            <w:tcW w:w="1343" w:type="dxa"/>
            <w:vAlign w:val="center"/>
          </w:tcPr>
          <w:p w14:paraId="079E6243">
            <w:pPr>
              <w:jc w:val="center"/>
              <w:rPr>
                <w:snapToGrid w:val="0"/>
                <w:color w:val="auto"/>
                <w:highlight w:val="none"/>
              </w:rPr>
            </w:pPr>
          </w:p>
        </w:tc>
        <w:tc>
          <w:tcPr>
            <w:tcW w:w="2580" w:type="dxa"/>
            <w:vAlign w:val="center"/>
          </w:tcPr>
          <w:p w14:paraId="52C1716A">
            <w:pPr>
              <w:jc w:val="center"/>
              <w:rPr>
                <w:snapToGrid w:val="0"/>
                <w:color w:val="auto"/>
                <w:highlight w:val="none"/>
              </w:rPr>
            </w:pPr>
          </w:p>
        </w:tc>
      </w:tr>
      <w:tr w14:paraId="7D22F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2DBA176">
            <w:pPr>
              <w:jc w:val="center"/>
              <w:rPr>
                <w:snapToGrid w:val="0"/>
                <w:color w:val="auto"/>
                <w:highlight w:val="none"/>
              </w:rPr>
            </w:pPr>
          </w:p>
        </w:tc>
        <w:tc>
          <w:tcPr>
            <w:tcW w:w="1653" w:type="dxa"/>
            <w:vAlign w:val="center"/>
          </w:tcPr>
          <w:p w14:paraId="3B6C9FB5">
            <w:pPr>
              <w:jc w:val="center"/>
              <w:rPr>
                <w:snapToGrid w:val="0"/>
                <w:color w:val="auto"/>
                <w:highlight w:val="none"/>
              </w:rPr>
            </w:pPr>
          </w:p>
        </w:tc>
        <w:tc>
          <w:tcPr>
            <w:tcW w:w="1240" w:type="dxa"/>
            <w:vAlign w:val="center"/>
          </w:tcPr>
          <w:p w14:paraId="46897222">
            <w:pPr>
              <w:jc w:val="center"/>
              <w:rPr>
                <w:snapToGrid w:val="0"/>
                <w:color w:val="auto"/>
                <w:highlight w:val="none"/>
              </w:rPr>
            </w:pPr>
          </w:p>
        </w:tc>
        <w:tc>
          <w:tcPr>
            <w:tcW w:w="1033" w:type="dxa"/>
            <w:vAlign w:val="center"/>
          </w:tcPr>
          <w:p w14:paraId="64F0DF2F">
            <w:pPr>
              <w:jc w:val="center"/>
              <w:rPr>
                <w:snapToGrid w:val="0"/>
                <w:color w:val="auto"/>
                <w:highlight w:val="none"/>
              </w:rPr>
            </w:pPr>
          </w:p>
        </w:tc>
        <w:tc>
          <w:tcPr>
            <w:tcW w:w="1343" w:type="dxa"/>
            <w:vAlign w:val="center"/>
          </w:tcPr>
          <w:p w14:paraId="5D45F523">
            <w:pPr>
              <w:jc w:val="center"/>
              <w:rPr>
                <w:snapToGrid w:val="0"/>
                <w:color w:val="auto"/>
                <w:highlight w:val="none"/>
              </w:rPr>
            </w:pPr>
          </w:p>
        </w:tc>
        <w:tc>
          <w:tcPr>
            <w:tcW w:w="2580" w:type="dxa"/>
            <w:vAlign w:val="center"/>
          </w:tcPr>
          <w:p w14:paraId="77CAC143">
            <w:pPr>
              <w:jc w:val="center"/>
              <w:rPr>
                <w:snapToGrid w:val="0"/>
                <w:color w:val="auto"/>
                <w:highlight w:val="none"/>
              </w:rPr>
            </w:pPr>
          </w:p>
        </w:tc>
      </w:tr>
      <w:tr w14:paraId="0A7DE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217EF29">
            <w:pPr>
              <w:jc w:val="center"/>
              <w:rPr>
                <w:snapToGrid w:val="0"/>
                <w:color w:val="auto"/>
                <w:highlight w:val="none"/>
              </w:rPr>
            </w:pPr>
          </w:p>
        </w:tc>
        <w:tc>
          <w:tcPr>
            <w:tcW w:w="1653" w:type="dxa"/>
            <w:vAlign w:val="center"/>
          </w:tcPr>
          <w:p w14:paraId="457451F9">
            <w:pPr>
              <w:jc w:val="center"/>
              <w:rPr>
                <w:snapToGrid w:val="0"/>
                <w:color w:val="auto"/>
                <w:highlight w:val="none"/>
              </w:rPr>
            </w:pPr>
          </w:p>
        </w:tc>
        <w:tc>
          <w:tcPr>
            <w:tcW w:w="1240" w:type="dxa"/>
            <w:vAlign w:val="center"/>
          </w:tcPr>
          <w:p w14:paraId="4E86F2FB">
            <w:pPr>
              <w:jc w:val="center"/>
              <w:rPr>
                <w:snapToGrid w:val="0"/>
                <w:color w:val="auto"/>
                <w:highlight w:val="none"/>
              </w:rPr>
            </w:pPr>
          </w:p>
        </w:tc>
        <w:tc>
          <w:tcPr>
            <w:tcW w:w="1033" w:type="dxa"/>
            <w:vAlign w:val="center"/>
          </w:tcPr>
          <w:p w14:paraId="6800E5A7">
            <w:pPr>
              <w:jc w:val="center"/>
              <w:rPr>
                <w:snapToGrid w:val="0"/>
                <w:color w:val="auto"/>
                <w:highlight w:val="none"/>
              </w:rPr>
            </w:pPr>
          </w:p>
        </w:tc>
        <w:tc>
          <w:tcPr>
            <w:tcW w:w="1343" w:type="dxa"/>
            <w:vAlign w:val="center"/>
          </w:tcPr>
          <w:p w14:paraId="0228E562">
            <w:pPr>
              <w:jc w:val="center"/>
              <w:rPr>
                <w:snapToGrid w:val="0"/>
                <w:color w:val="auto"/>
                <w:highlight w:val="none"/>
              </w:rPr>
            </w:pPr>
          </w:p>
        </w:tc>
        <w:tc>
          <w:tcPr>
            <w:tcW w:w="2580" w:type="dxa"/>
            <w:vAlign w:val="center"/>
          </w:tcPr>
          <w:p w14:paraId="492A0AE7">
            <w:pPr>
              <w:jc w:val="center"/>
              <w:rPr>
                <w:snapToGrid w:val="0"/>
                <w:color w:val="auto"/>
                <w:highlight w:val="none"/>
              </w:rPr>
            </w:pPr>
          </w:p>
        </w:tc>
      </w:tr>
      <w:tr w14:paraId="03159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B4259AC">
            <w:pPr>
              <w:jc w:val="center"/>
              <w:rPr>
                <w:snapToGrid w:val="0"/>
                <w:color w:val="auto"/>
                <w:highlight w:val="none"/>
              </w:rPr>
            </w:pPr>
          </w:p>
        </w:tc>
        <w:tc>
          <w:tcPr>
            <w:tcW w:w="1653" w:type="dxa"/>
            <w:vAlign w:val="center"/>
          </w:tcPr>
          <w:p w14:paraId="494BF7A9">
            <w:pPr>
              <w:jc w:val="center"/>
              <w:rPr>
                <w:snapToGrid w:val="0"/>
                <w:color w:val="auto"/>
                <w:highlight w:val="none"/>
              </w:rPr>
            </w:pPr>
          </w:p>
        </w:tc>
        <w:tc>
          <w:tcPr>
            <w:tcW w:w="1240" w:type="dxa"/>
            <w:vAlign w:val="center"/>
          </w:tcPr>
          <w:p w14:paraId="2F530C54">
            <w:pPr>
              <w:jc w:val="center"/>
              <w:rPr>
                <w:snapToGrid w:val="0"/>
                <w:color w:val="auto"/>
                <w:highlight w:val="none"/>
              </w:rPr>
            </w:pPr>
          </w:p>
        </w:tc>
        <w:tc>
          <w:tcPr>
            <w:tcW w:w="1033" w:type="dxa"/>
            <w:vAlign w:val="center"/>
          </w:tcPr>
          <w:p w14:paraId="0162E38D">
            <w:pPr>
              <w:jc w:val="center"/>
              <w:rPr>
                <w:snapToGrid w:val="0"/>
                <w:color w:val="auto"/>
                <w:highlight w:val="none"/>
              </w:rPr>
            </w:pPr>
          </w:p>
        </w:tc>
        <w:tc>
          <w:tcPr>
            <w:tcW w:w="1343" w:type="dxa"/>
            <w:vAlign w:val="center"/>
          </w:tcPr>
          <w:p w14:paraId="5B5A8C58">
            <w:pPr>
              <w:jc w:val="center"/>
              <w:rPr>
                <w:snapToGrid w:val="0"/>
                <w:color w:val="auto"/>
                <w:highlight w:val="none"/>
              </w:rPr>
            </w:pPr>
          </w:p>
        </w:tc>
        <w:tc>
          <w:tcPr>
            <w:tcW w:w="2580" w:type="dxa"/>
            <w:vAlign w:val="center"/>
          </w:tcPr>
          <w:p w14:paraId="63C2C19F">
            <w:pPr>
              <w:jc w:val="center"/>
              <w:rPr>
                <w:snapToGrid w:val="0"/>
                <w:color w:val="auto"/>
                <w:highlight w:val="none"/>
              </w:rPr>
            </w:pPr>
          </w:p>
        </w:tc>
      </w:tr>
      <w:tr w14:paraId="453D3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90364BD">
            <w:pPr>
              <w:jc w:val="center"/>
              <w:rPr>
                <w:snapToGrid w:val="0"/>
                <w:color w:val="auto"/>
                <w:highlight w:val="none"/>
              </w:rPr>
            </w:pPr>
          </w:p>
        </w:tc>
        <w:tc>
          <w:tcPr>
            <w:tcW w:w="1653" w:type="dxa"/>
            <w:vAlign w:val="center"/>
          </w:tcPr>
          <w:p w14:paraId="0DED1E1C">
            <w:pPr>
              <w:jc w:val="center"/>
              <w:rPr>
                <w:snapToGrid w:val="0"/>
                <w:color w:val="auto"/>
                <w:highlight w:val="none"/>
              </w:rPr>
            </w:pPr>
          </w:p>
        </w:tc>
        <w:tc>
          <w:tcPr>
            <w:tcW w:w="1240" w:type="dxa"/>
            <w:vAlign w:val="center"/>
          </w:tcPr>
          <w:p w14:paraId="67867E03">
            <w:pPr>
              <w:jc w:val="center"/>
              <w:rPr>
                <w:snapToGrid w:val="0"/>
                <w:color w:val="auto"/>
                <w:highlight w:val="none"/>
              </w:rPr>
            </w:pPr>
          </w:p>
        </w:tc>
        <w:tc>
          <w:tcPr>
            <w:tcW w:w="1033" w:type="dxa"/>
            <w:vAlign w:val="center"/>
          </w:tcPr>
          <w:p w14:paraId="3F34D458">
            <w:pPr>
              <w:jc w:val="center"/>
              <w:rPr>
                <w:snapToGrid w:val="0"/>
                <w:color w:val="auto"/>
                <w:highlight w:val="none"/>
              </w:rPr>
            </w:pPr>
          </w:p>
        </w:tc>
        <w:tc>
          <w:tcPr>
            <w:tcW w:w="1343" w:type="dxa"/>
            <w:vAlign w:val="center"/>
          </w:tcPr>
          <w:p w14:paraId="5536380C">
            <w:pPr>
              <w:jc w:val="center"/>
              <w:rPr>
                <w:snapToGrid w:val="0"/>
                <w:color w:val="auto"/>
                <w:highlight w:val="none"/>
              </w:rPr>
            </w:pPr>
          </w:p>
        </w:tc>
        <w:tc>
          <w:tcPr>
            <w:tcW w:w="2580" w:type="dxa"/>
            <w:vAlign w:val="center"/>
          </w:tcPr>
          <w:p w14:paraId="6ADA27F0">
            <w:pPr>
              <w:jc w:val="center"/>
              <w:rPr>
                <w:snapToGrid w:val="0"/>
                <w:color w:val="auto"/>
                <w:highlight w:val="none"/>
              </w:rPr>
            </w:pPr>
          </w:p>
        </w:tc>
      </w:tr>
      <w:tr w14:paraId="0DC86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96A5641">
            <w:pPr>
              <w:jc w:val="center"/>
              <w:rPr>
                <w:snapToGrid w:val="0"/>
                <w:color w:val="auto"/>
                <w:highlight w:val="none"/>
              </w:rPr>
            </w:pPr>
          </w:p>
        </w:tc>
        <w:tc>
          <w:tcPr>
            <w:tcW w:w="1653" w:type="dxa"/>
            <w:vAlign w:val="center"/>
          </w:tcPr>
          <w:p w14:paraId="1FBB6291">
            <w:pPr>
              <w:jc w:val="center"/>
              <w:rPr>
                <w:snapToGrid w:val="0"/>
                <w:color w:val="auto"/>
                <w:highlight w:val="none"/>
              </w:rPr>
            </w:pPr>
          </w:p>
        </w:tc>
        <w:tc>
          <w:tcPr>
            <w:tcW w:w="1240" w:type="dxa"/>
            <w:vAlign w:val="center"/>
          </w:tcPr>
          <w:p w14:paraId="2D4C833C">
            <w:pPr>
              <w:jc w:val="center"/>
              <w:rPr>
                <w:snapToGrid w:val="0"/>
                <w:color w:val="auto"/>
                <w:highlight w:val="none"/>
              </w:rPr>
            </w:pPr>
          </w:p>
        </w:tc>
        <w:tc>
          <w:tcPr>
            <w:tcW w:w="1033" w:type="dxa"/>
            <w:vAlign w:val="center"/>
          </w:tcPr>
          <w:p w14:paraId="28AE9494">
            <w:pPr>
              <w:jc w:val="center"/>
              <w:rPr>
                <w:snapToGrid w:val="0"/>
                <w:color w:val="auto"/>
                <w:highlight w:val="none"/>
              </w:rPr>
            </w:pPr>
          </w:p>
        </w:tc>
        <w:tc>
          <w:tcPr>
            <w:tcW w:w="1343" w:type="dxa"/>
            <w:vAlign w:val="center"/>
          </w:tcPr>
          <w:p w14:paraId="2F6BCCA7">
            <w:pPr>
              <w:jc w:val="center"/>
              <w:rPr>
                <w:snapToGrid w:val="0"/>
                <w:color w:val="auto"/>
                <w:highlight w:val="none"/>
              </w:rPr>
            </w:pPr>
          </w:p>
        </w:tc>
        <w:tc>
          <w:tcPr>
            <w:tcW w:w="2580" w:type="dxa"/>
            <w:vAlign w:val="center"/>
          </w:tcPr>
          <w:p w14:paraId="5C0EEC6B">
            <w:pPr>
              <w:jc w:val="center"/>
              <w:rPr>
                <w:snapToGrid w:val="0"/>
                <w:color w:val="auto"/>
                <w:highlight w:val="none"/>
              </w:rPr>
            </w:pPr>
          </w:p>
        </w:tc>
      </w:tr>
      <w:tr w14:paraId="49974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0D3540D">
            <w:pPr>
              <w:jc w:val="center"/>
              <w:rPr>
                <w:snapToGrid w:val="0"/>
                <w:color w:val="auto"/>
                <w:highlight w:val="none"/>
              </w:rPr>
            </w:pPr>
          </w:p>
        </w:tc>
        <w:tc>
          <w:tcPr>
            <w:tcW w:w="1653" w:type="dxa"/>
            <w:vAlign w:val="center"/>
          </w:tcPr>
          <w:p w14:paraId="598D2E92">
            <w:pPr>
              <w:jc w:val="center"/>
              <w:rPr>
                <w:snapToGrid w:val="0"/>
                <w:color w:val="auto"/>
                <w:highlight w:val="none"/>
              </w:rPr>
            </w:pPr>
          </w:p>
        </w:tc>
        <w:tc>
          <w:tcPr>
            <w:tcW w:w="1240" w:type="dxa"/>
            <w:vAlign w:val="center"/>
          </w:tcPr>
          <w:p w14:paraId="296EBA60">
            <w:pPr>
              <w:jc w:val="center"/>
              <w:rPr>
                <w:snapToGrid w:val="0"/>
                <w:color w:val="auto"/>
                <w:highlight w:val="none"/>
              </w:rPr>
            </w:pPr>
          </w:p>
        </w:tc>
        <w:tc>
          <w:tcPr>
            <w:tcW w:w="1033" w:type="dxa"/>
            <w:vAlign w:val="center"/>
          </w:tcPr>
          <w:p w14:paraId="44282A30">
            <w:pPr>
              <w:jc w:val="center"/>
              <w:rPr>
                <w:snapToGrid w:val="0"/>
                <w:color w:val="auto"/>
                <w:highlight w:val="none"/>
              </w:rPr>
            </w:pPr>
          </w:p>
        </w:tc>
        <w:tc>
          <w:tcPr>
            <w:tcW w:w="1343" w:type="dxa"/>
            <w:vAlign w:val="center"/>
          </w:tcPr>
          <w:p w14:paraId="5D0B6917">
            <w:pPr>
              <w:jc w:val="center"/>
              <w:rPr>
                <w:snapToGrid w:val="0"/>
                <w:color w:val="auto"/>
                <w:highlight w:val="none"/>
              </w:rPr>
            </w:pPr>
          </w:p>
        </w:tc>
        <w:tc>
          <w:tcPr>
            <w:tcW w:w="2580" w:type="dxa"/>
            <w:vAlign w:val="center"/>
          </w:tcPr>
          <w:p w14:paraId="54566399">
            <w:pPr>
              <w:jc w:val="center"/>
              <w:rPr>
                <w:snapToGrid w:val="0"/>
                <w:color w:val="auto"/>
                <w:highlight w:val="none"/>
              </w:rPr>
            </w:pPr>
          </w:p>
        </w:tc>
      </w:tr>
      <w:tr w14:paraId="6D13E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4AA51C6">
            <w:pPr>
              <w:jc w:val="center"/>
              <w:rPr>
                <w:snapToGrid w:val="0"/>
                <w:color w:val="auto"/>
                <w:highlight w:val="none"/>
              </w:rPr>
            </w:pPr>
          </w:p>
        </w:tc>
        <w:tc>
          <w:tcPr>
            <w:tcW w:w="1653" w:type="dxa"/>
            <w:vAlign w:val="center"/>
          </w:tcPr>
          <w:p w14:paraId="1703644D">
            <w:pPr>
              <w:jc w:val="center"/>
              <w:rPr>
                <w:snapToGrid w:val="0"/>
                <w:color w:val="auto"/>
                <w:highlight w:val="none"/>
              </w:rPr>
            </w:pPr>
          </w:p>
        </w:tc>
        <w:tc>
          <w:tcPr>
            <w:tcW w:w="1240" w:type="dxa"/>
            <w:vAlign w:val="center"/>
          </w:tcPr>
          <w:p w14:paraId="062E9AFF">
            <w:pPr>
              <w:jc w:val="center"/>
              <w:rPr>
                <w:snapToGrid w:val="0"/>
                <w:color w:val="auto"/>
                <w:highlight w:val="none"/>
              </w:rPr>
            </w:pPr>
          </w:p>
        </w:tc>
        <w:tc>
          <w:tcPr>
            <w:tcW w:w="1033" w:type="dxa"/>
            <w:vAlign w:val="center"/>
          </w:tcPr>
          <w:p w14:paraId="691DD668">
            <w:pPr>
              <w:jc w:val="center"/>
              <w:rPr>
                <w:snapToGrid w:val="0"/>
                <w:color w:val="auto"/>
                <w:highlight w:val="none"/>
              </w:rPr>
            </w:pPr>
          </w:p>
        </w:tc>
        <w:tc>
          <w:tcPr>
            <w:tcW w:w="1343" w:type="dxa"/>
            <w:vAlign w:val="center"/>
          </w:tcPr>
          <w:p w14:paraId="5B731A75">
            <w:pPr>
              <w:jc w:val="center"/>
              <w:rPr>
                <w:snapToGrid w:val="0"/>
                <w:color w:val="auto"/>
                <w:highlight w:val="none"/>
              </w:rPr>
            </w:pPr>
          </w:p>
        </w:tc>
        <w:tc>
          <w:tcPr>
            <w:tcW w:w="2580" w:type="dxa"/>
            <w:vAlign w:val="center"/>
          </w:tcPr>
          <w:p w14:paraId="1E568F8A">
            <w:pPr>
              <w:jc w:val="center"/>
              <w:rPr>
                <w:snapToGrid w:val="0"/>
                <w:color w:val="auto"/>
                <w:highlight w:val="none"/>
              </w:rPr>
            </w:pPr>
          </w:p>
        </w:tc>
      </w:tr>
      <w:tr w14:paraId="0949F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3767CF4A">
            <w:pPr>
              <w:jc w:val="center"/>
              <w:rPr>
                <w:snapToGrid w:val="0"/>
                <w:color w:val="auto"/>
                <w:highlight w:val="none"/>
              </w:rPr>
            </w:pPr>
          </w:p>
        </w:tc>
        <w:tc>
          <w:tcPr>
            <w:tcW w:w="1653" w:type="dxa"/>
            <w:vAlign w:val="center"/>
          </w:tcPr>
          <w:p w14:paraId="42CCC17D">
            <w:pPr>
              <w:jc w:val="center"/>
              <w:rPr>
                <w:snapToGrid w:val="0"/>
                <w:color w:val="auto"/>
                <w:highlight w:val="none"/>
              </w:rPr>
            </w:pPr>
          </w:p>
        </w:tc>
        <w:tc>
          <w:tcPr>
            <w:tcW w:w="1240" w:type="dxa"/>
            <w:vAlign w:val="center"/>
          </w:tcPr>
          <w:p w14:paraId="28D40F6E">
            <w:pPr>
              <w:jc w:val="center"/>
              <w:rPr>
                <w:snapToGrid w:val="0"/>
                <w:color w:val="auto"/>
                <w:highlight w:val="none"/>
              </w:rPr>
            </w:pPr>
          </w:p>
        </w:tc>
        <w:tc>
          <w:tcPr>
            <w:tcW w:w="1033" w:type="dxa"/>
            <w:vAlign w:val="center"/>
          </w:tcPr>
          <w:p w14:paraId="719A3F3C">
            <w:pPr>
              <w:jc w:val="center"/>
              <w:rPr>
                <w:snapToGrid w:val="0"/>
                <w:color w:val="auto"/>
                <w:highlight w:val="none"/>
              </w:rPr>
            </w:pPr>
          </w:p>
        </w:tc>
        <w:tc>
          <w:tcPr>
            <w:tcW w:w="1343" w:type="dxa"/>
            <w:vAlign w:val="center"/>
          </w:tcPr>
          <w:p w14:paraId="7A18147B">
            <w:pPr>
              <w:jc w:val="center"/>
              <w:rPr>
                <w:snapToGrid w:val="0"/>
                <w:color w:val="auto"/>
                <w:highlight w:val="none"/>
              </w:rPr>
            </w:pPr>
          </w:p>
        </w:tc>
        <w:tc>
          <w:tcPr>
            <w:tcW w:w="2580" w:type="dxa"/>
            <w:vAlign w:val="center"/>
          </w:tcPr>
          <w:p w14:paraId="6A7CA52F">
            <w:pPr>
              <w:jc w:val="center"/>
              <w:rPr>
                <w:snapToGrid w:val="0"/>
                <w:color w:val="auto"/>
                <w:highlight w:val="none"/>
              </w:rPr>
            </w:pPr>
          </w:p>
        </w:tc>
      </w:tr>
      <w:tr w14:paraId="6E534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CFF4122">
            <w:pPr>
              <w:jc w:val="center"/>
              <w:rPr>
                <w:snapToGrid w:val="0"/>
                <w:color w:val="auto"/>
                <w:highlight w:val="none"/>
              </w:rPr>
            </w:pPr>
          </w:p>
        </w:tc>
        <w:tc>
          <w:tcPr>
            <w:tcW w:w="1653" w:type="dxa"/>
            <w:vAlign w:val="center"/>
          </w:tcPr>
          <w:p w14:paraId="2D7DEA99">
            <w:pPr>
              <w:jc w:val="center"/>
              <w:rPr>
                <w:snapToGrid w:val="0"/>
                <w:color w:val="auto"/>
                <w:highlight w:val="none"/>
              </w:rPr>
            </w:pPr>
          </w:p>
        </w:tc>
        <w:tc>
          <w:tcPr>
            <w:tcW w:w="1240" w:type="dxa"/>
            <w:vAlign w:val="center"/>
          </w:tcPr>
          <w:p w14:paraId="46093A4A">
            <w:pPr>
              <w:jc w:val="center"/>
              <w:rPr>
                <w:snapToGrid w:val="0"/>
                <w:color w:val="auto"/>
                <w:highlight w:val="none"/>
              </w:rPr>
            </w:pPr>
          </w:p>
        </w:tc>
        <w:tc>
          <w:tcPr>
            <w:tcW w:w="1033" w:type="dxa"/>
            <w:vAlign w:val="center"/>
          </w:tcPr>
          <w:p w14:paraId="6BC5CD94">
            <w:pPr>
              <w:jc w:val="center"/>
              <w:rPr>
                <w:snapToGrid w:val="0"/>
                <w:color w:val="auto"/>
                <w:highlight w:val="none"/>
              </w:rPr>
            </w:pPr>
          </w:p>
        </w:tc>
        <w:tc>
          <w:tcPr>
            <w:tcW w:w="1343" w:type="dxa"/>
            <w:vAlign w:val="center"/>
          </w:tcPr>
          <w:p w14:paraId="043AA7F2">
            <w:pPr>
              <w:jc w:val="center"/>
              <w:rPr>
                <w:snapToGrid w:val="0"/>
                <w:color w:val="auto"/>
                <w:highlight w:val="none"/>
              </w:rPr>
            </w:pPr>
          </w:p>
        </w:tc>
        <w:tc>
          <w:tcPr>
            <w:tcW w:w="2580" w:type="dxa"/>
            <w:vAlign w:val="center"/>
          </w:tcPr>
          <w:p w14:paraId="46498966">
            <w:pPr>
              <w:jc w:val="center"/>
              <w:rPr>
                <w:snapToGrid w:val="0"/>
                <w:color w:val="auto"/>
                <w:highlight w:val="none"/>
              </w:rPr>
            </w:pPr>
          </w:p>
        </w:tc>
      </w:tr>
      <w:tr w14:paraId="71E47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3F2B82F3">
            <w:pPr>
              <w:jc w:val="center"/>
              <w:rPr>
                <w:snapToGrid w:val="0"/>
                <w:color w:val="auto"/>
                <w:highlight w:val="none"/>
              </w:rPr>
            </w:pPr>
          </w:p>
        </w:tc>
        <w:tc>
          <w:tcPr>
            <w:tcW w:w="1653" w:type="dxa"/>
            <w:vAlign w:val="center"/>
          </w:tcPr>
          <w:p w14:paraId="560CAC3A">
            <w:pPr>
              <w:jc w:val="center"/>
              <w:rPr>
                <w:snapToGrid w:val="0"/>
                <w:color w:val="auto"/>
                <w:highlight w:val="none"/>
              </w:rPr>
            </w:pPr>
          </w:p>
        </w:tc>
        <w:tc>
          <w:tcPr>
            <w:tcW w:w="1240" w:type="dxa"/>
            <w:vAlign w:val="center"/>
          </w:tcPr>
          <w:p w14:paraId="4C001DA8">
            <w:pPr>
              <w:jc w:val="center"/>
              <w:rPr>
                <w:snapToGrid w:val="0"/>
                <w:color w:val="auto"/>
                <w:highlight w:val="none"/>
              </w:rPr>
            </w:pPr>
          </w:p>
        </w:tc>
        <w:tc>
          <w:tcPr>
            <w:tcW w:w="1033" w:type="dxa"/>
            <w:vAlign w:val="center"/>
          </w:tcPr>
          <w:p w14:paraId="2B5382E6">
            <w:pPr>
              <w:jc w:val="center"/>
              <w:rPr>
                <w:snapToGrid w:val="0"/>
                <w:color w:val="auto"/>
                <w:highlight w:val="none"/>
              </w:rPr>
            </w:pPr>
          </w:p>
        </w:tc>
        <w:tc>
          <w:tcPr>
            <w:tcW w:w="1343" w:type="dxa"/>
            <w:vAlign w:val="center"/>
          </w:tcPr>
          <w:p w14:paraId="2FD47C8D">
            <w:pPr>
              <w:jc w:val="center"/>
              <w:rPr>
                <w:snapToGrid w:val="0"/>
                <w:color w:val="auto"/>
                <w:highlight w:val="none"/>
              </w:rPr>
            </w:pPr>
          </w:p>
        </w:tc>
        <w:tc>
          <w:tcPr>
            <w:tcW w:w="2580" w:type="dxa"/>
            <w:vAlign w:val="center"/>
          </w:tcPr>
          <w:p w14:paraId="0152BD9F">
            <w:pPr>
              <w:jc w:val="center"/>
              <w:rPr>
                <w:snapToGrid w:val="0"/>
                <w:color w:val="auto"/>
                <w:highlight w:val="none"/>
              </w:rPr>
            </w:pPr>
          </w:p>
        </w:tc>
      </w:tr>
      <w:tr w14:paraId="69877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9D7E0BA">
            <w:pPr>
              <w:jc w:val="center"/>
              <w:rPr>
                <w:snapToGrid w:val="0"/>
                <w:color w:val="auto"/>
                <w:highlight w:val="none"/>
              </w:rPr>
            </w:pPr>
          </w:p>
        </w:tc>
        <w:tc>
          <w:tcPr>
            <w:tcW w:w="1653" w:type="dxa"/>
            <w:vAlign w:val="center"/>
          </w:tcPr>
          <w:p w14:paraId="0E3AE037">
            <w:pPr>
              <w:jc w:val="center"/>
              <w:rPr>
                <w:snapToGrid w:val="0"/>
                <w:color w:val="auto"/>
                <w:highlight w:val="none"/>
              </w:rPr>
            </w:pPr>
          </w:p>
        </w:tc>
        <w:tc>
          <w:tcPr>
            <w:tcW w:w="1240" w:type="dxa"/>
            <w:vAlign w:val="center"/>
          </w:tcPr>
          <w:p w14:paraId="732097D5">
            <w:pPr>
              <w:jc w:val="center"/>
              <w:rPr>
                <w:snapToGrid w:val="0"/>
                <w:color w:val="auto"/>
                <w:highlight w:val="none"/>
              </w:rPr>
            </w:pPr>
          </w:p>
        </w:tc>
        <w:tc>
          <w:tcPr>
            <w:tcW w:w="1033" w:type="dxa"/>
            <w:vAlign w:val="center"/>
          </w:tcPr>
          <w:p w14:paraId="4DD40CD9">
            <w:pPr>
              <w:jc w:val="center"/>
              <w:rPr>
                <w:snapToGrid w:val="0"/>
                <w:color w:val="auto"/>
                <w:highlight w:val="none"/>
              </w:rPr>
            </w:pPr>
          </w:p>
        </w:tc>
        <w:tc>
          <w:tcPr>
            <w:tcW w:w="1343" w:type="dxa"/>
            <w:vAlign w:val="center"/>
          </w:tcPr>
          <w:p w14:paraId="14341C6D">
            <w:pPr>
              <w:jc w:val="center"/>
              <w:rPr>
                <w:snapToGrid w:val="0"/>
                <w:color w:val="auto"/>
                <w:highlight w:val="none"/>
              </w:rPr>
            </w:pPr>
          </w:p>
        </w:tc>
        <w:tc>
          <w:tcPr>
            <w:tcW w:w="2580" w:type="dxa"/>
            <w:vAlign w:val="center"/>
          </w:tcPr>
          <w:p w14:paraId="1E7236AE">
            <w:pPr>
              <w:jc w:val="center"/>
              <w:rPr>
                <w:snapToGrid w:val="0"/>
                <w:color w:val="auto"/>
                <w:highlight w:val="none"/>
              </w:rPr>
            </w:pPr>
          </w:p>
        </w:tc>
      </w:tr>
      <w:tr w14:paraId="62E4F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E45AFB5">
            <w:pPr>
              <w:jc w:val="center"/>
              <w:rPr>
                <w:snapToGrid w:val="0"/>
                <w:color w:val="auto"/>
                <w:highlight w:val="none"/>
              </w:rPr>
            </w:pPr>
          </w:p>
        </w:tc>
        <w:tc>
          <w:tcPr>
            <w:tcW w:w="1653" w:type="dxa"/>
            <w:vAlign w:val="center"/>
          </w:tcPr>
          <w:p w14:paraId="67A563B9">
            <w:pPr>
              <w:jc w:val="center"/>
              <w:rPr>
                <w:snapToGrid w:val="0"/>
                <w:color w:val="auto"/>
                <w:highlight w:val="none"/>
              </w:rPr>
            </w:pPr>
          </w:p>
        </w:tc>
        <w:tc>
          <w:tcPr>
            <w:tcW w:w="1240" w:type="dxa"/>
            <w:vAlign w:val="center"/>
          </w:tcPr>
          <w:p w14:paraId="22BCF436">
            <w:pPr>
              <w:jc w:val="center"/>
              <w:rPr>
                <w:snapToGrid w:val="0"/>
                <w:color w:val="auto"/>
                <w:highlight w:val="none"/>
              </w:rPr>
            </w:pPr>
          </w:p>
        </w:tc>
        <w:tc>
          <w:tcPr>
            <w:tcW w:w="1033" w:type="dxa"/>
            <w:vAlign w:val="center"/>
          </w:tcPr>
          <w:p w14:paraId="45830067">
            <w:pPr>
              <w:jc w:val="center"/>
              <w:rPr>
                <w:snapToGrid w:val="0"/>
                <w:color w:val="auto"/>
                <w:highlight w:val="none"/>
              </w:rPr>
            </w:pPr>
          </w:p>
        </w:tc>
        <w:tc>
          <w:tcPr>
            <w:tcW w:w="1343" w:type="dxa"/>
            <w:vAlign w:val="center"/>
          </w:tcPr>
          <w:p w14:paraId="318B9B01">
            <w:pPr>
              <w:jc w:val="center"/>
              <w:rPr>
                <w:snapToGrid w:val="0"/>
                <w:color w:val="auto"/>
                <w:highlight w:val="none"/>
              </w:rPr>
            </w:pPr>
          </w:p>
        </w:tc>
        <w:tc>
          <w:tcPr>
            <w:tcW w:w="2580" w:type="dxa"/>
            <w:vAlign w:val="center"/>
          </w:tcPr>
          <w:p w14:paraId="0C572442">
            <w:pPr>
              <w:jc w:val="center"/>
              <w:rPr>
                <w:snapToGrid w:val="0"/>
                <w:color w:val="auto"/>
                <w:highlight w:val="none"/>
              </w:rPr>
            </w:pPr>
          </w:p>
        </w:tc>
      </w:tr>
      <w:tr w14:paraId="309B4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7146020">
            <w:pPr>
              <w:jc w:val="center"/>
              <w:rPr>
                <w:snapToGrid w:val="0"/>
                <w:color w:val="auto"/>
                <w:highlight w:val="none"/>
              </w:rPr>
            </w:pPr>
          </w:p>
        </w:tc>
        <w:tc>
          <w:tcPr>
            <w:tcW w:w="1653" w:type="dxa"/>
            <w:vAlign w:val="center"/>
          </w:tcPr>
          <w:p w14:paraId="34911007">
            <w:pPr>
              <w:jc w:val="center"/>
              <w:rPr>
                <w:snapToGrid w:val="0"/>
                <w:color w:val="auto"/>
                <w:highlight w:val="none"/>
              </w:rPr>
            </w:pPr>
          </w:p>
        </w:tc>
        <w:tc>
          <w:tcPr>
            <w:tcW w:w="1240" w:type="dxa"/>
            <w:vAlign w:val="center"/>
          </w:tcPr>
          <w:p w14:paraId="38BA966B">
            <w:pPr>
              <w:jc w:val="center"/>
              <w:rPr>
                <w:snapToGrid w:val="0"/>
                <w:color w:val="auto"/>
                <w:highlight w:val="none"/>
              </w:rPr>
            </w:pPr>
          </w:p>
        </w:tc>
        <w:tc>
          <w:tcPr>
            <w:tcW w:w="1033" w:type="dxa"/>
            <w:vAlign w:val="center"/>
          </w:tcPr>
          <w:p w14:paraId="31BD9F6C">
            <w:pPr>
              <w:jc w:val="center"/>
              <w:rPr>
                <w:snapToGrid w:val="0"/>
                <w:color w:val="auto"/>
                <w:highlight w:val="none"/>
              </w:rPr>
            </w:pPr>
          </w:p>
        </w:tc>
        <w:tc>
          <w:tcPr>
            <w:tcW w:w="1343" w:type="dxa"/>
            <w:vAlign w:val="center"/>
          </w:tcPr>
          <w:p w14:paraId="55060EBD">
            <w:pPr>
              <w:jc w:val="center"/>
              <w:rPr>
                <w:snapToGrid w:val="0"/>
                <w:color w:val="auto"/>
                <w:highlight w:val="none"/>
              </w:rPr>
            </w:pPr>
          </w:p>
        </w:tc>
        <w:tc>
          <w:tcPr>
            <w:tcW w:w="2580" w:type="dxa"/>
            <w:vAlign w:val="center"/>
          </w:tcPr>
          <w:p w14:paraId="6B10AB8C">
            <w:pPr>
              <w:jc w:val="center"/>
              <w:rPr>
                <w:snapToGrid w:val="0"/>
                <w:color w:val="auto"/>
                <w:highlight w:val="none"/>
              </w:rPr>
            </w:pPr>
          </w:p>
        </w:tc>
      </w:tr>
      <w:tr w14:paraId="5BE9E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8D60D35">
            <w:pPr>
              <w:jc w:val="center"/>
              <w:rPr>
                <w:snapToGrid w:val="0"/>
                <w:color w:val="auto"/>
                <w:highlight w:val="none"/>
              </w:rPr>
            </w:pPr>
          </w:p>
        </w:tc>
        <w:tc>
          <w:tcPr>
            <w:tcW w:w="1653" w:type="dxa"/>
            <w:vAlign w:val="center"/>
          </w:tcPr>
          <w:p w14:paraId="050023F0">
            <w:pPr>
              <w:jc w:val="center"/>
              <w:rPr>
                <w:snapToGrid w:val="0"/>
                <w:color w:val="auto"/>
                <w:highlight w:val="none"/>
              </w:rPr>
            </w:pPr>
          </w:p>
        </w:tc>
        <w:tc>
          <w:tcPr>
            <w:tcW w:w="1240" w:type="dxa"/>
            <w:vAlign w:val="center"/>
          </w:tcPr>
          <w:p w14:paraId="0CF68598">
            <w:pPr>
              <w:jc w:val="center"/>
              <w:rPr>
                <w:snapToGrid w:val="0"/>
                <w:color w:val="auto"/>
                <w:highlight w:val="none"/>
              </w:rPr>
            </w:pPr>
          </w:p>
        </w:tc>
        <w:tc>
          <w:tcPr>
            <w:tcW w:w="1033" w:type="dxa"/>
            <w:vAlign w:val="center"/>
          </w:tcPr>
          <w:p w14:paraId="30C2F029">
            <w:pPr>
              <w:jc w:val="center"/>
              <w:rPr>
                <w:snapToGrid w:val="0"/>
                <w:color w:val="auto"/>
                <w:highlight w:val="none"/>
              </w:rPr>
            </w:pPr>
          </w:p>
        </w:tc>
        <w:tc>
          <w:tcPr>
            <w:tcW w:w="1343" w:type="dxa"/>
            <w:vAlign w:val="center"/>
          </w:tcPr>
          <w:p w14:paraId="3CE305DE">
            <w:pPr>
              <w:jc w:val="center"/>
              <w:rPr>
                <w:snapToGrid w:val="0"/>
                <w:color w:val="auto"/>
                <w:highlight w:val="none"/>
              </w:rPr>
            </w:pPr>
          </w:p>
        </w:tc>
        <w:tc>
          <w:tcPr>
            <w:tcW w:w="2580" w:type="dxa"/>
            <w:vAlign w:val="center"/>
          </w:tcPr>
          <w:p w14:paraId="18FDBC5F">
            <w:pPr>
              <w:jc w:val="center"/>
              <w:rPr>
                <w:snapToGrid w:val="0"/>
                <w:color w:val="auto"/>
                <w:highlight w:val="none"/>
              </w:rPr>
            </w:pPr>
          </w:p>
        </w:tc>
      </w:tr>
      <w:tr w14:paraId="3F4467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6745857">
            <w:pPr>
              <w:jc w:val="center"/>
              <w:rPr>
                <w:snapToGrid w:val="0"/>
                <w:color w:val="auto"/>
                <w:highlight w:val="none"/>
              </w:rPr>
            </w:pPr>
          </w:p>
        </w:tc>
        <w:tc>
          <w:tcPr>
            <w:tcW w:w="1653" w:type="dxa"/>
            <w:vAlign w:val="center"/>
          </w:tcPr>
          <w:p w14:paraId="222DD77E">
            <w:pPr>
              <w:jc w:val="center"/>
              <w:rPr>
                <w:snapToGrid w:val="0"/>
                <w:color w:val="auto"/>
                <w:highlight w:val="none"/>
              </w:rPr>
            </w:pPr>
          </w:p>
        </w:tc>
        <w:tc>
          <w:tcPr>
            <w:tcW w:w="1240" w:type="dxa"/>
            <w:vAlign w:val="center"/>
          </w:tcPr>
          <w:p w14:paraId="3738E39B">
            <w:pPr>
              <w:jc w:val="center"/>
              <w:rPr>
                <w:snapToGrid w:val="0"/>
                <w:color w:val="auto"/>
                <w:highlight w:val="none"/>
              </w:rPr>
            </w:pPr>
          </w:p>
        </w:tc>
        <w:tc>
          <w:tcPr>
            <w:tcW w:w="1033" w:type="dxa"/>
            <w:vAlign w:val="center"/>
          </w:tcPr>
          <w:p w14:paraId="6F477849">
            <w:pPr>
              <w:jc w:val="center"/>
              <w:rPr>
                <w:snapToGrid w:val="0"/>
                <w:color w:val="auto"/>
                <w:highlight w:val="none"/>
              </w:rPr>
            </w:pPr>
          </w:p>
        </w:tc>
        <w:tc>
          <w:tcPr>
            <w:tcW w:w="1343" w:type="dxa"/>
            <w:vAlign w:val="center"/>
          </w:tcPr>
          <w:p w14:paraId="752A5D56">
            <w:pPr>
              <w:jc w:val="center"/>
              <w:rPr>
                <w:snapToGrid w:val="0"/>
                <w:color w:val="auto"/>
                <w:highlight w:val="none"/>
              </w:rPr>
            </w:pPr>
          </w:p>
        </w:tc>
        <w:tc>
          <w:tcPr>
            <w:tcW w:w="2580" w:type="dxa"/>
            <w:vAlign w:val="center"/>
          </w:tcPr>
          <w:p w14:paraId="1AB168D9">
            <w:pPr>
              <w:jc w:val="center"/>
              <w:rPr>
                <w:snapToGrid w:val="0"/>
                <w:color w:val="auto"/>
                <w:highlight w:val="none"/>
              </w:rPr>
            </w:pPr>
          </w:p>
        </w:tc>
      </w:tr>
      <w:tr w14:paraId="70BBB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0BE382E">
            <w:pPr>
              <w:jc w:val="center"/>
              <w:rPr>
                <w:snapToGrid w:val="0"/>
                <w:color w:val="auto"/>
                <w:highlight w:val="none"/>
              </w:rPr>
            </w:pPr>
          </w:p>
        </w:tc>
        <w:tc>
          <w:tcPr>
            <w:tcW w:w="1653" w:type="dxa"/>
            <w:vAlign w:val="center"/>
          </w:tcPr>
          <w:p w14:paraId="56974EFE">
            <w:pPr>
              <w:jc w:val="center"/>
              <w:rPr>
                <w:snapToGrid w:val="0"/>
                <w:color w:val="auto"/>
                <w:highlight w:val="none"/>
              </w:rPr>
            </w:pPr>
          </w:p>
        </w:tc>
        <w:tc>
          <w:tcPr>
            <w:tcW w:w="1240" w:type="dxa"/>
            <w:vAlign w:val="center"/>
          </w:tcPr>
          <w:p w14:paraId="36C46477">
            <w:pPr>
              <w:jc w:val="center"/>
              <w:rPr>
                <w:snapToGrid w:val="0"/>
                <w:color w:val="auto"/>
                <w:highlight w:val="none"/>
              </w:rPr>
            </w:pPr>
          </w:p>
        </w:tc>
        <w:tc>
          <w:tcPr>
            <w:tcW w:w="1033" w:type="dxa"/>
            <w:vAlign w:val="center"/>
          </w:tcPr>
          <w:p w14:paraId="6D1C696B">
            <w:pPr>
              <w:jc w:val="center"/>
              <w:rPr>
                <w:snapToGrid w:val="0"/>
                <w:color w:val="auto"/>
                <w:highlight w:val="none"/>
              </w:rPr>
            </w:pPr>
          </w:p>
        </w:tc>
        <w:tc>
          <w:tcPr>
            <w:tcW w:w="1343" w:type="dxa"/>
            <w:vAlign w:val="center"/>
          </w:tcPr>
          <w:p w14:paraId="489E3FFF">
            <w:pPr>
              <w:jc w:val="center"/>
              <w:rPr>
                <w:snapToGrid w:val="0"/>
                <w:color w:val="auto"/>
                <w:highlight w:val="none"/>
              </w:rPr>
            </w:pPr>
          </w:p>
        </w:tc>
        <w:tc>
          <w:tcPr>
            <w:tcW w:w="2580" w:type="dxa"/>
            <w:vAlign w:val="center"/>
          </w:tcPr>
          <w:p w14:paraId="0CF5BE82">
            <w:pPr>
              <w:jc w:val="center"/>
              <w:rPr>
                <w:snapToGrid w:val="0"/>
                <w:color w:val="auto"/>
                <w:highlight w:val="none"/>
              </w:rPr>
            </w:pPr>
          </w:p>
        </w:tc>
      </w:tr>
    </w:tbl>
    <w:p w14:paraId="4D967E7A">
      <w:pPr>
        <w:ind w:firstLine="210" w:firstLineChars="100"/>
        <w:rPr>
          <w:color w:val="auto"/>
          <w:szCs w:val="21"/>
          <w:highlight w:val="none"/>
        </w:rPr>
      </w:pPr>
      <w:r>
        <w:rPr>
          <w:rFonts w:hint="eastAsia"/>
          <w:color w:val="auto"/>
          <w:szCs w:val="21"/>
          <w:highlight w:val="none"/>
        </w:rPr>
        <w:t>注：此表后附项目实施人员资格证书等相关资料复印件</w:t>
      </w:r>
      <w:r>
        <w:rPr>
          <w:rFonts w:hint="eastAsia"/>
          <w:color w:val="auto"/>
          <w:szCs w:val="21"/>
          <w:highlight w:val="none"/>
          <w:lang w:eastAsia="zh-CN"/>
        </w:rPr>
        <w:t>（如有）</w:t>
      </w:r>
    </w:p>
    <w:p w14:paraId="4734E057">
      <w:pPr>
        <w:rPr>
          <w:color w:val="auto"/>
          <w:szCs w:val="21"/>
          <w:highlight w:val="none"/>
        </w:rPr>
      </w:pPr>
    </w:p>
    <w:p w14:paraId="08024326">
      <w:pPr>
        <w:pStyle w:val="13"/>
        <w:rPr>
          <w:snapToGrid w:val="0"/>
          <w:color w:val="auto"/>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（盖公章或电子签章）</w:t>
      </w:r>
      <w:r>
        <w:rPr>
          <w:rFonts w:hint="eastAsia" w:ascii="宋体" w:hAnsi="宋体" w:cs="宋体"/>
          <w:color w:val="auto"/>
          <w:sz w:val="24"/>
          <w:highlight w:val="none"/>
          <w:lang w:val="en-US" w:eastAsia="zh-CN"/>
        </w:rPr>
        <w:t>:</w:t>
      </w:r>
      <w:r>
        <w:rPr>
          <w:rFonts w:hint="eastAsia"/>
          <w:color w:val="auto"/>
          <w:highlight w:val="none"/>
        </w:rPr>
        <w:t xml:space="preserve">       </w:t>
      </w:r>
      <w:r>
        <w:rPr>
          <w:rFonts w:hint="eastAsia"/>
          <w:color w:val="auto"/>
          <w:highlight w:val="none"/>
          <w:lang w:val="en-US" w:eastAsia="zh-CN"/>
        </w:rPr>
        <w:t xml:space="preserve"> </w:t>
      </w:r>
      <w:r>
        <w:rPr>
          <w:rFonts w:hint="eastAsia" w:ascii="宋体" w:hAnsi="宋体" w:eastAsia="宋体" w:cs="宋体"/>
          <w:color w:val="auto"/>
          <w:sz w:val="24"/>
          <w:highlight w:val="none"/>
        </w:rPr>
        <w:t xml:space="preserve">法定代表人（或委托代理人）：           </w:t>
      </w:r>
    </w:p>
    <w:p w14:paraId="55EC96EC">
      <w:pPr>
        <w:pStyle w:val="24"/>
        <w:rPr>
          <w:rFonts w:hint="eastAsia" w:ascii="宋体" w:hAnsi="宋体"/>
          <w:bCs/>
          <w:color w:val="auto"/>
          <w:sz w:val="24"/>
          <w:highlight w:val="none"/>
        </w:rPr>
      </w:pPr>
      <w:r>
        <w:rPr>
          <w:snapToGrid w:val="0"/>
          <w:color w:val="auto"/>
          <w:highlight w:val="none"/>
        </w:rPr>
        <w:t xml:space="preserve">  </w:t>
      </w:r>
      <w:r>
        <w:rPr>
          <w:rFonts w:hint="eastAsia"/>
          <w:snapToGrid w:val="0"/>
          <w:color w:val="auto"/>
          <w:highlight w:val="none"/>
          <w:lang w:val="en-US" w:eastAsia="zh-CN"/>
        </w:rPr>
        <w:t xml:space="preserve">                                                        </w:t>
      </w:r>
      <w:r>
        <w:rPr>
          <w:rFonts w:hint="eastAsia"/>
          <w:snapToGrid w:val="0"/>
          <w:color w:val="auto"/>
          <w:highlight w:val="none"/>
          <w:u w:val="single"/>
        </w:rPr>
        <w:t xml:space="preserve">       </w:t>
      </w:r>
      <w:r>
        <w:rPr>
          <w:rFonts w:hint="eastAsia"/>
          <w:snapToGrid w:val="0"/>
          <w:color w:val="auto"/>
          <w:highlight w:val="none"/>
        </w:rPr>
        <w:t>年</w:t>
      </w:r>
      <w:r>
        <w:rPr>
          <w:rFonts w:hint="eastAsia"/>
          <w:snapToGrid w:val="0"/>
          <w:color w:val="auto"/>
          <w:highlight w:val="none"/>
          <w:u w:val="single"/>
        </w:rPr>
        <w:t xml:space="preserve"> </w:t>
      </w:r>
      <w:r>
        <w:rPr>
          <w:rFonts w:hint="eastAsia"/>
          <w:snapToGrid w:val="0"/>
          <w:color w:val="auto"/>
          <w:highlight w:val="none"/>
          <w:u w:val="single"/>
          <w:lang w:val="en-US" w:eastAsia="zh-CN"/>
        </w:rPr>
        <w:t xml:space="preserve">  </w:t>
      </w:r>
      <w:r>
        <w:rPr>
          <w:rFonts w:hint="eastAsia"/>
          <w:snapToGrid w:val="0"/>
          <w:color w:val="auto"/>
          <w:highlight w:val="none"/>
          <w:u w:val="single"/>
        </w:rPr>
        <w:t xml:space="preserve"> </w:t>
      </w:r>
      <w:r>
        <w:rPr>
          <w:rFonts w:hint="eastAsia"/>
          <w:snapToGrid w:val="0"/>
          <w:color w:val="auto"/>
          <w:highlight w:val="none"/>
        </w:rPr>
        <w:t>月</w:t>
      </w:r>
      <w:r>
        <w:rPr>
          <w:rFonts w:hint="eastAsia"/>
          <w:snapToGrid w:val="0"/>
          <w:color w:val="auto"/>
          <w:highlight w:val="none"/>
          <w:u w:val="single"/>
        </w:rPr>
        <w:t xml:space="preserve">   </w:t>
      </w:r>
      <w:r>
        <w:rPr>
          <w:rFonts w:hint="eastAsia"/>
          <w:snapToGrid w:val="0"/>
          <w:color w:val="auto"/>
          <w:highlight w:val="none"/>
        </w:rPr>
        <w:t>日</w:t>
      </w:r>
    </w:p>
    <w:p w14:paraId="21A3939F">
      <w:pPr>
        <w:snapToGrid w:val="0"/>
        <w:spacing w:before="50" w:after="120" w:afterLines="50"/>
        <w:jc w:val="left"/>
        <w:rPr>
          <w:rFonts w:hint="eastAsia" w:ascii="宋体" w:hAnsi="宋体"/>
          <w:b/>
          <w:color w:val="auto"/>
          <w:sz w:val="24"/>
          <w:highlight w:val="none"/>
        </w:rPr>
      </w:pPr>
    </w:p>
    <w:p w14:paraId="1E53937C">
      <w:pPr>
        <w:snapToGrid w:val="0"/>
        <w:spacing w:before="50" w:after="120" w:afterLines="50"/>
        <w:jc w:val="left"/>
        <w:rPr>
          <w:rFonts w:hint="eastAsia" w:ascii="宋体" w:hAnsi="宋体"/>
          <w:b/>
          <w:color w:val="auto"/>
          <w:sz w:val="24"/>
          <w:highlight w:val="none"/>
        </w:rPr>
      </w:pPr>
    </w:p>
    <w:p w14:paraId="5C7A9097">
      <w:pPr>
        <w:snapToGrid w:val="0"/>
        <w:spacing w:before="50" w:after="120" w:afterLines="50"/>
        <w:jc w:val="left"/>
        <w:rPr>
          <w:rFonts w:ascii="宋体" w:hAnsi="宋体" w:cs="宋体"/>
          <w:b/>
          <w:color w:val="auto"/>
          <w:sz w:val="24"/>
          <w:highlight w:val="none"/>
        </w:rPr>
      </w:pPr>
      <w:r>
        <w:rPr>
          <w:rFonts w:hint="eastAsia" w:ascii="宋体" w:hAnsi="宋体"/>
          <w:b/>
          <w:color w:val="auto"/>
          <w:sz w:val="24"/>
          <w:highlight w:val="none"/>
        </w:rPr>
        <w:t>附件</w:t>
      </w:r>
      <w:r>
        <w:rPr>
          <w:rFonts w:hint="eastAsia" w:ascii="宋体" w:hAnsi="宋体" w:eastAsia="宋体" w:cs="Times New Roman"/>
          <w:b/>
          <w:color w:val="auto"/>
          <w:sz w:val="24"/>
          <w:highlight w:val="none"/>
        </w:rPr>
        <w:t>：</w:t>
      </w:r>
      <w:r>
        <w:rPr>
          <w:rFonts w:hint="eastAsia" w:ascii="宋体" w:hAnsi="宋体" w:cs="宋体"/>
          <w:b/>
          <w:color w:val="auto"/>
          <w:sz w:val="24"/>
          <w:highlight w:val="none"/>
        </w:rPr>
        <w:t>同类业绩一览表：</w:t>
      </w:r>
    </w:p>
    <w:p w14:paraId="0D7BB320">
      <w:pPr>
        <w:snapToGrid w:val="0"/>
        <w:spacing w:before="50" w:after="120" w:afterLines="50"/>
        <w:jc w:val="center"/>
        <w:rPr>
          <w:rFonts w:ascii="宋体" w:hAnsi="宋体" w:cs="宋体"/>
          <w:b/>
          <w:color w:val="auto"/>
          <w:sz w:val="30"/>
          <w:szCs w:val="30"/>
          <w:highlight w:val="none"/>
        </w:rPr>
      </w:pPr>
    </w:p>
    <w:p w14:paraId="483301BD">
      <w:pPr>
        <w:snapToGrid w:val="0"/>
        <w:spacing w:before="50" w:after="120" w:afterLines="50"/>
        <w:jc w:val="center"/>
        <w:rPr>
          <w:rFonts w:ascii="宋体" w:hAnsi="宋体" w:cs="宋体"/>
          <w:b/>
          <w:color w:val="auto"/>
          <w:sz w:val="30"/>
          <w:szCs w:val="30"/>
          <w:highlight w:val="none"/>
        </w:rPr>
      </w:pPr>
      <w:r>
        <w:rPr>
          <w:rFonts w:hint="eastAsia" w:ascii="宋体" w:hAnsi="宋体" w:cs="宋体"/>
          <w:b/>
          <w:color w:val="auto"/>
          <w:sz w:val="30"/>
          <w:szCs w:val="30"/>
          <w:highlight w:val="none"/>
        </w:rPr>
        <w:t>同类业绩一览表</w:t>
      </w:r>
    </w:p>
    <w:p w14:paraId="6FFA21B1">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项目名称:__________________</w:t>
      </w:r>
    </w:p>
    <w:tbl>
      <w:tblPr>
        <w:tblStyle w:val="45"/>
        <w:tblW w:w="0" w:type="auto"/>
        <w:tblInd w:w="0" w:type="dxa"/>
        <w:tblLayout w:type="fixed"/>
        <w:tblCellMar>
          <w:top w:w="0" w:type="dxa"/>
          <w:left w:w="108" w:type="dxa"/>
          <w:bottom w:w="0" w:type="dxa"/>
          <w:right w:w="108" w:type="dxa"/>
        </w:tblCellMar>
      </w:tblPr>
      <w:tblGrid>
        <w:gridCol w:w="1741"/>
        <w:gridCol w:w="1797"/>
        <w:gridCol w:w="1825"/>
        <w:gridCol w:w="1614"/>
        <w:gridCol w:w="1438"/>
        <w:gridCol w:w="1437"/>
      </w:tblGrid>
      <w:tr w14:paraId="26BD18F6">
        <w:tblPrEx>
          <w:tblCellMar>
            <w:top w:w="0" w:type="dxa"/>
            <w:left w:w="108" w:type="dxa"/>
            <w:bottom w:w="0" w:type="dxa"/>
            <w:right w:w="108" w:type="dxa"/>
          </w:tblCellMar>
        </w:tblPrEx>
        <w:trPr>
          <w:trHeight w:val="1431" w:hRule="atLeast"/>
        </w:trPr>
        <w:tc>
          <w:tcPr>
            <w:tcW w:w="1741" w:type="dxa"/>
            <w:tcBorders>
              <w:top w:val="single" w:color="auto" w:sz="4" w:space="0"/>
              <w:left w:val="single" w:color="auto" w:sz="4" w:space="0"/>
              <w:bottom w:val="single" w:color="auto" w:sz="4" w:space="0"/>
              <w:right w:val="single" w:color="auto" w:sz="4" w:space="0"/>
            </w:tcBorders>
            <w:vAlign w:val="center"/>
          </w:tcPr>
          <w:p w14:paraId="458206CC">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采购单位</w:t>
            </w:r>
          </w:p>
          <w:p w14:paraId="333E7077">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797" w:type="dxa"/>
            <w:tcBorders>
              <w:top w:val="single" w:color="auto" w:sz="4" w:space="0"/>
              <w:left w:val="single" w:color="auto" w:sz="4" w:space="0"/>
              <w:bottom w:val="single" w:color="auto" w:sz="4" w:space="0"/>
              <w:right w:val="single" w:color="auto" w:sz="4" w:space="0"/>
            </w:tcBorders>
            <w:vAlign w:val="center"/>
          </w:tcPr>
          <w:p w14:paraId="5A765F9E">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825" w:type="dxa"/>
            <w:tcBorders>
              <w:top w:val="single" w:color="auto" w:sz="4" w:space="0"/>
              <w:left w:val="single" w:color="auto" w:sz="4" w:space="0"/>
              <w:bottom w:val="single" w:color="auto" w:sz="4" w:space="0"/>
              <w:right w:val="single" w:color="auto" w:sz="4" w:space="0"/>
            </w:tcBorders>
            <w:vAlign w:val="center"/>
          </w:tcPr>
          <w:p w14:paraId="22045EDF">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合同金额</w:t>
            </w:r>
          </w:p>
          <w:p w14:paraId="56BFE9ED">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（万元）</w:t>
            </w:r>
          </w:p>
        </w:tc>
        <w:tc>
          <w:tcPr>
            <w:tcW w:w="1614" w:type="dxa"/>
            <w:tcBorders>
              <w:top w:val="single" w:color="auto" w:sz="4" w:space="0"/>
              <w:left w:val="single" w:color="auto" w:sz="4" w:space="0"/>
              <w:right w:val="single" w:color="auto" w:sz="4" w:space="0"/>
            </w:tcBorders>
            <w:vAlign w:val="center"/>
          </w:tcPr>
          <w:p w14:paraId="7E818F09">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合同日期</w:t>
            </w:r>
          </w:p>
        </w:tc>
        <w:tc>
          <w:tcPr>
            <w:tcW w:w="1438" w:type="dxa"/>
            <w:tcBorders>
              <w:top w:val="single" w:color="auto" w:sz="4" w:space="0"/>
              <w:left w:val="single" w:color="auto" w:sz="4" w:space="0"/>
              <w:right w:val="single" w:color="auto" w:sz="4" w:space="0"/>
            </w:tcBorders>
            <w:vAlign w:val="center"/>
          </w:tcPr>
          <w:p w14:paraId="008AFAF6">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采购单位联系人及联系电话</w:t>
            </w:r>
          </w:p>
        </w:tc>
        <w:tc>
          <w:tcPr>
            <w:tcW w:w="1437" w:type="dxa"/>
            <w:tcBorders>
              <w:top w:val="single" w:color="auto" w:sz="4" w:space="0"/>
              <w:left w:val="single" w:color="auto" w:sz="4" w:space="0"/>
              <w:bottom w:val="single" w:color="auto" w:sz="4" w:space="0"/>
              <w:right w:val="single" w:color="auto" w:sz="4" w:space="0"/>
            </w:tcBorders>
            <w:vAlign w:val="center"/>
          </w:tcPr>
          <w:p w14:paraId="6D4DBA8C">
            <w:pPr>
              <w:adjustRightInd w:val="0"/>
              <w:snapToGrid w:val="0"/>
              <w:spacing w:before="50" w:after="120" w:afterLines="50"/>
              <w:jc w:val="center"/>
              <w:rPr>
                <w:rFonts w:ascii="宋体" w:hAnsi="宋体" w:cs="宋体"/>
                <w:color w:val="auto"/>
                <w:sz w:val="24"/>
                <w:highlight w:val="none"/>
              </w:rPr>
            </w:pPr>
            <w:r>
              <w:rPr>
                <w:rFonts w:hint="eastAsia" w:ascii="宋体" w:hAnsi="宋体" w:cs="宋体"/>
                <w:color w:val="auto"/>
                <w:sz w:val="24"/>
                <w:highlight w:val="none"/>
              </w:rPr>
              <w:t>附件页码</w:t>
            </w:r>
          </w:p>
        </w:tc>
      </w:tr>
      <w:tr w14:paraId="19B83236">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1A64E6CB">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7D194FD3">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1225AD84">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17502757">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1CFBACF4">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66CC1C89">
            <w:pPr>
              <w:adjustRightInd w:val="0"/>
              <w:snapToGrid w:val="0"/>
              <w:spacing w:before="50" w:after="120" w:afterLines="50"/>
              <w:jc w:val="center"/>
              <w:rPr>
                <w:rFonts w:ascii="宋体" w:hAnsi="宋体" w:cs="宋体"/>
                <w:color w:val="auto"/>
                <w:sz w:val="24"/>
                <w:highlight w:val="none"/>
              </w:rPr>
            </w:pPr>
          </w:p>
        </w:tc>
      </w:tr>
      <w:tr w14:paraId="37EEA383">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343148D6">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8B4E94D">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5D61F6C4">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1D15969B">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74FED701">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0FB7937B">
            <w:pPr>
              <w:adjustRightInd w:val="0"/>
              <w:snapToGrid w:val="0"/>
              <w:spacing w:before="50" w:after="120" w:afterLines="50"/>
              <w:jc w:val="center"/>
              <w:rPr>
                <w:rFonts w:ascii="宋体" w:hAnsi="宋体" w:cs="宋体"/>
                <w:color w:val="auto"/>
                <w:sz w:val="24"/>
                <w:highlight w:val="none"/>
              </w:rPr>
            </w:pPr>
          </w:p>
        </w:tc>
      </w:tr>
      <w:tr w14:paraId="5968DE71">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35F4D160">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8030CF6">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750A8707">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3B9345DC">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5FD6AAA0">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14678D1B">
            <w:pPr>
              <w:adjustRightInd w:val="0"/>
              <w:snapToGrid w:val="0"/>
              <w:spacing w:before="50" w:after="120" w:afterLines="50"/>
              <w:jc w:val="center"/>
              <w:rPr>
                <w:rFonts w:ascii="宋体" w:hAnsi="宋体" w:cs="宋体"/>
                <w:color w:val="auto"/>
                <w:sz w:val="24"/>
                <w:highlight w:val="none"/>
              </w:rPr>
            </w:pPr>
          </w:p>
        </w:tc>
      </w:tr>
      <w:tr w14:paraId="746B1225">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57C51ADF">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740C7AD1">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17040BB3">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67554A29">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497303BA">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736D7738">
            <w:pPr>
              <w:adjustRightInd w:val="0"/>
              <w:snapToGrid w:val="0"/>
              <w:spacing w:before="50" w:after="120" w:afterLines="50"/>
              <w:jc w:val="center"/>
              <w:rPr>
                <w:rFonts w:ascii="宋体" w:hAnsi="宋体" w:cs="宋体"/>
                <w:color w:val="auto"/>
                <w:sz w:val="24"/>
                <w:highlight w:val="none"/>
              </w:rPr>
            </w:pPr>
          </w:p>
        </w:tc>
      </w:tr>
      <w:tr w14:paraId="1AFDD42B">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11F41952">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07EE651A">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333FD093">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6CCE94BC">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4E13588D">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33E62BB7">
            <w:pPr>
              <w:adjustRightInd w:val="0"/>
              <w:snapToGrid w:val="0"/>
              <w:spacing w:before="50" w:after="120" w:afterLines="50"/>
              <w:jc w:val="center"/>
              <w:rPr>
                <w:rFonts w:ascii="宋体" w:hAnsi="宋体" w:cs="宋体"/>
                <w:color w:val="auto"/>
                <w:sz w:val="24"/>
                <w:highlight w:val="none"/>
              </w:rPr>
            </w:pPr>
          </w:p>
        </w:tc>
      </w:tr>
      <w:tr w14:paraId="517978BF">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6A109A88">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6BB6089E">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2BCA1EC6">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6FD41D66">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85D1B21">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67A5042A">
            <w:pPr>
              <w:adjustRightInd w:val="0"/>
              <w:snapToGrid w:val="0"/>
              <w:spacing w:before="50" w:after="120" w:afterLines="50"/>
              <w:jc w:val="center"/>
              <w:rPr>
                <w:rFonts w:ascii="宋体" w:hAnsi="宋体" w:cs="宋体"/>
                <w:color w:val="auto"/>
                <w:sz w:val="24"/>
                <w:highlight w:val="none"/>
              </w:rPr>
            </w:pPr>
          </w:p>
        </w:tc>
      </w:tr>
      <w:tr w14:paraId="584639CC">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6D5511B8">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3F6F61B8">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2D843EC4">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251CE777">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797B9EB">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725D7E75">
            <w:pPr>
              <w:adjustRightInd w:val="0"/>
              <w:snapToGrid w:val="0"/>
              <w:spacing w:before="50" w:after="120" w:afterLines="50"/>
              <w:jc w:val="center"/>
              <w:rPr>
                <w:rFonts w:ascii="宋体" w:hAnsi="宋体" w:cs="宋体"/>
                <w:color w:val="auto"/>
                <w:sz w:val="24"/>
                <w:highlight w:val="none"/>
              </w:rPr>
            </w:pPr>
          </w:p>
        </w:tc>
      </w:tr>
      <w:tr w14:paraId="4EB7366C">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114EA84E">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34682D4">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12535600">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6294FAD0">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496CAB25">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27EEF3A5">
            <w:pPr>
              <w:adjustRightInd w:val="0"/>
              <w:snapToGrid w:val="0"/>
              <w:spacing w:before="50" w:after="120" w:afterLines="50"/>
              <w:jc w:val="center"/>
              <w:rPr>
                <w:rFonts w:ascii="宋体" w:hAnsi="宋体" w:cs="宋体"/>
                <w:color w:val="auto"/>
                <w:sz w:val="24"/>
                <w:highlight w:val="none"/>
              </w:rPr>
            </w:pPr>
          </w:p>
        </w:tc>
      </w:tr>
      <w:tr w14:paraId="27787556">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7A3E8D65">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1E9F6E24">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253A650A">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50FED10B">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4317CA13">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7BAC7B87">
            <w:pPr>
              <w:adjustRightInd w:val="0"/>
              <w:snapToGrid w:val="0"/>
              <w:spacing w:before="50" w:after="120" w:afterLines="50"/>
              <w:jc w:val="center"/>
              <w:rPr>
                <w:rFonts w:ascii="宋体" w:hAnsi="宋体" w:cs="宋体"/>
                <w:color w:val="auto"/>
                <w:sz w:val="24"/>
                <w:highlight w:val="none"/>
              </w:rPr>
            </w:pPr>
          </w:p>
        </w:tc>
      </w:tr>
      <w:tr w14:paraId="1C484357">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3FFCD5FF">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7D175963">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52A07B6D">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7987543E">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03D72102">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0709001C">
            <w:pPr>
              <w:adjustRightInd w:val="0"/>
              <w:snapToGrid w:val="0"/>
              <w:spacing w:before="50" w:after="120" w:afterLines="50"/>
              <w:jc w:val="center"/>
              <w:rPr>
                <w:rFonts w:ascii="宋体" w:hAnsi="宋体" w:cs="宋体"/>
                <w:color w:val="auto"/>
                <w:sz w:val="24"/>
                <w:highlight w:val="none"/>
              </w:rPr>
            </w:pPr>
          </w:p>
        </w:tc>
      </w:tr>
      <w:tr w14:paraId="6EF92E49">
        <w:tblPrEx>
          <w:tblCellMar>
            <w:top w:w="0" w:type="dxa"/>
            <w:left w:w="108" w:type="dxa"/>
            <w:bottom w:w="0" w:type="dxa"/>
            <w:right w:w="108" w:type="dxa"/>
          </w:tblCellMar>
        </w:tblPrEx>
        <w:trPr>
          <w:trHeight w:val="77" w:hRule="atLeast"/>
        </w:trPr>
        <w:tc>
          <w:tcPr>
            <w:tcW w:w="1741" w:type="dxa"/>
            <w:tcBorders>
              <w:top w:val="single" w:color="auto" w:sz="4" w:space="0"/>
              <w:left w:val="single" w:color="auto" w:sz="4" w:space="0"/>
              <w:bottom w:val="single" w:color="auto" w:sz="4" w:space="0"/>
              <w:right w:val="single" w:color="auto" w:sz="4" w:space="0"/>
            </w:tcBorders>
            <w:vAlign w:val="center"/>
          </w:tcPr>
          <w:p w14:paraId="215FA7F3">
            <w:pPr>
              <w:adjustRightInd w:val="0"/>
              <w:snapToGrid w:val="0"/>
              <w:spacing w:before="50" w:after="120" w:afterLines="50"/>
              <w:jc w:val="center"/>
              <w:rPr>
                <w:rFonts w:ascii="宋体" w:hAnsi="宋体" w:cs="宋体"/>
                <w:color w:val="auto"/>
                <w:sz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14:paraId="73CEB581">
            <w:pPr>
              <w:adjustRightInd w:val="0"/>
              <w:snapToGrid w:val="0"/>
              <w:spacing w:before="50" w:after="120" w:afterLines="50"/>
              <w:jc w:val="center"/>
              <w:rPr>
                <w:rFonts w:ascii="宋体" w:hAnsi="宋体" w:cs="宋体"/>
                <w:color w:val="auto"/>
                <w:sz w:val="24"/>
                <w:highlight w:val="none"/>
              </w:rPr>
            </w:pPr>
          </w:p>
        </w:tc>
        <w:tc>
          <w:tcPr>
            <w:tcW w:w="1825" w:type="dxa"/>
            <w:tcBorders>
              <w:top w:val="single" w:color="auto" w:sz="4" w:space="0"/>
              <w:left w:val="single" w:color="auto" w:sz="4" w:space="0"/>
              <w:bottom w:val="single" w:color="auto" w:sz="4" w:space="0"/>
              <w:right w:val="single" w:color="auto" w:sz="4" w:space="0"/>
            </w:tcBorders>
            <w:vAlign w:val="center"/>
          </w:tcPr>
          <w:p w14:paraId="0EF88D6E">
            <w:pPr>
              <w:adjustRightInd w:val="0"/>
              <w:snapToGrid w:val="0"/>
              <w:spacing w:before="50" w:after="120" w:afterLines="50"/>
              <w:jc w:val="center"/>
              <w:rPr>
                <w:rFonts w:ascii="宋体" w:hAnsi="宋体" w:cs="宋体"/>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vAlign w:val="center"/>
          </w:tcPr>
          <w:p w14:paraId="3A909E59">
            <w:pPr>
              <w:adjustRightInd w:val="0"/>
              <w:snapToGrid w:val="0"/>
              <w:spacing w:before="50" w:after="120" w:afterLines="50"/>
              <w:jc w:val="center"/>
              <w:rPr>
                <w:rFonts w:ascii="宋体" w:hAnsi="宋体" w:cs="宋体"/>
                <w:color w:val="auto"/>
                <w:sz w:val="24"/>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3ACD9AFD">
            <w:pPr>
              <w:adjustRightInd w:val="0"/>
              <w:snapToGrid w:val="0"/>
              <w:spacing w:before="50" w:after="120" w:afterLines="50"/>
              <w:jc w:val="center"/>
              <w:rPr>
                <w:rFonts w:ascii="宋体" w:hAnsi="宋体" w:cs="宋体"/>
                <w:color w:val="auto"/>
                <w:sz w:val="24"/>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14:paraId="29EF1D7C">
            <w:pPr>
              <w:adjustRightInd w:val="0"/>
              <w:snapToGrid w:val="0"/>
              <w:spacing w:before="50" w:after="120" w:afterLines="50"/>
              <w:jc w:val="center"/>
              <w:rPr>
                <w:rFonts w:ascii="宋体" w:hAnsi="宋体" w:cs="宋体"/>
                <w:color w:val="auto"/>
                <w:sz w:val="24"/>
                <w:highlight w:val="none"/>
              </w:rPr>
            </w:pPr>
          </w:p>
        </w:tc>
      </w:tr>
    </w:tbl>
    <w:p w14:paraId="247EB679">
      <w:pPr>
        <w:spacing w:line="360" w:lineRule="auto"/>
        <w:rPr>
          <w:rFonts w:hint="eastAsia" w:ascii="宋体" w:hAnsi="宋体"/>
          <w:b/>
          <w:bCs/>
          <w:color w:val="auto"/>
          <w:sz w:val="24"/>
          <w:highlight w:val="none"/>
        </w:rPr>
      </w:pPr>
    </w:p>
    <w:p w14:paraId="7310EBB7">
      <w:pPr>
        <w:spacing w:line="360" w:lineRule="auto"/>
        <w:rPr>
          <w:rFonts w:hint="eastAsia" w:ascii="宋体" w:hAnsi="宋体"/>
          <w:b/>
          <w:bCs/>
          <w:color w:val="auto"/>
          <w:sz w:val="24"/>
          <w:highlight w:val="none"/>
        </w:rPr>
      </w:pPr>
      <w:r>
        <w:rPr>
          <w:rFonts w:hint="eastAsia" w:ascii="宋体" w:hAnsi="宋体"/>
          <w:b/>
          <w:bCs/>
          <w:color w:val="auto"/>
          <w:sz w:val="24"/>
          <w:highlight w:val="none"/>
        </w:rPr>
        <w:t>备注说明：</w:t>
      </w:r>
    </w:p>
    <w:p w14:paraId="5A22EBA7">
      <w:pPr>
        <w:numPr>
          <w:ilvl w:val="0"/>
          <w:numId w:val="0"/>
        </w:numPr>
        <w:spacing w:line="360" w:lineRule="auto"/>
        <w:ind w:leftChars="0"/>
        <w:rPr>
          <w:rFonts w:hint="eastAsia" w:ascii="宋体" w:hAnsi="宋体"/>
          <w:b/>
          <w:bCs/>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此表在不改变表式的情况下，可自行制作；</w:t>
      </w:r>
    </w:p>
    <w:p w14:paraId="60BC9796">
      <w:pPr>
        <w:spacing w:line="360" w:lineRule="auto"/>
        <w:rPr>
          <w:rFonts w:hint="eastAsia"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必须提供有关证明资料复印件，原件备查。</w:t>
      </w:r>
    </w:p>
    <w:p w14:paraId="7CEADEEB">
      <w:pPr>
        <w:rPr>
          <w:rFonts w:hint="eastAsia"/>
          <w:color w:val="auto"/>
          <w:highlight w:val="none"/>
        </w:rPr>
      </w:pPr>
    </w:p>
    <w:p w14:paraId="349F13FD">
      <w:pPr>
        <w:rPr>
          <w:color w:val="auto"/>
          <w:highlight w:val="none"/>
        </w:rPr>
      </w:pPr>
      <w:r>
        <w:rPr>
          <w:rFonts w:hint="eastAsia"/>
          <w:color w:val="auto"/>
          <w:highlight w:val="none"/>
        </w:rPr>
        <w:t>投标人全称（盖公章或电子签章）：</w:t>
      </w:r>
    </w:p>
    <w:p w14:paraId="564BB24B">
      <w:pPr>
        <w:snapToGrid w:val="0"/>
        <w:spacing w:line="360" w:lineRule="auto"/>
        <w:jc w:val="left"/>
      </w:pPr>
      <w:r>
        <w:rPr>
          <w:rFonts w:hint="eastAsia" w:ascii="宋体" w:hAnsi="宋体" w:eastAsia="宋体"/>
          <w:b w:val="0"/>
          <w:bCs w:val="0"/>
          <w:color w:val="auto"/>
          <w:spacing w:val="20"/>
          <w:sz w:val="24"/>
          <w:szCs w:val="24"/>
          <w:highlight w:val="none"/>
        </w:rPr>
        <w:t>年   月   日</w:t>
      </w:r>
    </w:p>
    <w:p w14:paraId="5CCB9C51">
      <w:pPr>
        <w:rPr>
          <w:color w:val="auto"/>
          <w:highlight w:val="none"/>
        </w:rPr>
      </w:pPr>
    </w:p>
    <w:p w14:paraId="3A8B0BCC">
      <w:pPr>
        <w:snapToGrid w:val="0"/>
        <w:spacing w:before="50" w:after="50" w:line="360" w:lineRule="auto"/>
        <w:rPr>
          <w:rFonts w:hint="eastAsia" w:ascii="宋体" w:hAnsi="宋体"/>
          <w:color w:val="auto"/>
          <w:kern w:val="0"/>
          <w:sz w:val="24"/>
          <w:highlight w:val="none"/>
          <w:lang w:eastAsia="zh-CN"/>
        </w:rPr>
      </w:pPr>
      <w:r>
        <w:rPr>
          <w:rFonts w:ascii="宋体" w:hAnsi="宋体"/>
          <w:color w:val="auto"/>
          <w:sz w:val="24"/>
          <w:highlight w:val="none"/>
        </w:rPr>
        <w:br w:type="page"/>
      </w:r>
    </w:p>
    <w:p w14:paraId="2D4E8B6E">
      <w:pPr>
        <w:snapToGrid w:val="0"/>
        <w:spacing w:line="460" w:lineRule="atLeast"/>
        <w:jc w:val="both"/>
        <w:rPr>
          <w:rFonts w:ascii="宋体" w:hAnsi="宋体"/>
          <w:color w:val="auto"/>
          <w:kern w:val="0"/>
          <w:sz w:val="24"/>
          <w:highlight w:val="none"/>
        </w:rPr>
      </w:pPr>
      <w:r>
        <w:rPr>
          <w:rFonts w:hint="eastAsia" w:ascii="宋体" w:hAnsi="宋体"/>
          <w:b/>
          <w:bCs/>
          <w:color w:val="auto"/>
          <w:kern w:val="0"/>
          <w:sz w:val="24"/>
          <w:highlight w:val="none"/>
          <w:lang w:eastAsia="zh-CN"/>
        </w:rPr>
        <w:t>附件</w:t>
      </w:r>
      <w:r>
        <w:rPr>
          <w:rFonts w:hint="eastAsia" w:ascii="宋体" w:hAnsi="宋体"/>
          <w:b/>
          <w:bCs/>
          <w:color w:val="auto"/>
          <w:kern w:val="0"/>
          <w:sz w:val="24"/>
          <w:highlight w:val="none"/>
          <w:lang w:val="en-US" w:eastAsia="zh-CN"/>
        </w:rPr>
        <w:t>：</w:t>
      </w:r>
      <w:r>
        <w:rPr>
          <w:rFonts w:ascii="宋体" w:hAnsi="宋体"/>
          <w:b/>
          <w:bCs/>
          <w:color w:val="auto"/>
          <w:kern w:val="0"/>
          <w:sz w:val="24"/>
          <w:highlight w:val="none"/>
        </w:rPr>
        <w:t>联合投标协议书格式（本表联合体投标时适用）</w:t>
      </w:r>
    </w:p>
    <w:p w14:paraId="1D1E47D5">
      <w:pPr>
        <w:snapToGrid w:val="0"/>
        <w:spacing w:line="460" w:lineRule="atLeast"/>
        <w:ind w:firstLine="538" w:firstLineChars="200"/>
        <w:jc w:val="center"/>
        <w:rPr>
          <w:rFonts w:ascii="宋体" w:hAnsi="宋体"/>
          <w:b/>
          <w:bCs/>
          <w:color w:val="auto"/>
          <w:spacing w:val="14"/>
          <w:kern w:val="24"/>
          <w:sz w:val="24"/>
          <w:highlight w:val="none"/>
        </w:rPr>
      </w:pPr>
      <w:r>
        <w:rPr>
          <w:rFonts w:ascii="宋体" w:hAnsi="宋体"/>
          <w:b/>
          <w:bCs/>
          <w:color w:val="auto"/>
          <w:spacing w:val="14"/>
          <w:kern w:val="24"/>
          <w:sz w:val="24"/>
          <w:highlight w:val="none"/>
        </w:rPr>
        <w:t>联合投标协议书</w:t>
      </w:r>
    </w:p>
    <w:p w14:paraId="15089674">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（所有成员单位名称）自愿组成联合体，共同参加（项目名称）投标。现就联合体投标事宜订立如下协议。</w:t>
      </w:r>
    </w:p>
    <w:p w14:paraId="27FA171B">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1.（某成员单位名称）为牵头人。</w:t>
      </w:r>
    </w:p>
    <w:p w14:paraId="7EFDA901">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代表联合体提交和接收相关的资料、信息及指示，处理与招标投标活动（包括投诉及处理）有关的一切事务，并负责合同实施阶段的主办、组织和协调工作。</w:t>
      </w:r>
    </w:p>
    <w:p w14:paraId="429CB994">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3.联合体将严格按照招标文件的各项要求，递交投标文件，履行合同。如果中标并签订合同，则联合投标各方将共同履行对招标方和采购人所负有的全部义务并就采购合同约定的事项对采购人承担连带责任。</w:t>
      </w:r>
    </w:p>
    <w:p w14:paraId="6721E610">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4.联合体牵头人应在取得联合体各成员同意后，代表联合体签署投标文件，联合体牵头人的所有承诺均认为代表了联合体各成员。</w:t>
      </w:r>
    </w:p>
    <w:p w14:paraId="65105EE5">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5.联合体各成员单位内部的职责分工如下： （牵头人名称）承担；（成员一名称）承担。</w:t>
      </w:r>
    </w:p>
    <w:p w14:paraId="3952771B">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6.依据联合体内部分工安排，联合体收益按照</w:t>
      </w:r>
      <w:r>
        <w:rPr>
          <w:rFonts w:hint="eastAsia" w:ascii="宋体" w:hAnsi="宋体" w:cs="宋体"/>
          <w:color w:val="auto"/>
          <w:sz w:val="24"/>
          <w:highlight w:val="none"/>
          <w:u w:val="single"/>
        </w:rPr>
        <w:t xml:space="preserve">（牵头人名称）：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（成员名称）：      </w:t>
      </w:r>
      <w:r>
        <w:rPr>
          <w:rFonts w:hint="eastAsia" w:ascii="宋体" w:hAnsi="宋体" w:cs="宋体"/>
          <w:color w:val="auto"/>
          <w:sz w:val="24"/>
          <w:highlight w:val="none"/>
        </w:rPr>
        <w:t>%分配。投标工作和联合体在中标后工程实施过程中的有关费用按各自承担的工作量分摊。</w:t>
      </w:r>
    </w:p>
    <w:p w14:paraId="15A783E5">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7.本协议提交招标方后，联合投标各方不得以任何形式对上述实质内容进行修改或撤销。</w:t>
      </w:r>
    </w:p>
    <w:p w14:paraId="38AD787E">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8.本协议书自签署之日起生效，合同履行完毕后自动失效。</w:t>
      </w:r>
    </w:p>
    <w:p w14:paraId="5B40EB5E">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9.本协议书一式份，联合体成员和招标人各执一份。</w:t>
      </w:r>
    </w:p>
    <w:p w14:paraId="591E6338">
      <w:pPr>
        <w:snapToGrid w:val="0"/>
        <w:spacing w:before="120" w:beforeLines="50" w:after="50" w:line="276" w:lineRule="auto"/>
        <w:ind w:firstLine="720" w:firstLineChars="300"/>
        <w:rPr>
          <w:rFonts w:ascii="宋体" w:hAnsi="宋体" w:cs="宋体"/>
          <w:color w:val="auto"/>
          <w:sz w:val="24"/>
          <w:highlight w:val="none"/>
        </w:rPr>
      </w:pPr>
    </w:p>
    <w:p w14:paraId="103D7B88">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牵头人名称：                                  （盖单位章）</w:t>
      </w:r>
    </w:p>
    <w:p w14:paraId="400E4C3B">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                                      （签字）</w:t>
      </w:r>
    </w:p>
    <w:p w14:paraId="3994AE4E">
      <w:pPr>
        <w:snapToGrid w:val="0"/>
        <w:spacing w:before="120" w:beforeLines="50" w:after="50" w:line="276" w:lineRule="auto"/>
        <w:ind w:firstLine="720" w:firstLineChars="300"/>
        <w:rPr>
          <w:rFonts w:ascii="宋体" w:hAnsi="宋体" w:cs="宋体"/>
          <w:color w:val="auto"/>
          <w:sz w:val="24"/>
          <w:highlight w:val="none"/>
        </w:rPr>
      </w:pPr>
    </w:p>
    <w:p w14:paraId="5C47F71E">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成员一名称：                                  （盖单位章） </w:t>
      </w:r>
    </w:p>
    <w:p w14:paraId="29495F80">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                                      （签字）</w:t>
      </w:r>
    </w:p>
    <w:p w14:paraId="7FDD303A">
      <w:pPr>
        <w:snapToGrid w:val="0"/>
        <w:spacing w:before="120" w:beforeLines="50" w:after="50" w:line="276" w:lineRule="auto"/>
        <w:ind w:firstLine="720" w:firstLineChars="300"/>
        <w:rPr>
          <w:rFonts w:ascii="宋体" w:hAnsi="宋体" w:cs="宋体"/>
          <w:color w:val="auto"/>
          <w:sz w:val="24"/>
          <w:highlight w:val="none"/>
        </w:rPr>
      </w:pPr>
    </w:p>
    <w:p w14:paraId="65A5E0DF">
      <w:pPr>
        <w:ind w:firstLine="720" w:firstLineChars="300"/>
        <w:rPr>
          <w:rFonts w:hint="eastAsia" w:ascii="宋体" w:hAnsi="宋体"/>
          <w:b/>
          <w:color w:val="auto"/>
          <w:sz w:val="24"/>
          <w:highlight w:val="none"/>
        </w:rPr>
      </w:pPr>
      <w:bookmarkStart w:id="18" w:name="_Toc533947637"/>
      <w:r>
        <w:rPr>
          <w:rFonts w:hint="eastAsia" w:ascii="宋体" w:hAnsi="宋体" w:cs="宋体"/>
          <w:color w:val="auto"/>
          <w:sz w:val="24"/>
          <w:highlight w:val="none"/>
        </w:rPr>
        <w:t>年    月    日</w:t>
      </w:r>
      <w:bookmarkEnd w:id="18"/>
    </w:p>
    <w:p w14:paraId="5AA43D6D">
      <w:pPr>
        <w:snapToGrid w:val="0"/>
        <w:spacing w:line="360" w:lineRule="auto"/>
        <w:ind w:firstLine="0" w:firstLineChars="0"/>
        <w:rPr>
          <w:rFonts w:hint="default" w:ascii="宋体" w:hAnsi="宋体" w:eastAsia="宋体" w:cs="Times New Roman"/>
          <w:color w:val="auto"/>
          <w:kern w:val="0"/>
          <w:sz w:val="24"/>
          <w:highlight w:val="none"/>
          <w:lang w:eastAsia="zh-CN"/>
        </w:rPr>
      </w:pPr>
    </w:p>
    <w:p w14:paraId="31F51DCC">
      <w:pPr>
        <w:snapToGrid w:val="0"/>
        <w:spacing w:line="360" w:lineRule="auto"/>
        <w:ind w:firstLine="0" w:firstLineChars="0"/>
        <w:rPr>
          <w:rFonts w:hint="default" w:ascii="宋体" w:hAnsi="宋体" w:eastAsia="宋体" w:cs="Times New Roman"/>
          <w:color w:val="auto"/>
          <w:kern w:val="0"/>
          <w:sz w:val="24"/>
          <w:highlight w:val="none"/>
          <w:lang w:eastAsia="zh-CN"/>
        </w:rPr>
      </w:pPr>
    </w:p>
    <w:p w14:paraId="0D07D5D3">
      <w:pPr>
        <w:snapToGrid w:val="0"/>
        <w:spacing w:line="360" w:lineRule="auto"/>
        <w:ind w:firstLine="0" w:firstLineChars="0"/>
        <w:rPr>
          <w:rFonts w:hint="eastAsia"/>
          <w:color w:val="auto"/>
          <w:highlight w:val="none"/>
        </w:rPr>
      </w:pPr>
      <w:r>
        <w:rPr>
          <w:rFonts w:hint="default" w:ascii="宋体" w:hAnsi="宋体" w:eastAsia="宋体" w:cs="Times New Roman"/>
          <w:b/>
          <w:bCs/>
          <w:color w:val="auto"/>
          <w:kern w:val="0"/>
          <w:sz w:val="24"/>
          <w:highlight w:val="none"/>
          <w:lang w:eastAsia="zh-CN"/>
        </w:rPr>
        <w:t>附件</w:t>
      </w:r>
      <w:r>
        <w:rPr>
          <w:rFonts w:hint="default" w:ascii="宋体" w:hAnsi="宋体" w:eastAsia="宋体" w:cs="Times New Roman"/>
          <w:b/>
          <w:bCs/>
          <w:color w:val="auto"/>
          <w:kern w:val="0"/>
          <w:sz w:val="24"/>
          <w:highlight w:val="none"/>
          <w:lang w:val="en-US" w:eastAsia="zh-CN"/>
        </w:rPr>
        <w:t>：</w:t>
      </w:r>
      <w:r>
        <w:rPr>
          <w:rFonts w:hint="default" w:ascii="宋体" w:hAnsi="宋体" w:eastAsia="宋体" w:cs="Times New Roman"/>
          <w:b/>
          <w:bCs/>
          <w:color w:val="auto"/>
          <w:kern w:val="0"/>
          <w:sz w:val="24"/>
          <w:szCs w:val="24"/>
          <w:highlight w:val="none"/>
        </w:rPr>
        <w:t>分包意向协议</w:t>
      </w:r>
      <w:r>
        <w:rPr>
          <w:rFonts w:ascii="宋体" w:hAnsi="宋体" w:eastAsia="宋体" w:cs="Times New Roman"/>
          <w:b/>
          <w:bCs/>
          <w:color w:val="auto"/>
          <w:kern w:val="0"/>
          <w:sz w:val="24"/>
          <w:highlight w:val="none"/>
        </w:rPr>
        <w:t>格</w:t>
      </w:r>
      <w:r>
        <w:rPr>
          <w:rFonts w:ascii="宋体" w:hAnsi="宋体"/>
          <w:b/>
          <w:bCs/>
          <w:color w:val="auto"/>
          <w:kern w:val="0"/>
          <w:sz w:val="24"/>
          <w:highlight w:val="none"/>
        </w:rPr>
        <w:t>式（本表联合体投标时适用</w:t>
      </w:r>
      <w:r>
        <w:rPr>
          <w:rFonts w:ascii="宋体" w:hAnsi="宋体" w:eastAsia="宋体" w:cs="Times New Roman"/>
          <w:b/>
          <w:bCs/>
          <w:color w:val="auto"/>
          <w:kern w:val="0"/>
          <w:sz w:val="24"/>
          <w:highlight w:val="none"/>
        </w:rPr>
        <w:t>）</w:t>
      </w:r>
    </w:p>
    <w:p w14:paraId="52FAAB86">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14:paraId="5762435A">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中标后以分包方式履行合同的，提供分包意向协议；投标人中标后不以分包方式履行合同的，则不需要提供</w:t>
      </w:r>
      <w:r>
        <w:rPr>
          <w:rFonts w:hint="eastAsia" w:ascii="仿宋_GB2312" w:hAnsi="仿宋" w:eastAsia="仿宋_GB2312" w:cs="仿宋_GB2312"/>
          <w:b/>
          <w:color w:val="auto"/>
          <w:sz w:val="24"/>
          <w:highlight w:val="none"/>
          <w:lang w:val="en-US" w:eastAsia="zh-CN"/>
        </w:rPr>
        <w:t>.</w:t>
      </w:r>
      <w:r>
        <w:rPr>
          <w:rFonts w:hint="eastAsia" w:ascii="仿宋_GB2312" w:hAnsi="仿宋" w:eastAsia="仿宋_GB2312" w:cs="仿宋_GB2312"/>
          <w:color w:val="auto"/>
          <w:sz w:val="24"/>
          <w:highlight w:val="none"/>
        </w:rPr>
        <w:t>）</w:t>
      </w:r>
    </w:p>
    <w:p w14:paraId="07BDC81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21EFF503">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3583058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0C980B4E">
      <w:pPr>
        <w:pStyle w:val="4"/>
        <w:tabs>
          <w:tab w:val="left" w:pos="432"/>
        </w:tabs>
        <w:ind w:left="664" w:leftChars="316" w:firstLine="229" w:firstLineChars="95"/>
        <w:rPr>
          <w:color w:val="auto"/>
          <w:highlight w:val="none"/>
        </w:rPr>
      </w:pPr>
      <w:r>
        <w:rPr>
          <w:rFonts w:hint="eastAsia" w:cs="仿宋_GB2312"/>
          <w:color w:val="auto"/>
          <w:kern w:val="0"/>
          <w:sz w:val="24"/>
          <w:szCs w:val="24"/>
          <w:highlight w:val="none"/>
        </w:rPr>
        <w:t>……</w:t>
      </w:r>
    </w:p>
    <w:p w14:paraId="360D29FC">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5F987E30">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612973B8">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1E5EAA24">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42AD6C0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24974724">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25039EBB">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67480018">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7C2AB25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07D23E93">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0276FBB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77820275">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w:t>
      </w:r>
    </w:p>
    <w:p w14:paraId="7CDE855F">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7ACED226">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1A895D60">
      <w:pPr>
        <w:snapToGrid w:val="0"/>
        <w:spacing w:before="50" w:afterLines="50" w:line="360" w:lineRule="auto"/>
        <w:jc w:val="left"/>
        <w:rPr>
          <w:rFonts w:ascii="宋体"/>
          <w:b/>
          <w:color w:val="auto"/>
          <w:sz w:val="24"/>
          <w:highlight w:val="none"/>
        </w:rPr>
      </w:pPr>
      <w:r>
        <w:rPr>
          <w:rFonts w:ascii="仿宋_GB2312" w:hAnsi="仿宋" w:eastAsia="仿宋_GB2312" w:cs="仿宋_GB2312"/>
          <w:color w:val="auto"/>
          <w:kern w:val="0"/>
          <w:sz w:val="24"/>
          <w:highlight w:val="none"/>
          <w:lang w:val="zh-CN"/>
        </w:rPr>
        <w:t xml:space="preserve">                                        日期：  年  月   日</w:t>
      </w:r>
    </w:p>
    <w:p w14:paraId="404956F7">
      <w:pPr>
        <w:snapToGrid w:val="0"/>
        <w:spacing w:before="50" w:afterLines="50" w:line="360" w:lineRule="auto"/>
        <w:jc w:val="left"/>
        <w:rPr>
          <w:rFonts w:hint="eastAsia" w:ascii="宋体" w:hAnsi="宋体"/>
          <w:b/>
          <w:color w:val="auto"/>
          <w:sz w:val="24"/>
          <w:highlight w:val="none"/>
        </w:rPr>
      </w:pPr>
    </w:p>
    <w:p w14:paraId="02DE430E">
      <w:pPr>
        <w:snapToGrid w:val="0"/>
        <w:spacing w:after="120" w:afterLines="50" w:line="420" w:lineRule="exact"/>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.报价文件</w:t>
      </w:r>
    </w:p>
    <w:p w14:paraId="75C8AAB8">
      <w:pPr>
        <w:tabs>
          <w:tab w:val="left" w:pos="3870"/>
          <w:tab w:val="left" w:pos="4085"/>
        </w:tabs>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（1）投标函（格式见附件）；</w:t>
      </w:r>
    </w:p>
    <w:p w14:paraId="0F6FE57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（2）开标一览表（格式见附件）；</w:t>
      </w:r>
    </w:p>
    <w:p w14:paraId="7CFD64C7">
      <w:pPr>
        <w:ind w:firstLine="480" w:firstLineChars="200"/>
        <w:rPr>
          <w:rFonts w:hint="eastAsia"/>
          <w:color w:val="auto"/>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投标人针对报价需要说明的其他文件和说明（不允许含报价）。</w:t>
      </w:r>
    </w:p>
    <w:p w14:paraId="48AE7A16">
      <w:pPr>
        <w:snapToGrid w:val="0"/>
        <w:spacing w:before="50" w:afterLines="50" w:line="360" w:lineRule="auto"/>
        <w:jc w:val="left"/>
        <w:rPr>
          <w:rFonts w:hint="eastAsia" w:ascii="宋体" w:hAnsi="宋体"/>
          <w:b/>
          <w:color w:val="auto"/>
          <w:sz w:val="24"/>
          <w:highlight w:val="none"/>
        </w:rPr>
      </w:pPr>
    </w:p>
    <w:p w14:paraId="06B5881E">
      <w:pPr>
        <w:snapToGrid w:val="0"/>
        <w:spacing w:before="50" w:afterLines="50" w:line="360" w:lineRule="auto"/>
        <w:jc w:val="left"/>
        <w:rPr>
          <w:rFonts w:hint="eastAsia" w:ascii="宋体" w:hAnsi="宋体"/>
          <w:b/>
          <w:color w:val="auto"/>
          <w:sz w:val="24"/>
          <w:highlight w:val="none"/>
        </w:rPr>
      </w:pPr>
    </w:p>
    <w:p w14:paraId="51365A3F">
      <w:pPr>
        <w:snapToGrid w:val="0"/>
        <w:spacing w:before="50" w:afterLines="50" w:line="360" w:lineRule="auto"/>
        <w:jc w:val="left"/>
        <w:rPr>
          <w:rFonts w:hint="eastAsia" w:ascii="宋体" w:hAnsi="宋体"/>
          <w:b/>
          <w:color w:val="auto"/>
          <w:sz w:val="24"/>
          <w:highlight w:val="none"/>
        </w:rPr>
      </w:pPr>
    </w:p>
    <w:p w14:paraId="2EECEB84">
      <w:pPr>
        <w:snapToGrid w:val="0"/>
        <w:spacing w:before="50" w:afterLines="50" w:line="360" w:lineRule="auto"/>
        <w:jc w:val="left"/>
        <w:rPr>
          <w:rFonts w:hint="eastAsia" w:ascii="宋体" w:hAnsi="宋体"/>
          <w:b/>
          <w:color w:val="auto"/>
          <w:sz w:val="24"/>
          <w:highlight w:val="none"/>
        </w:rPr>
      </w:pPr>
    </w:p>
    <w:p w14:paraId="4F1D3FEA">
      <w:pPr>
        <w:snapToGrid w:val="0"/>
        <w:spacing w:before="50" w:afterLines="50" w:line="360" w:lineRule="auto"/>
        <w:jc w:val="left"/>
        <w:rPr>
          <w:rFonts w:hint="eastAsia" w:ascii="宋体" w:hAnsi="宋体"/>
          <w:b/>
          <w:color w:val="auto"/>
          <w:sz w:val="24"/>
          <w:highlight w:val="none"/>
        </w:rPr>
      </w:pPr>
    </w:p>
    <w:p w14:paraId="39846EED">
      <w:pPr>
        <w:snapToGrid w:val="0"/>
        <w:spacing w:before="50" w:afterLines="50" w:line="360" w:lineRule="auto"/>
        <w:jc w:val="left"/>
        <w:rPr>
          <w:rFonts w:hint="eastAsia" w:ascii="宋体" w:hAnsi="宋体"/>
          <w:b/>
          <w:color w:val="auto"/>
          <w:sz w:val="24"/>
          <w:highlight w:val="none"/>
        </w:rPr>
      </w:pPr>
    </w:p>
    <w:p w14:paraId="7F088BC0">
      <w:pPr>
        <w:snapToGrid w:val="0"/>
        <w:spacing w:before="50" w:afterLines="50" w:line="360" w:lineRule="auto"/>
        <w:jc w:val="left"/>
        <w:rPr>
          <w:rFonts w:hint="eastAsia" w:ascii="宋体" w:hAnsi="宋体"/>
          <w:b/>
          <w:color w:val="auto"/>
          <w:sz w:val="24"/>
          <w:highlight w:val="none"/>
        </w:rPr>
      </w:pPr>
    </w:p>
    <w:p w14:paraId="4348EBC6">
      <w:pPr>
        <w:snapToGrid w:val="0"/>
        <w:spacing w:before="50" w:afterLines="50" w:line="360" w:lineRule="auto"/>
        <w:jc w:val="left"/>
        <w:rPr>
          <w:rFonts w:hint="eastAsia" w:ascii="宋体" w:hAnsi="宋体"/>
          <w:b/>
          <w:color w:val="auto"/>
          <w:sz w:val="24"/>
          <w:highlight w:val="none"/>
        </w:rPr>
      </w:pPr>
    </w:p>
    <w:p w14:paraId="0803DB3A">
      <w:pPr>
        <w:snapToGrid w:val="0"/>
        <w:spacing w:before="50" w:afterLines="50" w:line="360" w:lineRule="auto"/>
        <w:jc w:val="left"/>
        <w:rPr>
          <w:rFonts w:hint="eastAsia" w:ascii="宋体" w:hAnsi="宋体"/>
          <w:b/>
          <w:color w:val="auto"/>
          <w:sz w:val="24"/>
          <w:highlight w:val="none"/>
        </w:rPr>
      </w:pPr>
    </w:p>
    <w:p w14:paraId="5FA83F1D">
      <w:pPr>
        <w:snapToGrid w:val="0"/>
        <w:spacing w:before="50" w:afterLines="50" w:line="360" w:lineRule="auto"/>
        <w:jc w:val="left"/>
        <w:rPr>
          <w:rFonts w:hint="eastAsia" w:ascii="宋体" w:hAnsi="宋体"/>
          <w:b/>
          <w:color w:val="auto"/>
          <w:sz w:val="24"/>
          <w:highlight w:val="none"/>
        </w:rPr>
      </w:pPr>
    </w:p>
    <w:p w14:paraId="6A9DBF9C">
      <w:pPr>
        <w:snapToGrid w:val="0"/>
        <w:spacing w:before="50" w:afterLines="50" w:line="360" w:lineRule="auto"/>
        <w:jc w:val="left"/>
        <w:rPr>
          <w:rFonts w:hint="eastAsia" w:ascii="宋体" w:hAnsi="宋体"/>
          <w:b/>
          <w:color w:val="auto"/>
          <w:sz w:val="24"/>
          <w:highlight w:val="none"/>
        </w:rPr>
      </w:pPr>
    </w:p>
    <w:p w14:paraId="7083A88A">
      <w:pPr>
        <w:snapToGrid w:val="0"/>
        <w:spacing w:before="50" w:afterLines="50" w:line="360" w:lineRule="auto"/>
        <w:jc w:val="left"/>
        <w:rPr>
          <w:rFonts w:hint="eastAsia" w:ascii="宋体" w:hAnsi="宋体"/>
          <w:b/>
          <w:color w:val="auto"/>
          <w:sz w:val="24"/>
          <w:highlight w:val="none"/>
        </w:rPr>
      </w:pPr>
    </w:p>
    <w:p w14:paraId="333C6A8F">
      <w:pPr>
        <w:snapToGrid w:val="0"/>
        <w:spacing w:before="50" w:afterLines="50" w:line="360" w:lineRule="auto"/>
        <w:jc w:val="left"/>
        <w:rPr>
          <w:rFonts w:hint="eastAsia" w:ascii="宋体" w:hAnsi="宋体"/>
          <w:b/>
          <w:color w:val="auto"/>
          <w:sz w:val="24"/>
          <w:highlight w:val="none"/>
        </w:rPr>
      </w:pPr>
    </w:p>
    <w:p w14:paraId="3B223D29">
      <w:pPr>
        <w:snapToGrid w:val="0"/>
        <w:spacing w:before="50" w:afterLines="50" w:line="360" w:lineRule="auto"/>
        <w:jc w:val="left"/>
        <w:rPr>
          <w:rFonts w:hint="eastAsia" w:ascii="宋体" w:hAnsi="宋体"/>
          <w:b/>
          <w:color w:val="auto"/>
          <w:sz w:val="24"/>
          <w:highlight w:val="none"/>
        </w:rPr>
      </w:pPr>
    </w:p>
    <w:p w14:paraId="565D0D66">
      <w:pPr>
        <w:snapToGrid w:val="0"/>
        <w:spacing w:before="50" w:afterLines="50" w:line="360" w:lineRule="auto"/>
        <w:jc w:val="left"/>
        <w:rPr>
          <w:rFonts w:hint="eastAsia" w:ascii="宋体" w:hAnsi="宋体"/>
          <w:b/>
          <w:color w:val="auto"/>
          <w:sz w:val="24"/>
          <w:highlight w:val="none"/>
        </w:rPr>
      </w:pPr>
    </w:p>
    <w:p w14:paraId="5763E2BC">
      <w:pPr>
        <w:snapToGrid w:val="0"/>
        <w:spacing w:before="50" w:afterLines="50" w:line="360" w:lineRule="auto"/>
        <w:jc w:val="left"/>
        <w:rPr>
          <w:rFonts w:hint="eastAsia" w:ascii="宋体" w:hAnsi="宋体"/>
          <w:b/>
          <w:color w:val="auto"/>
          <w:sz w:val="24"/>
          <w:highlight w:val="none"/>
        </w:rPr>
      </w:pPr>
    </w:p>
    <w:p w14:paraId="49989C1C">
      <w:pPr>
        <w:snapToGrid w:val="0"/>
        <w:spacing w:before="50" w:afterLines="50" w:line="360" w:lineRule="auto"/>
        <w:jc w:val="left"/>
        <w:rPr>
          <w:rFonts w:hint="eastAsia" w:ascii="宋体" w:hAnsi="宋体"/>
          <w:b/>
          <w:color w:val="auto"/>
          <w:sz w:val="24"/>
          <w:highlight w:val="none"/>
        </w:rPr>
      </w:pPr>
    </w:p>
    <w:p w14:paraId="172F8F02">
      <w:pPr>
        <w:snapToGrid w:val="0"/>
        <w:spacing w:before="50" w:afterLines="50" w:line="360" w:lineRule="auto"/>
        <w:jc w:val="left"/>
        <w:rPr>
          <w:rFonts w:hint="eastAsia" w:ascii="宋体" w:hAnsi="宋体"/>
          <w:b/>
          <w:color w:val="auto"/>
          <w:sz w:val="24"/>
          <w:highlight w:val="none"/>
        </w:rPr>
      </w:pPr>
    </w:p>
    <w:p w14:paraId="673684E7">
      <w:pPr>
        <w:snapToGrid w:val="0"/>
        <w:spacing w:before="50" w:afterLines="50" w:line="360" w:lineRule="auto"/>
        <w:jc w:val="left"/>
        <w:rPr>
          <w:rFonts w:hint="eastAsia" w:ascii="宋体" w:hAnsi="宋体"/>
          <w:b/>
          <w:color w:val="auto"/>
          <w:sz w:val="24"/>
          <w:highlight w:val="none"/>
        </w:rPr>
      </w:pPr>
    </w:p>
    <w:p w14:paraId="57167EF6">
      <w:pPr>
        <w:snapToGrid w:val="0"/>
        <w:spacing w:before="50" w:afterLines="50" w:line="360" w:lineRule="auto"/>
        <w:jc w:val="left"/>
        <w:rPr>
          <w:rFonts w:hint="eastAsia" w:ascii="宋体" w:hAnsi="宋体"/>
          <w:b/>
          <w:color w:val="auto"/>
          <w:sz w:val="24"/>
          <w:highlight w:val="none"/>
        </w:rPr>
      </w:pPr>
    </w:p>
    <w:p w14:paraId="3735756F">
      <w:pPr>
        <w:snapToGrid w:val="0"/>
        <w:spacing w:before="50" w:afterLines="50" w:line="360" w:lineRule="auto"/>
        <w:jc w:val="left"/>
        <w:rPr>
          <w:rFonts w:hint="eastAsia" w:ascii="宋体" w:hAnsi="宋体"/>
          <w:b/>
          <w:color w:val="auto"/>
          <w:sz w:val="24"/>
          <w:highlight w:val="none"/>
        </w:rPr>
      </w:pPr>
    </w:p>
    <w:p w14:paraId="43A2D18E">
      <w:pPr>
        <w:snapToGrid w:val="0"/>
        <w:spacing w:before="50" w:afterLines="50" w:line="360" w:lineRule="auto"/>
        <w:jc w:val="left"/>
        <w:rPr>
          <w:rFonts w:ascii="宋体"/>
          <w:b/>
          <w:color w:val="auto"/>
          <w:sz w:val="24"/>
          <w:highlight w:val="none"/>
        </w:rPr>
      </w:pPr>
      <w:r>
        <w:rPr>
          <w:rFonts w:hint="eastAsia" w:ascii="宋体" w:hAnsi="宋体"/>
          <w:b/>
          <w:color w:val="auto"/>
          <w:sz w:val="24"/>
          <w:highlight w:val="none"/>
        </w:rPr>
        <w:t>附件：投标函格式：</w:t>
      </w:r>
    </w:p>
    <w:p w14:paraId="793E8342">
      <w:pPr>
        <w:snapToGrid w:val="0"/>
        <w:spacing w:beforeLines="50" w:after="50" w:line="360" w:lineRule="auto"/>
        <w:jc w:val="center"/>
        <w:rPr>
          <w:rFonts w:ascii="宋体"/>
          <w:b/>
          <w:color w:val="auto"/>
          <w:sz w:val="24"/>
          <w:szCs w:val="20"/>
          <w:highlight w:val="none"/>
        </w:rPr>
      </w:pPr>
      <w:r>
        <w:rPr>
          <w:rFonts w:hint="eastAsia" w:ascii="宋体" w:hAnsi="宋体"/>
          <w:b/>
          <w:color w:val="auto"/>
          <w:sz w:val="24"/>
          <w:highlight w:val="none"/>
        </w:rPr>
        <w:t>投标函</w:t>
      </w:r>
    </w:p>
    <w:p w14:paraId="0DB42069">
      <w:pPr>
        <w:snapToGrid w:val="0"/>
        <w:spacing w:line="360" w:lineRule="auto"/>
        <w:rPr>
          <w:rFonts w:asci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lang w:eastAsia="zh-CN"/>
        </w:rPr>
        <w:t>泰宇建筑工程技术咨询有限公司</w:t>
      </w:r>
      <w:r>
        <w:rPr>
          <w:rFonts w:hint="eastAsia" w:ascii="宋体" w:hAnsi="宋体"/>
          <w:color w:val="auto"/>
          <w:sz w:val="24"/>
          <w:highlight w:val="none"/>
        </w:rPr>
        <w:t>（招标采购单位名称）：</w:t>
      </w:r>
    </w:p>
    <w:p w14:paraId="4CDC9864">
      <w:pPr>
        <w:snapToGrid w:val="0"/>
        <w:spacing w:line="360" w:lineRule="auto"/>
        <w:ind w:firstLine="480"/>
        <w:rPr>
          <w:rFonts w:ascii="宋体"/>
          <w:color w:val="auto"/>
          <w:sz w:val="24"/>
          <w:szCs w:val="20"/>
          <w:highlight w:val="none"/>
        </w:rPr>
      </w:pPr>
      <w:r>
        <w:rPr>
          <w:rFonts w:hint="eastAsia" w:ascii="宋体" w:hAnsi="宋体"/>
          <w:color w:val="auto"/>
          <w:sz w:val="24"/>
          <w:highlight w:val="none"/>
        </w:rPr>
        <w:t>根据贵方为</w:t>
      </w:r>
      <w:r>
        <w:rPr>
          <w:rFonts w:hint="eastAsia" w:ascii="宋体" w:hAnsi="宋体" w:cs="Times New Roman"/>
          <w:color w:val="auto"/>
          <w:sz w:val="24"/>
          <w:highlight w:val="none"/>
          <w:u w:val="single"/>
          <w:lang w:eastAsia="zh-CN"/>
        </w:rPr>
        <w:t>东阳市公安局食材配送服务采购项目</w:t>
      </w:r>
      <w:r>
        <w:rPr>
          <w:rFonts w:hint="eastAsia" w:ascii="宋体" w:hAnsi="宋体"/>
          <w:color w:val="auto"/>
          <w:sz w:val="24"/>
          <w:highlight w:val="none"/>
        </w:rPr>
        <w:t>的招标公告（项目编号：</w:t>
      </w:r>
      <w:r>
        <w:rPr>
          <w:rFonts w:ascii="宋体" w:hAnsi="宋体"/>
          <w:color w:val="auto"/>
          <w:sz w:val="24"/>
          <w:highlight w:val="none"/>
        </w:rPr>
        <w:t>_____</w:t>
      </w:r>
      <w:r>
        <w:rPr>
          <w:rFonts w:hint="eastAsia" w:ascii="宋体" w:hAnsi="宋体"/>
          <w:color w:val="auto"/>
          <w:sz w:val="24"/>
          <w:highlight w:val="none"/>
        </w:rPr>
        <w:t>），签字代表</w:t>
      </w:r>
      <w:r>
        <w:rPr>
          <w:rFonts w:ascii="宋体" w:hAnsi="宋体"/>
          <w:color w:val="auto"/>
          <w:sz w:val="24"/>
          <w:highlight w:val="none"/>
        </w:rPr>
        <w:t>______</w:t>
      </w:r>
      <w:r>
        <w:rPr>
          <w:rFonts w:hint="eastAsia" w:ascii="宋体" w:hAnsi="宋体"/>
          <w:color w:val="auto"/>
          <w:sz w:val="24"/>
          <w:highlight w:val="none"/>
        </w:rPr>
        <w:t>（全名）经正式授权并代表投标人</w:t>
      </w:r>
      <w:r>
        <w:rPr>
          <w:rFonts w:ascii="宋体" w:hAnsi="宋体"/>
          <w:color w:val="auto"/>
          <w:sz w:val="24"/>
          <w:highlight w:val="none"/>
        </w:rPr>
        <w:t>_____</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（投标人名称）提交电子投标文件一份，中标后提供</w:t>
      </w:r>
      <w:r>
        <w:rPr>
          <w:rFonts w:hint="eastAsia" w:ascii="宋体" w:hAnsi="宋体"/>
          <w:color w:val="auto"/>
          <w:sz w:val="24"/>
          <w:highlight w:val="none"/>
          <w:lang w:eastAsia="zh-CN"/>
        </w:rPr>
        <w:t>资格响应文件、商务资信技术文件、报价文件</w:t>
      </w:r>
      <w:r>
        <w:rPr>
          <w:rFonts w:hint="eastAsia" w:ascii="宋体" w:hAnsi="宋体"/>
          <w:color w:val="auto"/>
          <w:sz w:val="24"/>
          <w:highlight w:val="none"/>
        </w:rPr>
        <w:t>正本各一份，副本各两份。</w:t>
      </w:r>
    </w:p>
    <w:p w14:paraId="5EF10AE0">
      <w:pPr>
        <w:snapToGrid w:val="0"/>
        <w:spacing w:line="360" w:lineRule="auto"/>
        <w:ind w:firstLine="480" w:firstLineChars="200"/>
        <w:rPr>
          <w:rFonts w:ascii="宋体"/>
          <w:color w:val="auto"/>
          <w:sz w:val="24"/>
          <w:szCs w:val="20"/>
          <w:highlight w:val="none"/>
        </w:rPr>
      </w:pPr>
      <w:r>
        <w:rPr>
          <w:rFonts w:hint="eastAsia" w:ascii="宋体" w:hAnsi="宋体"/>
          <w:color w:val="auto"/>
          <w:sz w:val="24"/>
          <w:highlight w:val="none"/>
        </w:rPr>
        <w:t>据此函，签字代表宣布同意如下：</w:t>
      </w:r>
    </w:p>
    <w:p w14:paraId="72B689EA">
      <w:pPr>
        <w:snapToGrid w:val="0"/>
        <w:spacing w:line="360" w:lineRule="auto"/>
        <w:ind w:firstLine="480" w:firstLineChars="200"/>
        <w:rPr>
          <w:rFonts w:ascii="宋体"/>
          <w:color w:val="auto"/>
          <w:sz w:val="24"/>
          <w:szCs w:val="20"/>
          <w:highlight w:val="none"/>
        </w:rPr>
      </w:pPr>
      <w:r>
        <w:rPr>
          <w:rFonts w:ascii="宋体" w:hAnsi="宋体"/>
          <w:color w:val="auto"/>
          <w:sz w:val="24"/>
          <w:highlight w:val="none"/>
        </w:rPr>
        <w:t>1</w:t>
      </w:r>
      <w:r>
        <w:rPr>
          <w:rFonts w:ascii="宋体"/>
          <w:color w:val="auto"/>
          <w:sz w:val="24"/>
          <w:highlight w:val="none"/>
        </w:rPr>
        <w:t>.</w:t>
      </w:r>
      <w:r>
        <w:rPr>
          <w:rFonts w:hint="eastAsia" w:ascii="宋体" w:hAnsi="宋体"/>
          <w:color w:val="auto"/>
          <w:sz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50DB0B05">
      <w:pPr>
        <w:snapToGrid w:val="0"/>
        <w:spacing w:line="360" w:lineRule="auto"/>
        <w:ind w:firstLine="480" w:firstLineChars="200"/>
        <w:rPr>
          <w:rFonts w:ascii="宋体"/>
          <w:color w:val="auto"/>
          <w:sz w:val="24"/>
          <w:szCs w:val="20"/>
          <w:highlight w:val="none"/>
        </w:rPr>
      </w:pPr>
      <w:r>
        <w:rPr>
          <w:rFonts w:ascii="宋体" w:hAnsi="宋体"/>
          <w:color w:val="auto"/>
          <w:sz w:val="24"/>
          <w:highlight w:val="none"/>
        </w:rPr>
        <w:t>2</w:t>
      </w:r>
      <w:r>
        <w:rPr>
          <w:rFonts w:ascii="宋体"/>
          <w:color w:val="auto"/>
          <w:sz w:val="24"/>
          <w:highlight w:val="none"/>
        </w:rPr>
        <w:t>.</w:t>
      </w:r>
      <w:r>
        <w:rPr>
          <w:rFonts w:hint="eastAsia" w:ascii="宋体" w:hAnsi="宋体"/>
          <w:color w:val="auto"/>
          <w:sz w:val="24"/>
          <w:highlight w:val="none"/>
        </w:rPr>
        <w:t>投标人在投标之前已经与贵方进行了充分的沟通，完全理解并接受招标文件的各项规定和要求，对招标文件的合理性、合法性不再有异议。</w:t>
      </w:r>
    </w:p>
    <w:p w14:paraId="67826060">
      <w:pPr>
        <w:snapToGrid w:val="0"/>
        <w:spacing w:line="360" w:lineRule="auto"/>
        <w:ind w:firstLine="480" w:firstLineChars="200"/>
        <w:rPr>
          <w:rFonts w:ascii="宋体"/>
          <w:color w:val="auto"/>
          <w:sz w:val="24"/>
          <w:szCs w:val="20"/>
          <w:highlight w:val="none"/>
        </w:rPr>
      </w:pPr>
      <w:r>
        <w:rPr>
          <w:rFonts w:ascii="宋体" w:hAnsi="宋体"/>
          <w:color w:val="auto"/>
          <w:sz w:val="24"/>
          <w:highlight w:val="none"/>
        </w:rPr>
        <w:t>3</w:t>
      </w:r>
      <w:r>
        <w:rPr>
          <w:rFonts w:ascii="宋体"/>
          <w:color w:val="auto"/>
          <w:sz w:val="24"/>
          <w:highlight w:val="none"/>
        </w:rPr>
        <w:t>.</w:t>
      </w:r>
      <w:r>
        <w:rPr>
          <w:rFonts w:hint="eastAsia" w:ascii="宋体" w:hAnsi="宋体"/>
          <w:color w:val="auto"/>
          <w:sz w:val="24"/>
          <w:highlight w:val="none"/>
        </w:rPr>
        <w:t>本投标有效期自开标日起</w:t>
      </w:r>
      <w:r>
        <w:rPr>
          <w:rFonts w:ascii="宋体" w:hAnsi="宋体"/>
          <w:color w:val="auto"/>
          <w:sz w:val="24"/>
          <w:highlight w:val="none"/>
        </w:rPr>
        <w:t>______</w:t>
      </w:r>
      <w:r>
        <w:rPr>
          <w:rFonts w:hint="eastAsia" w:ascii="宋体" w:hAnsi="宋体"/>
          <w:color w:val="auto"/>
          <w:sz w:val="24"/>
          <w:highlight w:val="none"/>
        </w:rPr>
        <w:t>天。</w:t>
      </w:r>
    </w:p>
    <w:p w14:paraId="46A2A223">
      <w:pPr>
        <w:snapToGrid w:val="0"/>
        <w:spacing w:line="360" w:lineRule="auto"/>
        <w:ind w:firstLine="480" w:firstLineChars="200"/>
        <w:rPr>
          <w:rFonts w:ascii="宋体"/>
          <w:color w:val="auto"/>
          <w:sz w:val="24"/>
          <w:szCs w:val="20"/>
          <w:highlight w:val="none"/>
        </w:rPr>
      </w:pPr>
      <w:r>
        <w:rPr>
          <w:rFonts w:ascii="宋体" w:hAnsi="宋体"/>
          <w:color w:val="auto"/>
          <w:sz w:val="24"/>
          <w:highlight w:val="none"/>
        </w:rPr>
        <w:t>4</w:t>
      </w:r>
      <w:r>
        <w:rPr>
          <w:rFonts w:ascii="宋体"/>
          <w:color w:val="auto"/>
          <w:sz w:val="24"/>
          <w:highlight w:val="none"/>
        </w:rPr>
        <w:t>.</w:t>
      </w:r>
      <w:r>
        <w:rPr>
          <w:rFonts w:hint="eastAsia" w:ascii="宋体" w:hAnsi="宋体"/>
          <w:color w:val="auto"/>
          <w:sz w:val="24"/>
          <w:highlight w:val="none"/>
        </w:rPr>
        <w:t>如中标，本投标文件至本项目合同履行完毕止均保持有效，本投标人将按“招标文件”及政府采购法律、法规的规定履行合同责任和义务。</w:t>
      </w:r>
    </w:p>
    <w:p w14:paraId="1300C360">
      <w:pPr>
        <w:snapToGrid w:val="0"/>
        <w:spacing w:line="360" w:lineRule="auto"/>
        <w:ind w:firstLine="480" w:firstLineChars="200"/>
        <w:rPr>
          <w:rFonts w:ascii="宋体"/>
          <w:color w:val="auto"/>
          <w:sz w:val="24"/>
          <w:szCs w:val="20"/>
          <w:highlight w:val="none"/>
        </w:rPr>
      </w:pPr>
      <w:r>
        <w:rPr>
          <w:rFonts w:ascii="宋体" w:hAnsi="宋体"/>
          <w:color w:val="auto"/>
          <w:sz w:val="24"/>
          <w:highlight w:val="none"/>
        </w:rPr>
        <w:t>5</w:t>
      </w:r>
      <w:r>
        <w:rPr>
          <w:rFonts w:ascii="宋体"/>
          <w:color w:val="auto"/>
          <w:sz w:val="24"/>
          <w:highlight w:val="none"/>
        </w:rPr>
        <w:t>.</w:t>
      </w:r>
      <w:r>
        <w:rPr>
          <w:rFonts w:hint="eastAsia" w:ascii="宋体" w:hAnsi="宋体"/>
          <w:color w:val="auto"/>
          <w:sz w:val="24"/>
          <w:highlight w:val="none"/>
        </w:rPr>
        <w:t>投标人同意按照贵方要求提供与投标有关的一切数据或资料。</w:t>
      </w:r>
    </w:p>
    <w:p w14:paraId="075E23D0">
      <w:pPr>
        <w:snapToGrid w:val="0"/>
        <w:spacing w:line="360" w:lineRule="auto"/>
        <w:ind w:firstLine="480" w:firstLineChars="200"/>
        <w:rPr>
          <w:rFonts w:ascii="宋体"/>
          <w:color w:val="auto"/>
          <w:sz w:val="24"/>
          <w:szCs w:val="20"/>
          <w:highlight w:val="none"/>
        </w:rPr>
      </w:pPr>
      <w:r>
        <w:rPr>
          <w:rFonts w:ascii="宋体" w:hAnsi="宋体"/>
          <w:color w:val="auto"/>
          <w:sz w:val="24"/>
          <w:highlight w:val="none"/>
        </w:rPr>
        <w:t>6</w:t>
      </w:r>
      <w:r>
        <w:rPr>
          <w:rFonts w:ascii="宋体"/>
          <w:color w:val="auto"/>
          <w:sz w:val="24"/>
          <w:highlight w:val="none"/>
        </w:rPr>
        <w:t>.</w:t>
      </w:r>
      <w:r>
        <w:rPr>
          <w:rFonts w:hint="eastAsia" w:ascii="宋体" w:hAnsi="宋体"/>
          <w:color w:val="auto"/>
          <w:sz w:val="24"/>
          <w:highlight w:val="none"/>
        </w:rPr>
        <w:t>与本投标有关的一切正式往来信函请寄：</w:t>
      </w:r>
    </w:p>
    <w:p w14:paraId="42DE00AF">
      <w:pPr>
        <w:snapToGrid w:val="0"/>
        <w:spacing w:line="360" w:lineRule="auto"/>
        <w:rPr>
          <w:rFonts w:ascii="宋体"/>
          <w:color w:val="auto"/>
          <w:sz w:val="24"/>
          <w:szCs w:val="20"/>
          <w:highlight w:val="none"/>
        </w:rPr>
      </w:pPr>
      <w:r>
        <w:rPr>
          <w:rFonts w:hint="eastAsia" w:ascii="宋体" w:hAnsi="宋体"/>
          <w:color w:val="auto"/>
          <w:sz w:val="24"/>
          <w:highlight w:val="none"/>
        </w:rPr>
        <w:t>地址：</w:t>
      </w:r>
      <w:r>
        <w:rPr>
          <w:rFonts w:ascii="宋体" w:hAnsi="宋体"/>
          <w:color w:val="auto"/>
          <w:sz w:val="24"/>
          <w:highlight w:val="none"/>
        </w:rPr>
        <w:t>__________</w:t>
      </w:r>
      <w:r>
        <w:rPr>
          <w:rFonts w:ascii="宋体" w:hAnsi="宋体"/>
          <w:color w:val="auto"/>
          <w:sz w:val="24"/>
          <w:highlight w:val="none"/>
          <w:u w:val="single"/>
        </w:rPr>
        <w:t>_</w:t>
      </w:r>
      <w:r>
        <w:rPr>
          <w:rFonts w:ascii="宋体" w:hAnsi="宋体"/>
          <w:color w:val="auto"/>
          <w:sz w:val="24"/>
          <w:highlight w:val="none"/>
        </w:rPr>
        <w:t>____</w:t>
      </w:r>
      <w:r>
        <w:rPr>
          <w:rFonts w:hint="eastAsia" w:ascii="宋体" w:hAnsi="宋体"/>
          <w:color w:val="auto"/>
          <w:sz w:val="24"/>
          <w:highlight w:val="none"/>
        </w:rPr>
        <w:t>邮编：</w:t>
      </w:r>
      <w:r>
        <w:rPr>
          <w:rFonts w:ascii="宋体" w:hAnsi="宋体"/>
          <w:color w:val="auto"/>
          <w:sz w:val="24"/>
          <w:highlight w:val="none"/>
        </w:rPr>
        <w:t>__________</w:t>
      </w:r>
      <w:r>
        <w:rPr>
          <w:rFonts w:hint="eastAsia" w:ascii="宋体" w:hAnsi="宋体"/>
          <w:color w:val="auto"/>
          <w:sz w:val="24"/>
          <w:highlight w:val="none"/>
        </w:rPr>
        <w:t>电话：</w:t>
      </w:r>
      <w:r>
        <w:rPr>
          <w:rFonts w:ascii="宋体" w:hAnsi="宋体"/>
          <w:color w:val="auto"/>
          <w:sz w:val="24"/>
          <w:highlight w:val="none"/>
        </w:rPr>
        <w:t>______________</w:t>
      </w:r>
    </w:p>
    <w:p w14:paraId="329954C6">
      <w:pPr>
        <w:snapToGrid w:val="0"/>
        <w:spacing w:line="360" w:lineRule="auto"/>
        <w:rPr>
          <w:rFonts w:ascii="宋体"/>
          <w:color w:val="auto"/>
          <w:sz w:val="24"/>
          <w:szCs w:val="20"/>
          <w:highlight w:val="none"/>
        </w:rPr>
      </w:pPr>
      <w:r>
        <w:rPr>
          <w:rFonts w:hint="eastAsia" w:ascii="宋体" w:hAnsi="宋体"/>
          <w:color w:val="auto"/>
          <w:sz w:val="24"/>
          <w:highlight w:val="none"/>
        </w:rPr>
        <w:t>传真：</w:t>
      </w:r>
      <w:r>
        <w:rPr>
          <w:rFonts w:ascii="宋体" w:hAnsi="宋体"/>
          <w:color w:val="auto"/>
          <w:sz w:val="24"/>
          <w:highlight w:val="none"/>
        </w:rPr>
        <w:t>______________</w:t>
      </w:r>
      <w:r>
        <w:rPr>
          <w:rFonts w:hint="eastAsia" w:ascii="宋体" w:hAnsi="宋体"/>
          <w:color w:val="auto"/>
          <w:sz w:val="24"/>
          <w:highlight w:val="none"/>
        </w:rPr>
        <w:t>投标人代表姓名</w:t>
      </w:r>
      <w:r>
        <w:rPr>
          <w:rFonts w:ascii="宋体" w:hAnsi="宋体"/>
          <w:color w:val="auto"/>
          <w:sz w:val="24"/>
          <w:highlight w:val="none"/>
        </w:rPr>
        <w:t>___________</w:t>
      </w:r>
      <w:r>
        <w:rPr>
          <w:rFonts w:hint="eastAsia" w:ascii="宋体" w:hAnsi="宋体"/>
          <w:color w:val="auto"/>
          <w:sz w:val="24"/>
          <w:highlight w:val="none"/>
        </w:rPr>
        <w:t>职务：</w:t>
      </w:r>
      <w:r>
        <w:rPr>
          <w:rFonts w:ascii="宋体" w:hAnsi="宋体"/>
          <w:color w:val="auto"/>
          <w:sz w:val="24"/>
          <w:highlight w:val="none"/>
        </w:rPr>
        <w:t>_____________</w:t>
      </w:r>
    </w:p>
    <w:p w14:paraId="325FB14F">
      <w:pPr>
        <w:snapToGrid w:val="0"/>
        <w:spacing w:line="360" w:lineRule="auto"/>
        <w:rPr>
          <w:rFonts w:ascii="宋体"/>
          <w:color w:val="auto"/>
          <w:sz w:val="24"/>
          <w:szCs w:val="20"/>
          <w:highlight w:val="none"/>
        </w:rPr>
      </w:pPr>
      <w:r>
        <w:rPr>
          <w:rFonts w:hint="eastAsia" w:ascii="宋体" w:hAnsi="宋体"/>
          <w:color w:val="auto"/>
          <w:sz w:val="24"/>
          <w:highlight w:val="none"/>
        </w:rPr>
        <w:t>投标人名称</w:t>
      </w:r>
      <w:r>
        <w:rPr>
          <w:rFonts w:ascii="宋体" w:hAnsi="宋体"/>
          <w:color w:val="auto"/>
          <w:sz w:val="24"/>
          <w:highlight w:val="none"/>
        </w:rPr>
        <w:t>(</w:t>
      </w:r>
      <w:r>
        <w:rPr>
          <w:rFonts w:hint="eastAsia" w:ascii="宋体" w:hAnsi="宋体"/>
          <w:color w:val="auto"/>
          <w:sz w:val="24"/>
          <w:highlight w:val="none"/>
        </w:rPr>
        <w:t>（盖公章或电子签章）</w:t>
      </w:r>
      <w:r>
        <w:rPr>
          <w:rFonts w:ascii="宋体" w:hAnsi="宋体"/>
          <w:color w:val="auto"/>
          <w:sz w:val="24"/>
          <w:highlight w:val="none"/>
        </w:rPr>
        <w:t>):___________________</w:t>
      </w:r>
    </w:p>
    <w:p w14:paraId="2B6519D5">
      <w:pPr>
        <w:snapToGrid w:val="0"/>
        <w:spacing w:line="360" w:lineRule="auto"/>
        <w:rPr>
          <w:rFonts w:ascii="宋体"/>
          <w:color w:val="auto"/>
          <w:sz w:val="24"/>
          <w:highlight w:val="none"/>
        </w:rPr>
      </w:pPr>
      <w:r>
        <w:rPr>
          <w:rFonts w:hint="eastAsia" w:ascii="宋体" w:hAnsi="宋体"/>
          <w:color w:val="auto"/>
          <w:sz w:val="24"/>
          <w:highlight w:val="none"/>
        </w:rPr>
        <w:t>授权代表签字</w:t>
      </w:r>
      <w:r>
        <w:rPr>
          <w:rFonts w:ascii="宋体" w:hAnsi="宋体"/>
          <w:color w:val="auto"/>
          <w:sz w:val="24"/>
          <w:highlight w:val="none"/>
        </w:rPr>
        <w:t>:___________</w:t>
      </w:r>
    </w:p>
    <w:p w14:paraId="06B95969">
      <w:pPr>
        <w:snapToGrid w:val="0"/>
        <w:spacing w:line="360" w:lineRule="auto"/>
        <w:rPr>
          <w:rFonts w:ascii="宋体"/>
          <w:color w:val="auto"/>
          <w:sz w:val="30"/>
          <w:szCs w:val="20"/>
          <w:highlight w:val="none"/>
        </w:rPr>
      </w:pP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12E937FD">
      <w:pPr>
        <w:snapToGrid w:val="0"/>
        <w:spacing w:before="50" w:after="50" w:line="360" w:lineRule="auto"/>
        <w:ind w:right="-817" w:rightChars="-389"/>
        <w:rPr>
          <w:rFonts w:ascii="宋体"/>
          <w:b/>
          <w:color w:val="auto"/>
          <w:sz w:val="24"/>
          <w:highlight w:val="none"/>
        </w:rPr>
      </w:pPr>
    </w:p>
    <w:p w14:paraId="208CEB0B">
      <w:pPr>
        <w:snapToGrid w:val="0"/>
        <w:spacing w:before="50" w:after="50" w:line="360" w:lineRule="auto"/>
        <w:ind w:left="-2" w:leftChars="-72" w:right="-817" w:rightChars="-389" w:hanging="149" w:hangingChars="62"/>
        <w:rPr>
          <w:rFonts w:hint="eastAsia" w:ascii="宋体" w:hAnsi="宋体"/>
          <w:b/>
          <w:color w:val="auto"/>
          <w:sz w:val="24"/>
          <w:highlight w:val="none"/>
        </w:rPr>
      </w:pPr>
    </w:p>
    <w:p w14:paraId="28F2A33B">
      <w:pPr>
        <w:snapToGrid w:val="0"/>
        <w:spacing w:before="50" w:after="50" w:line="360" w:lineRule="auto"/>
        <w:ind w:left="-2" w:leftChars="-72" w:right="-817" w:rightChars="-389" w:hanging="149" w:hangingChars="62"/>
        <w:rPr>
          <w:rFonts w:hint="eastAsia" w:ascii="宋体" w:hAnsi="宋体"/>
          <w:b/>
          <w:color w:val="auto"/>
          <w:sz w:val="24"/>
          <w:highlight w:val="none"/>
        </w:rPr>
      </w:pPr>
    </w:p>
    <w:p w14:paraId="63109430">
      <w:pPr>
        <w:snapToGrid w:val="0"/>
        <w:spacing w:before="50" w:after="50" w:line="360" w:lineRule="auto"/>
        <w:ind w:left="-2" w:leftChars="-72" w:right="-817" w:rightChars="-389" w:hanging="149" w:hangingChars="62"/>
        <w:rPr>
          <w:rFonts w:hint="eastAsia" w:ascii="宋体" w:hAnsi="宋体"/>
          <w:b/>
          <w:color w:val="auto"/>
          <w:sz w:val="24"/>
          <w:highlight w:val="none"/>
        </w:rPr>
      </w:pPr>
    </w:p>
    <w:p w14:paraId="29C0D7C8">
      <w:pPr>
        <w:snapToGrid w:val="0"/>
        <w:spacing w:before="50" w:after="50" w:line="360" w:lineRule="auto"/>
        <w:ind w:left="-2" w:leftChars="-72" w:right="-817" w:rightChars="-389" w:hanging="149" w:hangingChars="62"/>
        <w:rPr>
          <w:rFonts w:hint="eastAsia" w:ascii="宋体" w:hAnsi="宋体"/>
          <w:b/>
          <w:color w:val="auto"/>
          <w:sz w:val="24"/>
          <w:highlight w:val="none"/>
        </w:rPr>
      </w:pPr>
    </w:p>
    <w:p w14:paraId="6B315ADB">
      <w:pPr>
        <w:snapToGrid w:val="0"/>
        <w:spacing w:before="50" w:after="50" w:line="360" w:lineRule="auto"/>
        <w:ind w:left="-2" w:leftChars="-72" w:right="-817" w:rightChars="-389" w:hanging="149" w:hangingChars="62"/>
        <w:rPr>
          <w:rFonts w:hint="eastAsia" w:ascii="宋体" w:hAnsi="宋体"/>
          <w:b/>
          <w:color w:val="auto"/>
          <w:sz w:val="24"/>
          <w:highlight w:val="none"/>
        </w:rPr>
      </w:pPr>
    </w:p>
    <w:p w14:paraId="3063CF57">
      <w:pPr>
        <w:snapToGrid w:val="0"/>
        <w:spacing w:before="50" w:after="50" w:line="360" w:lineRule="auto"/>
        <w:ind w:left="-2" w:leftChars="-72" w:right="-817" w:rightChars="-389" w:hanging="149" w:hangingChars="62"/>
        <w:rPr>
          <w:rFonts w:hint="eastAsia" w:ascii="宋体" w:hAnsi="宋体"/>
          <w:b/>
          <w:color w:val="auto"/>
          <w:sz w:val="24"/>
          <w:highlight w:val="none"/>
        </w:rPr>
      </w:pPr>
    </w:p>
    <w:p w14:paraId="28B1D1A9">
      <w:pPr>
        <w:snapToGrid w:val="0"/>
        <w:spacing w:before="50" w:after="50" w:line="360" w:lineRule="auto"/>
        <w:ind w:left="-2" w:leftChars="-72" w:right="-817" w:rightChars="-389" w:hanging="149" w:hangingChars="62"/>
        <w:rPr>
          <w:rFonts w:ascii="宋体"/>
          <w:color w:val="auto"/>
          <w:sz w:val="24"/>
          <w:highlight w:val="none"/>
        </w:rPr>
      </w:pPr>
      <w:r>
        <w:rPr>
          <w:rFonts w:hint="eastAsia" w:ascii="宋体" w:hAnsi="宋体"/>
          <w:b/>
          <w:color w:val="auto"/>
          <w:sz w:val="24"/>
          <w:highlight w:val="none"/>
        </w:rPr>
        <w:t>附件：开标一览表</w:t>
      </w:r>
    </w:p>
    <w:p w14:paraId="19B9C484">
      <w:pPr>
        <w:snapToGrid w:val="0"/>
        <w:spacing w:before="50" w:after="156" w:afterLines="50" w:line="360" w:lineRule="auto"/>
        <w:jc w:val="left"/>
        <w:rPr>
          <w:rFonts w:hint="eastAsia" w:ascii="宋体" w:hAnsi="宋体"/>
          <w:b/>
          <w:color w:val="auto"/>
          <w:sz w:val="24"/>
          <w:highlight w:val="none"/>
        </w:rPr>
      </w:pPr>
    </w:p>
    <w:p w14:paraId="256AB21E">
      <w:pPr>
        <w:pStyle w:val="2"/>
        <w:jc w:val="center"/>
        <w:rPr>
          <w:rFonts w:hint="eastAsia"/>
          <w:color w:val="auto"/>
          <w:highlight w:val="none"/>
        </w:rPr>
      </w:pPr>
      <w:r>
        <w:rPr>
          <w:rFonts w:hint="eastAsia" w:ascii="宋体" w:hAnsi="宋体"/>
          <w:b/>
          <w:color w:val="auto"/>
          <w:sz w:val="24"/>
          <w:highlight w:val="none"/>
        </w:rPr>
        <w:t>开标一览表</w:t>
      </w:r>
    </w:p>
    <w:p w14:paraId="1C572052">
      <w:pPr>
        <w:snapToGrid w:val="0"/>
        <w:spacing w:line="480"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招标编号：</w:t>
      </w:r>
      <w:r>
        <w:rPr>
          <w:rFonts w:hint="eastAsia" w:ascii="宋体" w:hAnsi="宋体"/>
          <w:b/>
          <w:bCs/>
          <w:color w:val="auto"/>
          <w:sz w:val="22"/>
          <w:szCs w:val="22"/>
          <w:highlight w:val="none"/>
          <w:u w:val="single"/>
          <w:lang w:val="en-US" w:eastAsia="zh-CN"/>
        </w:rPr>
        <w:t>TYZX2025-002</w:t>
      </w:r>
      <w:r>
        <w:rPr>
          <w:rFonts w:hint="eastAsia" w:ascii="宋体" w:hAnsi="宋体"/>
          <w:b/>
          <w:bCs/>
          <w:color w:val="auto"/>
          <w:sz w:val="22"/>
          <w:szCs w:val="22"/>
          <w:highlight w:val="none"/>
        </w:rPr>
        <w:t xml:space="preserve">                                        </w:t>
      </w:r>
    </w:p>
    <w:p w14:paraId="3447D904">
      <w:pPr>
        <w:snapToGrid w:val="0"/>
        <w:spacing w:line="480" w:lineRule="auto"/>
        <w:jc w:val="left"/>
        <w:rPr>
          <w:rFonts w:hint="eastAsia" w:ascii="宋体" w:hAnsi="宋体" w:eastAsia="宋体"/>
          <w:color w:val="auto"/>
          <w:szCs w:val="21"/>
          <w:highlight w:val="none"/>
          <w:lang w:val="en-US" w:eastAsia="zh-CN"/>
        </w:rPr>
      </w:pPr>
      <w:r>
        <w:rPr>
          <w:rFonts w:hint="eastAsia" w:ascii="宋体" w:hAnsi="宋体"/>
          <w:b/>
          <w:bCs/>
          <w:color w:val="auto"/>
          <w:sz w:val="22"/>
          <w:szCs w:val="22"/>
          <w:highlight w:val="none"/>
        </w:rPr>
        <w:t>项目名称：</w:t>
      </w:r>
      <w:r>
        <w:rPr>
          <w:rFonts w:hint="eastAsia" w:ascii="宋体" w:hAnsi="宋体"/>
          <w:b/>
          <w:bCs/>
          <w:color w:val="auto"/>
          <w:sz w:val="22"/>
          <w:szCs w:val="22"/>
          <w:highlight w:val="none"/>
          <w:u w:val="single"/>
          <w:lang w:eastAsia="zh-CN"/>
        </w:rPr>
        <w:t>东阳市公安局食材配送服务采购项目</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单位：</w:t>
      </w:r>
      <w:r>
        <w:rPr>
          <w:rFonts w:hint="eastAsia" w:ascii="宋体" w:hAnsi="宋体"/>
          <w:color w:val="auto"/>
          <w:szCs w:val="21"/>
          <w:highlight w:val="none"/>
          <w:lang w:val="en-US" w:eastAsia="zh-CN"/>
        </w:rPr>
        <w:t>%</w:t>
      </w:r>
    </w:p>
    <w:tbl>
      <w:tblPr>
        <w:tblStyle w:val="45"/>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6769"/>
        <w:gridCol w:w="1930"/>
      </w:tblGrid>
      <w:tr w14:paraId="5356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52" w:type="dxa"/>
            <w:vAlign w:val="center"/>
          </w:tcPr>
          <w:p w14:paraId="39BCA03F">
            <w:pPr>
              <w:widowControl/>
              <w:jc w:val="center"/>
              <w:textAlignment w:val="center"/>
              <w:rPr>
                <w:rFonts w:hint="eastAsia" w:ascii="宋体" w:hAnsi="宋体"/>
                <w:color w:val="auto"/>
                <w:kern w:val="0"/>
                <w:sz w:val="24"/>
                <w:szCs w:val="24"/>
                <w:highlight w:val="none"/>
              </w:rPr>
            </w:pPr>
            <w:r>
              <w:rPr>
                <w:rFonts w:hint="eastAsia" w:ascii="宋体" w:hAnsi="宋体" w:cs="宋体"/>
                <w:color w:val="auto"/>
                <w:kern w:val="0"/>
                <w:sz w:val="24"/>
                <w:szCs w:val="24"/>
                <w:highlight w:val="none"/>
              </w:rPr>
              <w:t>序号</w:t>
            </w:r>
          </w:p>
        </w:tc>
        <w:tc>
          <w:tcPr>
            <w:tcW w:w="6769" w:type="dxa"/>
            <w:vAlign w:val="center"/>
          </w:tcPr>
          <w:p w14:paraId="2CBC20EE">
            <w:pPr>
              <w:widowControl/>
              <w:jc w:val="center"/>
              <w:textAlignment w:val="center"/>
              <w:rPr>
                <w:rFonts w:hint="eastAsia" w:ascii="宋体" w:hAnsi="宋体"/>
                <w:color w:val="auto"/>
                <w:kern w:val="0"/>
                <w:sz w:val="24"/>
                <w:szCs w:val="24"/>
                <w:highlight w:val="none"/>
              </w:rPr>
            </w:pPr>
            <w:r>
              <w:rPr>
                <w:rFonts w:hint="eastAsia" w:ascii="宋体" w:hAnsi="宋体" w:cs="宋体"/>
                <w:color w:val="auto"/>
                <w:kern w:val="0"/>
                <w:sz w:val="24"/>
                <w:szCs w:val="24"/>
                <w:highlight w:val="none"/>
              </w:rPr>
              <w:t>品</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名</w:t>
            </w:r>
          </w:p>
        </w:tc>
        <w:tc>
          <w:tcPr>
            <w:tcW w:w="1930" w:type="dxa"/>
            <w:vAlign w:val="center"/>
          </w:tcPr>
          <w:p w14:paraId="1233AEEF">
            <w:pPr>
              <w:widowControl/>
              <w:jc w:val="center"/>
              <w:textAlignment w:val="center"/>
              <w:rPr>
                <w:rFonts w:hint="eastAsia" w:ascii="宋体" w:hAnsi="宋体" w:cs="宋体"/>
                <w:color w:val="auto"/>
                <w:sz w:val="24"/>
                <w:szCs w:val="24"/>
                <w:highlight w:val="none"/>
              </w:rPr>
            </w:pPr>
          </w:p>
          <w:p w14:paraId="5AA29C05">
            <w:pPr>
              <w:widowControl/>
              <w:jc w:val="center"/>
              <w:textAlignment w:val="center"/>
              <w:rPr>
                <w:rFonts w:hint="eastAsia" w:ascii="宋体" w:hAnsi="宋体"/>
                <w:color w:val="auto"/>
                <w:kern w:val="0"/>
                <w:sz w:val="24"/>
                <w:szCs w:val="24"/>
                <w:highlight w:val="none"/>
              </w:rPr>
            </w:pPr>
            <w:r>
              <w:rPr>
                <w:rFonts w:hint="eastAsia" w:ascii="宋体" w:hAnsi="宋体" w:cs="宋体"/>
                <w:color w:val="auto"/>
                <w:sz w:val="24"/>
                <w:szCs w:val="24"/>
                <w:highlight w:val="none"/>
              </w:rPr>
              <w:t>下浮率报价（%）</w:t>
            </w:r>
          </w:p>
          <w:p w14:paraId="2DCE263A">
            <w:pPr>
              <w:autoSpaceDE w:val="0"/>
              <w:autoSpaceDN w:val="0"/>
              <w:adjustRightInd w:val="0"/>
              <w:snapToGrid w:val="0"/>
              <w:jc w:val="center"/>
              <w:textAlignment w:val="baseline"/>
              <w:rPr>
                <w:rFonts w:hint="eastAsia" w:ascii="宋体" w:hAnsi="宋体"/>
                <w:color w:val="auto"/>
                <w:kern w:val="0"/>
                <w:sz w:val="24"/>
                <w:szCs w:val="24"/>
                <w:highlight w:val="none"/>
              </w:rPr>
            </w:pPr>
          </w:p>
        </w:tc>
      </w:tr>
      <w:tr w14:paraId="1172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2" w:type="dxa"/>
            <w:vAlign w:val="center"/>
          </w:tcPr>
          <w:p w14:paraId="4CD7D8B4">
            <w:pPr>
              <w:jc w:val="center"/>
              <w:textAlignment w:val="center"/>
              <w:rPr>
                <w:rFonts w:hint="eastAsia" w:ascii="宋体" w:hAnsi="宋体"/>
                <w:color w:val="auto"/>
                <w:kern w:val="0"/>
                <w:sz w:val="24"/>
                <w:szCs w:val="24"/>
                <w:highlight w:val="none"/>
              </w:rPr>
            </w:pPr>
            <w:r>
              <w:rPr>
                <w:rFonts w:hint="eastAsia" w:ascii="宋体" w:hAnsi="宋体" w:cs="宋体"/>
                <w:color w:val="auto"/>
                <w:sz w:val="24"/>
                <w:szCs w:val="24"/>
                <w:highlight w:val="none"/>
              </w:rPr>
              <w:t>1</w:t>
            </w:r>
          </w:p>
        </w:tc>
        <w:tc>
          <w:tcPr>
            <w:tcW w:w="6769" w:type="dxa"/>
            <w:vAlign w:val="center"/>
          </w:tcPr>
          <w:p w14:paraId="1B6C2CD5">
            <w:pPr>
              <w:jc w:val="center"/>
              <w:rPr>
                <w:rFonts w:hint="default" w:ascii="宋体" w:hAnsi="宋体" w:eastAsia="宋体"/>
                <w:color w:val="auto"/>
                <w:kern w:val="0"/>
                <w:sz w:val="24"/>
                <w:szCs w:val="24"/>
                <w:highlight w:val="none"/>
                <w:lang w:val="en-US" w:eastAsia="zh-CN"/>
              </w:rPr>
            </w:pPr>
            <w:r>
              <w:rPr>
                <w:rFonts w:hint="eastAsia" w:ascii="宋体" w:hAnsi="宋体" w:cs="宋体"/>
                <w:b/>
                <w:bCs w:val="0"/>
                <w:color w:val="auto"/>
                <w:sz w:val="24"/>
                <w:szCs w:val="24"/>
                <w:highlight w:val="none"/>
                <w:lang w:val="en-US" w:eastAsia="zh-CN"/>
              </w:rPr>
              <w:t>蔬菜</w:t>
            </w:r>
            <w:r>
              <w:rPr>
                <w:rFonts w:hint="eastAsia" w:ascii="宋体" w:hAnsi="宋体" w:cs="宋体"/>
                <w:b/>
                <w:bCs w:val="0"/>
                <w:color w:val="auto"/>
                <w:sz w:val="24"/>
                <w:szCs w:val="24"/>
                <w:highlight w:val="none"/>
              </w:rPr>
              <w:t>类：</w:t>
            </w:r>
            <w:r>
              <w:rPr>
                <w:rFonts w:hint="eastAsia" w:ascii="宋体" w:hAnsi="宋体" w:cs="宋体"/>
                <w:b/>
                <w:bCs w:val="0"/>
                <w:color w:val="auto"/>
                <w:sz w:val="24"/>
                <w:szCs w:val="24"/>
                <w:highlight w:val="none"/>
                <w:lang w:val="en-US" w:eastAsia="zh-CN"/>
              </w:rPr>
              <w:t>就指</w:t>
            </w:r>
            <w:r>
              <w:rPr>
                <w:rFonts w:hint="eastAsia" w:ascii="宋体" w:hAnsi="宋体" w:cs="宋体"/>
                <w:b/>
                <w:bCs w:val="0"/>
                <w:color w:val="auto"/>
                <w:sz w:val="24"/>
                <w:szCs w:val="24"/>
                <w:highlight w:val="none"/>
              </w:rPr>
              <w:t>鲜蔬菜</w:t>
            </w:r>
          </w:p>
        </w:tc>
        <w:tc>
          <w:tcPr>
            <w:tcW w:w="1930" w:type="dxa"/>
            <w:vAlign w:val="center"/>
          </w:tcPr>
          <w:p w14:paraId="21959CC5">
            <w:pPr>
              <w:jc w:val="center"/>
              <w:rPr>
                <w:rFonts w:hint="eastAsia" w:ascii="宋体" w:hAnsi="宋体"/>
                <w:color w:val="auto"/>
                <w:kern w:val="0"/>
                <w:sz w:val="24"/>
                <w:szCs w:val="24"/>
                <w:highlight w:val="none"/>
              </w:rPr>
            </w:pPr>
          </w:p>
        </w:tc>
      </w:tr>
      <w:tr w14:paraId="4F06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2" w:type="dxa"/>
            <w:vAlign w:val="center"/>
          </w:tcPr>
          <w:p w14:paraId="29EF845B">
            <w:pPr>
              <w:jc w:val="center"/>
              <w:textAlignment w:val="center"/>
              <w:rPr>
                <w:rFonts w:hint="eastAsia" w:ascii="宋体" w:hAnsi="宋体" w:eastAsia="宋体"/>
                <w:color w:val="auto"/>
                <w:kern w:val="0"/>
                <w:sz w:val="24"/>
                <w:szCs w:val="24"/>
                <w:highlight w:val="none"/>
                <w:lang w:eastAsia="zh-CN"/>
              </w:rPr>
            </w:pPr>
            <w:r>
              <w:rPr>
                <w:rFonts w:hint="eastAsia" w:ascii="宋体" w:hAnsi="宋体" w:cs="宋体"/>
                <w:color w:val="auto"/>
                <w:sz w:val="24"/>
                <w:szCs w:val="24"/>
                <w:highlight w:val="none"/>
                <w:lang w:val="en-US" w:eastAsia="zh-CN"/>
              </w:rPr>
              <w:t>2</w:t>
            </w:r>
          </w:p>
        </w:tc>
        <w:tc>
          <w:tcPr>
            <w:tcW w:w="6769" w:type="dxa"/>
            <w:vAlign w:val="center"/>
          </w:tcPr>
          <w:p w14:paraId="5A1754BB">
            <w:pPr>
              <w:jc w:val="center"/>
              <w:rPr>
                <w:rFonts w:hint="eastAsia" w:ascii="宋体" w:hAnsi="宋体"/>
                <w:color w:val="auto"/>
                <w:kern w:val="0"/>
                <w:sz w:val="24"/>
                <w:szCs w:val="24"/>
                <w:highlight w:val="none"/>
              </w:rPr>
            </w:pPr>
            <w:r>
              <w:rPr>
                <w:rFonts w:hint="eastAsia" w:ascii="宋体" w:hAnsi="宋体" w:cs="宋体"/>
                <w:b/>
                <w:bCs w:val="0"/>
                <w:color w:val="auto"/>
                <w:sz w:val="24"/>
                <w:szCs w:val="24"/>
                <w:highlight w:val="none"/>
                <w:lang w:val="en-US" w:eastAsia="zh-CN"/>
              </w:rPr>
              <w:t>其它菜</w:t>
            </w:r>
            <w:r>
              <w:rPr>
                <w:rFonts w:hint="eastAsia" w:ascii="宋体" w:hAnsi="宋体" w:cs="宋体"/>
                <w:b/>
                <w:bCs w:val="0"/>
                <w:color w:val="auto"/>
                <w:sz w:val="24"/>
                <w:szCs w:val="24"/>
                <w:highlight w:val="none"/>
              </w:rPr>
              <w:t>类：指</w:t>
            </w:r>
            <w:r>
              <w:rPr>
                <w:rFonts w:hint="eastAsia" w:ascii="宋体" w:hAnsi="宋体" w:cs="宋体"/>
                <w:b/>
                <w:bCs w:val="0"/>
                <w:color w:val="auto"/>
                <w:sz w:val="24"/>
                <w:szCs w:val="24"/>
                <w:highlight w:val="none"/>
                <w:lang w:val="en-US" w:eastAsia="zh-CN"/>
              </w:rPr>
              <w:t>其它</w:t>
            </w:r>
            <w:r>
              <w:rPr>
                <w:rFonts w:hint="eastAsia" w:ascii="宋体" w:hAnsi="宋体" w:cs="宋体"/>
                <w:b/>
                <w:bCs w:val="0"/>
                <w:color w:val="auto"/>
                <w:sz w:val="24"/>
                <w:szCs w:val="24"/>
                <w:highlight w:val="none"/>
              </w:rPr>
              <w:t>冷冻</w:t>
            </w:r>
            <w:r>
              <w:rPr>
                <w:rFonts w:hint="eastAsia" w:ascii="宋体" w:hAnsi="宋体" w:cs="宋体"/>
                <w:b/>
                <w:bCs w:val="0"/>
                <w:color w:val="auto"/>
                <w:sz w:val="24"/>
                <w:szCs w:val="24"/>
                <w:highlight w:val="none"/>
                <w:lang w:val="en-US" w:eastAsia="zh-CN"/>
              </w:rPr>
              <w:t>类、水产等上面（1）、（2）未列菜类</w:t>
            </w:r>
          </w:p>
        </w:tc>
        <w:tc>
          <w:tcPr>
            <w:tcW w:w="1930" w:type="dxa"/>
            <w:vAlign w:val="center"/>
          </w:tcPr>
          <w:p w14:paraId="34E190C4">
            <w:pPr>
              <w:jc w:val="center"/>
              <w:rPr>
                <w:rFonts w:hint="eastAsia" w:ascii="宋体" w:hAnsi="宋体"/>
                <w:color w:val="auto"/>
                <w:kern w:val="0"/>
                <w:sz w:val="24"/>
                <w:szCs w:val="24"/>
                <w:highlight w:val="none"/>
              </w:rPr>
            </w:pPr>
          </w:p>
        </w:tc>
      </w:tr>
      <w:tr w14:paraId="39DC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2" w:type="dxa"/>
            <w:vAlign w:val="center"/>
          </w:tcPr>
          <w:p w14:paraId="06E3CA60">
            <w:pPr>
              <w:jc w:val="center"/>
              <w:textAlignment w:val="center"/>
              <w:rPr>
                <w:rFonts w:hint="eastAsia" w:ascii="宋体" w:hAnsi="宋体"/>
                <w:color w:val="auto"/>
                <w:kern w:val="0"/>
                <w:sz w:val="24"/>
                <w:szCs w:val="24"/>
                <w:highlight w:val="none"/>
              </w:rPr>
            </w:pPr>
            <w:r>
              <w:rPr>
                <w:rFonts w:hint="eastAsia" w:ascii="宋体" w:hAnsi="宋体" w:cs="宋体"/>
                <w:color w:val="auto"/>
                <w:sz w:val="24"/>
                <w:szCs w:val="24"/>
                <w:highlight w:val="none"/>
                <w:lang w:val="en-US" w:eastAsia="zh-CN"/>
              </w:rPr>
              <w:t>3</w:t>
            </w:r>
          </w:p>
        </w:tc>
        <w:tc>
          <w:tcPr>
            <w:tcW w:w="6769" w:type="dxa"/>
            <w:vAlign w:val="center"/>
          </w:tcPr>
          <w:p w14:paraId="7A095C40">
            <w:pPr>
              <w:jc w:val="center"/>
              <w:rPr>
                <w:rFonts w:hint="eastAsia" w:ascii="宋体" w:hAnsi="宋体" w:eastAsia="宋体"/>
                <w:color w:val="auto"/>
                <w:kern w:val="0"/>
                <w:sz w:val="24"/>
                <w:szCs w:val="24"/>
                <w:highlight w:val="none"/>
                <w:lang w:val="en-US" w:eastAsia="zh-CN"/>
              </w:rPr>
            </w:pPr>
            <w:r>
              <w:rPr>
                <w:rFonts w:hint="eastAsia" w:ascii="宋体" w:hAnsi="宋体" w:cs="宋体"/>
                <w:b/>
                <w:bCs w:val="0"/>
                <w:color w:val="auto"/>
                <w:sz w:val="24"/>
                <w:szCs w:val="24"/>
                <w:highlight w:val="none"/>
              </w:rPr>
              <w:t>粮油类：主要包括大米、面粉、食用油、调味品等</w:t>
            </w:r>
          </w:p>
        </w:tc>
        <w:tc>
          <w:tcPr>
            <w:tcW w:w="1930" w:type="dxa"/>
            <w:vAlign w:val="center"/>
          </w:tcPr>
          <w:p w14:paraId="14BDE5A7">
            <w:pPr>
              <w:jc w:val="center"/>
              <w:rPr>
                <w:rFonts w:hint="eastAsia" w:ascii="宋体" w:hAnsi="宋体"/>
                <w:color w:val="auto"/>
                <w:kern w:val="0"/>
                <w:sz w:val="24"/>
                <w:szCs w:val="24"/>
                <w:highlight w:val="none"/>
              </w:rPr>
            </w:pPr>
          </w:p>
        </w:tc>
      </w:tr>
      <w:tr w14:paraId="3A7C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2" w:type="dxa"/>
            <w:vAlign w:val="center"/>
          </w:tcPr>
          <w:p w14:paraId="36F055B6">
            <w:pPr>
              <w:jc w:val="center"/>
              <w:textAlignment w:val="center"/>
              <w:rPr>
                <w:rFonts w:hint="eastAsia" w:ascii="宋体" w:hAnsi="宋体" w:eastAsia="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6769" w:type="dxa"/>
            <w:vAlign w:val="center"/>
          </w:tcPr>
          <w:p w14:paraId="59FC96C7">
            <w:pPr>
              <w:jc w:val="center"/>
              <w:rPr>
                <w:rFonts w:hint="eastAsia" w:ascii="Calibri" w:hAnsi="宋体"/>
                <w:color w:val="auto"/>
                <w:sz w:val="24"/>
                <w:szCs w:val="24"/>
                <w:highlight w:val="none"/>
              </w:rPr>
            </w:pPr>
            <w:r>
              <w:rPr>
                <w:rFonts w:hint="eastAsia" w:ascii="宋体" w:hAnsi="宋体" w:cs="宋体"/>
                <w:b/>
                <w:bCs w:val="0"/>
                <w:color w:val="auto"/>
                <w:sz w:val="24"/>
                <w:szCs w:val="24"/>
                <w:highlight w:val="none"/>
                <w:lang w:val="en-US" w:eastAsia="zh-CN"/>
              </w:rPr>
              <w:t>鲜</w:t>
            </w:r>
            <w:r>
              <w:rPr>
                <w:rFonts w:hint="eastAsia" w:ascii="宋体" w:hAnsi="宋体" w:cs="宋体"/>
                <w:b/>
                <w:bCs w:val="0"/>
                <w:color w:val="auto"/>
                <w:sz w:val="24"/>
                <w:szCs w:val="24"/>
                <w:highlight w:val="none"/>
              </w:rPr>
              <w:t>肉类：就指</w:t>
            </w:r>
            <w:r>
              <w:rPr>
                <w:rFonts w:hint="eastAsia" w:ascii="宋体" w:hAnsi="宋体" w:cs="宋体"/>
                <w:b/>
                <w:bCs w:val="0"/>
                <w:color w:val="auto"/>
                <w:sz w:val="24"/>
                <w:szCs w:val="24"/>
                <w:highlight w:val="none"/>
                <w:lang w:val="en-US" w:eastAsia="zh-CN"/>
              </w:rPr>
              <w:t>鲜</w:t>
            </w:r>
            <w:r>
              <w:rPr>
                <w:rFonts w:hint="eastAsia" w:ascii="宋体" w:hAnsi="宋体" w:cs="宋体"/>
                <w:b/>
                <w:bCs w:val="0"/>
                <w:color w:val="auto"/>
                <w:sz w:val="24"/>
                <w:szCs w:val="24"/>
                <w:highlight w:val="none"/>
              </w:rPr>
              <w:t>猪肉</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牛肉、羊肉等其它鲜宰肉类</w:t>
            </w:r>
          </w:p>
        </w:tc>
        <w:tc>
          <w:tcPr>
            <w:tcW w:w="1930" w:type="dxa"/>
            <w:vAlign w:val="center"/>
          </w:tcPr>
          <w:p w14:paraId="3F0522AA">
            <w:pPr>
              <w:jc w:val="center"/>
              <w:rPr>
                <w:rFonts w:hint="eastAsia" w:ascii="宋体" w:hAnsi="宋体"/>
                <w:color w:val="auto"/>
                <w:kern w:val="0"/>
                <w:sz w:val="24"/>
                <w:szCs w:val="24"/>
                <w:highlight w:val="none"/>
              </w:rPr>
            </w:pPr>
          </w:p>
        </w:tc>
      </w:tr>
      <w:tr w14:paraId="0D94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451" w:type="dxa"/>
            <w:gridSpan w:val="3"/>
            <w:vAlign w:val="center"/>
          </w:tcPr>
          <w:p w14:paraId="1D20F7B0">
            <w:pPr>
              <w:rPr>
                <w:rFonts w:hint="eastAsia" w:ascii="宋体" w:hAnsi="宋体"/>
                <w:color w:val="auto"/>
                <w:kern w:val="0"/>
                <w:sz w:val="24"/>
                <w:szCs w:val="24"/>
                <w:highlight w:val="none"/>
              </w:rPr>
            </w:pPr>
            <w:r>
              <w:rPr>
                <w:rFonts w:hint="eastAsia" w:ascii="宋体" w:hAnsi="宋体" w:cs="宋体"/>
                <w:color w:val="auto"/>
                <w:sz w:val="24"/>
                <w:szCs w:val="24"/>
                <w:highlight w:val="none"/>
              </w:rPr>
              <w:t>注：下浮率报价时保留2位小数。</w:t>
            </w:r>
          </w:p>
        </w:tc>
      </w:tr>
    </w:tbl>
    <w:p w14:paraId="2B61C48C">
      <w:pPr>
        <w:snapToGrid w:val="0"/>
        <w:spacing w:before="50" w:beforeLines="0" w:after="50" w:afterLines="0" w:line="360" w:lineRule="auto"/>
        <w:jc w:val="left"/>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 xml:space="preserve">: </w:t>
      </w:r>
    </w:p>
    <w:p w14:paraId="7652508B">
      <w:pPr>
        <w:snapToGrid w:val="0"/>
        <w:spacing w:before="50" w:beforeLines="0" w:after="50" w:afterLines="0"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1、报价一经涂改，应在涂改处加盖单位公章或者由法定代表人或授权委托人签字或盖章，否则其投标作无效标处理。</w:t>
      </w:r>
    </w:p>
    <w:p w14:paraId="1C9A24C6">
      <w:pPr>
        <w:spacing w:line="440" w:lineRule="exact"/>
        <w:ind w:firstLine="480" w:firstLineChars="200"/>
        <w:rPr>
          <w:color w:val="auto"/>
          <w:highlight w:val="none"/>
        </w:rPr>
      </w:pPr>
      <w:r>
        <w:rPr>
          <w:rFonts w:hint="eastAsia" w:ascii="宋体" w:hAnsi="宋体"/>
          <w:color w:val="auto"/>
          <w:sz w:val="24"/>
          <w:highlight w:val="none"/>
        </w:rPr>
        <w:t>2、投标费用包括</w:t>
      </w:r>
      <w:r>
        <w:rPr>
          <w:rFonts w:hint="eastAsia" w:ascii="宋体" w:hAnsi="宋体"/>
          <w:b/>
          <w:bCs/>
          <w:color w:val="auto"/>
          <w:sz w:val="24"/>
          <w:highlight w:val="none"/>
          <w:u w:val="single"/>
        </w:rPr>
        <w:t>货物价款、包装、仓储、运输装缷、保险、所有含税等一切费用，具体数量按实结算</w:t>
      </w:r>
      <w:r>
        <w:rPr>
          <w:rFonts w:hint="eastAsia" w:ascii="宋体" w:hAnsi="宋体"/>
          <w:color w:val="auto"/>
          <w:sz w:val="24"/>
          <w:highlight w:val="none"/>
        </w:rPr>
        <w:t>。</w:t>
      </w:r>
      <w:r>
        <w:rPr>
          <w:rFonts w:hint="eastAsia" w:ascii="宋体" w:hAnsi="宋体" w:eastAsia="宋体" w:cs="宋体"/>
          <w:color w:val="auto"/>
          <w:sz w:val="24"/>
          <w:highlight w:val="none"/>
          <w:lang w:val="en-US" w:eastAsia="zh-CN"/>
        </w:rPr>
        <w:t>投标报价不得高于</w:t>
      </w:r>
      <w:r>
        <w:rPr>
          <w:rFonts w:hint="eastAsia" w:ascii="宋体" w:hAnsi="宋体" w:cs="宋体"/>
          <w:color w:val="auto"/>
          <w:sz w:val="24"/>
          <w:highlight w:val="none"/>
          <w:lang w:val="en-US" w:eastAsia="zh-CN"/>
        </w:rPr>
        <w:t>最高限价</w:t>
      </w:r>
      <w:r>
        <w:rPr>
          <w:rFonts w:hint="eastAsia" w:ascii="宋体" w:hAnsi="宋体" w:eastAsia="宋体" w:cs="宋体"/>
          <w:color w:val="auto"/>
          <w:sz w:val="24"/>
          <w:highlight w:val="none"/>
          <w:lang w:val="en-US" w:eastAsia="zh-CN"/>
        </w:rPr>
        <w:t>总价，否则按废标处理。</w:t>
      </w:r>
    </w:p>
    <w:p w14:paraId="56E6BEC8">
      <w:pPr>
        <w:snapToGrid w:val="0"/>
        <w:spacing w:before="156" w:beforeLines="50" w:after="50"/>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、本表格不允许修改，否则作无效标处理。</w:t>
      </w:r>
    </w:p>
    <w:p w14:paraId="5C3AD954">
      <w:pPr>
        <w:pStyle w:val="4"/>
        <w:rPr>
          <w:rFonts w:hint="eastAsia"/>
          <w:color w:val="auto"/>
          <w:highlight w:val="none"/>
        </w:rPr>
      </w:pPr>
    </w:p>
    <w:p w14:paraId="79D7729D">
      <w:pPr>
        <w:spacing w:line="276" w:lineRule="auto"/>
        <w:rPr>
          <w:rFonts w:hint="eastAsia" w:ascii="宋体" w:hAnsi="宋体"/>
          <w:color w:val="auto"/>
          <w:sz w:val="24"/>
          <w:highlight w:val="none"/>
        </w:rPr>
      </w:pPr>
      <w:r>
        <w:rPr>
          <w:rFonts w:hint="eastAsia" w:ascii="宋体" w:hAnsi="宋体"/>
          <w:color w:val="auto"/>
          <w:sz w:val="24"/>
          <w:highlight w:val="none"/>
        </w:rPr>
        <w:t xml:space="preserve">投标方代表签字：________________  </w:t>
      </w:r>
    </w:p>
    <w:p w14:paraId="54BCCFF0">
      <w:pPr>
        <w:spacing w:line="276" w:lineRule="auto"/>
        <w:rPr>
          <w:rFonts w:hint="eastAsia" w:ascii="宋体" w:hAnsi="宋体"/>
          <w:color w:val="auto"/>
          <w:sz w:val="24"/>
          <w:highlight w:val="none"/>
        </w:rPr>
      </w:pPr>
      <w:r>
        <w:rPr>
          <w:rFonts w:hint="eastAsia" w:ascii="宋体" w:hAnsi="宋体"/>
          <w:color w:val="auto"/>
          <w:sz w:val="24"/>
          <w:highlight w:val="none"/>
        </w:rPr>
        <w:t>职  务:____________</w:t>
      </w:r>
    </w:p>
    <w:p w14:paraId="047FB314">
      <w:pPr>
        <w:spacing w:line="276"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投标人全称（盖公章或电子签章）：</w:t>
      </w:r>
    </w:p>
    <w:p w14:paraId="54F47470">
      <w:pPr>
        <w:spacing w:line="276"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年</w:t>
      </w:r>
      <w:r>
        <w:rPr>
          <w:rFonts w:hint="eastAsia" w:ascii="宋体" w:hAnsi="宋体" w:eastAsia="宋体" w:cs="Times New Roman"/>
          <w:color w:val="auto"/>
          <w:sz w:val="24"/>
          <w:highlight w:val="none"/>
          <w:lang w:val="en-US" w:eastAsia="zh-CN"/>
        </w:rPr>
        <w:t xml:space="preserve">    月   日 </w:t>
      </w:r>
    </w:p>
    <w:p w14:paraId="271CC7F6">
      <w:pPr>
        <w:snapToGrid w:val="0"/>
        <w:spacing w:before="120" w:beforeLines="50" w:after="50"/>
        <w:rPr>
          <w:rFonts w:hint="eastAsia" w:ascii="宋体" w:hAnsi="宋体"/>
          <w:b/>
          <w:color w:val="auto"/>
          <w:sz w:val="24"/>
          <w:highlight w:val="none"/>
        </w:rPr>
      </w:pPr>
    </w:p>
    <w:p w14:paraId="61BC0A53">
      <w:pPr>
        <w:snapToGrid w:val="0"/>
        <w:spacing w:before="120" w:beforeLines="50" w:after="50"/>
        <w:rPr>
          <w:rFonts w:hint="eastAsia" w:ascii="宋体" w:hAnsi="宋体"/>
          <w:b/>
          <w:color w:val="auto"/>
          <w:sz w:val="24"/>
          <w:highlight w:val="none"/>
        </w:rPr>
      </w:pPr>
    </w:p>
    <w:p w14:paraId="3C540D81">
      <w:pPr>
        <w:snapToGrid w:val="0"/>
        <w:spacing w:before="120" w:beforeLines="50" w:after="50"/>
        <w:rPr>
          <w:rFonts w:hint="eastAsia" w:ascii="宋体" w:hAnsi="宋体"/>
          <w:b/>
          <w:color w:val="auto"/>
          <w:sz w:val="24"/>
          <w:highlight w:val="none"/>
        </w:rPr>
      </w:pPr>
    </w:p>
    <w:p w14:paraId="4BCFF574">
      <w:pPr>
        <w:snapToGrid w:val="0"/>
        <w:spacing w:before="120" w:beforeLines="50" w:after="50"/>
        <w:rPr>
          <w:rFonts w:ascii="宋体" w:hAnsi="宋体"/>
          <w:b/>
          <w:color w:val="auto"/>
          <w:sz w:val="24"/>
          <w:highlight w:val="none"/>
        </w:rPr>
      </w:pPr>
      <w:r>
        <w:rPr>
          <w:rFonts w:hint="eastAsia" w:ascii="宋体" w:hAnsi="宋体"/>
          <w:b/>
          <w:color w:val="auto"/>
          <w:sz w:val="24"/>
          <w:highlight w:val="none"/>
        </w:rPr>
        <w:t>附件：中小企业声明函：</w:t>
      </w:r>
    </w:p>
    <w:p w14:paraId="1DB5174C">
      <w:pPr>
        <w:tabs>
          <w:tab w:val="left" w:pos="420"/>
        </w:tabs>
        <w:ind w:firstLine="482" w:firstLineChars="200"/>
        <w:jc w:val="center"/>
        <w:rPr>
          <w:rFonts w:hint="eastAsia" w:ascii="宋体" w:hAnsi="宋体" w:cs="Arial"/>
          <w:b/>
          <w:bCs/>
          <w:color w:val="auto"/>
          <w:kern w:val="0"/>
          <w:sz w:val="24"/>
          <w:highlight w:val="none"/>
        </w:rPr>
      </w:pPr>
      <w:bookmarkStart w:id="19" w:name="_Toc518487308"/>
      <w:r>
        <w:rPr>
          <w:rFonts w:hint="eastAsia" w:ascii="宋体" w:hAnsi="宋体" w:cs="Arial"/>
          <w:b/>
          <w:bCs/>
          <w:color w:val="auto"/>
          <w:kern w:val="0"/>
          <w:sz w:val="24"/>
          <w:highlight w:val="none"/>
          <w:lang w:eastAsia="zh-CN"/>
        </w:rPr>
        <w:t>▲</w:t>
      </w:r>
      <w:r>
        <w:rPr>
          <w:rFonts w:hint="eastAsia" w:ascii="宋体" w:hAnsi="宋体" w:cs="Arial"/>
          <w:b/>
          <w:bCs/>
          <w:color w:val="auto"/>
          <w:kern w:val="0"/>
          <w:sz w:val="24"/>
          <w:highlight w:val="none"/>
        </w:rPr>
        <w:t>中小企业声明函（服务）</w:t>
      </w:r>
    </w:p>
    <w:p w14:paraId="5FFE072E">
      <w:pPr>
        <w:rPr>
          <w:rFonts w:hint="eastAsia"/>
          <w:color w:val="auto"/>
          <w:highlight w:val="none"/>
        </w:rPr>
      </w:pPr>
    </w:p>
    <w:p w14:paraId="3D32A1D8">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3873C54E">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（标的名称），属于（采购文件中明确的所属行业）行业；承接企业为 （企业名称），从业人员_____人，营业收入为_____万元，资产总额为_____万元，属于（中型企业、小型企业、微型企业）；</w:t>
      </w:r>
    </w:p>
    <w:p w14:paraId="2D5404D8">
      <w:pPr>
        <w:tabs>
          <w:tab w:val="left" w:pos="420"/>
        </w:tabs>
        <w:spacing w:line="360" w:lineRule="auto"/>
        <w:ind w:firstLine="480" w:firstLineChars="200"/>
        <w:jc w:val="left"/>
        <w:rPr>
          <w:rFonts w:ascii="宋体" w:hAnsi="宋体" w:cs="Arial"/>
          <w:bCs/>
          <w:color w:val="auto"/>
          <w:kern w:val="0"/>
          <w:sz w:val="24"/>
          <w:highlight w:val="none"/>
        </w:rPr>
      </w:pPr>
      <w:r>
        <w:rPr>
          <w:rFonts w:hint="eastAsia" w:ascii="宋体" w:hAnsi="宋体" w:cs="Arial"/>
          <w:bCs/>
          <w:color w:val="auto"/>
          <w:kern w:val="0"/>
          <w:sz w:val="24"/>
          <w:highlight w:val="none"/>
        </w:rPr>
        <w:t>本企业对上述声明内容的真实性负责。如有虚假，将依法承担相应责任。</w:t>
      </w:r>
    </w:p>
    <w:p w14:paraId="125CEA4E">
      <w:pPr>
        <w:tabs>
          <w:tab w:val="left" w:pos="420"/>
        </w:tabs>
        <w:spacing w:line="360" w:lineRule="auto"/>
        <w:ind w:firstLine="480" w:firstLineChars="200"/>
        <w:jc w:val="left"/>
        <w:rPr>
          <w:rFonts w:hint="eastAsia" w:ascii="宋体" w:hAnsi="宋体" w:cs="Arial"/>
          <w:bCs/>
          <w:color w:val="auto"/>
          <w:kern w:val="0"/>
          <w:sz w:val="24"/>
          <w:highlight w:val="none"/>
        </w:rPr>
      </w:pPr>
    </w:p>
    <w:p w14:paraId="1278EFEF">
      <w:pPr>
        <w:tabs>
          <w:tab w:val="left" w:pos="420"/>
        </w:tabs>
        <w:spacing w:line="360" w:lineRule="auto"/>
        <w:ind w:firstLine="480" w:firstLineChars="200"/>
        <w:jc w:val="left"/>
        <w:rPr>
          <w:rFonts w:hint="eastAsia" w:ascii="宋体" w:hAnsi="宋体" w:cs="Arial"/>
          <w:bCs/>
          <w:color w:val="auto"/>
          <w:kern w:val="0"/>
          <w:sz w:val="24"/>
          <w:highlight w:val="none"/>
        </w:rPr>
      </w:pPr>
    </w:p>
    <w:p w14:paraId="53F5CED9">
      <w:pPr>
        <w:tabs>
          <w:tab w:val="left" w:pos="420"/>
        </w:tabs>
        <w:spacing w:line="360" w:lineRule="auto"/>
        <w:ind w:firstLine="480" w:firstLineChars="200"/>
        <w:jc w:val="right"/>
        <w:rPr>
          <w:rFonts w:hint="eastAsia" w:ascii="宋体" w:hAnsi="宋体" w:cs="Arial"/>
          <w:bCs/>
          <w:color w:val="auto"/>
          <w:kern w:val="0"/>
          <w:sz w:val="24"/>
          <w:highlight w:val="none"/>
        </w:rPr>
      </w:pPr>
      <w:r>
        <w:rPr>
          <w:rFonts w:hint="eastAsia" w:ascii="宋体" w:hAnsi="宋体" w:cs="Arial"/>
          <w:bCs/>
          <w:color w:val="auto"/>
          <w:kern w:val="0"/>
          <w:sz w:val="24"/>
          <w:highlight w:val="none"/>
        </w:rPr>
        <w:t>企业名称（盖章）：</w:t>
      </w:r>
    </w:p>
    <w:p w14:paraId="1EB18A20">
      <w:pPr>
        <w:tabs>
          <w:tab w:val="left" w:pos="420"/>
        </w:tabs>
        <w:spacing w:before="100" w:beforeAutospacing="1" w:after="100" w:afterAutospacing="1" w:line="360" w:lineRule="auto"/>
        <w:ind w:firstLine="480" w:firstLineChars="200"/>
        <w:jc w:val="right"/>
        <w:rPr>
          <w:rFonts w:hint="eastAsia" w:ascii="宋体" w:hAnsi="宋体" w:cs="Arial"/>
          <w:bCs/>
          <w:color w:val="auto"/>
          <w:kern w:val="0"/>
          <w:sz w:val="24"/>
          <w:highlight w:val="none"/>
        </w:rPr>
      </w:pPr>
      <w:r>
        <w:rPr>
          <w:rFonts w:hint="eastAsia" w:ascii="宋体" w:hAnsi="宋体" w:cs="Arial"/>
          <w:bCs/>
          <w:color w:val="auto"/>
          <w:kern w:val="0"/>
          <w:sz w:val="24"/>
          <w:highlight w:val="none"/>
          <w:lang w:eastAsia="zh-CN"/>
        </w:rPr>
        <w:t>年</w:t>
      </w:r>
      <w:r>
        <w:rPr>
          <w:rFonts w:hint="eastAsia" w:ascii="宋体" w:hAnsi="宋体" w:cs="Arial"/>
          <w:bCs/>
          <w:color w:val="auto"/>
          <w:kern w:val="0"/>
          <w:sz w:val="24"/>
          <w:highlight w:val="none"/>
          <w:lang w:val="en-US" w:eastAsia="zh-CN"/>
        </w:rPr>
        <w:t xml:space="preserve">   </w:t>
      </w:r>
      <w:r>
        <w:rPr>
          <w:rFonts w:hint="eastAsia" w:ascii="宋体" w:hAnsi="宋体" w:cs="Arial"/>
          <w:bCs/>
          <w:color w:val="auto"/>
          <w:kern w:val="0"/>
          <w:sz w:val="24"/>
          <w:highlight w:val="none"/>
          <w:lang w:eastAsia="zh-CN"/>
        </w:rPr>
        <w:t>月</w:t>
      </w:r>
      <w:r>
        <w:rPr>
          <w:rFonts w:hint="eastAsia" w:ascii="宋体" w:hAnsi="宋体" w:cs="Arial"/>
          <w:bCs/>
          <w:color w:val="auto"/>
          <w:kern w:val="0"/>
          <w:sz w:val="24"/>
          <w:highlight w:val="none"/>
          <w:lang w:val="en-US" w:eastAsia="zh-CN"/>
        </w:rPr>
        <w:t xml:space="preserve">   </w:t>
      </w:r>
      <w:r>
        <w:rPr>
          <w:rFonts w:hint="eastAsia" w:ascii="宋体" w:hAnsi="宋体" w:cs="Arial"/>
          <w:bCs/>
          <w:color w:val="auto"/>
          <w:kern w:val="0"/>
          <w:sz w:val="24"/>
          <w:highlight w:val="none"/>
          <w:lang w:eastAsia="zh-CN"/>
        </w:rPr>
        <w:t>日</w:t>
      </w:r>
      <w:r>
        <w:rPr>
          <w:rFonts w:hint="eastAsia" w:ascii="宋体" w:hAnsi="宋体" w:cs="Arial"/>
          <w:bCs/>
          <w:color w:val="auto"/>
          <w:kern w:val="0"/>
          <w:sz w:val="24"/>
          <w:highlight w:val="none"/>
        </w:rPr>
        <w:t>：</w:t>
      </w:r>
    </w:p>
    <w:p w14:paraId="3E9C72A4">
      <w:pPr>
        <w:tabs>
          <w:tab w:val="left" w:pos="420"/>
        </w:tabs>
        <w:spacing w:before="100" w:beforeAutospacing="1" w:after="100" w:afterAutospacing="1"/>
        <w:rPr>
          <w:rFonts w:hint="eastAsia" w:ascii="宋体" w:hAnsi="宋体" w:cs="Arial"/>
          <w:b/>
          <w:bCs/>
          <w:color w:val="auto"/>
          <w:kern w:val="0"/>
          <w:sz w:val="24"/>
          <w:highlight w:val="none"/>
        </w:rPr>
      </w:pPr>
      <w:r>
        <w:rPr>
          <w:rFonts w:hint="eastAsia" w:ascii="宋体" w:hAnsi="宋体" w:cs="Arial"/>
          <w:b/>
          <w:bCs/>
          <w:color w:val="auto"/>
          <w:kern w:val="0"/>
          <w:sz w:val="24"/>
          <w:highlight w:val="none"/>
        </w:rPr>
        <w:t>注：</w:t>
      </w:r>
    </w:p>
    <w:p w14:paraId="19BFA746">
      <w:pPr>
        <w:tabs>
          <w:tab w:val="left" w:pos="420"/>
        </w:tabs>
        <w:spacing w:before="100" w:beforeAutospacing="1" w:after="100" w:afterAutospacing="1"/>
        <w:rPr>
          <w:rFonts w:hint="eastAsia" w:ascii="宋体" w:hAnsi="宋体"/>
          <w:b/>
          <w:color w:val="auto"/>
          <w:szCs w:val="21"/>
          <w:highlight w:val="none"/>
        </w:rPr>
      </w:pPr>
      <w:r>
        <w:rPr>
          <w:rFonts w:hint="eastAsia" w:ascii="宋体" w:hAnsi="宋体" w:cs="Arial"/>
          <w:b/>
          <w:bCs/>
          <w:color w:val="auto"/>
          <w:kern w:val="0"/>
          <w:sz w:val="24"/>
          <w:highlight w:val="none"/>
        </w:rPr>
        <w:t>1、</w:t>
      </w:r>
      <w:r>
        <w:rPr>
          <w:rFonts w:hint="eastAsia" w:ascii="宋体" w:hAnsi="宋体"/>
          <w:b/>
          <w:color w:val="auto"/>
          <w:szCs w:val="21"/>
          <w:highlight w:val="none"/>
        </w:rPr>
        <w:t>如投标人为小微企业，则需提供中小企业声明函。</w:t>
      </w:r>
    </w:p>
    <w:p w14:paraId="630C9A6C">
      <w:pPr>
        <w:tabs>
          <w:tab w:val="left" w:pos="420"/>
        </w:tabs>
        <w:spacing w:before="100" w:beforeAutospacing="1" w:after="100" w:afterAutospacing="1"/>
        <w:rPr>
          <w:rFonts w:ascii="宋体" w:hAnsi="宋体"/>
          <w:b/>
          <w:color w:val="auto"/>
          <w:szCs w:val="21"/>
          <w:highlight w:val="none"/>
        </w:rPr>
      </w:pPr>
      <w:r>
        <w:rPr>
          <w:rFonts w:hint="eastAsia" w:ascii="宋体" w:hAnsi="宋体"/>
          <w:b/>
          <w:color w:val="auto"/>
          <w:szCs w:val="21"/>
          <w:highlight w:val="none"/>
        </w:rPr>
        <w:t>2、如中标人声明为小微企业，本声明函将随中标结果同时公告，接受社会监督。</w:t>
      </w:r>
    </w:p>
    <w:p w14:paraId="79649196">
      <w:pPr>
        <w:spacing w:line="360" w:lineRule="auto"/>
        <w:ind w:right="6"/>
        <w:rPr>
          <w:rFonts w:ascii="宋体" w:hAnsi="宋体"/>
          <w:b/>
          <w:color w:val="auto"/>
          <w:highlight w:val="none"/>
        </w:rPr>
      </w:pPr>
    </w:p>
    <w:p w14:paraId="3F58A377">
      <w:pPr>
        <w:spacing w:line="360" w:lineRule="auto"/>
        <w:ind w:right="6" w:firstLine="211" w:firstLineChars="100"/>
        <w:rPr>
          <w:rFonts w:ascii="宋体" w:hAnsi="宋体"/>
          <w:b/>
          <w:color w:val="auto"/>
          <w:highlight w:val="none"/>
        </w:rPr>
      </w:pPr>
    </w:p>
    <w:p w14:paraId="649127E3">
      <w:pPr>
        <w:tabs>
          <w:tab w:val="left" w:pos="420"/>
        </w:tabs>
        <w:jc w:val="both"/>
        <w:rPr>
          <w:rFonts w:hint="eastAsia" w:ascii="宋体" w:hAnsi="宋体"/>
          <w:b/>
          <w:color w:val="auto"/>
          <w:sz w:val="24"/>
          <w:highlight w:val="none"/>
        </w:rPr>
      </w:pPr>
    </w:p>
    <w:p w14:paraId="3D1C7F77">
      <w:pPr>
        <w:tabs>
          <w:tab w:val="left" w:pos="420"/>
        </w:tabs>
        <w:jc w:val="both"/>
        <w:rPr>
          <w:rFonts w:hint="eastAsia" w:ascii="宋体" w:hAnsi="宋体"/>
          <w:b/>
          <w:color w:val="auto"/>
          <w:sz w:val="24"/>
          <w:highlight w:val="none"/>
        </w:rPr>
      </w:pPr>
    </w:p>
    <w:p w14:paraId="61F49A1E">
      <w:pPr>
        <w:tabs>
          <w:tab w:val="left" w:pos="420"/>
        </w:tabs>
        <w:jc w:val="both"/>
        <w:rPr>
          <w:rFonts w:hint="eastAsia" w:ascii="宋体" w:hAnsi="宋体"/>
          <w:b/>
          <w:color w:val="auto"/>
          <w:sz w:val="24"/>
          <w:highlight w:val="none"/>
        </w:rPr>
      </w:pPr>
    </w:p>
    <w:p w14:paraId="0234322A">
      <w:pPr>
        <w:tabs>
          <w:tab w:val="left" w:pos="420"/>
        </w:tabs>
        <w:jc w:val="both"/>
        <w:rPr>
          <w:rFonts w:hint="eastAsia" w:ascii="宋体" w:hAnsi="宋体"/>
          <w:b/>
          <w:color w:val="auto"/>
          <w:sz w:val="24"/>
          <w:highlight w:val="none"/>
        </w:rPr>
      </w:pPr>
    </w:p>
    <w:p w14:paraId="5292D3A4">
      <w:pPr>
        <w:tabs>
          <w:tab w:val="left" w:pos="420"/>
        </w:tabs>
        <w:jc w:val="both"/>
        <w:rPr>
          <w:rFonts w:hint="eastAsia" w:ascii="宋体" w:hAnsi="宋体"/>
          <w:b/>
          <w:color w:val="auto"/>
          <w:sz w:val="24"/>
          <w:highlight w:val="none"/>
        </w:rPr>
      </w:pPr>
    </w:p>
    <w:p w14:paraId="61975E9D">
      <w:pPr>
        <w:tabs>
          <w:tab w:val="left" w:pos="420"/>
        </w:tabs>
        <w:jc w:val="both"/>
        <w:rPr>
          <w:rFonts w:hint="eastAsia" w:ascii="宋体" w:hAnsi="宋体"/>
          <w:b/>
          <w:color w:val="auto"/>
          <w:sz w:val="24"/>
          <w:highlight w:val="none"/>
        </w:rPr>
      </w:pPr>
    </w:p>
    <w:p w14:paraId="2C8CC345">
      <w:pPr>
        <w:tabs>
          <w:tab w:val="left" w:pos="420"/>
        </w:tabs>
        <w:jc w:val="both"/>
        <w:rPr>
          <w:rFonts w:hint="eastAsia" w:ascii="宋体" w:hAnsi="宋体"/>
          <w:b/>
          <w:color w:val="auto"/>
          <w:sz w:val="24"/>
          <w:highlight w:val="none"/>
        </w:rPr>
      </w:pPr>
    </w:p>
    <w:p w14:paraId="60BED399">
      <w:pPr>
        <w:tabs>
          <w:tab w:val="left" w:pos="420"/>
        </w:tabs>
        <w:jc w:val="both"/>
        <w:rPr>
          <w:rFonts w:hint="eastAsia" w:ascii="宋体" w:hAnsi="宋体"/>
          <w:b/>
          <w:color w:val="auto"/>
          <w:sz w:val="24"/>
          <w:highlight w:val="none"/>
        </w:rPr>
      </w:pPr>
    </w:p>
    <w:p w14:paraId="6C540F4D">
      <w:pPr>
        <w:tabs>
          <w:tab w:val="left" w:pos="420"/>
        </w:tabs>
        <w:jc w:val="both"/>
        <w:rPr>
          <w:rFonts w:hint="eastAsia" w:ascii="宋体" w:hAnsi="宋体"/>
          <w:b/>
          <w:color w:val="auto"/>
          <w:sz w:val="24"/>
          <w:highlight w:val="none"/>
        </w:rPr>
      </w:pPr>
    </w:p>
    <w:p w14:paraId="07C130E7">
      <w:pPr>
        <w:tabs>
          <w:tab w:val="left" w:pos="420"/>
        </w:tabs>
        <w:jc w:val="both"/>
        <w:rPr>
          <w:rFonts w:hint="eastAsia" w:ascii="宋体" w:hAnsi="宋体"/>
          <w:b/>
          <w:color w:val="auto"/>
          <w:sz w:val="24"/>
          <w:highlight w:val="none"/>
        </w:rPr>
      </w:pPr>
    </w:p>
    <w:p w14:paraId="3763652B">
      <w:pPr>
        <w:tabs>
          <w:tab w:val="left" w:pos="420"/>
        </w:tabs>
        <w:jc w:val="both"/>
        <w:rPr>
          <w:rFonts w:hint="eastAsia" w:ascii="宋体" w:hAnsi="宋体"/>
          <w:b/>
          <w:color w:val="auto"/>
          <w:sz w:val="24"/>
          <w:highlight w:val="none"/>
        </w:rPr>
      </w:pPr>
    </w:p>
    <w:p w14:paraId="29ED009E">
      <w:pPr>
        <w:tabs>
          <w:tab w:val="left" w:pos="420"/>
        </w:tabs>
        <w:jc w:val="both"/>
        <w:rPr>
          <w:rFonts w:hint="eastAsia" w:ascii="宋体" w:hAnsi="宋体"/>
          <w:b/>
          <w:color w:val="auto"/>
          <w:sz w:val="24"/>
          <w:highlight w:val="none"/>
        </w:rPr>
      </w:pPr>
    </w:p>
    <w:p w14:paraId="127539C7">
      <w:pPr>
        <w:tabs>
          <w:tab w:val="left" w:pos="420"/>
        </w:tabs>
        <w:jc w:val="both"/>
        <w:rPr>
          <w:rFonts w:hint="eastAsia" w:ascii="宋体" w:hAnsi="宋体"/>
          <w:b/>
          <w:color w:val="auto"/>
          <w:sz w:val="24"/>
          <w:highlight w:val="none"/>
        </w:rPr>
      </w:pPr>
    </w:p>
    <w:p w14:paraId="5A9B5420">
      <w:pPr>
        <w:tabs>
          <w:tab w:val="left" w:pos="420"/>
        </w:tabs>
        <w:jc w:val="both"/>
        <w:rPr>
          <w:rFonts w:hint="eastAsia" w:ascii="宋体" w:hAnsi="宋体"/>
          <w:b/>
          <w:color w:val="auto"/>
          <w:sz w:val="24"/>
          <w:highlight w:val="none"/>
        </w:rPr>
      </w:pPr>
    </w:p>
    <w:p w14:paraId="076384B8">
      <w:pPr>
        <w:tabs>
          <w:tab w:val="left" w:pos="420"/>
        </w:tabs>
        <w:jc w:val="both"/>
        <w:rPr>
          <w:rFonts w:ascii="宋体" w:hAnsi="宋体" w:cs="Arial"/>
          <w:b/>
          <w:bCs/>
          <w:color w:val="auto"/>
          <w:kern w:val="0"/>
          <w:sz w:val="30"/>
          <w:szCs w:val="30"/>
          <w:highlight w:val="none"/>
        </w:rPr>
        <w:sectPr>
          <w:headerReference r:id="rId9" w:type="first"/>
          <w:footerReference r:id="rId12" w:type="first"/>
          <w:headerReference r:id="rId8" w:type="default"/>
          <w:footerReference r:id="rId10" w:type="default"/>
          <w:footerReference r:id="rId11" w:type="even"/>
          <w:type w:val="continuous"/>
          <w:pgSz w:w="11906" w:h="16838"/>
          <w:pgMar w:top="1587" w:right="907" w:bottom="907" w:left="1587" w:header="851" w:footer="850" w:gutter="0"/>
          <w:pgNumType w:fmt="decimal"/>
          <w:cols w:space="720" w:num="1"/>
          <w:titlePg/>
          <w:docGrid w:linePitch="312" w:charSpace="0"/>
        </w:sectPr>
      </w:pPr>
      <w:r>
        <w:rPr>
          <w:rFonts w:hint="eastAsia" w:ascii="宋体" w:hAnsi="宋体"/>
          <w:b/>
          <w:color w:val="auto"/>
          <w:sz w:val="24"/>
          <w:highlight w:val="none"/>
        </w:rPr>
        <w:t xml:space="preserve">附件： </w:t>
      </w:r>
      <w:bookmarkStart w:id="20" w:name="OLE_LINK14"/>
      <w:bookmarkStart w:id="21" w:name="OLE_LINK13"/>
      <w:r>
        <w:rPr>
          <w:rFonts w:hint="eastAsia" w:ascii="宋体" w:hAnsi="宋体"/>
          <w:b/>
          <w:color w:val="auto"/>
          <w:sz w:val="24"/>
          <w:highlight w:val="none"/>
        </w:rPr>
        <w:t>残疾人福利性单位声明函</w:t>
      </w:r>
      <w:bookmarkEnd w:id="19"/>
      <w:r>
        <w:rPr>
          <w:rFonts w:hint="eastAsia" w:ascii="宋体" w:hAnsi="宋体"/>
          <w:b/>
          <w:color w:val="auto"/>
          <w:sz w:val="24"/>
          <w:highlight w:val="none"/>
        </w:rPr>
        <w:t>及残疾人福利性单位残疾人聘用情况表</w:t>
      </w:r>
    </w:p>
    <w:p w14:paraId="0501192B">
      <w:pPr>
        <w:widowControl/>
        <w:spacing w:before="100" w:beforeAutospacing="1" w:after="190"/>
        <w:jc w:val="both"/>
        <w:rPr>
          <w:rFonts w:hint="eastAsia" w:ascii="宋体" w:hAnsi="宋体" w:cs="Arial"/>
          <w:b/>
          <w:bCs/>
          <w:color w:val="auto"/>
          <w:kern w:val="0"/>
          <w:sz w:val="30"/>
          <w:szCs w:val="30"/>
          <w:highlight w:val="none"/>
        </w:rPr>
      </w:pPr>
    </w:p>
    <w:p w14:paraId="06FFDEC3">
      <w:pPr>
        <w:widowControl/>
        <w:snapToGrid w:val="0"/>
        <w:spacing w:line="300" w:lineRule="auto"/>
        <w:ind w:firstLine="600" w:firstLineChars="200"/>
        <w:rPr>
          <w:rFonts w:ascii="宋体" w:hAnsi="宋体"/>
          <w:b/>
          <w:color w:val="auto"/>
          <w:spacing w:val="6"/>
          <w:sz w:val="30"/>
          <w:szCs w:val="30"/>
          <w:highlight w:val="none"/>
        </w:rPr>
      </w:pPr>
      <w:r>
        <w:rPr>
          <w:rFonts w:hint="eastAsia" w:ascii="宋体" w:hAnsi="宋体" w:cs="Arial"/>
          <w:b/>
          <w:bCs/>
          <w:color w:val="auto"/>
          <w:kern w:val="0"/>
          <w:sz w:val="30"/>
          <w:szCs w:val="30"/>
          <w:highlight w:val="none"/>
        </w:rPr>
        <w:t>残疾人福利性单位声明函</w:t>
      </w:r>
      <w:bookmarkEnd w:id="20"/>
      <w:bookmarkEnd w:id="21"/>
      <w:r>
        <w:rPr>
          <w:rFonts w:hint="eastAsia" w:ascii="宋体" w:hAnsi="宋体" w:cs="宋体"/>
          <w:b/>
          <w:color w:val="auto"/>
          <w:sz w:val="24"/>
          <w:highlight w:val="none"/>
        </w:rPr>
        <w:t>【</w:t>
      </w:r>
      <w:r>
        <w:rPr>
          <w:rFonts w:hint="eastAsia" w:ascii="宋体" w:hAnsi="宋体" w:cs="宋体"/>
          <w:b/>
          <w:bCs/>
          <w:color w:val="auto"/>
          <w:sz w:val="24"/>
          <w:highlight w:val="none"/>
        </w:rPr>
        <w:t>非残疾人福利性单位不用提供</w:t>
      </w:r>
      <w:r>
        <w:rPr>
          <w:rFonts w:hint="eastAsia" w:ascii="宋体" w:hAnsi="宋体" w:cs="宋体"/>
          <w:b/>
          <w:color w:val="auto"/>
          <w:sz w:val="24"/>
          <w:highlight w:val="none"/>
        </w:rPr>
        <w:t>】</w:t>
      </w:r>
    </w:p>
    <w:p w14:paraId="6C6995C4">
      <w:pPr>
        <w:tabs>
          <w:tab w:val="left" w:pos="420"/>
        </w:tabs>
        <w:spacing w:line="360" w:lineRule="auto"/>
        <w:ind w:firstLine="480" w:firstLineChars="200"/>
        <w:jc w:val="left"/>
        <w:rPr>
          <w:rFonts w:hint="eastAsia" w:ascii="宋体" w:hAnsi="宋体" w:eastAsia="宋体" w:cs="Arial"/>
          <w:bCs/>
          <w:color w:val="auto"/>
          <w:kern w:val="0"/>
          <w:sz w:val="24"/>
          <w:highlight w:val="none"/>
        </w:rPr>
      </w:pPr>
      <w:r>
        <w:rPr>
          <w:rFonts w:hint="eastAsia" w:ascii="宋体" w:hAnsi="宋体" w:eastAsia="宋体" w:cs="Arial"/>
          <w:bCs/>
          <w:color w:val="auto"/>
          <w:kern w:val="0"/>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772731">
      <w:pPr>
        <w:tabs>
          <w:tab w:val="left" w:pos="420"/>
        </w:tabs>
        <w:spacing w:line="360" w:lineRule="auto"/>
        <w:ind w:firstLine="480" w:firstLineChars="200"/>
        <w:jc w:val="left"/>
        <w:rPr>
          <w:rFonts w:ascii="宋体" w:hAnsi="宋体"/>
          <w:color w:val="auto"/>
          <w:spacing w:val="6"/>
          <w:sz w:val="30"/>
          <w:szCs w:val="30"/>
          <w:highlight w:val="none"/>
        </w:rPr>
      </w:pPr>
      <w:r>
        <w:rPr>
          <w:rFonts w:hint="eastAsia" w:ascii="宋体" w:hAnsi="宋体" w:eastAsia="宋体" w:cs="Arial"/>
          <w:bCs/>
          <w:color w:val="auto"/>
          <w:kern w:val="0"/>
          <w:sz w:val="24"/>
          <w:highlight w:val="none"/>
        </w:rPr>
        <w:t>本单位对上述声明的真实性负责。如有虚假，将依法承担相应责任。</w:t>
      </w:r>
    </w:p>
    <w:p w14:paraId="27B4321F">
      <w:pPr>
        <w:spacing w:line="588" w:lineRule="exact"/>
        <w:ind w:firstLine="624" w:firstLineChars="200"/>
        <w:rPr>
          <w:rFonts w:ascii="宋体" w:hAnsi="宋体"/>
          <w:color w:val="auto"/>
          <w:spacing w:val="6"/>
          <w:sz w:val="30"/>
          <w:szCs w:val="30"/>
          <w:highlight w:val="none"/>
        </w:rPr>
      </w:pPr>
    </w:p>
    <w:p w14:paraId="5D8D447F">
      <w:pPr>
        <w:tabs>
          <w:tab w:val="left" w:pos="4860"/>
        </w:tabs>
        <w:spacing w:line="588" w:lineRule="exact"/>
        <w:ind w:right="1560" w:firstLine="420" w:firstLineChars="200"/>
        <w:jc w:val="center"/>
        <w:rPr>
          <w:rFonts w:ascii="宋体" w:hAnsi="宋体"/>
          <w:color w:val="auto"/>
          <w:highlight w:val="none"/>
        </w:rPr>
      </w:pPr>
      <w:r>
        <w:rPr>
          <w:rFonts w:hint="eastAsia" w:ascii="宋体" w:hAnsi="宋体"/>
          <w:color w:val="auto"/>
          <w:highlight w:val="none"/>
        </w:rPr>
        <w:t xml:space="preserve">                                            单位名称（盖章）：</w:t>
      </w:r>
    </w:p>
    <w:p w14:paraId="0BA5EA62">
      <w:pPr>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日期：</w:t>
      </w:r>
    </w:p>
    <w:p w14:paraId="1F733FFC">
      <w:pPr>
        <w:rPr>
          <w:rFonts w:ascii="宋体" w:hAnsi="宋体"/>
          <w:color w:val="auto"/>
          <w:highlight w:val="none"/>
        </w:rPr>
      </w:pPr>
    </w:p>
    <w:p w14:paraId="7472A422">
      <w:pPr>
        <w:numPr>
          <w:ilvl w:val="0"/>
          <w:numId w:val="6"/>
        </w:numPr>
        <w:tabs>
          <w:tab w:val="left" w:pos="420"/>
          <w:tab w:val="clear" w:pos="1244"/>
        </w:tabs>
        <w:spacing w:before="100" w:beforeAutospacing="1" w:after="100" w:afterAutospacing="1" w:line="432" w:lineRule="auto"/>
        <w:ind w:hanging="1244"/>
        <w:rPr>
          <w:rFonts w:ascii="宋体" w:hAnsi="宋体"/>
          <w:b/>
          <w:color w:val="auto"/>
          <w:szCs w:val="21"/>
          <w:highlight w:val="none"/>
        </w:rPr>
      </w:pPr>
      <w:r>
        <w:rPr>
          <w:rFonts w:hint="eastAsia" w:ascii="宋体" w:hAnsi="宋体"/>
          <w:b/>
          <w:color w:val="auto"/>
          <w:szCs w:val="21"/>
          <w:highlight w:val="none"/>
        </w:rPr>
        <w:t>残疾人福利性单位视同小型、微型企业，享受价格扣除。</w:t>
      </w:r>
    </w:p>
    <w:p w14:paraId="6DB592F4">
      <w:pPr>
        <w:numPr>
          <w:ilvl w:val="0"/>
          <w:numId w:val="6"/>
        </w:numPr>
        <w:tabs>
          <w:tab w:val="left" w:pos="420"/>
          <w:tab w:val="clear" w:pos="1244"/>
        </w:tabs>
        <w:spacing w:before="100" w:beforeAutospacing="1" w:after="100" w:afterAutospacing="1" w:line="432" w:lineRule="auto"/>
        <w:ind w:hanging="1244"/>
        <w:rPr>
          <w:rFonts w:ascii="宋体" w:hAnsi="宋体"/>
          <w:b/>
          <w:color w:val="auto"/>
          <w:szCs w:val="21"/>
          <w:highlight w:val="none"/>
        </w:rPr>
      </w:pPr>
      <w:r>
        <w:rPr>
          <w:rFonts w:hint="eastAsia" w:ascii="宋体" w:hAnsi="宋体"/>
          <w:b/>
          <w:color w:val="auto"/>
          <w:szCs w:val="21"/>
          <w:highlight w:val="none"/>
        </w:rPr>
        <w:t>残疾人福利性单位属于小型、微型企业的，不重复享受政策。</w:t>
      </w:r>
    </w:p>
    <w:p w14:paraId="47119195">
      <w:pPr>
        <w:numPr>
          <w:ilvl w:val="0"/>
          <w:numId w:val="6"/>
        </w:numPr>
        <w:tabs>
          <w:tab w:val="left" w:pos="420"/>
          <w:tab w:val="clear" w:pos="1244"/>
        </w:tabs>
        <w:spacing w:before="100" w:beforeAutospacing="1" w:after="100" w:afterAutospacing="1" w:line="432" w:lineRule="auto"/>
        <w:ind w:hanging="1244"/>
        <w:rPr>
          <w:rFonts w:ascii="宋体" w:hAnsi="宋体" w:cs="宋体"/>
          <w:b/>
          <w:color w:val="auto"/>
          <w:szCs w:val="21"/>
          <w:highlight w:val="none"/>
        </w:rPr>
      </w:pPr>
      <w:r>
        <w:rPr>
          <w:rFonts w:hint="eastAsia" w:ascii="宋体" w:hAnsi="宋体"/>
          <w:b/>
          <w:color w:val="auto"/>
          <w:szCs w:val="21"/>
          <w:highlight w:val="none"/>
        </w:rPr>
        <w:t>如中标人声明为残疾人福利性单位，本声明函将随中标结果同时公告，接受社会监督。</w:t>
      </w:r>
    </w:p>
    <w:p w14:paraId="4FD27E15">
      <w:pPr>
        <w:numPr>
          <w:ilvl w:val="0"/>
          <w:numId w:val="6"/>
        </w:numPr>
        <w:tabs>
          <w:tab w:val="left" w:pos="420"/>
          <w:tab w:val="clear" w:pos="1244"/>
        </w:tabs>
        <w:spacing w:before="100" w:beforeAutospacing="1" w:after="100" w:afterAutospacing="1" w:line="432" w:lineRule="auto"/>
        <w:ind w:hanging="1244"/>
        <w:rPr>
          <w:rFonts w:hint="eastAsia" w:ascii="宋体" w:hAnsi="宋体" w:eastAsia="宋体"/>
          <w:b/>
          <w:color w:val="auto"/>
          <w:highlight w:val="none"/>
          <w:lang w:eastAsia="zh-CN"/>
        </w:rPr>
      </w:pPr>
      <w:r>
        <w:rPr>
          <w:rFonts w:hint="eastAsia" w:ascii="宋体" w:hAnsi="宋体" w:cs="宋体"/>
          <w:b/>
          <w:color w:val="auto"/>
          <w:szCs w:val="21"/>
          <w:highlight w:val="none"/>
        </w:rPr>
        <w:t>后附残疾人福利性单位残疾人聘用情况表</w:t>
      </w:r>
    </w:p>
    <w:p w14:paraId="28B90F7E">
      <w:pPr>
        <w:snapToGrid w:val="0"/>
        <w:spacing w:before="120" w:beforeLines="50" w:after="50"/>
        <w:jc w:val="left"/>
        <w:rPr>
          <w:rFonts w:ascii="宋体" w:hAnsi="宋体"/>
          <w:b/>
          <w:color w:val="auto"/>
          <w:sz w:val="30"/>
          <w:szCs w:val="30"/>
          <w:highlight w:val="none"/>
        </w:rPr>
      </w:pPr>
      <w:r>
        <w:rPr>
          <w:rFonts w:hint="eastAsia" w:ascii="宋体" w:hAnsi="宋体"/>
          <w:b/>
          <w:color w:val="auto"/>
          <w:sz w:val="30"/>
          <w:szCs w:val="30"/>
          <w:highlight w:val="none"/>
        </w:rPr>
        <w:t>残疾人福利性单位残疾人聘用情况表</w:t>
      </w:r>
    </w:p>
    <w:tbl>
      <w:tblPr>
        <w:tblStyle w:val="45"/>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899"/>
        <w:gridCol w:w="2730"/>
        <w:gridCol w:w="1905"/>
      </w:tblGrid>
      <w:tr w14:paraId="2FDE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Align w:val="top"/>
          </w:tcPr>
          <w:p w14:paraId="2A5AA4CB">
            <w:pPr>
              <w:snapToGrid w:val="0"/>
              <w:spacing w:before="120" w:beforeLines="50" w:after="50" w:line="360" w:lineRule="auto"/>
              <w:jc w:val="both"/>
              <w:rPr>
                <w:rFonts w:ascii="宋体" w:hAnsi="宋体"/>
                <w:b/>
                <w:i/>
                <w:color w:val="auto"/>
                <w:sz w:val="24"/>
                <w:highlight w:val="none"/>
                <w:u w:val="single"/>
              </w:rPr>
            </w:pPr>
            <w:r>
              <w:rPr>
                <w:rFonts w:hint="eastAsia" w:ascii="宋体" w:hAnsi="宋体"/>
                <w:b/>
                <w:i/>
                <w:color w:val="auto"/>
                <w:sz w:val="24"/>
                <w:highlight w:val="none"/>
                <w:u w:val="single"/>
              </w:rPr>
              <w:t>序号</w:t>
            </w:r>
          </w:p>
        </w:tc>
        <w:tc>
          <w:tcPr>
            <w:tcW w:w="2899" w:type="dxa"/>
            <w:vAlign w:val="top"/>
          </w:tcPr>
          <w:p w14:paraId="74DC38DD">
            <w:pPr>
              <w:snapToGrid w:val="0"/>
              <w:spacing w:before="120" w:beforeLines="50" w:after="50" w:line="360" w:lineRule="auto"/>
              <w:jc w:val="both"/>
              <w:rPr>
                <w:rFonts w:ascii="宋体" w:hAnsi="宋体"/>
                <w:b/>
                <w:i/>
                <w:color w:val="auto"/>
                <w:sz w:val="24"/>
                <w:highlight w:val="none"/>
                <w:u w:val="single"/>
              </w:rPr>
            </w:pPr>
            <w:r>
              <w:rPr>
                <w:rFonts w:hint="eastAsia" w:ascii="宋体" w:hAnsi="宋体"/>
                <w:b/>
                <w:i/>
                <w:color w:val="auto"/>
                <w:sz w:val="24"/>
                <w:highlight w:val="none"/>
                <w:u w:val="single"/>
              </w:rPr>
              <w:t>姓名</w:t>
            </w:r>
          </w:p>
        </w:tc>
        <w:tc>
          <w:tcPr>
            <w:tcW w:w="2730" w:type="dxa"/>
            <w:vAlign w:val="top"/>
          </w:tcPr>
          <w:p w14:paraId="603817CE">
            <w:pPr>
              <w:snapToGrid w:val="0"/>
              <w:spacing w:before="120" w:beforeLines="50" w:after="50" w:line="360" w:lineRule="auto"/>
              <w:jc w:val="both"/>
              <w:rPr>
                <w:rFonts w:ascii="宋体" w:hAnsi="宋体"/>
                <w:b/>
                <w:i/>
                <w:color w:val="auto"/>
                <w:sz w:val="24"/>
                <w:highlight w:val="none"/>
                <w:u w:val="single"/>
              </w:rPr>
            </w:pPr>
            <w:r>
              <w:rPr>
                <w:rFonts w:hint="eastAsia" w:ascii="宋体" w:hAnsi="宋体"/>
                <w:b/>
                <w:i/>
                <w:color w:val="auto"/>
                <w:sz w:val="24"/>
                <w:highlight w:val="none"/>
                <w:u w:val="single"/>
              </w:rPr>
              <w:t>残疾人证号</w:t>
            </w:r>
          </w:p>
        </w:tc>
        <w:tc>
          <w:tcPr>
            <w:tcW w:w="1905" w:type="dxa"/>
            <w:vAlign w:val="top"/>
          </w:tcPr>
          <w:p w14:paraId="146DC9E0">
            <w:pPr>
              <w:snapToGrid w:val="0"/>
              <w:spacing w:before="120" w:beforeLines="50" w:after="50" w:line="360" w:lineRule="auto"/>
              <w:jc w:val="both"/>
              <w:rPr>
                <w:rFonts w:ascii="宋体" w:hAnsi="宋体"/>
                <w:b/>
                <w:i/>
                <w:color w:val="auto"/>
                <w:sz w:val="24"/>
                <w:highlight w:val="none"/>
                <w:u w:val="single"/>
              </w:rPr>
            </w:pPr>
            <w:r>
              <w:rPr>
                <w:rFonts w:hint="eastAsia" w:ascii="宋体" w:hAnsi="宋体"/>
                <w:b/>
                <w:i/>
                <w:color w:val="auto"/>
                <w:sz w:val="24"/>
                <w:highlight w:val="none"/>
                <w:u w:val="single"/>
              </w:rPr>
              <w:t>聘用时间</w:t>
            </w:r>
          </w:p>
        </w:tc>
      </w:tr>
      <w:tr w14:paraId="6ECE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Align w:val="top"/>
          </w:tcPr>
          <w:p w14:paraId="74639330">
            <w:pPr>
              <w:snapToGrid w:val="0"/>
              <w:spacing w:before="120" w:beforeLines="50" w:after="50" w:line="360" w:lineRule="auto"/>
              <w:jc w:val="both"/>
              <w:rPr>
                <w:rFonts w:ascii="宋体" w:hAnsi="宋体"/>
                <w:b/>
                <w:i/>
                <w:color w:val="auto"/>
                <w:sz w:val="24"/>
                <w:highlight w:val="none"/>
                <w:u w:val="single"/>
              </w:rPr>
            </w:pPr>
          </w:p>
        </w:tc>
        <w:tc>
          <w:tcPr>
            <w:tcW w:w="2899" w:type="dxa"/>
            <w:vAlign w:val="top"/>
          </w:tcPr>
          <w:p w14:paraId="327BB127">
            <w:pPr>
              <w:snapToGrid w:val="0"/>
              <w:spacing w:before="120" w:beforeLines="50" w:after="50" w:line="360" w:lineRule="auto"/>
              <w:jc w:val="both"/>
              <w:rPr>
                <w:rFonts w:ascii="宋体" w:hAnsi="宋体"/>
                <w:b/>
                <w:i/>
                <w:color w:val="auto"/>
                <w:sz w:val="24"/>
                <w:highlight w:val="none"/>
                <w:u w:val="single"/>
              </w:rPr>
            </w:pPr>
          </w:p>
        </w:tc>
        <w:tc>
          <w:tcPr>
            <w:tcW w:w="2730" w:type="dxa"/>
            <w:vAlign w:val="top"/>
          </w:tcPr>
          <w:p w14:paraId="1013A007">
            <w:pPr>
              <w:snapToGrid w:val="0"/>
              <w:spacing w:before="120" w:beforeLines="50" w:after="50" w:line="360" w:lineRule="auto"/>
              <w:jc w:val="both"/>
              <w:rPr>
                <w:rFonts w:ascii="宋体" w:hAnsi="宋体"/>
                <w:b/>
                <w:i/>
                <w:color w:val="auto"/>
                <w:sz w:val="24"/>
                <w:highlight w:val="none"/>
                <w:u w:val="single"/>
              </w:rPr>
            </w:pPr>
          </w:p>
        </w:tc>
        <w:tc>
          <w:tcPr>
            <w:tcW w:w="1905" w:type="dxa"/>
            <w:vAlign w:val="top"/>
          </w:tcPr>
          <w:p w14:paraId="56165A84">
            <w:pPr>
              <w:snapToGrid w:val="0"/>
              <w:spacing w:before="120" w:beforeLines="50" w:after="50" w:line="360" w:lineRule="auto"/>
              <w:jc w:val="both"/>
              <w:rPr>
                <w:rFonts w:ascii="宋体" w:hAnsi="宋体"/>
                <w:b/>
                <w:i/>
                <w:color w:val="auto"/>
                <w:sz w:val="24"/>
                <w:highlight w:val="none"/>
                <w:u w:val="single"/>
              </w:rPr>
            </w:pPr>
          </w:p>
        </w:tc>
      </w:tr>
      <w:tr w14:paraId="2C0F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vAlign w:val="top"/>
          </w:tcPr>
          <w:p w14:paraId="226BA584">
            <w:pPr>
              <w:snapToGrid w:val="0"/>
              <w:spacing w:before="120" w:beforeLines="50" w:after="50" w:line="360" w:lineRule="auto"/>
              <w:jc w:val="both"/>
              <w:rPr>
                <w:rFonts w:ascii="宋体" w:hAnsi="宋体"/>
                <w:b/>
                <w:i/>
                <w:color w:val="auto"/>
                <w:sz w:val="24"/>
                <w:highlight w:val="none"/>
                <w:u w:val="single"/>
              </w:rPr>
            </w:pPr>
          </w:p>
        </w:tc>
        <w:tc>
          <w:tcPr>
            <w:tcW w:w="2899" w:type="dxa"/>
            <w:vAlign w:val="top"/>
          </w:tcPr>
          <w:p w14:paraId="38C85565">
            <w:pPr>
              <w:snapToGrid w:val="0"/>
              <w:spacing w:before="120" w:beforeLines="50" w:after="50" w:line="360" w:lineRule="auto"/>
              <w:jc w:val="both"/>
              <w:rPr>
                <w:rFonts w:ascii="宋体" w:hAnsi="宋体"/>
                <w:b/>
                <w:i/>
                <w:color w:val="auto"/>
                <w:sz w:val="24"/>
                <w:highlight w:val="none"/>
                <w:u w:val="single"/>
              </w:rPr>
            </w:pPr>
          </w:p>
        </w:tc>
        <w:tc>
          <w:tcPr>
            <w:tcW w:w="2730" w:type="dxa"/>
            <w:vAlign w:val="top"/>
          </w:tcPr>
          <w:p w14:paraId="2CBBCA0A">
            <w:pPr>
              <w:snapToGrid w:val="0"/>
              <w:spacing w:before="120" w:beforeLines="50" w:after="50" w:line="360" w:lineRule="auto"/>
              <w:jc w:val="both"/>
              <w:rPr>
                <w:rFonts w:ascii="宋体" w:hAnsi="宋体"/>
                <w:b/>
                <w:i/>
                <w:color w:val="auto"/>
                <w:sz w:val="24"/>
                <w:highlight w:val="none"/>
                <w:u w:val="single"/>
              </w:rPr>
            </w:pPr>
          </w:p>
        </w:tc>
        <w:tc>
          <w:tcPr>
            <w:tcW w:w="1905" w:type="dxa"/>
            <w:vAlign w:val="top"/>
          </w:tcPr>
          <w:p w14:paraId="7CC1B688">
            <w:pPr>
              <w:snapToGrid w:val="0"/>
              <w:spacing w:before="120" w:beforeLines="50" w:after="50" w:line="360" w:lineRule="auto"/>
              <w:jc w:val="both"/>
              <w:rPr>
                <w:rFonts w:ascii="宋体" w:hAnsi="宋体"/>
                <w:b/>
                <w:i/>
                <w:color w:val="auto"/>
                <w:sz w:val="24"/>
                <w:highlight w:val="none"/>
                <w:u w:val="single"/>
              </w:rPr>
            </w:pPr>
          </w:p>
        </w:tc>
      </w:tr>
    </w:tbl>
    <w:p w14:paraId="470D5C57">
      <w:pPr>
        <w:widowControl/>
        <w:jc w:val="left"/>
        <w:rPr>
          <w:rFonts w:hint="eastAsia" w:ascii="宋体" w:hAnsi="宋体" w:cs="宋体"/>
          <w:b/>
          <w:color w:val="auto"/>
          <w:sz w:val="24"/>
          <w:highlight w:val="none"/>
        </w:rPr>
      </w:pPr>
      <w:r>
        <w:rPr>
          <w:rFonts w:hint="eastAsia" w:ascii="宋体" w:hAnsi="宋体" w:cs="宋体"/>
          <w:b/>
          <w:color w:val="auto"/>
          <w:sz w:val="24"/>
          <w:highlight w:val="none"/>
        </w:rPr>
        <w:t>备注：本表后须附上所聘用残疾人员的残疾证、劳动合同、残疾人银行工资发放清单及足额缴纳的社会保险清单复印件，安置的残疾人比例不低于 25%（含 25%），且安置的残疾人人数不少于 10 人（含 10 人）；否则，视为非残疾人福利性单位不享受政策优惠。</w:t>
      </w:r>
    </w:p>
    <w:p w14:paraId="36A0EB20">
      <w:pPr>
        <w:snapToGrid w:val="0"/>
        <w:spacing w:before="50" w:after="50"/>
        <w:ind w:right="-816" w:rightChars="-389"/>
        <w:rPr>
          <w:rFonts w:hint="eastAsia" w:ascii="宋体" w:hAnsi="宋体" w:cs="宋体"/>
          <w:b/>
          <w:color w:val="auto"/>
          <w:sz w:val="24"/>
          <w:highlight w:val="none"/>
        </w:rPr>
      </w:pPr>
    </w:p>
    <w:p w14:paraId="5936CFE7">
      <w:pPr>
        <w:snapToGrid w:val="0"/>
        <w:spacing w:before="50" w:after="50"/>
        <w:ind w:right="-816" w:rightChars="-389"/>
        <w:rPr>
          <w:rFonts w:hint="eastAsia" w:ascii="宋体" w:hAnsi="宋体"/>
          <w:b/>
          <w:color w:val="auto"/>
          <w:sz w:val="24"/>
          <w:highlight w:val="none"/>
        </w:rPr>
      </w:pPr>
    </w:p>
    <w:p w14:paraId="4776E911">
      <w:pPr>
        <w:spacing w:line="300" w:lineRule="auto"/>
        <w:jc w:val="left"/>
        <w:rPr>
          <w:rFonts w:hint="eastAsia" w:ascii="宋体" w:hAnsi="宋体" w:cs="宋体"/>
          <w:b/>
          <w:bCs/>
          <w:color w:val="auto"/>
          <w:sz w:val="36"/>
          <w:szCs w:val="36"/>
          <w:highlight w:val="none"/>
        </w:rPr>
      </w:pPr>
      <w:r>
        <w:rPr>
          <w:rFonts w:hint="eastAsia" w:ascii="宋体" w:hAnsi="宋体"/>
          <w:b/>
          <w:color w:val="auto"/>
          <w:sz w:val="24"/>
          <w:highlight w:val="none"/>
        </w:rPr>
        <w:t>附件：监狱企业声明函</w:t>
      </w:r>
    </w:p>
    <w:p w14:paraId="02BEA8F3">
      <w:pPr>
        <w:spacing w:line="30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监狱企业声明函</w:t>
      </w:r>
    </w:p>
    <w:p w14:paraId="079BDD3A">
      <w:pPr>
        <w:adjustRightInd w:val="0"/>
        <w:snapToGrid w:val="0"/>
        <w:spacing w:line="300" w:lineRule="auto"/>
        <w:jc w:val="center"/>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非监狱企业不用提供</w:t>
      </w:r>
      <w:r>
        <w:rPr>
          <w:rFonts w:hint="eastAsia" w:ascii="宋体" w:hAnsi="宋体" w:cs="宋体"/>
          <w:b/>
          <w:color w:val="auto"/>
          <w:sz w:val="24"/>
          <w:highlight w:val="none"/>
        </w:rPr>
        <w:t>】</w:t>
      </w:r>
    </w:p>
    <w:p w14:paraId="045306A8">
      <w:pPr>
        <w:widowControl/>
        <w:adjustRightInd w:val="0"/>
        <w:snapToGrid w:val="0"/>
        <w:spacing w:line="300" w:lineRule="auto"/>
        <w:ind w:firstLine="480" w:firstLineChars="200"/>
        <w:rPr>
          <w:rFonts w:ascii="宋体" w:hAnsi="宋体" w:cs="宋体"/>
          <w:color w:val="auto"/>
          <w:sz w:val="24"/>
          <w:highlight w:val="none"/>
        </w:rPr>
      </w:pPr>
    </w:p>
    <w:p w14:paraId="43595D3A">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w:t>
      </w:r>
      <w:r>
        <w:rPr>
          <w:rFonts w:hint="eastAsia" w:ascii="宋体" w:hAnsi="宋体" w:cs="宋体"/>
          <w:color w:val="auto"/>
          <w:sz w:val="24"/>
          <w:highlight w:val="none"/>
          <w:u w:val="single"/>
        </w:rPr>
        <w:t>监狱企业</w:t>
      </w:r>
      <w:r>
        <w:rPr>
          <w:rFonts w:hint="eastAsia" w:ascii="宋体" w:hAnsi="宋体" w:cs="宋体"/>
          <w:color w:val="auto"/>
          <w:sz w:val="24"/>
          <w:highlight w:val="none"/>
        </w:rPr>
        <w:t>。</w:t>
      </w:r>
    </w:p>
    <w:p w14:paraId="7316F3E3">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根据上述标准，我企业属于</w:t>
      </w:r>
      <w:r>
        <w:rPr>
          <w:rFonts w:hint="eastAsia" w:ascii="宋体" w:hAnsi="宋体" w:cs="宋体"/>
          <w:color w:val="auto"/>
          <w:sz w:val="24"/>
          <w:highlight w:val="none"/>
          <w:u w:val="single"/>
        </w:rPr>
        <w:t>监狱企业</w:t>
      </w:r>
      <w:r>
        <w:rPr>
          <w:rFonts w:hint="eastAsia" w:ascii="宋体" w:hAnsi="宋体" w:cs="宋体"/>
          <w:color w:val="auto"/>
          <w:sz w:val="24"/>
          <w:highlight w:val="none"/>
        </w:rPr>
        <w:t>的理由为： 。</w:t>
      </w:r>
    </w:p>
    <w:p w14:paraId="6D220776">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本企业为参加（项目名称：）（项目编号：）采购活动提供本企业</w:t>
      </w:r>
      <w:r>
        <w:rPr>
          <w:rFonts w:hint="eastAsia" w:ascii="宋体" w:hAnsi="宋体" w:cs="宋体"/>
          <w:color w:val="auto"/>
          <w:sz w:val="24"/>
          <w:highlight w:val="none"/>
          <w:u w:val="single"/>
        </w:rPr>
        <w:t>的服务</w:t>
      </w:r>
      <w:r>
        <w:rPr>
          <w:rFonts w:hint="eastAsia" w:ascii="宋体" w:hAnsi="宋体" w:cs="宋体"/>
          <w:color w:val="auto"/>
          <w:sz w:val="24"/>
          <w:highlight w:val="none"/>
        </w:rPr>
        <w:t>。</w:t>
      </w:r>
    </w:p>
    <w:p w14:paraId="029B26F8">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u w:val="single"/>
        </w:rPr>
        <w:t>本企业对上述声明的真实性负责。如有虚假，将依法承担相应责任</w:t>
      </w:r>
      <w:r>
        <w:rPr>
          <w:rFonts w:hint="eastAsia" w:ascii="宋体" w:hAnsi="宋体" w:cs="宋体"/>
          <w:color w:val="auto"/>
          <w:sz w:val="24"/>
          <w:highlight w:val="none"/>
        </w:rPr>
        <w:t>。</w:t>
      </w:r>
    </w:p>
    <w:p w14:paraId="256F15B1">
      <w:pPr>
        <w:adjustRightInd w:val="0"/>
        <w:snapToGrid w:val="0"/>
        <w:spacing w:line="360" w:lineRule="auto"/>
        <w:ind w:firstLine="480" w:firstLineChars="200"/>
        <w:jc w:val="center"/>
        <w:rPr>
          <w:rFonts w:ascii="宋体" w:hAnsi="宋体" w:cs="宋体"/>
          <w:color w:val="auto"/>
          <w:sz w:val="24"/>
          <w:highlight w:val="none"/>
        </w:rPr>
      </w:pPr>
    </w:p>
    <w:p w14:paraId="4189B01B">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供应商名称（盖章）：</w:t>
      </w:r>
    </w:p>
    <w:p w14:paraId="41BBD72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w:t>
      </w:r>
    </w:p>
    <w:p w14:paraId="2F29170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14:paraId="1F8A9BFB">
      <w:pPr>
        <w:widowControl/>
        <w:snapToGrid w:val="0"/>
        <w:spacing w:line="360" w:lineRule="auto"/>
        <w:ind w:firstLine="480" w:firstLineChars="200"/>
        <w:rPr>
          <w:rFonts w:ascii="宋体" w:hAnsi="宋体" w:cs="宋体"/>
          <w:color w:val="auto"/>
          <w:sz w:val="24"/>
          <w:highlight w:val="none"/>
        </w:rPr>
      </w:pPr>
    </w:p>
    <w:p w14:paraId="20525D0C">
      <w:pPr>
        <w:widowControl/>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p>
    <w:p w14:paraId="3E14ECF0">
      <w:pPr>
        <w:widowControl/>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1D3ADA">
      <w:pPr>
        <w:snapToGrid w:val="0"/>
        <w:spacing w:before="50" w:after="50"/>
        <w:ind w:right="-816" w:rightChars="-389"/>
        <w:rPr>
          <w:rFonts w:hint="eastAsia" w:ascii="宋体" w:hAnsi="宋体" w:cs="宋体"/>
          <w:color w:val="auto"/>
          <w:sz w:val="24"/>
          <w:highlight w:val="none"/>
        </w:rPr>
      </w:pPr>
    </w:p>
    <w:p w14:paraId="2DB118EF">
      <w:pPr>
        <w:snapToGrid w:val="0"/>
        <w:spacing w:before="50" w:after="50"/>
        <w:ind w:right="-816" w:rightChars="-389"/>
        <w:rPr>
          <w:rFonts w:hint="eastAsia" w:ascii="宋体" w:hAnsi="宋体" w:cs="宋体"/>
          <w:color w:val="auto"/>
          <w:sz w:val="24"/>
          <w:highlight w:val="none"/>
        </w:rPr>
      </w:pPr>
    </w:p>
    <w:p w14:paraId="3224428D">
      <w:pPr>
        <w:snapToGrid w:val="0"/>
        <w:spacing w:before="50" w:after="50"/>
        <w:ind w:right="-816" w:rightChars="-389"/>
        <w:rPr>
          <w:rFonts w:hint="eastAsia" w:ascii="宋体" w:hAnsi="宋体" w:cs="宋体"/>
          <w:color w:val="auto"/>
          <w:sz w:val="24"/>
          <w:highlight w:val="none"/>
        </w:rPr>
      </w:pPr>
    </w:p>
    <w:p w14:paraId="2A56E6BE">
      <w:pPr>
        <w:snapToGrid w:val="0"/>
        <w:spacing w:before="50" w:after="50"/>
        <w:ind w:right="-816" w:rightChars="-389"/>
        <w:rPr>
          <w:rFonts w:hint="eastAsia" w:ascii="宋体" w:hAnsi="宋体" w:cs="宋体"/>
          <w:color w:val="auto"/>
          <w:sz w:val="24"/>
          <w:highlight w:val="none"/>
        </w:rPr>
      </w:pPr>
    </w:p>
    <w:p w14:paraId="56405150">
      <w:pPr>
        <w:snapToGrid w:val="0"/>
        <w:spacing w:before="50" w:after="50"/>
        <w:ind w:right="-816" w:rightChars="-389"/>
        <w:rPr>
          <w:rFonts w:hint="eastAsia" w:ascii="宋体" w:hAnsi="宋体" w:cs="宋体"/>
          <w:color w:val="auto"/>
          <w:sz w:val="24"/>
          <w:highlight w:val="none"/>
        </w:rPr>
      </w:pPr>
    </w:p>
    <w:p w14:paraId="0139354C">
      <w:pPr>
        <w:snapToGrid w:val="0"/>
        <w:spacing w:before="50" w:after="50"/>
        <w:ind w:right="-816" w:rightChars="-389"/>
        <w:rPr>
          <w:rFonts w:hint="eastAsia" w:ascii="宋体" w:hAnsi="宋体" w:cs="宋体"/>
          <w:color w:val="auto"/>
          <w:sz w:val="24"/>
          <w:highlight w:val="none"/>
        </w:rPr>
      </w:pPr>
    </w:p>
    <w:p w14:paraId="356354A9">
      <w:pPr>
        <w:snapToGrid w:val="0"/>
        <w:spacing w:before="50" w:after="50"/>
        <w:ind w:right="-816" w:rightChars="-389"/>
        <w:rPr>
          <w:rFonts w:hint="eastAsia" w:ascii="宋体" w:hAnsi="宋体" w:cs="宋体"/>
          <w:color w:val="auto"/>
          <w:sz w:val="24"/>
          <w:highlight w:val="none"/>
        </w:rPr>
      </w:pPr>
    </w:p>
    <w:p w14:paraId="74FE3173">
      <w:pPr>
        <w:snapToGrid w:val="0"/>
        <w:spacing w:before="50" w:after="50"/>
        <w:ind w:right="-816" w:rightChars="-389"/>
        <w:rPr>
          <w:rFonts w:hint="eastAsia" w:ascii="宋体" w:hAnsi="宋体" w:cs="宋体"/>
          <w:color w:val="auto"/>
          <w:sz w:val="24"/>
          <w:highlight w:val="none"/>
        </w:rPr>
      </w:pPr>
    </w:p>
    <w:p w14:paraId="170A5215">
      <w:pPr>
        <w:snapToGrid w:val="0"/>
        <w:spacing w:before="50" w:after="50"/>
        <w:ind w:right="-816" w:rightChars="-389"/>
        <w:rPr>
          <w:rFonts w:hint="eastAsia" w:ascii="宋体" w:hAnsi="宋体" w:cs="宋体"/>
          <w:color w:val="auto"/>
          <w:sz w:val="24"/>
          <w:highlight w:val="none"/>
        </w:rPr>
      </w:pPr>
    </w:p>
    <w:p w14:paraId="0D220EB2">
      <w:pPr>
        <w:snapToGrid w:val="0"/>
        <w:spacing w:before="50" w:after="50"/>
        <w:ind w:right="-816" w:rightChars="-389"/>
        <w:rPr>
          <w:rFonts w:hint="eastAsia" w:ascii="宋体" w:hAnsi="宋体" w:cs="宋体"/>
          <w:color w:val="auto"/>
          <w:sz w:val="24"/>
          <w:highlight w:val="none"/>
        </w:rPr>
      </w:pPr>
    </w:p>
    <w:p w14:paraId="4DEB5B2A">
      <w:pPr>
        <w:snapToGrid w:val="0"/>
        <w:spacing w:before="50" w:after="50"/>
        <w:ind w:right="-816" w:rightChars="-389"/>
        <w:rPr>
          <w:rFonts w:hint="eastAsia" w:ascii="宋体" w:hAnsi="宋体" w:cs="宋体"/>
          <w:color w:val="auto"/>
          <w:sz w:val="24"/>
          <w:highlight w:val="none"/>
        </w:rPr>
      </w:pPr>
    </w:p>
    <w:p w14:paraId="029F7835">
      <w:pPr>
        <w:snapToGrid w:val="0"/>
        <w:spacing w:before="50" w:after="50"/>
        <w:ind w:right="-816" w:rightChars="-389"/>
        <w:rPr>
          <w:rFonts w:hint="eastAsia" w:ascii="宋体" w:hAnsi="宋体" w:cs="宋体"/>
          <w:color w:val="auto"/>
          <w:sz w:val="24"/>
          <w:highlight w:val="none"/>
        </w:rPr>
      </w:pPr>
    </w:p>
    <w:p w14:paraId="08975529">
      <w:pPr>
        <w:spacing w:after="120"/>
        <w:jc w:val="center"/>
        <w:rPr>
          <w:rFonts w:ascii="宋体" w:hAnsi="宋体" w:cs="宋体"/>
          <w:b/>
          <w:color w:val="auto"/>
          <w:sz w:val="36"/>
          <w:szCs w:val="36"/>
          <w:highlight w:val="none"/>
        </w:rPr>
      </w:pPr>
      <w:r>
        <w:rPr>
          <w:rFonts w:hint="eastAsia" w:ascii="宋体" w:hAnsi="宋体" w:cs="宋体"/>
          <w:b/>
          <w:color w:val="auto"/>
          <w:sz w:val="36"/>
          <w:szCs w:val="36"/>
          <w:highlight w:val="none"/>
        </w:rPr>
        <w:t>东阳市采购项目验收方案</w:t>
      </w:r>
    </w:p>
    <w:p w14:paraId="7BE4BE7A">
      <w:pPr>
        <w:spacing w:before="120" w:beforeLines="50" w:after="120" w:afterLines="50"/>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根据《政府采购法》及东阳市政府采购办东财预〔2009〕98号《关于加强政府采购管理工作的补充规定》等有关文件规定，为做好采购项目的验收管理工作，特制定本项目验收方案，具体如下。</w:t>
      </w:r>
    </w:p>
    <w:p w14:paraId="41C927F8">
      <w:pPr>
        <w:spacing w:after="120"/>
        <w:ind w:firstLine="470"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6379658A">
      <w:pPr>
        <w:spacing w:after="120"/>
        <w:ind w:firstLine="470" w:firstLineChars="196"/>
        <w:rPr>
          <w:rFonts w:ascii="宋体" w:hAnsi="宋体" w:cs="宋体"/>
          <w:b/>
          <w:color w:val="auto"/>
          <w:sz w:val="24"/>
          <w:highlight w:val="none"/>
        </w:rPr>
      </w:pPr>
      <w:r>
        <w:rPr>
          <w:rFonts w:hint="eastAsia" w:ascii="宋体" w:hAnsi="宋体" w:cs="宋体"/>
          <w:b/>
          <w:color w:val="auto"/>
          <w:sz w:val="24"/>
          <w:highlight w:val="none"/>
        </w:rPr>
        <w:t>1、招标编号：</w:t>
      </w:r>
    </w:p>
    <w:p w14:paraId="0A7C3578">
      <w:pPr>
        <w:spacing w:after="120"/>
        <w:ind w:firstLine="470"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3938C7F5">
      <w:pPr>
        <w:spacing w:after="120"/>
        <w:rPr>
          <w:rFonts w:ascii="宋体" w:hAnsi="宋体" w:cs="宋体"/>
          <w:b/>
          <w:color w:val="auto"/>
          <w:sz w:val="24"/>
          <w:highlight w:val="none"/>
        </w:rPr>
      </w:pPr>
    </w:p>
    <w:p w14:paraId="5950C4D3">
      <w:pPr>
        <w:spacing w:after="120"/>
        <w:ind w:firstLine="480"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7A770538">
      <w:pPr>
        <w:spacing w:after="120"/>
        <w:ind w:firstLine="470" w:firstLineChars="196"/>
        <w:rPr>
          <w:rFonts w:ascii="宋体" w:hAnsi="宋体" w:cs="宋体"/>
          <w:b/>
          <w:color w:val="auto"/>
          <w:sz w:val="24"/>
          <w:highlight w:val="none"/>
        </w:rPr>
      </w:pPr>
      <w:r>
        <w:rPr>
          <w:rFonts w:hint="eastAsia" w:ascii="宋体" w:hAnsi="宋体" w:cs="宋体"/>
          <w:b/>
          <w:color w:val="auto"/>
          <w:sz w:val="24"/>
          <w:highlight w:val="none"/>
        </w:rPr>
        <w:t>1、本次验收由组织。</w:t>
      </w:r>
    </w:p>
    <w:p w14:paraId="66506008">
      <w:pPr>
        <w:spacing w:after="120"/>
        <w:ind w:firstLine="470"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p>
    <w:p w14:paraId="72C0B391">
      <w:pPr>
        <w:spacing w:after="120"/>
        <w:ind w:firstLine="470"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p>
    <w:p w14:paraId="3F0A91AC">
      <w:pPr>
        <w:spacing w:after="120"/>
        <w:ind w:firstLine="470"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53DE087C">
      <w:pPr>
        <w:spacing w:after="120"/>
        <w:rPr>
          <w:rFonts w:ascii="宋体" w:hAnsi="宋体" w:cs="宋体"/>
          <w:b/>
          <w:color w:val="auto"/>
          <w:sz w:val="24"/>
          <w:highlight w:val="none"/>
        </w:rPr>
      </w:pPr>
    </w:p>
    <w:p w14:paraId="41A1A88C">
      <w:pPr>
        <w:spacing w:after="120"/>
        <w:ind w:firstLine="480"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73619935">
      <w:pPr>
        <w:spacing w:after="120"/>
        <w:rPr>
          <w:rFonts w:ascii="宋体" w:hAnsi="宋体" w:cs="宋体"/>
          <w:b/>
          <w:color w:val="auto"/>
          <w:sz w:val="24"/>
          <w:highlight w:val="none"/>
        </w:rPr>
      </w:pPr>
    </w:p>
    <w:p w14:paraId="2F68FC1E">
      <w:pPr>
        <w:spacing w:after="120"/>
        <w:ind w:firstLine="470"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2F511824">
      <w:pPr>
        <w:spacing w:after="120"/>
        <w:rPr>
          <w:rFonts w:ascii="宋体" w:hAnsi="宋体" w:cs="宋体"/>
          <w:b/>
          <w:color w:val="auto"/>
          <w:sz w:val="24"/>
          <w:highlight w:val="none"/>
        </w:rPr>
      </w:pPr>
    </w:p>
    <w:p w14:paraId="70D59141">
      <w:pPr>
        <w:spacing w:after="120"/>
        <w:ind w:firstLine="470"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7B48B3E4">
      <w:pPr>
        <w:spacing w:after="120"/>
        <w:ind w:left="478" w:leftChars="228" w:firstLine="468" w:firstLineChars="195"/>
        <w:rPr>
          <w:rFonts w:ascii="宋体" w:hAnsi="宋体" w:cs="宋体"/>
          <w:b/>
          <w:color w:val="auto"/>
          <w:sz w:val="24"/>
          <w:highlight w:val="none"/>
        </w:rPr>
      </w:pPr>
    </w:p>
    <w:p w14:paraId="3AA660F9">
      <w:pPr>
        <w:spacing w:after="120"/>
        <w:ind w:right="-6"/>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val="0"/>
          <w:bCs/>
          <w:color w:val="auto"/>
          <w:sz w:val="24"/>
          <w:highlight w:val="none"/>
        </w:rPr>
        <w:t>采购单位（盖章）：</w:t>
      </w:r>
    </w:p>
    <w:p w14:paraId="23C24CDF">
      <w:pPr>
        <w:wordWrap w:val="0"/>
        <w:spacing w:after="120"/>
        <w:ind w:right="960" w:firstLine="548" w:firstLineChars="196"/>
        <w:jc w:val="right"/>
        <w:rPr>
          <w:rFonts w:ascii="宋体" w:hAnsi="宋体" w:cs="宋体"/>
          <w:color w:val="auto"/>
          <w:sz w:val="28"/>
          <w:highlight w:val="none"/>
        </w:rPr>
      </w:pPr>
      <w:r>
        <w:rPr>
          <w:rFonts w:hint="eastAsia" w:ascii="宋体" w:hAnsi="宋体" w:cs="宋体"/>
          <w:color w:val="auto"/>
          <w:sz w:val="28"/>
          <w:highlight w:val="none"/>
        </w:rPr>
        <w:t>年  月  日</w:t>
      </w:r>
    </w:p>
    <w:p w14:paraId="50C84688">
      <w:pPr>
        <w:rPr>
          <w:rFonts w:ascii="宋体" w:hAnsi="宋体" w:cs="宋体"/>
          <w:b/>
          <w:color w:val="auto"/>
          <w:sz w:val="44"/>
          <w:highlight w:val="none"/>
        </w:rPr>
      </w:pPr>
    </w:p>
    <w:p w14:paraId="11127E07">
      <w:pPr>
        <w:rPr>
          <w:rFonts w:ascii="宋体" w:hAnsi="宋体" w:cs="宋体"/>
          <w:color w:val="auto"/>
          <w:sz w:val="44"/>
          <w:szCs w:val="44"/>
          <w:highlight w:val="none"/>
        </w:rPr>
      </w:pPr>
    </w:p>
    <w:p w14:paraId="2648DDFC">
      <w:pPr>
        <w:spacing w:after="120"/>
        <w:rPr>
          <w:rFonts w:hint="eastAsia" w:ascii="宋体" w:hAnsi="宋体" w:eastAsia="宋体" w:cs="宋体"/>
          <w:b/>
          <w:color w:val="auto"/>
          <w:sz w:val="24"/>
          <w:highlight w:val="none"/>
          <w:lang w:eastAsia="zh-CN"/>
        </w:rPr>
      </w:pPr>
    </w:p>
    <w:p w14:paraId="49E7D406">
      <w:pPr>
        <w:spacing w:after="120"/>
        <w:rPr>
          <w:rFonts w:hint="eastAsia" w:ascii="宋体" w:hAnsi="宋体" w:eastAsia="宋体" w:cs="宋体"/>
          <w:b/>
          <w:color w:val="auto"/>
          <w:sz w:val="24"/>
          <w:highlight w:val="none"/>
          <w:lang w:eastAsia="zh-CN"/>
        </w:rPr>
      </w:pPr>
    </w:p>
    <w:p w14:paraId="54B7E18B">
      <w:pPr>
        <w:spacing w:after="120"/>
        <w:rPr>
          <w:rFonts w:hint="eastAsia" w:ascii="宋体" w:hAnsi="宋体" w:eastAsia="宋体" w:cs="宋体"/>
          <w:b/>
          <w:color w:val="auto"/>
          <w:sz w:val="24"/>
          <w:highlight w:val="none"/>
          <w:lang w:eastAsia="zh-CN"/>
        </w:rPr>
      </w:pPr>
    </w:p>
    <w:p w14:paraId="26C6B9D4">
      <w:pPr>
        <w:spacing w:after="120"/>
        <w:rPr>
          <w:rFonts w:hint="eastAsia" w:ascii="宋体" w:hAnsi="宋体" w:eastAsia="宋体" w:cs="宋体"/>
          <w:b/>
          <w:color w:val="auto"/>
          <w:sz w:val="24"/>
          <w:highlight w:val="none"/>
          <w:lang w:eastAsia="zh-CN"/>
        </w:rPr>
      </w:pPr>
    </w:p>
    <w:p w14:paraId="106B3B92">
      <w:pPr>
        <w:spacing w:after="120"/>
        <w:rPr>
          <w:rFonts w:hint="eastAsia" w:ascii="宋体" w:hAnsi="宋体" w:eastAsia="宋体" w:cs="宋体"/>
          <w:b/>
          <w:color w:val="auto"/>
          <w:sz w:val="24"/>
          <w:highlight w:val="none"/>
          <w:lang w:eastAsia="zh-CN"/>
        </w:rPr>
      </w:pPr>
    </w:p>
    <w:p w14:paraId="29299169">
      <w:pPr>
        <w:spacing w:after="120"/>
        <w:rPr>
          <w:rFonts w:hint="eastAsia" w:ascii="宋体" w:hAnsi="宋体" w:eastAsia="宋体" w:cs="宋体"/>
          <w:b/>
          <w:color w:val="auto"/>
          <w:sz w:val="24"/>
          <w:highlight w:val="none"/>
          <w:lang w:eastAsia="zh-CN"/>
        </w:rPr>
      </w:pPr>
    </w:p>
    <w:p w14:paraId="52F527A6">
      <w:pPr>
        <w:spacing w:after="120"/>
        <w:rPr>
          <w:rFonts w:hint="eastAsia" w:ascii="宋体" w:hAnsi="宋体" w:eastAsia="宋体" w:cs="宋体"/>
          <w:color w:val="auto"/>
          <w:sz w:val="44"/>
          <w:szCs w:val="44"/>
          <w:highlight w:val="none"/>
          <w:lang w:eastAsia="zh-CN"/>
        </w:rPr>
      </w:pPr>
      <w:r>
        <w:rPr>
          <w:rFonts w:hint="eastAsia" w:ascii="宋体" w:hAnsi="宋体" w:eastAsia="宋体" w:cs="宋体"/>
          <w:b/>
          <w:color w:val="auto"/>
          <w:sz w:val="24"/>
          <w:highlight w:val="none"/>
          <w:lang w:eastAsia="zh-CN"/>
        </w:rPr>
        <w:t>附件：</w:t>
      </w:r>
      <w:r>
        <w:rPr>
          <w:rFonts w:hint="eastAsia" w:ascii="宋体" w:hAnsi="宋体" w:eastAsia="宋体" w:cs="宋体"/>
          <w:b/>
          <w:color w:val="auto"/>
          <w:sz w:val="24"/>
          <w:highlight w:val="none"/>
        </w:rPr>
        <w:t>东阳市政府采购代理机构社会评价表</w:t>
      </w:r>
    </w:p>
    <w:p w14:paraId="0BDF696E">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7EA7F088">
      <w:pPr>
        <w:rPr>
          <w:rFonts w:ascii="宋体" w:hAnsi="宋体" w:cs="宋体"/>
          <w:color w:val="auto"/>
          <w:sz w:val="28"/>
          <w:szCs w:val="28"/>
          <w:highlight w:val="non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lang w:eastAsia="zh-CN"/>
        </w:rPr>
        <w:t>泰宇建筑工程技术咨询有限公司</w:t>
      </w:r>
      <w:r>
        <w:rPr>
          <w:rFonts w:hint="eastAsia" w:ascii="宋体" w:hAnsi="宋体" w:cs="宋体"/>
          <w:color w:val="auto"/>
          <w:sz w:val="28"/>
          <w:szCs w:val="28"/>
          <w:highlight w:val="none"/>
        </w:rPr>
        <w:t xml:space="preserve"> </w:t>
      </w:r>
    </w:p>
    <w:tbl>
      <w:tblPr>
        <w:tblStyle w:val="4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44"/>
        <w:gridCol w:w="1056"/>
        <w:gridCol w:w="787"/>
        <w:gridCol w:w="2885"/>
      </w:tblGrid>
      <w:tr w14:paraId="606E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169F4641">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236E7341">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0A9E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14:paraId="58FC8D89">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3210" w:type="dxa"/>
            <w:gridSpan w:val="3"/>
            <w:tcBorders>
              <w:top w:val="single" w:color="auto" w:sz="4" w:space="0"/>
              <w:left w:val="nil"/>
              <w:bottom w:val="single" w:color="auto" w:sz="4" w:space="0"/>
              <w:right w:val="single" w:color="auto" w:sz="4" w:space="0"/>
            </w:tcBorders>
            <w:vAlign w:val="center"/>
          </w:tcPr>
          <w:p w14:paraId="677BDBA4">
            <w:pPr>
              <w:jc w:val="center"/>
              <w:rPr>
                <w:rFonts w:ascii="宋体" w:hAnsi="宋体" w:cs="宋体"/>
                <w:color w:val="auto"/>
                <w:sz w:val="24"/>
                <w:highlight w:val="none"/>
              </w:rPr>
            </w:pPr>
          </w:p>
        </w:tc>
        <w:tc>
          <w:tcPr>
            <w:tcW w:w="1056" w:type="dxa"/>
            <w:tcBorders>
              <w:top w:val="single" w:color="auto" w:sz="4" w:space="0"/>
              <w:left w:val="nil"/>
              <w:bottom w:val="single" w:color="auto" w:sz="4" w:space="0"/>
              <w:right w:val="single" w:color="auto" w:sz="4" w:space="0"/>
            </w:tcBorders>
            <w:vAlign w:val="center"/>
          </w:tcPr>
          <w:p w14:paraId="544C9AD6">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672" w:type="dxa"/>
            <w:gridSpan w:val="2"/>
            <w:tcBorders>
              <w:top w:val="single" w:color="auto" w:sz="4" w:space="0"/>
              <w:left w:val="nil"/>
              <w:bottom w:val="single" w:color="auto" w:sz="4" w:space="0"/>
              <w:right w:val="single" w:color="auto" w:sz="4" w:space="0"/>
            </w:tcBorders>
            <w:vAlign w:val="center"/>
          </w:tcPr>
          <w:p w14:paraId="3AE1DF9C">
            <w:pPr>
              <w:jc w:val="center"/>
              <w:rPr>
                <w:rFonts w:ascii="宋体" w:hAnsi="宋体" w:cs="宋体"/>
                <w:color w:val="auto"/>
                <w:sz w:val="24"/>
                <w:highlight w:val="none"/>
              </w:rPr>
            </w:pPr>
          </w:p>
        </w:tc>
      </w:tr>
      <w:tr w14:paraId="41E9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514C5709">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40141E63">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206D3EB8">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14FF9F75">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061A64BC">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nil"/>
              <w:bottom w:val="single" w:color="auto" w:sz="4" w:space="0"/>
              <w:right w:val="single" w:color="auto" w:sz="4" w:space="0"/>
            </w:tcBorders>
            <w:vAlign w:val="center"/>
          </w:tcPr>
          <w:p w14:paraId="20E7DE81">
            <w:pPr>
              <w:jc w:val="center"/>
              <w:rPr>
                <w:rFonts w:ascii="宋体" w:hAnsi="宋体" w:cs="宋体"/>
                <w:color w:val="auto"/>
                <w:sz w:val="24"/>
                <w:highlight w:val="none"/>
              </w:rPr>
            </w:pPr>
          </w:p>
        </w:tc>
      </w:tr>
      <w:tr w14:paraId="1DC2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2558641C">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10" w:type="dxa"/>
            <w:gridSpan w:val="3"/>
            <w:tcBorders>
              <w:top w:val="single" w:color="auto" w:sz="4" w:space="0"/>
              <w:left w:val="nil"/>
              <w:bottom w:val="single" w:color="auto" w:sz="4" w:space="0"/>
              <w:right w:val="single" w:color="auto" w:sz="4" w:space="0"/>
            </w:tcBorders>
            <w:vAlign w:val="center"/>
          </w:tcPr>
          <w:p w14:paraId="1ECE2B63">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28" w:type="dxa"/>
            <w:gridSpan w:val="3"/>
            <w:tcBorders>
              <w:top w:val="single" w:color="auto" w:sz="4" w:space="0"/>
              <w:left w:val="nil"/>
              <w:bottom w:val="single" w:color="auto" w:sz="4" w:space="0"/>
              <w:right w:val="single" w:color="auto" w:sz="4" w:space="0"/>
            </w:tcBorders>
            <w:vAlign w:val="center"/>
          </w:tcPr>
          <w:p w14:paraId="38CFA864">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07AE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B76B8AE">
            <w:pPr>
              <w:widowControl/>
              <w:jc w:val="left"/>
              <w:rPr>
                <w:rFonts w:ascii="宋体" w:hAnsi="宋体" w:cs="宋体"/>
                <w:color w:val="auto"/>
                <w:sz w:val="24"/>
                <w:highlight w:val="none"/>
              </w:rPr>
            </w:pPr>
          </w:p>
        </w:tc>
        <w:tc>
          <w:tcPr>
            <w:tcW w:w="3210" w:type="dxa"/>
            <w:gridSpan w:val="3"/>
            <w:tcBorders>
              <w:top w:val="single" w:color="auto" w:sz="4" w:space="0"/>
              <w:left w:val="nil"/>
              <w:bottom w:val="single" w:color="auto" w:sz="4" w:space="0"/>
              <w:right w:val="single" w:color="auto" w:sz="4" w:space="0"/>
            </w:tcBorders>
            <w:vAlign w:val="center"/>
          </w:tcPr>
          <w:p w14:paraId="3C259DBC">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28" w:type="dxa"/>
            <w:gridSpan w:val="3"/>
            <w:tcBorders>
              <w:top w:val="single" w:color="auto" w:sz="4" w:space="0"/>
              <w:left w:val="nil"/>
              <w:bottom w:val="single" w:color="auto" w:sz="4" w:space="0"/>
              <w:right w:val="single" w:color="auto" w:sz="4" w:space="0"/>
            </w:tcBorders>
            <w:vAlign w:val="center"/>
          </w:tcPr>
          <w:p w14:paraId="23682C96">
            <w:pPr>
              <w:spacing w:line="500" w:lineRule="exact"/>
              <w:jc w:val="center"/>
              <w:rPr>
                <w:rFonts w:ascii="宋体" w:hAnsi="宋体" w:cs="宋体"/>
                <w:color w:val="auto"/>
                <w:sz w:val="24"/>
                <w:highlight w:val="none"/>
              </w:rPr>
            </w:pPr>
          </w:p>
        </w:tc>
      </w:tr>
      <w:tr w14:paraId="5BB4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0BCD9BB">
            <w:pPr>
              <w:widowControl/>
              <w:jc w:val="left"/>
              <w:rPr>
                <w:rFonts w:ascii="宋体" w:hAnsi="宋体" w:cs="宋体"/>
                <w:color w:val="auto"/>
                <w:sz w:val="24"/>
                <w:highlight w:val="none"/>
              </w:rPr>
            </w:pPr>
          </w:p>
        </w:tc>
        <w:tc>
          <w:tcPr>
            <w:tcW w:w="3210" w:type="dxa"/>
            <w:gridSpan w:val="3"/>
            <w:tcBorders>
              <w:top w:val="single" w:color="auto" w:sz="4" w:space="0"/>
              <w:left w:val="nil"/>
              <w:bottom w:val="single" w:color="auto" w:sz="4" w:space="0"/>
              <w:right w:val="single" w:color="auto" w:sz="4" w:space="0"/>
            </w:tcBorders>
            <w:vAlign w:val="center"/>
          </w:tcPr>
          <w:p w14:paraId="52986C66">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28" w:type="dxa"/>
            <w:gridSpan w:val="3"/>
            <w:tcBorders>
              <w:top w:val="single" w:color="auto" w:sz="4" w:space="0"/>
              <w:left w:val="nil"/>
              <w:bottom w:val="single" w:color="auto" w:sz="4" w:space="0"/>
              <w:right w:val="single" w:color="auto" w:sz="4" w:space="0"/>
            </w:tcBorders>
            <w:vAlign w:val="center"/>
          </w:tcPr>
          <w:p w14:paraId="29180F5B">
            <w:pPr>
              <w:spacing w:line="500" w:lineRule="exact"/>
              <w:jc w:val="center"/>
              <w:rPr>
                <w:rFonts w:ascii="宋体" w:hAnsi="宋体" w:cs="宋体"/>
                <w:color w:val="auto"/>
                <w:sz w:val="24"/>
                <w:highlight w:val="none"/>
              </w:rPr>
            </w:pPr>
          </w:p>
        </w:tc>
      </w:tr>
      <w:tr w14:paraId="4BFC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EFEC154">
            <w:pPr>
              <w:widowControl/>
              <w:jc w:val="left"/>
              <w:rPr>
                <w:rFonts w:ascii="宋体" w:hAnsi="宋体" w:cs="宋体"/>
                <w:color w:val="auto"/>
                <w:sz w:val="24"/>
                <w:highlight w:val="none"/>
              </w:rPr>
            </w:pPr>
          </w:p>
        </w:tc>
        <w:tc>
          <w:tcPr>
            <w:tcW w:w="3210" w:type="dxa"/>
            <w:gridSpan w:val="3"/>
            <w:tcBorders>
              <w:top w:val="single" w:color="auto" w:sz="4" w:space="0"/>
              <w:left w:val="nil"/>
              <w:bottom w:val="single" w:color="auto" w:sz="4" w:space="0"/>
              <w:right w:val="single" w:color="auto" w:sz="4" w:space="0"/>
            </w:tcBorders>
            <w:vAlign w:val="center"/>
          </w:tcPr>
          <w:p w14:paraId="5A0DBFE3">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28" w:type="dxa"/>
            <w:gridSpan w:val="3"/>
            <w:tcBorders>
              <w:top w:val="single" w:color="auto" w:sz="4" w:space="0"/>
              <w:left w:val="nil"/>
              <w:bottom w:val="single" w:color="auto" w:sz="4" w:space="0"/>
              <w:right w:val="single" w:color="auto" w:sz="4" w:space="0"/>
            </w:tcBorders>
            <w:vAlign w:val="center"/>
          </w:tcPr>
          <w:p w14:paraId="4FC2AD02">
            <w:pPr>
              <w:spacing w:line="500" w:lineRule="exact"/>
              <w:jc w:val="center"/>
              <w:rPr>
                <w:rFonts w:ascii="宋体" w:hAnsi="宋体" w:cs="宋体"/>
                <w:color w:val="auto"/>
                <w:sz w:val="24"/>
                <w:highlight w:val="none"/>
              </w:rPr>
            </w:pPr>
          </w:p>
        </w:tc>
      </w:tr>
      <w:tr w14:paraId="202E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F343727">
            <w:pPr>
              <w:widowControl/>
              <w:jc w:val="left"/>
              <w:rPr>
                <w:rFonts w:ascii="宋体" w:hAnsi="宋体" w:cs="宋体"/>
                <w:color w:val="auto"/>
                <w:sz w:val="24"/>
                <w:highlight w:val="none"/>
              </w:rPr>
            </w:pPr>
          </w:p>
        </w:tc>
        <w:tc>
          <w:tcPr>
            <w:tcW w:w="3210" w:type="dxa"/>
            <w:gridSpan w:val="3"/>
            <w:tcBorders>
              <w:top w:val="single" w:color="auto" w:sz="4" w:space="0"/>
              <w:left w:val="nil"/>
              <w:bottom w:val="single" w:color="auto" w:sz="4" w:space="0"/>
              <w:right w:val="single" w:color="auto" w:sz="4" w:space="0"/>
            </w:tcBorders>
            <w:vAlign w:val="center"/>
          </w:tcPr>
          <w:p w14:paraId="1D745E7B">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28" w:type="dxa"/>
            <w:gridSpan w:val="3"/>
            <w:tcBorders>
              <w:top w:val="single" w:color="auto" w:sz="4" w:space="0"/>
              <w:left w:val="nil"/>
              <w:bottom w:val="single" w:color="auto" w:sz="4" w:space="0"/>
              <w:right w:val="single" w:color="auto" w:sz="4" w:space="0"/>
            </w:tcBorders>
            <w:vAlign w:val="center"/>
          </w:tcPr>
          <w:p w14:paraId="45105E82">
            <w:pPr>
              <w:spacing w:line="500" w:lineRule="exact"/>
              <w:jc w:val="center"/>
              <w:rPr>
                <w:rFonts w:ascii="宋体" w:hAnsi="宋体" w:cs="宋体"/>
                <w:color w:val="auto"/>
                <w:sz w:val="24"/>
                <w:highlight w:val="none"/>
              </w:rPr>
            </w:pPr>
          </w:p>
        </w:tc>
      </w:tr>
      <w:tr w14:paraId="32DC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FB93747">
            <w:pPr>
              <w:widowControl/>
              <w:jc w:val="left"/>
              <w:rPr>
                <w:rFonts w:ascii="宋体" w:hAnsi="宋体" w:cs="宋体"/>
                <w:color w:val="auto"/>
                <w:sz w:val="24"/>
                <w:highlight w:val="none"/>
              </w:rPr>
            </w:pPr>
          </w:p>
        </w:tc>
        <w:tc>
          <w:tcPr>
            <w:tcW w:w="3210" w:type="dxa"/>
            <w:gridSpan w:val="3"/>
            <w:tcBorders>
              <w:top w:val="single" w:color="auto" w:sz="4" w:space="0"/>
              <w:left w:val="nil"/>
              <w:bottom w:val="single" w:color="auto" w:sz="4" w:space="0"/>
              <w:right w:val="single" w:color="auto" w:sz="4" w:space="0"/>
            </w:tcBorders>
            <w:vAlign w:val="center"/>
          </w:tcPr>
          <w:p w14:paraId="589E8B23">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28" w:type="dxa"/>
            <w:gridSpan w:val="3"/>
            <w:tcBorders>
              <w:top w:val="single" w:color="auto" w:sz="4" w:space="0"/>
              <w:left w:val="nil"/>
              <w:bottom w:val="single" w:color="auto" w:sz="4" w:space="0"/>
              <w:right w:val="single" w:color="auto" w:sz="4" w:space="0"/>
            </w:tcBorders>
            <w:vAlign w:val="center"/>
          </w:tcPr>
          <w:p w14:paraId="232E792D">
            <w:pPr>
              <w:spacing w:line="500" w:lineRule="exact"/>
              <w:jc w:val="center"/>
              <w:rPr>
                <w:rFonts w:ascii="宋体" w:hAnsi="宋体" w:cs="宋体"/>
                <w:color w:val="auto"/>
                <w:sz w:val="24"/>
                <w:highlight w:val="none"/>
              </w:rPr>
            </w:pPr>
          </w:p>
        </w:tc>
      </w:tr>
      <w:tr w14:paraId="0525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C392C93">
            <w:pPr>
              <w:widowControl/>
              <w:jc w:val="left"/>
              <w:rPr>
                <w:rFonts w:ascii="宋体" w:hAnsi="宋体" w:cs="宋体"/>
                <w:color w:val="auto"/>
                <w:sz w:val="24"/>
                <w:highlight w:val="none"/>
              </w:rPr>
            </w:pPr>
          </w:p>
        </w:tc>
        <w:tc>
          <w:tcPr>
            <w:tcW w:w="3210" w:type="dxa"/>
            <w:gridSpan w:val="3"/>
            <w:tcBorders>
              <w:top w:val="single" w:color="auto" w:sz="4" w:space="0"/>
              <w:left w:val="nil"/>
              <w:bottom w:val="single" w:color="auto" w:sz="4" w:space="0"/>
              <w:right w:val="single" w:color="auto" w:sz="4" w:space="0"/>
            </w:tcBorders>
            <w:vAlign w:val="center"/>
          </w:tcPr>
          <w:p w14:paraId="5008CE2C">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28" w:type="dxa"/>
            <w:gridSpan w:val="3"/>
            <w:tcBorders>
              <w:top w:val="single" w:color="auto" w:sz="4" w:space="0"/>
              <w:left w:val="nil"/>
              <w:bottom w:val="single" w:color="auto" w:sz="4" w:space="0"/>
              <w:right w:val="single" w:color="auto" w:sz="4" w:space="0"/>
            </w:tcBorders>
            <w:vAlign w:val="center"/>
          </w:tcPr>
          <w:p w14:paraId="610F140F">
            <w:pPr>
              <w:spacing w:line="500" w:lineRule="exact"/>
              <w:jc w:val="center"/>
              <w:rPr>
                <w:rFonts w:ascii="宋体" w:hAnsi="宋体" w:cs="宋体"/>
                <w:color w:val="auto"/>
                <w:sz w:val="24"/>
                <w:highlight w:val="none"/>
              </w:rPr>
            </w:pPr>
          </w:p>
        </w:tc>
      </w:tr>
      <w:tr w14:paraId="645E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242" w:type="dxa"/>
            <w:tcBorders>
              <w:top w:val="single" w:color="auto" w:sz="4" w:space="0"/>
              <w:left w:val="single" w:color="auto" w:sz="4" w:space="0"/>
              <w:bottom w:val="single" w:color="auto" w:sz="4" w:space="0"/>
              <w:right w:val="single" w:color="auto" w:sz="4" w:space="0"/>
            </w:tcBorders>
            <w:vAlign w:val="center"/>
          </w:tcPr>
          <w:p w14:paraId="7BEBF2E6">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442C8F42">
            <w:pPr>
              <w:jc w:val="center"/>
              <w:rPr>
                <w:rFonts w:ascii="宋体" w:hAnsi="宋体" w:cs="宋体"/>
                <w:color w:val="auto"/>
                <w:sz w:val="24"/>
                <w:highlight w:val="none"/>
              </w:rPr>
            </w:pPr>
          </w:p>
        </w:tc>
      </w:tr>
      <w:tr w14:paraId="04DD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48444E20">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34667E3F">
            <w:pPr>
              <w:jc w:val="center"/>
              <w:rPr>
                <w:rFonts w:ascii="宋体" w:hAnsi="宋体" w:cs="宋体"/>
                <w:color w:val="auto"/>
                <w:sz w:val="24"/>
                <w:highlight w:val="none"/>
              </w:rPr>
            </w:pPr>
          </w:p>
        </w:tc>
      </w:tr>
    </w:tbl>
    <w:p w14:paraId="3693FB1D">
      <w:pPr>
        <w:spacing w:line="5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填表人签字盖章：                    </w:t>
      </w:r>
      <w:r>
        <w:rPr>
          <w:rFonts w:hint="eastAsia" w:ascii="宋体" w:hAnsi="宋体" w:cs="宋体"/>
          <w:color w:val="auto"/>
          <w:sz w:val="24"/>
          <w:highlight w:val="none"/>
          <w:lang w:val="en-US" w:eastAsia="zh-CN"/>
        </w:rPr>
        <w:t xml:space="preserve">   填表</w:t>
      </w:r>
      <w:r>
        <w:rPr>
          <w:rFonts w:hint="eastAsia" w:ascii="宋体" w:hAnsi="宋体" w:cs="宋体"/>
          <w:color w:val="auto"/>
          <w:sz w:val="24"/>
          <w:highlight w:val="none"/>
        </w:rPr>
        <w:t>日期</w:t>
      </w:r>
      <w:r>
        <w:rPr>
          <w:rFonts w:hint="eastAsia" w:ascii="宋体" w:hAnsi="宋体" w:cs="宋体"/>
          <w:color w:val="auto"/>
          <w:sz w:val="24"/>
          <w:highlight w:val="none"/>
          <w:lang w:eastAsia="zh-CN"/>
        </w:rPr>
        <w:t>：</w:t>
      </w:r>
    </w:p>
    <w:p w14:paraId="0572C78F">
      <w:pPr>
        <w:spacing w:before="100" w:beforeAutospacing="1" w:after="120"/>
        <w:ind w:right="-154" w:firstLine="4760" w:firstLineChars="1700"/>
        <w:rPr>
          <w:rFonts w:ascii="宋体" w:hAnsi="宋体" w:cs="宋体"/>
          <w:color w:val="auto"/>
          <w:sz w:val="28"/>
          <w:szCs w:val="28"/>
          <w:highlight w:val="none"/>
        </w:rPr>
      </w:pPr>
      <w:r>
        <w:rPr>
          <w:rFonts w:hint="eastAsia" w:ascii="宋体" w:hAnsi="宋体" w:cs="宋体"/>
          <w:color w:val="auto"/>
          <w:sz w:val="28"/>
          <w:szCs w:val="28"/>
          <w:highlight w:val="none"/>
        </w:rPr>
        <w:t>注：此表须盖投标单位公章</w:t>
      </w:r>
    </w:p>
    <w:p w14:paraId="269600B4">
      <w:pPr>
        <w:rPr>
          <w:rFonts w:hint="eastAsia" w:ascii="宋体" w:hAnsi="宋体" w:eastAsia="宋体" w:cs="宋体"/>
          <w:b/>
          <w:bCs/>
          <w:kern w:val="0"/>
          <w:sz w:val="24"/>
          <w:szCs w:val="24"/>
        </w:rPr>
      </w:pPr>
      <w:r>
        <w:rPr>
          <w:rFonts w:hint="eastAsia" w:ascii="宋体" w:hAnsi="宋体" w:eastAsia="宋体" w:cs="宋体"/>
          <w:b/>
          <w:bCs/>
          <w:kern w:val="0"/>
          <w:sz w:val="24"/>
          <w:szCs w:val="24"/>
        </w:rPr>
        <w:t>附件：</w:t>
      </w:r>
    </w:p>
    <w:p w14:paraId="2C294892">
      <w:pPr>
        <w:ind w:firstLine="1120" w:firstLineChars="400"/>
        <w:rPr>
          <w:rFonts w:hint="eastAsia" w:ascii="宋体" w:hAnsi="宋体" w:eastAsia="宋体" w:cs="宋体"/>
          <w:b/>
          <w:kern w:val="0"/>
          <w:sz w:val="28"/>
          <w:szCs w:val="28"/>
        </w:rPr>
      </w:pPr>
      <w:r>
        <w:rPr>
          <w:rFonts w:hint="eastAsia" w:ascii="宋体" w:hAnsi="宋体" w:eastAsia="宋体" w:cs="宋体"/>
          <w:b/>
          <w:kern w:val="0"/>
          <w:sz w:val="28"/>
          <w:szCs w:val="28"/>
        </w:rPr>
        <w:t>政府采购支持中小企业信用融资相关事项通知</w:t>
      </w:r>
    </w:p>
    <w:p w14:paraId="0013DFD3">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为支持和促进中小企业发展，进一步发挥政府采购政策功能，现将相关事项通知如下：</w:t>
      </w:r>
    </w:p>
    <w:p w14:paraId="71CF22F7">
      <w:pPr>
        <w:ind w:firstLine="560" w:firstLineChars="200"/>
        <w:rPr>
          <w:rFonts w:hint="eastAsia" w:ascii="宋体" w:hAnsi="宋体" w:eastAsia="宋体" w:cs="宋体"/>
          <w:b/>
          <w:kern w:val="0"/>
          <w:sz w:val="28"/>
          <w:szCs w:val="28"/>
        </w:rPr>
      </w:pPr>
      <w:r>
        <w:rPr>
          <w:rFonts w:hint="eastAsia" w:ascii="宋体" w:hAnsi="宋体" w:eastAsia="宋体" w:cs="宋体"/>
          <w:b/>
          <w:kern w:val="0"/>
          <w:sz w:val="28"/>
          <w:szCs w:val="28"/>
        </w:rPr>
        <w:t>一、适用对象</w:t>
      </w:r>
    </w:p>
    <w:p w14:paraId="485E3671">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在浙江政府采购网注册入库，并取得东阳市政府采购合同的中小企业供应商。</w:t>
      </w:r>
    </w:p>
    <w:p w14:paraId="11F683D0">
      <w:pPr>
        <w:ind w:firstLine="560" w:firstLineChars="200"/>
        <w:rPr>
          <w:rFonts w:hint="eastAsia" w:ascii="宋体" w:hAnsi="宋体" w:eastAsia="宋体" w:cs="宋体"/>
          <w:b/>
          <w:kern w:val="0"/>
          <w:sz w:val="28"/>
          <w:szCs w:val="28"/>
        </w:rPr>
      </w:pPr>
      <w:r>
        <w:rPr>
          <w:rFonts w:hint="eastAsia" w:ascii="宋体" w:hAnsi="宋体" w:eastAsia="宋体" w:cs="宋体"/>
          <w:b/>
          <w:kern w:val="0"/>
          <w:sz w:val="28"/>
          <w:szCs w:val="28"/>
        </w:rPr>
        <w:t>二、相关信息获取方式</w:t>
      </w:r>
    </w:p>
    <w:p w14:paraId="2024F48E">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请登陆浙江省政府采购网“融资贷款”模块，查看信用融资政策文件及各相关银行服务方案。</w:t>
      </w:r>
    </w:p>
    <w:p w14:paraId="1D58731D">
      <w:pPr>
        <w:ind w:firstLine="560" w:firstLineChars="200"/>
        <w:rPr>
          <w:rFonts w:hint="eastAsia" w:ascii="宋体" w:hAnsi="宋体" w:eastAsia="宋体" w:cs="宋体"/>
          <w:b/>
          <w:kern w:val="0"/>
          <w:sz w:val="28"/>
          <w:szCs w:val="28"/>
        </w:rPr>
      </w:pPr>
      <w:r>
        <w:rPr>
          <w:rFonts w:hint="eastAsia" w:ascii="宋体" w:hAnsi="宋体" w:eastAsia="宋体" w:cs="宋体"/>
          <w:b/>
          <w:kern w:val="0"/>
          <w:sz w:val="28"/>
          <w:szCs w:val="28"/>
        </w:rPr>
        <w:t>三、申请方式和步骤</w:t>
      </w:r>
    </w:p>
    <w:p w14:paraId="7D60DC58">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（一）采购合同贷</w:t>
      </w:r>
    </w:p>
    <w:p w14:paraId="3BC6093E">
      <w:pPr>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1、采购单位在政采云完成中标通知书及公告发布后，政采云根据该供应商资信向供应商发送推介合适的融资产品方案(展示多家银行---满足贷款银行条件的银行产品,对供应商进行展示)；</w:t>
      </w:r>
    </w:p>
    <w:p w14:paraId="6EC92CDB">
      <w:pPr>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2、供应商在收到中标通知的同时会收到可申请融资服务邀请，有意向的供应商选择满足条件的银行产品,并补充填写相关资料,向满足条件的融资产品发起申请；</w:t>
      </w:r>
    </w:p>
    <w:p w14:paraId="3AADEDDB">
      <w:pPr>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3、政采云将供应商的申请传递给银行,并将供应商相关信息给银行:供应商信息、订单(合同)信息、融资申请等数据用于贷款审批；</w:t>
      </w:r>
    </w:p>
    <w:p w14:paraId="0B08EB5D">
      <w:pPr>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4、银行进行融资审批并返回审批结果至政采云（审批通过的等待政采云放款通知，订单合同签署生效后通知）,政采云将银行反馈信息同步展示给对应供应商；</w:t>
      </w:r>
    </w:p>
    <w:p w14:paraId="2444654F">
      <w:pPr>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5、采购单位与供应商在线下签订完成合同签署后（将贷款银行的帐号协调采购合同中去,贷款帐号作为采购合同的收款账户），政采云向银行发送确认指令；</w:t>
      </w:r>
    </w:p>
    <w:p w14:paraId="0D508894">
      <w:pPr>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6、项目履约完成，采购单位完成验收后发起结算，国库完成支付；</w:t>
      </w:r>
    </w:p>
    <w:p w14:paraId="25EF5FD7">
      <w:pPr>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7、银行对其本行借款账户进行资金监控，有入账即可进行本金提前还款操作，银行返回还款信息“提前还款本金、更新还款计划”。</w:t>
      </w:r>
    </w:p>
    <w:p w14:paraId="18ED1E24">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（二）流水贷流程</w:t>
      </w:r>
    </w:p>
    <w:p w14:paraId="4ADAEA9C">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1、政采云通过规则向符合该产品的供应商发出邀约；</w:t>
      </w:r>
    </w:p>
    <w:p w14:paraId="61D90FFE">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2、供应商授权后向银行发送历史流水数据进行授信；</w:t>
      </w:r>
    </w:p>
    <w:p w14:paraId="6B223878">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3、银行根据风控模型出具最终授信结果并通知政采云；</w:t>
      </w:r>
    </w:p>
    <w:p w14:paraId="1B1DD166">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4、供应商用款时进行在线提款签约；</w:t>
      </w:r>
    </w:p>
    <w:p w14:paraId="22BFFCAA">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5、银行放款并返回放款结果，流程完成。</w:t>
      </w:r>
    </w:p>
    <w:p w14:paraId="1CEF6C0C">
      <w:pPr>
        <w:ind w:firstLine="560" w:firstLineChars="200"/>
        <w:rPr>
          <w:rFonts w:hint="eastAsia" w:ascii="宋体" w:hAnsi="宋体" w:eastAsia="宋体" w:cs="宋体"/>
          <w:b/>
          <w:kern w:val="0"/>
          <w:sz w:val="28"/>
          <w:szCs w:val="28"/>
        </w:rPr>
      </w:pPr>
      <w:r>
        <w:rPr>
          <w:rFonts w:hint="eastAsia" w:ascii="宋体" w:hAnsi="宋体" w:eastAsia="宋体" w:cs="宋体"/>
          <w:b/>
          <w:kern w:val="0"/>
          <w:sz w:val="28"/>
          <w:szCs w:val="28"/>
        </w:rPr>
        <w:t>四、注意事项</w:t>
      </w:r>
    </w:p>
    <w:p w14:paraId="4606B95B">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1、供应商需确保政府采购合同的收款银行与融资银行一致。</w:t>
      </w:r>
    </w:p>
    <w:p w14:paraId="38E86CCC">
      <w:pPr>
        <w:spacing w:line="380" w:lineRule="exact"/>
        <w:ind w:firstLine="560" w:firstLineChars="200"/>
        <w:jc w:val="left"/>
        <w:rPr>
          <w:rFonts w:hint="eastAsia" w:ascii="宋体" w:hAnsi="宋体" w:eastAsia="宋体" w:cs="宋体"/>
          <w:color w:val="auto"/>
          <w:sz w:val="24"/>
          <w:highlight w:val="none"/>
          <w:lang w:eastAsia="zh-CN"/>
        </w:rPr>
      </w:pPr>
      <w:r>
        <w:rPr>
          <w:rFonts w:hint="eastAsia" w:ascii="宋体" w:hAnsi="宋体" w:eastAsia="宋体" w:cs="宋体"/>
          <w:kern w:val="0"/>
          <w:sz w:val="28"/>
          <w:szCs w:val="28"/>
        </w:rPr>
        <w:t>2、请各采购单位积极支持和配合政府采购信用融资工作，在合同备案环节仔细核对收款银行、账号信息等内容，一旦录入将无法修改。</w:t>
      </w:r>
    </w:p>
    <w:p w14:paraId="0BCAB4F1">
      <w:pPr>
        <w:pStyle w:val="13"/>
        <w:ind w:firstLine="0"/>
        <w:rPr>
          <w:color w:val="auto"/>
          <w:highlight w:val="none"/>
        </w:rPr>
      </w:pPr>
    </w:p>
    <w:p w14:paraId="52A96B34">
      <w:pPr>
        <w:snapToGrid w:val="0"/>
        <w:spacing w:before="50" w:after="50"/>
        <w:ind w:right="-816" w:rightChars="-389"/>
        <w:rPr>
          <w:rFonts w:hint="eastAsia" w:ascii="宋体" w:hAnsi="宋体" w:cs="宋体"/>
          <w:b/>
          <w:color w:val="auto"/>
          <w:sz w:val="24"/>
          <w:szCs w:val="24"/>
          <w:highlight w:val="none"/>
          <w:lang w:eastAsia="zh-CN"/>
        </w:rPr>
      </w:pPr>
    </w:p>
    <w:p w14:paraId="39D688A2">
      <w:pPr>
        <w:snapToGrid w:val="0"/>
        <w:spacing w:before="50" w:after="50"/>
        <w:ind w:right="-816" w:rightChars="-389"/>
        <w:rPr>
          <w:rFonts w:hint="eastAsia" w:ascii="宋体" w:hAnsi="宋体" w:cs="宋体"/>
          <w:b/>
          <w:color w:val="auto"/>
          <w:sz w:val="24"/>
          <w:szCs w:val="24"/>
          <w:highlight w:val="none"/>
          <w:lang w:eastAsia="zh-CN"/>
        </w:rPr>
      </w:pPr>
    </w:p>
    <w:p w14:paraId="2CF5B4E6">
      <w:pPr>
        <w:snapToGrid w:val="0"/>
        <w:spacing w:before="50" w:after="50"/>
        <w:ind w:right="-816" w:rightChars="-389"/>
        <w:rPr>
          <w:rFonts w:hint="eastAsia" w:ascii="宋体" w:hAnsi="宋体" w:cs="宋体"/>
          <w:b/>
          <w:color w:val="auto"/>
          <w:sz w:val="24"/>
          <w:szCs w:val="24"/>
          <w:highlight w:val="none"/>
          <w:lang w:eastAsia="zh-CN"/>
        </w:rPr>
      </w:pPr>
    </w:p>
    <w:p w14:paraId="02981E31">
      <w:pPr>
        <w:snapToGrid w:val="0"/>
        <w:spacing w:before="50" w:after="50"/>
        <w:ind w:right="-816" w:rightChars="-389"/>
        <w:rPr>
          <w:rFonts w:hint="eastAsia" w:ascii="宋体" w:hAnsi="宋体" w:cs="宋体"/>
          <w:b/>
          <w:color w:val="auto"/>
          <w:sz w:val="24"/>
          <w:szCs w:val="24"/>
          <w:highlight w:val="none"/>
          <w:lang w:eastAsia="zh-CN"/>
        </w:rPr>
      </w:pPr>
    </w:p>
    <w:p w14:paraId="0E241001">
      <w:pPr>
        <w:snapToGrid w:val="0"/>
        <w:spacing w:before="50" w:after="50"/>
        <w:ind w:right="-816" w:rightChars="-389"/>
        <w:rPr>
          <w:rFonts w:hint="eastAsia" w:ascii="宋体" w:hAnsi="宋体" w:cs="宋体"/>
          <w:b/>
          <w:color w:val="auto"/>
          <w:sz w:val="24"/>
          <w:szCs w:val="24"/>
          <w:highlight w:val="none"/>
          <w:lang w:eastAsia="zh-CN"/>
        </w:rPr>
      </w:pPr>
    </w:p>
    <w:p w14:paraId="563C08F4">
      <w:pPr>
        <w:snapToGrid w:val="0"/>
        <w:spacing w:before="50" w:after="50"/>
        <w:ind w:right="-816" w:rightChars="-389"/>
        <w:rPr>
          <w:rFonts w:hint="eastAsia" w:ascii="宋体" w:hAnsi="宋体" w:cs="宋体"/>
          <w:b/>
          <w:color w:val="auto"/>
          <w:sz w:val="24"/>
          <w:szCs w:val="24"/>
          <w:highlight w:val="none"/>
          <w:lang w:eastAsia="zh-CN"/>
        </w:rPr>
      </w:pPr>
    </w:p>
    <w:p w14:paraId="2CD8E5E4">
      <w:pPr>
        <w:snapToGrid w:val="0"/>
        <w:spacing w:before="50" w:after="50"/>
        <w:ind w:right="-816" w:rightChars="-389"/>
        <w:rPr>
          <w:rFonts w:hint="eastAsia" w:ascii="宋体" w:hAnsi="宋体" w:cs="宋体"/>
          <w:b/>
          <w:color w:val="auto"/>
          <w:sz w:val="24"/>
          <w:szCs w:val="24"/>
          <w:highlight w:val="none"/>
          <w:lang w:eastAsia="zh-CN"/>
        </w:rPr>
      </w:pPr>
    </w:p>
    <w:p w14:paraId="775C52E0">
      <w:pPr>
        <w:snapToGrid w:val="0"/>
        <w:spacing w:before="50" w:after="50"/>
        <w:ind w:right="-816" w:rightChars="-389"/>
        <w:rPr>
          <w:rFonts w:hint="eastAsia" w:ascii="宋体" w:hAnsi="宋体" w:cs="宋体"/>
          <w:b/>
          <w:color w:val="auto"/>
          <w:sz w:val="24"/>
          <w:szCs w:val="24"/>
          <w:highlight w:val="none"/>
          <w:lang w:eastAsia="zh-CN"/>
        </w:rPr>
      </w:pPr>
    </w:p>
    <w:p w14:paraId="3026B45F">
      <w:pP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附件：政府采购供应商投诉书范本        </w:t>
      </w:r>
    </w:p>
    <w:p w14:paraId="4234409F">
      <w:pPr>
        <w:ind w:firstLine="3520" w:firstLineChars="800"/>
        <w:rPr>
          <w:rFonts w:hint="eastAsia" w:ascii="宋体" w:hAnsi="宋体" w:eastAsia="宋体" w:cs="Times New Roman"/>
          <w:b/>
          <w:kern w:val="0"/>
          <w:sz w:val="44"/>
          <w:szCs w:val="44"/>
        </w:rPr>
      </w:pPr>
      <w:r>
        <w:rPr>
          <w:rFonts w:hint="eastAsia" w:ascii="宋体" w:hAnsi="宋体" w:eastAsia="宋体" w:cs="Times New Roman"/>
          <w:b/>
          <w:kern w:val="0"/>
          <w:sz w:val="44"/>
          <w:szCs w:val="44"/>
        </w:rPr>
        <w:t>投诉书范本</w:t>
      </w:r>
    </w:p>
    <w:p w14:paraId="254F1B0B">
      <w:pPr>
        <w:rPr>
          <w:rFonts w:hint="eastAsia" w:ascii="黑体" w:hAnsi="黑体" w:eastAsia="黑体" w:cs="Times New Roman"/>
          <w:kern w:val="0"/>
          <w:sz w:val="32"/>
          <w:szCs w:val="32"/>
        </w:rPr>
      </w:pPr>
      <w:r>
        <w:rPr>
          <w:rFonts w:hint="eastAsia" w:ascii="黑体" w:hAnsi="黑体" w:eastAsia="黑体" w:cs="Times New Roman"/>
          <w:kern w:val="0"/>
          <w:sz w:val="32"/>
          <w:szCs w:val="32"/>
        </w:rPr>
        <w:t>一、投诉相关主体基本情况</w:t>
      </w:r>
    </w:p>
    <w:p w14:paraId="740CFB9C">
      <w:pPr>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rPr>
        <w:t>投诉人：</w:t>
      </w:r>
      <w:r>
        <w:rPr>
          <w:rFonts w:hint="eastAsia" w:ascii="仿宋_GB2312" w:hAnsi="Times New Roman" w:eastAsia="仿宋_GB2312" w:cs="Times New Roman"/>
          <w:kern w:val="0"/>
          <w:sz w:val="32"/>
          <w:szCs w:val="32"/>
          <w:u w:val="dotted"/>
        </w:rPr>
        <w:t xml:space="preserve">                                               </w:t>
      </w:r>
    </w:p>
    <w:p w14:paraId="1A50FFA1">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地     址：</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邮编：</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u w:val="single"/>
        </w:rPr>
        <w:t xml:space="preserve">   </w:t>
      </w:r>
    </w:p>
    <w:p w14:paraId="38058B49">
      <w:pPr>
        <w:tabs>
          <w:tab w:val="left" w:pos="6510"/>
        </w:tabs>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法定代表人/主要负责人：</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 xml:space="preserve">  </w:t>
      </w:r>
    </w:p>
    <w:p w14:paraId="6486EA6B">
      <w:pPr>
        <w:tabs>
          <w:tab w:val="left" w:pos="6510"/>
        </w:tabs>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rPr>
        <w:t>联系电话：</w:t>
      </w:r>
      <w:r>
        <w:rPr>
          <w:rFonts w:hint="eastAsia" w:ascii="仿宋_GB2312" w:hAnsi="Times New Roman" w:eastAsia="仿宋_GB2312" w:cs="Times New Roman"/>
          <w:kern w:val="0"/>
          <w:sz w:val="32"/>
          <w:szCs w:val="32"/>
          <w:u w:val="dotted"/>
        </w:rPr>
        <w:t xml:space="preserve">                                             </w:t>
      </w:r>
    </w:p>
    <w:p w14:paraId="589F68B5">
      <w:pPr>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rPr>
        <w:t>授权代表：</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联系电话</w:t>
      </w:r>
      <w:r>
        <w:rPr>
          <w:rFonts w:hint="eastAsia" w:ascii="仿宋_GB2312" w:hAnsi="Times New Roman" w:eastAsia="仿宋_GB2312" w:cs="Times New Roman"/>
          <w:kern w:val="0"/>
          <w:sz w:val="32"/>
          <w:szCs w:val="32"/>
          <w:u w:val="dotted"/>
        </w:rPr>
        <w:t xml:space="preserve">：                  </w:t>
      </w:r>
    </w:p>
    <w:p w14:paraId="4C258D8C">
      <w:pPr>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rPr>
        <w:t>地     址：</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邮编：</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u w:val="dotted"/>
        </w:rPr>
        <w:t xml:space="preserve">                   </w:t>
      </w:r>
    </w:p>
    <w:p w14:paraId="5A679F21">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被投诉人1：</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u w:val="single"/>
        </w:rPr>
        <w:t xml:space="preserve">  </w:t>
      </w:r>
    </w:p>
    <w:p w14:paraId="0224B07D">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地     址：</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邮编：</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u w:val="single"/>
        </w:rPr>
        <w:t xml:space="preserve"> </w:t>
      </w:r>
    </w:p>
    <w:p w14:paraId="5F2572C5">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联系人：</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联系电话：</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u w:val="single"/>
        </w:rPr>
        <w:t xml:space="preserve"> </w:t>
      </w:r>
    </w:p>
    <w:p w14:paraId="0F2D72E8">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被投诉人2</w:t>
      </w:r>
    </w:p>
    <w:p w14:paraId="6F126CA3">
      <w:pPr>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rPr>
        <w:t>……</w:t>
      </w:r>
    </w:p>
    <w:p w14:paraId="0E8E99A9">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相关供应商：</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u w:val="single"/>
        </w:rPr>
        <w:t xml:space="preserve">    </w:t>
      </w:r>
    </w:p>
    <w:p w14:paraId="5BBC8463">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地     址：</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邮编：</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u w:val="single"/>
        </w:rPr>
        <w:t xml:space="preserve"> </w:t>
      </w:r>
    </w:p>
    <w:p w14:paraId="3C3F6948">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联系人：</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联系电话：</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u w:val="single"/>
        </w:rPr>
        <w:t xml:space="preserve">      </w:t>
      </w:r>
    </w:p>
    <w:p w14:paraId="6EE7829D">
      <w:pPr>
        <w:rPr>
          <w:rFonts w:hint="eastAsia" w:ascii="黑体" w:hAnsi="黑体" w:eastAsia="黑体" w:cs="Times New Roman"/>
          <w:kern w:val="0"/>
          <w:sz w:val="32"/>
          <w:szCs w:val="32"/>
        </w:rPr>
      </w:pPr>
      <w:r>
        <w:rPr>
          <w:rFonts w:hint="eastAsia" w:ascii="黑体" w:hAnsi="黑体" w:eastAsia="黑体" w:cs="Times New Roman"/>
          <w:kern w:val="0"/>
          <w:sz w:val="32"/>
          <w:szCs w:val="32"/>
        </w:rPr>
        <w:t>二、投诉项目基本情况</w:t>
      </w:r>
    </w:p>
    <w:p w14:paraId="58021F21">
      <w:pPr>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rPr>
        <w:t>采购项目名称：</w:t>
      </w:r>
      <w:r>
        <w:rPr>
          <w:rFonts w:hint="eastAsia" w:ascii="仿宋_GB2312" w:hAnsi="Times New Roman" w:eastAsia="仿宋_GB2312" w:cs="Times New Roman"/>
          <w:kern w:val="0"/>
          <w:sz w:val="32"/>
          <w:szCs w:val="32"/>
          <w:u w:val="dotted"/>
        </w:rPr>
        <w:t xml:space="preserve">                                        </w:t>
      </w:r>
    </w:p>
    <w:p w14:paraId="082F3C9D">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采购项目编号：</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包号：</w:t>
      </w:r>
      <w:r>
        <w:rPr>
          <w:rFonts w:hint="eastAsia" w:ascii="仿宋_GB2312" w:hAnsi="Times New Roman" w:eastAsia="仿宋_GB2312" w:cs="Times New Roman"/>
          <w:kern w:val="0"/>
          <w:sz w:val="32"/>
          <w:szCs w:val="32"/>
          <w:u w:val="dotted"/>
        </w:rPr>
        <w:t xml:space="preserve">              </w:t>
      </w:r>
    </w:p>
    <w:p w14:paraId="17DE4D5C">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采购人名称：</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u w:val="single"/>
        </w:rPr>
        <w:t xml:space="preserve">  </w:t>
      </w:r>
    </w:p>
    <w:p w14:paraId="76CDE597">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代理机构名称：</w:t>
      </w:r>
      <w:r>
        <w:rPr>
          <w:rFonts w:hint="eastAsia" w:ascii="仿宋_GB2312" w:hAnsi="Times New Roman" w:eastAsia="仿宋_GB2312" w:cs="Times New Roman"/>
          <w:kern w:val="0"/>
          <w:sz w:val="32"/>
          <w:szCs w:val="32"/>
          <w:u w:val="dotted"/>
        </w:rPr>
        <w:t xml:space="preserve">                                         </w:t>
      </w:r>
    </w:p>
    <w:p w14:paraId="17838E98">
      <w:pPr>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rPr>
        <w:t>采购文件公告:</w:t>
      </w:r>
      <w:r>
        <w:rPr>
          <w:rFonts w:hint="eastAsia" w:ascii="仿宋_GB2312" w:hAnsi="Times New Roman" w:eastAsia="仿宋_GB2312" w:cs="Times New Roman"/>
          <w:kern w:val="0"/>
          <w:sz w:val="32"/>
          <w:szCs w:val="32"/>
          <w:u w:val="dotted"/>
        </w:rPr>
        <w:t xml:space="preserve">是/否 </w:t>
      </w:r>
      <w:r>
        <w:rPr>
          <w:rFonts w:hint="eastAsia" w:ascii="仿宋_GB2312" w:hAnsi="Times New Roman" w:eastAsia="仿宋_GB2312" w:cs="Times New Roman"/>
          <w:kern w:val="0"/>
          <w:sz w:val="32"/>
          <w:szCs w:val="32"/>
        </w:rPr>
        <w:t>公告期限：</w:t>
      </w:r>
      <w:r>
        <w:rPr>
          <w:rFonts w:hint="eastAsia" w:ascii="仿宋_GB2312" w:hAnsi="Times New Roman" w:eastAsia="仿宋_GB2312" w:cs="Times New Roman"/>
          <w:kern w:val="0"/>
          <w:sz w:val="32"/>
          <w:szCs w:val="32"/>
          <w:u w:val="dotted"/>
        </w:rPr>
        <w:t xml:space="preserve">                                 </w:t>
      </w:r>
    </w:p>
    <w:p w14:paraId="361AEFF9">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采购结果公告:</w:t>
      </w:r>
      <w:r>
        <w:rPr>
          <w:rFonts w:hint="eastAsia" w:ascii="仿宋_GB2312" w:hAnsi="Times New Roman" w:eastAsia="仿宋_GB2312" w:cs="Times New Roman"/>
          <w:kern w:val="0"/>
          <w:sz w:val="32"/>
          <w:szCs w:val="32"/>
          <w:u w:val="dotted"/>
        </w:rPr>
        <w:t xml:space="preserve">是/否 </w:t>
      </w:r>
      <w:r>
        <w:rPr>
          <w:rFonts w:hint="eastAsia" w:ascii="仿宋_GB2312" w:hAnsi="Times New Roman" w:eastAsia="仿宋_GB2312" w:cs="Times New Roman"/>
          <w:kern w:val="0"/>
          <w:sz w:val="32"/>
          <w:szCs w:val="32"/>
        </w:rPr>
        <w:t>公告期限：</w:t>
      </w:r>
      <w:r>
        <w:rPr>
          <w:rFonts w:hint="eastAsia" w:ascii="仿宋_GB2312" w:hAnsi="Times New Roman" w:eastAsia="仿宋_GB2312" w:cs="Times New Roman"/>
          <w:kern w:val="0"/>
          <w:sz w:val="32"/>
          <w:szCs w:val="32"/>
          <w:u w:val="dotted"/>
        </w:rPr>
        <w:t xml:space="preserve">                        </w:t>
      </w:r>
    </w:p>
    <w:p w14:paraId="0D0B407D">
      <w:pPr>
        <w:rPr>
          <w:rFonts w:hint="eastAsia" w:ascii="黑体" w:hAnsi="黑体" w:eastAsia="黑体" w:cs="Times New Roman"/>
          <w:kern w:val="0"/>
          <w:sz w:val="32"/>
          <w:szCs w:val="32"/>
        </w:rPr>
      </w:pPr>
      <w:r>
        <w:rPr>
          <w:rFonts w:hint="eastAsia" w:ascii="黑体" w:hAnsi="黑体" w:eastAsia="黑体" w:cs="Times New Roman"/>
          <w:kern w:val="0"/>
          <w:sz w:val="32"/>
          <w:szCs w:val="32"/>
        </w:rPr>
        <w:t>三、质疑基本情况</w:t>
      </w:r>
    </w:p>
    <w:p w14:paraId="43CF1C02">
      <w:pPr>
        <w:ind w:firstLine="640" w:firstLineChars="200"/>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rPr>
        <w:t>投诉人于</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年</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月</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日,向</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提出质疑，质疑事项为：</w:t>
      </w:r>
      <w:r>
        <w:rPr>
          <w:rFonts w:hint="eastAsia" w:ascii="仿宋_GB2312" w:hAnsi="Times New Roman" w:eastAsia="仿宋_GB2312" w:cs="Times New Roman"/>
          <w:kern w:val="0"/>
          <w:sz w:val="32"/>
          <w:szCs w:val="32"/>
          <w:u w:val="dotted"/>
        </w:rPr>
        <w:t xml:space="preserve">                                </w:t>
      </w:r>
    </w:p>
    <w:p w14:paraId="04708245">
      <w:pPr>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 xml:space="preserve">  </w:t>
      </w:r>
    </w:p>
    <w:p w14:paraId="301D8AD7">
      <w:pPr>
        <w:ind w:firstLine="480" w:firstLineChars="15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u w:val="dotted"/>
        </w:rPr>
        <w:t>采购人/代理机构</w:t>
      </w:r>
      <w:r>
        <w:rPr>
          <w:rFonts w:hint="eastAsia" w:ascii="仿宋_GB2312" w:hAnsi="Times New Roman" w:eastAsia="仿宋_GB2312" w:cs="Times New Roman"/>
          <w:kern w:val="0"/>
          <w:sz w:val="32"/>
          <w:szCs w:val="32"/>
        </w:rPr>
        <w:t>于</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年</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月</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日,就质疑事项作出了答复/没有在法定期限内作出答复。</w:t>
      </w:r>
    </w:p>
    <w:p w14:paraId="1B2147A8">
      <w:pPr>
        <w:rPr>
          <w:rFonts w:hint="eastAsia" w:ascii="黑体" w:hAnsi="黑体" w:eastAsia="黑体" w:cs="Times New Roman"/>
          <w:kern w:val="0"/>
          <w:sz w:val="32"/>
          <w:szCs w:val="32"/>
        </w:rPr>
      </w:pPr>
      <w:r>
        <w:rPr>
          <w:rFonts w:hint="eastAsia" w:ascii="黑体" w:hAnsi="黑体" w:eastAsia="黑体" w:cs="Times New Roman"/>
          <w:kern w:val="0"/>
          <w:sz w:val="32"/>
          <w:szCs w:val="32"/>
        </w:rPr>
        <w:t>四、投诉事项具体内容</w:t>
      </w:r>
    </w:p>
    <w:p w14:paraId="3763F560">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投诉事项 1：</w:t>
      </w:r>
      <w:r>
        <w:rPr>
          <w:rFonts w:hint="eastAsia" w:ascii="仿宋_GB2312" w:hAnsi="Times New Roman" w:eastAsia="仿宋_GB2312" w:cs="Times New Roman"/>
          <w:kern w:val="0"/>
          <w:sz w:val="32"/>
          <w:szCs w:val="32"/>
          <w:u w:val="dotted"/>
        </w:rPr>
        <w:t xml:space="preserve">                                       </w:t>
      </w:r>
    </w:p>
    <w:p w14:paraId="5A441C16">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事实依据：</w:t>
      </w:r>
      <w:r>
        <w:rPr>
          <w:rFonts w:hint="eastAsia" w:ascii="仿宋_GB2312" w:hAnsi="Times New Roman" w:eastAsia="仿宋_GB2312" w:cs="Times New Roman"/>
          <w:kern w:val="0"/>
          <w:sz w:val="32"/>
          <w:szCs w:val="32"/>
          <w:u w:val="dotted"/>
        </w:rPr>
        <w:t xml:space="preserve">                                         </w:t>
      </w:r>
    </w:p>
    <w:p w14:paraId="70A4807F">
      <w:pPr>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u w:val="dotted"/>
        </w:rPr>
        <w:t xml:space="preserve">                                                      </w:t>
      </w:r>
    </w:p>
    <w:p w14:paraId="6788ABF6">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法律依据：</w:t>
      </w:r>
      <w:r>
        <w:rPr>
          <w:rFonts w:hint="eastAsia" w:ascii="仿宋_GB2312" w:hAnsi="Times New Roman" w:eastAsia="仿宋_GB2312" w:cs="Times New Roman"/>
          <w:kern w:val="0"/>
          <w:sz w:val="32"/>
          <w:szCs w:val="32"/>
          <w:u w:val="dotted"/>
        </w:rPr>
        <w:t xml:space="preserve">                                          </w:t>
      </w:r>
    </w:p>
    <w:p w14:paraId="48670B8F">
      <w:pPr>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u w:val="dotted"/>
        </w:rPr>
        <w:t xml:space="preserve">                                                      </w:t>
      </w:r>
    </w:p>
    <w:p w14:paraId="4A5A9F86">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投诉事项2</w:t>
      </w:r>
    </w:p>
    <w:p w14:paraId="3D35D08E">
      <w:pPr>
        <w:rPr>
          <w:rFonts w:ascii="仿宋_GB2312" w:hAnsi="Times New Roman" w:eastAsia="仿宋_GB2312" w:cs="Times New Roman"/>
          <w:kern w:val="0"/>
          <w:sz w:val="32"/>
          <w:szCs w:val="32"/>
          <w:u w:val="dotted"/>
        </w:rPr>
      </w:pPr>
      <w:r>
        <w:rPr>
          <w:rFonts w:hint="eastAsia" w:ascii="仿宋_GB2312" w:hAnsi="Times New Roman" w:eastAsia="仿宋_GB2312" w:cs="Times New Roman"/>
          <w:kern w:val="0"/>
          <w:sz w:val="32"/>
          <w:szCs w:val="32"/>
        </w:rPr>
        <w:t>……</w:t>
      </w:r>
    </w:p>
    <w:p w14:paraId="04F50200">
      <w:pPr>
        <w:rPr>
          <w:rFonts w:hint="eastAsia" w:ascii="黑体" w:hAnsi="黑体" w:eastAsia="黑体" w:cs="Times New Roman"/>
          <w:kern w:val="0"/>
          <w:sz w:val="32"/>
          <w:szCs w:val="32"/>
        </w:rPr>
      </w:pPr>
      <w:r>
        <w:rPr>
          <w:rFonts w:hint="eastAsia" w:ascii="黑体" w:hAnsi="黑体" w:eastAsia="黑体" w:cs="Times New Roman"/>
          <w:kern w:val="0"/>
          <w:sz w:val="32"/>
          <w:szCs w:val="32"/>
        </w:rPr>
        <w:t>五、与投诉事项相关的投诉请求</w:t>
      </w:r>
    </w:p>
    <w:p w14:paraId="1C14D50B">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请求：</w:t>
      </w:r>
      <w:r>
        <w:rPr>
          <w:rFonts w:hint="eastAsia" w:ascii="仿宋_GB2312" w:hAnsi="Times New Roman" w:eastAsia="仿宋_GB2312" w:cs="Times New Roman"/>
          <w:kern w:val="0"/>
          <w:sz w:val="32"/>
          <w:szCs w:val="32"/>
          <w:u w:val="dotted"/>
        </w:rPr>
        <w:t xml:space="preserve">                                              </w:t>
      </w:r>
      <w:r>
        <w:rPr>
          <w:rFonts w:hint="eastAsia" w:ascii="仿宋_GB2312" w:hAnsi="Times New Roman" w:eastAsia="仿宋_GB2312" w:cs="Times New Roman"/>
          <w:kern w:val="0"/>
          <w:sz w:val="32"/>
          <w:szCs w:val="32"/>
        </w:rPr>
        <w:t xml:space="preserve"> </w:t>
      </w:r>
    </w:p>
    <w:p w14:paraId="4B809800">
      <w:pPr>
        <w:rPr>
          <w:rFonts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 xml:space="preserve">                                                                                                    </w:t>
      </w:r>
    </w:p>
    <w:p w14:paraId="651D5516">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签字(签章)：                   公章：                      </w:t>
      </w:r>
    </w:p>
    <w:p w14:paraId="7B682280">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日期：    </w:t>
      </w:r>
    </w:p>
    <w:p w14:paraId="25BC4A3C">
      <w:pPr>
        <w:rPr>
          <w:rFonts w:hint="eastAsia" w:ascii="黑体" w:hAnsi="黑体" w:eastAsia="黑体" w:cs="Times New Roman"/>
          <w:b/>
          <w:kern w:val="0"/>
          <w:sz w:val="32"/>
          <w:szCs w:val="32"/>
        </w:rPr>
      </w:pPr>
    </w:p>
    <w:p w14:paraId="5A9CFEE1">
      <w:pPr>
        <w:rPr>
          <w:rFonts w:hint="eastAsia" w:ascii="黑体" w:hAnsi="黑体" w:eastAsia="黑体" w:cs="Times New Roman"/>
          <w:b/>
          <w:kern w:val="0"/>
          <w:sz w:val="32"/>
          <w:szCs w:val="32"/>
        </w:rPr>
      </w:pPr>
    </w:p>
    <w:p w14:paraId="653AA65F">
      <w:pPr>
        <w:rPr>
          <w:rFonts w:hint="eastAsia" w:ascii="黑体" w:hAnsi="黑体" w:eastAsia="黑体" w:cs="Times New Roman"/>
          <w:b/>
          <w:kern w:val="0"/>
          <w:sz w:val="32"/>
          <w:szCs w:val="32"/>
        </w:rPr>
      </w:pPr>
      <w:r>
        <w:rPr>
          <w:rFonts w:hint="eastAsia" w:ascii="黑体" w:hAnsi="黑体" w:eastAsia="黑体" w:cs="Times New Roman"/>
          <w:b/>
          <w:kern w:val="0"/>
          <w:sz w:val="32"/>
          <w:szCs w:val="32"/>
        </w:rPr>
        <w:t>投诉书制作说明：</w:t>
      </w:r>
    </w:p>
    <w:p w14:paraId="30739CC9">
      <w:pPr>
        <w:widowControl/>
        <w:ind w:firstLine="640" w:firstLineChars="200"/>
        <w:rPr>
          <w:rFonts w:hint="eastAsia" w:ascii="仿宋_GB2312" w:hAnsi="宋体" w:eastAsia="仿宋_GB2312" w:cs="宋体"/>
          <w:kern w:val="0"/>
          <w:sz w:val="32"/>
          <w:szCs w:val="32"/>
        </w:rPr>
      </w:pPr>
      <w:r>
        <w:rPr>
          <w:rFonts w:hint="eastAsia" w:ascii="仿宋_GB2312" w:hAnsi="Times New Roman" w:eastAsia="仿宋_GB2312" w:cs="Times New Roman"/>
          <w:kern w:val="0"/>
          <w:sz w:val="32"/>
          <w:szCs w:val="32"/>
        </w:rPr>
        <w:t>1.投诉人提起投诉时，应当提交投诉书和必要的证明材料，并按照被投诉人和与投诉事项有关的供应商数量提供投诉书副本。</w:t>
      </w:r>
    </w:p>
    <w:p w14:paraId="65F1CF1E">
      <w:pPr>
        <w:widowControl/>
        <w:ind w:firstLine="640" w:firstLineChars="200"/>
        <w:jc w:val="left"/>
        <w:rPr>
          <w:rFonts w:hint="eastAsia" w:ascii="仿宋_GB2312" w:hAnsi="宋体" w:eastAsia="仿宋_GB2312" w:cs="宋体"/>
          <w:kern w:val="0"/>
          <w:sz w:val="32"/>
          <w:szCs w:val="32"/>
        </w:rPr>
      </w:pPr>
      <w:r>
        <w:rPr>
          <w:rFonts w:hint="eastAsia" w:ascii="仿宋_GB2312" w:hAnsi="Times New Roman" w:eastAsia="仿宋_GB2312" w:cs="Times New Roman"/>
          <w:kern w:val="0"/>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14:paraId="5EAADD16">
      <w:pPr>
        <w:widowControl/>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3.投诉人若对项目的某一分包进行投诉，投诉书应列明具体分包号。</w:t>
      </w:r>
    </w:p>
    <w:p w14:paraId="1FA441F3">
      <w:pPr>
        <w:widowControl/>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4.投诉书应简要列明质疑事项，质疑函、质疑答复等作为附件材料提供。</w:t>
      </w:r>
    </w:p>
    <w:p w14:paraId="15227762">
      <w:pPr>
        <w:widowControl/>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5.投诉书的投诉事项应具体、明确，并有必要的事实依据和法律依据。</w:t>
      </w:r>
    </w:p>
    <w:p w14:paraId="7E386ABF">
      <w:pPr>
        <w:widowControl/>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6.投诉书的投诉请求应与投诉事项相关。</w:t>
      </w:r>
    </w:p>
    <w:p w14:paraId="40AF4B2B">
      <w:pPr>
        <w:widowControl/>
        <w:ind w:firstLine="640" w:firstLineChars="200"/>
        <w:jc w:val="left"/>
        <w:rPr>
          <w:rFonts w:hint="eastAsia" w:ascii="仿宋_GB2312" w:hAnsi="宋体" w:eastAsia="仿宋_GB2312" w:cs="宋体"/>
          <w:kern w:val="0"/>
          <w:sz w:val="32"/>
          <w:szCs w:val="32"/>
        </w:rPr>
      </w:pPr>
      <w:r>
        <w:rPr>
          <w:rFonts w:hint="eastAsia" w:ascii="仿宋_GB2312" w:hAnsi="Times New Roman" w:eastAsia="仿宋_GB2312" w:cs="Times New Roman"/>
          <w:kern w:val="0"/>
          <w:sz w:val="32"/>
          <w:szCs w:val="32"/>
        </w:rPr>
        <w:t>7.投诉人为自然人的，投诉书应当由本人签字；投诉人为法人或者其他组织的，投诉书应当由法定代表人、主要负责人，或者其授权代表签字或者盖章，并加盖公章。</w:t>
      </w:r>
    </w:p>
    <w:p w14:paraId="34BC4C3B">
      <w:pPr>
        <w:jc w:val="left"/>
        <w:rPr>
          <w:rFonts w:ascii="仿宋_GB2312" w:hAnsi="Times New Roman" w:eastAsia="仿宋_GB2312" w:cs="Times New Roman"/>
          <w:b/>
          <w:kern w:val="0"/>
          <w:sz w:val="30"/>
          <w:szCs w:val="30"/>
        </w:rPr>
      </w:pPr>
      <w:r>
        <w:rPr>
          <w:rFonts w:hint="eastAsia" w:ascii="仿宋_GB2312" w:hAnsi="Times New Roman" w:eastAsia="仿宋_GB2312" w:cs="Times New Roman"/>
          <w:kern w:val="0"/>
          <w:sz w:val="30"/>
          <w:szCs w:val="30"/>
        </w:rPr>
        <w:t xml:space="preserve">         </w:t>
      </w:r>
      <w:r>
        <w:rPr>
          <w:rFonts w:hint="eastAsia" w:ascii="仿宋_GB2312" w:hAnsi="Times New Roman" w:eastAsia="仿宋_GB2312" w:cs="Times New Roman"/>
          <w:b/>
          <w:kern w:val="0"/>
          <w:sz w:val="30"/>
          <w:szCs w:val="30"/>
        </w:rPr>
        <w:t xml:space="preserve"> </w:t>
      </w:r>
    </w:p>
    <w:p w14:paraId="7B760BD8">
      <w:pPr>
        <w:jc w:val="left"/>
        <w:rPr>
          <w:rFonts w:ascii="仿宋_GB2312" w:hAnsi="Times New Roman" w:eastAsia="仿宋_GB2312" w:cs="Times New Roman"/>
          <w:b/>
          <w:kern w:val="0"/>
          <w:sz w:val="30"/>
          <w:szCs w:val="30"/>
        </w:rPr>
      </w:pPr>
    </w:p>
    <w:p w14:paraId="12352E48">
      <w:pPr>
        <w:rPr>
          <w:rFonts w:hint="eastAsia" w:ascii="宋体" w:hAnsi="宋体" w:eastAsia="宋体" w:cs="宋体"/>
          <w:b/>
          <w:bCs/>
          <w:kern w:val="0"/>
          <w:sz w:val="24"/>
          <w:szCs w:val="24"/>
        </w:rPr>
      </w:pPr>
    </w:p>
    <w:p w14:paraId="2E95C97F">
      <w:pPr>
        <w:rPr>
          <w:rFonts w:hint="eastAsia" w:ascii="宋体" w:hAnsi="宋体" w:eastAsia="宋体" w:cs="宋体"/>
          <w:b/>
          <w:bCs/>
          <w:kern w:val="0"/>
          <w:sz w:val="24"/>
          <w:szCs w:val="24"/>
        </w:rPr>
      </w:pPr>
    </w:p>
    <w:p w14:paraId="6CA607E4">
      <w:pPr>
        <w:rPr>
          <w:rFonts w:hint="eastAsia" w:ascii="宋体" w:hAnsi="宋体" w:eastAsia="宋体" w:cs="宋体"/>
          <w:b/>
          <w:bCs/>
          <w:kern w:val="0"/>
          <w:sz w:val="24"/>
          <w:szCs w:val="24"/>
        </w:rPr>
      </w:pPr>
    </w:p>
    <w:p w14:paraId="3487BDCA">
      <w:pPr>
        <w:rPr>
          <w:rFonts w:hint="eastAsia" w:ascii="宋体" w:hAnsi="宋体" w:eastAsia="宋体" w:cs="宋体"/>
          <w:b/>
          <w:bCs/>
          <w:kern w:val="0"/>
          <w:sz w:val="24"/>
          <w:szCs w:val="24"/>
        </w:rPr>
      </w:pPr>
    </w:p>
    <w:p w14:paraId="7930AB94">
      <w:pPr>
        <w:rPr>
          <w:rFonts w:hint="eastAsia" w:ascii="宋体" w:hAnsi="宋体" w:eastAsia="宋体" w:cs="宋体"/>
          <w:b/>
          <w:bCs/>
          <w:kern w:val="0"/>
          <w:sz w:val="24"/>
          <w:szCs w:val="24"/>
        </w:rPr>
      </w:pPr>
    </w:p>
    <w:p w14:paraId="4F668134">
      <w:pPr>
        <w:rPr>
          <w:rFonts w:hint="eastAsia" w:ascii="宋体" w:hAnsi="宋体" w:eastAsia="宋体" w:cs="宋体"/>
          <w:b/>
          <w:bCs/>
          <w:kern w:val="0"/>
          <w:sz w:val="24"/>
          <w:szCs w:val="24"/>
        </w:rPr>
      </w:pPr>
    </w:p>
    <w:p w14:paraId="498767BE">
      <w:pPr>
        <w:rPr>
          <w:rFonts w:hint="eastAsia" w:ascii="宋体" w:hAnsi="宋体" w:eastAsia="宋体" w:cs="宋体"/>
          <w:b/>
          <w:bCs/>
          <w:kern w:val="0"/>
          <w:sz w:val="24"/>
          <w:szCs w:val="24"/>
        </w:rPr>
      </w:pPr>
      <w:r>
        <w:rPr>
          <w:rFonts w:hint="eastAsia" w:ascii="宋体" w:hAnsi="宋体" w:eastAsia="宋体" w:cs="宋体"/>
          <w:b/>
          <w:bCs/>
          <w:kern w:val="0"/>
          <w:sz w:val="24"/>
          <w:szCs w:val="24"/>
        </w:rPr>
        <w:t>附件：政府采购供应商质疑函范本</w:t>
      </w:r>
    </w:p>
    <w:p w14:paraId="0425C677">
      <w:pPr>
        <w:jc w:val="center"/>
        <w:rPr>
          <w:rFonts w:hint="eastAsia" w:ascii="仿宋" w:hAnsi="仿宋" w:eastAsia="仿宋" w:cs="仿宋"/>
          <w:b/>
          <w:bCs/>
          <w:kern w:val="0"/>
          <w:sz w:val="44"/>
          <w:szCs w:val="44"/>
        </w:rPr>
      </w:pPr>
      <w:r>
        <w:rPr>
          <w:rFonts w:hint="eastAsia" w:ascii="仿宋" w:hAnsi="仿宋" w:eastAsia="仿宋" w:cs="仿宋"/>
          <w:b/>
          <w:bCs/>
          <w:kern w:val="0"/>
          <w:sz w:val="44"/>
          <w:szCs w:val="44"/>
        </w:rPr>
        <w:t>质疑函范本</w:t>
      </w:r>
    </w:p>
    <w:p w14:paraId="62245136">
      <w:pPr>
        <w:adjustRightInd w:val="0"/>
        <w:snapToGrid w:val="0"/>
        <w:spacing w:before="312" w:beforeLines="100" w:line="360" w:lineRule="auto"/>
        <w:rPr>
          <w:rFonts w:hint="eastAsia" w:ascii="黑体" w:hAnsi="黑体" w:eastAsia="黑体" w:cs="仿宋"/>
          <w:bCs/>
          <w:kern w:val="0"/>
          <w:sz w:val="32"/>
          <w:szCs w:val="32"/>
        </w:rPr>
      </w:pPr>
      <w:r>
        <w:rPr>
          <w:rFonts w:hint="eastAsia" w:ascii="黑体" w:hAnsi="黑体" w:eastAsia="黑体" w:cs="仿宋"/>
          <w:bCs/>
          <w:kern w:val="0"/>
          <w:sz w:val="32"/>
          <w:szCs w:val="32"/>
        </w:rPr>
        <w:t>一、质疑供应商基本信息</w:t>
      </w:r>
    </w:p>
    <w:p w14:paraId="336FFB6A">
      <w:pPr>
        <w:adjustRightInd w:val="0"/>
        <w:snapToGrid w:val="0"/>
        <w:spacing w:line="360" w:lineRule="auto"/>
        <w:rPr>
          <w:rFonts w:hint="eastAsia" w:ascii="仿宋" w:hAnsi="仿宋" w:eastAsia="仿宋" w:cs="仿宋"/>
          <w:kern w:val="0"/>
          <w:sz w:val="32"/>
          <w:szCs w:val="32"/>
          <w:u w:val="dotted"/>
        </w:rPr>
      </w:pPr>
      <w:r>
        <w:rPr>
          <w:rFonts w:hint="eastAsia" w:ascii="仿宋" w:hAnsi="仿宋" w:eastAsia="仿宋" w:cs="仿宋"/>
          <w:kern w:val="0"/>
          <w:sz w:val="32"/>
          <w:szCs w:val="32"/>
        </w:rPr>
        <w:t>质疑供应商：</w:t>
      </w:r>
      <w:r>
        <w:rPr>
          <w:rFonts w:hint="eastAsia" w:ascii="仿宋" w:hAnsi="仿宋" w:eastAsia="仿宋" w:cs="仿宋"/>
          <w:kern w:val="0"/>
          <w:sz w:val="32"/>
          <w:szCs w:val="32"/>
          <w:u w:val="dotted"/>
        </w:rPr>
        <w:t xml:space="preserve">                                        </w:t>
      </w:r>
    </w:p>
    <w:p w14:paraId="2C656B54">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地址：</w:t>
      </w:r>
      <w:r>
        <w:rPr>
          <w:rFonts w:hint="eastAsia" w:ascii="仿宋" w:hAnsi="仿宋" w:eastAsia="仿宋" w:cs="仿宋"/>
          <w:kern w:val="0"/>
          <w:sz w:val="32"/>
          <w:szCs w:val="32"/>
          <w:u w:val="dotted"/>
        </w:rPr>
        <w:t xml:space="preserve">                          </w:t>
      </w:r>
      <w:r>
        <w:rPr>
          <w:rFonts w:hint="eastAsia" w:ascii="仿宋" w:hAnsi="仿宋" w:eastAsia="仿宋" w:cs="仿宋"/>
          <w:kern w:val="0"/>
          <w:sz w:val="32"/>
          <w:szCs w:val="32"/>
        </w:rPr>
        <w:t>邮编：</w:t>
      </w:r>
      <w:r>
        <w:rPr>
          <w:rFonts w:hint="eastAsia" w:ascii="仿宋" w:hAnsi="仿宋" w:eastAsia="仿宋" w:cs="仿宋"/>
          <w:kern w:val="0"/>
          <w:sz w:val="32"/>
          <w:szCs w:val="32"/>
          <w:u w:val="dotted"/>
        </w:rPr>
        <w:t xml:space="preserve">                                                   </w:t>
      </w:r>
    </w:p>
    <w:p w14:paraId="347FE7DA">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联系人：</w:t>
      </w:r>
      <w:r>
        <w:rPr>
          <w:rFonts w:hint="eastAsia" w:ascii="仿宋" w:hAnsi="仿宋" w:eastAsia="仿宋" w:cs="仿宋"/>
          <w:kern w:val="0"/>
          <w:sz w:val="32"/>
          <w:szCs w:val="32"/>
          <w:u w:val="dotted"/>
        </w:rPr>
        <w:t xml:space="preserve">                      </w:t>
      </w:r>
      <w:r>
        <w:rPr>
          <w:rFonts w:hint="eastAsia" w:ascii="仿宋" w:hAnsi="仿宋" w:eastAsia="仿宋" w:cs="仿宋"/>
          <w:kern w:val="0"/>
          <w:sz w:val="32"/>
          <w:szCs w:val="32"/>
        </w:rPr>
        <w:t>联系电话：</w:t>
      </w:r>
      <w:r>
        <w:rPr>
          <w:rFonts w:hint="eastAsia" w:ascii="仿宋" w:hAnsi="仿宋" w:eastAsia="仿宋" w:cs="仿宋"/>
          <w:kern w:val="0"/>
          <w:sz w:val="32"/>
          <w:szCs w:val="32"/>
          <w:u w:val="dotted"/>
        </w:rPr>
        <w:t xml:space="preserve">                              </w:t>
      </w:r>
    </w:p>
    <w:p w14:paraId="16F32CC2">
      <w:pPr>
        <w:adjustRightInd w:val="0"/>
        <w:snapToGrid w:val="0"/>
        <w:spacing w:line="360" w:lineRule="auto"/>
        <w:rPr>
          <w:rFonts w:hint="eastAsia" w:ascii="仿宋" w:hAnsi="仿宋" w:eastAsia="仿宋" w:cs="仿宋"/>
          <w:kern w:val="0"/>
          <w:sz w:val="32"/>
          <w:szCs w:val="32"/>
          <w:u w:val="dotted"/>
        </w:rPr>
      </w:pPr>
      <w:r>
        <w:rPr>
          <w:rFonts w:hint="eastAsia" w:ascii="仿宋" w:hAnsi="仿宋" w:eastAsia="仿宋" w:cs="仿宋"/>
          <w:kern w:val="0"/>
          <w:sz w:val="32"/>
          <w:szCs w:val="32"/>
        </w:rPr>
        <w:t>授权代表：</w:t>
      </w:r>
      <w:r>
        <w:rPr>
          <w:rFonts w:hint="eastAsia" w:ascii="仿宋" w:hAnsi="仿宋" w:eastAsia="仿宋" w:cs="仿宋"/>
          <w:kern w:val="0"/>
          <w:sz w:val="32"/>
          <w:szCs w:val="32"/>
          <w:u w:val="dotted"/>
        </w:rPr>
        <w:t xml:space="preserve">                                          </w:t>
      </w:r>
    </w:p>
    <w:p w14:paraId="1625D66E">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联系电话：</w:t>
      </w:r>
      <w:r>
        <w:rPr>
          <w:rFonts w:hint="eastAsia" w:ascii="仿宋" w:hAnsi="仿宋" w:eastAsia="仿宋" w:cs="仿宋"/>
          <w:kern w:val="0"/>
          <w:sz w:val="32"/>
          <w:szCs w:val="32"/>
          <w:u w:val="dotted"/>
        </w:rPr>
        <w:t xml:space="preserve">                                           </w:t>
      </w:r>
      <w:r>
        <w:rPr>
          <w:rFonts w:ascii="仿宋" w:hAnsi="仿宋" w:eastAsia="仿宋" w:cs="仿宋"/>
          <w:kern w:val="0"/>
          <w:sz w:val="32"/>
          <w:szCs w:val="32"/>
        </w:rPr>
        <w:t xml:space="preserve"> </w:t>
      </w:r>
    </w:p>
    <w:p w14:paraId="0E8D50D6">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地址：</w:t>
      </w:r>
      <w:r>
        <w:rPr>
          <w:rFonts w:ascii="仿宋" w:hAnsi="仿宋" w:eastAsia="仿宋" w:cs="仿宋"/>
          <w:kern w:val="0"/>
          <w:sz w:val="32"/>
          <w:szCs w:val="32"/>
        </w:rPr>
        <w:t xml:space="preserve"> </w:t>
      </w:r>
      <w:r>
        <w:rPr>
          <w:rFonts w:hint="eastAsia" w:ascii="仿宋" w:hAnsi="仿宋" w:eastAsia="仿宋" w:cs="仿宋"/>
          <w:kern w:val="0"/>
          <w:sz w:val="32"/>
          <w:szCs w:val="32"/>
          <w:u w:val="dotted"/>
        </w:rPr>
        <w:t xml:space="preserve">                        </w:t>
      </w:r>
      <w:r>
        <w:rPr>
          <w:rFonts w:hint="eastAsia" w:ascii="仿宋" w:hAnsi="仿宋" w:eastAsia="仿宋" w:cs="仿宋"/>
          <w:kern w:val="0"/>
          <w:sz w:val="32"/>
          <w:szCs w:val="32"/>
        </w:rPr>
        <w:t>邮编：</w:t>
      </w:r>
      <w:r>
        <w:rPr>
          <w:rFonts w:hint="eastAsia" w:ascii="仿宋" w:hAnsi="仿宋" w:eastAsia="仿宋" w:cs="仿宋"/>
          <w:kern w:val="0"/>
          <w:sz w:val="32"/>
          <w:szCs w:val="32"/>
          <w:u w:val="dotted"/>
        </w:rPr>
        <w:t xml:space="preserve">                                                </w:t>
      </w:r>
    </w:p>
    <w:p w14:paraId="079F6944">
      <w:pPr>
        <w:adjustRightInd w:val="0"/>
        <w:snapToGrid w:val="0"/>
        <w:spacing w:line="360" w:lineRule="auto"/>
        <w:rPr>
          <w:rFonts w:hint="eastAsia" w:ascii="黑体" w:hAnsi="黑体" w:eastAsia="黑体" w:cs="仿宋"/>
          <w:bCs/>
          <w:kern w:val="0"/>
          <w:sz w:val="32"/>
          <w:szCs w:val="32"/>
        </w:rPr>
      </w:pPr>
      <w:r>
        <w:rPr>
          <w:rFonts w:hint="eastAsia" w:ascii="黑体" w:hAnsi="黑体" w:eastAsia="黑体" w:cs="仿宋"/>
          <w:bCs/>
          <w:kern w:val="0"/>
          <w:sz w:val="32"/>
          <w:szCs w:val="32"/>
        </w:rPr>
        <w:t>二、质疑项目基本情况</w:t>
      </w:r>
    </w:p>
    <w:p w14:paraId="08D95D96">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质疑项目的名称：</w:t>
      </w:r>
      <w:r>
        <w:rPr>
          <w:rFonts w:hint="eastAsia" w:ascii="仿宋" w:hAnsi="仿宋" w:eastAsia="仿宋" w:cs="仿宋"/>
          <w:kern w:val="0"/>
          <w:sz w:val="32"/>
          <w:szCs w:val="32"/>
          <w:u w:val="dotted"/>
        </w:rPr>
        <w:t xml:space="preserve">                                      </w:t>
      </w:r>
    </w:p>
    <w:p w14:paraId="3909303B">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质疑项目的编号：</w:t>
      </w:r>
      <w:r>
        <w:rPr>
          <w:rFonts w:hint="eastAsia" w:ascii="仿宋" w:hAnsi="仿宋" w:eastAsia="仿宋" w:cs="仿宋"/>
          <w:kern w:val="0"/>
          <w:sz w:val="32"/>
          <w:szCs w:val="32"/>
          <w:u w:val="dotted"/>
        </w:rPr>
        <w:t xml:space="preserve">               </w:t>
      </w:r>
      <w:r>
        <w:rPr>
          <w:rFonts w:hint="eastAsia" w:ascii="仿宋" w:hAnsi="仿宋" w:eastAsia="仿宋" w:cs="仿宋"/>
          <w:kern w:val="0"/>
          <w:sz w:val="32"/>
          <w:szCs w:val="32"/>
        </w:rPr>
        <w:t>包号：</w:t>
      </w:r>
      <w:r>
        <w:rPr>
          <w:rFonts w:hint="eastAsia" w:ascii="仿宋" w:hAnsi="仿宋" w:eastAsia="仿宋" w:cs="仿宋"/>
          <w:kern w:val="0"/>
          <w:sz w:val="32"/>
          <w:szCs w:val="32"/>
          <w:u w:val="dotted"/>
        </w:rPr>
        <w:t xml:space="preserve">                 </w:t>
      </w:r>
    </w:p>
    <w:p w14:paraId="5F12BE77">
      <w:pPr>
        <w:adjustRightInd w:val="0"/>
        <w:snapToGrid w:val="0"/>
        <w:spacing w:line="360" w:lineRule="auto"/>
        <w:rPr>
          <w:rFonts w:hint="eastAsia" w:ascii="仿宋" w:hAnsi="仿宋" w:eastAsia="仿宋" w:cs="仿宋"/>
          <w:kern w:val="0"/>
          <w:sz w:val="32"/>
          <w:szCs w:val="32"/>
          <w:u w:val="dotted"/>
        </w:rPr>
      </w:pPr>
      <w:r>
        <w:rPr>
          <w:rFonts w:hint="eastAsia" w:ascii="仿宋" w:hAnsi="仿宋" w:eastAsia="仿宋" w:cs="仿宋"/>
          <w:kern w:val="0"/>
          <w:sz w:val="32"/>
          <w:szCs w:val="32"/>
        </w:rPr>
        <w:t>采购人名称：</w:t>
      </w:r>
      <w:r>
        <w:rPr>
          <w:rFonts w:hint="eastAsia" w:ascii="仿宋" w:hAnsi="仿宋" w:eastAsia="仿宋" w:cs="仿宋"/>
          <w:kern w:val="0"/>
          <w:sz w:val="32"/>
          <w:szCs w:val="32"/>
          <w:u w:val="dotted"/>
        </w:rPr>
        <w:t xml:space="preserve">                                         </w:t>
      </w:r>
    </w:p>
    <w:p w14:paraId="14AF6D05">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采购文件获取日期：</w:t>
      </w:r>
      <w:r>
        <w:rPr>
          <w:rFonts w:hint="eastAsia" w:ascii="仿宋" w:hAnsi="仿宋" w:eastAsia="仿宋" w:cs="仿宋"/>
          <w:kern w:val="0"/>
          <w:sz w:val="32"/>
          <w:szCs w:val="32"/>
          <w:u w:val="dotted"/>
        </w:rPr>
        <w:t xml:space="preserve">                                           </w:t>
      </w:r>
    </w:p>
    <w:p w14:paraId="10EE9A3D">
      <w:pPr>
        <w:adjustRightInd w:val="0"/>
        <w:snapToGrid w:val="0"/>
        <w:spacing w:line="360" w:lineRule="auto"/>
        <w:rPr>
          <w:rFonts w:hint="eastAsia" w:ascii="黑体" w:hAnsi="黑体" w:eastAsia="黑体" w:cs="仿宋"/>
          <w:bCs/>
          <w:kern w:val="0"/>
          <w:sz w:val="32"/>
          <w:szCs w:val="32"/>
        </w:rPr>
      </w:pPr>
      <w:r>
        <w:rPr>
          <w:rFonts w:hint="eastAsia" w:ascii="黑体" w:hAnsi="黑体" w:eastAsia="黑体" w:cs="仿宋"/>
          <w:bCs/>
          <w:kern w:val="0"/>
          <w:sz w:val="32"/>
          <w:szCs w:val="32"/>
        </w:rPr>
        <w:t>三、质疑事项具体内容</w:t>
      </w:r>
    </w:p>
    <w:p w14:paraId="35084E28">
      <w:pPr>
        <w:adjustRightInd w:val="0"/>
        <w:snapToGrid w:val="0"/>
        <w:spacing w:line="360" w:lineRule="auto"/>
        <w:rPr>
          <w:rFonts w:hint="eastAsia" w:ascii="仿宋" w:hAnsi="仿宋" w:eastAsia="仿宋" w:cs="仿宋"/>
          <w:kern w:val="0"/>
          <w:sz w:val="32"/>
          <w:szCs w:val="32"/>
          <w:u w:val="dotted"/>
        </w:rPr>
      </w:pPr>
      <w:r>
        <w:rPr>
          <w:rFonts w:hint="eastAsia" w:ascii="仿宋" w:hAnsi="仿宋" w:eastAsia="仿宋" w:cs="仿宋"/>
          <w:kern w:val="0"/>
          <w:sz w:val="32"/>
          <w:szCs w:val="32"/>
        </w:rPr>
        <w:t>质疑事项1：</w:t>
      </w:r>
      <w:r>
        <w:rPr>
          <w:rFonts w:hint="eastAsia" w:ascii="仿宋" w:hAnsi="仿宋" w:eastAsia="仿宋" w:cs="仿宋"/>
          <w:kern w:val="0"/>
          <w:sz w:val="32"/>
          <w:szCs w:val="32"/>
          <w:u w:val="dotted"/>
        </w:rPr>
        <w:t xml:space="preserve">                                         </w:t>
      </w:r>
    </w:p>
    <w:p w14:paraId="044942B9">
      <w:pPr>
        <w:adjustRightInd w:val="0"/>
        <w:snapToGrid w:val="0"/>
        <w:spacing w:line="360" w:lineRule="auto"/>
        <w:rPr>
          <w:rFonts w:hint="eastAsia" w:ascii="仿宋" w:hAnsi="仿宋" w:eastAsia="仿宋" w:cs="仿宋"/>
          <w:kern w:val="0"/>
          <w:sz w:val="32"/>
          <w:szCs w:val="32"/>
          <w:u w:val="dotted"/>
        </w:rPr>
      </w:pPr>
      <w:r>
        <w:rPr>
          <w:rFonts w:hint="eastAsia" w:ascii="仿宋" w:hAnsi="仿宋" w:eastAsia="仿宋" w:cs="仿宋"/>
          <w:kern w:val="0"/>
          <w:sz w:val="32"/>
          <w:szCs w:val="32"/>
        </w:rPr>
        <w:t>事实依据：</w:t>
      </w:r>
      <w:r>
        <w:rPr>
          <w:rFonts w:hint="eastAsia" w:ascii="仿宋" w:hAnsi="仿宋" w:eastAsia="仿宋" w:cs="仿宋"/>
          <w:kern w:val="0"/>
          <w:sz w:val="32"/>
          <w:szCs w:val="32"/>
          <w:u w:val="dotted"/>
        </w:rPr>
        <w:t xml:space="preserve">                                          </w:t>
      </w:r>
    </w:p>
    <w:p w14:paraId="6B70BBE8">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u w:val="dotted"/>
        </w:rPr>
        <w:t xml:space="preserve">                                                       </w:t>
      </w:r>
    </w:p>
    <w:p w14:paraId="4D05175C">
      <w:pPr>
        <w:adjustRightInd w:val="0"/>
        <w:snapToGrid w:val="0"/>
        <w:spacing w:line="360" w:lineRule="auto"/>
        <w:rPr>
          <w:rFonts w:hint="eastAsia" w:ascii="仿宋" w:hAnsi="仿宋" w:eastAsia="仿宋" w:cs="仿宋"/>
          <w:kern w:val="0"/>
          <w:sz w:val="32"/>
          <w:szCs w:val="32"/>
          <w:u w:val="dotted"/>
        </w:rPr>
      </w:pPr>
      <w:r>
        <w:rPr>
          <w:rFonts w:hint="eastAsia" w:ascii="仿宋" w:hAnsi="仿宋" w:eastAsia="仿宋" w:cs="仿宋"/>
          <w:kern w:val="0"/>
          <w:sz w:val="32"/>
          <w:szCs w:val="32"/>
        </w:rPr>
        <w:t>法律依据：</w:t>
      </w:r>
      <w:r>
        <w:rPr>
          <w:rFonts w:hint="eastAsia" w:ascii="仿宋" w:hAnsi="仿宋" w:eastAsia="仿宋" w:cs="仿宋"/>
          <w:kern w:val="0"/>
          <w:sz w:val="32"/>
          <w:szCs w:val="32"/>
          <w:u w:val="dotted"/>
        </w:rPr>
        <w:t xml:space="preserve">                                          </w:t>
      </w:r>
    </w:p>
    <w:p w14:paraId="0E61B23B">
      <w:pPr>
        <w:adjustRightInd w:val="0"/>
        <w:snapToGrid w:val="0"/>
        <w:spacing w:line="360" w:lineRule="auto"/>
        <w:rPr>
          <w:rFonts w:hint="eastAsia" w:ascii="仿宋" w:hAnsi="仿宋" w:eastAsia="仿宋" w:cs="仿宋"/>
          <w:kern w:val="0"/>
          <w:sz w:val="32"/>
          <w:szCs w:val="32"/>
          <w:u w:val="dotted"/>
        </w:rPr>
      </w:pPr>
      <w:r>
        <w:rPr>
          <w:rFonts w:hint="eastAsia" w:ascii="仿宋" w:hAnsi="仿宋" w:eastAsia="仿宋" w:cs="仿宋"/>
          <w:kern w:val="0"/>
          <w:sz w:val="32"/>
          <w:szCs w:val="32"/>
          <w:u w:val="dotted"/>
        </w:rPr>
        <w:t xml:space="preserve">                                                     </w:t>
      </w:r>
    </w:p>
    <w:p w14:paraId="4454A992">
      <w:pPr>
        <w:adjustRightInd w:val="0"/>
        <w:snapToGrid w:val="0"/>
        <w:spacing w:line="360" w:lineRule="auto"/>
        <w:rPr>
          <w:rFonts w:hint="eastAsia" w:ascii="仿宋" w:hAnsi="仿宋" w:eastAsia="仿宋" w:cs="仿宋"/>
          <w:kern w:val="0"/>
          <w:sz w:val="32"/>
          <w:szCs w:val="32"/>
          <w:u w:val="dotted"/>
        </w:rPr>
      </w:pPr>
      <w:r>
        <w:rPr>
          <w:rFonts w:hint="eastAsia" w:ascii="仿宋" w:hAnsi="仿宋" w:eastAsia="仿宋" w:cs="仿宋"/>
          <w:kern w:val="0"/>
          <w:sz w:val="32"/>
          <w:szCs w:val="32"/>
        </w:rPr>
        <w:t>质疑事项2</w:t>
      </w:r>
    </w:p>
    <w:p w14:paraId="33C1F010">
      <w:pPr>
        <w:adjustRightInd w:val="0"/>
        <w:snapToGrid w:val="0"/>
        <w:spacing w:line="360" w:lineRule="auto"/>
        <w:rPr>
          <w:rFonts w:hint="eastAsia" w:ascii="仿宋" w:hAnsi="仿宋" w:eastAsia="仿宋" w:cs="仿宋"/>
          <w:kern w:val="0"/>
          <w:sz w:val="32"/>
          <w:szCs w:val="32"/>
        </w:rPr>
      </w:pPr>
      <w:r>
        <w:rPr>
          <w:rFonts w:hint="eastAsia" w:ascii="仿宋" w:hAnsi="仿宋" w:eastAsia="仿宋" w:cs="仿宋"/>
          <w:kern w:val="0"/>
          <w:sz w:val="32"/>
          <w:szCs w:val="32"/>
        </w:rPr>
        <w:t>……</w:t>
      </w:r>
    </w:p>
    <w:p w14:paraId="43250BAD">
      <w:pPr>
        <w:adjustRightInd w:val="0"/>
        <w:snapToGrid w:val="0"/>
        <w:spacing w:line="360" w:lineRule="auto"/>
        <w:rPr>
          <w:rFonts w:hint="eastAsia" w:ascii="黑体" w:hAnsi="黑体" w:eastAsia="黑体" w:cs="仿宋"/>
          <w:bCs/>
          <w:kern w:val="0"/>
          <w:sz w:val="32"/>
          <w:szCs w:val="32"/>
        </w:rPr>
      </w:pPr>
      <w:r>
        <w:rPr>
          <w:rFonts w:hint="eastAsia" w:ascii="黑体" w:hAnsi="黑体" w:eastAsia="黑体" w:cs="仿宋"/>
          <w:bCs/>
          <w:kern w:val="0"/>
          <w:sz w:val="32"/>
          <w:szCs w:val="32"/>
        </w:rPr>
        <w:t>四、与质疑事项相关的质疑请求</w:t>
      </w:r>
    </w:p>
    <w:p w14:paraId="3EC75746">
      <w:pPr>
        <w:adjustRightInd w:val="0"/>
        <w:snapToGrid w:val="0"/>
        <w:spacing w:line="360" w:lineRule="auto"/>
        <w:rPr>
          <w:rFonts w:hint="eastAsia" w:ascii="仿宋" w:hAnsi="仿宋" w:eastAsia="仿宋" w:cs="仿宋"/>
          <w:kern w:val="0"/>
          <w:sz w:val="32"/>
          <w:szCs w:val="32"/>
          <w:u w:val="dotted"/>
        </w:rPr>
      </w:pPr>
      <w:r>
        <w:rPr>
          <w:rFonts w:hint="eastAsia" w:ascii="仿宋" w:hAnsi="仿宋" w:eastAsia="仿宋" w:cs="仿宋"/>
          <w:kern w:val="0"/>
          <w:sz w:val="32"/>
          <w:szCs w:val="32"/>
        </w:rPr>
        <w:t>请求：</w:t>
      </w:r>
      <w:r>
        <w:rPr>
          <w:rFonts w:hint="eastAsia" w:ascii="仿宋" w:hAnsi="仿宋" w:eastAsia="仿宋" w:cs="仿宋"/>
          <w:kern w:val="0"/>
          <w:sz w:val="32"/>
          <w:szCs w:val="32"/>
          <w:u w:val="dotted"/>
        </w:rPr>
        <w:t xml:space="preserve">                                               </w:t>
      </w:r>
    </w:p>
    <w:p w14:paraId="6E5F463B">
      <w:pPr>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 xml:space="preserve">签字(签章)：                   公章：                      </w:t>
      </w:r>
    </w:p>
    <w:p w14:paraId="3621F10E">
      <w:pPr>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 xml:space="preserve">日期：    </w:t>
      </w:r>
    </w:p>
    <w:p w14:paraId="08A3385F">
      <w:pPr>
        <w:adjustRightInd w:val="0"/>
        <w:snapToGrid w:val="0"/>
        <w:spacing w:line="360" w:lineRule="auto"/>
        <w:rPr>
          <w:rFonts w:hint="eastAsia" w:ascii="仿宋" w:hAnsi="仿宋" w:eastAsia="仿宋" w:cs="仿宋"/>
          <w:kern w:val="0"/>
          <w:sz w:val="32"/>
          <w:szCs w:val="32"/>
        </w:rPr>
      </w:pPr>
    </w:p>
    <w:p w14:paraId="3AF7DB53">
      <w:pPr>
        <w:adjustRightInd w:val="0"/>
        <w:snapToGrid w:val="0"/>
        <w:spacing w:line="360" w:lineRule="auto"/>
        <w:rPr>
          <w:rFonts w:hint="eastAsia" w:ascii="仿宋" w:hAnsi="仿宋" w:eastAsia="仿宋" w:cs="仿宋"/>
          <w:kern w:val="0"/>
          <w:sz w:val="32"/>
          <w:szCs w:val="32"/>
        </w:rPr>
      </w:pPr>
    </w:p>
    <w:p w14:paraId="646456EC">
      <w:pPr>
        <w:jc w:val="center"/>
        <w:rPr>
          <w:rFonts w:hint="eastAsia" w:ascii="仿宋" w:hAnsi="仿宋" w:eastAsia="仿宋" w:cs="仿宋"/>
          <w:b/>
          <w:bCs/>
          <w:kern w:val="0"/>
          <w:sz w:val="32"/>
          <w:szCs w:val="32"/>
        </w:rPr>
      </w:pPr>
    </w:p>
    <w:p w14:paraId="3F0041FE">
      <w:pPr>
        <w:jc w:val="center"/>
        <w:rPr>
          <w:rFonts w:hint="eastAsia" w:ascii="仿宋" w:hAnsi="仿宋" w:eastAsia="仿宋" w:cs="仿宋"/>
          <w:b/>
          <w:bCs/>
          <w:kern w:val="0"/>
          <w:sz w:val="32"/>
          <w:szCs w:val="32"/>
        </w:rPr>
      </w:pPr>
    </w:p>
    <w:p w14:paraId="40245E77">
      <w:pPr>
        <w:jc w:val="center"/>
        <w:rPr>
          <w:rFonts w:hint="eastAsia" w:ascii="仿宋" w:hAnsi="仿宋" w:eastAsia="仿宋" w:cs="仿宋"/>
          <w:b/>
          <w:bCs/>
          <w:kern w:val="0"/>
          <w:sz w:val="32"/>
          <w:szCs w:val="32"/>
        </w:rPr>
      </w:pPr>
    </w:p>
    <w:p w14:paraId="07FD1451">
      <w:pPr>
        <w:jc w:val="center"/>
        <w:rPr>
          <w:rFonts w:hint="eastAsia" w:ascii="仿宋" w:hAnsi="仿宋" w:eastAsia="仿宋" w:cs="仿宋"/>
          <w:b/>
          <w:bCs/>
          <w:kern w:val="0"/>
          <w:sz w:val="32"/>
          <w:szCs w:val="32"/>
        </w:rPr>
      </w:pPr>
    </w:p>
    <w:p w14:paraId="5FE5C652">
      <w:pPr>
        <w:jc w:val="center"/>
        <w:rPr>
          <w:rFonts w:hint="eastAsia" w:ascii="仿宋" w:hAnsi="仿宋" w:eastAsia="仿宋" w:cs="仿宋"/>
          <w:b/>
          <w:bCs/>
          <w:kern w:val="0"/>
          <w:sz w:val="32"/>
          <w:szCs w:val="32"/>
        </w:rPr>
      </w:pPr>
    </w:p>
    <w:p w14:paraId="0FC345F1">
      <w:pPr>
        <w:jc w:val="center"/>
        <w:rPr>
          <w:rFonts w:hint="eastAsia" w:ascii="仿宋" w:hAnsi="仿宋" w:eastAsia="仿宋" w:cs="仿宋"/>
          <w:b/>
          <w:bCs/>
          <w:kern w:val="0"/>
          <w:sz w:val="32"/>
          <w:szCs w:val="32"/>
        </w:rPr>
      </w:pPr>
    </w:p>
    <w:p w14:paraId="45024CB3">
      <w:pPr>
        <w:jc w:val="center"/>
        <w:rPr>
          <w:rFonts w:hint="eastAsia" w:ascii="仿宋" w:hAnsi="仿宋" w:eastAsia="仿宋" w:cs="仿宋"/>
          <w:b/>
          <w:bCs/>
          <w:kern w:val="0"/>
          <w:sz w:val="32"/>
          <w:szCs w:val="32"/>
        </w:rPr>
      </w:pPr>
    </w:p>
    <w:p w14:paraId="4578F916">
      <w:pPr>
        <w:rPr>
          <w:rFonts w:hint="eastAsia" w:ascii="黑体" w:hAnsi="黑体" w:eastAsia="黑体" w:cs="Times New Roman"/>
          <w:b/>
          <w:kern w:val="0"/>
          <w:sz w:val="32"/>
          <w:szCs w:val="32"/>
        </w:rPr>
      </w:pPr>
    </w:p>
    <w:p w14:paraId="6895FED0">
      <w:pPr>
        <w:rPr>
          <w:rFonts w:hint="eastAsia" w:ascii="黑体" w:hAnsi="黑体" w:eastAsia="黑体" w:cs="Times New Roman"/>
          <w:b/>
          <w:kern w:val="0"/>
          <w:sz w:val="32"/>
          <w:szCs w:val="32"/>
        </w:rPr>
      </w:pPr>
    </w:p>
    <w:p w14:paraId="741A9213">
      <w:pPr>
        <w:rPr>
          <w:rFonts w:hint="eastAsia" w:ascii="黑体" w:hAnsi="黑体" w:eastAsia="黑体" w:cs="Times New Roman"/>
          <w:b/>
          <w:kern w:val="0"/>
          <w:sz w:val="32"/>
          <w:szCs w:val="32"/>
        </w:rPr>
      </w:pPr>
    </w:p>
    <w:p w14:paraId="1698BA1F">
      <w:pPr>
        <w:rPr>
          <w:rFonts w:hint="eastAsia" w:ascii="黑体" w:hAnsi="黑体" w:eastAsia="黑体" w:cs="Times New Roman"/>
          <w:b/>
          <w:kern w:val="0"/>
          <w:sz w:val="32"/>
          <w:szCs w:val="32"/>
        </w:rPr>
      </w:pPr>
    </w:p>
    <w:p w14:paraId="6DCD5DCF">
      <w:pPr>
        <w:rPr>
          <w:rFonts w:hint="eastAsia" w:ascii="黑体" w:hAnsi="黑体" w:eastAsia="黑体" w:cs="Times New Roman"/>
          <w:b/>
          <w:kern w:val="0"/>
          <w:sz w:val="32"/>
          <w:szCs w:val="32"/>
        </w:rPr>
      </w:pPr>
    </w:p>
    <w:p w14:paraId="4BE610EA">
      <w:pPr>
        <w:rPr>
          <w:rFonts w:hint="eastAsia" w:ascii="黑体" w:hAnsi="黑体" w:eastAsia="黑体" w:cs="Times New Roman"/>
          <w:b/>
          <w:kern w:val="0"/>
          <w:sz w:val="32"/>
          <w:szCs w:val="32"/>
        </w:rPr>
      </w:pPr>
    </w:p>
    <w:p w14:paraId="365C88BB">
      <w:pPr>
        <w:rPr>
          <w:rFonts w:hint="eastAsia" w:ascii="黑体" w:hAnsi="黑体" w:eastAsia="黑体" w:cs="Times New Roman"/>
          <w:b/>
          <w:kern w:val="0"/>
          <w:sz w:val="32"/>
          <w:szCs w:val="32"/>
        </w:rPr>
      </w:pPr>
    </w:p>
    <w:p w14:paraId="408BCEE5">
      <w:pPr>
        <w:rPr>
          <w:rFonts w:hint="eastAsia" w:ascii="黑体" w:hAnsi="黑体" w:eastAsia="黑体" w:cs="Times New Roman"/>
          <w:b/>
          <w:kern w:val="0"/>
          <w:sz w:val="32"/>
          <w:szCs w:val="32"/>
        </w:rPr>
      </w:pPr>
    </w:p>
    <w:p w14:paraId="2C4CF527">
      <w:pPr>
        <w:rPr>
          <w:rFonts w:hint="eastAsia" w:ascii="黑体" w:hAnsi="黑体" w:eastAsia="黑体" w:cs="Times New Roman"/>
          <w:b/>
          <w:kern w:val="0"/>
          <w:sz w:val="32"/>
          <w:szCs w:val="32"/>
        </w:rPr>
      </w:pPr>
    </w:p>
    <w:p w14:paraId="27136545">
      <w:pPr>
        <w:rPr>
          <w:rFonts w:hint="eastAsia" w:ascii="黑体" w:hAnsi="黑体" w:eastAsia="黑体" w:cs="Times New Roman"/>
          <w:b/>
          <w:kern w:val="0"/>
          <w:sz w:val="32"/>
          <w:szCs w:val="32"/>
        </w:rPr>
      </w:pPr>
      <w:r>
        <w:rPr>
          <w:rFonts w:hint="eastAsia" w:ascii="黑体" w:hAnsi="黑体" w:eastAsia="黑体" w:cs="Times New Roman"/>
          <w:b/>
          <w:kern w:val="0"/>
          <w:sz w:val="32"/>
          <w:szCs w:val="32"/>
        </w:rPr>
        <w:t>质疑函制作说明：</w:t>
      </w:r>
    </w:p>
    <w:p w14:paraId="7CFA6B9C">
      <w:pPr>
        <w:widowControl/>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1.供应商提出质疑时，应提交质疑函和必要的证明材料。</w:t>
      </w:r>
    </w:p>
    <w:p w14:paraId="6532756C">
      <w:pPr>
        <w:widowControl/>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4801EBDB">
      <w:pPr>
        <w:widowControl/>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3.质疑供应商若对项目的某一分包进行质疑，质疑函中应列明具体分包号。</w:t>
      </w:r>
    </w:p>
    <w:p w14:paraId="04520FAE">
      <w:pPr>
        <w:widowControl/>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4.质疑函的质疑事项应具体、明确，并有必要的事实依据和法律依据。</w:t>
      </w:r>
    </w:p>
    <w:p w14:paraId="395FF825">
      <w:pPr>
        <w:widowControl/>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5.质疑函的质疑请求应与质疑事项相关。</w:t>
      </w:r>
    </w:p>
    <w:p w14:paraId="07747750">
      <w:pPr>
        <w:widowControl/>
        <w:spacing w:line="380" w:lineRule="exact"/>
        <w:ind w:firstLine="640" w:firstLineChars="200"/>
        <w:jc w:val="left"/>
        <w:rPr>
          <w:color w:val="auto"/>
          <w:highlight w:val="none"/>
        </w:rPr>
      </w:pPr>
      <w:r>
        <w:rPr>
          <w:rFonts w:hint="eastAsia" w:ascii="仿宋_GB2312" w:hAnsi="Times New Roman" w:eastAsia="仿宋_GB2312" w:cs="Times New Roman"/>
          <w:kern w:val="0"/>
          <w:sz w:val="32"/>
          <w:szCs w:val="32"/>
        </w:rPr>
        <w:t>6.质疑供应商为自然人的，质疑函应由本人签字；质疑供应商为法人或者其他组织的，质疑函应由法定代表人、主要负责人，或者其授权代表签字或者盖章，并加盖公章。</w:t>
      </w:r>
    </w:p>
    <w:sectPr>
      <w:headerReference r:id="rId13" w:type="default"/>
      <w:footerReference r:id="rId14" w:type="default"/>
      <w:type w:val="continuous"/>
      <w:pgSz w:w="11906" w:h="16838"/>
      <w:pgMar w:top="1440" w:right="1797"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5281B">
    <w:pPr>
      <w:pStyle w:val="29"/>
      <w:ind w:right="360"/>
      <w:jc w:val="center"/>
      <w:rPr>
        <w:rFonts w:hint="eastAsia" w:eastAsia="黑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EBF0A">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2EBF0A">
                    <w:pPr>
                      <w:pStyle w:val="2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泰宇建筑工程技术咨询有限公司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FA8FA">
    <w:pPr>
      <w:pStyle w:val="29"/>
      <w:tabs>
        <w:tab w:val="left" w:pos="8738"/>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6681B">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46681B">
                    <w:pPr>
                      <w:pStyle w:val="29"/>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AAE9">
    <w:pPr>
      <w:pStyle w:val="29"/>
      <w:ind w:right="360"/>
      <w:jc w:val="center"/>
      <w:rPr>
        <w:rFonts w:hint="eastAsia" w:eastAsia="黑体"/>
        <w:lang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44231C">
                          <w:pPr>
                            <w:pStyle w:val="29"/>
                            <w:rPr>
                              <w:rFonts w:eastAsia="宋体"/>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ozL8oBAACc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ctq&#10;tc4d6gPUmPgQMDUNb/yAezP7AZ1Z+KCizV+URDCO/b3c+iuHRER+tFltNhWGBMbmC+Kzx+chQnor&#10;vSXZaGjEAZa+8vN7SGPqnJKrOX+vjSlDNO4vB2JmD8vcR47ZSsNhmAQdfHtBPT3OvqEOV50S885h&#10;a/OazEacjcNsnELUxw6pLQsvCK9PCUkUbrnCCDsVxqEVddOC5a34816yHn+q3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HozL8oBAACcAwAADgAAAAAAAAABACAAAAAeAQAAZHJzL2Uyb0Rv&#10;Yy54bWxQSwUGAAAAAAYABgBZAQAAWgUAAAAA&#10;">
              <v:fill on="f" focussize="0,0"/>
              <v:stroke on="f"/>
              <v:imagedata o:title=""/>
              <o:lock v:ext="edit" aspectratio="f"/>
              <v:textbox inset="0mm,0mm,0mm,0mm" style="mso-fit-shape-to-text:t;">
                <w:txbxContent>
                  <w:p w14:paraId="2B44231C">
                    <w:pPr>
                      <w:pStyle w:val="29"/>
                      <w:rPr>
                        <w:rFonts w:eastAsia="宋体"/>
                      </w:rPr>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泰宇建筑工程技术咨询有限公司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C837">
    <w:pPr>
      <w:pStyle w:val="29"/>
      <w:tabs>
        <w:tab w:val="left" w:pos="8738"/>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B628CD">
                          <w:pPr>
                            <w:pStyle w:val="29"/>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0Or8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Vi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z9Dq/LAQAAnAMAAA4AAAAAAAAAAQAgAAAAHgEAAGRycy9lMm9E&#10;b2MueG1sUEsFBgAAAAAGAAYAWQEAAFsFAAAAAA==&#10;">
              <v:fill on="f" focussize="0,0"/>
              <v:stroke on="f"/>
              <v:imagedata o:title=""/>
              <o:lock v:ext="edit" aspectratio="f"/>
              <v:textbox inset="0mm,0mm,0mm,0mm" style="mso-fit-shape-to-text:t;">
                <w:txbxContent>
                  <w:p w14:paraId="61B628CD">
                    <w:pPr>
                      <w:pStyle w:val="29"/>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00B5E">
    <w:pPr>
      <w:pStyle w:val="29"/>
      <w:ind w:right="720" w:rightChars="343" w:firstLine="180" w:firstLineChars="100"/>
      <w:jc w:val="center"/>
      <w:rPr>
        <w:rFonts w:hint="eastAsia" w:eastAsia="黑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77C51">
                          <w:pPr>
                            <w:pStyle w:val="2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A77C51">
                    <w:pPr>
                      <w:pStyle w:val="29"/>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lang w:eastAsia="zh-CN"/>
      </w:rPr>
      <w:t>泰宇建筑工程技术咨询有限公司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AC1CA">
    <w:pPr>
      <w:pStyle w:val="29"/>
      <w:framePr w:wrap="around" w:vAnchor="text" w:hAnchor="margin" w:xAlign="outside" w:y="1"/>
      <w:rPr>
        <w:rStyle w:val="49"/>
      </w:rPr>
    </w:pPr>
    <w:r>
      <w:fldChar w:fldCharType="begin"/>
    </w:r>
    <w:r>
      <w:rPr>
        <w:rStyle w:val="49"/>
      </w:rPr>
      <w:instrText xml:space="preserve">PAGE  </w:instrText>
    </w:r>
    <w:r>
      <w:fldChar w:fldCharType="separate"/>
    </w:r>
    <w:r>
      <w:rPr>
        <w:rStyle w:val="49"/>
      </w:rPr>
      <w:t>32</w:t>
    </w:r>
    <w:r>
      <w:fldChar w:fldCharType="end"/>
    </w:r>
  </w:p>
  <w:p w14:paraId="34EE0D43">
    <w:pPr>
      <w:pStyle w:val="2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622E">
    <w:pPr>
      <w:pStyle w:val="29"/>
      <w:ind w:right="720" w:firstLine="180" w:firstLineChars="100"/>
      <w:jc w:val="both"/>
      <w:rPr>
        <w:rFonts w:hint="eastAsia" w:eastAsia="黑体"/>
        <w:lang w:eastAsia="zh-CN"/>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7CF937">
                          <w:pPr>
                            <w:pStyle w:val="29"/>
                            <w:rPr>
                              <w:rStyle w:val="49"/>
                              <w:rFonts w:ascii="宋体" w:hAnsi="宋体" w:eastAsia="宋体"/>
                              <w:sz w:val="28"/>
                              <w:szCs w:val="28"/>
                            </w:rPr>
                          </w:pPr>
                          <w:r>
                            <w:rPr>
                              <w:rStyle w:val="49"/>
                              <w:rFonts w:hint="eastAsia" w:ascii="宋体" w:hAnsi="宋体" w:eastAsia="宋体"/>
                              <w:sz w:val="28"/>
                              <w:szCs w:val="28"/>
                            </w:rPr>
                            <w:t xml:space="preserve">— </w:t>
                          </w:r>
                          <w:r>
                            <w:rPr>
                              <w:rFonts w:ascii="宋体" w:hAnsi="宋体" w:eastAsia="宋体"/>
                              <w:sz w:val="28"/>
                              <w:szCs w:val="28"/>
                            </w:rPr>
                            <w:fldChar w:fldCharType="begin"/>
                          </w:r>
                          <w:r>
                            <w:rPr>
                              <w:rStyle w:val="49"/>
                              <w:rFonts w:ascii="宋体" w:hAnsi="宋体" w:eastAsia="宋体"/>
                              <w:sz w:val="28"/>
                              <w:szCs w:val="28"/>
                            </w:rPr>
                            <w:instrText xml:space="preserve">PAGE  </w:instrText>
                          </w:r>
                          <w:r>
                            <w:rPr>
                              <w:rFonts w:ascii="宋体" w:hAnsi="宋体" w:eastAsia="宋体"/>
                              <w:sz w:val="28"/>
                              <w:szCs w:val="28"/>
                            </w:rPr>
                            <w:fldChar w:fldCharType="separate"/>
                          </w:r>
                          <w:r>
                            <w:rPr>
                              <w:rStyle w:val="49"/>
                              <w:rFonts w:ascii="宋体" w:hAnsi="宋体" w:eastAsia="宋体"/>
                              <w:sz w:val="28"/>
                              <w:szCs w:val="28"/>
                            </w:rPr>
                            <w:t>70</w:t>
                          </w:r>
                          <w:r>
                            <w:rPr>
                              <w:rFonts w:ascii="宋体" w:hAnsi="宋体" w:eastAsia="宋体"/>
                              <w:sz w:val="28"/>
                              <w:szCs w:val="28"/>
                            </w:rPr>
                            <w:fldChar w:fldCharType="end"/>
                          </w:r>
                          <w:r>
                            <w:rPr>
                              <w:rStyle w:val="49"/>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1C7CF937">
                    <w:pPr>
                      <w:pStyle w:val="29"/>
                      <w:rPr>
                        <w:rStyle w:val="49"/>
                        <w:rFonts w:ascii="宋体" w:hAnsi="宋体" w:eastAsia="宋体"/>
                        <w:sz w:val="28"/>
                        <w:szCs w:val="28"/>
                      </w:rPr>
                    </w:pPr>
                    <w:r>
                      <w:rPr>
                        <w:rStyle w:val="49"/>
                        <w:rFonts w:hint="eastAsia" w:ascii="宋体" w:hAnsi="宋体" w:eastAsia="宋体"/>
                        <w:sz w:val="28"/>
                        <w:szCs w:val="28"/>
                      </w:rPr>
                      <w:t xml:space="preserve">— </w:t>
                    </w:r>
                    <w:r>
                      <w:rPr>
                        <w:rFonts w:ascii="宋体" w:hAnsi="宋体" w:eastAsia="宋体"/>
                        <w:sz w:val="28"/>
                        <w:szCs w:val="28"/>
                      </w:rPr>
                      <w:fldChar w:fldCharType="begin"/>
                    </w:r>
                    <w:r>
                      <w:rPr>
                        <w:rStyle w:val="49"/>
                        <w:rFonts w:ascii="宋体" w:hAnsi="宋体" w:eastAsia="宋体"/>
                        <w:sz w:val="28"/>
                        <w:szCs w:val="28"/>
                      </w:rPr>
                      <w:instrText xml:space="preserve">PAGE  </w:instrText>
                    </w:r>
                    <w:r>
                      <w:rPr>
                        <w:rFonts w:ascii="宋体" w:hAnsi="宋体" w:eastAsia="宋体"/>
                        <w:sz w:val="28"/>
                        <w:szCs w:val="28"/>
                      </w:rPr>
                      <w:fldChar w:fldCharType="separate"/>
                    </w:r>
                    <w:r>
                      <w:rPr>
                        <w:rStyle w:val="49"/>
                        <w:rFonts w:ascii="宋体" w:hAnsi="宋体" w:eastAsia="宋体"/>
                        <w:sz w:val="28"/>
                        <w:szCs w:val="28"/>
                      </w:rPr>
                      <w:t>70</w:t>
                    </w:r>
                    <w:r>
                      <w:rPr>
                        <w:rFonts w:ascii="宋体" w:hAnsi="宋体" w:eastAsia="宋体"/>
                        <w:sz w:val="28"/>
                        <w:szCs w:val="28"/>
                      </w:rPr>
                      <w:fldChar w:fldCharType="end"/>
                    </w:r>
                    <w:r>
                      <w:rPr>
                        <w:rStyle w:val="49"/>
                        <w:rFonts w:hint="eastAsia" w:ascii="宋体" w:hAnsi="宋体" w:eastAsia="宋体"/>
                        <w:sz w:val="28"/>
                        <w:szCs w:val="28"/>
                      </w:rPr>
                      <w:t xml:space="preserve"> —</w:t>
                    </w:r>
                  </w:p>
                </w:txbxContent>
              </v:textbox>
            </v:shape>
          </w:pict>
        </mc:Fallback>
      </mc:AlternateContent>
    </w:r>
    <w:r>
      <w:rPr>
        <w:rFonts w:hint="eastAsia"/>
      </w:rPr>
      <w:t xml:space="preserve">                                                           </w:t>
    </w:r>
    <w:r>
      <w:rPr>
        <w:rFonts w:hint="eastAsia"/>
        <w:lang w:eastAsia="zh-CN"/>
      </w:rPr>
      <w:t>泰宇建筑工程技术咨询有限公司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B4D7">
    <w:pPr>
      <w:pStyle w:val="29"/>
      <w:ind w:right="720" w:rightChars="343" w:firstLine="180" w:firstLineChars="100"/>
      <w:jc w:val="center"/>
      <w:rPr>
        <w:rFonts w:hint="eastAsia" w:eastAsia="黑体"/>
        <w:lang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6023D8">
                          <w:pPr>
                            <w:pStyle w:val="29"/>
                            <w:rPr>
                              <w:rFonts w:eastAsia="宋体"/>
                            </w:rPr>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wzZM0BAACn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DWdOWHrwy4/vl5+/L7++sZsk&#10;Tx+woqr7QHVxeOsHWpo5jhRMrIcWbPoSH0Z5Evd8FVcNkcl0ab1ar0tKScrNDuEXD9cDYHynvGXJ&#10;qDnQ62VRxekDxrF0LkndnL/TxuQXNO6vAGGOEZVXYLqdmIwTJysO+2Git/fNmdj1tAY1d7T1nJn3&#10;jlROGzMbMBv72TgG0IeOBl3mKTG8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DwzZM0BAACnAwAADgAAAAAAAAABACAAAAAeAQAAZHJzL2Uy&#10;b0RvYy54bWxQSwUGAAAAAAYABgBZAQAAXQUAAAAA&#10;">
              <v:fill on="f" focussize="0,0"/>
              <v:stroke on="f"/>
              <v:imagedata o:title=""/>
              <o:lock v:ext="edit" aspectratio="f"/>
              <v:textbox inset="0mm,0mm,0mm,0mm" style="mso-fit-shape-to-text:t;">
                <w:txbxContent>
                  <w:p w14:paraId="6F6023D8">
                    <w:pPr>
                      <w:pStyle w:val="29"/>
                      <w:rPr>
                        <w:rFonts w:eastAsia="宋体"/>
                      </w:rPr>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lang w:eastAsia="zh-CN"/>
      </w:rPr>
      <w:t>泰宇建筑工程技术咨询有限公司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966A">
    <w:pPr>
      <w:pStyle w:val="30"/>
      <w:rPr>
        <w:rFonts w:hint="eastAsia" w:ascii="宋体" w:hAnsi="宋体" w:eastAsia="宋体"/>
        <w:sz w:val="24"/>
        <w:szCs w:val="24"/>
        <w:lang w:eastAsia="zh-CN"/>
      </w:rPr>
    </w:pPr>
    <w:r>
      <w:rPr>
        <w:rFonts w:hint="eastAsia" w:ascii="宋体" w:hAnsi="宋体" w:eastAsia="宋体"/>
        <w:sz w:val="24"/>
        <w:szCs w:val="24"/>
        <w:lang w:eastAsia="zh-CN"/>
      </w:rPr>
      <w:t>东阳市公安局食材配送服务采购项目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4A34">
    <w:pPr>
      <w:pStyle w:val="30"/>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10D5">
    <w:pPr>
      <w:pStyle w:val="30"/>
      <w:pBdr>
        <w:bottom w:val="none" w:color="auto" w:sz="0" w:space="0"/>
      </w:pBdr>
      <w:jc w:val="both"/>
      <w:rPr>
        <w:u w:val="single"/>
      </w:rPr>
    </w:pPr>
    <w:r>
      <w:rPr>
        <w:rFonts w:hint="eastAsia"/>
        <w:u w:val="single"/>
        <w:lang w:eastAsia="zh-CN"/>
      </w:rPr>
      <w:t>东阳市公安局食材配送服务采购项目</w:t>
    </w:r>
    <w:r>
      <w:rPr>
        <w:rFonts w:hint="eastAsia"/>
        <w:u w:val="single"/>
      </w:rPr>
      <w:t xml:space="preserve">                                           </w:t>
    </w:r>
  </w:p>
  <w:p w14:paraId="402CC3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5AD5">
    <w:pPr>
      <w:pStyle w:val="30"/>
      <w:rPr>
        <w:rFonts w:hint="eastAsia"/>
      </w:rPr>
    </w:pPr>
    <w:r>
      <w:rPr>
        <w:rFonts w:hint="eastAsia" w:hAnsi="宋体"/>
        <w:sz w:val="24"/>
        <w:szCs w:val="24"/>
        <w:lang w:eastAsia="zh-CN"/>
      </w:rPr>
      <w:t>东阳市公安局食材配送服务采购项目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BE631"/>
    <w:multiLevelType w:val="singleLevel"/>
    <w:tmpl w:val="EB4BE631"/>
    <w:lvl w:ilvl="0" w:tentative="0">
      <w:start w:val="1"/>
      <w:numFmt w:val="decimal"/>
      <w:lvlText w:val="%1."/>
      <w:lvlJc w:val="left"/>
      <w:pPr>
        <w:tabs>
          <w:tab w:val="left" w:pos="312"/>
        </w:tabs>
      </w:pPr>
      <w:rPr>
        <w:rFonts w:hint="default" w:cs="Times New Roman"/>
        <w:b w:val="0"/>
        <w:bCs w:val="0"/>
      </w:rPr>
    </w:lvl>
  </w:abstractNum>
  <w:abstractNum w:abstractNumId="1">
    <w:nsid w:val="FFFFFFFB"/>
    <w:multiLevelType w:val="multilevel"/>
    <w:tmpl w:val="FFFFFFFB"/>
    <w:lvl w:ilvl="0" w:tentative="0">
      <w:start w:val="1"/>
      <w:numFmt w:val="chineseCountingThousand"/>
      <w:lvlText w:val="%1. "/>
      <w:legacy w:legacy="1" w:legacySpace="0" w:legacyIndent="0"/>
      <w:lvlJc w:val="left"/>
      <w:rPr>
        <w:rFonts w:cs="Times New Roman"/>
        <w:sz w:val="32"/>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pStyle w:val="9"/>
      <w:suff w:val="nothing"/>
      <w:lvlText w:val=""/>
      <w:lvlJc w:val="left"/>
      <w:rPr>
        <w:rFonts w:cs="Times New Roman"/>
      </w:rPr>
    </w:lvl>
    <w:lvl w:ilvl="7" w:tentative="0">
      <w:start w:val="1"/>
      <w:numFmt w:val="none"/>
      <w:pStyle w:val="10"/>
      <w:suff w:val="nothing"/>
      <w:lvlText w:val=""/>
      <w:lvlJc w:val="left"/>
      <w:rPr>
        <w:rFonts w:cs="Times New Roman"/>
      </w:rPr>
    </w:lvl>
    <w:lvl w:ilvl="8" w:tentative="0">
      <w:start w:val="1"/>
      <w:numFmt w:val="none"/>
      <w:pStyle w:val="11"/>
      <w:suff w:val="nothing"/>
      <w:lvlText w:val=""/>
      <w:lvlJc w:val="left"/>
      <w:rPr>
        <w:rFonts w:cs="Times New Roman"/>
      </w:rPr>
    </w:lvl>
  </w:abstractNum>
  <w:abstractNum w:abstractNumId="2">
    <w:nsid w:val="157BD85D"/>
    <w:multiLevelType w:val="singleLevel"/>
    <w:tmpl w:val="157BD85D"/>
    <w:lvl w:ilvl="0" w:tentative="0">
      <w:start w:val="1"/>
      <w:numFmt w:val="chineseCounting"/>
      <w:suff w:val="nothing"/>
      <w:lvlText w:val="%1、"/>
      <w:lvlJc w:val="left"/>
      <w:rPr>
        <w:rFonts w:hint="eastAsia"/>
      </w:rPr>
    </w:lvl>
  </w:abstractNum>
  <w:abstractNum w:abstractNumId="3">
    <w:nsid w:val="254ADFFF"/>
    <w:multiLevelType w:val="singleLevel"/>
    <w:tmpl w:val="254ADFFF"/>
    <w:lvl w:ilvl="0" w:tentative="0">
      <w:start w:val="2"/>
      <w:numFmt w:val="decimal"/>
      <w:lvlText w:val="%1."/>
      <w:lvlJc w:val="left"/>
      <w:pPr>
        <w:tabs>
          <w:tab w:val="left" w:pos="312"/>
        </w:tabs>
      </w:pPr>
      <w:rPr>
        <w:rFonts w:cs="Times New Roman"/>
      </w:rPr>
    </w:lvl>
  </w:abstractNum>
  <w:abstractNum w:abstractNumId="4">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5">
    <w:nsid w:val="763060DB"/>
    <w:multiLevelType w:val="multilevel"/>
    <w:tmpl w:val="763060DB"/>
    <w:lvl w:ilvl="0" w:tentative="0">
      <w:start w:val="1"/>
      <w:numFmt w:val="japaneseCounting"/>
      <w:pStyle w:val="190"/>
      <w:lvlText w:val="第%1章"/>
      <w:lvlJc w:val="left"/>
      <w:pPr>
        <w:tabs>
          <w:tab w:val="left" w:pos="1455"/>
        </w:tabs>
        <w:ind w:left="1455" w:hanging="1275"/>
      </w:pPr>
      <w:rPr>
        <w:rFonts w:hint="eastAsia" w:cs="Times New Roman"/>
      </w:rPr>
    </w:lvl>
    <w:lvl w:ilvl="1" w:tentative="0">
      <w:start w:val="1"/>
      <w:numFmt w:val="japaneseCounting"/>
      <w:lvlText w:val="%2、"/>
      <w:lvlJc w:val="left"/>
      <w:pPr>
        <w:tabs>
          <w:tab w:val="left" w:pos="1320"/>
        </w:tabs>
        <w:ind w:left="1320" w:hanging="720"/>
      </w:pPr>
      <w:rPr>
        <w:rFonts w:hint="eastAsia" w:cs="Times New Roman"/>
      </w:rPr>
    </w:lvl>
    <w:lvl w:ilvl="2" w:tentative="0">
      <w:start w:val="1"/>
      <w:numFmt w:val="lowerRoman"/>
      <w:lvlText w:val="%3."/>
      <w:lvlJc w:val="right"/>
      <w:pPr>
        <w:tabs>
          <w:tab w:val="left" w:pos="1440"/>
        </w:tabs>
        <w:ind w:left="1440" w:hanging="420"/>
      </w:pPr>
      <w:rPr>
        <w:rFonts w:cs="Times New Roman"/>
      </w:rPr>
    </w:lvl>
    <w:lvl w:ilvl="3" w:tentative="0">
      <w:start w:val="1"/>
      <w:numFmt w:val="decimal"/>
      <w:lvlText w:val="%4."/>
      <w:lvlJc w:val="left"/>
      <w:pPr>
        <w:tabs>
          <w:tab w:val="left" w:pos="1860"/>
        </w:tabs>
        <w:ind w:left="1860" w:hanging="420"/>
      </w:pPr>
      <w:rPr>
        <w:rFonts w:cs="Times New Roman"/>
      </w:rPr>
    </w:lvl>
    <w:lvl w:ilvl="4" w:tentative="0">
      <w:start w:val="1"/>
      <w:numFmt w:val="lowerLetter"/>
      <w:lvlText w:val="%5)"/>
      <w:lvlJc w:val="left"/>
      <w:pPr>
        <w:tabs>
          <w:tab w:val="left" w:pos="2280"/>
        </w:tabs>
        <w:ind w:left="2280" w:hanging="420"/>
      </w:pPr>
      <w:rPr>
        <w:rFonts w:cs="Times New Roman"/>
      </w:rPr>
    </w:lvl>
    <w:lvl w:ilvl="5" w:tentative="0">
      <w:start w:val="1"/>
      <w:numFmt w:val="lowerRoman"/>
      <w:lvlText w:val="%6."/>
      <w:lvlJc w:val="right"/>
      <w:pPr>
        <w:tabs>
          <w:tab w:val="left" w:pos="2700"/>
        </w:tabs>
        <w:ind w:left="2700" w:hanging="420"/>
      </w:pPr>
      <w:rPr>
        <w:rFonts w:cs="Times New Roman"/>
      </w:rPr>
    </w:lvl>
    <w:lvl w:ilvl="6" w:tentative="0">
      <w:start w:val="1"/>
      <w:numFmt w:val="decimal"/>
      <w:lvlText w:val="%7."/>
      <w:lvlJc w:val="left"/>
      <w:pPr>
        <w:tabs>
          <w:tab w:val="left" w:pos="3120"/>
        </w:tabs>
        <w:ind w:left="3120" w:hanging="420"/>
      </w:pPr>
      <w:rPr>
        <w:rFonts w:cs="Times New Roman"/>
      </w:rPr>
    </w:lvl>
    <w:lvl w:ilvl="7" w:tentative="0">
      <w:start w:val="1"/>
      <w:numFmt w:val="lowerLetter"/>
      <w:lvlText w:val="%8)"/>
      <w:lvlJc w:val="left"/>
      <w:pPr>
        <w:tabs>
          <w:tab w:val="left" w:pos="3540"/>
        </w:tabs>
        <w:ind w:left="3540" w:hanging="420"/>
      </w:pPr>
      <w:rPr>
        <w:rFonts w:cs="Times New Roman"/>
      </w:rPr>
    </w:lvl>
    <w:lvl w:ilvl="8" w:tentative="0">
      <w:start w:val="1"/>
      <w:numFmt w:val="lowerRoman"/>
      <w:lvlText w:val="%9."/>
      <w:lvlJc w:val="right"/>
      <w:pPr>
        <w:tabs>
          <w:tab w:val="left" w:pos="3960"/>
        </w:tabs>
        <w:ind w:left="3960" w:hanging="420"/>
      </w:pPr>
      <w:rPr>
        <w:rFonts w:cs="Times New Roman"/>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ZTI3YTUyMTgxYjgxNjNhMWVhMTA0NTI5MDg0M2MifQ=="/>
  </w:docVars>
  <w:rsids>
    <w:rsidRoot w:val="007706A5"/>
    <w:rsid w:val="000000D1"/>
    <w:rsid w:val="00000340"/>
    <w:rsid w:val="000006C3"/>
    <w:rsid w:val="00000DCA"/>
    <w:rsid w:val="000018F0"/>
    <w:rsid w:val="0000191A"/>
    <w:rsid w:val="00001AEE"/>
    <w:rsid w:val="00001C58"/>
    <w:rsid w:val="00001E53"/>
    <w:rsid w:val="000020C7"/>
    <w:rsid w:val="0000210D"/>
    <w:rsid w:val="0000211C"/>
    <w:rsid w:val="00002191"/>
    <w:rsid w:val="000022B1"/>
    <w:rsid w:val="00002345"/>
    <w:rsid w:val="000025F1"/>
    <w:rsid w:val="0000277E"/>
    <w:rsid w:val="00002B8F"/>
    <w:rsid w:val="00002BBE"/>
    <w:rsid w:val="00003094"/>
    <w:rsid w:val="000034C3"/>
    <w:rsid w:val="00004B38"/>
    <w:rsid w:val="00004CC2"/>
    <w:rsid w:val="000056BA"/>
    <w:rsid w:val="000059AB"/>
    <w:rsid w:val="000059C9"/>
    <w:rsid w:val="000060A9"/>
    <w:rsid w:val="00006A51"/>
    <w:rsid w:val="00006AE1"/>
    <w:rsid w:val="000071E6"/>
    <w:rsid w:val="00007238"/>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5A8C"/>
    <w:rsid w:val="0001611A"/>
    <w:rsid w:val="00016430"/>
    <w:rsid w:val="0001652B"/>
    <w:rsid w:val="00016779"/>
    <w:rsid w:val="00016FC5"/>
    <w:rsid w:val="00017153"/>
    <w:rsid w:val="000172BC"/>
    <w:rsid w:val="00017B58"/>
    <w:rsid w:val="00020546"/>
    <w:rsid w:val="00020694"/>
    <w:rsid w:val="000209DD"/>
    <w:rsid w:val="000209DF"/>
    <w:rsid w:val="00020FDC"/>
    <w:rsid w:val="00021008"/>
    <w:rsid w:val="000214FC"/>
    <w:rsid w:val="0002173B"/>
    <w:rsid w:val="00021D0C"/>
    <w:rsid w:val="0002231B"/>
    <w:rsid w:val="00022470"/>
    <w:rsid w:val="0002272E"/>
    <w:rsid w:val="00022DD5"/>
    <w:rsid w:val="00022E02"/>
    <w:rsid w:val="00023147"/>
    <w:rsid w:val="00023774"/>
    <w:rsid w:val="000239A1"/>
    <w:rsid w:val="00023DC7"/>
    <w:rsid w:val="00023DF1"/>
    <w:rsid w:val="00023E04"/>
    <w:rsid w:val="00023F7B"/>
    <w:rsid w:val="00024E4D"/>
    <w:rsid w:val="00024FA5"/>
    <w:rsid w:val="0002553E"/>
    <w:rsid w:val="0002611F"/>
    <w:rsid w:val="00026F23"/>
    <w:rsid w:val="00027623"/>
    <w:rsid w:val="000277B1"/>
    <w:rsid w:val="00027E31"/>
    <w:rsid w:val="00030010"/>
    <w:rsid w:val="00030029"/>
    <w:rsid w:val="00030527"/>
    <w:rsid w:val="00030687"/>
    <w:rsid w:val="00031987"/>
    <w:rsid w:val="00031997"/>
    <w:rsid w:val="000319DA"/>
    <w:rsid w:val="00031C2E"/>
    <w:rsid w:val="00032B05"/>
    <w:rsid w:val="00032B28"/>
    <w:rsid w:val="00033B46"/>
    <w:rsid w:val="00034021"/>
    <w:rsid w:val="00034EA7"/>
    <w:rsid w:val="00035005"/>
    <w:rsid w:val="000352EC"/>
    <w:rsid w:val="0003568B"/>
    <w:rsid w:val="00036568"/>
    <w:rsid w:val="000366E3"/>
    <w:rsid w:val="000377F6"/>
    <w:rsid w:val="0003788B"/>
    <w:rsid w:val="000379B8"/>
    <w:rsid w:val="00040139"/>
    <w:rsid w:val="000401F4"/>
    <w:rsid w:val="00040A37"/>
    <w:rsid w:val="00041488"/>
    <w:rsid w:val="00041B03"/>
    <w:rsid w:val="00041BFA"/>
    <w:rsid w:val="00042172"/>
    <w:rsid w:val="000422F1"/>
    <w:rsid w:val="00042506"/>
    <w:rsid w:val="0004252B"/>
    <w:rsid w:val="000428D7"/>
    <w:rsid w:val="00042FD0"/>
    <w:rsid w:val="00044004"/>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444"/>
    <w:rsid w:val="000529BF"/>
    <w:rsid w:val="000537E7"/>
    <w:rsid w:val="00053CBC"/>
    <w:rsid w:val="0005431E"/>
    <w:rsid w:val="00054EC2"/>
    <w:rsid w:val="0005501E"/>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21A8"/>
    <w:rsid w:val="00063AF2"/>
    <w:rsid w:val="00063B88"/>
    <w:rsid w:val="00063DA9"/>
    <w:rsid w:val="00064897"/>
    <w:rsid w:val="00064B0B"/>
    <w:rsid w:val="0006534E"/>
    <w:rsid w:val="000656B7"/>
    <w:rsid w:val="00065932"/>
    <w:rsid w:val="00065ADF"/>
    <w:rsid w:val="00065EA0"/>
    <w:rsid w:val="000669FB"/>
    <w:rsid w:val="00067099"/>
    <w:rsid w:val="00067212"/>
    <w:rsid w:val="00067333"/>
    <w:rsid w:val="0006776B"/>
    <w:rsid w:val="00067F5F"/>
    <w:rsid w:val="00070801"/>
    <w:rsid w:val="0007096D"/>
    <w:rsid w:val="00071901"/>
    <w:rsid w:val="00071A99"/>
    <w:rsid w:val="00071F17"/>
    <w:rsid w:val="00072BA1"/>
    <w:rsid w:val="00072D2C"/>
    <w:rsid w:val="00072D2E"/>
    <w:rsid w:val="00074094"/>
    <w:rsid w:val="00074586"/>
    <w:rsid w:val="00074682"/>
    <w:rsid w:val="00074B32"/>
    <w:rsid w:val="00077DFF"/>
    <w:rsid w:val="00080056"/>
    <w:rsid w:val="00081768"/>
    <w:rsid w:val="0008229D"/>
    <w:rsid w:val="000829AA"/>
    <w:rsid w:val="000829AE"/>
    <w:rsid w:val="00082D59"/>
    <w:rsid w:val="000834A4"/>
    <w:rsid w:val="0008365F"/>
    <w:rsid w:val="000838F4"/>
    <w:rsid w:val="00084863"/>
    <w:rsid w:val="000849AC"/>
    <w:rsid w:val="000849AF"/>
    <w:rsid w:val="00084EA2"/>
    <w:rsid w:val="000857BE"/>
    <w:rsid w:val="00086BF9"/>
    <w:rsid w:val="00086DF1"/>
    <w:rsid w:val="00086FE5"/>
    <w:rsid w:val="0008719C"/>
    <w:rsid w:val="000871BC"/>
    <w:rsid w:val="00087239"/>
    <w:rsid w:val="00087D00"/>
    <w:rsid w:val="0009033F"/>
    <w:rsid w:val="00090353"/>
    <w:rsid w:val="00090906"/>
    <w:rsid w:val="00090939"/>
    <w:rsid w:val="00090EB3"/>
    <w:rsid w:val="00091CF0"/>
    <w:rsid w:val="0009271D"/>
    <w:rsid w:val="000927D1"/>
    <w:rsid w:val="00092858"/>
    <w:rsid w:val="000929C0"/>
    <w:rsid w:val="00092CBE"/>
    <w:rsid w:val="00092DAD"/>
    <w:rsid w:val="00092E33"/>
    <w:rsid w:val="00093561"/>
    <w:rsid w:val="0009361E"/>
    <w:rsid w:val="0009467F"/>
    <w:rsid w:val="0009491B"/>
    <w:rsid w:val="00094BF1"/>
    <w:rsid w:val="00094E44"/>
    <w:rsid w:val="00094ED7"/>
    <w:rsid w:val="00095EEF"/>
    <w:rsid w:val="000963A0"/>
    <w:rsid w:val="00096A58"/>
    <w:rsid w:val="00097712"/>
    <w:rsid w:val="00097914"/>
    <w:rsid w:val="000979B7"/>
    <w:rsid w:val="000A01B3"/>
    <w:rsid w:val="000A062B"/>
    <w:rsid w:val="000A0F96"/>
    <w:rsid w:val="000A11CC"/>
    <w:rsid w:val="000A13D3"/>
    <w:rsid w:val="000A17F0"/>
    <w:rsid w:val="000A1D78"/>
    <w:rsid w:val="000A1EF5"/>
    <w:rsid w:val="000A2196"/>
    <w:rsid w:val="000A22C1"/>
    <w:rsid w:val="000A2595"/>
    <w:rsid w:val="000A282E"/>
    <w:rsid w:val="000A374D"/>
    <w:rsid w:val="000A3B2C"/>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289B"/>
    <w:rsid w:val="000B296D"/>
    <w:rsid w:val="000B298B"/>
    <w:rsid w:val="000B34F0"/>
    <w:rsid w:val="000B350F"/>
    <w:rsid w:val="000B3668"/>
    <w:rsid w:val="000B3E38"/>
    <w:rsid w:val="000B41DE"/>
    <w:rsid w:val="000B4283"/>
    <w:rsid w:val="000B45A1"/>
    <w:rsid w:val="000B54FC"/>
    <w:rsid w:val="000B58B3"/>
    <w:rsid w:val="000B60CE"/>
    <w:rsid w:val="000B6150"/>
    <w:rsid w:val="000B6D06"/>
    <w:rsid w:val="000B6F53"/>
    <w:rsid w:val="000B729C"/>
    <w:rsid w:val="000C00F8"/>
    <w:rsid w:val="000C023C"/>
    <w:rsid w:val="000C03B9"/>
    <w:rsid w:val="000C058A"/>
    <w:rsid w:val="000C0651"/>
    <w:rsid w:val="000C0B43"/>
    <w:rsid w:val="000C116D"/>
    <w:rsid w:val="000C14AB"/>
    <w:rsid w:val="000C2151"/>
    <w:rsid w:val="000C264D"/>
    <w:rsid w:val="000C2DA5"/>
    <w:rsid w:val="000C2F06"/>
    <w:rsid w:val="000C3624"/>
    <w:rsid w:val="000C36B9"/>
    <w:rsid w:val="000C3B63"/>
    <w:rsid w:val="000C3FFB"/>
    <w:rsid w:val="000C410C"/>
    <w:rsid w:val="000C4147"/>
    <w:rsid w:val="000C427E"/>
    <w:rsid w:val="000C49E2"/>
    <w:rsid w:val="000C5BA4"/>
    <w:rsid w:val="000C6028"/>
    <w:rsid w:val="000C61CB"/>
    <w:rsid w:val="000C62BA"/>
    <w:rsid w:val="000C66BE"/>
    <w:rsid w:val="000C72E2"/>
    <w:rsid w:val="000D022F"/>
    <w:rsid w:val="000D134D"/>
    <w:rsid w:val="000D137B"/>
    <w:rsid w:val="000D13F5"/>
    <w:rsid w:val="000D18A3"/>
    <w:rsid w:val="000D2726"/>
    <w:rsid w:val="000D2790"/>
    <w:rsid w:val="000D2907"/>
    <w:rsid w:val="000D311D"/>
    <w:rsid w:val="000D3151"/>
    <w:rsid w:val="000D4867"/>
    <w:rsid w:val="000D4A39"/>
    <w:rsid w:val="000D4EB7"/>
    <w:rsid w:val="000D50BC"/>
    <w:rsid w:val="000D5631"/>
    <w:rsid w:val="000D6AE5"/>
    <w:rsid w:val="000D6EB9"/>
    <w:rsid w:val="000D6F4F"/>
    <w:rsid w:val="000D7988"/>
    <w:rsid w:val="000E080F"/>
    <w:rsid w:val="000E0938"/>
    <w:rsid w:val="000E13A3"/>
    <w:rsid w:val="000E1919"/>
    <w:rsid w:val="000E1BB5"/>
    <w:rsid w:val="000E1CBB"/>
    <w:rsid w:val="000E2319"/>
    <w:rsid w:val="000E28F6"/>
    <w:rsid w:val="000E2A9C"/>
    <w:rsid w:val="000E2F07"/>
    <w:rsid w:val="000E3467"/>
    <w:rsid w:val="000E38A6"/>
    <w:rsid w:val="000E3A69"/>
    <w:rsid w:val="000E3E1F"/>
    <w:rsid w:val="000E3EBB"/>
    <w:rsid w:val="000E4640"/>
    <w:rsid w:val="000E5664"/>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4916"/>
    <w:rsid w:val="000F526E"/>
    <w:rsid w:val="000F5571"/>
    <w:rsid w:val="000F5E48"/>
    <w:rsid w:val="000F65B7"/>
    <w:rsid w:val="000F65F9"/>
    <w:rsid w:val="000F661C"/>
    <w:rsid w:val="000F7306"/>
    <w:rsid w:val="000F73D1"/>
    <w:rsid w:val="000F7A54"/>
    <w:rsid w:val="000F7CBC"/>
    <w:rsid w:val="001006F0"/>
    <w:rsid w:val="00101A17"/>
    <w:rsid w:val="00101ADC"/>
    <w:rsid w:val="00101DD0"/>
    <w:rsid w:val="00101E0D"/>
    <w:rsid w:val="00102505"/>
    <w:rsid w:val="001025AB"/>
    <w:rsid w:val="001028D9"/>
    <w:rsid w:val="001034FE"/>
    <w:rsid w:val="00103B4E"/>
    <w:rsid w:val="00103EFE"/>
    <w:rsid w:val="001042F9"/>
    <w:rsid w:val="00104861"/>
    <w:rsid w:val="00104D94"/>
    <w:rsid w:val="0010577D"/>
    <w:rsid w:val="00106316"/>
    <w:rsid w:val="00107766"/>
    <w:rsid w:val="00110DDE"/>
    <w:rsid w:val="00111632"/>
    <w:rsid w:val="00111663"/>
    <w:rsid w:val="0011179A"/>
    <w:rsid w:val="001122F7"/>
    <w:rsid w:val="00112331"/>
    <w:rsid w:val="00112610"/>
    <w:rsid w:val="00112A92"/>
    <w:rsid w:val="00112B21"/>
    <w:rsid w:val="00113256"/>
    <w:rsid w:val="00113257"/>
    <w:rsid w:val="001133A4"/>
    <w:rsid w:val="00114218"/>
    <w:rsid w:val="00114324"/>
    <w:rsid w:val="00114EE8"/>
    <w:rsid w:val="001153D2"/>
    <w:rsid w:val="00115684"/>
    <w:rsid w:val="001165E5"/>
    <w:rsid w:val="00117415"/>
    <w:rsid w:val="001174B5"/>
    <w:rsid w:val="00117A1E"/>
    <w:rsid w:val="0012006F"/>
    <w:rsid w:val="0012113F"/>
    <w:rsid w:val="001213E2"/>
    <w:rsid w:val="00122889"/>
    <w:rsid w:val="00122934"/>
    <w:rsid w:val="00123770"/>
    <w:rsid w:val="00123FE5"/>
    <w:rsid w:val="00124652"/>
    <w:rsid w:val="001249BA"/>
    <w:rsid w:val="00124E0A"/>
    <w:rsid w:val="001252B5"/>
    <w:rsid w:val="00125932"/>
    <w:rsid w:val="00125D29"/>
    <w:rsid w:val="00125EAF"/>
    <w:rsid w:val="00126231"/>
    <w:rsid w:val="00126DE1"/>
    <w:rsid w:val="001270F7"/>
    <w:rsid w:val="00127230"/>
    <w:rsid w:val="00127449"/>
    <w:rsid w:val="00127708"/>
    <w:rsid w:val="00127B05"/>
    <w:rsid w:val="00127DC2"/>
    <w:rsid w:val="00130534"/>
    <w:rsid w:val="00130ED0"/>
    <w:rsid w:val="001310CD"/>
    <w:rsid w:val="00131901"/>
    <w:rsid w:val="00131A38"/>
    <w:rsid w:val="00131BCA"/>
    <w:rsid w:val="00131EB2"/>
    <w:rsid w:val="00132695"/>
    <w:rsid w:val="001327F8"/>
    <w:rsid w:val="001333CA"/>
    <w:rsid w:val="001335B7"/>
    <w:rsid w:val="00133652"/>
    <w:rsid w:val="00133C59"/>
    <w:rsid w:val="001346C0"/>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F8E"/>
    <w:rsid w:val="0014154B"/>
    <w:rsid w:val="001415D3"/>
    <w:rsid w:val="001418EA"/>
    <w:rsid w:val="00141D98"/>
    <w:rsid w:val="001426FA"/>
    <w:rsid w:val="001436A3"/>
    <w:rsid w:val="001436B8"/>
    <w:rsid w:val="00143B64"/>
    <w:rsid w:val="00143C11"/>
    <w:rsid w:val="00143FC3"/>
    <w:rsid w:val="001444C0"/>
    <w:rsid w:val="00144E73"/>
    <w:rsid w:val="001457E6"/>
    <w:rsid w:val="00145937"/>
    <w:rsid w:val="001459F2"/>
    <w:rsid w:val="00146370"/>
    <w:rsid w:val="00146E75"/>
    <w:rsid w:val="0014772C"/>
    <w:rsid w:val="00147BAD"/>
    <w:rsid w:val="00147BB4"/>
    <w:rsid w:val="00150086"/>
    <w:rsid w:val="001500F8"/>
    <w:rsid w:val="00150124"/>
    <w:rsid w:val="0015031F"/>
    <w:rsid w:val="00150728"/>
    <w:rsid w:val="00150835"/>
    <w:rsid w:val="00150EBE"/>
    <w:rsid w:val="00150F33"/>
    <w:rsid w:val="00151564"/>
    <w:rsid w:val="0015185A"/>
    <w:rsid w:val="00152244"/>
    <w:rsid w:val="00152D50"/>
    <w:rsid w:val="00152EAB"/>
    <w:rsid w:val="001534AF"/>
    <w:rsid w:val="001536C6"/>
    <w:rsid w:val="001548A6"/>
    <w:rsid w:val="001556C6"/>
    <w:rsid w:val="001558D7"/>
    <w:rsid w:val="00155A78"/>
    <w:rsid w:val="00155DA2"/>
    <w:rsid w:val="00155E9F"/>
    <w:rsid w:val="00156279"/>
    <w:rsid w:val="001608F6"/>
    <w:rsid w:val="00160A35"/>
    <w:rsid w:val="00160C7C"/>
    <w:rsid w:val="00161F43"/>
    <w:rsid w:val="001625A1"/>
    <w:rsid w:val="001626E2"/>
    <w:rsid w:val="00162977"/>
    <w:rsid w:val="00162BC7"/>
    <w:rsid w:val="00162CC6"/>
    <w:rsid w:val="00162D09"/>
    <w:rsid w:val="00163D4C"/>
    <w:rsid w:val="00164022"/>
    <w:rsid w:val="00165379"/>
    <w:rsid w:val="00166616"/>
    <w:rsid w:val="00166A27"/>
    <w:rsid w:val="00166ECA"/>
    <w:rsid w:val="00166F0D"/>
    <w:rsid w:val="00167159"/>
    <w:rsid w:val="001676C8"/>
    <w:rsid w:val="00167780"/>
    <w:rsid w:val="0017036E"/>
    <w:rsid w:val="00170926"/>
    <w:rsid w:val="0017115A"/>
    <w:rsid w:val="00171A9B"/>
    <w:rsid w:val="00171BF3"/>
    <w:rsid w:val="00171D95"/>
    <w:rsid w:val="00172A1E"/>
    <w:rsid w:val="00172EA3"/>
    <w:rsid w:val="001732D9"/>
    <w:rsid w:val="00173C45"/>
    <w:rsid w:val="00173F6A"/>
    <w:rsid w:val="00174832"/>
    <w:rsid w:val="00174BB3"/>
    <w:rsid w:val="00174DC9"/>
    <w:rsid w:val="001752F1"/>
    <w:rsid w:val="001759DE"/>
    <w:rsid w:val="001761FE"/>
    <w:rsid w:val="0017679C"/>
    <w:rsid w:val="0017692E"/>
    <w:rsid w:val="00176970"/>
    <w:rsid w:val="00177E06"/>
    <w:rsid w:val="00180226"/>
    <w:rsid w:val="001806FF"/>
    <w:rsid w:val="00181066"/>
    <w:rsid w:val="00181A3D"/>
    <w:rsid w:val="00181B0B"/>
    <w:rsid w:val="00181F16"/>
    <w:rsid w:val="00182760"/>
    <w:rsid w:val="00182B9B"/>
    <w:rsid w:val="00183074"/>
    <w:rsid w:val="0018498C"/>
    <w:rsid w:val="00184D4D"/>
    <w:rsid w:val="001857AE"/>
    <w:rsid w:val="0018581A"/>
    <w:rsid w:val="00186170"/>
    <w:rsid w:val="001864FB"/>
    <w:rsid w:val="00186CB8"/>
    <w:rsid w:val="00186E0D"/>
    <w:rsid w:val="001904E6"/>
    <w:rsid w:val="001906B2"/>
    <w:rsid w:val="001908C9"/>
    <w:rsid w:val="00190B0C"/>
    <w:rsid w:val="00190C05"/>
    <w:rsid w:val="00190CD0"/>
    <w:rsid w:val="0019156B"/>
    <w:rsid w:val="00191832"/>
    <w:rsid w:val="001918A0"/>
    <w:rsid w:val="00191B21"/>
    <w:rsid w:val="001920FF"/>
    <w:rsid w:val="001945BC"/>
    <w:rsid w:val="00194ADD"/>
    <w:rsid w:val="00194C8F"/>
    <w:rsid w:val="001952D6"/>
    <w:rsid w:val="001956F8"/>
    <w:rsid w:val="001959C8"/>
    <w:rsid w:val="00195DFA"/>
    <w:rsid w:val="00196246"/>
    <w:rsid w:val="00196C84"/>
    <w:rsid w:val="00196E85"/>
    <w:rsid w:val="00196EC4"/>
    <w:rsid w:val="0019722C"/>
    <w:rsid w:val="00197565"/>
    <w:rsid w:val="001A07B0"/>
    <w:rsid w:val="001A0E37"/>
    <w:rsid w:val="001A11F8"/>
    <w:rsid w:val="001A135D"/>
    <w:rsid w:val="001A1C07"/>
    <w:rsid w:val="001A1DCF"/>
    <w:rsid w:val="001A2321"/>
    <w:rsid w:val="001A2943"/>
    <w:rsid w:val="001A29FC"/>
    <w:rsid w:val="001A2AF5"/>
    <w:rsid w:val="001A36A1"/>
    <w:rsid w:val="001A39FB"/>
    <w:rsid w:val="001A3E16"/>
    <w:rsid w:val="001A3FB5"/>
    <w:rsid w:val="001A4080"/>
    <w:rsid w:val="001A4245"/>
    <w:rsid w:val="001A508B"/>
    <w:rsid w:val="001A550B"/>
    <w:rsid w:val="001A55EC"/>
    <w:rsid w:val="001A57B6"/>
    <w:rsid w:val="001A6889"/>
    <w:rsid w:val="001A6A12"/>
    <w:rsid w:val="001A71F0"/>
    <w:rsid w:val="001A7444"/>
    <w:rsid w:val="001B06B2"/>
    <w:rsid w:val="001B083D"/>
    <w:rsid w:val="001B09AF"/>
    <w:rsid w:val="001B13E1"/>
    <w:rsid w:val="001B20FE"/>
    <w:rsid w:val="001B22E5"/>
    <w:rsid w:val="001B2AE0"/>
    <w:rsid w:val="001B2D6D"/>
    <w:rsid w:val="001B398E"/>
    <w:rsid w:val="001B3C7D"/>
    <w:rsid w:val="001B3F56"/>
    <w:rsid w:val="001B403C"/>
    <w:rsid w:val="001B462E"/>
    <w:rsid w:val="001B4735"/>
    <w:rsid w:val="001B4A93"/>
    <w:rsid w:val="001B4D6F"/>
    <w:rsid w:val="001B510D"/>
    <w:rsid w:val="001B51BA"/>
    <w:rsid w:val="001B5F3E"/>
    <w:rsid w:val="001B64B4"/>
    <w:rsid w:val="001B6980"/>
    <w:rsid w:val="001B6F81"/>
    <w:rsid w:val="001B72F5"/>
    <w:rsid w:val="001B75B0"/>
    <w:rsid w:val="001B779A"/>
    <w:rsid w:val="001B7A14"/>
    <w:rsid w:val="001B7BB7"/>
    <w:rsid w:val="001B7CD2"/>
    <w:rsid w:val="001B7EE7"/>
    <w:rsid w:val="001C040C"/>
    <w:rsid w:val="001C0600"/>
    <w:rsid w:val="001C0CDB"/>
    <w:rsid w:val="001C0EAD"/>
    <w:rsid w:val="001C1C0D"/>
    <w:rsid w:val="001C22D4"/>
    <w:rsid w:val="001C3D05"/>
    <w:rsid w:val="001C3E4D"/>
    <w:rsid w:val="001C3F0A"/>
    <w:rsid w:val="001C41E9"/>
    <w:rsid w:val="001C4C22"/>
    <w:rsid w:val="001C4CB8"/>
    <w:rsid w:val="001C51E2"/>
    <w:rsid w:val="001C5C94"/>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C61"/>
    <w:rsid w:val="001D4EBD"/>
    <w:rsid w:val="001D592E"/>
    <w:rsid w:val="001D5954"/>
    <w:rsid w:val="001D5D7F"/>
    <w:rsid w:val="001D5FE2"/>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AE3"/>
    <w:rsid w:val="001E4BB1"/>
    <w:rsid w:val="001E4C09"/>
    <w:rsid w:val="001E4D9E"/>
    <w:rsid w:val="001E4EBD"/>
    <w:rsid w:val="001E5281"/>
    <w:rsid w:val="001E5EC2"/>
    <w:rsid w:val="001E602F"/>
    <w:rsid w:val="001E68B8"/>
    <w:rsid w:val="001E6B2D"/>
    <w:rsid w:val="001E6CC0"/>
    <w:rsid w:val="001E6E6B"/>
    <w:rsid w:val="001E7932"/>
    <w:rsid w:val="001F0E08"/>
    <w:rsid w:val="001F1721"/>
    <w:rsid w:val="001F1AFC"/>
    <w:rsid w:val="001F1B90"/>
    <w:rsid w:val="001F2D97"/>
    <w:rsid w:val="001F2FF8"/>
    <w:rsid w:val="001F374E"/>
    <w:rsid w:val="001F3A4D"/>
    <w:rsid w:val="001F3DEB"/>
    <w:rsid w:val="001F4C7C"/>
    <w:rsid w:val="001F4F5B"/>
    <w:rsid w:val="001F5035"/>
    <w:rsid w:val="001F555E"/>
    <w:rsid w:val="001F5D1A"/>
    <w:rsid w:val="001F6D5B"/>
    <w:rsid w:val="001F7290"/>
    <w:rsid w:val="001F7BF7"/>
    <w:rsid w:val="002003E5"/>
    <w:rsid w:val="00200E2A"/>
    <w:rsid w:val="0020167C"/>
    <w:rsid w:val="002017A7"/>
    <w:rsid w:val="00201DFD"/>
    <w:rsid w:val="00202263"/>
    <w:rsid w:val="00202DF9"/>
    <w:rsid w:val="00203D02"/>
    <w:rsid w:val="00203D4B"/>
    <w:rsid w:val="002040C6"/>
    <w:rsid w:val="002043DC"/>
    <w:rsid w:val="00204C4A"/>
    <w:rsid w:val="002057A6"/>
    <w:rsid w:val="00205840"/>
    <w:rsid w:val="0020584C"/>
    <w:rsid w:val="0020597D"/>
    <w:rsid w:val="002062A2"/>
    <w:rsid w:val="00206BC5"/>
    <w:rsid w:val="00210F5A"/>
    <w:rsid w:val="00211242"/>
    <w:rsid w:val="002114DA"/>
    <w:rsid w:val="0021183D"/>
    <w:rsid w:val="0021183E"/>
    <w:rsid w:val="002126D7"/>
    <w:rsid w:val="002127D7"/>
    <w:rsid w:val="002131A0"/>
    <w:rsid w:val="0021337F"/>
    <w:rsid w:val="00213697"/>
    <w:rsid w:val="002146E8"/>
    <w:rsid w:val="002151DA"/>
    <w:rsid w:val="002155B3"/>
    <w:rsid w:val="00215A10"/>
    <w:rsid w:val="0021630C"/>
    <w:rsid w:val="002163F2"/>
    <w:rsid w:val="00216D65"/>
    <w:rsid w:val="00217380"/>
    <w:rsid w:val="00217E03"/>
    <w:rsid w:val="00220732"/>
    <w:rsid w:val="00221237"/>
    <w:rsid w:val="00221F48"/>
    <w:rsid w:val="0022223C"/>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2FF"/>
    <w:rsid w:val="0024147A"/>
    <w:rsid w:val="00241A4C"/>
    <w:rsid w:val="00241C29"/>
    <w:rsid w:val="002420FD"/>
    <w:rsid w:val="00242343"/>
    <w:rsid w:val="00242631"/>
    <w:rsid w:val="002428A1"/>
    <w:rsid w:val="00242F3E"/>
    <w:rsid w:val="00243BD4"/>
    <w:rsid w:val="00244CBD"/>
    <w:rsid w:val="00245628"/>
    <w:rsid w:val="00245F1F"/>
    <w:rsid w:val="002476AD"/>
    <w:rsid w:val="0024780E"/>
    <w:rsid w:val="002511AF"/>
    <w:rsid w:val="0025123A"/>
    <w:rsid w:val="002513D3"/>
    <w:rsid w:val="002518CB"/>
    <w:rsid w:val="0025238E"/>
    <w:rsid w:val="002523B4"/>
    <w:rsid w:val="00252803"/>
    <w:rsid w:val="00252E90"/>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1207"/>
    <w:rsid w:val="00261901"/>
    <w:rsid w:val="00261906"/>
    <w:rsid w:val="00261DF5"/>
    <w:rsid w:val="00262226"/>
    <w:rsid w:val="00262851"/>
    <w:rsid w:val="00262DAD"/>
    <w:rsid w:val="002639A4"/>
    <w:rsid w:val="002639FA"/>
    <w:rsid w:val="00264518"/>
    <w:rsid w:val="0026473A"/>
    <w:rsid w:val="002647E6"/>
    <w:rsid w:val="002649BE"/>
    <w:rsid w:val="002652B4"/>
    <w:rsid w:val="002655BA"/>
    <w:rsid w:val="00265804"/>
    <w:rsid w:val="00265C3E"/>
    <w:rsid w:val="00265F82"/>
    <w:rsid w:val="002661BB"/>
    <w:rsid w:val="00266537"/>
    <w:rsid w:val="002667F7"/>
    <w:rsid w:val="00266976"/>
    <w:rsid w:val="00266C32"/>
    <w:rsid w:val="002702BA"/>
    <w:rsid w:val="0027034C"/>
    <w:rsid w:val="00271B2A"/>
    <w:rsid w:val="00271F12"/>
    <w:rsid w:val="00272020"/>
    <w:rsid w:val="0027203C"/>
    <w:rsid w:val="002724E8"/>
    <w:rsid w:val="0027257B"/>
    <w:rsid w:val="002725B1"/>
    <w:rsid w:val="00273214"/>
    <w:rsid w:val="00273BB6"/>
    <w:rsid w:val="00273CD3"/>
    <w:rsid w:val="00273CE4"/>
    <w:rsid w:val="00274453"/>
    <w:rsid w:val="00274899"/>
    <w:rsid w:val="00274DCF"/>
    <w:rsid w:val="00274E09"/>
    <w:rsid w:val="00274F5D"/>
    <w:rsid w:val="002752B3"/>
    <w:rsid w:val="0027573F"/>
    <w:rsid w:val="00275C20"/>
    <w:rsid w:val="00275D0C"/>
    <w:rsid w:val="00275EB3"/>
    <w:rsid w:val="00276824"/>
    <w:rsid w:val="00276F64"/>
    <w:rsid w:val="00277064"/>
    <w:rsid w:val="00277217"/>
    <w:rsid w:val="00277456"/>
    <w:rsid w:val="00277486"/>
    <w:rsid w:val="002774D6"/>
    <w:rsid w:val="00277626"/>
    <w:rsid w:val="00277EDF"/>
    <w:rsid w:val="0028025E"/>
    <w:rsid w:val="00281185"/>
    <w:rsid w:val="00281B48"/>
    <w:rsid w:val="00282E84"/>
    <w:rsid w:val="00283137"/>
    <w:rsid w:val="002837FF"/>
    <w:rsid w:val="00283FCF"/>
    <w:rsid w:val="0028426E"/>
    <w:rsid w:val="002842F8"/>
    <w:rsid w:val="00284860"/>
    <w:rsid w:val="002852C6"/>
    <w:rsid w:val="002853AE"/>
    <w:rsid w:val="0028557E"/>
    <w:rsid w:val="0028593A"/>
    <w:rsid w:val="00285CEA"/>
    <w:rsid w:val="00285D04"/>
    <w:rsid w:val="00286A64"/>
    <w:rsid w:val="00286B97"/>
    <w:rsid w:val="00286E5E"/>
    <w:rsid w:val="00287EF6"/>
    <w:rsid w:val="0029022B"/>
    <w:rsid w:val="00290297"/>
    <w:rsid w:val="00290707"/>
    <w:rsid w:val="0029097E"/>
    <w:rsid w:val="00291220"/>
    <w:rsid w:val="00291500"/>
    <w:rsid w:val="00291654"/>
    <w:rsid w:val="00291B70"/>
    <w:rsid w:val="00291FCD"/>
    <w:rsid w:val="0029217D"/>
    <w:rsid w:val="00292B4A"/>
    <w:rsid w:val="00293067"/>
    <w:rsid w:val="0029311D"/>
    <w:rsid w:val="0029318C"/>
    <w:rsid w:val="0029362A"/>
    <w:rsid w:val="002947F1"/>
    <w:rsid w:val="00294D09"/>
    <w:rsid w:val="002960DF"/>
    <w:rsid w:val="002964E0"/>
    <w:rsid w:val="0029769C"/>
    <w:rsid w:val="002A04B5"/>
    <w:rsid w:val="002A0B6A"/>
    <w:rsid w:val="002A1D18"/>
    <w:rsid w:val="002A1FD2"/>
    <w:rsid w:val="002A24F8"/>
    <w:rsid w:val="002A272A"/>
    <w:rsid w:val="002A2E25"/>
    <w:rsid w:val="002A38E3"/>
    <w:rsid w:val="002A3BDC"/>
    <w:rsid w:val="002A4707"/>
    <w:rsid w:val="002A470A"/>
    <w:rsid w:val="002A4B99"/>
    <w:rsid w:val="002A54FE"/>
    <w:rsid w:val="002A55DB"/>
    <w:rsid w:val="002A56B7"/>
    <w:rsid w:val="002A58EF"/>
    <w:rsid w:val="002A5A44"/>
    <w:rsid w:val="002A6BFE"/>
    <w:rsid w:val="002A6C65"/>
    <w:rsid w:val="002A74D9"/>
    <w:rsid w:val="002A7683"/>
    <w:rsid w:val="002B0686"/>
    <w:rsid w:val="002B0D1A"/>
    <w:rsid w:val="002B1369"/>
    <w:rsid w:val="002B1414"/>
    <w:rsid w:val="002B1526"/>
    <w:rsid w:val="002B19B8"/>
    <w:rsid w:val="002B1AFD"/>
    <w:rsid w:val="002B26D4"/>
    <w:rsid w:val="002B2BF7"/>
    <w:rsid w:val="002B307C"/>
    <w:rsid w:val="002B36F6"/>
    <w:rsid w:val="002B4CFC"/>
    <w:rsid w:val="002B4F49"/>
    <w:rsid w:val="002B5F80"/>
    <w:rsid w:val="002B6313"/>
    <w:rsid w:val="002B6DBD"/>
    <w:rsid w:val="002B6DE3"/>
    <w:rsid w:val="002B720E"/>
    <w:rsid w:val="002B7739"/>
    <w:rsid w:val="002C0720"/>
    <w:rsid w:val="002C1B43"/>
    <w:rsid w:val="002C2134"/>
    <w:rsid w:val="002C242E"/>
    <w:rsid w:val="002C2DDC"/>
    <w:rsid w:val="002C3478"/>
    <w:rsid w:val="002C39FA"/>
    <w:rsid w:val="002C3D9A"/>
    <w:rsid w:val="002C3F95"/>
    <w:rsid w:val="002C42DB"/>
    <w:rsid w:val="002C43D0"/>
    <w:rsid w:val="002C471D"/>
    <w:rsid w:val="002C48C7"/>
    <w:rsid w:val="002C4DCE"/>
    <w:rsid w:val="002C50BE"/>
    <w:rsid w:val="002C60C7"/>
    <w:rsid w:val="002C661C"/>
    <w:rsid w:val="002C6B12"/>
    <w:rsid w:val="002D02A5"/>
    <w:rsid w:val="002D1010"/>
    <w:rsid w:val="002D112B"/>
    <w:rsid w:val="002D16A9"/>
    <w:rsid w:val="002D1F47"/>
    <w:rsid w:val="002D2003"/>
    <w:rsid w:val="002D2281"/>
    <w:rsid w:val="002D34B5"/>
    <w:rsid w:val="002D4334"/>
    <w:rsid w:val="002D4E73"/>
    <w:rsid w:val="002D55A1"/>
    <w:rsid w:val="002D5FF2"/>
    <w:rsid w:val="002D6442"/>
    <w:rsid w:val="002D6B7E"/>
    <w:rsid w:val="002D6CA7"/>
    <w:rsid w:val="002D6EC1"/>
    <w:rsid w:val="002D7363"/>
    <w:rsid w:val="002D7684"/>
    <w:rsid w:val="002D7B01"/>
    <w:rsid w:val="002D7DAE"/>
    <w:rsid w:val="002E02D3"/>
    <w:rsid w:val="002E071B"/>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B87"/>
    <w:rsid w:val="002E4C68"/>
    <w:rsid w:val="002E5239"/>
    <w:rsid w:val="002E5273"/>
    <w:rsid w:val="002E58D1"/>
    <w:rsid w:val="002E5C86"/>
    <w:rsid w:val="002E606A"/>
    <w:rsid w:val="002E6663"/>
    <w:rsid w:val="002E6848"/>
    <w:rsid w:val="002E7241"/>
    <w:rsid w:val="002E7EC9"/>
    <w:rsid w:val="002F01F1"/>
    <w:rsid w:val="002F0678"/>
    <w:rsid w:val="002F0935"/>
    <w:rsid w:val="002F0C62"/>
    <w:rsid w:val="002F10D7"/>
    <w:rsid w:val="002F172B"/>
    <w:rsid w:val="002F1CA5"/>
    <w:rsid w:val="002F1DFD"/>
    <w:rsid w:val="002F2B0C"/>
    <w:rsid w:val="002F2D0D"/>
    <w:rsid w:val="002F3716"/>
    <w:rsid w:val="002F3E8F"/>
    <w:rsid w:val="002F46BC"/>
    <w:rsid w:val="002F487F"/>
    <w:rsid w:val="002F4906"/>
    <w:rsid w:val="002F4961"/>
    <w:rsid w:val="002F4A9A"/>
    <w:rsid w:val="002F4D1F"/>
    <w:rsid w:val="002F5135"/>
    <w:rsid w:val="002F58D6"/>
    <w:rsid w:val="002F5B7F"/>
    <w:rsid w:val="002F6000"/>
    <w:rsid w:val="002F60FC"/>
    <w:rsid w:val="002F61DA"/>
    <w:rsid w:val="002F6BB2"/>
    <w:rsid w:val="002F6E74"/>
    <w:rsid w:val="002F722B"/>
    <w:rsid w:val="002F7313"/>
    <w:rsid w:val="002F7418"/>
    <w:rsid w:val="00300230"/>
    <w:rsid w:val="003003A7"/>
    <w:rsid w:val="0030075B"/>
    <w:rsid w:val="00300B2D"/>
    <w:rsid w:val="00300C44"/>
    <w:rsid w:val="00300D1C"/>
    <w:rsid w:val="00300EFF"/>
    <w:rsid w:val="003014DD"/>
    <w:rsid w:val="0030179D"/>
    <w:rsid w:val="00301F8B"/>
    <w:rsid w:val="003022C1"/>
    <w:rsid w:val="00302A1D"/>
    <w:rsid w:val="00302E75"/>
    <w:rsid w:val="00303846"/>
    <w:rsid w:val="003041CB"/>
    <w:rsid w:val="003041D6"/>
    <w:rsid w:val="0030493C"/>
    <w:rsid w:val="0030495C"/>
    <w:rsid w:val="00304C52"/>
    <w:rsid w:val="00304F98"/>
    <w:rsid w:val="003051A9"/>
    <w:rsid w:val="00305BE6"/>
    <w:rsid w:val="00305FD7"/>
    <w:rsid w:val="00306093"/>
    <w:rsid w:val="003069D6"/>
    <w:rsid w:val="00306C4D"/>
    <w:rsid w:val="00307C93"/>
    <w:rsid w:val="003103BA"/>
    <w:rsid w:val="00310449"/>
    <w:rsid w:val="003104B9"/>
    <w:rsid w:val="00310928"/>
    <w:rsid w:val="00311075"/>
    <w:rsid w:val="00311CB8"/>
    <w:rsid w:val="00311DCE"/>
    <w:rsid w:val="00311F19"/>
    <w:rsid w:val="003122A2"/>
    <w:rsid w:val="00312345"/>
    <w:rsid w:val="003124AC"/>
    <w:rsid w:val="00312B56"/>
    <w:rsid w:val="003140BD"/>
    <w:rsid w:val="00314EA9"/>
    <w:rsid w:val="0031536F"/>
    <w:rsid w:val="0031558C"/>
    <w:rsid w:val="00315755"/>
    <w:rsid w:val="00315AEF"/>
    <w:rsid w:val="00315DCF"/>
    <w:rsid w:val="003169C4"/>
    <w:rsid w:val="00316B20"/>
    <w:rsid w:val="00317248"/>
    <w:rsid w:val="003175FA"/>
    <w:rsid w:val="00317960"/>
    <w:rsid w:val="00317D8E"/>
    <w:rsid w:val="00320008"/>
    <w:rsid w:val="00320683"/>
    <w:rsid w:val="00320A09"/>
    <w:rsid w:val="00320B50"/>
    <w:rsid w:val="0032108A"/>
    <w:rsid w:val="0032148C"/>
    <w:rsid w:val="003214E7"/>
    <w:rsid w:val="00321B99"/>
    <w:rsid w:val="003223F8"/>
    <w:rsid w:val="00322490"/>
    <w:rsid w:val="00322E6B"/>
    <w:rsid w:val="00323C65"/>
    <w:rsid w:val="0032471B"/>
    <w:rsid w:val="00324EA4"/>
    <w:rsid w:val="0032616A"/>
    <w:rsid w:val="003269FF"/>
    <w:rsid w:val="00327A1D"/>
    <w:rsid w:val="00327AC0"/>
    <w:rsid w:val="0033026F"/>
    <w:rsid w:val="0033038E"/>
    <w:rsid w:val="003306CA"/>
    <w:rsid w:val="00330A97"/>
    <w:rsid w:val="00331CB7"/>
    <w:rsid w:val="00331E70"/>
    <w:rsid w:val="00332910"/>
    <w:rsid w:val="003332F1"/>
    <w:rsid w:val="0033413E"/>
    <w:rsid w:val="00334218"/>
    <w:rsid w:val="003342BA"/>
    <w:rsid w:val="003348AC"/>
    <w:rsid w:val="003349BE"/>
    <w:rsid w:val="00334A34"/>
    <w:rsid w:val="00334C00"/>
    <w:rsid w:val="00334C49"/>
    <w:rsid w:val="00334CB4"/>
    <w:rsid w:val="00335007"/>
    <w:rsid w:val="0033518A"/>
    <w:rsid w:val="00335478"/>
    <w:rsid w:val="0033588A"/>
    <w:rsid w:val="00336079"/>
    <w:rsid w:val="00336529"/>
    <w:rsid w:val="0033707D"/>
    <w:rsid w:val="0034084B"/>
    <w:rsid w:val="003411B2"/>
    <w:rsid w:val="00341394"/>
    <w:rsid w:val="003419DE"/>
    <w:rsid w:val="00341A9C"/>
    <w:rsid w:val="0034206D"/>
    <w:rsid w:val="00342824"/>
    <w:rsid w:val="00342D57"/>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BBC"/>
    <w:rsid w:val="00350C07"/>
    <w:rsid w:val="00351055"/>
    <w:rsid w:val="00351E01"/>
    <w:rsid w:val="00351FCE"/>
    <w:rsid w:val="003520F5"/>
    <w:rsid w:val="003520F7"/>
    <w:rsid w:val="00352111"/>
    <w:rsid w:val="00352268"/>
    <w:rsid w:val="00352879"/>
    <w:rsid w:val="00352AAB"/>
    <w:rsid w:val="00352F92"/>
    <w:rsid w:val="003540CC"/>
    <w:rsid w:val="00354617"/>
    <w:rsid w:val="00355277"/>
    <w:rsid w:val="00355460"/>
    <w:rsid w:val="00355C4C"/>
    <w:rsid w:val="00356128"/>
    <w:rsid w:val="00356C7B"/>
    <w:rsid w:val="00356E0D"/>
    <w:rsid w:val="00356F4E"/>
    <w:rsid w:val="00357081"/>
    <w:rsid w:val="0036054A"/>
    <w:rsid w:val="00360752"/>
    <w:rsid w:val="00360B4B"/>
    <w:rsid w:val="00360E12"/>
    <w:rsid w:val="00361480"/>
    <w:rsid w:val="00361CD6"/>
    <w:rsid w:val="0036261B"/>
    <w:rsid w:val="00362916"/>
    <w:rsid w:val="00362A49"/>
    <w:rsid w:val="00362C35"/>
    <w:rsid w:val="00362EAA"/>
    <w:rsid w:val="003636B1"/>
    <w:rsid w:val="003638B9"/>
    <w:rsid w:val="003638EA"/>
    <w:rsid w:val="003639DB"/>
    <w:rsid w:val="00363ECD"/>
    <w:rsid w:val="00364692"/>
    <w:rsid w:val="00365487"/>
    <w:rsid w:val="00365799"/>
    <w:rsid w:val="00365B67"/>
    <w:rsid w:val="00366688"/>
    <w:rsid w:val="003666F7"/>
    <w:rsid w:val="003667D9"/>
    <w:rsid w:val="00366980"/>
    <w:rsid w:val="00367B1A"/>
    <w:rsid w:val="00367BCB"/>
    <w:rsid w:val="00370648"/>
    <w:rsid w:val="003708A5"/>
    <w:rsid w:val="00370C6E"/>
    <w:rsid w:val="00371D3E"/>
    <w:rsid w:val="003720BE"/>
    <w:rsid w:val="00372576"/>
    <w:rsid w:val="0037260C"/>
    <w:rsid w:val="003726D6"/>
    <w:rsid w:val="00372928"/>
    <w:rsid w:val="00372C90"/>
    <w:rsid w:val="003730A0"/>
    <w:rsid w:val="0037346B"/>
    <w:rsid w:val="00374165"/>
    <w:rsid w:val="0037494D"/>
    <w:rsid w:val="00374EA8"/>
    <w:rsid w:val="00375B9E"/>
    <w:rsid w:val="00375E6B"/>
    <w:rsid w:val="003760AF"/>
    <w:rsid w:val="00376727"/>
    <w:rsid w:val="00377052"/>
    <w:rsid w:val="003774D2"/>
    <w:rsid w:val="00377A75"/>
    <w:rsid w:val="00377BCF"/>
    <w:rsid w:val="00377CC6"/>
    <w:rsid w:val="00377D93"/>
    <w:rsid w:val="00380081"/>
    <w:rsid w:val="00380A8B"/>
    <w:rsid w:val="00380E50"/>
    <w:rsid w:val="003814C2"/>
    <w:rsid w:val="00381698"/>
    <w:rsid w:val="00382203"/>
    <w:rsid w:val="0038333E"/>
    <w:rsid w:val="00383720"/>
    <w:rsid w:val="00384121"/>
    <w:rsid w:val="00384D88"/>
    <w:rsid w:val="0038555C"/>
    <w:rsid w:val="003859D4"/>
    <w:rsid w:val="003862BB"/>
    <w:rsid w:val="00386365"/>
    <w:rsid w:val="00386910"/>
    <w:rsid w:val="003872CF"/>
    <w:rsid w:val="00387347"/>
    <w:rsid w:val="0038759C"/>
    <w:rsid w:val="00390050"/>
    <w:rsid w:val="003902D2"/>
    <w:rsid w:val="00390703"/>
    <w:rsid w:val="0039118B"/>
    <w:rsid w:val="003912D6"/>
    <w:rsid w:val="00391AF7"/>
    <w:rsid w:val="00391D04"/>
    <w:rsid w:val="00391D60"/>
    <w:rsid w:val="00392244"/>
    <w:rsid w:val="00392F36"/>
    <w:rsid w:val="00392F43"/>
    <w:rsid w:val="0039307E"/>
    <w:rsid w:val="00394AD2"/>
    <w:rsid w:val="0039509A"/>
    <w:rsid w:val="0039551E"/>
    <w:rsid w:val="0039562B"/>
    <w:rsid w:val="00395B04"/>
    <w:rsid w:val="00395DF3"/>
    <w:rsid w:val="0039638F"/>
    <w:rsid w:val="00396F2B"/>
    <w:rsid w:val="00397786"/>
    <w:rsid w:val="00397A8F"/>
    <w:rsid w:val="003A0456"/>
    <w:rsid w:val="003A0689"/>
    <w:rsid w:val="003A1E7E"/>
    <w:rsid w:val="003A24A1"/>
    <w:rsid w:val="003A3191"/>
    <w:rsid w:val="003A3318"/>
    <w:rsid w:val="003A3CAE"/>
    <w:rsid w:val="003A46C8"/>
    <w:rsid w:val="003A50B5"/>
    <w:rsid w:val="003A50BA"/>
    <w:rsid w:val="003A5345"/>
    <w:rsid w:val="003A5370"/>
    <w:rsid w:val="003A53E2"/>
    <w:rsid w:val="003A540E"/>
    <w:rsid w:val="003A59CB"/>
    <w:rsid w:val="003A5FE9"/>
    <w:rsid w:val="003A64B1"/>
    <w:rsid w:val="003A659D"/>
    <w:rsid w:val="003A66DC"/>
    <w:rsid w:val="003A720E"/>
    <w:rsid w:val="003A7461"/>
    <w:rsid w:val="003A75EC"/>
    <w:rsid w:val="003A774F"/>
    <w:rsid w:val="003B0757"/>
    <w:rsid w:val="003B09B8"/>
    <w:rsid w:val="003B0A35"/>
    <w:rsid w:val="003B12D2"/>
    <w:rsid w:val="003B12DB"/>
    <w:rsid w:val="003B1414"/>
    <w:rsid w:val="003B160B"/>
    <w:rsid w:val="003B175A"/>
    <w:rsid w:val="003B1875"/>
    <w:rsid w:val="003B249B"/>
    <w:rsid w:val="003B2AF8"/>
    <w:rsid w:val="003B2E6B"/>
    <w:rsid w:val="003B3FE8"/>
    <w:rsid w:val="003B41F0"/>
    <w:rsid w:val="003B4380"/>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C0942"/>
    <w:rsid w:val="003C0EEC"/>
    <w:rsid w:val="003C12E0"/>
    <w:rsid w:val="003C16A6"/>
    <w:rsid w:val="003C18DC"/>
    <w:rsid w:val="003C1E78"/>
    <w:rsid w:val="003C1F38"/>
    <w:rsid w:val="003C284C"/>
    <w:rsid w:val="003C2A02"/>
    <w:rsid w:val="003C2C6A"/>
    <w:rsid w:val="003C3A8E"/>
    <w:rsid w:val="003C3B7F"/>
    <w:rsid w:val="003C3EDC"/>
    <w:rsid w:val="003C42AA"/>
    <w:rsid w:val="003C470C"/>
    <w:rsid w:val="003C484A"/>
    <w:rsid w:val="003C60D6"/>
    <w:rsid w:val="003C63EB"/>
    <w:rsid w:val="003C6795"/>
    <w:rsid w:val="003C6E21"/>
    <w:rsid w:val="003C72D8"/>
    <w:rsid w:val="003C7D6D"/>
    <w:rsid w:val="003D01B4"/>
    <w:rsid w:val="003D06F1"/>
    <w:rsid w:val="003D0735"/>
    <w:rsid w:val="003D0DDE"/>
    <w:rsid w:val="003D12B8"/>
    <w:rsid w:val="003D1498"/>
    <w:rsid w:val="003D15BC"/>
    <w:rsid w:val="003D1AFF"/>
    <w:rsid w:val="003D242C"/>
    <w:rsid w:val="003D3528"/>
    <w:rsid w:val="003D360A"/>
    <w:rsid w:val="003D41AD"/>
    <w:rsid w:val="003D4549"/>
    <w:rsid w:val="003D4A84"/>
    <w:rsid w:val="003D4B3A"/>
    <w:rsid w:val="003D4B6A"/>
    <w:rsid w:val="003D515A"/>
    <w:rsid w:val="003D51A8"/>
    <w:rsid w:val="003D5AA4"/>
    <w:rsid w:val="003D5B61"/>
    <w:rsid w:val="003D5C20"/>
    <w:rsid w:val="003D5EC0"/>
    <w:rsid w:val="003D619A"/>
    <w:rsid w:val="003D66D2"/>
    <w:rsid w:val="003D7606"/>
    <w:rsid w:val="003D793B"/>
    <w:rsid w:val="003E024B"/>
    <w:rsid w:val="003E0B5B"/>
    <w:rsid w:val="003E0C79"/>
    <w:rsid w:val="003E0ECD"/>
    <w:rsid w:val="003E101A"/>
    <w:rsid w:val="003E18BA"/>
    <w:rsid w:val="003E260D"/>
    <w:rsid w:val="003E2782"/>
    <w:rsid w:val="003E2C80"/>
    <w:rsid w:val="003E3027"/>
    <w:rsid w:val="003E3D33"/>
    <w:rsid w:val="003E3DBC"/>
    <w:rsid w:val="003E5CD9"/>
    <w:rsid w:val="003E5E58"/>
    <w:rsid w:val="003E615B"/>
    <w:rsid w:val="003E669D"/>
    <w:rsid w:val="003E6C30"/>
    <w:rsid w:val="003E7ABC"/>
    <w:rsid w:val="003F0091"/>
    <w:rsid w:val="003F009D"/>
    <w:rsid w:val="003F02EE"/>
    <w:rsid w:val="003F0CE1"/>
    <w:rsid w:val="003F1359"/>
    <w:rsid w:val="003F2060"/>
    <w:rsid w:val="003F262C"/>
    <w:rsid w:val="003F2641"/>
    <w:rsid w:val="003F277F"/>
    <w:rsid w:val="003F2783"/>
    <w:rsid w:val="003F2DC1"/>
    <w:rsid w:val="003F3169"/>
    <w:rsid w:val="003F321F"/>
    <w:rsid w:val="003F3505"/>
    <w:rsid w:val="003F4897"/>
    <w:rsid w:val="003F5483"/>
    <w:rsid w:val="003F569F"/>
    <w:rsid w:val="003F5801"/>
    <w:rsid w:val="003F5D48"/>
    <w:rsid w:val="003F5DAA"/>
    <w:rsid w:val="003F5E01"/>
    <w:rsid w:val="003F5F7B"/>
    <w:rsid w:val="003F6518"/>
    <w:rsid w:val="003F6636"/>
    <w:rsid w:val="003F6A4A"/>
    <w:rsid w:val="003F6F48"/>
    <w:rsid w:val="003F73EA"/>
    <w:rsid w:val="003F7448"/>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97"/>
    <w:rsid w:val="0040364D"/>
    <w:rsid w:val="0040403A"/>
    <w:rsid w:val="00404609"/>
    <w:rsid w:val="004046D8"/>
    <w:rsid w:val="0040492F"/>
    <w:rsid w:val="00405181"/>
    <w:rsid w:val="00405C0A"/>
    <w:rsid w:val="00407959"/>
    <w:rsid w:val="00407C71"/>
    <w:rsid w:val="004104C3"/>
    <w:rsid w:val="00410A98"/>
    <w:rsid w:val="00411908"/>
    <w:rsid w:val="004121BD"/>
    <w:rsid w:val="00412719"/>
    <w:rsid w:val="0041320D"/>
    <w:rsid w:val="00413665"/>
    <w:rsid w:val="0041376B"/>
    <w:rsid w:val="004137EF"/>
    <w:rsid w:val="00413827"/>
    <w:rsid w:val="00414670"/>
    <w:rsid w:val="004158F9"/>
    <w:rsid w:val="004159EA"/>
    <w:rsid w:val="00416727"/>
    <w:rsid w:val="00416D3F"/>
    <w:rsid w:val="004172A4"/>
    <w:rsid w:val="00417B88"/>
    <w:rsid w:val="00417DD8"/>
    <w:rsid w:val="004208D9"/>
    <w:rsid w:val="00420CD9"/>
    <w:rsid w:val="00421518"/>
    <w:rsid w:val="00421E7C"/>
    <w:rsid w:val="004225B7"/>
    <w:rsid w:val="00422ABD"/>
    <w:rsid w:val="00422B4E"/>
    <w:rsid w:val="00422FF6"/>
    <w:rsid w:val="00423486"/>
    <w:rsid w:val="00423668"/>
    <w:rsid w:val="00424227"/>
    <w:rsid w:val="00424C53"/>
    <w:rsid w:val="00425814"/>
    <w:rsid w:val="00425BE8"/>
    <w:rsid w:val="00425C5F"/>
    <w:rsid w:val="00426286"/>
    <w:rsid w:val="00427A24"/>
    <w:rsid w:val="00427F6B"/>
    <w:rsid w:val="0043073D"/>
    <w:rsid w:val="004313D1"/>
    <w:rsid w:val="0043142D"/>
    <w:rsid w:val="004318EB"/>
    <w:rsid w:val="00431C4A"/>
    <w:rsid w:val="00432DFF"/>
    <w:rsid w:val="00433121"/>
    <w:rsid w:val="004331C3"/>
    <w:rsid w:val="0043323A"/>
    <w:rsid w:val="0043348B"/>
    <w:rsid w:val="004335B1"/>
    <w:rsid w:val="004337CC"/>
    <w:rsid w:val="004338D4"/>
    <w:rsid w:val="004348AD"/>
    <w:rsid w:val="00435F85"/>
    <w:rsid w:val="0043622B"/>
    <w:rsid w:val="00436BBC"/>
    <w:rsid w:val="00436E0B"/>
    <w:rsid w:val="0043714B"/>
    <w:rsid w:val="00437176"/>
    <w:rsid w:val="004374E9"/>
    <w:rsid w:val="004401DF"/>
    <w:rsid w:val="0044066C"/>
    <w:rsid w:val="00440E9B"/>
    <w:rsid w:val="00441E87"/>
    <w:rsid w:val="00442624"/>
    <w:rsid w:val="004427F7"/>
    <w:rsid w:val="004428EF"/>
    <w:rsid w:val="00442A58"/>
    <w:rsid w:val="00442D17"/>
    <w:rsid w:val="00443751"/>
    <w:rsid w:val="00443D0B"/>
    <w:rsid w:val="00443D9B"/>
    <w:rsid w:val="00444039"/>
    <w:rsid w:val="004448CC"/>
    <w:rsid w:val="00444E84"/>
    <w:rsid w:val="00444FDF"/>
    <w:rsid w:val="00445136"/>
    <w:rsid w:val="00445717"/>
    <w:rsid w:val="00445C6A"/>
    <w:rsid w:val="00447247"/>
    <w:rsid w:val="004507FD"/>
    <w:rsid w:val="00450971"/>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B4C"/>
    <w:rsid w:val="00457E0E"/>
    <w:rsid w:val="0046041E"/>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576"/>
    <w:rsid w:val="00464CD5"/>
    <w:rsid w:val="00465D99"/>
    <w:rsid w:val="00465E0A"/>
    <w:rsid w:val="00465EAB"/>
    <w:rsid w:val="00465F8B"/>
    <w:rsid w:val="00466031"/>
    <w:rsid w:val="004661ED"/>
    <w:rsid w:val="00466E16"/>
    <w:rsid w:val="00467766"/>
    <w:rsid w:val="0047067C"/>
    <w:rsid w:val="00470AC0"/>
    <w:rsid w:val="00470CA0"/>
    <w:rsid w:val="00471073"/>
    <w:rsid w:val="0047209E"/>
    <w:rsid w:val="0047248C"/>
    <w:rsid w:val="00472690"/>
    <w:rsid w:val="00472A2E"/>
    <w:rsid w:val="00472C21"/>
    <w:rsid w:val="00472D72"/>
    <w:rsid w:val="00473B88"/>
    <w:rsid w:val="00474BBA"/>
    <w:rsid w:val="00474FDA"/>
    <w:rsid w:val="00475118"/>
    <w:rsid w:val="004751F8"/>
    <w:rsid w:val="00475676"/>
    <w:rsid w:val="00475CDC"/>
    <w:rsid w:val="00475D82"/>
    <w:rsid w:val="00475F1D"/>
    <w:rsid w:val="0047619E"/>
    <w:rsid w:val="00476B39"/>
    <w:rsid w:val="00476BEC"/>
    <w:rsid w:val="00477078"/>
    <w:rsid w:val="00481E7E"/>
    <w:rsid w:val="004822AF"/>
    <w:rsid w:val="00482799"/>
    <w:rsid w:val="0048295B"/>
    <w:rsid w:val="00482B2F"/>
    <w:rsid w:val="00482DA4"/>
    <w:rsid w:val="00482E18"/>
    <w:rsid w:val="0048338D"/>
    <w:rsid w:val="00483A66"/>
    <w:rsid w:val="00483DEA"/>
    <w:rsid w:val="00483EA8"/>
    <w:rsid w:val="0048477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BF9"/>
    <w:rsid w:val="00493EA2"/>
    <w:rsid w:val="004942AE"/>
    <w:rsid w:val="004949D4"/>
    <w:rsid w:val="004950BB"/>
    <w:rsid w:val="00495373"/>
    <w:rsid w:val="0049560E"/>
    <w:rsid w:val="00496733"/>
    <w:rsid w:val="00496B26"/>
    <w:rsid w:val="00497A8F"/>
    <w:rsid w:val="004A004B"/>
    <w:rsid w:val="004A0326"/>
    <w:rsid w:val="004A0699"/>
    <w:rsid w:val="004A0D4D"/>
    <w:rsid w:val="004A0F7E"/>
    <w:rsid w:val="004A1792"/>
    <w:rsid w:val="004A1942"/>
    <w:rsid w:val="004A197A"/>
    <w:rsid w:val="004A268B"/>
    <w:rsid w:val="004A28DE"/>
    <w:rsid w:val="004A2CB7"/>
    <w:rsid w:val="004A3F42"/>
    <w:rsid w:val="004A4476"/>
    <w:rsid w:val="004A461E"/>
    <w:rsid w:val="004A52CA"/>
    <w:rsid w:val="004A5E16"/>
    <w:rsid w:val="004A6037"/>
    <w:rsid w:val="004A6054"/>
    <w:rsid w:val="004A642F"/>
    <w:rsid w:val="004A68D0"/>
    <w:rsid w:val="004A6B9D"/>
    <w:rsid w:val="004A75BE"/>
    <w:rsid w:val="004A7631"/>
    <w:rsid w:val="004A7BC0"/>
    <w:rsid w:val="004A7BE4"/>
    <w:rsid w:val="004A7D57"/>
    <w:rsid w:val="004B0150"/>
    <w:rsid w:val="004B01BD"/>
    <w:rsid w:val="004B026F"/>
    <w:rsid w:val="004B043D"/>
    <w:rsid w:val="004B0509"/>
    <w:rsid w:val="004B0DFA"/>
    <w:rsid w:val="004B139B"/>
    <w:rsid w:val="004B1575"/>
    <w:rsid w:val="004B215E"/>
    <w:rsid w:val="004B282E"/>
    <w:rsid w:val="004B2B77"/>
    <w:rsid w:val="004B32B0"/>
    <w:rsid w:val="004B4173"/>
    <w:rsid w:val="004B439C"/>
    <w:rsid w:val="004B4459"/>
    <w:rsid w:val="004B4898"/>
    <w:rsid w:val="004B4F2F"/>
    <w:rsid w:val="004B6406"/>
    <w:rsid w:val="004B69E0"/>
    <w:rsid w:val="004B7093"/>
    <w:rsid w:val="004B738A"/>
    <w:rsid w:val="004B775F"/>
    <w:rsid w:val="004B78BD"/>
    <w:rsid w:val="004B79DA"/>
    <w:rsid w:val="004C0155"/>
    <w:rsid w:val="004C034C"/>
    <w:rsid w:val="004C04DD"/>
    <w:rsid w:val="004C072A"/>
    <w:rsid w:val="004C112E"/>
    <w:rsid w:val="004C1977"/>
    <w:rsid w:val="004C19AF"/>
    <w:rsid w:val="004C1B6D"/>
    <w:rsid w:val="004C23F8"/>
    <w:rsid w:val="004C2769"/>
    <w:rsid w:val="004C2F52"/>
    <w:rsid w:val="004C3CA8"/>
    <w:rsid w:val="004C3D5E"/>
    <w:rsid w:val="004C3F45"/>
    <w:rsid w:val="004C3FE5"/>
    <w:rsid w:val="004C4B44"/>
    <w:rsid w:val="004C4B83"/>
    <w:rsid w:val="004C4C8C"/>
    <w:rsid w:val="004C5564"/>
    <w:rsid w:val="004C578B"/>
    <w:rsid w:val="004C57FD"/>
    <w:rsid w:val="004C5964"/>
    <w:rsid w:val="004C658D"/>
    <w:rsid w:val="004C6772"/>
    <w:rsid w:val="004C6D48"/>
    <w:rsid w:val="004D03E7"/>
    <w:rsid w:val="004D0A18"/>
    <w:rsid w:val="004D0C12"/>
    <w:rsid w:val="004D0E1B"/>
    <w:rsid w:val="004D149F"/>
    <w:rsid w:val="004D14D8"/>
    <w:rsid w:val="004D1536"/>
    <w:rsid w:val="004D19C2"/>
    <w:rsid w:val="004D228F"/>
    <w:rsid w:val="004D2B7A"/>
    <w:rsid w:val="004D3A10"/>
    <w:rsid w:val="004D3D8A"/>
    <w:rsid w:val="004D3E5E"/>
    <w:rsid w:val="004D3EE9"/>
    <w:rsid w:val="004D4C54"/>
    <w:rsid w:val="004D4E06"/>
    <w:rsid w:val="004D54EB"/>
    <w:rsid w:val="004D5540"/>
    <w:rsid w:val="004D55AA"/>
    <w:rsid w:val="004D5713"/>
    <w:rsid w:val="004D612A"/>
    <w:rsid w:val="004D69A4"/>
    <w:rsid w:val="004D6C64"/>
    <w:rsid w:val="004D708E"/>
    <w:rsid w:val="004D72BE"/>
    <w:rsid w:val="004D78F2"/>
    <w:rsid w:val="004D7DD1"/>
    <w:rsid w:val="004D7EE8"/>
    <w:rsid w:val="004E0738"/>
    <w:rsid w:val="004E090A"/>
    <w:rsid w:val="004E174E"/>
    <w:rsid w:val="004E1D47"/>
    <w:rsid w:val="004E1D4A"/>
    <w:rsid w:val="004E254D"/>
    <w:rsid w:val="004E2852"/>
    <w:rsid w:val="004E40FE"/>
    <w:rsid w:val="004E4913"/>
    <w:rsid w:val="004E4A2F"/>
    <w:rsid w:val="004E6BEE"/>
    <w:rsid w:val="004E6E7D"/>
    <w:rsid w:val="004E6EAC"/>
    <w:rsid w:val="004E77D7"/>
    <w:rsid w:val="004E7A1F"/>
    <w:rsid w:val="004F0230"/>
    <w:rsid w:val="004F074D"/>
    <w:rsid w:val="004F11FE"/>
    <w:rsid w:val="004F1523"/>
    <w:rsid w:val="004F17F1"/>
    <w:rsid w:val="004F2C36"/>
    <w:rsid w:val="004F2D1B"/>
    <w:rsid w:val="004F2E17"/>
    <w:rsid w:val="004F2EC2"/>
    <w:rsid w:val="004F339C"/>
    <w:rsid w:val="004F3D0E"/>
    <w:rsid w:val="004F4211"/>
    <w:rsid w:val="004F43C0"/>
    <w:rsid w:val="004F4B2E"/>
    <w:rsid w:val="004F4E1F"/>
    <w:rsid w:val="004F51CC"/>
    <w:rsid w:val="004F5566"/>
    <w:rsid w:val="004F5793"/>
    <w:rsid w:val="004F57A9"/>
    <w:rsid w:val="004F58A1"/>
    <w:rsid w:val="004F602C"/>
    <w:rsid w:val="004F707F"/>
    <w:rsid w:val="004F7223"/>
    <w:rsid w:val="004F75F3"/>
    <w:rsid w:val="00500B92"/>
    <w:rsid w:val="005011E3"/>
    <w:rsid w:val="00501886"/>
    <w:rsid w:val="00501EF6"/>
    <w:rsid w:val="00502998"/>
    <w:rsid w:val="005029D4"/>
    <w:rsid w:val="00502E9D"/>
    <w:rsid w:val="005038D7"/>
    <w:rsid w:val="0050496A"/>
    <w:rsid w:val="00504BF5"/>
    <w:rsid w:val="00504C3F"/>
    <w:rsid w:val="00505109"/>
    <w:rsid w:val="00505707"/>
    <w:rsid w:val="00505714"/>
    <w:rsid w:val="00505AE5"/>
    <w:rsid w:val="00505CEF"/>
    <w:rsid w:val="005063A5"/>
    <w:rsid w:val="00506996"/>
    <w:rsid w:val="00506CE6"/>
    <w:rsid w:val="00506DB4"/>
    <w:rsid w:val="00506F24"/>
    <w:rsid w:val="00507C8F"/>
    <w:rsid w:val="0051070B"/>
    <w:rsid w:val="00510A0A"/>
    <w:rsid w:val="00510A12"/>
    <w:rsid w:val="00510B88"/>
    <w:rsid w:val="00510E19"/>
    <w:rsid w:val="00511525"/>
    <w:rsid w:val="0051160F"/>
    <w:rsid w:val="005116FA"/>
    <w:rsid w:val="00511B07"/>
    <w:rsid w:val="00511D31"/>
    <w:rsid w:val="00511FD1"/>
    <w:rsid w:val="00512821"/>
    <w:rsid w:val="0051334D"/>
    <w:rsid w:val="00514031"/>
    <w:rsid w:val="00514659"/>
    <w:rsid w:val="00514722"/>
    <w:rsid w:val="00515052"/>
    <w:rsid w:val="00516435"/>
    <w:rsid w:val="00516643"/>
    <w:rsid w:val="00516791"/>
    <w:rsid w:val="005167F2"/>
    <w:rsid w:val="0051685B"/>
    <w:rsid w:val="00516BA3"/>
    <w:rsid w:val="00516DFB"/>
    <w:rsid w:val="005170F6"/>
    <w:rsid w:val="00517545"/>
    <w:rsid w:val="005178FB"/>
    <w:rsid w:val="00517E25"/>
    <w:rsid w:val="00517F72"/>
    <w:rsid w:val="00517FA3"/>
    <w:rsid w:val="00517FB0"/>
    <w:rsid w:val="005200DC"/>
    <w:rsid w:val="0052025A"/>
    <w:rsid w:val="0052074C"/>
    <w:rsid w:val="0052092B"/>
    <w:rsid w:val="00520A22"/>
    <w:rsid w:val="00520FF4"/>
    <w:rsid w:val="0052102A"/>
    <w:rsid w:val="00521076"/>
    <w:rsid w:val="005215E4"/>
    <w:rsid w:val="00521842"/>
    <w:rsid w:val="00521A30"/>
    <w:rsid w:val="00521E64"/>
    <w:rsid w:val="00522267"/>
    <w:rsid w:val="005222D7"/>
    <w:rsid w:val="005224B2"/>
    <w:rsid w:val="00522DAB"/>
    <w:rsid w:val="00522FC8"/>
    <w:rsid w:val="00523976"/>
    <w:rsid w:val="00523CF3"/>
    <w:rsid w:val="00524643"/>
    <w:rsid w:val="0052479F"/>
    <w:rsid w:val="00525DEC"/>
    <w:rsid w:val="0052622B"/>
    <w:rsid w:val="005265AA"/>
    <w:rsid w:val="00526BFC"/>
    <w:rsid w:val="005279F4"/>
    <w:rsid w:val="00527E5A"/>
    <w:rsid w:val="005301E4"/>
    <w:rsid w:val="00530857"/>
    <w:rsid w:val="00530ABE"/>
    <w:rsid w:val="0053126F"/>
    <w:rsid w:val="00533464"/>
    <w:rsid w:val="00533918"/>
    <w:rsid w:val="00533AD4"/>
    <w:rsid w:val="00533FAD"/>
    <w:rsid w:val="00534906"/>
    <w:rsid w:val="005349E2"/>
    <w:rsid w:val="00534F77"/>
    <w:rsid w:val="005353E8"/>
    <w:rsid w:val="00535869"/>
    <w:rsid w:val="00535C85"/>
    <w:rsid w:val="00535E60"/>
    <w:rsid w:val="0053768D"/>
    <w:rsid w:val="005402BD"/>
    <w:rsid w:val="005403CC"/>
    <w:rsid w:val="00540D72"/>
    <w:rsid w:val="00540DE1"/>
    <w:rsid w:val="005416BF"/>
    <w:rsid w:val="0054185D"/>
    <w:rsid w:val="00541EF3"/>
    <w:rsid w:val="0054295C"/>
    <w:rsid w:val="005429BA"/>
    <w:rsid w:val="00543024"/>
    <w:rsid w:val="00543499"/>
    <w:rsid w:val="00543621"/>
    <w:rsid w:val="00543803"/>
    <w:rsid w:val="0054394B"/>
    <w:rsid w:val="005439C6"/>
    <w:rsid w:val="00543DC0"/>
    <w:rsid w:val="00544048"/>
    <w:rsid w:val="005442C7"/>
    <w:rsid w:val="0054439B"/>
    <w:rsid w:val="0054499C"/>
    <w:rsid w:val="005449B3"/>
    <w:rsid w:val="005454FA"/>
    <w:rsid w:val="005457F2"/>
    <w:rsid w:val="00545AD9"/>
    <w:rsid w:val="00546407"/>
    <w:rsid w:val="005470D4"/>
    <w:rsid w:val="00547241"/>
    <w:rsid w:val="00547765"/>
    <w:rsid w:val="00547826"/>
    <w:rsid w:val="00547CBD"/>
    <w:rsid w:val="00547CC6"/>
    <w:rsid w:val="00550178"/>
    <w:rsid w:val="00550536"/>
    <w:rsid w:val="00551349"/>
    <w:rsid w:val="005517EE"/>
    <w:rsid w:val="00552E42"/>
    <w:rsid w:val="005538BF"/>
    <w:rsid w:val="0055456C"/>
    <w:rsid w:val="00554F99"/>
    <w:rsid w:val="005554FD"/>
    <w:rsid w:val="005559B0"/>
    <w:rsid w:val="00555E55"/>
    <w:rsid w:val="00555EBF"/>
    <w:rsid w:val="005565E4"/>
    <w:rsid w:val="0055689F"/>
    <w:rsid w:val="00556BF6"/>
    <w:rsid w:val="00557B39"/>
    <w:rsid w:val="00557E84"/>
    <w:rsid w:val="00557F86"/>
    <w:rsid w:val="00557FCB"/>
    <w:rsid w:val="00560086"/>
    <w:rsid w:val="0056026B"/>
    <w:rsid w:val="00560511"/>
    <w:rsid w:val="00560777"/>
    <w:rsid w:val="00560C02"/>
    <w:rsid w:val="00561555"/>
    <w:rsid w:val="00561908"/>
    <w:rsid w:val="00561A8C"/>
    <w:rsid w:val="005625F4"/>
    <w:rsid w:val="0056315A"/>
    <w:rsid w:val="00564035"/>
    <w:rsid w:val="0056432B"/>
    <w:rsid w:val="005644D3"/>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6443"/>
    <w:rsid w:val="00576823"/>
    <w:rsid w:val="00577C9C"/>
    <w:rsid w:val="00580189"/>
    <w:rsid w:val="00580681"/>
    <w:rsid w:val="00580E63"/>
    <w:rsid w:val="00580F15"/>
    <w:rsid w:val="0058135D"/>
    <w:rsid w:val="005816C2"/>
    <w:rsid w:val="00581786"/>
    <w:rsid w:val="00581F3C"/>
    <w:rsid w:val="005822E7"/>
    <w:rsid w:val="00582A1F"/>
    <w:rsid w:val="00582C55"/>
    <w:rsid w:val="0058313E"/>
    <w:rsid w:val="005836A5"/>
    <w:rsid w:val="00584402"/>
    <w:rsid w:val="00584E55"/>
    <w:rsid w:val="00584F0C"/>
    <w:rsid w:val="00584FBD"/>
    <w:rsid w:val="00585425"/>
    <w:rsid w:val="0058565E"/>
    <w:rsid w:val="005857AA"/>
    <w:rsid w:val="00585E2A"/>
    <w:rsid w:val="005909FE"/>
    <w:rsid w:val="00590A90"/>
    <w:rsid w:val="005925A9"/>
    <w:rsid w:val="00592638"/>
    <w:rsid w:val="005927B8"/>
    <w:rsid w:val="0059283C"/>
    <w:rsid w:val="005934D9"/>
    <w:rsid w:val="00594BE1"/>
    <w:rsid w:val="00594CE1"/>
    <w:rsid w:val="00594D63"/>
    <w:rsid w:val="0059559D"/>
    <w:rsid w:val="00595771"/>
    <w:rsid w:val="00596C41"/>
    <w:rsid w:val="00597C24"/>
    <w:rsid w:val="005A0064"/>
    <w:rsid w:val="005A0A7B"/>
    <w:rsid w:val="005A1935"/>
    <w:rsid w:val="005A1BC3"/>
    <w:rsid w:val="005A1C0B"/>
    <w:rsid w:val="005A1D24"/>
    <w:rsid w:val="005A1D82"/>
    <w:rsid w:val="005A1FA7"/>
    <w:rsid w:val="005A208F"/>
    <w:rsid w:val="005A2553"/>
    <w:rsid w:val="005A2822"/>
    <w:rsid w:val="005A2D87"/>
    <w:rsid w:val="005A3AC7"/>
    <w:rsid w:val="005A4665"/>
    <w:rsid w:val="005A4972"/>
    <w:rsid w:val="005A4B08"/>
    <w:rsid w:val="005A5E6A"/>
    <w:rsid w:val="005A64E8"/>
    <w:rsid w:val="005A783A"/>
    <w:rsid w:val="005A7C55"/>
    <w:rsid w:val="005A7FEA"/>
    <w:rsid w:val="005B007F"/>
    <w:rsid w:val="005B0306"/>
    <w:rsid w:val="005B0957"/>
    <w:rsid w:val="005B12AF"/>
    <w:rsid w:val="005B1556"/>
    <w:rsid w:val="005B19B7"/>
    <w:rsid w:val="005B22A2"/>
    <w:rsid w:val="005B22A5"/>
    <w:rsid w:val="005B3286"/>
    <w:rsid w:val="005B34FF"/>
    <w:rsid w:val="005B4024"/>
    <w:rsid w:val="005B4F9D"/>
    <w:rsid w:val="005B4FBA"/>
    <w:rsid w:val="005B5731"/>
    <w:rsid w:val="005B6022"/>
    <w:rsid w:val="005B60F3"/>
    <w:rsid w:val="005B6528"/>
    <w:rsid w:val="005B6A49"/>
    <w:rsid w:val="005B6EBC"/>
    <w:rsid w:val="005B6F2B"/>
    <w:rsid w:val="005B7793"/>
    <w:rsid w:val="005B7D10"/>
    <w:rsid w:val="005C06E6"/>
    <w:rsid w:val="005C0901"/>
    <w:rsid w:val="005C0B72"/>
    <w:rsid w:val="005C1747"/>
    <w:rsid w:val="005C1845"/>
    <w:rsid w:val="005C2600"/>
    <w:rsid w:val="005C2AF2"/>
    <w:rsid w:val="005C30AB"/>
    <w:rsid w:val="005C4C1D"/>
    <w:rsid w:val="005C4E6A"/>
    <w:rsid w:val="005C5239"/>
    <w:rsid w:val="005C52FD"/>
    <w:rsid w:val="005C5CF7"/>
    <w:rsid w:val="005C5DC9"/>
    <w:rsid w:val="005C6292"/>
    <w:rsid w:val="005C6673"/>
    <w:rsid w:val="005C69A8"/>
    <w:rsid w:val="005C69D5"/>
    <w:rsid w:val="005C6CC2"/>
    <w:rsid w:val="005C6E56"/>
    <w:rsid w:val="005C7D54"/>
    <w:rsid w:val="005C7FC9"/>
    <w:rsid w:val="005D0B8A"/>
    <w:rsid w:val="005D188B"/>
    <w:rsid w:val="005D275E"/>
    <w:rsid w:val="005D2D3B"/>
    <w:rsid w:val="005D3AB6"/>
    <w:rsid w:val="005D4031"/>
    <w:rsid w:val="005D408F"/>
    <w:rsid w:val="005D4727"/>
    <w:rsid w:val="005D5415"/>
    <w:rsid w:val="005D59D0"/>
    <w:rsid w:val="005D5B55"/>
    <w:rsid w:val="005D5D00"/>
    <w:rsid w:val="005D5EBC"/>
    <w:rsid w:val="005D5F47"/>
    <w:rsid w:val="005D6011"/>
    <w:rsid w:val="005D6BEB"/>
    <w:rsid w:val="005D6C36"/>
    <w:rsid w:val="005D76BF"/>
    <w:rsid w:val="005D7832"/>
    <w:rsid w:val="005D7B95"/>
    <w:rsid w:val="005D7D1A"/>
    <w:rsid w:val="005E062E"/>
    <w:rsid w:val="005E10D0"/>
    <w:rsid w:val="005E12A3"/>
    <w:rsid w:val="005E13D3"/>
    <w:rsid w:val="005E1961"/>
    <w:rsid w:val="005E1F0E"/>
    <w:rsid w:val="005E2116"/>
    <w:rsid w:val="005E23B4"/>
    <w:rsid w:val="005E254D"/>
    <w:rsid w:val="005E2B11"/>
    <w:rsid w:val="005E2B35"/>
    <w:rsid w:val="005E30A1"/>
    <w:rsid w:val="005E3340"/>
    <w:rsid w:val="005E34B8"/>
    <w:rsid w:val="005E36C1"/>
    <w:rsid w:val="005E3B1D"/>
    <w:rsid w:val="005E3B31"/>
    <w:rsid w:val="005E44F0"/>
    <w:rsid w:val="005E4529"/>
    <w:rsid w:val="005E48E9"/>
    <w:rsid w:val="005E5AF2"/>
    <w:rsid w:val="005E5EE2"/>
    <w:rsid w:val="005E65D2"/>
    <w:rsid w:val="005E6753"/>
    <w:rsid w:val="005E696B"/>
    <w:rsid w:val="005E72BB"/>
    <w:rsid w:val="005E73AC"/>
    <w:rsid w:val="005E7803"/>
    <w:rsid w:val="005E7DAF"/>
    <w:rsid w:val="005F04D9"/>
    <w:rsid w:val="005F08AD"/>
    <w:rsid w:val="005F115A"/>
    <w:rsid w:val="005F17A9"/>
    <w:rsid w:val="005F17DA"/>
    <w:rsid w:val="005F18E3"/>
    <w:rsid w:val="005F1988"/>
    <w:rsid w:val="005F1EA3"/>
    <w:rsid w:val="005F1F61"/>
    <w:rsid w:val="005F1F95"/>
    <w:rsid w:val="005F20A6"/>
    <w:rsid w:val="005F2A9C"/>
    <w:rsid w:val="005F3036"/>
    <w:rsid w:val="005F3871"/>
    <w:rsid w:val="005F393E"/>
    <w:rsid w:val="005F3B77"/>
    <w:rsid w:val="005F4BBD"/>
    <w:rsid w:val="005F5074"/>
    <w:rsid w:val="005F5477"/>
    <w:rsid w:val="005F5CCB"/>
    <w:rsid w:val="005F5D35"/>
    <w:rsid w:val="005F737B"/>
    <w:rsid w:val="005F746C"/>
    <w:rsid w:val="005F774D"/>
    <w:rsid w:val="005F799E"/>
    <w:rsid w:val="006000B0"/>
    <w:rsid w:val="0060059D"/>
    <w:rsid w:val="00600638"/>
    <w:rsid w:val="006012C3"/>
    <w:rsid w:val="00601435"/>
    <w:rsid w:val="00601A35"/>
    <w:rsid w:val="00601AAC"/>
    <w:rsid w:val="0060231C"/>
    <w:rsid w:val="006025C5"/>
    <w:rsid w:val="00602858"/>
    <w:rsid w:val="00603C5A"/>
    <w:rsid w:val="0060419E"/>
    <w:rsid w:val="00604448"/>
    <w:rsid w:val="00604C4B"/>
    <w:rsid w:val="006052FE"/>
    <w:rsid w:val="0060614D"/>
    <w:rsid w:val="006067EC"/>
    <w:rsid w:val="00607343"/>
    <w:rsid w:val="00607415"/>
    <w:rsid w:val="00607650"/>
    <w:rsid w:val="006078C1"/>
    <w:rsid w:val="00607A02"/>
    <w:rsid w:val="006100F3"/>
    <w:rsid w:val="00610BEC"/>
    <w:rsid w:val="006110A0"/>
    <w:rsid w:val="00611265"/>
    <w:rsid w:val="00611691"/>
    <w:rsid w:val="00611E04"/>
    <w:rsid w:val="006121F9"/>
    <w:rsid w:val="00612503"/>
    <w:rsid w:val="00612814"/>
    <w:rsid w:val="0061325B"/>
    <w:rsid w:val="006135B6"/>
    <w:rsid w:val="00613D14"/>
    <w:rsid w:val="0061401C"/>
    <w:rsid w:val="006142C3"/>
    <w:rsid w:val="00615203"/>
    <w:rsid w:val="006155FA"/>
    <w:rsid w:val="00615C07"/>
    <w:rsid w:val="00616581"/>
    <w:rsid w:val="00616599"/>
    <w:rsid w:val="006167F0"/>
    <w:rsid w:val="006168CA"/>
    <w:rsid w:val="00616D60"/>
    <w:rsid w:val="00616E01"/>
    <w:rsid w:val="006179D1"/>
    <w:rsid w:val="0062025F"/>
    <w:rsid w:val="00620B43"/>
    <w:rsid w:val="00620EAD"/>
    <w:rsid w:val="00621419"/>
    <w:rsid w:val="00621D0C"/>
    <w:rsid w:val="00622567"/>
    <w:rsid w:val="00622643"/>
    <w:rsid w:val="0062305C"/>
    <w:rsid w:val="006238A0"/>
    <w:rsid w:val="00623B42"/>
    <w:rsid w:val="006242F2"/>
    <w:rsid w:val="006242F4"/>
    <w:rsid w:val="006244DE"/>
    <w:rsid w:val="00624B4A"/>
    <w:rsid w:val="00625AF1"/>
    <w:rsid w:val="00626106"/>
    <w:rsid w:val="0062620E"/>
    <w:rsid w:val="00626346"/>
    <w:rsid w:val="006265E0"/>
    <w:rsid w:val="0062703B"/>
    <w:rsid w:val="0062704C"/>
    <w:rsid w:val="006279EA"/>
    <w:rsid w:val="00627CA9"/>
    <w:rsid w:val="00627ED8"/>
    <w:rsid w:val="00627FC3"/>
    <w:rsid w:val="006301A5"/>
    <w:rsid w:val="006303D0"/>
    <w:rsid w:val="0063070C"/>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CEE"/>
    <w:rsid w:val="00636D62"/>
    <w:rsid w:val="00636F4C"/>
    <w:rsid w:val="00636FE9"/>
    <w:rsid w:val="00637EFA"/>
    <w:rsid w:val="00640797"/>
    <w:rsid w:val="00640BC8"/>
    <w:rsid w:val="00640F6E"/>
    <w:rsid w:val="006414FF"/>
    <w:rsid w:val="0064164D"/>
    <w:rsid w:val="006421D5"/>
    <w:rsid w:val="0064221C"/>
    <w:rsid w:val="00642451"/>
    <w:rsid w:val="0064267D"/>
    <w:rsid w:val="00642A41"/>
    <w:rsid w:val="00642B3F"/>
    <w:rsid w:val="00643194"/>
    <w:rsid w:val="0064375C"/>
    <w:rsid w:val="00643CF3"/>
    <w:rsid w:val="00644D51"/>
    <w:rsid w:val="00644DA3"/>
    <w:rsid w:val="00645994"/>
    <w:rsid w:val="00645A66"/>
    <w:rsid w:val="00645F59"/>
    <w:rsid w:val="006464B2"/>
    <w:rsid w:val="0064659A"/>
    <w:rsid w:val="00647075"/>
    <w:rsid w:val="00647171"/>
    <w:rsid w:val="00647480"/>
    <w:rsid w:val="00647AF1"/>
    <w:rsid w:val="0065116A"/>
    <w:rsid w:val="00651A5E"/>
    <w:rsid w:val="00651EF4"/>
    <w:rsid w:val="0065240B"/>
    <w:rsid w:val="00653B15"/>
    <w:rsid w:val="00654C2B"/>
    <w:rsid w:val="00655300"/>
    <w:rsid w:val="00655675"/>
    <w:rsid w:val="00656644"/>
    <w:rsid w:val="00656718"/>
    <w:rsid w:val="00656D17"/>
    <w:rsid w:val="00657254"/>
    <w:rsid w:val="00657313"/>
    <w:rsid w:val="006575BC"/>
    <w:rsid w:val="00657D9B"/>
    <w:rsid w:val="00657EC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DA3"/>
    <w:rsid w:val="00664392"/>
    <w:rsid w:val="006644DF"/>
    <w:rsid w:val="00664B90"/>
    <w:rsid w:val="00664C5F"/>
    <w:rsid w:val="00664DCB"/>
    <w:rsid w:val="00666899"/>
    <w:rsid w:val="00666D48"/>
    <w:rsid w:val="00666DCF"/>
    <w:rsid w:val="00667139"/>
    <w:rsid w:val="0066715D"/>
    <w:rsid w:val="006671DD"/>
    <w:rsid w:val="00667241"/>
    <w:rsid w:val="006674B5"/>
    <w:rsid w:val="0066752A"/>
    <w:rsid w:val="006678BC"/>
    <w:rsid w:val="00667998"/>
    <w:rsid w:val="00670971"/>
    <w:rsid w:val="006722AC"/>
    <w:rsid w:val="00672617"/>
    <w:rsid w:val="006726B6"/>
    <w:rsid w:val="0067278A"/>
    <w:rsid w:val="00672E10"/>
    <w:rsid w:val="00673005"/>
    <w:rsid w:val="00673E7B"/>
    <w:rsid w:val="0067417E"/>
    <w:rsid w:val="006742D9"/>
    <w:rsid w:val="0067433D"/>
    <w:rsid w:val="00674502"/>
    <w:rsid w:val="006745BC"/>
    <w:rsid w:val="00674901"/>
    <w:rsid w:val="00674966"/>
    <w:rsid w:val="00676247"/>
    <w:rsid w:val="006766C0"/>
    <w:rsid w:val="0067736D"/>
    <w:rsid w:val="00677E63"/>
    <w:rsid w:val="00677EA7"/>
    <w:rsid w:val="00680025"/>
    <w:rsid w:val="00681256"/>
    <w:rsid w:val="0068197D"/>
    <w:rsid w:val="006821AC"/>
    <w:rsid w:val="00682252"/>
    <w:rsid w:val="00683127"/>
    <w:rsid w:val="00683736"/>
    <w:rsid w:val="006838A0"/>
    <w:rsid w:val="00684343"/>
    <w:rsid w:val="00685122"/>
    <w:rsid w:val="006854BD"/>
    <w:rsid w:val="006855E1"/>
    <w:rsid w:val="00685A27"/>
    <w:rsid w:val="00685C8C"/>
    <w:rsid w:val="00685F3C"/>
    <w:rsid w:val="00686587"/>
    <w:rsid w:val="006869FB"/>
    <w:rsid w:val="00686FBF"/>
    <w:rsid w:val="00687891"/>
    <w:rsid w:val="006903E9"/>
    <w:rsid w:val="00690DA7"/>
    <w:rsid w:val="00691504"/>
    <w:rsid w:val="0069156D"/>
    <w:rsid w:val="00691704"/>
    <w:rsid w:val="006922AF"/>
    <w:rsid w:val="00692406"/>
    <w:rsid w:val="006926B0"/>
    <w:rsid w:val="00692D4B"/>
    <w:rsid w:val="00692E1D"/>
    <w:rsid w:val="00693508"/>
    <w:rsid w:val="00694BCB"/>
    <w:rsid w:val="00695364"/>
    <w:rsid w:val="006956C2"/>
    <w:rsid w:val="006959F0"/>
    <w:rsid w:val="00695DA8"/>
    <w:rsid w:val="00695F26"/>
    <w:rsid w:val="00696066"/>
    <w:rsid w:val="00696A35"/>
    <w:rsid w:val="00696A4F"/>
    <w:rsid w:val="00697551"/>
    <w:rsid w:val="006977C9"/>
    <w:rsid w:val="0069796C"/>
    <w:rsid w:val="006A031E"/>
    <w:rsid w:val="006A034A"/>
    <w:rsid w:val="006A0560"/>
    <w:rsid w:val="006A0F3B"/>
    <w:rsid w:val="006A1091"/>
    <w:rsid w:val="006A177C"/>
    <w:rsid w:val="006A17CB"/>
    <w:rsid w:val="006A29B5"/>
    <w:rsid w:val="006A2D88"/>
    <w:rsid w:val="006A3464"/>
    <w:rsid w:val="006A3D3C"/>
    <w:rsid w:val="006A4059"/>
    <w:rsid w:val="006A4504"/>
    <w:rsid w:val="006A4B5E"/>
    <w:rsid w:val="006A589B"/>
    <w:rsid w:val="006A5F1D"/>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9C"/>
    <w:rsid w:val="006B332C"/>
    <w:rsid w:val="006B34E3"/>
    <w:rsid w:val="006B398D"/>
    <w:rsid w:val="006B3EE8"/>
    <w:rsid w:val="006B647A"/>
    <w:rsid w:val="006B653E"/>
    <w:rsid w:val="006B6A0B"/>
    <w:rsid w:val="006B7421"/>
    <w:rsid w:val="006B74D4"/>
    <w:rsid w:val="006B7B3C"/>
    <w:rsid w:val="006C088E"/>
    <w:rsid w:val="006C1746"/>
    <w:rsid w:val="006C2037"/>
    <w:rsid w:val="006C25F3"/>
    <w:rsid w:val="006C366B"/>
    <w:rsid w:val="006C3815"/>
    <w:rsid w:val="006C39BF"/>
    <w:rsid w:val="006C39C3"/>
    <w:rsid w:val="006C4600"/>
    <w:rsid w:val="006C503B"/>
    <w:rsid w:val="006C5660"/>
    <w:rsid w:val="006C5E1E"/>
    <w:rsid w:val="006C63AC"/>
    <w:rsid w:val="006C721C"/>
    <w:rsid w:val="006C7320"/>
    <w:rsid w:val="006C7465"/>
    <w:rsid w:val="006C785D"/>
    <w:rsid w:val="006D0230"/>
    <w:rsid w:val="006D0820"/>
    <w:rsid w:val="006D111F"/>
    <w:rsid w:val="006D1524"/>
    <w:rsid w:val="006D163A"/>
    <w:rsid w:val="006D1D10"/>
    <w:rsid w:val="006D2FFD"/>
    <w:rsid w:val="006D38EF"/>
    <w:rsid w:val="006D3AA4"/>
    <w:rsid w:val="006D4752"/>
    <w:rsid w:val="006D4848"/>
    <w:rsid w:val="006D4F76"/>
    <w:rsid w:val="006D5CC9"/>
    <w:rsid w:val="006D66A0"/>
    <w:rsid w:val="006D6D00"/>
    <w:rsid w:val="006D71BD"/>
    <w:rsid w:val="006D73F4"/>
    <w:rsid w:val="006E0041"/>
    <w:rsid w:val="006E0808"/>
    <w:rsid w:val="006E0ABC"/>
    <w:rsid w:val="006E0DBD"/>
    <w:rsid w:val="006E0F51"/>
    <w:rsid w:val="006E15EB"/>
    <w:rsid w:val="006E1A16"/>
    <w:rsid w:val="006E1D07"/>
    <w:rsid w:val="006E1ECB"/>
    <w:rsid w:val="006E2C95"/>
    <w:rsid w:val="006E2D6E"/>
    <w:rsid w:val="006E31AA"/>
    <w:rsid w:val="006E3402"/>
    <w:rsid w:val="006E390E"/>
    <w:rsid w:val="006E42CF"/>
    <w:rsid w:val="006E4B70"/>
    <w:rsid w:val="006E5BE1"/>
    <w:rsid w:val="006F0539"/>
    <w:rsid w:val="006F0E0E"/>
    <w:rsid w:val="006F0F6B"/>
    <w:rsid w:val="006F118F"/>
    <w:rsid w:val="006F11D3"/>
    <w:rsid w:val="006F13F9"/>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60EC"/>
    <w:rsid w:val="006F6742"/>
    <w:rsid w:val="006F68CE"/>
    <w:rsid w:val="006F77C8"/>
    <w:rsid w:val="006F79CA"/>
    <w:rsid w:val="006F7AA4"/>
    <w:rsid w:val="00700A4A"/>
    <w:rsid w:val="007013D5"/>
    <w:rsid w:val="00701419"/>
    <w:rsid w:val="00701FDF"/>
    <w:rsid w:val="00702635"/>
    <w:rsid w:val="0070323D"/>
    <w:rsid w:val="00703465"/>
    <w:rsid w:val="0070385E"/>
    <w:rsid w:val="0070388F"/>
    <w:rsid w:val="00703F47"/>
    <w:rsid w:val="0070406D"/>
    <w:rsid w:val="0070561F"/>
    <w:rsid w:val="0070605D"/>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9C"/>
    <w:rsid w:val="00715E03"/>
    <w:rsid w:val="00716093"/>
    <w:rsid w:val="00716256"/>
    <w:rsid w:val="007163E9"/>
    <w:rsid w:val="0071666D"/>
    <w:rsid w:val="00716AB5"/>
    <w:rsid w:val="00717E72"/>
    <w:rsid w:val="00720704"/>
    <w:rsid w:val="00720F38"/>
    <w:rsid w:val="00721216"/>
    <w:rsid w:val="0072128E"/>
    <w:rsid w:val="00721326"/>
    <w:rsid w:val="00721874"/>
    <w:rsid w:val="007218D9"/>
    <w:rsid w:val="00721A25"/>
    <w:rsid w:val="00722D63"/>
    <w:rsid w:val="007231E4"/>
    <w:rsid w:val="007235EA"/>
    <w:rsid w:val="007236D3"/>
    <w:rsid w:val="00723722"/>
    <w:rsid w:val="00723947"/>
    <w:rsid w:val="00723D1E"/>
    <w:rsid w:val="00723D6E"/>
    <w:rsid w:val="00723E12"/>
    <w:rsid w:val="00724175"/>
    <w:rsid w:val="00724D54"/>
    <w:rsid w:val="00724E97"/>
    <w:rsid w:val="00725E78"/>
    <w:rsid w:val="00725F3F"/>
    <w:rsid w:val="007273F1"/>
    <w:rsid w:val="00727E2A"/>
    <w:rsid w:val="00730970"/>
    <w:rsid w:val="00730B45"/>
    <w:rsid w:val="00730D08"/>
    <w:rsid w:val="00731742"/>
    <w:rsid w:val="00731A3C"/>
    <w:rsid w:val="00731B92"/>
    <w:rsid w:val="00731C8B"/>
    <w:rsid w:val="00731CEB"/>
    <w:rsid w:val="00732743"/>
    <w:rsid w:val="00732C53"/>
    <w:rsid w:val="007333C0"/>
    <w:rsid w:val="0073361E"/>
    <w:rsid w:val="00734A7D"/>
    <w:rsid w:val="0073562D"/>
    <w:rsid w:val="00735A4E"/>
    <w:rsid w:val="0073661F"/>
    <w:rsid w:val="00736B36"/>
    <w:rsid w:val="00736B46"/>
    <w:rsid w:val="00736E86"/>
    <w:rsid w:val="007372BA"/>
    <w:rsid w:val="00737C08"/>
    <w:rsid w:val="00737D80"/>
    <w:rsid w:val="00737FC7"/>
    <w:rsid w:val="007400AB"/>
    <w:rsid w:val="00740328"/>
    <w:rsid w:val="007403D8"/>
    <w:rsid w:val="00740781"/>
    <w:rsid w:val="00740C27"/>
    <w:rsid w:val="00740CCE"/>
    <w:rsid w:val="00741627"/>
    <w:rsid w:val="0074189B"/>
    <w:rsid w:val="0074450D"/>
    <w:rsid w:val="007445D1"/>
    <w:rsid w:val="0074482A"/>
    <w:rsid w:val="00744AE9"/>
    <w:rsid w:val="00745499"/>
    <w:rsid w:val="0074667D"/>
    <w:rsid w:val="00746862"/>
    <w:rsid w:val="00746AFF"/>
    <w:rsid w:val="007474EA"/>
    <w:rsid w:val="00747A80"/>
    <w:rsid w:val="00747E9B"/>
    <w:rsid w:val="00747EF7"/>
    <w:rsid w:val="00750949"/>
    <w:rsid w:val="007509EF"/>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B52"/>
    <w:rsid w:val="00756D51"/>
    <w:rsid w:val="00757BA6"/>
    <w:rsid w:val="00760A34"/>
    <w:rsid w:val="00760C73"/>
    <w:rsid w:val="00760D44"/>
    <w:rsid w:val="00761151"/>
    <w:rsid w:val="00761532"/>
    <w:rsid w:val="00761CFD"/>
    <w:rsid w:val="00762105"/>
    <w:rsid w:val="0076339B"/>
    <w:rsid w:val="00763665"/>
    <w:rsid w:val="00763A7C"/>
    <w:rsid w:val="00764F78"/>
    <w:rsid w:val="007651AF"/>
    <w:rsid w:val="007661F5"/>
    <w:rsid w:val="007670E9"/>
    <w:rsid w:val="00767EBD"/>
    <w:rsid w:val="00770055"/>
    <w:rsid w:val="00770089"/>
    <w:rsid w:val="007700A3"/>
    <w:rsid w:val="007706A5"/>
    <w:rsid w:val="007707B4"/>
    <w:rsid w:val="00770FA6"/>
    <w:rsid w:val="00771197"/>
    <w:rsid w:val="00771373"/>
    <w:rsid w:val="00771417"/>
    <w:rsid w:val="0077163B"/>
    <w:rsid w:val="007717F8"/>
    <w:rsid w:val="0077188E"/>
    <w:rsid w:val="00771DD7"/>
    <w:rsid w:val="00771ECE"/>
    <w:rsid w:val="0077276E"/>
    <w:rsid w:val="0077325D"/>
    <w:rsid w:val="00773671"/>
    <w:rsid w:val="0077386F"/>
    <w:rsid w:val="00773F3A"/>
    <w:rsid w:val="00774179"/>
    <w:rsid w:val="0077525F"/>
    <w:rsid w:val="007756D6"/>
    <w:rsid w:val="007760FF"/>
    <w:rsid w:val="00776342"/>
    <w:rsid w:val="00776E47"/>
    <w:rsid w:val="00776EEB"/>
    <w:rsid w:val="007774B5"/>
    <w:rsid w:val="007775C5"/>
    <w:rsid w:val="0077790D"/>
    <w:rsid w:val="00777E2F"/>
    <w:rsid w:val="00781356"/>
    <w:rsid w:val="0078136C"/>
    <w:rsid w:val="007813C7"/>
    <w:rsid w:val="007825A9"/>
    <w:rsid w:val="007826F1"/>
    <w:rsid w:val="00782710"/>
    <w:rsid w:val="00782BDF"/>
    <w:rsid w:val="00782DE8"/>
    <w:rsid w:val="0078334F"/>
    <w:rsid w:val="007837B5"/>
    <w:rsid w:val="007838C4"/>
    <w:rsid w:val="00783F2B"/>
    <w:rsid w:val="00784108"/>
    <w:rsid w:val="00784604"/>
    <w:rsid w:val="007847CE"/>
    <w:rsid w:val="0078481A"/>
    <w:rsid w:val="00785176"/>
    <w:rsid w:val="00785460"/>
    <w:rsid w:val="00785ADC"/>
    <w:rsid w:val="0078729D"/>
    <w:rsid w:val="00787318"/>
    <w:rsid w:val="007875F6"/>
    <w:rsid w:val="00787837"/>
    <w:rsid w:val="007879D4"/>
    <w:rsid w:val="0079130C"/>
    <w:rsid w:val="007913C9"/>
    <w:rsid w:val="0079240C"/>
    <w:rsid w:val="007925C0"/>
    <w:rsid w:val="00792CDE"/>
    <w:rsid w:val="00793720"/>
    <w:rsid w:val="00793CAC"/>
    <w:rsid w:val="00793CFD"/>
    <w:rsid w:val="007946C0"/>
    <w:rsid w:val="007946FB"/>
    <w:rsid w:val="00794F40"/>
    <w:rsid w:val="00795150"/>
    <w:rsid w:val="007954C8"/>
    <w:rsid w:val="007955CA"/>
    <w:rsid w:val="007957F4"/>
    <w:rsid w:val="00795817"/>
    <w:rsid w:val="00796C7C"/>
    <w:rsid w:val="007974F6"/>
    <w:rsid w:val="00797F11"/>
    <w:rsid w:val="007A071B"/>
    <w:rsid w:val="007A1DE4"/>
    <w:rsid w:val="007A2048"/>
    <w:rsid w:val="007A211D"/>
    <w:rsid w:val="007A22C2"/>
    <w:rsid w:val="007A25E0"/>
    <w:rsid w:val="007A276E"/>
    <w:rsid w:val="007A2DB4"/>
    <w:rsid w:val="007A3302"/>
    <w:rsid w:val="007A3335"/>
    <w:rsid w:val="007A36D1"/>
    <w:rsid w:val="007A39D8"/>
    <w:rsid w:val="007A3C41"/>
    <w:rsid w:val="007A4F0F"/>
    <w:rsid w:val="007A5A90"/>
    <w:rsid w:val="007A5B25"/>
    <w:rsid w:val="007A645A"/>
    <w:rsid w:val="007A69C3"/>
    <w:rsid w:val="007A6AA8"/>
    <w:rsid w:val="007A6D90"/>
    <w:rsid w:val="007A731A"/>
    <w:rsid w:val="007A7453"/>
    <w:rsid w:val="007A7B6E"/>
    <w:rsid w:val="007B0600"/>
    <w:rsid w:val="007B0801"/>
    <w:rsid w:val="007B0832"/>
    <w:rsid w:val="007B09DB"/>
    <w:rsid w:val="007B0B35"/>
    <w:rsid w:val="007B1D8A"/>
    <w:rsid w:val="007B1E09"/>
    <w:rsid w:val="007B2693"/>
    <w:rsid w:val="007B2F1E"/>
    <w:rsid w:val="007B3B27"/>
    <w:rsid w:val="007B3FE2"/>
    <w:rsid w:val="007B4382"/>
    <w:rsid w:val="007B479F"/>
    <w:rsid w:val="007B494D"/>
    <w:rsid w:val="007B575F"/>
    <w:rsid w:val="007B5BFF"/>
    <w:rsid w:val="007B5DEF"/>
    <w:rsid w:val="007B5F19"/>
    <w:rsid w:val="007B5F59"/>
    <w:rsid w:val="007B634F"/>
    <w:rsid w:val="007B6C56"/>
    <w:rsid w:val="007B73C6"/>
    <w:rsid w:val="007B7636"/>
    <w:rsid w:val="007B77EF"/>
    <w:rsid w:val="007B77F0"/>
    <w:rsid w:val="007C0094"/>
    <w:rsid w:val="007C0E21"/>
    <w:rsid w:val="007C10A5"/>
    <w:rsid w:val="007C132C"/>
    <w:rsid w:val="007C15FA"/>
    <w:rsid w:val="007C16EE"/>
    <w:rsid w:val="007C1EB6"/>
    <w:rsid w:val="007C1F49"/>
    <w:rsid w:val="007C2051"/>
    <w:rsid w:val="007C2737"/>
    <w:rsid w:val="007C2D3D"/>
    <w:rsid w:val="007C2E89"/>
    <w:rsid w:val="007C3144"/>
    <w:rsid w:val="007C3574"/>
    <w:rsid w:val="007C377D"/>
    <w:rsid w:val="007C3946"/>
    <w:rsid w:val="007C41C5"/>
    <w:rsid w:val="007C468B"/>
    <w:rsid w:val="007C48F4"/>
    <w:rsid w:val="007C4F70"/>
    <w:rsid w:val="007C5232"/>
    <w:rsid w:val="007C595D"/>
    <w:rsid w:val="007C604A"/>
    <w:rsid w:val="007C60C0"/>
    <w:rsid w:val="007C6B2A"/>
    <w:rsid w:val="007C6CA9"/>
    <w:rsid w:val="007C6DA1"/>
    <w:rsid w:val="007C73F9"/>
    <w:rsid w:val="007C7B90"/>
    <w:rsid w:val="007C7BF1"/>
    <w:rsid w:val="007D0482"/>
    <w:rsid w:val="007D081A"/>
    <w:rsid w:val="007D0A70"/>
    <w:rsid w:val="007D16A3"/>
    <w:rsid w:val="007D19FB"/>
    <w:rsid w:val="007D1E47"/>
    <w:rsid w:val="007D2AD4"/>
    <w:rsid w:val="007D3750"/>
    <w:rsid w:val="007D3BF2"/>
    <w:rsid w:val="007D468E"/>
    <w:rsid w:val="007D4A3C"/>
    <w:rsid w:val="007D4BC3"/>
    <w:rsid w:val="007D4BF4"/>
    <w:rsid w:val="007D4DEF"/>
    <w:rsid w:val="007D4E9A"/>
    <w:rsid w:val="007D59FB"/>
    <w:rsid w:val="007D71AE"/>
    <w:rsid w:val="007D73A2"/>
    <w:rsid w:val="007D7461"/>
    <w:rsid w:val="007E04A0"/>
    <w:rsid w:val="007E0528"/>
    <w:rsid w:val="007E06AE"/>
    <w:rsid w:val="007E08F6"/>
    <w:rsid w:val="007E12DC"/>
    <w:rsid w:val="007E1305"/>
    <w:rsid w:val="007E151A"/>
    <w:rsid w:val="007E161F"/>
    <w:rsid w:val="007E1B64"/>
    <w:rsid w:val="007E1D34"/>
    <w:rsid w:val="007E1F52"/>
    <w:rsid w:val="007E2ABF"/>
    <w:rsid w:val="007E2C3A"/>
    <w:rsid w:val="007E2FF9"/>
    <w:rsid w:val="007E38D7"/>
    <w:rsid w:val="007E4319"/>
    <w:rsid w:val="007E44A0"/>
    <w:rsid w:val="007E4C7E"/>
    <w:rsid w:val="007E4F7B"/>
    <w:rsid w:val="007E53C1"/>
    <w:rsid w:val="007E5A18"/>
    <w:rsid w:val="007E5A1C"/>
    <w:rsid w:val="007E60E9"/>
    <w:rsid w:val="007E676F"/>
    <w:rsid w:val="007E6851"/>
    <w:rsid w:val="007E7128"/>
    <w:rsid w:val="007E72ED"/>
    <w:rsid w:val="007F0625"/>
    <w:rsid w:val="007F083E"/>
    <w:rsid w:val="007F193B"/>
    <w:rsid w:val="007F285D"/>
    <w:rsid w:val="007F2993"/>
    <w:rsid w:val="007F2CD7"/>
    <w:rsid w:val="007F34E8"/>
    <w:rsid w:val="007F40A6"/>
    <w:rsid w:val="007F42FD"/>
    <w:rsid w:val="007F4694"/>
    <w:rsid w:val="007F5625"/>
    <w:rsid w:val="007F6124"/>
    <w:rsid w:val="007F683C"/>
    <w:rsid w:val="007F7AF2"/>
    <w:rsid w:val="007F7DCC"/>
    <w:rsid w:val="00800AA6"/>
    <w:rsid w:val="008012A8"/>
    <w:rsid w:val="00801357"/>
    <w:rsid w:val="00801401"/>
    <w:rsid w:val="008019A6"/>
    <w:rsid w:val="00801FC1"/>
    <w:rsid w:val="00801FCE"/>
    <w:rsid w:val="00803C6A"/>
    <w:rsid w:val="00804356"/>
    <w:rsid w:val="008048DA"/>
    <w:rsid w:val="0080589B"/>
    <w:rsid w:val="008059CB"/>
    <w:rsid w:val="00805A29"/>
    <w:rsid w:val="00805A5D"/>
    <w:rsid w:val="00805F12"/>
    <w:rsid w:val="00805FC9"/>
    <w:rsid w:val="00806764"/>
    <w:rsid w:val="0080705B"/>
    <w:rsid w:val="00807083"/>
    <w:rsid w:val="0080742D"/>
    <w:rsid w:val="00807F10"/>
    <w:rsid w:val="00807F9F"/>
    <w:rsid w:val="00810302"/>
    <w:rsid w:val="0081087D"/>
    <w:rsid w:val="0081140B"/>
    <w:rsid w:val="008115BB"/>
    <w:rsid w:val="008117DB"/>
    <w:rsid w:val="00811FA5"/>
    <w:rsid w:val="0081212B"/>
    <w:rsid w:val="00812A29"/>
    <w:rsid w:val="00812A8B"/>
    <w:rsid w:val="008137C1"/>
    <w:rsid w:val="00813F06"/>
    <w:rsid w:val="00813F2A"/>
    <w:rsid w:val="00814295"/>
    <w:rsid w:val="008143AB"/>
    <w:rsid w:val="00814616"/>
    <w:rsid w:val="00814875"/>
    <w:rsid w:val="00814A55"/>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747"/>
    <w:rsid w:val="00822826"/>
    <w:rsid w:val="008228E6"/>
    <w:rsid w:val="00822B08"/>
    <w:rsid w:val="00822E85"/>
    <w:rsid w:val="008234CF"/>
    <w:rsid w:val="0082375B"/>
    <w:rsid w:val="00823BFB"/>
    <w:rsid w:val="00823E39"/>
    <w:rsid w:val="00823F86"/>
    <w:rsid w:val="00824318"/>
    <w:rsid w:val="0082431D"/>
    <w:rsid w:val="00824A39"/>
    <w:rsid w:val="00825132"/>
    <w:rsid w:val="00825DEF"/>
    <w:rsid w:val="008263F9"/>
    <w:rsid w:val="00826FA1"/>
    <w:rsid w:val="00827002"/>
    <w:rsid w:val="00827783"/>
    <w:rsid w:val="0083088D"/>
    <w:rsid w:val="00830FB6"/>
    <w:rsid w:val="008314F3"/>
    <w:rsid w:val="00831687"/>
    <w:rsid w:val="00831D6F"/>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A2C"/>
    <w:rsid w:val="00836D90"/>
    <w:rsid w:val="00836DBD"/>
    <w:rsid w:val="00836F79"/>
    <w:rsid w:val="0083714A"/>
    <w:rsid w:val="008377D1"/>
    <w:rsid w:val="008378A5"/>
    <w:rsid w:val="0084118C"/>
    <w:rsid w:val="008419D1"/>
    <w:rsid w:val="00841A8A"/>
    <w:rsid w:val="00841C0C"/>
    <w:rsid w:val="00841DF3"/>
    <w:rsid w:val="00841EFC"/>
    <w:rsid w:val="00841F07"/>
    <w:rsid w:val="00842622"/>
    <w:rsid w:val="00842D32"/>
    <w:rsid w:val="00842F79"/>
    <w:rsid w:val="008432CF"/>
    <w:rsid w:val="00843420"/>
    <w:rsid w:val="008444B9"/>
    <w:rsid w:val="0084479C"/>
    <w:rsid w:val="00844A0A"/>
    <w:rsid w:val="00844BC9"/>
    <w:rsid w:val="00845037"/>
    <w:rsid w:val="00845428"/>
    <w:rsid w:val="0084566B"/>
    <w:rsid w:val="00845D79"/>
    <w:rsid w:val="0084634C"/>
    <w:rsid w:val="00846429"/>
    <w:rsid w:val="008469D5"/>
    <w:rsid w:val="00846A3B"/>
    <w:rsid w:val="00846D6C"/>
    <w:rsid w:val="00847B8F"/>
    <w:rsid w:val="00847C40"/>
    <w:rsid w:val="00847CE7"/>
    <w:rsid w:val="00847CE9"/>
    <w:rsid w:val="00850873"/>
    <w:rsid w:val="0085093C"/>
    <w:rsid w:val="00850D52"/>
    <w:rsid w:val="00851165"/>
    <w:rsid w:val="00851175"/>
    <w:rsid w:val="008512F4"/>
    <w:rsid w:val="0085133B"/>
    <w:rsid w:val="00851AA9"/>
    <w:rsid w:val="0085296E"/>
    <w:rsid w:val="00852A46"/>
    <w:rsid w:val="00853B1F"/>
    <w:rsid w:val="00853CB8"/>
    <w:rsid w:val="008546E8"/>
    <w:rsid w:val="008547BD"/>
    <w:rsid w:val="00855FCB"/>
    <w:rsid w:val="00855FD4"/>
    <w:rsid w:val="008560F3"/>
    <w:rsid w:val="00856D41"/>
    <w:rsid w:val="00857586"/>
    <w:rsid w:val="00857AD2"/>
    <w:rsid w:val="00857B74"/>
    <w:rsid w:val="0086044E"/>
    <w:rsid w:val="00860714"/>
    <w:rsid w:val="00860CC5"/>
    <w:rsid w:val="008610D1"/>
    <w:rsid w:val="008615B8"/>
    <w:rsid w:val="0086161A"/>
    <w:rsid w:val="00861B3C"/>
    <w:rsid w:val="00861BB9"/>
    <w:rsid w:val="0086218E"/>
    <w:rsid w:val="0086255C"/>
    <w:rsid w:val="00863008"/>
    <w:rsid w:val="008630C8"/>
    <w:rsid w:val="008633E5"/>
    <w:rsid w:val="008637BA"/>
    <w:rsid w:val="00863A36"/>
    <w:rsid w:val="00863C2F"/>
    <w:rsid w:val="008641A3"/>
    <w:rsid w:val="00864D6F"/>
    <w:rsid w:val="00865355"/>
    <w:rsid w:val="00866887"/>
    <w:rsid w:val="00866A4E"/>
    <w:rsid w:val="008672A0"/>
    <w:rsid w:val="00870601"/>
    <w:rsid w:val="00870651"/>
    <w:rsid w:val="00871394"/>
    <w:rsid w:val="00871497"/>
    <w:rsid w:val="00871E08"/>
    <w:rsid w:val="008722B3"/>
    <w:rsid w:val="008724D7"/>
    <w:rsid w:val="00872BE4"/>
    <w:rsid w:val="00873D85"/>
    <w:rsid w:val="008750FF"/>
    <w:rsid w:val="0087550A"/>
    <w:rsid w:val="008774BE"/>
    <w:rsid w:val="00877B83"/>
    <w:rsid w:val="00877E22"/>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4635"/>
    <w:rsid w:val="00884953"/>
    <w:rsid w:val="00885044"/>
    <w:rsid w:val="00885612"/>
    <w:rsid w:val="00885C4F"/>
    <w:rsid w:val="00885C79"/>
    <w:rsid w:val="00886578"/>
    <w:rsid w:val="0088659E"/>
    <w:rsid w:val="00886862"/>
    <w:rsid w:val="008868BE"/>
    <w:rsid w:val="00886ABE"/>
    <w:rsid w:val="008871B9"/>
    <w:rsid w:val="008872F0"/>
    <w:rsid w:val="00887531"/>
    <w:rsid w:val="00887A1E"/>
    <w:rsid w:val="00887AA9"/>
    <w:rsid w:val="00887DDF"/>
    <w:rsid w:val="00890568"/>
    <w:rsid w:val="00890A69"/>
    <w:rsid w:val="00891772"/>
    <w:rsid w:val="00891A0F"/>
    <w:rsid w:val="00891B45"/>
    <w:rsid w:val="00892A82"/>
    <w:rsid w:val="00892DCB"/>
    <w:rsid w:val="00893380"/>
    <w:rsid w:val="00893DD3"/>
    <w:rsid w:val="0089402B"/>
    <w:rsid w:val="0089435F"/>
    <w:rsid w:val="0089482E"/>
    <w:rsid w:val="008948C0"/>
    <w:rsid w:val="00894BBD"/>
    <w:rsid w:val="008953D3"/>
    <w:rsid w:val="00895478"/>
    <w:rsid w:val="00895A1E"/>
    <w:rsid w:val="00895C68"/>
    <w:rsid w:val="00895DE8"/>
    <w:rsid w:val="008960EA"/>
    <w:rsid w:val="008965C9"/>
    <w:rsid w:val="00897297"/>
    <w:rsid w:val="00897620"/>
    <w:rsid w:val="00897C71"/>
    <w:rsid w:val="008A1C67"/>
    <w:rsid w:val="008A1FE1"/>
    <w:rsid w:val="008A21D3"/>
    <w:rsid w:val="008A2A1F"/>
    <w:rsid w:val="008A2B10"/>
    <w:rsid w:val="008A2D57"/>
    <w:rsid w:val="008A2ECB"/>
    <w:rsid w:val="008A39AE"/>
    <w:rsid w:val="008A417E"/>
    <w:rsid w:val="008A4579"/>
    <w:rsid w:val="008A47E1"/>
    <w:rsid w:val="008A4954"/>
    <w:rsid w:val="008A54B4"/>
    <w:rsid w:val="008A54EB"/>
    <w:rsid w:val="008A556E"/>
    <w:rsid w:val="008A55E8"/>
    <w:rsid w:val="008A614A"/>
    <w:rsid w:val="008A6168"/>
    <w:rsid w:val="008A63AB"/>
    <w:rsid w:val="008A63CB"/>
    <w:rsid w:val="008A6717"/>
    <w:rsid w:val="008A6B28"/>
    <w:rsid w:val="008A6B4F"/>
    <w:rsid w:val="008A71B5"/>
    <w:rsid w:val="008A77CC"/>
    <w:rsid w:val="008A7ADF"/>
    <w:rsid w:val="008A7DED"/>
    <w:rsid w:val="008B00C0"/>
    <w:rsid w:val="008B0F3C"/>
    <w:rsid w:val="008B0FAF"/>
    <w:rsid w:val="008B0FD9"/>
    <w:rsid w:val="008B0FFC"/>
    <w:rsid w:val="008B131F"/>
    <w:rsid w:val="008B18EE"/>
    <w:rsid w:val="008B2859"/>
    <w:rsid w:val="008B30B3"/>
    <w:rsid w:val="008B3842"/>
    <w:rsid w:val="008B44FD"/>
    <w:rsid w:val="008B4529"/>
    <w:rsid w:val="008B4991"/>
    <w:rsid w:val="008B4C07"/>
    <w:rsid w:val="008B4F80"/>
    <w:rsid w:val="008B4F8C"/>
    <w:rsid w:val="008B5015"/>
    <w:rsid w:val="008B52A7"/>
    <w:rsid w:val="008B5B07"/>
    <w:rsid w:val="008B5B94"/>
    <w:rsid w:val="008B5F15"/>
    <w:rsid w:val="008B61E2"/>
    <w:rsid w:val="008B6503"/>
    <w:rsid w:val="008B670B"/>
    <w:rsid w:val="008B6ACC"/>
    <w:rsid w:val="008B756E"/>
    <w:rsid w:val="008B7708"/>
    <w:rsid w:val="008B7CCA"/>
    <w:rsid w:val="008C090F"/>
    <w:rsid w:val="008C0911"/>
    <w:rsid w:val="008C0A1D"/>
    <w:rsid w:val="008C1881"/>
    <w:rsid w:val="008C1AD5"/>
    <w:rsid w:val="008C2F60"/>
    <w:rsid w:val="008C3636"/>
    <w:rsid w:val="008C3F3E"/>
    <w:rsid w:val="008C4BDC"/>
    <w:rsid w:val="008C56D0"/>
    <w:rsid w:val="008C71A7"/>
    <w:rsid w:val="008D0596"/>
    <w:rsid w:val="008D0868"/>
    <w:rsid w:val="008D0D33"/>
    <w:rsid w:val="008D1592"/>
    <w:rsid w:val="008D1707"/>
    <w:rsid w:val="008D1C13"/>
    <w:rsid w:val="008D1D6F"/>
    <w:rsid w:val="008D1DE0"/>
    <w:rsid w:val="008D1FF3"/>
    <w:rsid w:val="008D2492"/>
    <w:rsid w:val="008D3F2C"/>
    <w:rsid w:val="008D4015"/>
    <w:rsid w:val="008D4174"/>
    <w:rsid w:val="008D430D"/>
    <w:rsid w:val="008D47E9"/>
    <w:rsid w:val="008D50AE"/>
    <w:rsid w:val="008D513A"/>
    <w:rsid w:val="008D67DB"/>
    <w:rsid w:val="008D6A81"/>
    <w:rsid w:val="008D70F3"/>
    <w:rsid w:val="008E077E"/>
    <w:rsid w:val="008E0A5D"/>
    <w:rsid w:val="008E1713"/>
    <w:rsid w:val="008E1ACE"/>
    <w:rsid w:val="008E1DF8"/>
    <w:rsid w:val="008E2147"/>
    <w:rsid w:val="008E261D"/>
    <w:rsid w:val="008E274C"/>
    <w:rsid w:val="008E29A9"/>
    <w:rsid w:val="008E2DA1"/>
    <w:rsid w:val="008E343B"/>
    <w:rsid w:val="008E3595"/>
    <w:rsid w:val="008E37A1"/>
    <w:rsid w:val="008E3D18"/>
    <w:rsid w:val="008E4238"/>
    <w:rsid w:val="008E4E74"/>
    <w:rsid w:val="008E4F36"/>
    <w:rsid w:val="008E599F"/>
    <w:rsid w:val="008E5D5F"/>
    <w:rsid w:val="008E5DB1"/>
    <w:rsid w:val="008E61A5"/>
    <w:rsid w:val="008E62F8"/>
    <w:rsid w:val="008E72A3"/>
    <w:rsid w:val="008E747C"/>
    <w:rsid w:val="008E7584"/>
    <w:rsid w:val="008E7BE6"/>
    <w:rsid w:val="008E7E0D"/>
    <w:rsid w:val="008F0033"/>
    <w:rsid w:val="008F00F9"/>
    <w:rsid w:val="008F06A9"/>
    <w:rsid w:val="008F1106"/>
    <w:rsid w:val="008F1184"/>
    <w:rsid w:val="008F1B16"/>
    <w:rsid w:val="008F1BD1"/>
    <w:rsid w:val="008F1BEC"/>
    <w:rsid w:val="008F2841"/>
    <w:rsid w:val="008F2CB3"/>
    <w:rsid w:val="008F2CF5"/>
    <w:rsid w:val="008F2DF4"/>
    <w:rsid w:val="008F3381"/>
    <w:rsid w:val="008F3481"/>
    <w:rsid w:val="008F3BCF"/>
    <w:rsid w:val="008F46EE"/>
    <w:rsid w:val="008F50E4"/>
    <w:rsid w:val="008F5F7F"/>
    <w:rsid w:val="008F6009"/>
    <w:rsid w:val="008F6CB5"/>
    <w:rsid w:val="008F6FE3"/>
    <w:rsid w:val="008F7AAC"/>
    <w:rsid w:val="0090009A"/>
    <w:rsid w:val="009006CB"/>
    <w:rsid w:val="00900E08"/>
    <w:rsid w:val="0090141A"/>
    <w:rsid w:val="00901521"/>
    <w:rsid w:val="009016C6"/>
    <w:rsid w:val="00901E87"/>
    <w:rsid w:val="00901F26"/>
    <w:rsid w:val="009021E8"/>
    <w:rsid w:val="0090258D"/>
    <w:rsid w:val="009027C2"/>
    <w:rsid w:val="00902AE7"/>
    <w:rsid w:val="009038FF"/>
    <w:rsid w:val="00903A58"/>
    <w:rsid w:val="00903C31"/>
    <w:rsid w:val="00903E77"/>
    <w:rsid w:val="00904907"/>
    <w:rsid w:val="00904950"/>
    <w:rsid w:val="00904C33"/>
    <w:rsid w:val="00905233"/>
    <w:rsid w:val="009054A6"/>
    <w:rsid w:val="00905B55"/>
    <w:rsid w:val="009071A0"/>
    <w:rsid w:val="00907680"/>
    <w:rsid w:val="009077CB"/>
    <w:rsid w:val="00907BD2"/>
    <w:rsid w:val="00907CD9"/>
    <w:rsid w:val="00907D5A"/>
    <w:rsid w:val="00910553"/>
    <w:rsid w:val="00910ED4"/>
    <w:rsid w:val="00911184"/>
    <w:rsid w:val="009117F5"/>
    <w:rsid w:val="00911CD7"/>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F6"/>
    <w:rsid w:val="00920C80"/>
    <w:rsid w:val="00920E25"/>
    <w:rsid w:val="00921275"/>
    <w:rsid w:val="0092158D"/>
    <w:rsid w:val="0092188C"/>
    <w:rsid w:val="00923F4A"/>
    <w:rsid w:val="0092404C"/>
    <w:rsid w:val="009240EF"/>
    <w:rsid w:val="00924627"/>
    <w:rsid w:val="0092484A"/>
    <w:rsid w:val="0092490C"/>
    <w:rsid w:val="00924919"/>
    <w:rsid w:val="00925125"/>
    <w:rsid w:val="009252A9"/>
    <w:rsid w:val="009253D3"/>
    <w:rsid w:val="009259DC"/>
    <w:rsid w:val="00925E17"/>
    <w:rsid w:val="00925FEC"/>
    <w:rsid w:val="00926022"/>
    <w:rsid w:val="0092647E"/>
    <w:rsid w:val="009266CB"/>
    <w:rsid w:val="00926C5E"/>
    <w:rsid w:val="009274C2"/>
    <w:rsid w:val="0092784B"/>
    <w:rsid w:val="00927934"/>
    <w:rsid w:val="00927F6C"/>
    <w:rsid w:val="00930A02"/>
    <w:rsid w:val="009313F7"/>
    <w:rsid w:val="00931404"/>
    <w:rsid w:val="009317E9"/>
    <w:rsid w:val="0093229C"/>
    <w:rsid w:val="0093230B"/>
    <w:rsid w:val="00932803"/>
    <w:rsid w:val="00932D0C"/>
    <w:rsid w:val="009348F2"/>
    <w:rsid w:val="00934971"/>
    <w:rsid w:val="00936212"/>
    <w:rsid w:val="00936342"/>
    <w:rsid w:val="009367B7"/>
    <w:rsid w:val="00936CE7"/>
    <w:rsid w:val="009371DC"/>
    <w:rsid w:val="00937EB2"/>
    <w:rsid w:val="009401AB"/>
    <w:rsid w:val="0094048F"/>
    <w:rsid w:val="00940668"/>
    <w:rsid w:val="00941223"/>
    <w:rsid w:val="00941A75"/>
    <w:rsid w:val="00941F98"/>
    <w:rsid w:val="00942D11"/>
    <w:rsid w:val="009431F3"/>
    <w:rsid w:val="009436BF"/>
    <w:rsid w:val="00943DD3"/>
    <w:rsid w:val="00944298"/>
    <w:rsid w:val="0094496F"/>
    <w:rsid w:val="00944E46"/>
    <w:rsid w:val="00945464"/>
    <w:rsid w:val="00945CCD"/>
    <w:rsid w:val="00945CE0"/>
    <w:rsid w:val="00946470"/>
    <w:rsid w:val="0094678D"/>
    <w:rsid w:val="00946A4A"/>
    <w:rsid w:val="00946D85"/>
    <w:rsid w:val="009475C5"/>
    <w:rsid w:val="00947889"/>
    <w:rsid w:val="00950547"/>
    <w:rsid w:val="009506BA"/>
    <w:rsid w:val="00950FBA"/>
    <w:rsid w:val="00951284"/>
    <w:rsid w:val="00951673"/>
    <w:rsid w:val="00951EE4"/>
    <w:rsid w:val="00951F51"/>
    <w:rsid w:val="009520E8"/>
    <w:rsid w:val="00952AEC"/>
    <w:rsid w:val="00952C24"/>
    <w:rsid w:val="00952FD0"/>
    <w:rsid w:val="0095317D"/>
    <w:rsid w:val="009537D1"/>
    <w:rsid w:val="009538B5"/>
    <w:rsid w:val="00953AAD"/>
    <w:rsid w:val="00953CEC"/>
    <w:rsid w:val="00953FF9"/>
    <w:rsid w:val="009542A7"/>
    <w:rsid w:val="00954898"/>
    <w:rsid w:val="00954D4A"/>
    <w:rsid w:val="00954E12"/>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1C2C"/>
    <w:rsid w:val="00961F33"/>
    <w:rsid w:val="00962B96"/>
    <w:rsid w:val="009638FD"/>
    <w:rsid w:val="00963B35"/>
    <w:rsid w:val="009645ED"/>
    <w:rsid w:val="00964A57"/>
    <w:rsid w:val="009654B1"/>
    <w:rsid w:val="009659B4"/>
    <w:rsid w:val="00966601"/>
    <w:rsid w:val="0096689B"/>
    <w:rsid w:val="00966A80"/>
    <w:rsid w:val="00966B7A"/>
    <w:rsid w:val="00966B7C"/>
    <w:rsid w:val="00967727"/>
    <w:rsid w:val="00967D7D"/>
    <w:rsid w:val="00967FE6"/>
    <w:rsid w:val="009701A4"/>
    <w:rsid w:val="00970C36"/>
    <w:rsid w:val="00970E1B"/>
    <w:rsid w:val="009710D6"/>
    <w:rsid w:val="00972849"/>
    <w:rsid w:val="0097297E"/>
    <w:rsid w:val="00972F47"/>
    <w:rsid w:val="00973D62"/>
    <w:rsid w:val="0097484A"/>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B78"/>
    <w:rsid w:val="009820A3"/>
    <w:rsid w:val="00982529"/>
    <w:rsid w:val="00982A2F"/>
    <w:rsid w:val="00982BCC"/>
    <w:rsid w:val="00983BA8"/>
    <w:rsid w:val="009848DE"/>
    <w:rsid w:val="00984A2B"/>
    <w:rsid w:val="00985171"/>
    <w:rsid w:val="0098522D"/>
    <w:rsid w:val="009852E4"/>
    <w:rsid w:val="0098554C"/>
    <w:rsid w:val="0098578C"/>
    <w:rsid w:val="009863F6"/>
    <w:rsid w:val="00986577"/>
    <w:rsid w:val="009866DF"/>
    <w:rsid w:val="0098685B"/>
    <w:rsid w:val="0098694E"/>
    <w:rsid w:val="00986C49"/>
    <w:rsid w:val="00986E3F"/>
    <w:rsid w:val="00987C85"/>
    <w:rsid w:val="00987F64"/>
    <w:rsid w:val="0099009C"/>
    <w:rsid w:val="00990470"/>
    <w:rsid w:val="009911A5"/>
    <w:rsid w:val="00991B8E"/>
    <w:rsid w:val="0099215D"/>
    <w:rsid w:val="00992A17"/>
    <w:rsid w:val="00993665"/>
    <w:rsid w:val="009936DE"/>
    <w:rsid w:val="00993773"/>
    <w:rsid w:val="009940FF"/>
    <w:rsid w:val="00994B6C"/>
    <w:rsid w:val="00994BF2"/>
    <w:rsid w:val="00995288"/>
    <w:rsid w:val="00995BAC"/>
    <w:rsid w:val="00995CAE"/>
    <w:rsid w:val="00996725"/>
    <w:rsid w:val="0099672A"/>
    <w:rsid w:val="009970B9"/>
    <w:rsid w:val="00997B30"/>
    <w:rsid w:val="00997BF7"/>
    <w:rsid w:val="00997C70"/>
    <w:rsid w:val="00997E23"/>
    <w:rsid w:val="009A00EC"/>
    <w:rsid w:val="009A011C"/>
    <w:rsid w:val="009A0E18"/>
    <w:rsid w:val="009A124B"/>
    <w:rsid w:val="009A1504"/>
    <w:rsid w:val="009A1B28"/>
    <w:rsid w:val="009A237C"/>
    <w:rsid w:val="009A28DD"/>
    <w:rsid w:val="009A2C39"/>
    <w:rsid w:val="009A2C96"/>
    <w:rsid w:val="009A2D91"/>
    <w:rsid w:val="009A2FFC"/>
    <w:rsid w:val="009A31F0"/>
    <w:rsid w:val="009A3F69"/>
    <w:rsid w:val="009A3FF5"/>
    <w:rsid w:val="009A4455"/>
    <w:rsid w:val="009A4575"/>
    <w:rsid w:val="009A46FD"/>
    <w:rsid w:val="009A47CF"/>
    <w:rsid w:val="009A48CC"/>
    <w:rsid w:val="009A4BD8"/>
    <w:rsid w:val="009A4FD1"/>
    <w:rsid w:val="009A5117"/>
    <w:rsid w:val="009A56DF"/>
    <w:rsid w:val="009A570F"/>
    <w:rsid w:val="009A60B3"/>
    <w:rsid w:val="009A6F9B"/>
    <w:rsid w:val="009B0037"/>
    <w:rsid w:val="009B0450"/>
    <w:rsid w:val="009B04AB"/>
    <w:rsid w:val="009B1600"/>
    <w:rsid w:val="009B1630"/>
    <w:rsid w:val="009B1A4C"/>
    <w:rsid w:val="009B2757"/>
    <w:rsid w:val="009B29E9"/>
    <w:rsid w:val="009B2B0D"/>
    <w:rsid w:val="009B2F38"/>
    <w:rsid w:val="009B3390"/>
    <w:rsid w:val="009B4335"/>
    <w:rsid w:val="009B4CC3"/>
    <w:rsid w:val="009B4DE6"/>
    <w:rsid w:val="009B5378"/>
    <w:rsid w:val="009B5EF5"/>
    <w:rsid w:val="009B6779"/>
    <w:rsid w:val="009B734B"/>
    <w:rsid w:val="009B74D2"/>
    <w:rsid w:val="009B7EC7"/>
    <w:rsid w:val="009C06CA"/>
    <w:rsid w:val="009C0A54"/>
    <w:rsid w:val="009C0C8C"/>
    <w:rsid w:val="009C1409"/>
    <w:rsid w:val="009C1692"/>
    <w:rsid w:val="009C192E"/>
    <w:rsid w:val="009C4C0F"/>
    <w:rsid w:val="009C560C"/>
    <w:rsid w:val="009C6D7E"/>
    <w:rsid w:val="009C6DA9"/>
    <w:rsid w:val="009C7A18"/>
    <w:rsid w:val="009C7D2E"/>
    <w:rsid w:val="009C7F8C"/>
    <w:rsid w:val="009D0AFD"/>
    <w:rsid w:val="009D2987"/>
    <w:rsid w:val="009D29A5"/>
    <w:rsid w:val="009D2C34"/>
    <w:rsid w:val="009D3F0F"/>
    <w:rsid w:val="009D43E3"/>
    <w:rsid w:val="009D4B4D"/>
    <w:rsid w:val="009D500C"/>
    <w:rsid w:val="009D55D5"/>
    <w:rsid w:val="009D59B0"/>
    <w:rsid w:val="009D5CB5"/>
    <w:rsid w:val="009D5D63"/>
    <w:rsid w:val="009D670A"/>
    <w:rsid w:val="009D70C9"/>
    <w:rsid w:val="009D76E7"/>
    <w:rsid w:val="009E0CB7"/>
    <w:rsid w:val="009E1314"/>
    <w:rsid w:val="009E13E5"/>
    <w:rsid w:val="009E177B"/>
    <w:rsid w:val="009E177D"/>
    <w:rsid w:val="009E1A5D"/>
    <w:rsid w:val="009E1A98"/>
    <w:rsid w:val="009E1C30"/>
    <w:rsid w:val="009E1E14"/>
    <w:rsid w:val="009E23D7"/>
    <w:rsid w:val="009E2E34"/>
    <w:rsid w:val="009E326C"/>
    <w:rsid w:val="009E3A7D"/>
    <w:rsid w:val="009E4461"/>
    <w:rsid w:val="009E4CA5"/>
    <w:rsid w:val="009E4D70"/>
    <w:rsid w:val="009E4F8D"/>
    <w:rsid w:val="009E5636"/>
    <w:rsid w:val="009E5FA4"/>
    <w:rsid w:val="009E6049"/>
    <w:rsid w:val="009E622F"/>
    <w:rsid w:val="009E6E97"/>
    <w:rsid w:val="009E726C"/>
    <w:rsid w:val="009E7402"/>
    <w:rsid w:val="009E75C9"/>
    <w:rsid w:val="009E7612"/>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C79"/>
    <w:rsid w:val="009F5255"/>
    <w:rsid w:val="009F54AD"/>
    <w:rsid w:val="009F54C8"/>
    <w:rsid w:val="009F573F"/>
    <w:rsid w:val="009F5B48"/>
    <w:rsid w:val="009F5DD3"/>
    <w:rsid w:val="009F6075"/>
    <w:rsid w:val="009F631B"/>
    <w:rsid w:val="009F73AF"/>
    <w:rsid w:val="00A00304"/>
    <w:rsid w:val="00A0084A"/>
    <w:rsid w:val="00A008E3"/>
    <w:rsid w:val="00A00B43"/>
    <w:rsid w:val="00A012D4"/>
    <w:rsid w:val="00A017CD"/>
    <w:rsid w:val="00A01ACF"/>
    <w:rsid w:val="00A01AFC"/>
    <w:rsid w:val="00A0249B"/>
    <w:rsid w:val="00A025F4"/>
    <w:rsid w:val="00A02AD9"/>
    <w:rsid w:val="00A02DD0"/>
    <w:rsid w:val="00A03624"/>
    <w:rsid w:val="00A0365D"/>
    <w:rsid w:val="00A0387A"/>
    <w:rsid w:val="00A03961"/>
    <w:rsid w:val="00A03EAD"/>
    <w:rsid w:val="00A041FD"/>
    <w:rsid w:val="00A04564"/>
    <w:rsid w:val="00A045F2"/>
    <w:rsid w:val="00A04DDE"/>
    <w:rsid w:val="00A05826"/>
    <w:rsid w:val="00A061C3"/>
    <w:rsid w:val="00A06A19"/>
    <w:rsid w:val="00A06AC9"/>
    <w:rsid w:val="00A0732D"/>
    <w:rsid w:val="00A0742A"/>
    <w:rsid w:val="00A07665"/>
    <w:rsid w:val="00A07C70"/>
    <w:rsid w:val="00A07DE8"/>
    <w:rsid w:val="00A07DF0"/>
    <w:rsid w:val="00A10115"/>
    <w:rsid w:val="00A103F9"/>
    <w:rsid w:val="00A109F6"/>
    <w:rsid w:val="00A11331"/>
    <w:rsid w:val="00A12767"/>
    <w:rsid w:val="00A136DB"/>
    <w:rsid w:val="00A1385A"/>
    <w:rsid w:val="00A13888"/>
    <w:rsid w:val="00A13A14"/>
    <w:rsid w:val="00A13BEC"/>
    <w:rsid w:val="00A13C16"/>
    <w:rsid w:val="00A140CB"/>
    <w:rsid w:val="00A14153"/>
    <w:rsid w:val="00A149ED"/>
    <w:rsid w:val="00A150BA"/>
    <w:rsid w:val="00A15932"/>
    <w:rsid w:val="00A15E33"/>
    <w:rsid w:val="00A16265"/>
    <w:rsid w:val="00A169C7"/>
    <w:rsid w:val="00A16C64"/>
    <w:rsid w:val="00A16E43"/>
    <w:rsid w:val="00A16E8D"/>
    <w:rsid w:val="00A1733F"/>
    <w:rsid w:val="00A17560"/>
    <w:rsid w:val="00A1791C"/>
    <w:rsid w:val="00A17A91"/>
    <w:rsid w:val="00A20145"/>
    <w:rsid w:val="00A202F8"/>
    <w:rsid w:val="00A2060A"/>
    <w:rsid w:val="00A21836"/>
    <w:rsid w:val="00A21F50"/>
    <w:rsid w:val="00A22073"/>
    <w:rsid w:val="00A225C6"/>
    <w:rsid w:val="00A22E2E"/>
    <w:rsid w:val="00A22E95"/>
    <w:rsid w:val="00A23497"/>
    <w:rsid w:val="00A23546"/>
    <w:rsid w:val="00A23EB1"/>
    <w:rsid w:val="00A23F69"/>
    <w:rsid w:val="00A23F8A"/>
    <w:rsid w:val="00A24739"/>
    <w:rsid w:val="00A24CB2"/>
    <w:rsid w:val="00A24EB4"/>
    <w:rsid w:val="00A25602"/>
    <w:rsid w:val="00A25F50"/>
    <w:rsid w:val="00A265C6"/>
    <w:rsid w:val="00A266E5"/>
    <w:rsid w:val="00A274DF"/>
    <w:rsid w:val="00A2767E"/>
    <w:rsid w:val="00A277DB"/>
    <w:rsid w:val="00A27FCD"/>
    <w:rsid w:val="00A30634"/>
    <w:rsid w:val="00A31086"/>
    <w:rsid w:val="00A3194C"/>
    <w:rsid w:val="00A31A3F"/>
    <w:rsid w:val="00A31B22"/>
    <w:rsid w:val="00A31FE6"/>
    <w:rsid w:val="00A3253A"/>
    <w:rsid w:val="00A325C2"/>
    <w:rsid w:val="00A32945"/>
    <w:rsid w:val="00A32A0E"/>
    <w:rsid w:val="00A32D6C"/>
    <w:rsid w:val="00A33567"/>
    <w:rsid w:val="00A34450"/>
    <w:rsid w:val="00A35668"/>
    <w:rsid w:val="00A35917"/>
    <w:rsid w:val="00A359CE"/>
    <w:rsid w:val="00A35EB1"/>
    <w:rsid w:val="00A362A6"/>
    <w:rsid w:val="00A367B8"/>
    <w:rsid w:val="00A36832"/>
    <w:rsid w:val="00A373F9"/>
    <w:rsid w:val="00A3765F"/>
    <w:rsid w:val="00A40C61"/>
    <w:rsid w:val="00A4136E"/>
    <w:rsid w:val="00A422A5"/>
    <w:rsid w:val="00A429E5"/>
    <w:rsid w:val="00A4328E"/>
    <w:rsid w:val="00A435BA"/>
    <w:rsid w:val="00A43731"/>
    <w:rsid w:val="00A44014"/>
    <w:rsid w:val="00A44452"/>
    <w:rsid w:val="00A44474"/>
    <w:rsid w:val="00A444EA"/>
    <w:rsid w:val="00A45336"/>
    <w:rsid w:val="00A454E7"/>
    <w:rsid w:val="00A455D9"/>
    <w:rsid w:val="00A45826"/>
    <w:rsid w:val="00A45C50"/>
    <w:rsid w:val="00A45ED2"/>
    <w:rsid w:val="00A47273"/>
    <w:rsid w:val="00A47381"/>
    <w:rsid w:val="00A5056A"/>
    <w:rsid w:val="00A50927"/>
    <w:rsid w:val="00A50CC4"/>
    <w:rsid w:val="00A511F0"/>
    <w:rsid w:val="00A51A44"/>
    <w:rsid w:val="00A52815"/>
    <w:rsid w:val="00A529F3"/>
    <w:rsid w:val="00A52B33"/>
    <w:rsid w:val="00A52C3A"/>
    <w:rsid w:val="00A535A1"/>
    <w:rsid w:val="00A53749"/>
    <w:rsid w:val="00A549EF"/>
    <w:rsid w:val="00A54D49"/>
    <w:rsid w:val="00A54D82"/>
    <w:rsid w:val="00A550E0"/>
    <w:rsid w:val="00A5522E"/>
    <w:rsid w:val="00A553E8"/>
    <w:rsid w:val="00A55401"/>
    <w:rsid w:val="00A55D8A"/>
    <w:rsid w:val="00A5609F"/>
    <w:rsid w:val="00A56F89"/>
    <w:rsid w:val="00A604CF"/>
    <w:rsid w:val="00A60EF3"/>
    <w:rsid w:val="00A61752"/>
    <w:rsid w:val="00A622EA"/>
    <w:rsid w:val="00A62A0A"/>
    <w:rsid w:val="00A630A6"/>
    <w:rsid w:val="00A632FA"/>
    <w:rsid w:val="00A63826"/>
    <w:rsid w:val="00A63B1D"/>
    <w:rsid w:val="00A6448C"/>
    <w:rsid w:val="00A64578"/>
    <w:rsid w:val="00A64BE8"/>
    <w:rsid w:val="00A65292"/>
    <w:rsid w:val="00A662B6"/>
    <w:rsid w:val="00A66A19"/>
    <w:rsid w:val="00A66AAE"/>
    <w:rsid w:val="00A66DB5"/>
    <w:rsid w:val="00A67A31"/>
    <w:rsid w:val="00A67CD8"/>
    <w:rsid w:val="00A70448"/>
    <w:rsid w:val="00A70D9B"/>
    <w:rsid w:val="00A70F55"/>
    <w:rsid w:val="00A71B83"/>
    <w:rsid w:val="00A71C2D"/>
    <w:rsid w:val="00A71D13"/>
    <w:rsid w:val="00A72053"/>
    <w:rsid w:val="00A721B5"/>
    <w:rsid w:val="00A72568"/>
    <w:rsid w:val="00A72581"/>
    <w:rsid w:val="00A7262F"/>
    <w:rsid w:val="00A739EE"/>
    <w:rsid w:val="00A740D5"/>
    <w:rsid w:val="00A74106"/>
    <w:rsid w:val="00A7469A"/>
    <w:rsid w:val="00A74CCA"/>
    <w:rsid w:val="00A74D65"/>
    <w:rsid w:val="00A74EC2"/>
    <w:rsid w:val="00A75ED2"/>
    <w:rsid w:val="00A7656A"/>
    <w:rsid w:val="00A76681"/>
    <w:rsid w:val="00A767E9"/>
    <w:rsid w:val="00A77ACC"/>
    <w:rsid w:val="00A77BC5"/>
    <w:rsid w:val="00A802E1"/>
    <w:rsid w:val="00A807FA"/>
    <w:rsid w:val="00A808BF"/>
    <w:rsid w:val="00A81352"/>
    <w:rsid w:val="00A81529"/>
    <w:rsid w:val="00A817C4"/>
    <w:rsid w:val="00A81BA8"/>
    <w:rsid w:val="00A81EB7"/>
    <w:rsid w:val="00A8258D"/>
    <w:rsid w:val="00A826B6"/>
    <w:rsid w:val="00A8275F"/>
    <w:rsid w:val="00A82F26"/>
    <w:rsid w:val="00A837FB"/>
    <w:rsid w:val="00A83F4C"/>
    <w:rsid w:val="00A842EF"/>
    <w:rsid w:val="00A84E57"/>
    <w:rsid w:val="00A85145"/>
    <w:rsid w:val="00A85330"/>
    <w:rsid w:val="00A85832"/>
    <w:rsid w:val="00A86145"/>
    <w:rsid w:val="00A87973"/>
    <w:rsid w:val="00A87FA2"/>
    <w:rsid w:val="00A90406"/>
    <w:rsid w:val="00A906B0"/>
    <w:rsid w:val="00A9086A"/>
    <w:rsid w:val="00A90A2E"/>
    <w:rsid w:val="00A910CE"/>
    <w:rsid w:val="00A9135E"/>
    <w:rsid w:val="00A91B7B"/>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7092"/>
    <w:rsid w:val="00A9775E"/>
    <w:rsid w:val="00A97FDE"/>
    <w:rsid w:val="00AA041E"/>
    <w:rsid w:val="00AA0501"/>
    <w:rsid w:val="00AA12EC"/>
    <w:rsid w:val="00AA1840"/>
    <w:rsid w:val="00AA18DE"/>
    <w:rsid w:val="00AA1E51"/>
    <w:rsid w:val="00AA1E96"/>
    <w:rsid w:val="00AA3371"/>
    <w:rsid w:val="00AA404F"/>
    <w:rsid w:val="00AA4917"/>
    <w:rsid w:val="00AA4E9F"/>
    <w:rsid w:val="00AA5159"/>
    <w:rsid w:val="00AA653A"/>
    <w:rsid w:val="00AA6599"/>
    <w:rsid w:val="00AA70ED"/>
    <w:rsid w:val="00AA7106"/>
    <w:rsid w:val="00AA7FBE"/>
    <w:rsid w:val="00AB024A"/>
    <w:rsid w:val="00AB160C"/>
    <w:rsid w:val="00AB2131"/>
    <w:rsid w:val="00AB2FCE"/>
    <w:rsid w:val="00AB3779"/>
    <w:rsid w:val="00AB3BDB"/>
    <w:rsid w:val="00AB42F2"/>
    <w:rsid w:val="00AB4679"/>
    <w:rsid w:val="00AB4722"/>
    <w:rsid w:val="00AB4B9F"/>
    <w:rsid w:val="00AB4E09"/>
    <w:rsid w:val="00AB5A6F"/>
    <w:rsid w:val="00AB5E7F"/>
    <w:rsid w:val="00AB64E4"/>
    <w:rsid w:val="00AB6D92"/>
    <w:rsid w:val="00AB7642"/>
    <w:rsid w:val="00AB7B39"/>
    <w:rsid w:val="00AB7C8B"/>
    <w:rsid w:val="00AC0907"/>
    <w:rsid w:val="00AC12F9"/>
    <w:rsid w:val="00AC15B1"/>
    <w:rsid w:val="00AC1F1C"/>
    <w:rsid w:val="00AC2AF2"/>
    <w:rsid w:val="00AC301D"/>
    <w:rsid w:val="00AC33A9"/>
    <w:rsid w:val="00AC33F8"/>
    <w:rsid w:val="00AC35C3"/>
    <w:rsid w:val="00AC42B9"/>
    <w:rsid w:val="00AC4496"/>
    <w:rsid w:val="00AC44AC"/>
    <w:rsid w:val="00AC4EAB"/>
    <w:rsid w:val="00AC4F34"/>
    <w:rsid w:val="00AC4F76"/>
    <w:rsid w:val="00AC519D"/>
    <w:rsid w:val="00AC5818"/>
    <w:rsid w:val="00AC5F58"/>
    <w:rsid w:val="00AC6701"/>
    <w:rsid w:val="00AC6883"/>
    <w:rsid w:val="00AC6D2E"/>
    <w:rsid w:val="00AC7A11"/>
    <w:rsid w:val="00AD2143"/>
    <w:rsid w:val="00AD28FB"/>
    <w:rsid w:val="00AD2BDA"/>
    <w:rsid w:val="00AD3CF4"/>
    <w:rsid w:val="00AD4127"/>
    <w:rsid w:val="00AD5372"/>
    <w:rsid w:val="00AD5C9F"/>
    <w:rsid w:val="00AD6899"/>
    <w:rsid w:val="00AD6F7D"/>
    <w:rsid w:val="00AD7144"/>
    <w:rsid w:val="00AD7EB3"/>
    <w:rsid w:val="00AE069C"/>
    <w:rsid w:val="00AE0B5D"/>
    <w:rsid w:val="00AE0C05"/>
    <w:rsid w:val="00AE0D8F"/>
    <w:rsid w:val="00AE14E3"/>
    <w:rsid w:val="00AE158D"/>
    <w:rsid w:val="00AE2F5F"/>
    <w:rsid w:val="00AE3223"/>
    <w:rsid w:val="00AE3AF5"/>
    <w:rsid w:val="00AE433E"/>
    <w:rsid w:val="00AE4592"/>
    <w:rsid w:val="00AE461B"/>
    <w:rsid w:val="00AE4909"/>
    <w:rsid w:val="00AE5A8A"/>
    <w:rsid w:val="00AE5EF5"/>
    <w:rsid w:val="00AE61F2"/>
    <w:rsid w:val="00AE72A2"/>
    <w:rsid w:val="00AE7669"/>
    <w:rsid w:val="00AE7FF4"/>
    <w:rsid w:val="00AF00AC"/>
    <w:rsid w:val="00AF022E"/>
    <w:rsid w:val="00AF0538"/>
    <w:rsid w:val="00AF0C90"/>
    <w:rsid w:val="00AF139B"/>
    <w:rsid w:val="00AF2924"/>
    <w:rsid w:val="00AF2933"/>
    <w:rsid w:val="00AF2D4E"/>
    <w:rsid w:val="00AF2E69"/>
    <w:rsid w:val="00AF3922"/>
    <w:rsid w:val="00AF48A3"/>
    <w:rsid w:val="00AF50A6"/>
    <w:rsid w:val="00AF62D7"/>
    <w:rsid w:val="00AF6631"/>
    <w:rsid w:val="00AF6832"/>
    <w:rsid w:val="00AF6C48"/>
    <w:rsid w:val="00AF6CBE"/>
    <w:rsid w:val="00AF7156"/>
    <w:rsid w:val="00AF7256"/>
    <w:rsid w:val="00AF7DB0"/>
    <w:rsid w:val="00B005D5"/>
    <w:rsid w:val="00B006A2"/>
    <w:rsid w:val="00B00A08"/>
    <w:rsid w:val="00B0125E"/>
    <w:rsid w:val="00B0141B"/>
    <w:rsid w:val="00B018B5"/>
    <w:rsid w:val="00B0223B"/>
    <w:rsid w:val="00B0274A"/>
    <w:rsid w:val="00B02909"/>
    <w:rsid w:val="00B029E1"/>
    <w:rsid w:val="00B02CBD"/>
    <w:rsid w:val="00B03594"/>
    <w:rsid w:val="00B036F2"/>
    <w:rsid w:val="00B039D3"/>
    <w:rsid w:val="00B03D5F"/>
    <w:rsid w:val="00B0415D"/>
    <w:rsid w:val="00B04316"/>
    <w:rsid w:val="00B0491C"/>
    <w:rsid w:val="00B0505E"/>
    <w:rsid w:val="00B059DB"/>
    <w:rsid w:val="00B06893"/>
    <w:rsid w:val="00B071A7"/>
    <w:rsid w:val="00B1073C"/>
    <w:rsid w:val="00B10CC6"/>
    <w:rsid w:val="00B10F0A"/>
    <w:rsid w:val="00B10F3F"/>
    <w:rsid w:val="00B110C3"/>
    <w:rsid w:val="00B11B94"/>
    <w:rsid w:val="00B11E67"/>
    <w:rsid w:val="00B11FAD"/>
    <w:rsid w:val="00B12464"/>
    <w:rsid w:val="00B12E5A"/>
    <w:rsid w:val="00B13DEB"/>
    <w:rsid w:val="00B14171"/>
    <w:rsid w:val="00B14953"/>
    <w:rsid w:val="00B15579"/>
    <w:rsid w:val="00B168FE"/>
    <w:rsid w:val="00B16A06"/>
    <w:rsid w:val="00B173A0"/>
    <w:rsid w:val="00B177F4"/>
    <w:rsid w:val="00B17FAF"/>
    <w:rsid w:val="00B2099C"/>
    <w:rsid w:val="00B20C22"/>
    <w:rsid w:val="00B217FF"/>
    <w:rsid w:val="00B22C78"/>
    <w:rsid w:val="00B22D6A"/>
    <w:rsid w:val="00B233DE"/>
    <w:rsid w:val="00B23B85"/>
    <w:rsid w:val="00B23CD0"/>
    <w:rsid w:val="00B23D70"/>
    <w:rsid w:val="00B23F1B"/>
    <w:rsid w:val="00B242BB"/>
    <w:rsid w:val="00B2430E"/>
    <w:rsid w:val="00B24431"/>
    <w:rsid w:val="00B2466A"/>
    <w:rsid w:val="00B247B5"/>
    <w:rsid w:val="00B251F9"/>
    <w:rsid w:val="00B25503"/>
    <w:rsid w:val="00B25F34"/>
    <w:rsid w:val="00B2647B"/>
    <w:rsid w:val="00B266EF"/>
    <w:rsid w:val="00B26FED"/>
    <w:rsid w:val="00B27E2A"/>
    <w:rsid w:val="00B30301"/>
    <w:rsid w:val="00B303B1"/>
    <w:rsid w:val="00B30E36"/>
    <w:rsid w:val="00B30EC4"/>
    <w:rsid w:val="00B318D2"/>
    <w:rsid w:val="00B31C20"/>
    <w:rsid w:val="00B31C87"/>
    <w:rsid w:val="00B31DEF"/>
    <w:rsid w:val="00B329FC"/>
    <w:rsid w:val="00B33D87"/>
    <w:rsid w:val="00B34F2C"/>
    <w:rsid w:val="00B34FCD"/>
    <w:rsid w:val="00B3574D"/>
    <w:rsid w:val="00B357C9"/>
    <w:rsid w:val="00B35BA1"/>
    <w:rsid w:val="00B36144"/>
    <w:rsid w:val="00B37823"/>
    <w:rsid w:val="00B3798C"/>
    <w:rsid w:val="00B37C8F"/>
    <w:rsid w:val="00B37D10"/>
    <w:rsid w:val="00B37E8E"/>
    <w:rsid w:val="00B40F0B"/>
    <w:rsid w:val="00B40F3E"/>
    <w:rsid w:val="00B4153C"/>
    <w:rsid w:val="00B4285C"/>
    <w:rsid w:val="00B42BF1"/>
    <w:rsid w:val="00B433CC"/>
    <w:rsid w:val="00B43C4B"/>
    <w:rsid w:val="00B43E54"/>
    <w:rsid w:val="00B445A0"/>
    <w:rsid w:val="00B44B8C"/>
    <w:rsid w:val="00B44D04"/>
    <w:rsid w:val="00B457D4"/>
    <w:rsid w:val="00B46181"/>
    <w:rsid w:val="00B46D30"/>
    <w:rsid w:val="00B47B6B"/>
    <w:rsid w:val="00B47D87"/>
    <w:rsid w:val="00B47EE6"/>
    <w:rsid w:val="00B504B5"/>
    <w:rsid w:val="00B50E0A"/>
    <w:rsid w:val="00B510B9"/>
    <w:rsid w:val="00B515F4"/>
    <w:rsid w:val="00B51BC9"/>
    <w:rsid w:val="00B52045"/>
    <w:rsid w:val="00B52092"/>
    <w:rsid w:val="00B52925"/>
    <w:rsid w:val="00B52C4D"/>
    <w:rsid w:val="00B5316E"/>
    <w:rsid w:val="00B53CF5"/>
    <w:rsid w:val="00B54B7F"/>
    <w:rsid w:val="00B54D09"/>
    <w:rsid w:val="00B55A78"/>
    <w:rsid w:val="00B55DC6"/>
    <w:rsid w:val="00B56705"/>
    <w:rsid w:val="00B568EA"/>
    <w:rsid w:val="00B56BA2"/>
    <w:rsid w:val="00B56DD1"/>
    <w:rsid w:val="00B57494"/>
    <w:rsid w:val="00B57772"/>
    <w:rsid w:val="00B578B7"/>
    <w:rsid w:val="00B57914"/>
    <w:rsid w:val="00B57EB6"/>
    <w:rsid w:val="00B57F12"/>
    <w:rsid w:val="00B603E7"/>
    <w:rsid w:val="00B60D82"/>
    <w:rsid w:val="00B60E36"/>
    <w:rsid w:val="00B61E07"/>
    <w:rsid w:val="00B62B99"/>
    <w:rsid w:val="00B63C4A"/>
    <w:rsid w:val="00B642BD"/>
    <w:rsid w:val="00B6440B"/>
    <w:rsid w:val="00B645F8"/>
    <w:rsid w:val="00B64909"/>
    <w:rsid w:val="00B64A5A"/>
    <w:rsid w:val="00B64D5E"/>
    <w:rsid w:val="00B6687D"/>
    <w:rsid w:val="00B670DF"/>
    <w:rsid w:val="00B672DC"/>
    <w:rsid w:val="00B674D4"/>
    <w:rsid w:val="00B67B3B"/>
    <w:rsid w:val="00B701A1"/>
    <w:rsid w:val="00B7030C"/>
    <w:rsid w:val="00B708EF"/>
    <w:rsid w:val="00B70A25"/>
    <w:rsid w:val="00B70DC7"/>
    <w:rsid w:val="00B711C8"/>
    <w:rsid w:val="00B71AB9"/>
    <w:rsid w:val="00B722BE"/>
    <w:rsid w:val="00B7324B"/>
    <w:rsid w:val="00B7328F"/>
    <w:rsid w:val="00B734D7"/>
    <w:rsid w:val="00B7495B"/>
    <w:rsid w:val="00B75230"/>
    <w:rsid w:val="00B7555F"/>
    <w:rsid w:val="00B761CB"/>
    <w:rsid w:val="00B766DB"/>
    <w:rsid w:val="00B7735F"/>
    <w:rsid w:val="00B80166"/>
    <w:rsid w:val="00B803FA"/>
    <w:rsid w:val="00B805C8"/>
    <w:rsid w:val="00B80A27"/>
    <w:rsid w:val="00B80AC0"/>
    <w:rsid w:val="00B80BA7"/>
    <w:rsid w:val="00B80BEF"/>
    <w:rsid w:val="00B816AA"/>
    <w:rsid w:val="00B8172D"/>
    <w:rsid w:val="00B81C6F"/>
    <w:rsid w:val="00B820B0"/>
    <w:rsid w:val="00B82CB6"/>
    <w:rsid w:val="00B832A3"/>
    <w:rsid w:val="00B83C21"/>
    <w:rsid w:val="00B84826"/>
    <w:rsid w:val="00B84D81"/>
    <w:rsid w:val="00B851A5"/>
    <w:rsid w:val="00B85536"/>
    <w:rsid w:val="00B855AF"/>
    <w:rsid w:val="00B856F4"/>
    <w:rsid w:val="00B85F9D"/>
    <w:rsid w:val="00B86155"/>
    <w:rsid w:val="00B86162"/>
    <w:rsid w:val="00B87599"/>
    <w:rsid w:val="00B9015B"/>
    <w:rsid w:val="00B909DB"/>
    <w:rsid w:val="00B9112C"/>
    <w:rsid w:val="00B92384"/>
    <w:rsid w:val="00B92AD4"/>
    <w:rsid w:val="00B92AFA"/>
    <w:rsid w:val="00B92C35"/>
    <w:rsid w:val="00B92D68"/>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7958"/>
    <w:rsid w:val="00BA015C"/>
    <w:rsid w:val="00BA03C2"/>
    <w:rsid w:val="00BA0F31"/>
    <w:rsid w:val="00BA0F62"/>
    <w:rsid w:val="00BA1338"/>
    <w:rsid w:val="00BA17E8"/>
    <w:rsid w:val="00BA2917"/>
    <w:rsid w:val="00BA3113"/>
    <w:rsid w:val="00BA314B"/>
    <w:rsid w:val="00BA325C"/>
    <w:rsid w:val="00BA3FA0"/>
    <w:rsid w:val="00BA4065"/>
    <w:rsid w:val="00BA4DBD"/>
    <w:rsid w:val="00BA4E82"/>
    <w:rsid w:val="00BA4F0D"/>
    <w:rsid w:val="00BA4F82"/>
    <w:rsid w:val="00BA52C1"/>
    <w:rsid w:val="00BA5B3A"/>
    <w:rsid w:val="00BA5DF0"/>
    <w:rsid w:val="00BA61A3"/>
    <w:rsid w:val="00BA7977"/>
    <w:rsid w:val="00BA7A69"/>
    <w:rsid w:val="00BA7B13"/>
    <w:rsid w:val="00BA7F2A"/>
    <w:rsid w:val="00BB0896"/>
    <w:rsid w:val="00BB1702"/>
    <w:rsid w:val="00BB174B"/>
    <w:rsid w:val="00BB2EB0"/>
    <w:rsid w:val="00BB324B"/>
    <w:rsid w:val="00BB38ED"/>
    <w:rsid w:val="00BB44E2"/>
    <w:rsid w:val="00BB482F"/>
    <w:rsid w:val="00BB4F35"/>
    <w:rsid w:val="00BB508F"/>
    <w:rsid w:val="00BB5AEC"/>
    <w:rsid w:val="00BB5D48"/>
    <w:rsid w:val="00BB6916"/>
    <w:rsid w:val="00BB70C2"/>
    <w:rsid w:val="00BB766A"/>
    <w:rsid w:val="00BB7C60"/>
    <w:rsid w:val="00BB7E3F"/>
    <w:rsid w:val="00BB7EC8"/>
    <w:rsid w:val="00BC0998"/>
    <w:rsid w:val="00BC0E96"/>
    <w:rsid w:val="00BC0FBF"/>
    <w:rsid w:val="00BC1E37"/>
    <w:rsid w:val="00BC2459"/>
    <w:rsid w:val="00BC3031"/>
    <w:rsid w:val="00BC3414"/>
    <w:rsid w:val="00BC3EBC"/>
    <w:rsid w:val="00BC3FFF"/>
    <w:rsid w:val="00BC525C"/>
    <w:rsid w:val="00BC53BA"/>
    <w:rsid w:val="00BC543D"/>
    <w:rsid w:val="00BC58CB"/>
    <w:rsid w:val="00BC5DFC"/>
    <w:rsid w:val="00BC5EEA"/>
    <w:rsid w:val="00BC6AAE"/>
    <w:rsid w:val="00BC6B11"/>
    <w:rsid w:val="00BC6CC5"/>
    <w:rsid w:val="00BC7516"/>
    <w:rsid w:val="00BC7637"/>
    <w:rsid w:val="00BC7AEC"/>
    <w:rsid w:val="00BC7CFE"/>
    <w:rsid w:val="00BC7D1F"/>
    <w:rsid w:val="00BD045D"/>
    <w:rsid w:val="00BD0BAC"/>
    <w:rsid w:val="00BD1230"/>
    <w:rsid w:val="00BD1539"/>
    <w:rsid w:val="00BD183D"/>
    <w:rsid w:val="00BD2208"/>
    <w:rsid w:val="00BD233E"/>
    <w:rsid w:val="00BD245E"/>
    <w:rsid w:val="00BD2D99"/>
    <w:rsid w:val="00BD2F52"/>
    <w:rsid w:val="00BD3A08"/>
    <w:rsid w:val="00BD4029"/>
    <w:rsid w:val="00BD40E2"/>
    <w:rsid w:val="00BD4373"/>
    <w:rsid w:val="00BD4394"/>
    <w:rsid w:val="00BD4762"/>
    <w:rsid w:val="00BD4A29"/>
    <w:rsid w:val="00BD4C97"/>
    <w:rsid w:val="00BD4DCB"/>
    <w:rsid w:val="00BD4FB9"/>
    <w:rsid w:val="00BD5672"/>
    <w:rsid w:val="00BD5A87"/>
    <w:rsid w:val="00BD63AB"/>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615C"/>
    <w:rsid w:val="00BE652D"/>
    <w:rsid w:val="00BE68CD"/>
    <w:rsid w:val="00BE68D0"/>
    <w:rsid w:val="00BE6CE8"/>
    <w:rsid w:val="00BE7177"/>
    <w:rsid w:val="00BE72AA"/>
    <w:rsid w:val="00BE7307"/>
    <w:rsid w:val="00BF05F8"/>
    <w:rsid w:val="00BF0688"/>
    <w:rsid w:val="00BF16C0"/>
    <w:rsid w:val="00BF17D3"/>
    <w:rsid w:val="00BF1ED6"/>
    <w:rsid w:val="00BF2126"/>
    <w:rsid w:val="00BF2140"/>
    <w:rsid w:val="00BF26AE"/>
    <w:rsid w:val="00BF372B"/>
    <w:rsid w:val="00BF3AE1"/>
    <w:rsid w:val="00BF4E16"/>
    <w:rsid w:val="00BF5701"/>
    <w:rsid w:val="00BF5F6F"/>
    <w:rsid w:val="00BF6B58"/>
    <w:rsid w:val="00BF72DD"/>
    <w:rsid w:val="00BF74AD"/>
    <w:rsid w:val="00BF753F"/>
    <w:rsid w:val="00BF7DB9"/>
    <w:rsid w:val="00C00629"/>
    <w:rsid w:val="00C010D3"/>
    <w:rsid w:val="00C010D5"/>
    <w:rsid w:val="00C0110A"/>
    <w:rsid w:val="00C01178"/>
    <w:rsid w:val="00C01BAF"/>
    <w:rsid w:val="00C01FBF"/>
    <w:rsid w:val="00C0204A"/>
    <w:rsid w:val="00C0280B"/>
    <w:rsid w:val="00C02E13"/>
    <w:rsid w:val="00C03D72"/>
    <w:rsid w:val="00C04281"/>
    <w:rsid w:val="00C045BE"/>
    <w:rsid w:val="00C045F7"/>
    <w:rsid w:val="00C04705"/>
    <w:rsid w:val="00C04819"/>
    <w:rsid w:val="00C04F22"/>
    <w:rsid w:val="00C053EA"/>
    <w:rsid w:val="00C0571E"/>
    <w:rsid w:val="00C05784"/>
    <w:rsid w:val="00C05D5C"/>
    <w:rsid w:val="00C06A6B"/>
    <w:rsid w:val="00C06A82"/>
    <w:rsid w:val="00C06B94"/>
    <w:rsid w:val="00C06BBE"/>
    <w:rsid w:val="00C071C2"/>
    <w:rsid w:val="00C10368"/>
    <w:rsid w:val="00C10562"/>
    <w:rsid w:val="00C1087D"/>
    <w:rsid w:val="00C1096E"/>
    <w:rsid w:val="00C10D01"/>
    <w:rsid w:val="00C10F22"/>
    <w:rsid w:val="00C1135F"/>
    <w:rsid w:val="00C119FF"/>
    <w:rsid w:val="00C11B62"/>
    <w:rsid w:val="00C11BA7"/>
    <w:rsid w:val="00C122B4"/>
    <w:rsid w:val="00C127B5"/>
    <w:rsid w:val="00C12B0F"/>
    <w:rsid w:val="00C12C78"/>
    <w:rsid w:val="00C12CF3"/>
    <w:rsid w:val="00C13E14"/>
    <w:rsid w:val="00C14A9E"/>
    <w:rsid w:val="00C14D3A"/>
    <w:rsid w:val="00C14DCF"/>
    <w:rsid w:val="00C15B8A"/>
    <w:rsid w:val="00C16900"/>
    <w:rsid w:val="00C1702C"/>
    <w:rsid w:val="00C17DE0"/>
    <w:rsid w:val="00C17F6C"/>
    <w:rsid w:val="00C21175"/>
    <w:rsid w:val="00C211A4"/>
    <w:rsid w:val="00C21704"/>
    <w:rsid w:val="00C21E11"/>
    <w:rsid w:val="00C2233D"/>
    <w:rsid w:val="00C22468"/>
    <w:rsid w:val="00C22679"/>
    <w:rsid w:val="00C2292C"/>
    <w:rsid w:val="00C22D69"/>
    <w:rsid w:val="00C230D7"/>
    <w:rsid w:val="00C23288"/>
    <w:rsid w:val="00C23A44"/>
    <w:rsid w:val="00C23B3A"/>
    <w:rsid w:val="00C24B62"/>
    <w:rsid w:val="00C2503C"/>
    <w:rsid w:val="00C25F0B"/>
    <w:rsid w:val="00C26D6F"/>
    <w:rsid w:val="00C305F5"/>
    <w:rsid w:val="00C30D20"/>
    <w:rsid w:val="00C31055"/>
    <w:rsid w:val="00C3114A"/>
    <w:rsid w:val="00C3168A"/>
    <w:rsid w:val="00C31E3F"/>
    <w:rsid w:val="00C327AE"/>
    <w:rsid w:val="00C333A8"/>
    <w:rsid w:val="00C33427"/>
    <w:rsid w:val="00C33B32"/>
    <w:rsid w:val="00C33FF7"/>
    <w:rsid w:val="00C34C6E"/>
    <w:rsid w:val="00C3576B"/>
    <w:rsid w:val="00C3638F"/>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3B53"/>
    <w:rsid w:val="00C448EA"/>
    <w:rsid w:val="00C44A29"/>
    <w:rsid w:val="00C450E8"/>
    <w:rsid w:val="00C455D3"/>
    <w:rsid w:val="00C45771"/>
    <w:rsid w:val="00C4596E"/>
    <w:rsid w:val="00C4599B"/>
    <w:rsid w:val="00C466BF"/>
    <w:rsid w:val="00C46B8B"/>
    <w:rsid w:val="00C46E7E"/>
    <w:rsid w:val="00C47071"/>
    <w:rsid w:val="00C50057"/>
    <w:rsid w:val="00C501F0"/>
    <w:rsid w:val="00C50FFF"/>
    <w:rsid w:val="00C51A8A"/>
    <w:rsid w:val="00C52211"/>
    <w:rsid w:val="00C52890"/>
    <w:rsid w:val="00C52C53"/>
    <w:rsid w:val="00C53C43"/>
    <w:rsid w:val="00C545F1"/>
    <w:rsid w:val="00C547D5"/>
    <w:rsid w:val="00C56060"/>
    <w:rsid w:val="00C5667C"/>
    <w:rsid w:val="00C56A59"/>
    <w:rsid w:val="00C56EB3"/>
    <w:rsid w:val="00C571D5"/>
    <w:rsid w:val="00C5767F"/>
    <w:rsid w:val="00C576E8"/>
    <w:rsid w:val="00C60546"/>
    <w:rsid w:val="00C60FCB"/>
    <w:rsid w:val="00C6125C"/>
    <w:rsid w:val="00C614A8"/>
    <w:rsid w:val="00C61555"/>
    <w:rsid w:val="00C6205F"/>
    <w:rsid w:val="00C6217C"/>
    <w:rsid w:val="00C62220"/>
    <w:rsid w:val="00C6239C"/>
    <w:rsid w:val="00C63DF3"/>
    <w:rsid w:val="00C6407C"/>
    <w:rsid w:val="00C641FD"/>
    <w:rsid w:val="00C64269"/>
    <w:rsid w:val="00C64958"/>
    <w:rsid w:val="00C6554E"/>
    <w:rsid w:val="00C65882"/>
    <w:rsid w:val="00C67A52"/>
    <w:rsid w:val="00C704F5"/>
    <w:rsid w:val="00C708B2"/>
    <w:rsid w:val="00C710AC"/>
    <w:rsid w:val="00C71509"/>
    <w:rsid w:val="00C71E55"/>
    <w:rsid w:val="00C723F5"/>
    <w:rsid w:val="00C72523"/>
    <w:rsid w:val="00C730BB"/>
    <w:rsid w:val="00C73BA4"/>
    <w:rsid w:val="00C74159"/>
    <w:rsid w:val="00C74559"/>
    <w:rsid w:val="00C74752"/>
    <w:rsid w:val="00C748DC"/>
    <w:rsid w:val="00C749D9"/>
    <w:rsid w:val="00C74C41"/>
    <w:rsid w:val="00C74F14"/>
    <w:rsid w:val="00C753CA"/>
    <w:rsid w:val="00C7637C"/>
    <w:rsid w:val="00C763C3"/>
    <w:rsid w:val="00C76405"/>
    <w:rsid w:val="00C764C3"/>
    <w:rsid w:val="00C76ECC"/>
    <w:rsid w:val="00C774B0"/>
    <w:rsid w:val="00C777A8"/>
    <w:rsid w:val="00C778A0"/>
    <w:rsid w:val="00C77AD1"/>
    <w:rsid w:val="00C77CBB"/>
    <w:rsid w:val="00C80C02"/>
    <w:rsid w:val="00C80C4C"/>
    <w:rsid w:val="00C80D76"/>
    <w:rsid w:val="00C825B6"/>
    <w:rsid w:val="00C82638"/>
    <w:rsid w:val="00C8273E"/>
    <w:rsid w:val="00C828A5"/>
    <w:rsid w:val="00C828D7"/>
    <w:rsid w:val="00C82BEF"/>
    <w:rsid w:val="00C8318E"/>
    <w:rsid w:val="00C832DD"/>
    <w:rsid w:val="00C832FB"/>
    <w:rsid w:val="00C83925"/>
    <w:rsid w:val="00C83F25"/>
    <w:rsid w:val="00C8477A"/>
    <w:rsid w:val="00C849A3"/>
    <w:rsid w:val="00C85042"/>
    <w:rsid w:val="00C850CC"/>
    <w:rsid w:val="00C85232"/>
    <w:rsid w:val="00C852E1"/>
    <w:rsid w:val="00C859C6"/>
    <w:rsid w:val="00C85E41"/>
    <w:rsid w:val="00C86BD0"/>
    <w:rsid w:val="00C8747C"/>
    <w:rsid w:val="00C9020D"/>
    <w:rsid w:val="00C902C0"/>
    <w:rsid w:val="00C904E8"/>
    <w:rsid w:val="00C90979"/>
    <w:rsid w:val="00C90D35"/>
    <w:rsid w:val="00C91113"/>
    <w:rsid w:val="00C91404"/>
    <w:rsid w:val="00C919F9"/>
    <w:rsid w:val="00C9246A"/>
    <w:rsid w:val="00C92802"/>
    <w:rsid w:val="00C92BBD"/>
    <w:rsid w:val="00C93B9C"/>
    <w:rsid w:val="00C93CA9"/>
    <w:rsid w:val="00C93DE2"/>
    <w:rsid w:val="00C93E28"/>
    <w:rsid w:val="00C943B4"/>
    <w:rsid w:val="00C95414"/>
    <w:rsid w:val="00C962EB"/>
    <w:rsid w:val="00C969FC"/>
    <w:rsid w:val="00C96B66"/>
    <w:rsid w:val="00C96D0C"/>
    <w:rsid w:val="00C97419"/>
    <w:rsid w:val="00CA0171"/>
    <w:rsid w:val="00CA072E"/>
    <w:rsid w:val="00CA0D4E"/>
    <w:rsid w:val="00CA10A8"/>
    <w:rsid w:val="00CA10DE"/>
    <w:rsid w:val="00CA111D"/>
    <w:rsid w:val="00CA1B11"/>
    <w:rsid w:val="00CA1BD2"/>
    <w:rsid w:val="00CA1F7F"/>
    <w:rsid w:val="00CA215F"/>
    <w:rsid w:val="00CA2903"/>
    <w:rsid w:val="00CA3146"/>
    <w:rsid w:val="00CA375E"/>
    <w:rsid w:val="00CA3EEE"/>
    <w:rsid w:val="00CA40C1"/>
    <w:rsid w:val="00CA4105"/>
    <w:rsid w:val="00CA423A"/>
    <w:rsid w:val="00CA4B77"/>
    <w:rsid w:val="00CA4CB3"/>
    <w:rsid w:val="00CA5767"/>
    <w:rsid w:val="00CA588D"/>
    <w:rsid w:val="00CA5DED"/>
    <w:rsid w:val="00CA614E"/>
    <w:rsid w:val="00CA68C4"/>
    <w:rsid w:val="00CA692F"/>
    <w:rsid w:val="00CA6A00"/>
    <w:rsid w:val="00CA6B04"/>
    <w:rsid w:val="00CA72F6"/>
    <w:rsid w:val="00CA7865"/>
    <w:rsid w:val="00CA7B22"/>
    <w:rsid w:val="00CA7D65"/>
    <w:rsid w:val="00CB038B"/>
    <w:rsid w:val="00CB09D7"/>
    <w:rsid w:val="00CB125A"/>
    <w:rsid w:val="00CB1561"/>
    <w:rsid w:val="00CB1F89"/>
    <w:rsid w:val="00CB21BF"/>
    <w:rsid w:val="00CB255C"/>
    <w:rsid w:val="00CB33A3"/>
    <w:rsid w:val="00CB348C"/>
    <w:rsid w:val="00CB3642"/>
    <w:rsid w:val="00CB39C5"/>
    <w:rsid w:val="00CB3A98"/>
    <w:rsid w:val="00CB3E82"/>
    <w:rsid w:val="00CB43EC"/>
    <w:rsid w:val="00CB446A"/>
    <w:rsid w:val="00CB4501"/>
    <w:rsid w:val="00CB478B"/>
    <w:rsid w:val="00CB4B7E"/>
    <w:rsid w:val="00CB4BAF"/>
    <w:rsid w:val="00CB5101"/>
    <w:rsid w:val="00CB5986"/>
    <w:rsid w:val="00CB5C91"/>
    <w:rsid w:val="00CB6D3B"/>
    <w:rsid w:val="00CB6E69"/>
    <w:rsid w:val="00CB72F8"/>
    <w:rsid w:val="00CB766F"/>
    <w:rsid w:val="00CB7E83"/>
    <w:rsid w:val="00CC0146"/>
    <w:rsid w:val="00CC043D"/>
    <w:rsid w:val="00CC0565"/>
    <w:rsid w:val="00CC05EB"/>
    <w:rsid w:val="00CC096D"/>
    <w:rsid w:val="00CC0B96"/>
    <w:rsid w:val="00CC0C38"/>
    <w:rsid w:val="00CC0D87"/>
    <w:rsid w:val="00CC0E84"/>
    <w:rsid w:val="00CC1198"/>
    <w:rsid w:val="00CC13B0"/>
    <w:rsid w:val="00CC196B"/>
    <w:rsid w:val="00CC26FC"/>
    <w:rsid w:val="00CC2B53"/>
    <w:rsid w:val="00CC3295"/>
    <w:rsid w:val="00CC347C"/>
    <w:rsid w:val="00CC4704"/>
    <w:rsid w:val="00CC513B"/>
    <w:rsid w:val="00CC5AAA"/>
    <w:rsid w:val="00CC5CAA"/>
    <w:rsid w:val="00CC6A74"/>
    <w:rsid w:val="00CC713F"/>
    <w:rsid w:val="00CC7818"/>
    <w:rsid w:val="00CC785D"/>
    <w:rsid w:val="00CD0482"/>
    <w:rsid w:val="00CD0845"/>
    <w:rsid w:val="00CD0A6E"/>
    <w:rsid w:val="00CD1CD7"/>
    <w:rsid w:val="00CD1D09"/>
    <w:rsid w:val="00CD232D"/>
    <w:rsid w:val="00CD264E"/>
    <w:rsid w:val="00CD3344"/>
    <w:rsid w:val="00CD3515"/>
    <w:rsid w:val="00CD3B2C"/>
    <w:rsid w:val="00CD4179"/>
    <w:rsid w:val="00CD41E5"/>
    <w:rsid w:val="00CD440B"/>
    <w:rsid w:val="00CD441E"/>
    <w:rsid w:val="00CD4B79"/>
    <w:rsid w:val="00CD52FB"/>
    <w:rsid w:val="00CD53A8"/>
    <w:rsid w:val="00CD53DD"/>
    <w:rsid w:val="00CD5897"/>
    <w:rsid w:val="00CD5947"/>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336"/>
    <w:rsid w:val="00CE2435"/>
    <w:rsid w:val="00CE276E"/>
    <w:rsid w:val="00CE2C49"/>
    <w:rsid w:val="00CE3A31"/>
    <w:rsid w:val="00CE42B2"/>
    <w:rsid w:val="00CE42C3"/>
    <w:rsid w:val="00CE480D"/>
    <w:rsid w:val="00CE5048"/>
    <w:rsid w:val="00CE517C"/>
    <w:rsid w:val="00CE5580"/>
    <w:rsid w:val="00CE5768"/>
    <w:rsid w:val="00CE668C"/>
    <w:rsid w:val="00CE67DC"/>
    <w:rsid w:val="00CE7B12"/>
    <w:rsid w:val="00CE7B7B"/>
    <w:rsid w:val="00CE7BBF"/>
    <w:rsid w:val="00CF075B"/>
    <w:rsid w:val="00CF0E4F"/>
    <w:rsid w:val="00CF1CB5"/>
    <w:rsid w:val="00CF4241"/>
    <w:rsid w:val="00CF455C"/>
    <w:rsid w:val="00CF5A4E"/>
    <w:rsid w:val="00CF5DFF"/>
    <w:rsid w:val="00CF5FCD"/>
    <w:rsid w:val="00CF6667"/>
    <w:rsid w:val="00CF6FDD"/>
    <w:rsid w:val="00CF71A9"/>
    <w:rsid w:val="00CF782E"/>
    <w:rsid w:val="00CF7DF1"/>
    <w:rsid w:val="00D000FE"/>
    <w:rsid w:val="00D0074C"/>
    <w:rsid w:val="00D00888"/>
    <w:rsid w:val="00D00BAC"/>
    <w:rsid w:val="00D011FF"/>
    <w:rsid w:val="00D0151A"/>
    <w:rsid w:val="00D0176E"/>
    <w:rsid w:val="00D01980"/>
    <w:rsid w:val="00D01D61"/>
    <w:rsid w:val="00D024F9"/>
    <w:rsid w:val="00D02514"/>
    <w:rsid w:val="00D02738"/>
    <w:rsid w:val="00D0292E"/>
    <w:rsid w:val="00D03A41"/>
    <w:rsid w:val="00D04456"/>
    <w:rsid w:val="00D04534"/>
    <w:rsid w:val="00D04CBB"/>
    <w:rsid w:val="00D05036"/>
    <w:rsid w:val="00D05771"/>
    <w:rsid w:val="00D05AD6"/>
    <w:rsid w:val="00D05B87"/>
    <w:rsid w:val="00D06077"/>
    <w:rsid w:val="00D060ED"/>
    <w:rsid w:val="00D064CF"/>
    <w:rsid w:val="00D065AB"/>
    <w:rsid w:val="00D06DF6"/>
    <w:rsid w:val="00D06FD4"/>
    <w:rsid w:val="00D07400"/>
    <w:rsid w:val="00D0740D"/>
    <w:rsid w:val="00D07D0A"/>
    <w:rsid w:val="00D10344"/>
    <w:rsid w:val="00D10AF1"/>
    <w:rsid w:val="00D11011"/>
    <w:rsid w:val="00D115AD"/>
    <w:rsid w:val="00D11807"/>
    <w:rsid w:val="00D119FE"/>
    <w:rsid w:val="00D11EF8"/>
    <w:rsid w:val="00D12FF2"/>
    <w:rsid w:val="00D1340E"/>
    <w:rsid w:val="00D13C70"/>
    <w:rsid w:val="00D13C91"/>
    <w:rsid w:val="00D15771"/>
    <w:rsid w:val="00D15F9C"/>
    <w:rsid w:val="00D160B3"/>
    <w:rsid w:val="00D1646E"/>
    <w:rsid w:val="00D167CD"/>
    <w:rsid w:val="00D17345"/>
    <w:rsid w:val="00D17814"/>
    <w:rsid w:val="00D17A7D"/>
    <w:rsid w:val="00D20134"/>
    <w:rsid w:val="00D20854"/>
    <w:rsid w:val="00D209DA"/>
    <w:rsid w:val="00D20BC9"/>
    <w:rsid w:val="00D20D2C"/>
    <w:rsid w:val="00D20D70"/>
    <w:rsid w:val="00D21138"/>
    <w:rsid w:val="00D2122C"/>
    <w:rsid w:val="00D21398"/>
    <w:rsid w:val="00D216F5"/>
    <w:rsid w:val="00D21DB1"/>
    <w:rsid w:val="00D22487"/>
    <w:rsid w:val="00D22A93"/>
    <w:rsid w:val="00D22C27"/>
    <w:rsid w:val="00D22ED7"/>
    <w:rsid w:val="00D236A3"/>
    <w:rsid w:val="00D23729"/>
    <w:rsid w:val="00D23834"/>
    <w:rsid w:val="00D24260"/>
    <w:rsid w:val="00D24497"/>
    <w:rsid w:val="00D249E0"/>
    <w:rsid w:val="00D24EF4"/>
    <w:rsid w:val="00D25651"/>
    <w:rsid w:val="00D25709"/>
    <w:rsid w:val="00D2589C"/>
    <w:rsid w:val="00D25960"/>
    <w:rsid w:val="00D25BC3"/>
    <w:rsid w:val="00D2652B"/>
    <w:rsid w:val="00D26570"/>
    <w:rsid w:val="00D268C6"/>
    <w:rsid w:val="00D2695C"/>
    <w:rsid w:val="00D26B4D"/>
    <w:rsid w:val="00D26BE8"/>
    <w:rsid w:val="00D26E21"/>
    <w:rsid w:val="00D2770C"/>
    <w:rsid w:val="00D2771F"/>
    <w:rsid w:val="00D27A6C"/>
    <w:rsid w:val="00D3075B"/>
    <w:rsid w:val="00D3086B"/>
    <w:rsid w:val="00D3095A"/>
    <w:rsid w:val="00D31540"/>
    <w:rsid w:val="00D318E4"/>
    <w:rsid w:val="00D31E74"/>
    <w:rsid w:val="00D31F58"/>
    <w:rsid w:val="00D32305"/>
    <w:rsid w:val="00D32692"/>
    <w:rsid w:val="00D32884"/>
    <w:rsid w:val="00D33DD5"/>
    <w:rsid w:val="00D3407D"/>
    <w:rsid w:val="00D35205"/>
    <w:rsid w:val="00D354AC"/>
    <w:rsid w:val="00D355A5"/>
    <w:rsid w:val="00D35BD1"/>
    <w:rsid w:val="00D3618C"/>
    <w:rsid w:val="00D36936"/>
    <w:rsid w:val="00D36B1E"/>
    <w:rsid w:val="00D3703F"/>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500D0"/>
    <w:rsid w:val="00D50282"/>
    <w:rsid w:val="00D5078D"/>
    <w:rsid w:val="00D508A6"/>
    <w:rsid w:val="00D5144C"/>
    <w:rsid w:val="00D5175B"/>
    <w:rsid w:val="00D52091"/>
    <w:rsid w:val="00D52323"/>
    <w:rsid w:val="00D52736"/>
    <w:rsid w:val="00D52B04"/>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333"/>
    <w:rsid w:val="00D56B97"/>
    <w:rsid w:val="00D57741"/>
    <w:rsid w:val="00D57BF5"/>
    <w:rsid w:val="00D57C2E"/>
    <w:rsid w:val="00D57F67"/>
    <w:rsid w:val="00D6031E"/>
    <w:rsid w:val="00D6076B"/>
    <w:rsid w:val="00D607BC"/>
    <w:rsid w:val="00D60CAC"/>
    <w:rsid w:val="00D60CFC"/>
    <w:rsid w:val="00D615EB"/>
    <w:rsid w:val="00D62456"/>
    <w:rsid w:val="00D62768"/>
    <w:rsid w:val="00D63933"/>
    <w:rsid w:val="00D63A83"/>
    <w:rsid w:val="00D63DD6"/>
    <w:rsid w:val="00D641DB"/>
    <w:rsid w:val="00D64BB0"/>
    <w:rsid w:val="00D65A9A"/>
    <w:rsid w:val="00D65BE8"/>
    <w:rsid w:val="00D65CFA"/>
    <w:rsid w:val="00D65F68"/>
    <w:rsid w:val="00D662A0"/>
    <w:rsid w:val="00D662EF"/>
    <w:rsid w:val="00D66C7F"/>
    <w:rsid w:val="00D679D8"/>
    <w:rsid w:val="00D67A2B"/>
    <w:rsid w:val="00D7090A"/>
    <w:rsid w:val="00D716AA"/>
    <w:rsid w:val="00D718F9"/>
    <w:rsid w:val="00D7198E"/>
    <w:rsid w:val="00D720BE"/>
    <w:rsid w:val="00D72897"/>
    <w:rsid w:val="00D72AD9"/>
    <w:rsid w:val="00D736BE"/>
    <w:rsid w:val="00D73A15"/>
    <w:rsid w:val="00D73ACE"/>
    <w:rsid w:val="00D74FD9"/>
    <w:rsid w:val="00D75DA2"/>
    <w:rsid w:val="00D761EA"/>
    <w:rsid w:val="00D763AF"/>
    <w:rsid w:val="00D76C0D"/>
    <w:rsid w:val="00D77404"/>
    <w:rsid w:val="00D7745B"/>
    <w:rsid w:val="00D776C2"/>
    <w:rsid w:val="00D779D9"/>
    <w:rsid w:val="00D77D91"/>
    <w:rsid w:val="00D8094B"/>
    <w:rsid w:val="00D80DE0"/>
    <w:rsid w:val="00D815C0"/>
    <w:rsid w:val="00D818FC"/>
    <w:rsid w:val="00D81D3A"/>
    <w:rsid w:val="00D82254"/>
    <w:rsid w:val="00D827EC"/>
    <w:rsid w:val="00D8287F"/>
    <w:rsid w:val="00D828E7"/>
    <w:rsid w:val="00D8527C"/>
    <w:rsid w:val="00D8551E"/>
    <w:rsid w:val="00D86CA9"/>
    <w:rsid w:val="00D871E8"/>
    <w:rsid w:val="00D879C3"/>
    <w:rsid w:val="00D87A7C"/>
    <w:rsid w:val="00D90328"/>
    <w:rsid w:val="00D905FA"/>
    <w:rsid w:val="00D906ED"/>
    <w:rsid w:val="00D90C90"/>
    <w:rsid w:val="00D912A6"/>
    <w:rsid w:val="00D915FE"/>
    <w:rsid w:val="00D91F19"/>
    <w:rsid w:val="00D922C5"/>
    <w:rsid w:val="00D9270F"/>
    <w:rsid w:val="00D92CEC"/>
    <w:rsid w:val="00D92F1B"/>
    <w:rsid w:val="00D933C3"/>
    <w:rsid w:val="00D94525"/>
    <w:rsid w:val="00D9458A"/>
    <w:rsid w:val="00D945DC"/>
    <w:rsid w:val="00D94675"/>
    <w:rsid w:val="00D94840"/>
    <w:rsid w:val="00D949D6"/>
    <w:rsid w:val="00D94B32"/>
    <w:rsid w:val="00D95018"/>
    <w:rsid w:val="00D9574C"/>
    <w:rsid w:val="00D95E3F"/>
    <w:rsid w:val="00D95FEB"/>
    <w:rsid w:val="00D965DB"/>
    <w:rsid w:val="00D96E44"/>
    <w:rsid w:val="00D97061"/>
    <w:rsid w:val="00D97945"/>
    <w:rsid w:val="00D97C07"/>
    <w:rsid w:val="00DA0475"/>
    <w:rsid w:val="00DA0BC9"/>
    <w:rsid w:val="00DA0DDE"/>
    <w:rsid w:val="00DA0E40"/>
    <w:rsid w:val="00DA1CBF"/>
    <w:rsid w:val="00DA1F0A"/>
    <w:rsid w:val="00DA1FD6"/>
    <w:rsid w:val="00DA269A"/>
    <w:rsid w:val="00DA2F06"/>
    <w:rsid w:val="00DA30A3"/>
    <w:rsid w:val="00DA3683"/>
    <w:rsid w:val="00DA3F5A"/>
    <w:rsid w:val="00DA55C0"/>
    <w:rsid w:val="00DA57D6"/>
    <w:rsid w:val="00DA62F5"/>
    <w:rsid w:val="00DA62F7"/>
    <w:rsid w:val="00DA6F9A"/>
    <w:rsid w:val="00DA6FD0"/>
    <w:rsid w:val="00DA7370"/>
    <w:rsid w:val="00DB0235"/>
    <w:rsid w:val="00DB06EB"/>
    <w:rsid w:val="00DB0902"/>
    <w:rsid w:val="00DB1538"/>
    <w:rsid w:val="00DB2BD8"/>
    <w:rsid w:val="00DB335D"/>
    <w:rsid w:val="00DB444C"/>
    <w:rsid w:val="00DB57B9"/>
    <w:rsid w:val="00DB5A59"/>
    <w:rsid w:val="00DB6558"/>
    <w:rsid w:val="00DB6851"/>
    <w:rsid w:val="00DB68E2"/>
    <w:rsid w:val="00DB6D07"/>
    <w:rsid w:val="00DB71AB"/>
    <w:rsid w:val="00DB72D6"/>
    <w:rsid w:val="00DC0114"/>
    <w:rsid w:val="00DC0D44"/>
    <w:rsid w:val="00DC0FC9"/>
    <w:rsid w:val="00DC14AA"/>
    <w:rsid w:val="00DC16B9"/>
    <w:rsid w:val="00DC174C"/>
    <w:rsid w:val="00DC1D03"/>
    <w:rsid w:val="00DC1F2D"/>
    <w:rsid w:val="00DC2E11"/>
    <w:rsid w:val="00DC5429"/>
    <w:rsid w:val="00DC5B9B"/>
    <w:rsid w:val="00DC5F94"/>
    <w:rsid w:val="00DC620C"/>
    <w:rsid w:val="00DC662C"/>
    <w:rsid w:val="00DC68E6"/>
    <w:rsid w:val="00DC6E3F"/>
    <w:rsid w:val="00DC73A9"/>
    <w:rsid w:val="00DC7582"/>
    <w:rsid w:val="00DC7586"/>
    <w:rsid w:val="00DC7A26"/>
    <w:rsid w:val="00DC7B76"/>
    <w:rsid w:val="00DC7CF1"/>
    <w:rsid w:val="00DC7E51"/>
    <w:rsid w:val="00DD0388"/>
    <w:rsid w:val="00DD0C75"/>
    <w:rsid w:val="00DD1246"/>
    <w:rsid w:val="00DD19AD"/>
    <w:rsid w:val="00DD1BEF"/>
    <w:rsid w:val="00DD20B4"/>
    <w:rsid w:val="00DD2583"/>
    <w:rsid w:val="00DD2A09"/>
    <w:rsid w:val="00DD2B19"/>
    <w:rsid w:val="00DD2C08"/>
    <w:rsid w:val="00DD30FA"/>
    <w:rsid w:val="00DD328A"/>
    <w:rsid w:val="00DD3898"/>
    <w:rsid w:val="00DD3D28"/>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A40"/>
    <w:rsid w:val="00DE5212"/>
    <w:rsid w:val="00DE546E"/>
    <w:rsid w:val="00DE54CF"/>
    <w:rsid w:val="00DE552E"/>
    <w:rsid w:val="00DE5853"/>
    <w:rsid w:val="00DE6390"/>
    <w:rsid w:val="00DE649F"/>
    <w:rsid w:val="00DE6575"/>
    <w:rsid w:val="00DE66AD"/>
    <w:rsid w:val="00DE67CA"/>
    <w:rsid w:val="00DE6A77"/>
    <w:rsid w:val="00DE6B16"/>
    <w:rsid w:val="00DE6B29"/>
    <w:rsid w:val="00DE6FC3"/>
    <w:rsid w:val="00DE7224"/>
    <w:rsid w:val="00DF0ED3"/>
    <w:rsid w:val="00DF1521"/>
    <w:rsid w:val="00DF15F9"/>
    <w:rsid w:val="00DF187E"/>
    <w:rsid w:val="00DF27B1"/>
    <w:rsid w:val="00DF28EF"/>
    <w:rsid w:val="00DF397E"/>
    <w:rsid w:val="00DF4745"/>
    <w:rsid w:val="00DF491A"/>
    <w:rsid w:val="00DF5070"/>
    <w:rsid w:val="00DF549A"/>
    <w:rsid w:val="00DF54EA"/>
    <w:rsid w:val="00DF5A2E"/>
    <w:rsid w:val="00DF673E"/>
    <w:rsid w:val="00DF69E7"/>
    <w:rsid w:val="00DF6DD1"/>
    <w:rsid w:val="00DF6E39"/>
    <w:rsid w:val="00DF758E"/>
    <w:rsid w:val="00DF77BD"/>
    <w:rsid w:val="00E00158"/>
    <w:rsid w:val="00E005FC"/>
    <w:rsid w:val="00E00A1E"/>
    <w:rsid w:val="00E01E82"/>
    <w:rsid w:val="00E025FF"/>
    <w:rsid w:val="00E0296D"/>
    <w:rsid w:val="00E02C94"/>
    <w:rsid w:val="00E030D1"/>
    <w:rsid w:val="00E03D86"/>
    <w:rsid w:val="00E03DE6"/>
    <w:rsid w:val="00E045CF"/>
    <w:rsid w:val="00E04833"/>
    <w:rsid w:val="00E04B0A"/>
    <w:rsid w:val="00E05FE2"/>
    <w:rsid w:val="00E063B6"/>
    <w:rsid w:val="00E0767D"/>
    <w:rsid w:val="00E07757"/>
    <w:rsid w:val="00E07C16"/>
    <w:rsid w:val="00E101D9"/>
    <w:rsid w:val="00E108AA"/>
    <w:rsid w:val="00E1092D"/>
    <w:rsid w:val="00E10CE5"/>
    <w:rsid w:val="00E10D1C"/>
    <w:rsid w:val="00E10FD5"/>
    <w:rsid w:val="00E11960"/>
    <w:rsid w:val="00E11EEE"/>
    <w:rsid w:val="00E1277F"/>
    <w:rsid w:val="00E12EF6"/>
    <w:rsid w:val="00E13718"/>
    <w:rsid w:val="00E14139"/>
    <w:rsid w:val="00E142B3"/>
    <w:rsid w:val="00E143A2"/>
    <w:rsid w:val="00E14793"/>
    <w:rsid w:val="00E14931"/>
    <w:rsid w:val="00E149FC"/>
    <w:rsid w:val="00E14BF0"/>
    <w:rsid w:val="00E14FCA"/>
    <w:rsid w:val="00E15646"/>
    <w:rsid w:val="00E1569B"/>
    <w:rsid w:val="00E157BF"/>
    <w:rsid w:val="00E16A9F"/>
    <w:rsid w:val="00E16ACE"/>
    <w:rsid w:val="00E16F02"/>
    <w:rsid w:val="00E175DE"/>
    <w:rsid w:val="00E176F4"/>
    <w:rsid w:val="00E2059B"/>
    <w:rsid w:val="00E20A86"/>
    <w:rsid w:val="00E20E39"/>
    <w:rsid w:val="00E2162A"/>
    <w:rsid w:val="00E21942"/>
    <w:rsid w:val="00E22332"/>
    <w:rsid w:val="00E2248D"/>
    <w:rsid w:val="00E22BC7"/>
    <w:rsid w:val="00E23B90"/>
    <w:rsid w:val="00E23C14"/>
    <w:rsid w:val="00E23E24"/>
    <w:rsid w:val="00E24181"/>
    <w:rsid w:val="00E242FC"/>
    <w:rsid w:val="00E246E5"/>
    <w:rsid w:val="00E24B2C"/>
    <w:rsid w:val="00E24D04"/>
    <w:rsid w:val="00E25533"/>
    <w:rsid w:val="00E26416"/>
    <w:rsid w:val="00E26F4F"/>
    <w:rsid w:val="00E27712"/>
    <w:rsid w:val="00E3014C"/>
    <w:rsid w:val="00E30438"/>
    <w:rsid w:val="00E305E4"/>
    <w:rsid w:val="00E31120"/>
    <w:rsid w:val="00E3118C"/>
    <w:rsid w:val="00E3256A"/>
    <w:rsid w:val="00E3297E"/>
    <w:rsid w:val="00E32F6C"/>
    <w:rsid w:val="00E32FF4"/>
    <w:rsid w:val="00E333AF"/>
    <w:rsid w:val="00E337D6"/>
    <w:rsid w:val="00E33B0A"/>
    <w:rsid w:val="00E33D6A"/>
    <w:rsid w:val="00E343CE"/>
    <w:rsid w:val="00E346AB"/>
    <w:rsid w:val="00E34B41"/>
    <w:rsid w:val="00E353CC"/>
    <w:rsid w:val="00E35FB3"/>
    <w:rsid w:val="00E370C6"/>
    <w:rsid w:val="00E3728B"/>
    <w:rsid w:val="00E3785A"/>
    <w:rsid w:val="00E378BC"/>
    <w:rsid w:val="00E378D3"/>
    <w:rsid w:val="00E379BD"/>
    <w:rsid w:val="00E37D54"/>
    <w:rsid w:val="00E37F3A"/>
    <w:rsid w:val="00E4082B"/>
    <w:rsid w:val="00E40DA0"/>
    <w:rsid w:val="00E4196D"/>
    <w:rsid w:val="00E42263"/>
    <w:rsid w:val="00E4284E"/>
    <w:rsid w:val="00E43022"/>
    <w:rsid w:val="00E43C23"/>
    <w:rsid w:val="00E446C7"/>
    <w:rsid w:val="00E446F2"/>
    <w:rsid w:val="00E45429"/>
    <w:rsid w:val="00E45488"/>
    <w:rsid w:val="00E45C8E"/>
    <w:rsid w:val="00E462B8"/>
    <w:rsid w:val="00E47929"/>
    <w:rsid w:val="00E47B17"/>
    <w:rsid w:val="00E50153"/>
    <w:rsid w:val="00E50D70"/>
    <w:rsid w:val="00E50F07"/>
    <w:rsid w:val="00E51EDF"/>
    <w:rsid w:val="00E5247B"/>
    <w:rsid w:val="00E52611"/>
    <w:rsid w:val="00E52788"/>
    <w:rsid w:val="00E528AF"/>
    <w:rsid w:val="00E52EFB"/>
    <w:rsid w:val="00E53708"/>
    <w:rsid w:val="00E53EB6"/>
    <w:rsid w:val="00E54419"/>
    <w:rsid w:val="00E55D49"/>
    <w:rsid w:val="00E561BC"/>
    <w:rsid w:val="00E562C2"/>
    <w:rsid w:val="00E562DC"/>
    <w:rsid w:val="00E56CC8"/>
    <w:rsid w:val="00E56D85"/>
    <w:rsid w:val="00E56ED9"/>
    <w:rsid w:val="00E57BED"/>
    <w:rsid w:val="00E6085E"/>
    <w:rsid w:val="00E60C66"/>
    <w:rsid w:val="00E61167"/>
    <w:rsid w:val="00E6193F"/>
    <w:rsid w:val="00E61CC7"/>
    <w:rsid w:val="00E61F7A"/>
    <w:rsid w:val="00E624FE"/>
    <w:rsid w:val="00E628D6"/>
    <w:rsid w:val="00E62DD1"/>
    <w:rsid w:val="00E62F71"/>
    <w:rsid w:val="00E630A8"/>
    <w:rsid w:val="00E630C7"/>
    <w:rsid w:val="00E635D2"/>
    <w:rsid w:val="00E63778"/>
    <w:rsid w:val="00E63AB4"/>
    <w:rsid w:val="00E63DD1"/>
    <w:rsid w:val="00E63EBD"/>
    <w:rsid w:val="00E65192"/>
    <w:rsid w:val="00E657F6"/>
    <w:rsid w:val="00E65D05"/>
    <w:rsid w:val="00E6635A"/>
    <w:rsid w:val="00E66AF8"/>
    <w:rsid w:val="00E6711A"/>
    <w:rsid w:val="00E67A80"/>
    <w:rsid w:val="00E67F2F"/>
    <w:rsid w:val="00E67FF8"/>
    <w:rsid w:val="00E701DE"/>
    <w:rsid w:val="00E702D0"/>
    <w:rsid w:val="00E7109D"/>
    <w:rsid w:val="00E717E0"/>
    <w:rsid w:val="00E71ED3"/>
    <w:rsid w:val="00E7272E"/>
    <w:rsid w:val="00E7298E"/>
    <w:rsid w:val="00E72B13"/>
    <w:rsid w:val="00E72EFC"/>
    <w:rsid w:val="00E73F21"/>
    <w:rsid w:val="00E74757"/>
    <w:rsid w:val="00E74C63"/>
    <w:rsid w:val="00E75567"/>
    <w:rsid w:val="00E75847"/>
    <w:rsid w:val="00E75973"/>
    <w:rsid w:val="00E75B93"/>
    <w:rsid w:val="00E75BD5"/>
    <w:rsid w:val="00E75DFD"/>
    <w:rsid w:val="00E76595"/>
    <w:rsid w:val="00E76DEA"/>
    <w:rsid w:val="00E76EFA"/>
    <w:rsid w:val="00E77B2D"/>
    <w:rsid w:val="00E804EA"/>
    <w:rsid w:val="00E80ACB"/>
    <w:rsid w:val="00E810B0"/>
    <w:rsid w:val="00E813C0"/>
    <w:rsid w:val="00E81424"/>
    <w:rsid w:val="00E81F3A"/>
    <w:rsid w:val="00E82ACA"/>
    <w:rsid w:val="00E82C12"/>
    <w:rsid w:val="00E833A7"/>
    <w:rsid w:val="00E836B5"/>
    <w:rsid w:val="00E83A6F"/>
    <w:rsid w:val="00E83E01"/>
    <w:rsid w:val="00E83EDA"/>
    <w:rsid w:val="00E842C2"/>
    <w:rsid w:val="00E84448"/>
    <w:rsid w:val="00E8451B"/>
    <w:rsid w:val="00E8458F"/>
    <w:rsid w:val="00E845A1"/>
    <w:rsid w:val="00E84DBD"/>
    <w:rsid w:val="00E85210"/>
    <w:rsid w:val="00E85236"/>
    <w:rsid w:val="00E85773"/>
    <w:rsid w:val="00E85DF2"/>
    <w:rsid w:val="00E87330"/>
    <w:rsid w:val="00E873A1"/>
    <w:rsid w:val="00E87440"/>
    <w:rsid w:val="00E90557"/>
    <w:rsid w:val="00E905BE"/>
    <w:rsid w:val="00E91FF1"/>
    <w:rsid w:val="00E9267D"/>
    <w:rsid w:val="00E92CAA"/>
    <w:rsid w:val="00E92CC0"/>
    <w:rsid w:val="00E937CA"/>
    <w:rsid w:val="00E93B51"/>
    <w:rsid w:val="00E93C24"/>
    <w:rsid w:val="00E944BD"/>
    <w:rsid w:val="00E949FD"/>
    <w:rsid w:val="00E94C66"/>
    <w:rsid w:val="00E9587B"/>
    <w:rsid w:val="00E95A45"/>
    <w:rsid w:val="00E95B64"/>
    <w:rsid w:val="00E95E7D"/>
    <w:rsid w:val="00E9605F"/>
    <w:rsid w:val="00E968A8"/>
    <w:rsid w:val="00E97F75"/>
    <w:rsid w:val="00EA035B"/>
    <w:rsid w:val="00EA0C4C"/>
    <w:rsid w:val="00EA10AD"/>
    <w:rsid w:val="00EA1131"/>
    <w:rsid w:val="00EA19A9"/>
    <w:rsid w:val="00EA1C03"/>
    <w:rsid w:val="00EA2376"/>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182F"/>
    <w:rsid w:val="00EB2365"/>
    <w:rsid w:val="00EB2C0B"/>
    <w:rsid w:val="00EB2D3E"/>
    <w:rsid w:val="00EB2E08"/>
    <w:rsid w:val="00EB30A9"/>
    <w:rsid w:val="00EB3FDE"/>
    <w:rsid w:val="00EB42DC"/>
    <w:rsid w:val="00EB482B"/>
    <w:rsid w:val="00EB4BD5"/>
    <w:rsid w:val="00EB55EF"/>
    <w:rsid w:val="00EB5A8C"/>
    <w:rsid w:val="00EB604F"/>
    <w:rsid w:val="00EB7500"/>
    <w:rsid w:val="00EB7C9B"/>
    <w:rsid w:val="00EB7CDA"/>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4DC9"/>
    <w:rsid w:val="00EC4FCD"/>
    <w:rsid w:val="00EC4FFC"/>
    <w:rsid w:val="00EC54D5"/>
    <w:rsid w:val="00EC580D"/>
    <w:rsid w:val="00EC58BC"/>
    <w:rsid w:val="00EC59BF"/>
    <w:rsid w:val="00EC5F40"/>
    <w:rsid w:val="00EC723E"/>
    <w:rsid w:val="00EC73B6"/>
    <w:rsid w:val="00EC74D0"/>
    <w:rsid w:val="00EC77CD"/>
    <w:rsid w:val="00EC77FE"/>
    <w:rsid w:val="00ED2073"/>
    <w:rsid w:val="00ED2B8A"/>
    <w:rsid w:val="00ED30B9"/>
    <w:rsid w:val="00ED3397"/>
    <w:rsid w:val="00ED3BE2"/>
    <w:rsid w:val="00ED4235"/>
    <w:rsid w:val="00ED4668"/>
    <w:rsid w:val="00ED47B0"/>
    <w:rsid w:val="00ED4BDB"/>
    <w:rsid w:val="00ED5844"/>
    <w:rsid w:val="00ED69DE"/>
    <w:rsid w:val="00ED6F39"/>
    <w:rsid w:val="00ED722D"/>
    <w:rsid w:val="00ED73B6"/>
    <w:rsid w:val="00ED750A"/>
    <w:rsid w:val="00ED7BC9"/>
    <w:rsid w:val="00ED7D9E"/>
    <w:rsid w:val="00EE0537"/>
    <w:rsid w:val="00EE0B9A"/>
    <w:rsid w:val="00EE1AC6"/>
    <w:rsid w:val="00EE1BD3"/>
    <w:rsid w:val="00EE20A1"/>
    <w:rsid w:val="00EE2185"/>
    <w:rsid w:val="00EE22B8"/>
    <w:rsid w:val="00EE241F"/>
    <w:rsid w:val="00EE249A"/>
    <w:rsid w:val="00EE2825"/>
    <w:rsid w:val="00EE2BBB"/>
    <w:rsid w:val="00EE3D64"/>
    <w:rsid w:val="00EE432F"/>
    <w:rsid w:val="00EE49DB"/>
    <w:rsid w:val="00EE5498"/>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43E8"/>
    <w:rsid w:val="00EF4747"/>
    <w:rsid w:val="00EF5126"/>
    <w:rsid w:val="00EF51B0"/>
    <w:rsid w:val="00EF5C92"/>
    <w:rsid w:val="00EF65B5"/>
    <w:rsid w:val="00EF68E3"/>
    <w:rsid w:val="00EF6ECF"/>
    <w:rsid w:val="00EF73E2"/>
    <w:rsid w:val="00EF7626"/>
    <w:rsid w:val="00EF7DD6"/>
    <w:rsid w:val="00F01634"/>
    <w:rsid w:val="00F01916"/>
    <w:rsid w:val="00F01E4B"/>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78"/>
    <w:rsid w:val="00F1001F"/>
    <w:rsid w:val="00F101AB"/>
    <w:rsid w:val="00F105D4"/>
    <w:rsid w:val="00F110F3"/>
    <w:rsid w:val="00F11334"/>
    <w:rsid w:val="00F1165A"/>
    <w:rsid w:val="00F11B44"/>
    <w:rsid w:val="00F11BED"/>
    <w:rsid w:val="00F11C2F"/>
    <w:rsid w:val="00F11E8F"/>
    <w:rsid w:val="00F121D9"/>
    <w:rsid w:val="00F12414"/>
    <w:rsid w:val="00F126BC"/>
    <w:rsid w:val="00F12966"/>
    <w:rsid w:val="00F12C18"/>
    <w:rsid w:val="00F12F2F"/>
    <w:rsid w:val="00F1304A"/>
    <w:rsid w:val="00F134D3"/>
    <w:rsid w:val="00F1350D"/>
    <w:rsid w:val="00F1369F"/>
    <w:rsid w:val="00F13F84"/>
    <w:rsid w:val="00F146D6"/>
    <w:rsid w:val="00F14B40"/>
    <w:rsid w:val="00F14BC3"/>
    <w:rsid w:val="00F157AC"/>
    <w:rsid w:val="00F159E3"/>
    <w:rsid w:val="00F15AC4"/>
    <w:rsid w:val="00F15D15"/>
    <w:rsid w:val="00F15E4B"/>
    <w:rsid w:val="00F15EAB"/>
    <w:rsid w:val="00F16097"/>
    <w:rsid w:val="00F164A8"/>
    <w:rsid w:val="00F171A2"/>
    <w:rsid w:val="00F171CA"/>
    <w:rsid w:val="00F177F8"/>
    <w:rsid w:val="00F17AA0"/>
    <w:rsid w:val="00F2066B"/>
    <w:rsid w:val="00F20863"/>
    <w:rsid w:val="00F20880"/>
    <w:rsid w:val="00F21192"/>
    <w:rsid w:val="00F214A6"/>
    <w:rsid w:val="00F216F9"/>
    <w:rsid w:val="00F21B8F"/>
    <w:rsid w:val="00F21BF5"/>
    <w:rsid w:val="00F22193"/>
    <w:rsid w:val="00F224AE"/>
    <w:rsid w:val="00F249E5"/>
    <w:rsid w:val="00F25146"/>
    <w:rsid w:val="00F25D10"/>
    <w:rsid w:val="00F2690D"/>
    <w:rsid w:val="00F300F2"/>
    <w:rsid w:val="00F302AE"/>
    <w:rsid w:val="00F302B1"/>
    <w:rsid w:val="00F304C3"/>
    <w:rsid w:val="00F30BEB"/>
    <w:rsid w:val="00F313A3"/>
    <w:rsid w:val="00F314D3"/>
    <w:rsid w:val="00F316A3"/>
    <w:rsid w:val="00F32084"/>
    <w:rsid w:val="00F32102"/>
    <w:rsid w:val="00F32784"/>
    <w:rsid w:val="00F32833"/>
    <w:rsid w:val="00F34073"/>
    <w:rsid w:val="00F340F8"/>
    <w:rsid w:val="00F3469A"/>
    <w:rsid w:val="00F3487C"/>
    <w:rsid w:val="00F34C22"/>
    <w:rsid w:val="00F34CF0"/>
    <w:rsid w:val="00F3555F"/>
    <w:rsid w:val="00F355DD"/>
    <w:rsid w:val="00F35873"/>
    <w:rsid w:val="00F35E39"/>
    <w:rsid w:val="00F35F93"/>
    <w:rsid w:val="00F35FA4"/>
    <w:rsid w:val="00F36648"/>
    <w:rsid w:val="00F36D41"/>
    <w:rsid w:val="00F374DB"/>
    <w:rsid w:val="00F37761"/>
    <w:rsid w:val="00F37A48"/>
    <w:rsid w:val="00F37AAD"/>
    <w:rsid w:val="00F37B05"/>
    <w:rsid w:val="00F37CF0"/>
    <w:rsid w:val="00F404A0"/>
    <w:rsid w:val="00F409F0"/>
    <w:rsid w:val="00F41091"/>
    <w:rsid w:val="00F416DC"/>
    <w:rsid w:val="00F41ACE"/>
    <w:rsid w:val="00F41C73"/>
    <w:rsid w:val="00F41D10"/>
    <w:rsid w:val="00F4322C"/>
    <w:rsid w:val="00F4369E"/>
    <w:rsid w:val="00F437DF"/>
    <w:rsid w:val="00F438D4"/>
    <w:rsid w:val="00F43B88"/>
    <w:rsid w:val="00F43CCA"/>
    <w:rsid w:val="00F443DB"/>
    <w:rsid w:val="00F44534"/>
    <w:rsid w:val="00F44E0C"/>
    <w:rsid w:val="00F45648"/>
    <w:rsid w:val="00F459AD"/>
    <w:rsid w:val="00F47021"/>
    <w:rsid w:val="00F470F8"/>
    <w:rsid w:val="00F474B9"/>
    <w:rsid w:val="00F47895"/>
    <w:rsid w:val="00F5001C"/>
    <w:rsid w:val="00F503BF"/>
    <w:rsid w:val="00F506B4"/>
    <w:rsid w:val="00F51250"/>
    <w:rsid w:val="00F51274"/>
    <w:rsid w:val="00F513AA"/>
    <w:rsid w:val="00F5180E"/>
    <w:rsid w:val="00F52328"/>
    <w:rsid w:val="00F52578"/>
    <w:rsid w:val="00F52722"/>
    <w:rsid w:val="00F52765"/>
    <w:rsid w:val="00F528A7"/>
    <w:rsid w:val="00F533B1"/>
    <w:rsid w:val="00F53ACF"/>
    <w:rsid w:val="00F53DED"/>
    <w:rsid w:val="00F54111"/>
    <w:rsid w:val="00F54A34"/>
    <w:rsid w:val="00F55695"/>
    <w:rsid w:val="00F559DE"/>
    <w:rsid w:val="00F55B4D"/>
    <w:rsid w:val="00F55D36"/>
    <w:rsid w:val="00F56329"/>
    <w:rsid w:val="00F56423"/>
    <w:rsid w:val="00F56AC8"/>
    <w:rsid w:val="00F56DBE"/>
    <w:rsid w:val="00F57776"/>
    <w:rsid w:val="00F577FC"/>
    <w:rsid w:val="00F60509"/>
    <w:rsid w:val="00F60555"/>
    <w:rsid w:val="00F605D3"/>
    <w:rsid w:val="00F607DC"/>
    <w:rsid w:val="00F60E8F"/>
    <w:rsid w:val="00F612A8"/>
    <w:rsid w:val="00F61B87"/>
    <w:rsid w:val="00F61F3F"/>
    <w:rsid w:val="00F622B0"/>
    <w:rsid w:val="00F63394"/>
    <w:rsid w:val="00F6353E"/>
    <w:rsid w:val="00F63723"/>
    <w:rsid w:val="00F6392C"/>
    <w:rsid w:val="00F64685"/>
    <w:rsid w:val="00F646A3"/>
    <w:rsid w:val="00F65A68"/>
    <w:rsid w:val="00F65CD9"/>
    <w:rsid w:val="00F661C0"/>
    <w:rsid w:val="00F66354"/>
    <w:rsid w:val="00F66492"/>
    <w:rsid w:val="00F67568"/>
    <w:rsid w:val="00F6764B"/>
    <w:rsid w:val="00F67A76"/>
    <w:rsid w:val="00F7089C"/>
    <w:rsid w:val="00F70E79"/>
    <w:rsid w:val="00F71193"/>
    <w:rsid w:val="00F71B3D"/>
    <w:rsid w:val="00F71D33"/>
    <w:rsid w:val="00F71D44"/>
    <w:rsid w:val="00F7208B"/>
    <w:rsid w:val="00F720A4"/>
    <w:rsid w:val="00F72145"/>
    <w:rsid w:val="00F7281C"/>
    <w:rsid w:val="00F72DBF"/>
    <w:rsid w:val="00F73BA4"/>
    <w:rsid w:val="00F74050"/>
    <w:rsid w:val="00F74439"/>
    <w:rsid w:val="00F74C28"/>
    <w:rsid w:val="00F751CB"/>
    <w:rsid w:val="00F75529"/>
    <w:rsid w:val="00F7605C"/>
    <w:rsid w:val="00F76062"/>
    <w:rsid w:val="00F7644D"/>
    <w:rsid w:val="00F76535"/>
    <w:rsid w:val="00F76A79"/>
    <w:rsid w:val="00F773A3"/>
    <w:rsid w:val="00F77479"/>
    <w:rsid w:val="00F80184"/>
    <w:rsid w:val="00F80574"/>
    <w:rsid w:val="00F80AC0"/>
    <w:rsid w:val="00F80D2D"/>
    <w:rsid w:val="00F80D83"/>
    <w:rsid w:val="00F810F3"/>
    <w:rsid w:val="00F813D0"/>
    <w:rsid w:val="00F81419"/>
    <w:rsid w:val="00F81450"/>
    <w:rsid w:val="00F81659"/>
    <w:rsid w:val="00F81B61"/>
    <w:rsid w:val="00F81BE2"/>
    <w:rsid w:val="00F81BFD"/>
    <w:rsid w:val="00F81F38"/>
    <w:rsid w:val="00F82115"/>
    <w:rsid w:val="00F83468"/>
    <w:rsid w:val="00F8412A"/>
    <w:rsid w:val="00F8417C"/>
    <w:rsid w:val="00F84FA7"/>
    <w:rsid w:val="00F85B6F"/>
    <w:rsid w:val="00F86574"/>
    <w:rsid w:val="00F873CD"/>
    <w:rsid w:val="00F87507"/>
    <w:rsid w:val="00F87C75"/>
    <w:rsid w:val="00F87FC9"/>
    <w:rsid w:val="00F90954"/>
    <w:rsid w:val="00F90DDA"/>
    <w:rsid w:val="00F91066"/>
    <w:rsid w:val="00F919B1"/>
    <w:rsid w:val="00F92200"/>
    <w:rsid w:val="00F932F7"/>
    <w:rsid w:val="00F93EB4"/>
    <w:rsid w:val="00F94580"/>
    <w:rsid w:val="00F94910"/>
    <w:rsid w:val="00F94A7E"/>
    <w:rsid w:val="00F9511F"/>
    <w:rsid w:val="00F95347"/>
    <w:rsid w:val="00F95593"/>
    <w:rsid w:val="00F95653"/>
    <w:rsid w:val="00F96CDC"/>
    <w:rsid w:val="00F97AFC"/>
    <w:rsid w:val="00F97C84"/>
    <w:rsid w:val="00FA17CD"/>
    <w:rsid w:val="00FA18D3"/>
    <w:rsid w:val="00FA22AC"/>
    <w:rsid w:val="00FA2563"/>
    <w:rsid w:val="00FA2857"/>
    <w:rsid w:val="00FA2D42"/>
    <w:rsid w:val="00FA33AC"/>
    <w:rsid w:val="00FA34C8"/>
    <w:rsid w:val="00FA3A4D"/>
    <w:rsid w:val="00FA3E43"/>
    <w:rsid w:val="00FA5017"/>
    <w:rsid w:val="00FA5163"/>
    <w:rsid w:val="00FA5203"/>
    <w:rsid w:val="00FA54E1"/>
    <w:rsid w:val="00FA58A8"/>
    <w:rsid w:val="00FA591D"/>
    <w:rsid w:val="00FA61E6"/>
    <w:rsid w:val="00FA6559"/>
    <w:rsid w:val="00FA6788"/>
    <w:rsid w:val="00FA6C1A"/>
    <w:rsid w:val="00FA6CB7"/>
    <w:rsid w:val="00FA71D5"/>
    <w:rsid w:val="00FA750D"/>
    <w:rsid w:val="00FA7E0B"/>
    <w:rsid w:val="00FB0518"/>
    <w:rsid w:val="00FB0536"/>
    <w:rsid w:val="00FB0F2E"/>
    <w:rsid w:val="00FB1606"/>
    <w:rsid w:val="00FB1800"/>
    <w:rsid w:val="00FB21A3"/>
    <w:rsid w:val="00FB2A29"/>
    <w:rsid w:val="00FB55F0"/>
    <w:rsid w:val="00FB5FF1"/>
    <w:rsid w:val="00FB6017"/>
    <w:rsid w:val="00FB6D9B"/>
    <w:rsid w:val="00FB6FE9"/>
    <w:rsid w:val="00FB7240"/>
    <w:rsid w:val="00FB73B8"/>
    <w:rsid w:val="00FB75C0"/>
    <w:rsid w:val="00FB77B1"/>
    <w:rsid w:val="00FB7977"/>
    <w:rsid w:val="00FC069D"/>
    <w:rsid w:val="00FC0EC7"/>
    <w:rsid w:val="00FC0F5F"/>
    <w:rsid w:val="00FC11E1"/>
    <w:rsid w:val="00FC12E2"/>
    <w:rsid w:val="00FC2879"/>
    <w:rsid w:val="00FC2F9D"/>
    <w:rsid w:val="00FC3254"/>
    <w:rsid w:val="00FC3483"/>
    <w:rsid w:val="00FC3FD6"/>
    <w:rsid w:val="00FC4C2E"/>
    <w:rsid w:val="00FC6207"/>
    <w:rsid w:val="00FC7439"/>
    <w:rsid w:val="00FC755D"/>
    <w:rsid w:val="00FC7642"/>
    <w:rsid w:val="00FD02AE"/>
    <w:rsid w:val="00FD03FC"/>
    <w:rsid w:val="00FD0AAB"/>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65A2"/>
    <w:rsid w:val="00FD65EE"/>
    <w:rsid w:val="00FD6717"/>
    <w:rsid w:val="00FD74F4"/>
    <w:rsid w:val="00FE06D7"/>
    <w:rsid w:val="00FE08EB"/>
    <w:rsid w:val="00FE0FF1"/>
    <w:rsid w:val="00FE16ED"/>
    <w:rsid w:val="00FE187E"/>
    <w:rsid w:val="00FE18A0"/>
    <w:rsid w:val="00FE1CF0"/>
    <w:rsid w:val="00FE2B39"/>
    <w:rsid w:val="00FE2F68"/>
    <w:rsid w:val="00FE30E7"/>
    <w:rsid w:val="00FE3679"/>
    <w:rsid w:val="00FE477A"/>
    <w:rsid w:val="00FE4E90"/>
    <w:rsid w:val="00FE5A5B"/>
    <w:rsid w:val="00FE5D2D"/>
    <w:rsid w:val="00FE616A"/>
    <w:rsid w:val="00FE6447"/>
    <w:rsid w:val="00FE66AE"/>
    <w:rsid w:val="00FE69E3"/>
    <w:rsid w:val="00FE6AE0"/>
    <w:rsid w:val="00FE732F"/>
    <w:rsid w:val="00FE7DE7"/>
    <w:rsid w:val="00FF0077"/>
    <w:rsid w:val="00FF110E"/>
    <w:rsid w:val="00FF121C"/>
    <w:rsid w:val="00FF1919"/>
    <w:rsid w:val="00FF2155"/>
    <w:rsid w:val="00FF23F9"/>
    <w:rsid w:val="00FF2684"/>
    <w:rsid w:val="00FF29B8"/>
    <w:rsid w:val="00FF2E1C"/>
    <w:rsid w:val="00FF369A"/>
    <w:rsid w:val="00FF3A85"/>
    <w:rsid w:val="00FF3DDC"/>
    <w:rsid w:val="00FF50EE"/>
    <w:rsid w:val="00FF51DC"/>
    <w:rsid w:val="00FF51F9"/>
    <w:rsid w:val="00FF5421"/>
    <w:rsid w:val="00FF585E"/>
    <w:rsid w:val="00FF5998"/>
    <w:rsid w:val="00FF64B4"/>
    <w:rsid w:val="00FF6B61"/>
    <w:rsid w:val="00FF6BCE"/>
    <w:rsid w:val="00FF6CB6"/>
    <w:rsid w:val="00FF6FCD"/>
    <w:rsid w:val="00FF734A"/>
    <w:rsid w:val="00FF73FD"/>
    <w:rsid w:val="00FF7C73"/>
    <w:rsid w:val="0104117A"/>
    <w:rsid w:val="01055BE1"/>
    <w:rsid w:val="011A11DB"/>
    <w:rsid w:val="013A79F0"/>
    <w:rsid w:val="013B18A8"/>
    <w:rsid w:val="016435DB"/>
    <w:rsid w:val="019C29F7"/>
    <w:rsid w:val="01D4468C"/>
    <w:rsid w:val="020D07B0"/>
    <w:rsid w:val="02A86297"/>
    <w:rsid w:val="02F869A6"/>
    <w:rsid w:val="03173DB3"/>
    <w:rsid w:val="031A06BC"/>
    <w:rsid w:val="03D85217"/>
    <w:rsid w:val="04441D61"/>
    <w:rsid w:val="04613F4A"/>
    <w:rsid w:val="050D4CB4"/>
    <w:rsid w:val="052C1D56"/>
    <w:rsid w:val="055C0FAB"/>
    <w:rsid w:val="058248C8"/>
    <w:rsid w:val="058D7D75"/>
    <w:rsid w:val="05CC2198"/>
    <w:rsid w:val="05E93225"/>
    <w:rsid w:val="06212E9C"/>
    <w:rsid w:val="063D23A3"/>
    <w:rsid w:val="06585F98"/>
    <w:rsid w:val="067167A5"/>
    <w:rsid w:val="06BE157E"/>
    <w:rsid w:val="06CA7EFB"/>
    <w:rsid w:val="06D32E5B"/>
    <w:rsid w:val="06E371A6"/>
    <w:rsid w:val="0703278C"/>
    <w:rsid w:val="077D43CA"/>
    <w:rsid w:val="07CB28F5"/>
    <w:rsid w:val="08254ACB"/>
    <w:rsid w:val="08277851"/>
    <w:rsid w:val="085A6F61"/>
    <w:rsid w:val="086D47C6"/>
    <w:rsid w:val="088034E8"/>
    <w:rsid w:val="0881282D"/>
    <w:rsid w:val="08F15268"/>
    <w:rsid w:val="090B6D49"/>
    <w:rsid w:val="09540F45"/>
    <w:rsid w:val="0A0A75A9"/>
    <w:rsid w:val="0A5832E9"/>
    <w:rsid w:val="0A834FF1"/>
    <w:rsid w:val="0B1526A9"/>
    <w:rsid w:val="0BD82A34"/>
    <w:rsid w:val="0C1F0F35"/>
    <w:rsid w:val="0C3F4B2C"/>
    <w:rsid w:val="0DB43078"/>
    <w:rsid w:val="0DD624F7"/>
    <w:rsid w:val="0DD955B1"/>
    <w:rsid w:val="0E083E00"/>
    <w:rsid w:val="0E1F359E"/>
    <w:rsid w:val="0E68606E"/>
    <w:rsid w:val="0E8073EE"/>
    <w:rsid w:val="0EA263EB"/>
    <w:rsid w:val="0F6548D6"/>
    <w:rsid w:val="0F72508C"/>
    <w:rsid w:val="0FF32A15"/>
    <w:rsid w:val="10190546"/>
    <w:rsid w:val="10345B65"/>
    <w:rsid w:val="104E5C2D"/>
    <w:rsid w:val="10850170"/>
    <w:rsid w:val="10E937F4"/>
    <w:rsid w:val="11211791"/>
    <w:rsid w:val="11344FAD"/>
    <w:rsid w:val="115A05A6"/>
    <w:rsid w:val="1193412C"/>
    <w:rsid w:val="11E41675"/>
    <w:rsid w:val="11F33634"/>
    <w:rsid w:val="11F9667A"/>
    <w:rsid w:val="12011006"/>
    <w:rsid w:val="121C256F"/>
    <w:rsid w:val="124406B4"/>
    <w:rsid w:val="12627C12"/>
    <w:rsid w:val="1277005C"/>
    <w:rsid w:val="127B6760"/>
    <w:rsid w:val="129B4CBC"/>
    <w:rsid w:val="12A86484"/>
    <w:rsid w:val="13166FBF"/>
    <w:rsid w:val="136F25E2"/>
    <w:rsid w:val="1374654C"/>
    <w:rsid w:val="13911A90"/>
    <w:rsid w:val="13917F87"/>
    <w:rsid w:val="13A32387"/>
    <w:rsid w:val="13E35A62"/>
    <w:rsid w:val="143C1162"/>
    <w:rsid w:val="148D505F"/>
    <w:rsid w:val="15886937"/>
    <w:rsid w:val="15BE3397"/>
    <w:rsid w:val="160D3E48"/>
    <w:rsid w:val="16647F0F"/>
    <w:rsid w:val="16803050"/>
    <w:rsid w:val="16A7598A"/>
    <w:rsid w:val="16C678A1"/>
    <w:rsid w:val="17173F10"/>
    <w:rsid w:val="17203B72"/>
    <w:rsid w:val="178564C1"/>
    <w:rsid w:val="17B6157F"/>
    <w:rsid w:val="17C14866"/>
    <w:rsid w:val="17DC2443"/>
    <w:rsid w:val="1821268E"/>
    <w:rsid w:val="183B1275"/>
    <w:rsid w:val="194B22FF"/>
    <w:rsid w:val="19720290"/>
    <w:rsid w:val="19826DF8"/>
    <w:rsid w:val="19DC0F2B"/>
    <w:rsid w:val="1A2329B0"/>
    <w:rsid w:val="1A546564"/>
    <w:rsid w:val="1A7870DA"/>
    <w:rsid w:val="1A8B5AA2"/>
    <w:rsid w:val="1B1B74C4"/>
    <w:rsid w:val="1B2528AD"/>
    <w:rsid w:val="1B3041CC"/>
    <w:rsid w:val="1B3713B3"/>
    <w:rsid w:val="1B596249"/>
    <w:rsid w:val="1B7A3E63"/>
    <w:rsid w:val="1BE90F15"/>
    <w:rsid w:val="1BF54625"/>
    <w:rsid w:val="1C5E7387"/>
    <w:rsid w:val="1C8A49FA"/>
    <w:rsid w:val="1CEB654E"/>
    <w:rsid w:val="1D44382C"/>
    <w:rsid w:val="1D5052BA"/>
    <w:rsid w:val="1DDE31AB"/>
    <w:rsid w:val="1DE04E16"/>
    <w:rsid w:val="1EB8717C"/>
    <w:rsid w:val="1ECC0B51"/>
    <w:rsid w:val="1EE20962"/>
    <w:rsid w:val="1F33719D"/>
    <w:rsid w:val="1F5A1F72"/>
    <w:rsid w:val="1F5C349E"/>
    <w:rsid w:val="1FE54A07"/>
    <w:rsid w:val="20511721"/>
    <w:rsid w:val="20CA5D3E"/>
    <w:rsid w:val="20E61548"/>
    <w:rsid w:val="21BC2CAC"/>
    <w:rsid w:val="21EF7D6E"/>
    <w:rsid w:val="223A615D"/>
    <w:rsid w:val="22E61AD1"/>
    <w:rsid w:val="238E494F"/>
    <w:rsid w:val="23987DB3"/>
    <w:rsid w:val="23A14EBC"/>
    <w:rsid w:val="23C07E61"/>
    <w:rsid w:val="23C10311"/>
    <w:rsid w:val="23C975B0"/>
    <w:rsid w:val="23DF123F"/>
    <w:rsid w:val="245B4605"/>
    <w:rsid w:val="24623692"/>
    <w:rsid w:val="24E31510"/>
    <w:rsid w:val="25072C0B"/>
    <w:rsid w:val="252B7211"/>
    <w:rsid w:val="25454829"/>
    <w:rsid w:val="25667BB5"/>
    <w:rsid w:val="25694688"/>
    <w:rsid w:val="25B5125F"/>
    <w:rsid w:val="25BA2A83"/>
    <w:rsid w:val="25E86FD8"/>
    <w:rsid w:val="2601328A"/>
    <w:rsid w:val="265C7550"/>
    <w:rsid w:val="268C1E43"/>
    <w:rsid w:val="272D2FAF"/>
    <w:rsid w:val="278B7B24"/>
    <w:rsid w:val="27B94B49"/>
    <w:rsid w:val="27C501A6"/>
    <w:rsid w:val="28110C06"/>
    <w:rsid w:val="281951B1"/>
    <w:rsid w:val="281A4A03"/>
    <w:rsid w:val="28575047"/>
    <w:rsid w:val="28A906E1"/>
    <w:rsid w:val="28FD37FF"/>
    <w:rsid w:val="29197B2F"/>
    <w:rsid w:val="293B2E83"/>
    <w:rsid w:val="294A394F"/>
    <w:rsid w:val="295B1A9E"/>
    <w:rsid w:val="296503C4"/>
    <w:rsid w:val="29CA0299"/>
    <w:rsid w:val="2A5618BC"/>
    <w:rsid w:val="2A7E3970"/>
    <w:rsid w:val="2A8710EC"/>
    <w:rsid w:val="2B193698"/>
    <w:rsid w:val="2B4A1AA4"/>
    <w:rsid w:val="2B4F629F"/>
    <w:rsid w:val="2B703C4F"/>
    <w:rsid w:val="2B892AAA"/>
    <w:rsid w:val="2C430C0E"/>
    <w:rsid w:val="2C4661AD"/>
    <w:rsid w:val="2CCF470E"/>
    <w:rsid w:val="2CF9552F"/>
    <w:rsid w:val="2D436B43"/>
    <w:rsid w:val="2E104CC9"/>
    <w:rsid w:val="2E3B1AF8"/>
    <w:rsid w:val="2E7633AC"/>
    <w:rsid w:val="2EAC1344"/>
    <w:rsid w:val="2EB5246A"/>
    <w:rsid w:val="2F3B1E2F"/>
    <w:rsid w:val="2F67715E"/>
    <w:rsid w:val="2FA10A8B"/>
    <w:rsid w:val="303C7635"/>
    <w:rsid w:val="30444D13"/>
    <w:rsid w:val="30886FB3"/>
    <w:rsid w:val="30D00355"/>
    <w:rsid w:val="30D753F7"/>
    <w:rsid w:val="31206470"/>
    <w:rsid w:val="31312428"/>
    <w:rsid w:val="31404AC2"/>
    <w:rsid w:val="318E607C"/>
    <w:rsid w:val="31C8616C"/>
    <w:rsid w:val="31CC1DA3"/>
    <w:rsid w:val="31D855AA"/>
    <w:rsid w:val="31E1624A"/>
    <w:rsid w:val="33D52402"/>
    <w:rsid w:val="34032D58"/>
    <w:rsid w:val="345576D6"/>
    <w:rsid w:val="345F06BD"/>
    <w:rsid w:val="34AA540B"/>
    <w:rsid w:val="34DF6AEB"/>
    <w:rsid w:val="34F7325C"/>
    <w:rsid w:val="352B4D6E"/>
    <w:rsid w:val="35505A63"/>
    <w:rsid w:val="355669EB"/>
    <w:rsid w:val="3592097A"/>
    <w:rsid w:val="367134E5"/>
    <w:rsid w:val="36D33238"/>
    <w:rsid w:val="377444E6"/>
    <w:rsid w:val="384E4ED7"/>
    <w:rsid w:val="38553AD4"/>
    <w:rsid w:val="38C370FD"/>
    <w:rsid w:val="38DF7E02"/>
    <w:rsid w:val="38EB185E"/>
    <w:rsid w:val="398007B1"/>
    <w:rsid w:val="398C5661"/>
    <w:rsid w:val="3A34109F"/>
    <w:rsid w:val="3AF653E6"/>
    <w:rsid w:val="3B2A5A15"/>
    <w:rsid w:val="3B7A0C42"/>
    <w:rsid w:val="3BBF5694"/>
    <w:rsid w:val="3C0B3579"/>
    <w:rsid w:val="3C51406D"/>
    <w:rsid w:val="3CCA07AF"/>
    <w:rsid w:val="3CD00B90"/>
    <w:rsid w:val="3CD76F0F"/>
    <w:rsid w:val="3CEC580A"/>
    <w:rsid w:val="3D5C547C"/>
    <w:rsid w:val="3D752E27"/>
    <w:rsid w:val="3DB03982"/>
    <w:rsid w:val="3DC13736"/>
    <w:rsid w:val="3E502C90"/>
    <w:rsid w:val="3E834C59"/>
    <w:rsid w:val="3F214472"/>
    <w:rsid w:val="3F5D24F1"/>
    <w:rsid w:val="3FAE124B"/>
    <w:rsid w:val="3FC1012F"/>
    <w:rsid w:val="3FF35988"/>
    <w:rsid w:val="405D6094"/>
    <w:rsid w:val="410751CB"/>
    <w:rsid w:val="41397DE3"/>
    <w:rsid w:val="414F24D7"/>
    <w:rsid w:val="41EF70D8"/>
    <w:rsid w:val="41FC4384"/>
    <w:rsid w:val="4212785B"/>
    <w:rsid w:val="42403225"/>
    <w:rsid w:val="427A27B4"/>
    <w:rsid w:val="42F97BDF"/>
    <w:rsid w:val="431333A0"/>
    <w:rsid w:val="43333487"/>
    <w:rsid w:val="438D657A"/>
    <w:rsid w:val="43E7702E"/>
    <w:rsid w:val="440B25C0"/>
    <w:rsid w:val="441E5D32"/>
    <w:rsid w:val="444246B7"/>
    <w:rsid w:val="44E1670A"/>
    <w:rsid w:val="45967B96"/>
    <w:rsid w:val="45AD39F8"/>
    <w:rsid w:val="45E0569D"/>
    <w:rsid w:val="45E90ADF"/>
    <w:rsid w:val="45F12D41"/>
    <w:rsid w:val="462F56C6"/>
    <w:rsid w:val="46363EDE"/>
    <w:rsid w:val="46835F27"/>
    <w:rsid w:val="46CC3FD2"/>
    <w:rsid w:val="476D330C"/>
    <w:rsid w:val="47CA322E"/>
    <w:rsid w:val="485B1B0D"/>
    <w:rsid w:val="48BC201C"/>
    <w:rsid w:val="49375234"/>
    <w:rsid w:val="49415E3C"/>
    <w:rsid w:val="498E073A"/>
    <w:rsid w:val="499F5757"/>
    <w:rsid w:val="49AE1049"/>
    <w:rsid w:val="49C83E68"/>
    <w:rsid w:val="49F13E3D"/>
    <w:rsid w:val="4A5C5CE8"/>
    <w:rsid w:val="4A800D98"/>
    <w:rsid w:val="4A860E28"/>
    <w:rsid w:val="4AF63283"/>
    <w:rsid w:val="4B135CFC"/>
    <w:rsid w:val="4B357D81"/>
    <w:rsid w:val="4B522403"/>
    <w:rsid w:val="4B7431B7"/>
    <w:rsid w:val="4BD02DAD"/>
    <w:rsid w:val="4BEA203B"/>
    <w:rsid w:val="4C0250F8"/>
    <w:rsid w:val="4C4C7FAD"/>
    <w:rsid w:val="4C4F071D"/>
    <w:rsid w:val="4C53144F"/>
    <w:rsid w:val="4C620E79"/>
    <w:rsid w:val="4C757967"/>
    <w:rsid w:val="4C902D5C"/>
    <w:rsid w:val="4CC95742"/>
    <w:rsid w:val="4CE217A5"/>
    <w:rsid w:val="4D6D041D"/>
    <w:rsid w:val="4DC437C0"/>
    <w:rsid w:val="4DDD7546"/>
    <w:rsid w:val="4EB91603"/>
    <w:rsid w:val="4F501078"/>
    <w:rsid w:val="4F5F526E"/>
    <w:rsid w:val="4F610B9D"/>
    <w:rsid w:val="4F704DDF"/>
    <w:rsid w:val="4FC941C9"/>
    <w:rsid w:val="4FCC3398"/>
    <w:rsid w:val="506108E5"/>
    <w:rsid w:val="50C34F97"/>
    <w:rsid w:val="50E85919"/>
    <w:rsid w:val="50FA60E8"/>
    <w:rsid w:val="51042C18"/>
    <w:rsid w:val="51251A18"/>
    <w:rsid w:val="5126319D"/>
    <w:rsid w:val="51430D13"/>
    <w:rsid w:val="516F7EA7"/>
    <w:rsid w:val="519805C3"/>
    <w:rsid w:val="51B7093D"/>
    <w:rsid w:val="51C962CA"/>
    <w:rsid w:val="52214A5D"/>
    <w:rsid w:val="524E2144"/>
    <w:rsid w:val="52883381"/>
    <w:rsid w:val="52A76390"/>
    <w:rsid w:val="52C12E15"/>
    <w:rsid w:val="52C673B2"/>
    <w:rsid w:val="531B54F2"/>
    <w:rsid w:val="531E37CC"/>
    <w:rsid w:val="5367420E"/>
    <w:rsid w:val="536C23EF"/>
    <w:rsid w:val="539E7A53"/>
    <w:rsid w:val="53A12167"/>
    <w:rsid w:val="53A35EAA"/>
    <w:rsid w:val="53B363A8"/>
    <w:rsid w:val="53C6504E"/>
    <w:rsid w:val="54B02A1D"/>
    <w:rsid w:val="54D31DC9"/>
    <w:rsid w:val="55056114"/>
    <w:rsid w:val="5524472E"/>
    <w:rsid w:val="553625CD"/>
    <w:rsid w:val="55C205A3"/>
    <w:rsid w:val="560E4B83"/>
    <w:rsid w:val="56573B89"/>
    <w:rsid w:val="566E16B5"/>
    <w:rsid w:val="56881F56"/>
    <w:rsid w:val="569E474A"/>
    <w:rsid w:val="56C67981"/>
    <w:rsid w:val="56E41B26"/>
    <w:rsid w:val="571F7091"/>
    <w:rsid w:val="573445B5"/>
    <w:rsid w:val="57C41BF1"/>
    <w:rsid w:val="58676ACB"/>
    <w:rsid w:val="589F5894"/>
    <w:rsid w:val="58AA1A96"/>
    <w:rsid w:val="58FB0D6A"/>
    <w:rsid w:val="591B4B22"/>
    <w:rsid w:val="592D6FF2"/>
    <w:rsid w:val="593A2E6A"/>
    <w:rsid w:val="59417793"/>
    <w:rsid w:val="596008B0"/>
    <w:rsid w:val="59742330"/>
    <w:rsid w:val="59934F9C"/>
    <w:rsid w:val="59B02E72"/>
    <w:rsid w:val="5A2813B3"/>
    <w:rsid w:val="5A36306F"/>
    <w:rsid w:val="5A604D02"/>
    <w:rsid w:val="5AD93C33"/>
    <w:rsid w:val="5AE617F5"/>
    <w:rsid w:val="5B1C4013"/>
    <w:rsid w:val="5B394BC5"/>
    <w:rsid w:val="5B9300B5"/>
    <w:rsid w:val="5B9B13DC"/>
    <w:rsid w:val="5B9B5880"/>
    <w:rsid w:val="5B9C546A"/>
    <w:rsid w:val="5BEE20A9"/>
    <w:rsid w:val="5C2C0655"/>
    <w:rsid w:val="5C37252E"/>
    <w:rsid w:val="5C4C769D"/>
    <w:rsid w:val="5C9B7CE0"/>
    <w:rsid w:val="5CF25BB5"/>
    <w:rsid w:val="5D5506CB"/>
    <w:rsid w:val="5D575FCD"/>
    <w:rsid w:val="5D684E84"/>
    <w:rsid w:val="5D8D7E0C"/>
    <w:rsid w:val="5DA327CA"/>
    <w:rsid w:val="5DC10EA2"/>
    <w:rsid w:val="5EA92338"/>
    <w:rsid w:val="5EAB5EE9"/>
    <w:rsid w:val="5EEE180B"/>
    <w:rsid w:val="5F190BAD"/>
    <w:rsid w:val="5F1B04DA"/>
    <w:rsid w:val="5F394319"/>
    <w:rsid w:val="5F531053"/>
    <w:rsid w:val="5F60275D"/>
    <w:rsid w:val="5F837C91"/>
    <w:rsid w:val="5F9D1924"/>
    <w:rsid w:val="5FCC24AC"/>
    <w:rsid w:val="603B5F79"/>
    <w:rsid w:val="60437E5A"/>
    <w:rsid w:val="60740DC8"/>
    <w:rsid w:val="60AE7788"/>
    <w:rsid w:val="60BD6D3F"/>
    <w:rsid w:val="60ED0D1E"/>
    <w:rsid w:val="61047762"/>
    <w:rsid w:val="61CD564F"/>
    <w:rsid w:val="61CE0199"/>
    <w:rsid w:val="620E7BDF"/>
    <w:rsid w:val="621537FD"/>
    <w:rsid w:val="62441EEF"/>
    <w:rsid w:val="62B77590"/>
    <w:rsid w:val="62EA5E1C"/>
    <w:rsid w:val="63277F96"/>
    <w:rsid w:val="637A5D7B"/>
    <w:rsid w:val="6385646E"/>
    <w:rsid w:val="638C410F"/>
    <w:rsid w:val="63B23767"/>
    <w:rsid w:val="63BA6A57"/>
    <w:rsid w:val="63C66B01"/>
    <w:rsid w:val="63CD0945"/>
    <w:rsid w:val="63F37308"/>
    <w:rsid w:val="64016D60"/>
    <w:rsid w:val="641021BF"/>
    <w:rsid w:val="64474A6E"/>
    <w:rsid w:val="648237F1"/>
    <w:rsid w:val="654A5282"/>
    <w:rsid w:val="674768BC"/>
    <w:rsid w:val="67716A91"/>
    <w:rsid w:val="67C979B5"/>
    <w:rsid w:val="67F44768"/>
    <w:rsid w:val="683F6400"/>
    <w:rsid w:val="68914FBE"/>
    <w:rsid w:val="68B94F38"/>
    <w:rsid w:val="68DF242D"/>
    <w:rsid w:val="694F5B42"/>
    <w:rsid w:val="69B46D9E"/>
    <w:rsid w:val="69BD5E24"/>
    <w:rsid w:val="6A014EB0"/>
    <w:rsid w:val="6A3D167C"/>
    <w:rsid w:val="6A813E93"/>
    <w:rsid w:val="6A8C32CC"/>
    <w:rsid w:val="6A9E5245"/>
    <w:rsid w:val="6AB93C0C"/>
    <w:rsid w:val="6AF1381A"/>
    <w:rsid w:val="6B190332"/>
    <w:rsid w:val="6B647ABE"/>
    <w:rsid w:val="6B9E3A1A"/>
    <w:rsid w:val="6C0C538A"/>
    <w:rsid w:val="6C1B0340"/>
    <w:rsid w:val="6C58703A"/>
    <w:rsid w:val="6CEF2BD3"/>
    <w:rsid w:val="6D0C613F"/>
    <w:rsid w:val="6D255DA7"/>
    <w:rsid w:val="6D2C2081"/>
    <w:rsid w:val="6D8C5C0C"/>
    <w:rsid w:val="6DAB29EA"/>
    <w:rsid w:val="6DE0046C"/>
    <w:rsid w:val="6E0A6C7E"/>
    <w:rsid w:val="6E2316F9"/>
    <w:rsid w:val="6E3327E4"/>
    <w:rsid w:val="6E3E7220"/>
    <w:rsid w:val="6E8D2F3A"/>
    <w:rsid w:val="6EA9572D"/>
    <w:rsid w:val="6EC31E21"/>
    <w:rsid w:val="6ED03539"/>
    <w:rsid w:val="6EED6D2B"/>
    <w:rsid w:val="6F435BBB"/>
    <w:rsid w:val="6FD33957"/>
    <w:rsid w:val="70092847"/>
    <w:rsid w:val="7022712D"/>
    <w:rsid w:val="705C7988"/>
    <w:rsid w:val="70794EEE"/>
    <w:rsid w:val="71181F9D"/>
    <w:rsid w:val="71294999"/>
    <w:rsid w:val="71690E5D"/>
    <w:rsid w:val="720F1936"/>
    <w:rsid w:val="7213254E"/>
    <w:rsid w:val="7235272A"/>
    <w:rsid w:val="723F0011"/>
    <w:rsid w:val="727D4EDC"/>
    <w:rsid w:val="729B2130"/>
    <w:rsid w:val="7326458B"/>
    <w:rsid w:val="73334EDB"/>
    <w:rsid w:val="73975F44"/>
    <w:rsid w:val="73E37BC7"/>
    <w:rsid w:val="74123E4B"/>
    <w:rsid w:val="74887E58"/>
    <w:rsid w:val="74A36FDA"/>
    <w:rsid w:val="74B70B92"/>
    <w:rsid w:val="75485815"/>
    <w:rsid w:val="75AE7B06"/>
    <w:rsid w:val="75D65FF7"/>
    <w:rsid w:val="75F560E0"/>
    <w:rsid w:val="76621781"/>
    <w:rsid w:val="76F80FFC"/>
    <w:rsid w:val="771C4063"/>
    <w:rsid w:val="774C1A35"/>
    <w:rsid w:val="77AE4378"/>
    <w:rsid w:val="7865568C"/>
    <w:rsid w:val="78670B1B"/>
    <w:rsid w:val="789541CC"/>
    <w:rsid w:val="78B05311"/>
    <w:rsid w:val="78C852B2"/>
    <w:rsid w:val="78E21B7D"/>
    <w:rsid w:val="78F54384"/>
    <w:rsid w:val="790D7A43"/>
    <w:rsid w:val="79200BAA"/>
    <w:rsid w:val="7948367B"/>
    <w:rsid w:val="79D76AFB"/>
    <w:rsid w:val="7A1D73C0"/>
    <w:rsid w:val="7A232320"/>
    <w:rsid w:val="7A365F60"/>
    <w:rsid w:val="7A4B0019"/>
    <w:rsid w:val="7A9B2272"/>
    <w:rsid w:val="7AD93877"/>
    <w:rsid w:val="7AF07724"/>
    <w:rsid w:val="7AF67425"/>
    <w:rsid w:val="7B0040F3"/>
    <w:rsid w:val="7B1233E9"/>
    <w:rsid w:val="7B4330CF"/>
    <w:rsid w:val="7B535D0E"/>
    <w:rsid w:val="7B8856CB"/>
    <w:rsid w:val="7B8D18A0"/>
    <w:rsid w:val="7BAE69F7"/>
    <w:rsid w:val="7BDE1312"/>
    <w:rsid w:val="7C7D2246"/>
    <w:rsid w:val="7C8E3E37"/>
    <w:rsid w:val="7CBF19A2"/>
    <w:rsid w:val="7CC678C9"/>
    <w:rsid w:val="7CF05FA2"/>
    <w:rsid w:val="7CF16C56"/>
    <w:rsid w:val="7D3C214F"/>
    <w:rsid w:val="7D9A006D"/>
    <w:rsid w:val="7DD33E7C"/>
    <w:rsid w:val="7DE40569"/>
    <w:rsid w:val="7E5266BD"/>
    <w:rsid w:val="7E7C095A"/>
    <w:rsid w:val="7EBB15EB"/>
    <w:rsid w:val="7F44262C"/>
    <w:rsid w:val="7F506D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0" w:semiHidden="0" w:name="toc 2" w:locked="1"/>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iPriority="0" w:semiHidden="0"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61"/>
    <w:qFormat/>
    <w:uiPriority w:val="99"/>
    <w:pPr>
      <w:keepNext/>
      <w:keepLines/>
      <w:spacing w:before="260" w:after="260" w:line="416" w:lineRule="auto"/>
      <w:outlineLvl w:val="1"/>
    </w:pPr>
    <w:rPr>
      <w:rFonts w:ascii="Arial" w:hAnsi="Arial"/>
      <w:b/>
      <w:bCs/>
      <w:sz w:val="28"/>
      <w:szCs w:val="32"/>
    </w:rPr>
  </w:style>
  <w:style w:type="paragraph" w:styleId="5">
    <w:name w:val="heading 3"/>
    <w:basedOn w:val="1"/>
    <w:next w:val="1"/>
    <w:link w:val="62"/>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3"/>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4"/>
    <w:qFormat/>
    <w:uiPriority w:val="99"/>
    <w:pPr>
      <w:keepNext/>
      <w:keepLines/>
      <w:spacing w:before="280" w:after="290" w:line="376" w:lineRule="auto"/>
      <w:outlineLvl w:val="4"/>
    </w:pPr>
    <w:rPr>
      <w:b/>
      <w:bCs/>
      <w:sz w:val="28"/>
      <w:szCs w:val="28"/>
    </w:rPr>
  </w:style>
  <w:style w:type="paragraph" w:styleId="8">
    <w:name w:val="heading 6"/>
    <w:basedOn w:val="1"/>
    <w:next w:val="1"/>
    <w:link w:val="65"/>
    <w:qFormat/>
    <w:uiPriority w:val="99"/>
    <w:pPr>
      <w:keepNext/>
      <w:keepLines/>
      <w:spacing w:before="240" w:after="64" w:line="320" w:lineRule="auto"/>
      <w:outlineLvl w:val="5"/>
    </w:pPr>
    <w:rPr>
      <w:rFonts w:ascii="Arial" w:hAnsi="Arial" w:eastAsia="黑体"/>
      <w:b/>
      <w:bCs/>
      <w:sz w:val="24"/>
      <w:szCs w:val="20"/>
    </w:rPr>
  </w:style>
  <w:style w:type="paragraph" w:styleId="9">
    <w:name w:val="heading 7"/>
    <w:basedOn w:val="1"/>
    <w:next w:val="1"/>
    <w:link w:val="66"/>
    <w:qFormat/>
    <w:uiPriority w:val="99"/>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link w:val="67"/>
    <w:qFormat/>
    <w:uiPriority w:val="99"/>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8"/>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47">
    <w:name w:val="Default Paragraph Font"/>
    <w:semiHidden/>
    <w:qFormat/>
    <w:uiPriority w:val="99"/>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73"/>
    <w:qFormat/>
    <w:uiPriority w:val="99"/>
    <w:pPr>
      <w:spacing w:after="120"/>
    </w:pPr>
    <w:rPr>
      <w:sz w:val="28"/>
    </w:rPr>
  </w:style>
  <w:style w:type="paragraph" w:styleId="12">
    <w:name w:val="List Number"/>
    <w:basedOn w:val="1"/>
    <w:qFormat/>
    <w:uiPriority w:val="99"/>
    <w:pPr>
      <w:widowControl/>
      <w:tabs>
        <w:tab w:val="left" w:pos="454"/>
        <w:tab w:val="left" w:pos="720"/>
      </w:tabs>
      <w:spacing w:afterLines="50"/>
      <w:ind w:left="454" w:hanging="284"/>
      <w:jc w:val="left"/>
    </w:pPr>
    <w:rPr>
      <w:kern w:val="0"/>
      <w:sz w:val="24"/>
      <w:szCs w:val="20"/>
    </w:rPr>
  </w:style>
  <w:style w:type="paragraph" w:styleId="13">
    <w:name w:val="Normal Indent"/>
    <w:basedOn w:val="1"/>
    <w:next w:val="1"/>
    <w:link w:val="226"/>
    <w:qFormat/>
    <w:uiPriority w:val="99"/>
    <w:pPr>
      <w:ind w:firstLine="420"/>
    </w:pPr>
    <w:rPr>
      <w:szCs w:val="20"/>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List Bullet"/>
    <w:basedOn w:val="1"/>
    <w:qFormat/>
    <w:uiPriority w:val="99"/>
    <w:pPr>
      <w:widowControl/>
      <w:tabs>
        <w:tab w:val="left" w:pos="900"/>
      </w:tabs>
      <w:spacing w:before="100" w:beforeAutospacing="1" w:afterLines="50" w:afterAutospacing="1"/>
      <w:ind w:left="900" w:hanging="420"/>
      <w:jc w:val="left"/>
    </w:pPr>
    <w:rPr>
      <w:kern w:val="0"/>
      <w:szCs w:val="20"/>
    </w:rPr>
  </w:style>
  <w:style w:type="paragraph" w:styleId="16">
    <w:name w:val="Document Map"/>
    <w:basedOn w:val="1"/>
    <w:link w:val="69"/>
    <w:semiHidden/>
    <w:qFormat/>
    <w:uiPriority w:val="99"/>
    <w:pPr>
      <w:shd w:val="clear" w:color="auto" w:fill="000080"/>
    </w:pPr>
  </w:style>
  <w:style w:type="paragraph" w:styleId="17">
    <w:name w:val="annotation text"/>
    <w:basedOn w:val="1"/>
    <w:link w:val="70"/>
    <w:semiHidden/>
    <w:qFormat/>
    <w:uiPriority w:val="99"/>
    <w:pPr>
      <w:jc w:val="left"/>
    </w:pPr>
  </w:style>
  <w:style w:type="paragraph" w:styleId="18">
    <w:name w:val="Salutation"/>
    <w:basedOn w:val="1"/>
    <w:next w:val="1"/>
    <w:link w:val="71"/>
    <w:qFormat/>
    <w:uiPriority w:val="99"/>
    <w:rPr>
      <w:sz w:val="24"/>
    </w:rPr>
  </w:style>
  <w:style w:type="paragraph" w:styleId="19">
    <w:name w:val="Body Text 3"/>
    <w:basedOn w:val="1"/>
    <w:link w:val="72"/>
    <w:qFormat/>
    <w:uiPriority w:val="99"/>
    <w:pPr>
      <w:snapToGrid w:val="0"/>
      <w:spacing w:before="50" w:after="50"/>
    </w:pPr>
    <w:rPr>
      <w:rFonts w:hAnsi="宋体" w:eastAsia="仿宋_GB2312"/>
      <w:b/>
      <w:bCs/>
      <w:sz w:val="24"/>
      <w:szCs w:val="20"/>
    </w:rPr>
  </w:style>
  <w:style w:type="paragraph" w:styleId="20">
    <w:name w:val="Body Text Indent"/>
    <w:basedOn w:val="1"/>
    <w:next w:val="13"/>
    <w:link w:val="74"/>
    <w:qFormat/>
    <w:uiPriority w:val="99"/>
    <w:pPr>
      <w:spacing w:line="200" w:lineRule="exact"/>
      <w:ind w:firstLine="301"/>
    </w:pPr>
    <w:rPr>
      <w:rFonts w:ascii="宋体" w:hAnsi="Courier New"/>
      <w:spacing w:val="-4"/>
      <w:sz w:val="18"/>
      <w:szCs w:val="20"/>
    </w:rPr>
  </w:style>
  <w:style w:type="paragraph" w:styleId="21">
    <w:name w:val="List Number 3"/>
    <w:basedOn w:val="1"/>
    <w:qFormat/>
    <w:uiPriority w:val="99"/>
    <w:pPr>
      <w:tabs>
        <w:tab w:val="left" w:pos="1200"/>
      </w:tabs>
      <w:ind w:left="1200" w:leftChars="400" w:hanging="360" w:hangingChars="200"/>
    </w:pPr>
  </w:style>
  <w:style w:type="paragraph" w:styleId="22">
    <w:name w:val="List 2"/>
    <w:basedOn w:val="1"/>
    <w:qFormat/>
    <w:uiPriority w:val="99"/>
    <w:pPr>
      <w:ind w:left="100" w:leftChars="200" w:hanging="200" w:hangingChars="200"/>
    </w:pPr>
    <w:rPr>
      <w:sz w:val="28"/>
    </w:rPr>
  </w:style>
  <w:style w:type="paragraph" w:styleId="23">
    <w:name w:val="List Bullet 2"/>
    <w:basedOn w:val="1"/>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24">
    <w:name w:val="Plain Text"/>
    <w:basedOn w:val="1"/>
    <w:next w:val="1"/>
    <w:link w:val="76"/>
    <w:qFormat/>
    <w:uiPriority w:val="99"/>
    <w:pPr>
      <w:spacing w:beforeLines="50" w:afterLines="50" w:line="400" w:lineRule="exact"/>
    </w:pPr>
    <w:rPr>
      <w:rFonts w:ascii="宋体" w:hAnsi="Courier New"/>
      <w:sz w:val="24"/>
    </w:rPr>
  </w:style>
  <w:style w:type="paragraph" w:styleId="25">
    <w:name w:val="Date"/>
    <w:basedOn w:val="1"/>
    <w:next w:val="1"/>
    <w:link w:val="77"/>
    <w:qFormat/>
    <w:uiPriority w:val="99"/>
    <w:pPr>
      <w:ind w:left="2500" w:leftChars="2500"/>
    </w:pPr>
    <w:rPr>
      <w:rFonts w:eastAsia="楷体_GB2312"/>
      <w:sz w:val="32"/>
      <w:szCs w:val="20"/>
    </w:rPr>
  </w:style>
  <w:style w:type="paragraph" w:styleId="26">
    <w:name w:val="Body Text Indent 2"/>
    <w:basedOn w:val="1"/>
    <w:link w:val="78"/>
    <w:qFormat/>
    <w:uiPriority w:val="99"/>
    <w:pPr>
      <w:snapToGrid w:val="0"/>
      <w:ind w:firstLine="542" w:firstLineChars="225"/>
    </w:pPr>
    <w:rPr>
      <w:rFonts w:ascii="仿宋_GB2312" w:hAnsi="宋体" w:cs="Arial"/>
      <w:b/>
      <w:bCs/>
      <w:color w:val="000000"/>
      <w:sz w:val="24"/>
    </w:rPr>
  </w:style>
  <w:style w:type="paragraph" w:styleId="27">
    <w:name w:val="endnote text"/>
    <w:basedOn w:val="1"/>
    <w:link w:val="79"/>
    <w:semiHidden/>
    <w:qFormat/>
    <w:uiPriority w:val="99"/>
    <w:pPr>
      <w:snapToGrid w:val="0"/>
      <w:spacing w:afterLines="50"/>
      <w:jc w:val="left"/>
    </w:pPr>
    <w:rPr>
      <w:rFonts w:ascii="宋体"/>
      <w:kern w:val="0"/>
      <w:szCs w:val="20"/>
    </w:rPr>
  </w:style>
  <w:style w:type="paragraph" w:styleId="28">
    <w:name w:val="Balloon Text"/>
    <w:basedOn w:val="1"/>
    <w:link w:val="80"/>
    <w:semiHidden/>
    <w:qFormat/>
    <w:uiPriority w:val="99"/>
    <w:rPr>
      <w:sz w:val="18"/>
      <w:szCs w:val="18"/>
    </w:rPr>
  </w:style>
  <w:style w:type="paragraph" w:styleId="29">
    <w:name w:val="footer"/>
    <w:basedOn w:val="1"/>
    <w:link w:val="81"/>
    <w:qFormat/>
    <w:uiPriority w:val="99"/>
    <w:pPr>
      <w:tabs>
        <w:tab w:val="center" w:pos="4153"/>
        <w:tab w:val="right" w:pos="8306"/>
      </w:tabs>
      <w:snapToGrid w:val="0"/>
      <w:jc w:val="left"/>
    </w:pPr>
    <w:rPr>
      <w:rFonts w:eastAsia="黑体"/>
      <w:kern w:val="0"/>
      <w:sz w:val="18"/>
      <w:szCs w:val="18"/>
    </w:rPr>
  </w:style>
  <w:style w:type="paragraph" w:styleId="30">
    <w:name w:val="header"/>
    <w:basedOn w:val="1"/>
    <w:link w:val="82"/>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1">
    <w:name w:val="toc 1"/>
    <w:basedOn w:val="1"/>
    <w:next w:val="1"/>
    <w:semiHidden/>
    <w:qFormat/>
    <w:uiPriority w:val="99"/>
  </w:style>
  <w:style w:type="paragraph" w:styleId="32">
    <w:name w:val="Subtitle"/>
    <w:basedOn w:val="1"/>
    <w:link w:val="83"/>
    <w:qFormat/>
    <w:uiPriority w:val="99"/>
    <w:pPr>
      <w:spacing w:afterLines="50"/>
      <w:jc w:val="center"/>
    </w:pPr>
    <w:rPr>
      <w:rFonts w:ascii="宋体"/>
      <w:i/>
      <w:kern w:val="0"/>
      <w:sz w:val="36"/>
      <w:szCs w:val="20"/>
      <w:lang w:val="en-AU"/>
    </w:rPr>
  </w:style>
  <w:style w:type="paragraph" w:styleId="33">
    <w:name w:val="List"/>
    <w:basedOn w:val="1"/>
    <w:qFormat/>
    <w:uiPriority w:val="99"/>
    <w:pPr>
      <w:ind w:left="200" w:hanging="200" w:hangingChars="200"/>
    </w:pPr>
    <w:rPr>
      <w:sz w:val="28"/>
    </w:rPr>
  </w:style>
  <w:style w:type="paragraph" w:styleId="34">
    <w:name w:val="toc 6"/>
    <w:basedOn w:val="1"/>
    <w:next w:val="1"/>
    <w:qFormat/>
    <w:locked/>
    <w:uiPriority w:val="99"/>
    <w:pPr>
      <w:ind w:left="2100" w:leftChars="1000"/>
    </w:pPr>
  </w:style>
  <w:style w:type="paragraph" w:styleId="35">
    <w:name w:val="Body Text Indent 3"/>
    <w:basedOn w:val="1"/>
    <w:link w:val="84"/>
    <w:qFormat/>
    <w:uiPriority w:val="99"/>
    <w:pPr>
      <w:snapToGrid w:val="0"/>
      <w:ind w:firstLine="480" w:firstLineChars="200"/>
      <w:jc w:val="left"/>
    </w:pPr>
    <w:rPr>
      <w:rFonts w:ascii="仿宋_GB2312" w:hAnsi="宋体" w:eastAsia="仿宋_GB2312"/>
      <w:color w:val="000000"/>
      <w:sz w:val="24"/>
    </w:rPr>
  </w:style>
  <w:style w:type="paragraph" w:styleId="36">
    <w:name w:val="toc 2"/>
    <w:basedOn w:val="1"/>
    <w:next w:val="1"/>
    <w:qFormat/>
    <w:locked/>
    <w:uiPriority w:val="0"/>
    <w:pPr>
      <w:ind w:left="420" w:leftChars="200"/>
    </w:pPr>
  </w:style>
  <w:style w:type="paragraph" w:styleId="37">
    <w:name w:val="Body Text 2"/>
    <w:basedOn w:val="1"/>
    <w:link w:val="85"/>
    <w:qFormat/>
    <w:uiPriority w:val="99"/>
    <w:pPr>
      <w:widowControl/>
      <w:snapToGrid w:val="0"/>
      <w:spacing w:before="50" w:afterLines="50" w:line="400" w:lineRule="exact"/>
      <w:jc w:val="left"/>
    </w:pPr>
    <w:rPr>
      <w:rFonts w:ascii="宋体" w:hAnsi="宋体"/>
      <w:color w:val="000000"/>
      <w:sz w:val="24"/>
    </w:rPr>
  </w:style>
  <w:style w:type="paragraph" w:styleId="38">
    <w:name w:val="HTML Preformatted"/>
    <w:basedOn w:val="1"/>
    <w:link w:val="86"/>
    <w:qFormat/>
    <w:uiPriority w:val="99"/>
    <w:rPr>
      <w:rFonts w:ascii="Courier New" w:hAnsi="Courier New" w:cs="Courier New"/>
      <w:sz w:val="20"/>
      <w:szCs w:val="20"/>
    </w:rPr>
  </w:style>
  <w:style w:type="paragraph" w:styleId="39">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40">
    <w:name w:val="Title"/>
    <w:basedOn w:val="1"/>
    <w:next w:val="1"/>
    <w:link w:val="87"/>
    <w:qFormat/>
    <w:uiPriority w:val="99"/>
    <w:pPr>
      <w:widowControl/>
      <w:overflowPunct w:val="0"/>
      <w:autoSpaceDE w:val="0"/>
      <w:autoSpaceDN w:val="0"/>
      <w:adjustRightInd w:val="0"/>
      <w:jc w:val="center"/>
      <w:textAlignment w:val="baseline"/>
    </w:pPr>
    <w:rPr>
      <w:b/>
      <w:kern w:val="0"/>
      <w:sz w:val="24"/>
      <w:szCs w:val="20"/>
      <w:lang w:val="en-GB"/>
    </w:rPr>
  </w:style>
  <w:style w:type="paragraph" w:styleId="41">
    <w:name w:val="annotation subject"/>
    <w:basedOn w:val="17"/>
    <w:next w:val="17"/>
    <w:link w:val="88"/>
    <w:qFormat/>
    <w:uiPriority w:val="99"/>
    <w:rPr>
      <w:b/>
      <w:bCs/>
    </w:rPr>
  </w:style>
  <w:style w:type="paragraph" w:styleId="42">
    <w:name w:val="Body Text First Indent"/>
    <w:basedOn w:val="2"/>
    <w:next w:val="34"/>
    <w:link w:val="89"/>
    <w:qFormat/>
    <w:uiPriority w:val="99"/>
    <w:pPr>
      <w:spacing w:line="360" w:lineRule="auto"/>
      <w:ind w:firstLine="200" w:firstLineChars="200"/>
      <w:jc w:val="left"/>
    </w:pPr>
    <w:rPr>
      <w:bCs/>
      <w:sz w:val="24"/>
    </w:rPr>
  </w:style>
  <w:style w:type="paragraph" w:styleId="43">
    <w:name w:val="Body Text First Indent 2"/>
    <w:basedOn w:val="20"/>
    <w:next w:val="44"/>
    <w:link w:val="75"/>
    <w:qFormat/>
    <w:uiPriority w:val="99"/>
    <w:pPr>
      <w:spacing w:line="312" w:lineRule="auto"/>
      <w:ind w:firstLine="420" w:firstLineChars="200"/>
    </w:pPr>
    <w:rPr>
      <w:rFonts w:ascii="Times New Roman" w:hAnsi="Times New Roman"/>
      <w:kern w:val="0"/>
      <w:sz w:val="22"/>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single"/>
    </w:rPr>
  </w:style>
  <w:style w:type="character" w:styleId="51">
    <w:name w:val="Emphasis"/>
    <w:basedOn w:val="47"/>
    <w:qFormat/>
    <w:uiPriority w:val="99"/>
    <w:rPr>
      <w:rFonts w:cs="Times New Roman"/>
      <w:i/>
    </w:rPr>
  </w:style>
  <w:style w:type="character" w:styleId="52">
    <w:name w:val="Hyperlink"/>
    <w:basedOn w:val="47"/>
    <w:qFormat/>
    <w:uiPriority w:val="99"/>
    <w:rPr>
      <w:rFonts w:cs="Times New Roman"/>
      <w:color w:val="0000FF"/>
      <w:u w:val="single"/>
    </w:rPr>
  </w:style>
  <w:style w:type="character" w:styleId="53">
    <w:name w:val="annotation reference"/>
    <w:basedOn w:val="47"/>
    <w:qFormat/>
    <w:uiPriority w:val="99"/>
    <w:rPr>
      <w:rFonts w:cs="Times New Roman"/>
      <w:sz w:val="21"/>
    </w:rPr>
  </w:style>
  <w:style w:type="character" w:styleId="54">
    <w:name w:val="footnote reference"/>
    <w:basedOn w:val="47"/>
    <w:unhideWhenUsed/>
    <w:qFormat/>
    <w:locked/>
    <w:uiPriority w:val="0"/>
    <w:rPr>
      <w:vertAlign w:val="superscript"/>
    </w:rPr>
  </w:style>
  <w:style w:type="paragraph" w:customStyle="1" w:styleId="55">
    <w:name w:val="章正文"/>
    <w:basedOn w:val="1"/>
    <w:qFormat/>
    <w:uiPriority w:val="99"/>
    <w:pPr>
      <w:spacing w:beforeLines="50" w:after="120" w:line="300" w:lineRule="auto"/>
      <w:ind w:firstLine="480"/>
    </w:pPr>
    <w:rPr>
      <w:rFonts w:ascii="Helvetica" w:hAnsi="Helvetica"/>
      <w:kern w:val="0"/>
      <w:sz w:val="24"/>
    </w:rPr>
  </w:style>
  <w:style w:type="paragraph" w:customStyle="1" w:styleId="56">
    <w:name w:val="样式 表格正文 + 两端对齐"/>
    <w:basedOn w:val="1"/>
    <w:next w:val="57"/>
    <w:qFormat/>
    <w:uiPriority w:val="0"/>
    <w:pPr>
      <w:spacing w:line="300" w:lineRule="auto"/>
    </w:pPr>
    <w:rPr>
      <w:rFonts w:ascii="Times New Roman"/>
    </w:rPr>
  </w:style>
  <w:style w:type="paragraph" w:customStyle="1" w:styleId="57">
    <w:name w:val="正文1"/>
    <w:basedOn w:val="1"/>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58">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59">
    <w:name w:val="列出段落1"/>
    <w:basedOn w:val="1"/>
    <w:qFormat/>
    <w:uiPriority w:val="99"/>
    <w:pPr>
      <w:spacing w:line="360" w:lineRule="auto"/>
      <w:ind w:firstLine="420" w:firstLineChars="200"/>
      <w:jc w:val="left"/>
    </w:pPr>
    <w:rPr>
      <w:rFonts w:ascii="Calibri" w:hAnsi="Calibri"/>
      <w:sz w:val="24"/>
      <w:szCs w:val="22"/>
    </w:rPr>
  </w:style>
  <w:style w:type="character" w:customStyle="1" w:styleId="60">
    <w:name w:val="Heading 1 Char"/>
    <w:basedOn w:val="47"/>
    <w:link w:val="3"/>
    <w:qFormat/>
    <w:locked/>
    <w:uiPriority w:val="99"/>
    <w:rPr>
      <w:rFonts w:ascii="Times New Roman" w:hAnsi="Times New Roman" w:eastAsia="宋体" w:cs="Times New Roman"/>
      <w:b/>
      <w:kern w:val="44"/>
      <w:sz w:val="44"/>
      <w:lang w:val="en-US" w:eastAsia="zh-CN"/>
    </w:rPr>
  </w:style>
  <w:style w:type="character" w:customStyle="1" w:styleId="61">
    <w:name w:val="Heading 2 Char"/>
    <w:basedOn w:val="47"/>
    <w:link w:val="4"/>
    <w:qFormat/>
    <w:locked/>
    <w:uiPriority w:val="99"/>
    <w:rPr>
      <w:rFonts w:ascii="Arial" w:hAnsi="Arial" w:eastAsia="宋体" w:cs="Times New Roman"/>
      <w:b/>
      <w:kern w:val="2"/>
      <w:sz w:val="32"/>
      <w:lang w:val="en-US" w:eastAsia="zh-CN"/>
    </w:rPr>
  </w:style>
  <w:style w:type="character" w:customStyle="1" w:styleId="62">
    <w:name w:val="Heading 3 Char"/>
    <w:basedOn w:val="47"/>
    <w:link w:val="5"/>
    <w:semiHidden/>
    <w:qFormat/>
    <w:locked/>
    <w:uiPriority w:val="99"/>
    <w:rPr>
      <w:rFonts w:cs="Times New Roman"/>
      <w:b/>
      <w:bCs/>
      <w:sz w:val="32"/>
      <w:szCs w:val="32"/>
    </w:rPr>
  </w:style>
  <w:style w:type="character" w:customStyle="1" w:styleId="63">
    <w:name w:val="Heading 4 Char"/>
    <w:basedOn w:val="47"/>
    <w:link w:val="6"/>
    <w:semiHidden/>
    <w:qFormat/>
    <w:locked/>
    <w:uiPriority w:val="99"/>
    <w:rPr>
      <w:rFonts w:ascii="Cambria" w:hAnsi="Cambria" w:eastAsia="宋体" w:cs="Times New Roman"/>
      <w:b/>
      <w:bCs/>
      <w:sz w:val="28"/>
      <w:szCs w:val="28"/>
    </w:rPr>
  </w:style>
  <w:style w:type="character" w:customStyle="1" w:styleId="64">
    <w:name w:val="Heading 5 Char"/>
    <w:basedOn w:val="47"/>
    <w:link w:val="7"/>
    <w:semiHidden/>
    <w:qFormat/>
    <w:locked/>
    <w:uiPriority w:val="99"/>
    <w:rPr>
      <w:rFonts w:cs="Times New Roman"/>
      <w:b/>
      <w:bCs/>
      <w:sz w:val="28"/>
      <w:szCs w:val="28"/>
    </w:rPr>
  </w:style>
  <w:style w:type="character" w:customStyle="1" w:styleId="65">
    <w:name w:val="Heading 6 Char"/>
    <w:basedOn w:val="47"/>
    <w:link w:val="8"/>
    <w:semiHidden/>
    <w:qFormat/>
    <w:locked/>
    <w:uiPriority w:val="99"/>
    <w:rPr>
      <w:rFonts w:ascii="Cambria" w:hAnsi="Cambria" w:eastAsia="宋体" w:cs="Times New Roman"/>
      <w:b/>
      <w:bCs/>
      <w:sz w:val="24"/>
      <w:szCs w:val="24"/>
    </w:rPr>
  </w:style>
  <w:style w:type="character" w:customStyle="1" w:styleId="66">
    <w:name w:val="Heading 7 Char"/>
    <w:basedOn w:val="47"/>
    <w:link w:val="9"/>
    <w:qFormat/>
    <w:locked/>
    <w:uiPriority w:val="99"/>
    <w:rPr>
      <w:rFonts w:ascii="宋体" w:eastAsia="仿宋_GB2312"/>
      <w:b/>
      <w:kern w:val="0"/>
      <w:sz w:val="24"/>
      <w:szCs w:val="20"/>
    </w:rPr>
  </w:style>
  <w:style w:type="character" w:customStyle="1" w:styleId="67">
    <w:name w:val="Heading 8 Char"/>
    <w:basedOn w:val="47"/>
    <w:link w:val="10"/>
    <w:qFormat/>
    <w:locked/>
    <w:uiPriority w:val="99"/>
    <w:rPr>
      <w:rFonts w:ascii="Arial" w:hAnsi="Arial" w:eastAsia="黑体"/>
      <w:kern w:val="0"/>
      <w:sz w:val="24"/>
      <w:szCs w:val="20"/>
    </w:rPr>
  </w:style>
  <w:style w:type="character" w:customStyle="1" w:styleId="68">
    <w:name w:val="Heading 9 Char"/>
    <w:basedOn w:val="47"/>
    <w:link w:val="11"/>
    <w:qFormat/>
    <w:locked/>
    <w:uiPriority w:val="99"/>
    <w:rPr>
      <w:rFonts w:ascii="Arial" w:hAnsi="Arial" w:eastAsia="黑体"/>
      <w:kern w:val="0"/>
      <w:sz w:val="28"/>
      <w:szCs w:val="20"/>
    </w:rPr>
  </w:style>
  <w:style w:type="character" w:customStyle="1" w:styleId="69">
    <w:name w:val="Document Map Char"/>
    <w:basedOn w:val="47"/>
    <w:link w:val="16"/>
    <w:semiHidden/>
    <w:qFormat/>
    <w:locked/>
    <w:uiPriority w:val="99"/>
    <w:rPr>
      <w:rFonts w:cs="Times New Roman"/>
      <w:sz w:val="2"/>
    </w:rPr>
  </w:style>
  <w:style w:type="character" w:customStyle="1" w:styleId="70">
    <w:name w:val="Comment Text Char"/>
    <w:basedOn w:val="47"/>
    <w:link w:val="17"/>
    <w:qFormat/>
    <w:locked/>
    <w:uiPriority w:val="99"/>
    <w:rPr>
      <w:rFonts w:eastAsia="宋体" w:cs="Times New Roman"/>
      <w:kern w:val="2"/>
      <w:sz w:val="24"/>
      <w:lang w:val="en-US" w:eastAsia="zh-CN"/>
    </w:rPr>
  </w:style>
  <w:style w:type="character" w:customStyle="1" w:styleId="71">
    <w:name w:val="Salutation Char"/>
    <w:basedOn w:val="47"/>
    <w:link w:val="18"/>
    <w:semiHidden/>
    <w:qFormat/>
    <w:locked/>
    <w:uiPriority w:val="99"/>
    <w:rPr>
      <w:rFonts w:cs="Times New Roman"/>
      <w:sz w:val="24"/>
      <w:szCs w:val="24"/>
    </w:rPr>
  </w:style>
  <w:style w:type="character" w:customStyle="1" w:styleId="72">
    <w:name w:val="Body Text 3 Char"/>
    <w:basedOn w:val="47"/>
    <w:link w:val="19"/>
    <w:semiHidden/>
    <w:qFormat/>
    <w:locked/>
    <w:uiPriority w:val="99"/>
    <w:rPr>
      <w:rFonts w:cs="Times New Roman"/>
      <w:sz w:val="16"/>
      <w:szCs w:val="16"/>
    </w:rPr>
  </w:style>
  <w:style w:type="character" w:customStyle="1" w:styleId="73">
    <w:name w:val="Body Text Char"/>
    <w:basedOn w:val="47"/>
    <w:link w:val="2"/>
    <w:qFormat/>
    <w:locked/>
    <w:uiPriority w:val="99"/>
    <w:rPr>
      <w:rFonts w:eastAsia="宋体" w:cs="Times New Roman"/>
      <w:kern w:val="2"/>
      <w:sz w:val="24"/>
      <w:lang w:val="en-US" w:eastAsia="zh-CN"/>
    </w:rPr>
  </w:style>
  <w:style w:type="character" w:customStyle="1" w:styleId="74">
    <w:name w:val="Body Text Indent Char"/>
    <w:basedOn w:val="47"/>
    <w:link w:val="20"/>
    <w:qFormat/>
    <w:locked/>
    <w:uiPriority w:val="99"/>
    <w:rPr>
      <w:rFonts w:ascii="宋体" w:hAnsi="Courier New" w:cs="Times New Roman"/>
      <w:spacing w:val="-4"/>
      <w:kern w:val="2"/>
      <w:sz w:val="18"/>
    </w:rPr>
  </w:style>
  <w:style w:type="character" w:customStyle="1" w:styleId="75">
    <w:name w:val="Body Text First Indent 2 Char"/>
    <w:basedOn w:val="74"/>
    <w:link w:val="43"/>
    <w:semiHidden/>
    <w:qFormat/>
    <w:locked/>
    <w:uiPriority w:val="99"/>
    <w:rPr>
      <w:sz w:val="24"/>
      <w:szCs w:val="24"/>
    </w:rPr>
  </w:style>
  <w:style w:type="character" w:customStyle="1" w:styleId="76">
    <w:name w:val="Plain Text Char"/>
    <w:basedOn w:val="47"/>
    <w:link w:val="24"/>
    <w:qFormat/>
    <w:locked/>
    <w:uiPriority w:val="99"/>
    <w:rPr>
      <w:rFonts w:ascii="宋体" w:hAnsi="Courier New" w:eastAsia="宋体" w:cs="Times New Roman"/>
      <w:kern w:val="2"/>
      <w:sz w:val="24"/>
      <w:lang w:val="en-US" w:eastAsia="zh-CN"/>
    </w:rPr>
  </w:style>
  <w:style w:type="character" w:customStyle="1" w:styleId="77">
    <w:name w:val="Date Char"/>
    <w:basedOn w:val="47"/>
    <w:link w:val="25"/>
    <w:semiHidden/>
    <w:qFormat/>
    <w:locked/>
    <w:uiPriority w:val="99"/>
    <w:rPr>
      <w:rFonts w:cs="Times New Roman"/>
      <w:sz w:val="24"/>
      <w:szCs w:val="24"/>
    </w:rPr>
  </w:style>
  <w:style w:type="character" w:customStyle="1" w:styleId="78">
    <w:name w:val="Body Text Indent 2 Char"/>
    <w:basedOn w:val="47"/>
    <w:link w:val="26"/>
    <w:semiHidden/>
    <w:qFormat/>
    <w:locked/>
    <w:uiPriority w:val="99"/>
    <w:rPr>
      <w:rFonts w:cs="Times New Roman"/>
      <w:sz w:val="24"/>
      <w:szCs w:val="24"/>
    </w:rPr>
  </w:style>
  <w:style w:type="character" w:customStyle="1" w:styleId="79">
    <w:name w:val="Endnote Text Char"/>
    <w:basedOn w:val="47"/>
    <w:link w:val="27"/>
    <w:semiHidden/>
    <w:qFormat/>
    <w:locked/>
    <w:uiPriority w:val="99"/>
    <w:rPr>
      <w:rFonts w:cs="Times New Roman"/>
      <w:sz w:val="24"/>
      <w:szCs w:val="24"/>
    </w:rPr>
  </w:style>
  <w:style w:type="character" w:customStyle="1" w:styleId="80">
    <w:name w:val="Balloon Text Char"/>
    <w:basedOn w:val="47"/>
    <w:link w:val="28"/>
    <w:semiHidden/>
    <w:qFormat/>
    <w:locked/>
    <w:uiPriority w:val="99"/>
    <w:rPr>
      <w:rFonts w:cs="Times New Roman"/>
      <w:sz w:val="2"/>
    </w:rPr>
  </w:style>
  <w:style w:type="character" w:customStyle="1" w:styleId="81">
    <w:name w:val="Footer Char"/>
    <w:basedOn w:val="47"/>
    <w:link w:val="29"/>
    <w:semiHidden/>
    <w:qFormat/>
    <w:locked/>
    <w:uiPriority w:val="99"/>
    <w:rPr>
      <w:rFonts w:cs="Times New Roman"/>
      <w:sz w:val="18"/>
      <w:szCs w:val="18"/>
    </w:rPr>
  </w:style>
  <w:style w:type="character" w:customStyle="1" w:styleId="82">
    <w:name w:val="Header Char"/>
    <w:basedOn w:val="47"/>
    <w:link w:val="30"/>
    <w:semiHidden/>
    <w:qFormat/>
    <w:locked/>
    <w:uiPriority w:val="99"/>
    <w:rPr>
      <w:rFonts w:cs="Times New Roman"/>
      <w:sz w:val="18"/>
      <w:szCs w:val="18"/>
    </w:rPr>
  </w:style>
  <w:style w:type="character" w:customStyle="1" w:styleId="83">
    <w:name w:val="Subtitle Char"/>
    <w:basedOn w:val="47"/>
    <w:link w:val="32"/>
    <w:qFormat/>
    <w:locked/>
    <w:uiPriority w:val="99"/>
    <w:rPr>
      <w:rFonts w:ascii="Cambria" w:hAnsi="Cambria" w:cs="Times New Roman"/>
      <w:b/>
      <w:bCs/>
      <w:kern w:val="28"/>
      <w:sz w:val="32"/>
      <w:szCs w:val="32"/>
    </w:rPr>
  </w:style>
  <w:style w:type="character" w:customStyle="1" w:styleId="84">
    <w:name w:val="Body Text Indent 3 Char"/>
    <w:basedOn w:val="47"/>
    <w:link w:val="35"/>
    <w:qFormat/>
    <w:locked/>
    <w:uiPriority w:val="99"/>
    <w:rPr>
      <w:rFonts w:ascii="仿宋_GB2312" w:hAnsi="宋体" w:eastAsia="仿宋_GB2312" w:cs="Times New Roman"/>
      <w:color w:val="000000"/>
      <w:kern w:val="2"/>
      <w:sz w:val="24"/>
      <w:lang w:val="en-US" w:eastAsia="zh-CN"/>
    </w:rPr>
  </w:style>
  <w:style w:type="character" w:customStyle="1" w:styleId="85">
    <w:name w:val="Body Text 2 Char"/>
    <w:basedOn w:val="47"/>
    <w:link w:val="37"/>
    <w:semiHidden/>
    <w:qFormat/>
    <w:locked/>
    <w:uiPriority w:val="99"/>
    <w:rPr>
      <w:rFonts w:cs="Times New Roman"/>
      <w:sz w:val="24"/>
      <w:szCs w:val="24"/>
    </w:rPr>
  </w:style>
  <w:style w:type="character" w:customStyle="1" w:styleId="86">
    <w:name w:val="HTML Preformatted Char"/>
    <w:basedOn w:val="47"/>
    <w:link w:val="38"/>
    <w:semiHidden/>
    <w:qFormat/>
    <w:locked/>
    <w:uiPriority w:val="99"/>
    <w:rPr>
      <w:rFonts w:ascii="Courier New" w:hAnsi="Courier New" w:cs="Courier New"/>
      <w:sz w:val="20"/>
      <w:szCs w:val="20"/>
    </w:rPr>
  </w:style>
  <w:style w:type="character" w:customStyle="1" w:styleId="87">
    <w:name w:val="Title Char"/>
    <w:basedOn w:val="47"/>
    <w:link w:val="40"/>
    <w:qFormat/>
    <w:locked/>
    <w:uiPriority w:val="99"/>
    <w:rPr>
      <w:rFonts w:ascii="Cambria" w:hAnsi="Cambria" w:cs="Times New Roman"/>
      <w:b/>
      <w:bCs/>
      <w:sz w:val="32"/>
      <w:szCs w:val="32"/>
    </w:rPr>
  </w:style>
  <w:style w:type="character" w:customStyle="1" w:styleId="88">
    <w:name w:val="Comment Subject Char"/>
    <w:basedOn w:val="70"/>
    <w:link w:val="41"/>
    <w:qFormat/>
    <w:locked/>
    <w:uiPriority w:val="99"/>
    <w:rPr>
      <w:b/>
    </w:rPr>
  </w:style>
  <w:style w:type="character" w:customStyle="1" w:styleId="89">
    <w:name w:val="Body Text First Indent Char"/>
    <w:basedOn w:val="73"/>
    <w:link w:val="42"/>
    <w:semiHidden/>
    <w:qFormat/>
    <w:locked/>
    <w:uiPriority w:val="99"/>
    <w:rPr>
      <w:szCs w:val="24"/>
    </w:rPr>
  </w:style>
  <w:style w:type="paragraph" w:customStyle="1" w:styleId="90">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kern w:val="0"/>
      <w:sz w:val="21"/>
      <w:szCs w:val="20"/>
      <w:lang w:val="en-US" w:eastAsia="zh-CN" w:bidi="ar-SA"/>
    </w:rPr>
  </w:style>
  <w:style w:type="paragraph" w:customStyle="1" w:styleId="91">
    <w:name w:val="样式 左侧:  1 厘米 段后: 0.5 行"/>
    <w:basedOn w:val="1"/>
    <w:qFormat/>
    <w:uiPriority w:val="99"/>
    <w:pPr>
      <w:spacing w:afterLines="50"/>
      <w:ind w:firstLine="425"/>
      <w:jc w:val="left"/>
    </w:pPr>
    <w:rPr>
      <w:rFonts w:ascii="宋体" w:cs="宋体"/>
      <w:kern w:val="0"/>
      <w:szCs w:val="20"/>
    </w:rPr>
  </w:style>
  <w:style w:type="paragraph" w:customStyle="1" w:styleId="92">
    <w:name w:val="Body"/>
    <w:basedOn w:val="1"/>
    <w:qFormat/>
    <w:uiPriority w:val="99"/>
    <w:pPr>
      <w:widowControl/>
      <w:spacing w:before="120" w:afterLines="50"/>
    </w:pPr>
    <w:rPr>
      <w:rFonts w:ascii="宋体"/>
      <w:kern w:val="0"/>
      <w:szCs w:val="20"/>
    </w:rPr>
  </w:style>
  <w:style w:type="paragraph" w:customStyle="1" w:styleId="93">
    <w:name w:val="InfoBlue"/>
    <w:basedOn w:val="1"/>
    <w:next w:val="2"/>
    <w:qFormat/>
    <w:uiPriority w:val="99"/>
    <w:pPr>
      <w:spacing w:afterLines="50"/>
      <w:ind w:left="720"/>
      <w:jc w:val="left"/>
    </w:pPr>
    <w:rPr>
      <w:rFonts w:ascii="宋体"/>
      <w:i/>
      <w:color w:val="0000FF"/>
      <w:kern w:val="0"/>
      <w:szCs w:val="20"/>
    </w:rPr>
  </w:style>
  <w:style w:type="paragraph" w:customStyle="1" w:styleId="94">
    <w:name w:val="样式 样式 样式 标题 3Chapter X.X.X. + 段后: 0.5 行 + 段后: 0.5 行 + 段后: 0.5 行"/>
    <w:basedOn w:val="95"/>
    <w:qFormat/>
    <w:uiPriority w:val="99"/>
  </w:style>
  <w:style w:type="paragraph" w:customStyle="1" w:styleId="95">
    <w:name w:val="样式 样式 标题 3Chapter X.X.X. + 段后: 0.5 行 + 段后: 0.5 行"/>
    <w:basedOn w:val="96"/>
    <w:qFormat/>
    <w:uiPriority w:val="99"/>
  </w:style>
  <w:style w:type="paragraph" w:customStyle="1" w:styleId="96">
    <w:name w:val="样式 标题 3Chapter X.X.X. + 段后: 0.5 行"/>
    <w:basedOn w:val="5"/>
    <w:qFormat/>
    <w:uiPriority w:val="99"/>
    <w:pPr>
      <w:keepLines w:val="0"/>
      <w:autoSpaceDE/>
      <w:autoSpaceDN/>
      <w:adjustRightInd/>
      <w:spacing w:before="120" w:afterLines="50"/>
    </w:pPr>
    <w:rPr>
      <w:rFonts w:cs="宋体"/>
      <w:bCs/>
      <w:u w:val="none"/>
    </w:rPr>
  </w:style>
  <w:style w:type="paragraph" w:customStyle="1" w:styleId="97">
    <w:name w:val="P1"/>
    <w:basedOn w:val="1"/>
    <w:qFormat/>
    <w:uiPriority w:val="99"/>
    <w:pPr>
      <w:widowControl/>
      <w:spacing w:before="240" w:line="240" w:lineRule="atLeast"/>
      <w:jc w:val="left"/>
    </w:pPr>
    <w:rPr>
      <w:b/>
      <w:kern w:val="0"/>
      <w:szCs w:val="21"/>
      <w:lang w:val="en-AU" w:eastAsia="en-US"/>
    </w:rPr>
  </w:style>
  <w:style w:type="paragraph" w:customStyle="1" w:styleId="98">
    <w:name w:val="S4-L15"/>
    <w:basedOn w:val="1"/>
    <w:qFormat/>
    <w:uiPriority w:val="99"/>
    <w:pPr>
      <w:spacing w:after="120" w:line="360" w:lineRule="auto"/>
      <w:ind w:left="720" w:firstLine="392"/>
    </w:pPr>
    <w:rPr>
      <w:szCs w:val="21"/>
      <w:lang w:val="fr-FR"/>
    </w:rPr>
  </w:style>
  <w:style w:type="paragraph" w:customStyle="1" w:styleId="99">
    <w:name w:val="Style-正文"/>
    <w:basedOn w:val="1"/>
    <w:qFormat/>
    <w:uiPriority w:val="99"/>
    <w:pPr>
      <w:spacing w:line="360" w:lineRule="auto"/>
      <w:ind w:firstLine="420"/>
    </w:pPr>
    <w:rPr>
      <w:rFonts w:ascii="宋体" w:hAnsi="宋体"/>
      <w:sz w:val="24"/>
    </w:rPr>
  </w:style>
  <w:style w:type="paragraph" w:customStyle="1" w:styleId="100">
    <w:name w:val="样式2"/>
    <w:basedOn w:val="4"/>
    <w:qFormat/>
    <w:uiPriority w:val="99"/>
    <w:pPr>
      <w:tabs>
        <w:tab w:val="left" w:pos="600"/>
      </w:tabs>
      <w:ind w:left="600" w:hanging="600"/>
    </w:pPr>
  </w:style>
  <w:style w:type="paragraph" w:customStyle="1" w:styleId="101">
    <w:name w:val="S4-L15-C"/>
    <w:basedOn w:val="1"/>
    <w:qFormat/>
    <w:uiPriority w:val="99"/>
    <w:pPr>
      <w:spacing w:after="120" w:line="360" w:lineRule="auto"/>
      <w:jc w:val="center"/>
    </w:pPr>
    <w:rPr>
      <w:szCs w:val="21"/>
    </w:rPr>
  </w:style>
  <w:style w:type="paragraph" w:customStyle="1" w:styleId="102">
    <w:name w:val="样式 标题 4 + 段后: 0.5 行"/>
    <w:basedOn w:val="6"/>
    <w:qFormat/>
    <w:uiPriority w:val="99"/>
    <w:pPr>
      <w:keepLines w:val="0"/>
      <w:spacing w:before="120" w:afterLines="50" w:line="240" w:lineRule="auto"/>
      <w:jc w:val="left"/>
    </w:pPr>
    <w:rPr>
      <w:rFonts w:ascii="宋体" w:hAnsi="Times New Roman" w:eastAsia="宋体" w:cs="宋体"/>
      <w:kern w:val="0"/>
      <w:sz w:val="21"/>
      <w:szCs w:val="20"/>
    </w:rPr>
  </w:style>
  <w:style w:type="paragraph" w:customStyle="1" w:styleId="103">
    <w:name w:val="Bullet1"/>
    <w:basedOn w:val="1"/>
    <w:qFormat/>
    <w:uiPriority w:val="99"/>
    <w:pPr>
      <w:spacing w:afterLines="50"/>
      <w:ind w:left="720" w:hanging="432"/>
      <w:jc w:val="left"/>
    </w:pPr>
    <w:rPr>
      <w:rFonts w:ascii="宋体"/>
      <w:kern w:val="0"/>
      <w:szCs w:val="20"/>
    </w:rPr>
  </w:style>
  <w:style w:type="paragraph" w:customStyle="1" w:styleId="104">
    <w:name w:val="样式 标题 4Chapter X.X.X.X. + 段后: 0.5 行1"/>
    <w:basedOn w:val="102"/>
    <w:qFormat/>
    <w:uiPriority w:val="99"/>
    <w:pPr>
      <w:spacing w:after="120"/>
    </w:pPr>
  </w:style>
  <w:style w:type="paragraph" w:customStyle="1" w:styleId="105">
    <w:name w:val="文档正文"/>
    <w:basedOn w:val="1"/>
    <w:qFormat/>
    <w:uiPriority w:val="99"/>
    <w:pPr>
      <w:adjustRightInd w:val="0"/>
      <w:spacing w:line="440" w:lineRule="exact"/>
      <w:ind w:firstLine="567"/>
      <w:textAlignment w:val="baseline"/>
    </w:pPr>
    <w:rPr>
      <w:rFonts w:ascii="Arial Narrow" w:hAnsi="Arial Narrow"/>
      <w:kern w:val="0"/>
      <w:sz w:val="24"/>
    </w:rPr>
  </w:style>
  <w:style w:type="paragraph" w:customStyle="1" w:styleId="106">
    <w:name w:val="样式 标题1"/>
    <w:basedOn w:val="107"/>
    <w:next w:val="108"/>
    <w:qFormat/>
    <w:uiPriority w:val="99"/>
    <w:pPr>
      <w:tabs>
        <w:tab w:val="left" w:pos="1140"/>
      </w:tabs>
      <w:spacing w:after="50"/>
      <w:ind w:left="1140" w:hanging="720"/>
    </w:pPr>
    <w:rPr>
      <w:bCs w:val="0"/>
      <w:sz w:val="32"/>
    </w:rPr>
  </w:style>
  <w:style w:type="paragraph" w:customStyle="1" w:styleId="107">
    <w:name w:val="样式 标题 1 + 段后: 0.5 行"/>
    <w:basedOn w:val="3"/>
    <w:qFormat/>
    <w:uiPriority w:val="99"/>
    <w:pPr>
      <w:keepLines w:val="0"/>
      <w:spacing w:before="120" w:afterLines="50" w:line="240" w:lineRule="auto"/>
      <w:jc w:val="left"/>
    </w:pPr>
    <w:rPr>
      <w:rFonts w:ascii="宋体" w:cs="宋体"/>
      <w:kern w:val="0"/>
      <w:sz w:val="28"/>
      <w:szCs w:val="20"/>
    </w:rPr>
  </w:style>
  <w:style w:type="paragraph" w:customStyle="1" w:styleId="108">
    <w:name w:val="最新标题2"/>
    <w:basedOn w:val="109"/>
    <w:next w:val="110"/>
    <w:qFormat/>
    <w:uiPriority w:val="99"/>
    <w:pPr>
      <w:spacing w:after="120"/>
    </w:pPr>
  </w:style>
  <w:style w:type="paragraph" w:customStyle="1" w:styleId="109">
    <w:name w:val="样式 标题 2"/>
    <w:basedOn w:val="4"/>
    <w:next w:val="110"/>
    <w:qFormat/>
    <w:uiPriority w:val="99"/>
    <w:pPr>
      <w:keepLines w:val="0"/>
      <w:spacing w:before="120" w:afterLines="50" w:line="240" w:lineRule="auto"/>
      <w:ind w:left="380" w:hanging="380"/>
      <w:jc w:val="left"/>
    </w:pPr>
    <w:rPr>
      <w:rFonts w:ascii="宋体" w:hAnsi="Times New Roman" w:cs="宋体"/>
      <w:szCs w:val="20"/>
    </w:rPr>
  </w:style>
  <w:style w:type="paragraph" w:customStyle="1" w:styleId="110">
    <w:name w:val="最新标题3"/>
    <w:basedOn w:val="111"/>
    <w:next w:val="112"/>
    <w:qFormat/>
    <w:uiPriority w:val="99"/>
  </w:style>
  <w:style w:type="paragraph" w:customStyle="1" w:styleId="111">
    <w:name w:val="样式 标题 3"/>
    <w:basedOn w:val="5"/>
    <w:next w:val="112"/>
    <w:qFormat/>
    <w:uiPriority w:val="99"/>
    <w:pPr>
      <w:keepLines w:val="0"/>
      <w:autoSpaceDE/>
      <w:autoSpaceDN/>
      <w:adjustRightInd/>
      <w:spacing w:before="120" w:afterLines="50"/>
    </w:pPr>
    <w:rPr>
      <w:rFonts w:cs="宋体"/>
      <w:bCs/>
      <w:u w:val="none"/>
    </w:rPr>
  </w:style>
  <w:style w:type="paragraph" w:customStyle="1" w:styleId="112">
    <w:name w:val="最新标题4"/>
    <w:basedOn w:val="113"/>
    <w:next w:val="1"/>
    <w:qFormat/>
    <w:uiPriority w:val="99"/>
    <w:pPr>
      <w:tabs>
        <w:tab w:val="left" w:pos="2100"/>
      </w:tabs>
      <w:spacing w:after="120"/>
      <w:ind w:left="0" w:firstLine="0"/>
    </w:pPr>
  </w:style>
  <w:style w:type="paragraph" w:customStyle="1" w:styleId="113">
    <w:name w:val="样式 标题 4"/>
    <w:basedOn w:val="104"/>
    <w:next w:val="114"/>
    <w:qFormat/>
    <w:uiPriority w:val="99"/>
    <w:pPr>
      <w:tabs>
        <w:tab w:val="left" w:pos="2100"/>
      </w:tabs>
      <w:spacing w:after="50"/>
      <w:ind w:left="2100" w:hanging="420"/>
    </w:pPr>
  </w:style>
  <w:style w:type="paragraph" w:customStyle="1" w:styleId="114">
    <w:name w:val="样式 正文"/>
    <w:basedOn w:val="1"/>
    <w:next w:val="1"/>
    <w:qFormat/>
    <w:uiPriority w:val="99"/>
    <w:pPr>
      <w:spacing w:afterLines="50"/>
      <w:jc w:val="left"/>
    </w:pPr>
    <w:rPr>
      <w:rFonts w:ascii="宋体" w:cs="宋体"/>
      <w:kern w:val="0"/>
      <w:szCs w:val="20"/>
    </w:rPr>
  </w:style>
  <w:style w:type="paragraph" w:customStyle="1" w:styleId="115">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116">
    <w:name w:val="Char Char Char Char Char Char Char Char Char Char Char Char Char Char Char Char"/>
    <w:basedOn w:val="1"/>
    <w:qFormat/>
    <w:uiPriority w:val="99"/>
    <w:pPr>
      <w:tabs>
        <w:tab w:val="left" w:pos="360"/>
      </w:tabs>
    </w:pPr>
    <w:rPr>
      <w:sz w:val="24"/>
    </w:rPr>
  </w:style>
  <w:style w:type="paragraph" w:customStyle="1" w:styleId="117">
    <w:name w:val="Main Title"/>
    <w:basedOn w:val="1"/>
    <w:qFormat/>
    <w:uiPriority w:val="99"/>
    <w:pPr>
      <w:spacing w:before="480" w:afterLines="50"/>
      <w:jc w:val="center"/>
    </w:pPr>
    <w:rPr>
      <w:rFonts w:ascii="宋体"/>
      <w:b/>
      <w:kern w:val="28"/>
      <w:sz w:val="32"/>
      <w:szCs w:val="20"/>
    </w:rPr>
  </w:style>
  <w:style w:type="paragraph" w:customStyle="1" w:styleId="11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19">
    <w:name w:val="Char1 Char Char Char Char Char Char"/>
    <w:basedOn w:val="1"/>
    <w:qFormat/>
    <w:uiPriority w:val="99"/>
    <w:rPr>
      <w:rFonts w:ascii="Tahoma" w:hAnsi="Tahoma"/>
      <w:sz w:val="24"/>
      <w:szCs w:val="20"/>
    </w:rPr>
  </w:style>
  <w:style w:type="paragraph" w:customStyle="1" w:styleId="12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121">
    <w:name w:val="S4-I-U-L15-No-dot"/>
    <w:basedOn w:val="1"/>
    <w:qFormat/>
    <w:uiPriority w:val="99"/>
    <w:pPr>
      <w:tabs>
        <w:tab w:val="left" w:pos="1112"/>
      </w:tabs>
      <w:spacing w:after="120" w:line="360" w:lineRule="auto"/>
      <w:ind w:left="1112" w:hanging="420"/>
    </w:pPr>
    <w:rPr>
      <w:i/>
      <w:sz w:val="24"/>
      <w:u w:val="single"/>
    </w:rPr>
  </w:style>
  <w:style w:type="paragraph" w:customStyle="1" w:styleId="122">
    <w:name w:val="正文2"/>
    <w:basedOn w:val="1"/>
    <w:qFormat/>
    <w:uiPriority w:val="99"/>
    <w:pPr>
      <w:spacing w:beforeLines="50" w:afterLines="50" w:line="360" w:lineRule="auto"/>
      <w:ind w:firstLine="480" w:firstLineChars="200"/>
    </w:pPr>
    <w:rPr>
      <w:rFonts w:ascii="仿宋_GB2312"/>
      <w:sz w:val="24"/>
      <w:szCs w:val="20"/>
    </w:rPr>
  </w:style>
  <w:style w:type="paragraph" w:customStyle="1" w:styleId="123">
    <w:name w:val="正文段"/>
    <w:basedOn w:val="1"/>
    <w:qFormat/>
    <w:uiPriority w:val="99"/>
    <w:pPr>
      <w:widowControl/>
      <w:snapToGrid w:val="0"/>
      <w:spacing w:afterLines="50"/>
      <w:ind w:firstLine="200" w:firstLineChars="200"/>
    </w:pPr>
    <w:rPr>
      <w:kern w:val="0"/>
      <w:sz w:val="24"/>
      <w:szCs w:val="20"/>
    </w:rPr>
  </w:style>
  <w:style w:type="paragraph" w:customStyle="1" w:styleId="124">
    <w:name w:val="样式 标题 4Chapter X.X.X. + 段后: 0.5 行1 + 段后: 0.5 行"/>
    <w:basedOn w:val="125"/>
    <w:qFormat/>
    <w:uiPriority w:val="99"/>
    <w:rPr>
      <w:szCs w:val="21"/>
    </w:rPr>
  </w:style>
  <w:style w:type="paragraph" w:customStyle="1" w:styleId="125">
    <w:name w:val="样式 标题 4Chapter X.X.X. + 段后: 0.5 行1"/>
    <w:basedOn w:val="6"/>
    <w:next w:val="6"/>
    <w:qFormat/>
    <w:uiPriority w:val="99"/>
    <w:pPr>
      <w:keepLines w:val="0"/>
      <w:spacing w:before="120" w:afterLines="50" w:line="240" w:lineRule="auto"/>
      <w:ind w:left="425" w:hanging="425"/>
      <w:jc w:val="left"/>
    </w:pPr>
    <w:rPr>
      <w:rFonts w:ascii="宋体" w:hAnsi="Times New Roman" w:eastAsia="宋体" w:cs="宋体"/>
      <w:kern w:val="0"/>
      <w:sz w:val="21"/>
      <w:szCs w:val="20"/>
    </w:rPr>
  </w:style>
  <w:style w:type="paragraph" w:customStyle="1" w:styleId="126">
    <w:name w:val="表格正文"/>
    <w:basedOn w:val="1"/>
    <w:qFormat/>
    <w:uiPriority w:val="99"/>
    <w:pPr>
      <w:adjustRightInd w:val="0"/>
      <w:snapToGrid w:val="0"/>
      <w:spacing w:before="60" w:after="60"/>
      <w:jc w:val="center"/>
      <w:textAlignment w:val="baseline"/>
    </w:pPr>
    <w:rPr>
      <w:kern w:val="0"/>
      <w:sz w:val="24"/>
      <w:szCs w:val="20"/>
    </w:rPr>
  </w:style>
  <w:style w:type="paragraph" w:customStyle="1" w:styleId="127">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0"/>
    </w:rPr>
  </w:style>
  <w:style w:type="paragraph" w:customStyle="1" w:styleId="128">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129">
    <w:name w:val="标题1"/>
    <w:basedOn w:val="24"/>
    <w:qFormat/>
    <w:uiPriority w:val="99"/>
    <w:pPr>
      <w:spacing w:beforeLines="0" w:afterLines="0" w:line="360" w:lineRule="auto"/>
    </w:pPr>
    <w:rPr>
      <w:b/>
      <w:sz w:val="30"/>
      <w:szCs w:val="20"/>
    </w:rPr>
  </w:style>
  <w:style w:type="paragraph" w:customStyle="1" w:styleId="130">
    <w:name w:val="Paragraph4"/>
    <w:basedOn w:val="1"/>
    <w:qFormat/>
    <w:uiPriority w:val="99"/>
    <w:pPr>
      <w:spacing w:before="80" w:afterLines="50"/>
      <w:ind w:left="2250"/>
    </w:pPr>
    <w:rPr>
      <w:rFonts w:ascii="宋体"/>
      <w:kern w:val="0"/>
      <w:szCs w:val="20"/>
    </w:rPr>
  </w:style>
  <w:style w:type="paragraph" w:customStyle="1" w:styleId="131">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32">
    <w:name w:val="!我的正文 Ctr+Q"/>
    <w:basedOn w:val="1"/>
    <w:link w:val="243"/>
    <w:qFormat/>
    <w:uiPriority w:val="99"/>
    <w:pPr>
      <w:adjustRightInd w:val="0"/>
      <w:snapToGrid w:val="0"/>
      <w:spacing w:line="360" w:lineRule="auto"/>
      <w:ind w:firstLine="480" w:firstLineChars="200"/>
    </w:pPr>
    <w:rPr>
      <w:rFonts w:ascii="Arial" w:hAnsi="Arial"/>
      <w:szCs w:val="20"/>
    </w:rPr>
  </w:style>
  <w:style w:type="paragraph" w:customStyle="1" w:styleId="133">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3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35">
    <w:name w:val="Char Char Char1 Char Char Char Char"/>
    <w:basedOn w:val="1"/>
    <w:qFormat/>
    <w:uiPriority w:val="99"/>
    <w:rPr>
      <w:rFonts w:ascii="仿宋_GB2312" w:eastAsia="仿宋_GB2312"/>
      <w:b/>
      <w:sz w:val="32"/>
      <w:szCs w:val="32"/>
    </w:rPr>
  </w:style>
  <w:style w:type="paragraph" w:customStyle="1" w:styleId="13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37">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138">
    <w:name w:val="Paragraph2"/>
    <w:basedOn w:val="1"/>
    <w:qFormat/>
    <w:uiPriority w:val="99"/>
    <w:pPr>
      <w:spacing w:before="80" w:afterLines="50"/>
      <w:ind w:left="720"/>
    </w:pPr>
    <w:rPr>
      <w:rFonts w:ascii="宋体"/>
      <w:color w:val="000000"/>
      <w:kern w:val="0"/>
      <w:szCs w:val="20"/>
      <w:lang w:val="en-AU"/>
    </w:rPr>
  </w:style>
  <w:style w:type="paragraph" w:customStyle="1" w:styleId="139">
    <w:name w:val="Char Char8"/>
    <w:basedOn w:val="1"/>
    <w:qFormat/>
    <w:uiPriority w:val="99"/>
    <w:pPr>
      <w:tabs>
        <w:tab w:val="left" w:pos="360"/>
      </w:tabs>
    </w:pPr>
  </w:style>
  <w:style w:type="paragraph" w:customStyle="1" w:styleId="140">
    <w:name w:val="Char Char"/>
    <w:basedOn w:val="1"/>
    <w:qFormat/>
    <w:uiPriority w:val="99"/>
    <w:pPr>
      <w:spacing w:line="240" w:lineRule="atLeast"/>
      <w:ind w:left="420" w:firstLine="420"/>
    </w:pPr>
    <w:rPr>
      <w:kern w:val="0"/>
      <w:szCs w:val="21"/>
    </w:rPr>
  </w:style>
  <w:style w:type="paragraph" w:customStyle="1" w:styleId="141">
    <w:name w:val="Plain Text1"/>
    <w:basedOn w:val="1"/>
    <w:qFormat/>
    <w:uiPriority w:val="99"/>
    <w:pPr>
      <w:autoSpaceDE w:val="0"/>
      <w:autoSpaceDN w:val="0"/>
      <w:adjustRightInd w:val="0"/>
      <w:spacing w:line="360" w:lineRule="auto"/>
    </w:pPr>
    <w:rPr>
      <w:rFonts w:ascii="宋体" w:hAnsi="宋体"/>
      <w:sz w:val="24"/>
      <w:szCs w:val="20"/>
    </w:rPr>
  </w:style>
  <w:style w:type="paragraph" w:customStyle="1" w:styleId="142">
    <w:name w:val="表格(五号)"/>
    <w:basedOn w:val="1"/>
    <w:qFormat/>
    <w:uiPriority w:val="99"/>
    <w:pPr>
      <w:adjustRightInd w:val="0"/>
      <w:snapToGrid w:val="0"/>
      <w:spacing w:line="300" w:lineRule="auto"/>
      <w:jc w:val="center"/>
    </w:pPr>
    <w:rPr>
      <w:kern w:val="0"/>
      <w:sz w:val="18"/>
      <w:szCs w:val="20"/>
    </w:rPr>
  </w:style>
  <w:style w:type="paragraph" w:customStyle="1" w:styleId="143">
    <w:name w:val="P3"/>
    <w:basedOn w:val="1"/>
    <w:qFormat/>
    <w:uiPriority w:val="99"/>
    <w:pPr>
      <w:widowControl/>
      <w:spacing w:before="240" w:line="240" w:lineRule="atLeast"/>
      <w:ind w:left="1152"/>
      <w:jc w:val="left"/>
    </w:pPr>
    <w:rPr>
      <w:b/>
      <w:kern w:val="0"/>
      <w:szCs w:val="21"/>
      <w:lang w:val="en-AU" w:eastAsia="en-US"/>
    </w:rPr>
  </w:style>
  <w:style w:type="paragraph" w:customStyle="1" w:styleId="144">
    <w:name w:val="标准标题1"/>
    <w:basedOn w:val="3"/>
    <w:qFormat/>
    <w:uiPriority w:val="99"/>
    <w:pPr>
      <w:pageBreakBefore/>
      <w:tabs>
        <w:tab w:val="left" w:pos="1080"/>
      </w:tabs>
      <w:ind w:left="425" w:hanging="425"/>
    </w:pPr>
    <w:rPr>
      <w:rFonts w:eastAsia="仿宋_GB2312"/>
      <w:sz w:val="32"/>
    </w:rPr>
  </w:style>
  <w:style w:type="paragraph" w:customStyle="1" w:styleId="145">
    <w:name w:val="Char1"/>
    <w:basedOn w:val="1"/>
    <w:qFormat/>
    <w:uiPriority w:val="99"/>
    <w:pPr>
      <w:tabs>
        <w:tab w:val="left" w:pos="432"/>
      </w:tabs>
      <w:spacing w:beforeLines="50" w:afterLines="50"/>
      <w:ind w:left="432" w:hanging="432"/>
    </w:pPr>
    <w:rPr>
      <w:sz w:val="24"/>
    </w:rPr>
  </w:style>
  <w:style w:type="paragraph" w:customStyle="1" w:styleId="146">
    <w:name w:val="样式 标题 2 + 五号"/>
    <w:basedOn w:val="4"/>
    <w:qFormat/>
    <w:uiPriority w:val="99"/>
    <w:pPr>
      <w:spacing w:before="0" w:after="0" w:line="240" w:lineRule="auto"/>
    </w:pPr>
    <w:rPr>
      <w:rFonts w:ascii="宋体" w:hAnsi="宋体"/>
      <w:sz w:val="21"/>
    </w:rPr>
  </w:style>
  <w:style w:type="paragraph" w:customStyle="1" w:styleId="147">
    <w:name w:val="Paragraph3"/>
    <w:basedOn w:val="1"/>
    <w:qFormat/>
    <w:uiPriority w:val="99"/>
    <w:pPr>
      <w:spacing w:before="80" w:afterLines="50"/>
      <w:ind w:left="1530"/>
    </w:pPr>
    <w:rPr>
      <w:rFonts w:ascii="宋体"/>
      <w:kern w:val="0"/>
      <w:szCs w:val="20"/>
    </w:rPr>
  </w:style>
  <w:style w:type="paragraph" w:customStyle="1" w:styleId="148">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149">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50">
    <w:name w:val="样式 三号 加粗 段后: 0.5 行"/>
    <w:basedOn w:val="1"/>
    <w:qFormat/>
    <w:uiPriority w:val="99"/>
    <w:pPr>
      <w:spacing w:afterLines="50"/>
      <w:jc w:val="left"/>
    </w:pPr>
    <w:rPr>
      <w:rFonts w:ascii="宋体" w:cs="宋体"/>
      <w:b/>
      <w:bCs/>
      <w:kern w:val="0"/>
      <w:sz w:val="32"/>
      <w:szCs w:val="20"/>
    </w:rPr>
  </w:style>
  <w:style w:type="paragraph" w:customStyle="1" w:styleId="151">
    <w:name w:val="S4-B-L15"/>
    <w:basedOn w:val="1"/>
    <w:qFormat/>
    <w:uiPriority w:val="99"/>
    <w:pPr>
      <w:spacing w:line="360" w:lineRule="auto"/>
    </w:pPr>
    <w:rPr>
      <w:b/>
      <w:bCs/>
      <w:sz w:val="24"/>
    </w:rPr>
  </w:style>
  <w:style w:type="paragraph" w:customStyle="1" w:styleId="152">
    <w:name w:val="样式　标题4"/>
    <w:basedOn w:val="125"/>
    <w:next w:val="1"/>
    <w:qFormat/>
    <w:uiPriority w:val="99"/>
  </w:style>
  <w:style w:type="paragraph" w:customStyle="1" w:styleId="153">
    <w:name w:val="样式 标题 3Chapter X.X.X. + 五号 段后: 0.5 行"/>
    <w:basedOn w:val="5"/>
    <w:qFormat/>
    <w:uiPriority w:val="99"/>
    <w:pPr>
      <w:keepLines w:val="0"/>
      <w:autoSpaceDE/>
      <w:autoSpaceDN/>
      <w:adjustRightInd/>
      <w:spacing w:before="120" w:afterLines="50"/>
    </w:pPr>
    <w:rPr>
      <w:rFonts w:cs="宋体"/>
      <w:bCs/>
      <w:sz w:val="21"/>
      <w:u w:val="none"/>
    </w:rPr>
  </w:style>
  <w:style w:type="paragraph" w:customStyle="1" w:styleId="154">
    <w:name w:val="样式 标题 1 + 五号1 Char Char Char Char Char Char Char Char Char Char Char Char Char Char Char Char Char"/>
    <w:basedOn w:val="3"/>
    <w:qFormat/>
    <w:uiPriority w:val="99"/>
    <w:pPr>
      <w:spacing w:before="0" w:after="0" w:line="480" w:lineRule="auto"/>
    </w:pPr>
    <w:rPr>
      <w:sz w:val="21"/>
    </w:rPr>
  </w:style>
  <w:style w:type="paragraph" w:customStyle="1" w:styleId="155">
    <w:name w:val="标题 3Chapter X.X.X. + 段后: 0.5 行 + 段后: 0.5 行 + 段后: 0.5 行1"/>
    <w:basedOn w:val="95"/>
    <w:qFormat/>
    <w:uiPriority w:val="99"/>
  </w:style>
  <w:style w:type="paragraph" w:customStyle="1" w:styleId="156">
    <w:name w:val="样式 标题 1 + 五号"/>
    <w:basedOn w:val="3"/>
    <w:qFormat/>
    <w:uiPriority w:val="99"/>
    <w:pPr>
      <w:spacing w:before="0" w:after="0" w:line="240" w:lineRule="auto"/>
      <w:jc w:val="center"/>
    </w:pPr>
    <w:rPr>
      <w:sz w:val="32"/>
      <w:szCs w:val="32"/>
    </w:rPr>
  </w:style>
  <w:style w:type="paragraph" w:customStyle="1" w:styleId="157">
    <w:name w:val="Blockquote"/>
    <w:basedOn w:val="1"/>
    <w:qFormat/>
    <w:uiPriority w:val="99"/>
    <w:pPr>
      <w:widowControl/>
      <w:spacing w:before="100" w:afterLines="50"/>
      <w:ind w:left="360" w:right="360"/>
      <w:jc w:val="left"/>
    </w:pPr>
    <w:rPr>
      <w:rFonts w:ascii="宋体"/>
      <w:kern w:val="0"/>
      <w:sz w:val="24"/>
      <w:szCs w:val="20"/>
      <w:lang w:val="en-CA"/>
    </w:rPr>
  </w:style>
  <w:style w:type="paragraph" w:customStyle="1" w:styleId="158">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159">
    <w:name w:val="Bullet2"/>
    <w:basedOn w:val="1"/>
    <w:qFormat/>
    <w:uiPriority w:val="99"/>
    <w:pPr>
      <w:spacing w:afterLines="50"/>
      <w:ind w:left="1440" w:hanging="360"/>
      <w:jc w:val="left"/>
    </w:pPr>
    <w:rPr>
      <w:rFonts w:ascii="宋体"/>
      <w:color w:val="000080"/>
      <w:kern w:val="0"/>
      <w:szCs w:val="20"/>
    </w:rPr>
  </w:style>
  <w:style w:type="paragraph" w:customStyle="1" w:styleId="160">
    <w:name w:val="最新标题1"/>
    <w:basedOn w:val="106"/>
    <w:next w:val="108"/>
    <w:qFormat/>
    <w:uiPriority w:val="99"/>
    <w:pPr>
      <w:spacing w:after="120"/>
    </w:pPr>
    <w:rPr>
      <w:bCs/>
    </w:rPr>
  </w:style>
  <w:style w:type="paragraph" w:customStyle="1" w:styleId="161">
    <w:name w:val="标准标题3"/>
    <w:basedOn w:val="5"/>
    <w:qFormat/>
    <w:uiPriority w:val="99"/>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162">
    <w:name w:val="Bullet"/>
    <w:basedOn w:val="1"/>
    <w:qFormat/>
    <w:uiPriority w:val="99"/>
    <w:pPr>
      <w:widowControl/>
      <w:tabs>
        <w:tab w:val="left" w:pos="720"/>
        <w:tab w:val="left" w:pos="964"/>
      </w:tabs>
      <w:spacing w:before="120" w:afterLines="50"/>
      <w:ind w:left="720" w:right="360" w:hanging="482"/>
    </w:pPr>
    <w:rPr>
      <w:rFonts w:ascii="宋体"/>
      <w:kern w:val="0"/>
      <w:szCs w:val="20"/>
    </w:rPr>
  </w:style>
  <w:style w:type="paragraph" w:customStyle="1" w:styleId="163">
    <w:name w:val="Char Char Char"/>
    <w:basedOn w:val="1"/>
    <w:qFormat/>
    <w:uiPriority w:val="99"/>
    <w:rPr>
      <w:rFonts w:ascii="Tahoma" w:hAnsi="Tahoma"/>
      <w:sz w:val="24"/>
      <w:szCs w:val="20"/>
    </w:rPr>
  </w:style>
  <w:style w:type="paragraph" w:customStyle="1" w:styleId="164">
    <w:name w:val="样式 标题 2Chapter X.X. Statementh22Header 2l2Level 2 Headhea...1"/>
    <w:basedOn w:val="5"/>
    <w:qFormat/>
    <w:uiPriority w:val="99"/>
    <w:pPr>
      <w:keepLines w:val="0"/>
      <w:autoSpaceDE/>
      <w:autoSpaceDN/>
      <w:adjustRightInd/>
      <w:spacing w:before="120" w:afterLines="50"/>
    </w:pPr>
    <w:rPr>
      <w:rFonts w:cs="宋体"/>
      <w:bCs/>
      <w:u w:val="none"/>
    </w:rPr>
  </w:style>
  <w:style w:type="paragraph" w:customStyle="1" w:styleId="165">
    <w:name w:val="Char Char Char Char Char Char Char Char Char Char"/>
    <w:basedOn w:val="16"/>
    <w:qFormat/>
    <w:uiPriority w:val="99"/>
    <w:rPr>
      <w:rFonts w:ascii="Tahoma" w:hAnsi="Tahoma"/>
      <w:sz w:val="24"/>
    </w:rPr>
  </w:style>
  <w:style w:type="paragraph" w:customStyle="1" w:styleId="166">
    <w:name w:val="样式 样式 标题 4 + 段后: 0.5 行1"/>
    <w:basedOn w:val="102"/>
    <w:next w:val="27"/>
    <w:qFormat/>
    <w:uiPriority w:val="99"/>
    <w:pPr>
      <w:spacing w:after="120"/>
    </w:pPr>
  </w:style>
  <w:style w:type="paragraph" w:customStyle="1" w:styleId="167">
    <w:name w:val="样式 模板描述"/>
    <w:basedOn w:val="1"/>
    <w:next w:val="114"/>
    <w:qFormat/>
    <w:uiPriority w:val="99"/>
    <w:pPr>
      <w:spacing w:afterLines="50"/>
      <w:jc w:val="left"/>
    </w:pPr>
    <w:rPr>
      <w:rFonts w:ascii="宋体" w:cs="宋体"/>
      <w:i/>
      <w:iCs/>
      <w:color w:val="0000FF"/>
      <w:kern w:val="0"/>
      <w:szCs w:val="21"/>
    </w:rPr>
  </w:style>
  <w:style w:type="paragraph" w:customStyle="1" w:styleId="168">
    <w:name w:val="IBM 正文"/>
    <w:basedOn w:val="1"/>
    <w:qFormat/>
    <w:uiPriority w:val="99"/>
    <w:pPr>
      <w:spacing w:line="360" w:lineRule="atLeast"/>
    </w:pPr>
    <w:rPr>
      <w:sz w:val="24"/>
      <w:szCs w:val="20"/>
    </w:rPr>
  </w:style>
  <w:style w:type="paragraph" w:customStyle="1" w:styleId="169">
    <w:name w:val="此正文"/>
    <w:basedOn w:val="1"/>
    <w:qFormat/>
    <w:uiPriority w:val="99"/>
    <w:pPr>
      <w:spacing w:line="360" w:lineRule="auto"/>
      <w:ind w:firstLine="200" w:firstLineChars="200"/>
    </w:pPr>
    <w:rPr>
      <w:sz w:val="24"/>
      <w:szCs w:val="20"/>
    </w:rPr>
  </w:style>
  <w:style w:type="paragraph" w:customStyle="1" w:styleId="170">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171">
    <w:name w:val="样式 正文文本缩进 + 仿宋_GB2312 小四 首行缩进:  0 厘米 行距: 1.5 倍行距"/>
    <w:basedOn w:val="20"/>
    <w:qFormat/>
    <w:uiPriority w:val="99"/>
    <w:pPr>
      <w:spacing w:line="360" w:lineRule="auto"/>
      <w:ind w:firstLine="0"/>
    </w:pPr>
    <w:rPr>
      <w:rFonts w:ascii="仿宋_GB2312" w:hAnsi="Times New Roman" w:eastAsia="新宋体"/>
      <w:spacing w:val="0"/>
      <w:sz w:val="24"/>
    </w:rPr>
  </w:style>
  <w:style w:type="paragraph" w:customStyle="1" w:styleId="172">
    <w:name w:val="Figure Description"/>
    <w:next w:val="1"/>
    <w:qFormat/>
    <w:uiPriority w:val="99"/>
    <w:pPr>
      <w:snapToGrid w:val="0"/>
      <w:spacing w:before="80" w:after="320"/>
      <w:ind w:left="1701"/>
      <w:jc w:val="center"/>
    </w:pPr>
    <w:rPr>
      <w:rFonts w:ascii="Arial" w:hAnsi="Arial" w:eastAsia="黑体" w:cs="Times New Roman"/>
      <w:kern w:val="0"/>
      <w:sz w:val="18"/>
      <w:szCs w:val="20"/>
      <w:lang w:val="en-US" w:eastAsia="en-US" w:bidi="ar-SA"/>
    </w:rPr>
  </w:style>
  <w:style w:type="paragraph" w:customStyle="1" w:styleId="173">
    <w:name w:val="Char2"/>
    <w:basedOn w:val="1"/>
    <w:qFormat/>
    <w:uiPriority w:val="99"/>
    <w:pPr>
      <w:tabs>
        <w:tab w:val="left" w:pos="432"/>
      </w:tabs>
      <w:spacing w:beforeLines="50" w:afterLines="50"/>
      <w:ind w:left="432" w:hanging="432"/>
    </w:pPr>
    <w:rPr>
      <w:sz w:val="24"/>
    </w:rPr>
  </w:style>
  <w:style w:type="paragraph" w:customStyle="1" w:styleId="174">
    <w:name w:val="默认段落字体 Para Char Char Char Char Char Char Char Char Char1 Char Char Char Char"/>
    <w:basedOn w:val="1"/>
    <w:qFormat/>
    <w:uiPriority w:val="99"/>
    <w:rPr>
      <w:rFonts w:ascii="Tahoma" w:hAnsi="Tahoma"/>
      <w:sz w:val="24"/>
      <w:szCs w:val="20"/>
    </w:rPr>
  </w:style>
  <w:style w:type="paragraph" w:customStyle="1" w:styleId="175">
    <w:name w:val="Char Char Char Char Char"/>
    <w:basedOn w:val="1"/>
    <w:qFormat/>
    <w:uiPriority w:val="99"/>
    <w:pPr>
      <w:widowControl/>
      <w:adjustRightInd w:val="0"/>
      <w:ind w:firstLine="200" w:firstLineChars="200"/>
      <w:jc w:val="left"/>
      <w:textAlignment w:val="baseline"/>
    </w:pPr>
  </w:style>
  <w:style w:type="paragraph" w:customStyle="1" w:styleId="176">
    <w:name w:val="P2"/>
    <w:basedOn w:val="1"/>
    <w:qFormat/>
    <w:uiPriority w:val="99"/>
    <w:pPr>
      <w:widowControl/>
      <w:spacing w:before="240" w:line="240" w:lineRule="atLeast"/>
      <w:ind w:left="578"/>
      <w:jc w:val="left"/>
    </w:pPr>
    <w:rPr>
      <w:b/>
      <w:kern w:val="0"/>
      <w:szCs w:val="21"/>
      <w:lang w:val="en-AU" w:eastAsia="en-US"/>
    </w:rPr>
  </w:style>
  <w:style w:type="paragraph" w:customStyle="1" w:styleId="177">
    <w:name w:val="样式 样式 标题 4 + 段后: 0.5 行 + 段后: 0.5 行"/>
    <w:basedOn w:val="102"/>
    <w:qFormat/>
    <w:uiPriority w:val="99"/>
  </w:style>
  <w:style w:type="paragraph" w:customStyle="1" w:styleId="178">
    <w:name w:val="Tabletext"/>
    <w:basedOn w:val="1"/>
    <w:qFormat/>
    <w:uiPriority w:val="99"/>
    <w:pPr>
      <w:keepLines/>
      <w:spacing w:afterLines="50"/>
      <w:jc w:val="left"/>
    </w:pPr>
    <w:rPr>
      <w:rFonts w:ascii="宋体"/>
      <w:kern w:val="0"/>
      <w:szCs w:val="20"/>
    </w:rPr>
  </w:style>
  <w:style w:type="paragraph" w:customStyle="1" w:styleId="179">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80">
    <w:name w:val="Paragraph1"/>
    <w:basedOn w:val="1"/>
    <w:qFormat/>
    <w:uiPriority w:val="99"/>
    <w:pPr>
      <w:spacing w:before="80" w:afterLines="50"/>
    </w:pPr>
    <w:rPr>
      <w:rFonts w:ascii="宋体"/>
      <w:kern w:val="0"/>
      <w:szCs w:val="20"/>
    </w:rPr>
  </w:style>
  <w:style w:type="paragraph" w:customStyle="1" w:styleId="181">
    <w:name w:val="文本框内文字"/>
    <w:basedOn w:val="1"/>
    <w:qFormat/>
    <w:uiPriority w:val="99"/>
    <w:pPr>
      <w:spacing w:line="240" w:lineRule="atLeast"/>
    </w:pPr>
    <w:rPr>
      <w:rFonts w:eastAsia="仿宋_GB2312"/>
      <w:sz w:val="22"/>
    </w:rPr>
  </w:style>
  <w:style w:type="paragraph" w:customStyle="1" w:styleId="182">
    <w:name w:val="样式 标题 3Chapter X.X.X. + 段后: 0.5 行1"/>
    <w:basedOn w:val="5"/>
    <w:next w:val="1"/>
    <w:qFormat/>
    <w:uiPriority w:val="99"/>
    <w:pPr>
      <w:keepLines w:val="0"/>
      <w:autoSpaceDE/>
      <w:autoSpaceDN/>
      <w:adjustRightInd/>
      <w:spacing w:before="120" w:afterLines="50"/>
    </w:pPr>
    <w:rPr>
      <w:rFonts w:cs="宋体"/>
      <w:bCs/>
      <w:u w:val="none"/>
    </w:rPr>
  </w:style>
  <w:style w:type="paragraph" w:customStyle="1" w:styleId="183">
    <w:name w:val="paragraph1"/>
    <w:basedOn w:val="1"/>
    <w:qFormat/>
    <w:uiPriority w:val="99"/>
    <w:pPr>
      <w:spacing w:afterLines="30" w:line="360" w:lineRule="auto"/>
      <w:ind w:firstLine="420" w:firstLineChars="200"/>
    </w:pPr>
    <w:rPr>
      <w:rFonts w:eastAsia="楷体_GB2312"/>
      <w:sz w:val="24"/>
      <w:szCs w:val="20"/>
    </w:rPr>
  </w:style>
  <w:style w:type="paragraph" w:customStyle="1" w:styleId="184">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Char Char Char Char Char Char Char Char Char"/>
    <w:basedOn w:val="1"/>
    <w:qFormat/>
    <w:uiPriority w:val="99"/>
    <w:rPr>
      <w:rFonts w:ascii="Tahoma" w:hAnsi="Tahoma" w:eastAsia="仿宋_GB2312"/>
      <w:sz w:val="24"/>
      <w:szCs w:val="20"/>
    </w:rPr>
  </w:style>
  <w:style w:type="paragraph" w:customStyle="1" w:styleId="186">
    <w:name w:val="标准标题2"/>
    <w:basedOn w:val="4"/>
    <w:qFormat/>
    <w:uiPriority w:val="99"/>
    <w:pPr>
      <w:spacing w:line="360" w:lineRule="auto"/>
    </w:pPr>
    <w:rPr>
      <w:rFonts w:eastAsia="仿宋_GB2312"/>
      <w:bCs w:val="0"/>
    </w:rPr>
  </w:style>
  <w:style w:type="paragraph" w:customStyle="1" w:styleId="187">
    <w:name w:val="样式 标题 3Chapter X.X.X"/>
    <w:basedOn w:val="155"/>
    <w:qFormat/>
    <w:uiPriority w:val="99"/>
  </w:style>
  <w:style w:type="paragraph" w:customStyle="1" w:styleId="188">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189">
    <w:name w:val="Char Char7 Char"/>
    <w:basedOn w:val="1"/>
    <w:qFormat/>
    <w:uiPriority w:val="99"/>
    <w:pPr>
      <w:tabs>
        <w:tab w:val="left" w:pos="425"/>
      </w:tabs>
      <w:ind w:left="420" w:leftChars="200" w:firstLine="270" w:firstLineChars="150"/>
    </w:pPr>
    <w:rPr>
      <w:szCs w:val="20"/>
    </w:rPr>
  </w:style>
  <w:style w:type="paragraph" w:customStyle="1" w:styleId="190">
    <w:name w:val="Char3 Char Char Char"/>
    <w:basedOn w:val="1"/>
    <w:qFormat/>
    <w:uiPriority w:val="99"/>
    <w:pPr>
      <w:numPr>
        <w:ilvl w:val="0"/>
        <w:numId w:val="2"/>
      </w:numPr>
    </w:pPr>
    <w:rPr>
      <w:sz w:val="24"/>
    </w:rPr>
  </w:style>
  <w:style w:type="paragraph" w:customStyle="1" w:styleId="191">
    <w:name w:val="Char Char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宋体"/>
      <w:color w:val="51585D"/>
      <w:kern w:val="0"/>
      <w:szCs w:val="18"/>
    </w:rPr>
  </w:style>
  <w:style w:type="paragraph" w:customStyle="1" w:styleId="192">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193">
    <w:name w:val="样式 标题 3(A-3)sect1.2.3h3H3level_3PIM 3Level 3 HeadHeading..."/>
    <w:basedOn w:val="5"/>
    <w:qFormat/>
    <w:uiPriority w:val="99"/>
    <w:pPr>
      <w:autoSpaceDE/>
      <w:autoSpaceDN/>
      <w:adjustRightInd/>
      <w:spacing w:before="260" w:after="260" w:line="416" w:lineRule="auto"/>
      <w:jc w:val="both"/>
    </w:pPr>
    <w:rPr>
      <w:rFonts w:ascii="Arial" w:hAnsi="Arial"/>
      <w:bCs/>
      <w:kern w:val="2"/>
      <w:sz w:val="30"/>
      <w:szCs w:val="32"/>
      <w:u w:val="none"/>
    </w:rPr>
  </w:style>
  <w:style w:type="paragraph" w:customStyle="1" w:styleId="194">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5">
    <w:name w:val="Char Char Char Char"/>
    <w:basedOn w:val="1"/>
    <w:qFormat/>
    <w:uiPriority w:val="99"/>
  </w:style>
  <w:style w:type="paragraph" w:customStyle="1" w:styleId="196">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7">
    <w:name w:val="Table - Text"/>
    <w:basedOn w:val="1"/>
    <w:qFormat/>
    <w:uiPriority w:val="99"/>
    <w:pPr>
      <w:widowControl/>
      <w:spacing w:before="60" w:afterLines="50"/>
      <w:jc w:val="left"/>
    </w:pPr>
    <w:rPr>
      <w:kern w:val="0"/>
      <w:szCs w:val="20"/>
      <w:lang w:eastAsia="en-US"/>
    </w:rPr>
  </w:style>
  <w:style w:type="paragraph" w:customStyle="1" w:styleId="198">
    <w:name w:val="样式 样式 正文文本缩进 + 仿宋_GB2312 小四 首行缩进:  0 厘米 行距: 1.5 倍行距 + (中文) 仿宋_GB... Char Char"/>
    <w:basedOn w:val="171"/>
    <w:qFormat/>
    <w:uiPriority w:val="99"/>
    <w:pPr>
      <w:ind w:firstLine="480" w:firstLineChars="200"/>
    </w:pPr>
  </w:style>
  <w:style w:type="paragraph" w:customStyle="1" w:styleId="199">
    <w:name w:val="样式 标题 2Chapter X.X. Statementh22Header 2l2Level 2 Headhea..."/>
    <w:basedOn w:val="4"/>
    <w:qFormat/>
    <w:uiPriority w:val="99"/>
    <w:pPr>
      <w:keepLines w:val="0"/>
      <w:spacing w:before="120" w:afterLines="50" w:line="240" w:lineRule="auto"/>
      <w:jc w:val="left"/>
    </w:pPr>
    <w:rPr>
      <w:rFonts w:ascii="宋体" w:hAnsi="Times New Roman" w:cs="宋体"/>
      <w:sz w:val="24"/>
      <w:szCs w:val="24"/>
    </w:rPr>
  </w:style>
  <w:style w:type="paragraph" w:customStyle="1" w:styleId="200">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201">
    <w:name w:val="Char"/>
    <w:basedOn w:val="1"/>
    <w:qFormat/>
    <w:uiPriority w:val="99"/>
  </w:style>
  <w:style w:type="paragraph" w:customStyle="1" w:styleId="202">
    <w:name w:val="S4-L15-No"/>
    <w:basedOn w:val="98"/>
    <w:qFormat/>
    <w:uiPriority w:val="99"/>
    <w:pPr>
      <w:tabs>
        <w:tab w:val="left" w:pos="720"/>
      </w:tabs>
      <w:ind w:hanging="720"/>
    </w:pPr>
  </w:style>
  <w:style w:type="paragraph" w:customStyle="1" w:styleId="203">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204">
    <w:name w:val="p0"/>
    <w:basedOn w:val="1"/>
    <w:qFormat/>
    <w:uiPriority w:val="99"/>
    <w:pPr>
      <w:widowControl/>
      <w:spacing w:after="50"/>
    </w:pPr>
    <w:rPr>
      <w:kern w:val="0"/>
      <w:szCs w:val="21"/>
    </w:rPr>
  </w:style>
  <w:style w:type="paragraph" w:customStyle="1" w:styleId="205">
    <w:name w:val="样式 样式3 + 宋体 五号 Char Char Char"/>
    <w:basedOn w:val="1"/>
    <w:qFormat/>
    <w:uiPriority w:val="99"/>
    <w:pPr>
      <w:keepNext/>
      <w:keepLines/>
      <w:tabs>
        <w:tab w:val="left" w:pos="1050"/>
      </w:tabs>
      <w:ind w:left="1050" w:hanging="450"/>
      <w:jc w:val="left"/>
      <w:outlineLvl w:val="7"/>
    </w:pPr>
    <w:rPr>
      <w:rFonts w:ascii="宋体" w:hAnsi="宋体"/>
      <w:b/>
      <w:bCs/>
    </w:rPr>
  </w:style>
  <w:style w:type="paragraph" w:customStyle="1" w:styleId="206">
    <w:name w:val="S4-I-L15-U"/>
    <w:basedOn w:val="1"/>
    <w:qFormat/>
    <w:uiPriority w:val="99"/>
    <w:pPr>
      <w:spacing w:line="360" w:lineRule="auto"/>
    </w:pPr>
    <w:rPr>
      <w:b/>
      <w:i/>
      <w:sz w:val="24"/>
      <w:u w:val="single"/>
    </w:rPr>
  </w:style>
  <w:style w:type="paragraph" w:customStyle="1" w:styleId="207">
    <w:name w:val="标准有序列表（L1）"/>
    <w:basedOn w:val="13"/>
    <w:qFormat/>
    <w:uiPriority w:val="99"/>
    <w:pPr>
      <w:tabs>
        <w:tab w:val="left" w:pos="0"/>
      </w:tabs>
      <w:spacing w:line="360" w:lineRule="auto"/>
      <w:ind w:firstLine="0"/>
    </w:pPr>
    <w:rPr>
      <w:rFonts w:ascii="黑体" w:eastAsia="黑体"/>
      <w:color w:val="000000"/>
      <w:sz w:val="24"/>
    </w:rPr>
  </w:style>
  <w:style w:type="paragraph" w:customStyle="1" w:styleId="208">
    <w:name w:val="Char3"/>
    <w:basedOn w:val="1"/>
    <w:qFormat/>
    <w:uiPriority w:val="99"/>
    <w:rPr>
      <w:szCs w:val="20"/>
    </w:rPr>
  </w:style>
  <w:style w:type="paragraph" w:customStyle="1" w:styleId="209">
    <w:name w:val="List Paragraph"/>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210">
    <w:name w:val="样式 样式 正文文本缩进 + 仿宋_GB2312 小四 首行缩进:  0 厘米 行距: 1.5 倍行距 + (中文) 仿宋_GB..."/>
    <w:basedOn w:val="171"/>
    <w:qFormat/>
    <w:uiPriority w:val="99"/>
    <w:pPr>
      <w:ind w:firstLine="480" w:firstLineChars="200"/>
    </w:pPr>
  </w:style>
  <w:style w:type="paragraph" w:customStyle="1" w:styleId="211">
    <w:name w:val="沈标题四"/>
    <w:basedOn w:val="6"/>
    <w:next w:val="1"/>
    <w:qFormat/>
    <w:uiPriority w:val="99"/>
    <w:pPr>
      <w:keepNext w:val="0"/>
      <w:keepLines w:val="0"/>
      <w:spacing w:line="377" w:lineRule="auto"/>
    </w:pPr>
    <w:rPr>
      <w:rFonts w:ascii="Arial Narrow" w:hAnsi="Arial Narrow" w:eastAsia="方正姚体"/>
      <w:b w:val="0"/>
      <w:sz w:val="24"/>
      <w:szCs w:val="24"/>
    </w:rPr>
  </w:style>
  <w:style w:type="paragraph" w:customStyle="1" w:styleId="212">
    <w:name w:val="表格内容"/>
    <w:basedOn w:val="2"/>
    <w:qFormat/>
    <w:uiPriority w:val="99"/>
    <w:pPr>
      <w:suppressLineNumbers/>
      <w:suppressAutoHyphens/>
    </w:pPr>
    <w:rPr>
      <w:kern w:val="1"/>
      <w:sz w:val="21"/>
      <w:lang w:eastAsia="ar-SA"/>
    </w:rPr>
  </w:style>
  <w:style w:type="paragraph" w:customStyle="1" w:styleId="213">
    <w:name w:val="表格标题"/>
    <w:basedOn w:val="212"/>
    <w:qFormat/>
    <w:uiPriority w:val="99"/>
    <w:pPr>
      <w:jc w:val="center"/>
    </w:pPr>
    <w:rPr>
      <w:b/>
      <w:bCs/>
      <w:i/>
      <w:iCs/>
    </w:rPr>
  </w:style>
  <w:style w:type="paragraph" w:customStyle="1" w:styleId="214">
    <w:name w:val="表内文字"/>
    <w:basedOn w:val="1"/>
    <w:qFormat/>
    <w:uiPriority w:val="99"/>
    <w:pPr>
      <w:tabs>
        <w:tab w:val="left" w:pos="1418"/>
      </w:tabs>
      <w:spacing w:line="360" w:lineRule="auto"/>
      <w:jc w:val="center"/>
    </w:pPr>
    <w:rPr>
      <w:rFonts w:ascii="仿宋_GB2312" w:eastAsia="仿宋_GB2312"/>
      <w:spacing w:val="-20"/>
      <w:kern w:val="0"/>
      <w:sz w:val="24"/>
    </w:rPr>
  </w:style>
  <w:style w:type="character" w:customStyle="1" w:styleId="215">
    <w:name w:val="Char Char17"/>
    <w:qFormat/>
    <w:uiPriority w:val="99"/>
    <w:rPr>
      <w:rFonts w:ascii="宋体" w:hAnsi="Courier New" w:eastAsia="宋体"/>
      <w:kern w:val="2"/>
      <w:sz w:val="24"/>
      <w:lang w:val="en-US" w:eastAsia="zh-CN"/>
    </w:rPr>
  </w:style>
  <w:style w:type="character" w:customStyle="1" w:styleId="216">
    <w:name w:val="tw4winMark"/>
    <w:qFormat/>
    <w:uiPriority w:val="99"/>
    <w:rPr>
      <w:rFonts w:ascii="Courier New" w:hAnsi="Courier New"/>
      <w:vanish/>
      <w:color w:val="800080"/>
      <w:vertAlign w:val="subscript"/>
    </w:rPr>
  </w:style>
  <w:style w:type="character" w:customStyle="1" w:styleId="217">
    <w:name w:val="标题 1 Char Char"/>
    <w:qFormat/>
    <w:uiPriority w:val="99"/>
    <w:rPr>
      <w:rFonts w:eastAsia="宋体"/>
      <w:b/>
      <w:spacing w:val="-2"/>
      <w:sz w:val="24"/>
      <w:lang w:val="en-US" w:eastAsia="zh-CN"/>
    </w:rPr>
  </w:style>
  <w:style w:type="character" w:customStyle="1" w:styleId="218">
    <w:name w:val="para"/>
    <w:basedOn w:val="47"/>
    <w:qFormat/>
    <w:uiPriority w:val="99"/>
    <w:rPr>
      <w:rFonts w:cs="Times New Roman"/>
    </w:rPr>
  </w:style>
  <w:style w:type="character" w:customStyle="1" w:styleId="219">
    <w:name w:val="样式 样式3 + 宋体 五号 Char Char Char Char"/>
    <w:qFormat/>
    <w:uiPriority w:val="99"/>
    <w:rPr>
      <w:rFonts w:ascii="宋体" w:hAnsi="宋体" w:eastAsia="宋体"/>
      <w:b/>
      <w:kern w:val="2"/>
      <w:sz w:val="24"/>
      <w:lang w:val="en-US" w:eastAsia="zh-CN"/>
    </w:rPr>
  </w:style>
  <w:style w:type="character" w:customStyle="1" w:styleId="220">
    <w:name w:val="fontblank12"/>
    <w:basedOn w:val="47"/>
    <w:qFormat/>
    <w:uiPriority w:val="99"/>
    <w:rPr>
      <w:rFonts w:cs="Times New Roman"/>
    </w:rPr>
  </w:style>
  <w:style w:type="character" w:customStyle="1" w:styleId="221">
    <w:name w:val="标题 2 Char3"/>
    <w:qFormat/>
    <w:uiPriority w:val="99"/>
    <w:rPr>
      <w:rFonts w:ascii="Arial" w:hAnsi="Arial" w:eastAsia="宋体"/>
      <w:b/>
      <w:kern w:val="2"/>
      <w:sz w:val="32"/>
      <w:lang w:val="en-US" w:eastAsia="zh-CN"/>
    </w:rPr>
  </w:style>
  <w:style w:type="character" w:customStyle="1" w:styleId="222">
    <w:name w:val="Char Char3"/>
    <w:qFormat/>
    <w:uiPriority w:val="99"/>
    <w:rPr>
      <w:rFonts w:ascii="仿宋_GB2312" w:hAnsi="宋体" w:eastAsia="仿宋_GB2312"/>
      <w:color w:val="000000"/>
      <w:sz w:val="24"/>
    </w:rPr>
  </w:style>
  <w:style w:type="character" w:customStyle="1" w:styleId="223">
    <w:name w:val="Char Char27"/>
    <w:qFormat/>
    <w:uiPriority w:val="99"/>
    <w:rPr>
      <w:rFonts w:ascii="宋体" w:hAnsi="Courier New" w:eastAsia="宋体"/>
      <w:kern w:val="2"/>
      <w:sz w:val="24"/>
      <w:lang w:val="en-US" w:eastAsia="zh-CN"/>
    </w:rPr>
  </w:style>
  <w:style w:type="character" w:customStyle="1" w:styleId="224">
    <w:name w:val="纯文本 Char2"/>
    <w:qFormat/>
    <w:locked/>
    <w:uiPriority w:val="99"/>
    <w:rPr>
      <w:rFonts w:ascii="宋体" w:hAnsi="Courier New" w:eastAsia="宋体"/>
      <w:kern w:val="2"/>
      <w:sz w:val="21"/>
      <w:lang w:val="en-US" w:eastAsia="zh-CN"/>
    </w:rPr>
  </w:style>
  <w:style w:type="character" w:customStyle="1" w:styleId="225">
    <w:name w:val="Char Char21"/>
    <w:qFormat/>
    <w:uiPriority w:val="99"/>
    <w:rPr>
      <w:rFonts w:ascii="Arial" w:hAnsi="Arial" w:eastAsia="宋体"/>
      <w:b/>
      <w:kern w:val="2"/>
      <w:sz w:val="32"/>
      <w:lang w:val="en-US" w:eastAsia="zh-CN"/>
    </w:rPr>
  </w:style>
  <w:style w:type="character" w:customStyle="1" w:styleId="226">
    <w:name w:val="Normal Indent Char"/>
    <w:link w:val="13"/>
    <w:qFormat/>
    <w:locked/>
    <w:uiPriority w:val="99"/>
    <w:rPr>
      <w:rFonts w:eastAsia="宋体"/>
      <w:kern w:val="2"/>
      <w:sz w:val="21"/>
      <w:lang w:val="en-US" w:eastAsia="zh-CN"/>
    </w:rPr>
  </w:style>
  <w:style w:type="character" w:customStyle="1" w:styleId="227">
    <w:name w:val="标题 3 Char"/>
    <w:qFormat/>
    <w:uiPriority w:val="99"/>
    <w:rPr>
      <w:rFonts w:eastAsia="宋体"/>
      <w:b/>
      <w:kern w:val="2"/>
      <w:sz w:val="32"/>
      <w:lang w:val="en-US" w:eastAsia="zh-CN"/>
    </w:rPr>
  </w:style>
  <w:style w:type="character" w:customStyle="1" w:styleId="228">
    <w:name w:val="tw4winExternal"/>
    <w:qFormat/>
    <w:uiPriority w:val="99"/>
    <w:rPr>
      <w:rFonts w:ascii="Courier New" w:hAnsi="Courier New"/>
      <w:color w:val="808080"/>
    </w:rPr>
  </w:style>
  <w:style w:type="character" w:customStyle="1" w:styleId="229">
    <w:name w:val="style101"/>
    <w:qFormat/>
    <w:uiPriority w:val="99"/>
    <w:rPr>
      <w:color w:val="FFFFFF"/>
    </w:rPr>
  </w:style>
  <w:style w:type="character" w:customStyle="1" w:styleId="230">
    <w:name w:val="font3"/>
    <w:basedOn w:val="47"/>
    <w:qFormat/>
    <w:uiPriority w:val="99"/>
    <w:rPr>
      <w:rFonts w:cs="Times New Roman"/>
    </w:rPr>
  </w:style>
  <w:style w:type="character" w:customStyle="1" w:styleId="231">
    <w:name w:val="标题 2 Char2"/>
    <w:qFormat/>
    <w:uiPriority w:val="99"/>
    <w:rPr>
      <w:rFonts w:ascii="Arial" w:hAnsi="Arial"/>
      <w:b/>
      <w:sz w:val="32"/>
    </w:rPr>
  </w:style>
  <w:style w:type="character" w:customStyle="1" w:styleId="232">
    <w:name w:val="tw4winJump"/>
    <w:qFormat/>
    <w:uiPriority w:val="99"/>
    <w:rPr>
      <w:rFonts w:ascii="Courier New" w:hAnsi="Courier New"/>
      <w:color w:val="008080"/>
    </w:rPr>
  </w:style>
  <w:style w:type="character" w:customStyle="1" w:styleId="233">
    <w:name w:val="huide001"/>
    <w:qFormat/>
    <w:uiPriority w:val="99"/>
    <w:rPr>
      <w:rFonts w:ascii="Arial" w:hAnsi="Arial"/>
      <w:color w:val="666666"/>
      <w:sz w:val="18"/>
    </w:rPr>
  </w:style>
  <w:style w:type="character" w:customStyle="1" w:styleId="234">
    <w:name w:val="b titlename wangputoptitle"/>
    <w:basedOn w:val="47"/>
    <w:qFormat/>
    <w:uiPriority w:val="99"/>
    <w:rPr>
      <w:rFonts w:cs="Times New Roman"/>
    </w:rPr>
  </w:style>
  <w:style w:type="character" w:customStyle="1" w:styleId="235">
    <w:name w:val="large1"/>
    <w:qFormat/>
    <w:uiPriority w:val="99"/>
    <w:rPr>
      <w:rFonts w:ascii="宋体" w:hAnsi="宋体" w:eastAsia="宋体"/>
      <w:sz w:val="21"/>
    </w:rPr>
  </w:style>
  <w:style w:type="character" w:customStyle="1" w:styleId="236">
    <w:name w:val="pagetitle"/>
    <w:basedOn w:val="47"/>
    <w:qFormat/>
    <w:uiPriority w:val="99"/>
    <w:rPr>
      <w:rFonts w:cs="Times New Roman"/>
    </w:rPr>
  </w:style>
  <w:style w:type="character" w:customStyle="1" w:styleId="237">
    <w:name w:val="Char Char7"/>
    <w:qFormat/>
    <w:uiPriority w:val="99"/>
    <w:rPr>
      <w:rFonts w:ascii="宋体" w:hAnsi="Courier New" w:eastAsia="宋体"/>
      <w:spacing w:val="-4"/>
      <w:kern w:val="2"/>
      <w:sz w:val="18"/>
      <w:lang w:val="en-US" w:eastAsia="zh-CN"/>
    </w:rPr>
  </w:style>
  <w:style w:type="character" w:customStyle="1" w:styleId="238">
    <w:name w:val="font2"/>
    <w:qFormat/>
    <w:uiPriority w:val="99"/>
    <w:rPr>
      <w:rFonts w:ascii="Arial" w:hAnsi="Arial"/>
      <w:color w:val="333333"/>
      <w:spacing w:val="0"/>
      <w:sz w:val="18"/>
    </w:rPr>
  </w:style>
  <w:style w:type="character" w:customStyle="1" w:styleId="239">
    <w:name w:val="tw4winTerm"/>
    <w:qFormat/>
    <w:uiPriority w:val="99"/>
    <w:rPr>
      <w:color w:val="0000FF"/>
    </w:rPr>
  </w:style>
  <w:style w:type="character" w:customStyle="1" w:styleId="240">
    <w:name w:val="line1"/>
    <w:qFormat/>
    <w:uiPriority w:val="99"/>
    <w:rPr>
      <w:u w:val="none"/>
    </w:rPr>
  </w:style>
  <w:style w:type="character" w:customStyle="1" w:styleId="241">
    <w:name w:val="style11"/>
    <w:qFormat/>
    <w:uiPriority w:val="99"/>
    <w:rPr>
      <w:rFonts w:eastAsia="宋体"/>
      <w:kern w:val="2"/>
      <w:sz w:val="21"/>
      <w:lang w:val="en-US" w:eastAsia="zh-CN"/>
    </w:rPr>
  </w:style>
  <w:style w:type="character" w:customStyle="1" w:styleId="242">
    <w:name w:val="标题 2 Char"/>
    <w:qFormat/>
    <w:uiPriority w:val="99"/>
    <w:rPr>
      <w:rFonts w:ascii="Arial" w:hAnsi="Arial" w:eastAsia="黑体"/>
      <w:b/>
      <w:kern w:val="2"/>
      <w:sz w:val="32"/>
      <w:lang w:val="en-US" w:eastAsia="zh-CN"/>
    </w:rPr>
  </w:style>
  <w:style w:type="character" w:customStyle="1" w:styleId="243">
    <w:name w:val="!我的正文 Ctr+Q Char"/>
    <w:link w:val="132"/>
    <w:qFormat/>
    <w:locked/>
    <w:uiPriority w:val="99"/>
    <w:rPr>
      <w:rFonts w:ascii="Arial" w:hAnsi="Arial" w:eastAsia="宋体"/>
      <w:kern w:val="2"/>
      <w:sz w:val="21"/>
      <w:lang w:val="en-US" w:eastAsia="zh-CN"/>
    </w:rPr>
  </w:style>
  <w:style w:type="character" w:customStyle="1" w:styleId="244">
    <w:name w:val="point_normal1"/>
    <w:qFormat/>
    <w:uiPriority w:val="99"/>
    <w:rPr>
      <w:rFonts w:ascii="Arial" w:hAnsi="Arial"/>
      <w:sz w:val="18"/>
    </w:rPr>
  </w:style>
  <w:style w:type="character" w:customStyle="1" w:styleId="245">
    <w:name w:val="tw4winError"/>
    <w:qFormat/>
    <w:uiPriority w:val="99"/>
    <w:rPr>
      <w:rFonts w:ascii="Courier New" w:hAnsi="Courier New"/>
      <w:color w:val="00FF00"/>
      <w:sz w:val="40"/>
    </w:rPr>
  </w:style>
  <w:style w:type="character" w:customStyle="1" w:styleId="246">
    <w:name w:val="unnamed11"/>
    <w:qFormat/>
    <w:uiPriority w:val="99"/>
    <w:rPr>
      <w:sz w:val="20"/>
    </w:rPr>
  </w:style>
  <w:style w:type="character" w:customStyle="1" w:styleId="247">
    <w:name w:val="tw4winInternal"/>
    <w:qFormat/>
    <w:uiPriority w:val="99"/>
    <w:rPr>
      <w:rFonts w:ascii="Courier New" w:hAnsi="Courier New"/>
      <w:color w:val="FF0000"/>
    </w:rPr>
  </w:style>
  <w:style w:type="character" w:customStyle="1" w:styleId="248">
    <w:name w:val="style31"/>
    <w:qFormat/>
    <w:uiPriority w:val="99"/>
    <w:rPr>
      <w:color w:val="4B4B4B"/>
    </w:rPr>
  </w:style>
  <w:style w:type="character" w:customStyle="1" w:styleId="249">
    <w:name w:val="标题 2 Char1"/>
    <w:qFormat/>
    <w:uiPriority w:val="99"/>
    <w:rPr>
      <w:rFonts w:ascii="Arial" w:hAnsi="Arial" w:eastAsia="宋体"/>
      <w:b/>
      <w:sz w:val="32"/>
    </w:rPr>
  </w:style>
  <w:style w:type="character" w:customStyle="1" w:styleId="250">
    <w:name w:val="tw4winPopup"/>
    <w:qFormat/>
    <w:uiPriority w:val="99"/>
    <w:rPr>
      <w:rFonts w:ascii="Courier New" w:hAnsi="Courier New"/>
      <w:color w:val="008000"/>
    </w:rPr>
  </w:style>
  <w:style w:type="character" w:customStyle="1" w:styleId="251">
    <w:name w:val="A C"/>
    <w:qFormat/>
    <w:uiPriority w:val="99"/>
    <w:rPr>
      <w:rFonts w:ascii="仿宋_GB2312"/>
      <w:sz w:val="24"/>
    </w:rPr>
  </w:style>
  <w:style w:type="character" w:customStyle="1" w:styleId="252">
    <w:name w:val="标题 1 Char"/>
    <w:basedOn w:val="47"/>
    <w:qFormat/>
    <w:uiPriority w:val="99"/>
    <w:rPr>
      <w:rFonts w:cs="Times New Roman"/>
      <w:b/>
      <w:bCs/>
      <w:kern w:val="44"/>
      <w:sz w:val="44"/>
      <w:szCs w:val="44"/>
    </w:rPr>
  </w:style>
  <w:style w:type="character" w:customStyle="1" w:styleId="253">
    <w:name w:val="样式 小四"/>
    <w:qFormat/>
    <w:uiPriority w:val="99"/>
    <w:rPr>
      <w:sz w:val="21"/>
    </w:rPr>
  </w:style>
  <w:style w:type="character" w:customStyle="1" w:styleId="254">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255">
    <w:name w:val="text11"/>
    <w:qFormat/>
    <w:uiPriority w:val="99"/>
    <w:rPr>
      <w:rFonts w:ascii="Verdana" w:hAnsi="Verdana"/>
      <w:color w:val="4E4E4E"/>
      <w:sz w:val="18"/>
    </w:rPr>
  </w:style>
  <w:style w:type="character" w:customStyle="1" w:styleId="256">
    <w:name w:val="font31"/>
    <w:basedOn w:val="47"/>
    <w:qFormat/>
    <w:uiPriority w:val="99"/>
    <w:rPr>
      <w:rFonts w:ascii="宋体" w:hAnsi="宋体" w:eastAsia="宋体" w:cs="宋体"/>
      <w:color w:val="000000"/>
      <w:sz w:val="21"/>
      <w:szCs w:val="21"/>
      <w:u w:val="none"/>
    </w:rPr>
  </w:style>
  <w:style w:type="character" w:customStyle="1" w:styleId="257">
    <w:name w:val="font11"/>
    <w:basedOn w:val="47"/>
    <w:qFormat/>
    <w:uiPriority w:val="99"/>
    <w:rPr>
      <w:rFonts w:ascii="Times New Roman" w:hAnsi="Times New Roman" w:cs="Times New Roman"/>
      <w:color w:val="000000"/>
      <w:sz w:val="21"/>
      <w:szCs w:val="21"/>
      <w:u w:val="none"/>
    </w:rPr>
  </w:style>
  <w:style w:type="paragraph" w:customStyle="1" w:styleId="258">
    <w:name w:val="F-正文"/>
    <w:qFormat/>
    <w:uiPriority w:val="0"/>
    <w:pPr>
      <w:spacing w:line="560" w:lineRule="exact"/>
      <w:jc w:val="both"/>
    </w:pPr>
    <w:rPr>
      <w:rFonts w:ascii="Times" w:hAnsi="Times" w:eastAsia="仿宋" w:cs="Times New Roman"/>
      <w:kern w:val="2"/>
      <w:sz w:val="24"/>
      <w:lang w:val="en-US" w:eastAsia="zh-CN" w:bidi="ar-SA"/>
    </w:rPr>
  </w:style>
  <w:style w:type="paragraph" w:customStyle="1" w:styleId="259">
    <w:name w:val="_Style 3"/>
    <w:basedOn w:val="1"/>
    <w:qFormat/>
    <w:uiPriority w:val="1"/>
    <w:pPr>
      <w:adjustRightInd/>
      <w:ind w:firstLine="420" w:firstLineChars="200"/>
    </w:pPr>
    <w:rPr>
      <w:rFonts w:eastAsia="仿宋_GB2312"/>
      <w:sz w:val="28"/>
    </w:rPr>
  </w:style>
  <w:style w:type="character" w:customStyle="1" w:styleId="260">
    <w:name w:val="NormalCharacter"/>
    <w:qFormat/>
    <w:uiPriority w:val="0"/>
  </w:style>
  <w:style w:type="character" w:customStyle="1" w:styleId="261">
    <w:name w:val="标题 2 字符"/>
    <w:link w:val="4"/>
    <w:qFormat/>
    <w:uiPriority w:val="0"/>
    <w:rPr>
      <w:rFonts w:ascii="Arial" w:hAnsi="Arial" w:eastAsia="宋体"/>
      <w:b/>
      <w:bCs/>
      <w:kern w:val="2"/>
      <w:sz w:val="28"/>
      <w:szCs w:val="32"/>
      <w:lang w:val="en-US" w:eastAsia="zh-CN" w:bidi="ar-SA"/>
    </w:rPr>
  </w:style>
  <w:style w:type="paragraph" w:customStyle="1" w:styleId="262">
    <w:name w:val="BodyText1I"/>
    <w:basedOn w:val="263"/>
    <w:qFormat/>
    <w:uiPriority w:val="0"/>
    <w:pPr>
      <w:ind w:firstLine="420" w:firstLineChars="100"/>
      <w:jc w:val="both"/>
      <w:textAlignment w:val="baseline"/>
    </w:pPr>
  </w:style>
  <w:style w:type="paragraph" w:customStyle="1" w:styleId="263">
    <w:name w:val="BodyText"/>
    <w:basedOn w:val="1"/>
    <w:next w:val="264"/>
    <w:qFormat/>
    <w:uiPriority w:val="0"/>
    <w:pPr>
      <w:jc w:val="both"/>
      <w:textAlignment w:val="baseline"/>
    </w:pPr>
    <w:rPr>
      <w:rFonts w:ascii="宋体" w:hAnsi="宋体" w:eastAsia="宋体"/>
      <w:kern w:val="2"/>
      <w:sz w:val="21"/>
      <w:szCs w:val="21"/>
      <w:lang w:val="zh-CN" w:eastAsia="zh-CN" w:bidi="zh-CN"/>
    </w:rPr>
  </w:style>
  <w:style w:type="paragraph" w:customStyle="1" w:styleId="264">
    <w:name w:val="TOC2"/>
    <w:basedOn w:val="1"/>
    <w:next w:val="1"/>
    <w:qFormat/>
    <w:uiPriority w:val="0"/>
    <w:pPr>
      <w:ind w:left="420" w:leftChars="200"/>
      <w:jc w:val="both"/>
      <w:textAlignment w:val="baseline"/>
    </w:pPr>
  </w:style>
  <w:style w:type="paragraph" w:customStyle="1" w:styleId="265">
    <w:name w:val="条款正文"/>
    <w:basedOn w:val="1"/>
    <w:qFormat/>
    <w:uiPriority w:val="0"/>
    <w:pPr>
      <w:adjustRightInd w:val="0"/>
      <w:snapToGrid w:val="0"/>
      <w:ind w:left="840" w:leftChars="400" w:firstLine="420" w:firstLineChars="200"/>
    </w:pPr>
    <w:rPr>
      <w:szCs w:val="20"/>
    </w:rPr>
  </w:style>
  <w:style w:type="paragraph" w:customStyle="1" w:styleId="266">
    <w:name w:val="Plain Text"/>
    <w:basedOn w:val="1"/>
    <w:next w:val="1"/>
    <w:qFormat/>
    <w:uiPriority w:val="0"/>
    <w:pPr>
      <w:spacing w:before="156" w:beforeLines="50" w:after="156" w:afterLines="50" w:line="400" w:lineRule="exact"/>
    </w:pPr>
    <w:rPr>
      <w:rFonts w:ascii="宋体" w:hAnsi="Courier New" w:eastAsia="宋体" w:cs="Times New Roman"/>
      <w:kern w:val="2"/>
      <w:sz w:val="24"/>
      <w:lang w:val="en-US" w:eastAsia="zh-CN"/>
    </w:rPr>
  </w:style>
  <w:style w:type="character" w:customStyle="1" w:styleId="267">
    <w:name w:val="ca-11"/>
    <w:qFormat/>
    <w:uiPriority w:val="0"/>
    <w:rPr>
      <w:rFonts w:hint="eastAsia" w:ascii="仿宋_GB2312" w:eastAsia="仿宋_GB2312"/>
      <w:sz w:val="28"/>
      <w:szCs w:val="28"/>
    </w:rPr>
  </w:style>
  <w:style w:type="paragraph" w:customStyle="1" w:styleId="268">
    <w:name w:val="Body Text 3"/>
    <w:basedOn w:val="1"/>
    <w:qFormat/>
    <w:uiPriority w:val="0"/>
    <w:pPr>
      <w:snapToGrid w:val="0"/>
      <w:spacing w:before="50" w:beforeLines="0" w:after="50" w:afterLines="0"/>
    </w:pPr>
    <w:rPr>
      <w:rFonts w:cs="Times New Roman"/>
      <w:sz w:val="16"/>
      <w:szCs w:val="16"/>
    </w:rPr>
  </w:style>
  <w:style w:type="paragraph" w:customStyle="1" w:styleId="269">
    <w:name w:val="列出段落3"/>
    <w:basedOn w:val="1"/>
    <w:qFormat/>
    <w:uiPriority w:val="0"/>
    <w:pPr>
      <w:ind w:firstLine="420" w:firstLineChars="200"/>
    </w:pPr>
  </w:style>
  <w:style w:type="paragraph" w:customStyle="1" w:styleId="27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纯文本1"/>
    <w:basedOn w:val="57"/>
    <w:qFormat/>
    <w:uiPriority w:val="99"/>
    <w:pPr>
      <w:widowControl/>
      <w:jc w:val="left"/>
    </w:pPr>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77</Pages>
  <Words>17348</Words>
  <Characters>19085</Characters>
  <Lines>0</Lines>
  <Paragraphs>0</Paragraphs>
  <TotalTime>18</TotalTime>
  <ScaleCrop>false</ScaleCrop>
  <LinksUpToDate>false</LinksUpToDate>
  <CharactersWithSpaces>19506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2020-08-26T06:52:00Z</dcterms:created>
  <dc:creator>厉先光</dc:creator>
  <cp:lastModifiedBy>WPS_1592890326</cp:lastModifiedBy>
  <cp:lastPrinted>2025-07-15T07:59:00Z</cp:lastPrinted>
  <dcterms:modified xsi:type="dcterms:W3CDTF">2025-07-18T01:04:13Z</dcterms:modified>
  <dc:title>浙江省政府采购招标文件范本（试行）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D51926204A524C34A92DD53EA8CDB3C0_13</vt:lpwstr>
  </property>
  <property fmtid="{D5CDD505-2E9C-101B-9397-08002B2CF9AE}" pid="4" name="KSOTemplateDocerSaveRecord">
    <vt:lpwstr>eyJoZGlkIjoiOGY1ZTI3YTUyMTgxYjgxNjNhMWVhMTA0NTI5MDg0M2MiLCJ1c2VySWQiOiIxMDIwNDgwODAxIn0=</vt:lpwstr>
  </property>
</Properties>
</file>