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杭州市拱墅区湖墅街道2025年度企退人员自管小组文体活动服务采购项目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编号:XHGL-2025-1029</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杭州市拱墅区人民政府湖墅街道办事处</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杭州兴恒项目管理有限公司</w:t>
      </w:r>
      <w:r>
        <w:rPr>
          <w:rFonts w:hint="eastAsia" w:ascii="宋体" w:hAnsi="宋体" w:cs="宋体"/>
          <w:bCs/>
          <w:color w:val="auto"/>
          <w:sz w:val="32"/>
          <w:szCs w:val="32"/>
          <w:highlight w:val="none"/>
          <w:lang w:val="en-US" w:eastAsia="zh-CN"/>
        </w:rPr>
        <w:br w:type="textWrapping"/>
      </w: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杭州市拱墅区湖墅街道2025年度企退人员自管小组文体活动服务采购项目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7</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24</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1</w:t>
      </w:r>
      <w:r>
        <w:rPr>
          <w:rStyle w:val="78"/>
          <w:rFonts w:hint="eastAsia" w:ascii="宋体" w:hAnsi="宋体" w:eastAsia="宋体" w:cs="宋体"/>
          <w:snapToGrid/>
          <w:color w:val="auto"/>
          <w:kern w:val="2"/>
          <w:sz w:val="24"/>
          <w:szCs w:val="24"/>
          <w:highlight w:val="none"/>
          <w:lang w:val="en-US" w:eastAsia="zh-CN"/>
        </w:rPr>
        <w:t>4</w:t>
      </w:r>
      <w:r>
        <w:rPr>
          <w:rStyle w:val="78"/>
          <w:rFonts w:hint="eastAsia" w:ascii="宋体" w:hAnsi="宋体" w:eastAsia="宋体" w:cs="宋体"/>
          <w:snapToGrid/>
          <w:color w:val="auto"/>
          <w:kern w:val="2"/>
          <w:sz w:val="24"/>
          <w:szCs w:val="24"/>
          <w:highlight w:val="none"/>
        </w:rPr>
        <w:t xml:space="preserve"> </w:t>
      </w:r>
      <w:r>
        <w:rPr>
          <w:rStyle w:val="78"/>
          <w:rFonts w:hint="eastAsia" w:ascii="宋体" w:hAnsi="宋体" w:eastAsia="宋体" w:cs="宋体"/>
          <w:snapToGrid/>
          <w:color w:val="auto"/>
          <w:kern w:val="2"/>
          <w:sz w:val="24"/>
          <w:szCs w:val="24"/>
          <w:highlight w:val="none"/>
          <w:lang w:val="en-US" w:eastAsia="zh-CN"/>
        </w:rPr>
        <w:t>点00</w:t>
      </w:r>
      <w:r>
        <w:rPr>
          <w:rStyle w:val="78"/>
          <w:rFonts w:hint="eastAsia" w:ascii="宋体" w:hAnsi="宋体" w:eastAsia="宋体" w:cs="宋体"/>
          <w:snapToGrid/>
          <w:color w:val="auto"/>
          <w:kern w:val="2"/>
          <w:sz w:val="24"/>
          <w:szCs w:val="24"/>
          <w:highlight w:val="none"/>
        </w:rPr>
        <w:t xml:space="preserve"> 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（采购编号）</w:t>
      </w:r>
    </w:p>
    <w:p w14:paraId="0312D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项目名称：</w:t>
      </w:r>
      <w:r>
        <w:rPr>
          <w:rFonts w:hint="eastAsia" w:ascii="宋体" w:hAnsi="宋体" w:cs="宋体"/>
          <w:color w:val="auto"/>
          <w:sz w:val="24"/>
          <w:highlight w:val="none"/>
          <w:lang w:eastAsia="zh-CN"/>
        </w:rPr>
        <w:t>杭州市拱墅区湖墅街道2025年度企退人员自管小组文体活动服务采购项目</w:t>
      </w:r>
    </w:p>
    <w:p w14:paraId="1C6D4CAA">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eastAsia="zh-CN"/>
        </w:rPr>
        <w:t xml:space="preserve">1118000.00    </w:t>
      </w:r>
    </w:p>
    <w:p w14:paraId="524783DF">
      <w:pPr>
        <w:spacing w:line="360" w:lineRule="auto"/>
        <w:ind w:firstLine="480"/>
        <w:rPr>
          <w:rFonts w:hint="eastAsia" w:ascii="宋体" w:hAnsi="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lang w:eastAsia="zh-CN"/>
        </w:rPr>
        <w:t xml:space="preserve">1118000.00    </w:t>
      </w:r>
    </w:p>
    <w:p w14:paraId="6EC5DB8E">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拱墅区湖墅街道2025年度企退人员自管小组文体活动服务采购项目，主要内容：根据杭州市企业退休人员管理服务中心的相关要求，组织企业退休人员参加文娱健身等小型多样化活动，活动金额为每年130元/人。根据杭退管【2024】4号文件规定，街道按照小型、多样、就近、安全的原则，组织退休人员自管小组文体活动，目前街道企退人员约8600人，预计总费用约1118000元（总费用按实际参与活动人数结算）。具体以招标文</w:t>
      </w:r>
      <w:r>
        <w:rPr>
          <w:rFonts w:hint="eastAsia" w:asciiTheme="minorEastAsia" w:hAnsiTheme="minorEastAsia" w:eastAsiaTheme="minorEastAsia"/>
          <w:snapToGrid/>
          <w:color w:val="auto"/>
          <w:kern w:val="2"/>
          <w:sz w:val="24"/>
          <w:szCs w:val="24"/>
          <w:highlight w:val="none"/>
        </w:rPr>
        <w:t>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eastAsia="宋体" w:cs="宋体"/>
          <w:bCs/>
          <w:snapToGrid/>
          <w:color w:val="auto"/>
          <w:kern w:val="2"/>
          <w:sz w:val="24"/>
          <w:szCs w:val="24"/>
          <w:highlight w:val="none"/>
          <w:lang w:val="en-US" w:eastAsia="zh-CN" w:bidi="ar-SA"/>
        </w:rPr>
        <w:t xml:space="preserve">合同签订之日起至2025年12月31日。 </w:t>
      </w:r>
    </w:p>
    <w:p w14:paraId="07281B02">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 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称：杭州市拱墅区人民政府湖墅街道办事处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址：珠儿潭巷10号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项目联系人（询问）：邵老师   </w:t>
      </w:r>
    </w:p>
    <w:p w14:paraId="31CC70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项目联系方式（询问）：89508555 </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质疑联系人：蒋老师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质疑联系方式：89508598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BDE0C4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杭州兴恒项目管理有限公司</w:t>
      </w:r>
    </w:p>
    <w:p w14:paraId="16C39B44">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杭州市拱墅区中大银泰城4-1218室</w:t>
      </w:r>
    </w:p>
    <w:p w14:paraId="4E949C1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5D818D54">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徐攀</w:t>
      </w:r>
    </w:p>
    <w:p w14:paraId="27299EF7">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18758232336</w:t>
      </w:r>
    </w:p>
    <w:p w14:paraId="6C309D9B">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质疑联系人： </w:t>
      </w:r>
      <w:r>
        <w:rPr>
          <w:rFonts w:hint="eastAsia" w:ascii="宋体" w:hAnsi="宋体" w:cs="宋体"/>
          <w:color w:val="auto"/>
          <w:sz w:val="24"/>
          <w:highlight w:val="none"/>
          <w:lang w:val="en-US" w:eastAsia="zh-CN"/>
        </w:rPr>
        <w:t>徐工</w:t>
      </w:r>
    </w:p>
    <w:p w14:paraId="3A2350F8">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19558111806</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名    称：</w:t>
      </w:r>
      <w:r>
        <w:rPr>
          <w:rFonts w:hint="eastAsia" w:ascii="宋体" w:hAnsi="宋体" w:eastAsia="宋体" w:cs="宋体"/>
          <w:color w:val="auto"/>
          <w:sz w:val="24"/>
          <w:highlight w:val="none"/>
        </w:rPr>
        <w:t xml:space="preserve">杭州市拱墅区财政局 </w:t>
      </w:r>
      <w:r>
        <w:rPr>
          <w:rFonts w:hint="eastAsia" w:ascii="宋体" w:hAnsi="宋体" w:cs="宋体"/>
          <w:color w:val="auto"/>
          <w:sz w:val="24"/>
          <w:highlight w:val="none"/>
        </w:rPr>
        <w:t>/浙江省政府采购行政裁决服务中心（杭州）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2109C33">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8A6A523">
      <w:pPr>
        <w:pStyle w:val="81"/>
        <w:rPr>
          <w:rFonts w:hint="eastAsia"/>
          <w:color w:val="auto"/>
          <w:lang w:val="en-US" w:eastAsia="zh-CN"/>
        </w:rPr>
      </w:pP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杭州市拱墅区湖墅街道2025年度企退人员自管小组文体活动服务采购项目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43BF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eastAsia="宋体" w:cs="宋体"/>
                <w:color w:val="auto"/>
                <w:sz w:val="24"/>
                <w:highlight w:val="none"/>
                <w:u w:val="single"/>
              </w:rPr>
              <w:t xml:space="preserve"> 如运输 </w:t>
            </w:r>
            <w:r>
              <w:rPr>
                <w:rFonts w:hint="eastAsia" w:ascii="宋体" w:hAnsi="宋体" w:cs="宋体"/>
                <w:color w:val="auto"/>
                <w:sz w:val="24"/>
                <w:highlight w:val="none"/>
              </w:rPr>
              <w:t>工作分包。</w:t>
            </w:r>
          </w:p>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1"/>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1"/>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1"/>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1"/>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1"/>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杭州市教工路199号保亭综合楼306室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18758232336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24856D27">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（1）支付方：中标供应商。</w:t>
            </w:r>
          </w:p>
          <w:p w14:paraId="2DB9367A">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（2）收费标准：本次招标代理费由中标单位负责支付，招标代理服务费包含在投标总价中。本项目招标代理服务费按照《招标代理服务收费管理暂行办法》（计价格[2002]1980号）文件收费标准</w:t>
            </w:r>
            <w:r>
              <w:rPr>
                <w:rFonts w:hint="eastAsia" w:ascii="宋体" w:hAnsi="宋体" w:eastAsia="宋体" w:cs="宋体"/>
                <w:snapToGrid w:val="0"/>
                <w:color w:val="auto"/>
                <w:kern w:val="28"/>
                <w:sz w:val="24"/>
                <w:highlight w:val="none"/>
                <w:lang w:val="en-US" w:eastAsia="zh-CN"/>
              </w:rPr>
              <w:t>的60%</w:t>
            </w:r>
            <w:r>
              <w:rPr>
                <w:rFonts w:hint="eastAsia" w:ascii="宋体" w:hAnsi="宋体" w:eastAsia="宋体" w:cs="宋体"/>
                <w:snapToGrid w:val="0"/>
                <w:color w:val="auto"/>
                <w:kern w:val="28"/>
                <w:sz w:val="24"/>
                <w:highlight w:val="none"/>
              </w:rPr>
              <w:t>计取，计算基数为</w:t>
            </w:r>
            <w:r>
              <w:rPr>
                <w:rFonts w:hint="eastAsia" w:ascii="宋体" w:hAnsi="宋体" w:eastAsia="宋体" w:cs="宋体"/>
                <w:snapToGrid w:val="0"/>
                <w:color w:val="auto"/>
                <w:kern w:val="28"/>
                <w:sz w:val="24"/>
                <w:highlight w:val="none"/>
                <w:lang w:val="en-US" w:eastAsia="zh-CN"/>
              </w:rPr>
              <w:t>中标价</w:t>
            </w:r>
            <w:r>
              <w:rPr>
                <w:rFonts w:hint="eastAsia" w:ascii="宋体" w:hAnsi="宋体" w:eastAsia="宋体" w:cs="宋体"/>
                <w:snapToGrid w:val="0"/>
                <w:color w:val="auto"/>
                <w:kern w:val="28"/>
                <w:sz w:val="24"/>
                <w:highlight w:val="none"/>
              </w:rPr>
              <w:t>。</w:t>
            </w:r>
          </w:p>
          <w:p w14:paraId="356BC0D6">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（3）缴纳时间：采购结果发布后5日内一次性缴纳。</w:t>
            </w:r>
          </w:p>
          <w:p w14:paraId="233C4C9F">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（4）收取账户：</w:t>
            </w:r>
          </w:p>
          <w:p w14:paraId="6E50466C">
            <w:pPr>
              <w:spacing w:line="360" w:lineRule="auto"/>
              <w:rPr>
                <w:rFonts w:hint="eastAsia" w:ascii="宋体" w:hAnsi="宋体" w:eastAsia="宋体" w:cs="宋体"/>
                <w:snapToGrid w:val="0"/>
                <w:color w:val="auto"/>
                <w:kern w:val="28"/>
                <w:sz w:val="24"/>
                <w:highlight w:val="none"/>
              </w:rPr>
            </w:pPr>
            <w:r>
              <w:rPr>
                <w:rFonts w:hint="eastAsia" w:ascii="宋体" w:hAnsi="宋体" w:cs="宋体"/>
                <w:snapToGrid w:val="0"/>
                <w:color w:val="auto"/>
                <w:kern w:val="28"/>
                <w:sz w:val="24"/>
                <w:highlight w:val="none"/>
                <w:lang w:val="en-US" w:eastAsia="zh-CN"/>
              </w:rPr>
              <w:t>杭州兴恒项目管理有限公司</w:t>
            </w:r>
            <w:r>
              <w:rPr>
                <w:rFonts w:hint="eastAsia" w:ascii="宋体" w:hAnsi="宋体" w:eastAsia="宋体" w:cs="宋体"/>
                <w:snapToGrid w:val="0"/>
                <w:color w:val="auto"/>
                <w:kern w:val="28"/>
                <w:sz w:val="24"/>
                <w:highlight w:val="none"/>
              </w:rPr>
              <w:t>（户名）</w:t>
            </w:r>
          </w:p>
          <w:p w14:paraId="6E048E9C">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 xml:space="preserve"> </w:t>
            </w:r>
            <w:r>
              <w:rPr>
                <w:rFonts w:hint="eastAsia" w:ascii="宋体" w:hAnsi="宋体" w:cs="宋体"/>
                <w:snapToGrid w:val="0"/>
                <w:color w:val="auto"/>
                <w:kern w:val="28"/>
                <w:sz w:val="24"/>
                <w:highlight w:val="none"/>
                <w:lang w:val="en-US" w:eastAsia="zh-CN"/>
              </w:rPr>
              <w:t>1202021809800134872</w:t>
            </w:r>
            <w:r>
              <w:rPr>
                <w:rFonts w:hint="eastAsia" w:ascii="宋体" w:hAnsi="宋体" w:eastAsia="宋体" w:cs="宋体"/>
                <w:snapToGrid w:val="0"/>
                <w:color w:val="auto"/>
                <w:kern w:val="28"/>
                <w:sz w:val="24"/>
                <w:highlight w:val="none"/>
              </w:rPr>
              <w:t xml:space="preserve">（帐号） </w:t>
            </w:r>
          </w:p>
          <w:p w14:paraId="01D19568">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工行</w:t>
            </w:r>
            <w:r>
              <w:rPr>
                <w:rFonts w:hint="eastAsia" w:ascii="宋体" w:hAnsi="宋体" w:cs="宋体"/>
                <w:snapToGrid w:val="0"/>
                <w:color w:val="auto"/>
                <w:kern w:val="28"/>
                <w:sz w:val="24"/>
                <w:highlight w:val="none"/>
                <w:lang w:val="en-US" w:eastAsia="zh-CN"/>
              </w:rPr>
              <w:t>东新</w:t>
            </w:r>
            <w:r>
              <w:rPr>
                <w:rFonts w:hint="eastAsia" w:ascii="宋体" w:hAnsi="宋体" w:eastAsia="宋体" w:cs="宋体"/>
                <w:snapToGrid w:val="0"/>
                <w:color w:val="auto"/>
                <w:kern w:val="28"/>
                <w:sz w:val="24"/>
                <w:highlight w:val="none"/>
              </w:rPr>
              <w:t>支行（开户行）</w:t>
            </w:r>
          </w:p>
          <w:p w14:paraId="605D6B14">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（5）缴纳形式：电汇、转账、支票、汇票（不接受现金）</w:t>
            </w:r>
          </w:p>
          <w:p w14:paraId="1ADAE161">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color w:val="auto"/>
                <w:kern w:val="28"/>
                <w:sz w:val="24"/>
                <w:highlight w:val="none"/>
              </w:rPr>
              <w:t>（6）特别说明：采购代理服务费缴纳凭证将作为采购人合同付款和验收的前提条件，中标供应商未按采购文件规定和投标承诺缴纳采购代理服务费的，合同款不予支付、验收不予通过。</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w:t>
      </w:r>
      <w:r>
        <w:rPr>
          <w:rFonts w:hint="eastAsia" w:hAnsi="宋体" w:cs="宋体"/>
          <w:color w:val="auto"/>
          <w:sz w:val="24"/>
          <w:szCs w:val="24"/>
          <w:highlight w:val="none"/>
          <w:lang w:eastAsia="zh-CN"/>
        </w:rPr>
        <w:t>杭州市拱墅区湖墅街道2025年度企退人员自管小组文体活动服务采购项目</w:t>
      </w:r>
      <w:r>
        <w:rPr>
          <w:rFonts w:hint="eastAsia" w:hAnsi="宋体" w:cs="宋体"/>
          <w:color w:val="auto"/>
          <w:sz w:val="24"/>
          <w:szCs w:val="24"/>
          <w:highlight w:val="none"/>
        </w:rPr>
        <w:t>，投标人名称(联合体投标的，包装物封面需注明联合体投标，并注明联合体成员各方的名称和联合协议中约定的牵头人的名称)。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w:t>
      </w:r>
      <w:r>
        <w:rPr>
          <w:rFonts w:hint="eastAsia" w:ascii="宋体" w:hAnsi="宋体" w:cs="宋体"/>
          <w:color w:val="auto"/>
          <w:sz w:val="24"/>
          <w:highlight w:val="none"/>
          <w:lang w:eastAsia="zh-CN"/>
        </w:rPr>
        <w:t>杭州市拱墅区湖墅街道2025年度企退人员自管小组文体活动服务采购项目</w:t>
      </w:r>
      <w:r>
        <w:rPr>
          <w:rFonts w:hint="eastAsia" w:ascii="宋体" w:hAnsi="宋体" w:cs="宋体"/>
          <w:color w:val="auto"/>
          <w:sz w:val="24"/>
          <w:highlight w:val="none"/>
        </w:rPr>
        <w:t>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2"/>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5"/>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6"/>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2"/>
        <w:rPr>
          <w:color w:val="auto"/>
          <w:highlight w:val="none"/>
        </w:rPr>
      </w:pPr>
    </w:p>
    <w:bookmarkEnd w:id="13"/>
    <w:p w14:paraId="2BE2D54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57669"/>
      <w:bookmarkEnd w:id="16"/>
      <w:bookmarkStart w:id="17" w:name="_Hlt74730295"/>
      <w:bookmarkEnd w:id="17"/>
      <w:bookmarkStart w:id="18" w:name="_Hlt68073093"/>
      <w:bookmarkEnd w:id="18"/>
      <w:bookmarkStart w:id="19" w:name="_Hlt68403820"/>
      <w:bookmarkEnd w:id="19"/>
      <w:bookmarkStart w:id="20" w:name="_Hlt74714665"/>
      <w:bookmarkEnd w:id="20"/>
      <w:bookmarkStart w:id="21" w:name="_Hlt75236011"/>
      <w:bookmarkEnd w:id="21"/>
      <w:bookmarkStart w:id="22" w:name="_Hlt68072998"/>
      <w:bookmarkEnd w:id="22"/>
      <w:bookmarkStart w:id="23" w:name="_Hlt74729768"/>
      <w:bookmarkEnd w:id="23"/>
      <w:bookmarkStart w:id="24" w:name="_Hlt75236290"/>
      <w:bookmarkEnd w:id="24"/>
      <w:bookmarkStart w:id="25" w:name="_Hlt68072990"/>
      <w:bookmarkEnd w:id="25"/>
      <w:bookmarkStart w:id="26" w:name="_Hlt75236101"/>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6AF0BD2">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一、项目概况</w:t>
      </w:r>
    </w:p>
    <w:p w14:paraId="6080D749">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杭退管【2024】4号文件规定，街道按照小型、多样、就近、安全的原则，组织退休人员自管小组文体活动，为规范活动组织工作，保证活动服务质量，提高管理工作效益，就2025年湖墅街道纳入社会化管理企业退休人员</w:t>
      </w:r>
      <w:r>
        <w:rPr>
          <w:rFonts w:hint="eastAsia" w:ascii="宋体" w:hAnsi="宋体" w:eastAsia="宋体" w:cs="宋体"/>
          <w:i w:val="0"/>
          <w:iCs w:val="0"/>
          <w:caps w:val="0"/>
          <w:color w:val="auto"/>
          <w:spacing w:val="0"/>
          <w:kern w:val="0"/>
          <w:sz w:val="24"/>
          <w:szCs w:val="24"/>
          <w:highlight w:val="none"/>
          <w:lang w:val="en-US" w:eastAsia="zh-CN" w:bidi="ar-SA"/>
        </w:rPr>
        <w:t>自管小组文体</w:t>
      </w:r>
      <w:r>
        <w:rPr>
          <w:rFonts w:hint="eastAsia" w:ascii="宋体" w:hAnsi="宋体" w:eastAsia="宋体" w:cs="宋体"/>
          <w:b w:val="0"/>
          <w:bCs w:val="0"/>
          <w:color w:val="auto"/>
          <w:kern w:val="0"/>
          <w:sz w:val="24"/>
          <w:szCs w:val="24"/>
          <w:highlight w:val="none"/>
          <w:lang w:val="en-US" w:eastAsia="zh-CN" w:bidi="ar-SA"/>
        </w:rPr>
        <w:t>活动组织承办服务进行公开招标。</w:t>
      </w:r>
    </w:p>
    <w:p w14:paraId="2754D8DB">
      <w:pPr>
        <w:pStyle w:val="965"/>
        <w:tabs>
          <w:tab w:val="left" w:pos="471"/>
        </w:tabs>
        <w:snapToGrid w:val="0"/>
        <w:spacing w:beforeLines="0" w:afterLines="0" w:line="360" w:lineRule="auto"/>
        <w:ind w:firstLine="482"/>
        <w:outlineLvl w:val="1"/>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二、采购内容</w:t>
      </w:r>
    </w:p>
    <w:p w14:paraId="4C49B604">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供应商负责提供2025年湖墅街道纳入社会化管理企业退休人员</w:t>
      </w:r>
      <w:r>
        <w:rPr>
          <w:rFonts w:hint="eastAsia" w:ascii="宋体" w:hAnsi="宋体" w:eastAsia="宋体" w:cs="宋体"/>
          <w:i w:val="0"/>
          <w:iCs w:val="0"/>
          <w:caps w:val="0"/>
          <w:color w:val="auto"/>
          <w:spacing w:val="0"/>
          <w:kern w:val="0"/>
          <w:sz w:val="24"/>
          <w:szCs w:val="24"/>
          <w:highlight w:val="none"/>
          <w:lang w:val="en-US" w:eastAsia="zh-CN" w:bidi="ar-SA"/>
        </w:rPr>
        <w:t>自管小组文体</w:t>
      </w:r>
      <w:r>
        <w:rPr>
          <w:rFonts w:hint="eastAsia" w:ascii="宋体" w:hAnsi="宋体" w:eastAsia="宋体" w:cs="宋体"/>
          <w:b w:val="0"/>
          <w:bCs w:val="0"/>
          <w:color w:val="auto"/>
          <w:kern w:val="0"/>
          <w:sz w:val="24"/>
          <w:szCs w:val="24"/>
          <w:highlight w:val="none"/>
          <w:lang w:val="en-US" w:eastAsia="zh-CN" w:bidi="ar-SA"/>
        </w:rPr>
        <w:t>活动（包含外出参观游览）的承办服务，具体包括活动策划、组织、执行。</w:t>
      </w:r>
    </w:p>
    <w:p w14:paraId="19A2BC05">
      <w:pPr>
        <w:pStyle w:val="965"/>
        <w:tabs>
          <w:tab w:val="left" w:pos="471"/>
        </w:tabs>
        <w:snapToGrid w:val="0"/>
        <w:spacing w:beforeLines="0" w:afterLines="0" w:line="360" w:lineRule="auto"/>
        <w:ind w:firstLine="482"/>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1.活动对象：湖墅街道纳入社会化管理的企业退休人员</w:t>
      </w:r>
    </w:p>
    <w:p w14:paraId="2C70A7A0">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2.活动人数：</w:t>
      </w:r>
      <w:r>
        <w:rPr>
          <w:rFonts w:hint="eastAsia" w:ascii="宋体" w:hAnsi="宋体" w:eastAsia="宋体" w:cs="宋体"/>
          <w:b w:val="0"/>
          <w:bCs w:val="0"/>
          <w:color w:val="auto"/>
          <w:kern w:val="0"/>
          <w:sz w:val="24"/>
          <w:szCs w:val="24"/>
          <w:highlight w:val="none"/>
          <w:lang w:val="en-US" w:eastAsia="zh-CN" w:bidi="ar-SA"/>
        </w:rPr>
        <w:t>约8600人,由招标人提供具体人员名单。</w:t>
      </w:r>
    </w:p>
    <w:p w14:paraId="0912F988">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3.活动特点：适合企业退休人员年龄段的活动形式。</w:t>
      </w:r>
    </w:p>
    <w:p w14:paraId="44093269">
      <w:pPr>
        <w:pStyle w:val="965"/>
        <w:tabs>
          <w:tab w:val="left" w:pos="471"/>
        </w:tabs>
        <w:snapToGrid w:val="0"/>
        <w:spacing w:beforeLines="0" w:afterLines="0" w:line="360" w:lineRule="auto"/>
        <w:ind w:firstLine="482"/>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4.个人经费标准：130元/人次</w:t>
      </w:r>
      <w:r>
        <w:rPr>
          <w:rFonts w:hint="eastAsia" w:ascii="宋体" w:hAnsi="宋体" w:eastAsia="宋体" w:cs="宋体"/>
          <w:b/>
          <w:color w:val="auto"/>
          <w:sz w:val="24"/>
          <w:szCs w:val="24"/>
          <w:u w:val="single"/>
        </w:rPr>
        <w:t>（本次招标价格不竞争）</w:t>
      </w:r>
      <w:r>
        <w:rPr>
          <w:rFonts w:hint="eastAsia" w:ascii="宋体" w:hAnsi="宋体" w:eastAsia="宋体" w:cs="宋体"/>
          <w:color w:val="auto"/>
          <w:kern w:val="0"/>
          <w:sz w:val="24"/>
          <w:szCs w:val="24"/>
          <w:highlight w:val="none"/>
          <w:lang w:val="en-US" w:eastAsia="zh-CN" w:bidi="ar-SA"/>
        </w:rPr>
        <w:t>。每人每年参加1次,不得发放现金或购物卡等代金卡（券），对75周岁以上及因客观原因不能参加活动的退休人员，可以组织慰问，发放慰问品（慰问品价格不得高于华润超市货品团购价格），若需要外地邮寄的，邮寄费用由供应商承担，同时向采购人提供邮寄凭证。</w:t>
      </w:r>
    </w:p>
    <w:p w14:paraId="512DFE99">
      <w:pPr>
        <w:pStyle w:val="965"/>
        <w:tabs>
          <w:tab w:val="left" w:pos="471"/>
        </w:tabs>
        <w:snapToGrid w:val="0"/>
        <w:spacing w:beforeLines="0" w:afterLines="0" w:line="360" w:lineRule="auto"/>
        <w:ind w:firstLine="482"/>
        <w:outlineLvl w:val="1"/>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4.服务期：合同签订</w:t>
      </w:r>
      <w:r>
        <w:rPr>
          <w:rFonts w:hint="eastAsia" w:ascii="宋体" w:hAnsi="宋体" w:eastAsia="宋体" w:cs="宋体"/>
          <w:b w:val="0"/>
          <w:bCs/>
          <w:color w:val="auto"/>
          <w:sz w:val="24"/>
          <w:highlight w:val="none"/>
        </w:rPr>
        <w:t>之日起至</w:t>
      </w:r>
      <w:r>
        <w:rPr>
          <w:rFonts w:hint="eastAsia" w:ascii="宋体" w:hAnsi="宋体" w:eastAsia="宋体" w:cs="宋体"/>
          <w:b w:val="0"/>
          <w:bCs/>
          <w:color w:val="auto"/>
          <w:sz w:val="24"/>
          <w:highlight w:val="none"/>
          <w:lang w:val="en-US" w:eastAsia="zh-CN"/>
        </w:rPr>
        <w:t>2025年12月31日。</w:t>
      </w:r>
    </w:p>
    <w:p w14:paraId="597DD913">
      <w:pPr>
        <w:pStyle w:val="965"/>
        <w:tabs>
          <w:tab w:val="left" w:pos="471"/>
        </w:tabs>
        <w:snapToGrid w:val="0"/>
        <w:spacing w:beforeLines="0" w:afterLines="0" w:line="360" w:lineRule="auto"/>
        <w:ind w:firstLine="482"/>
        <w:outlineLvl w:val="1"/>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三、服务要求</w:t>
      </w:r>
    </w:p>
    <w:p w14:paraId="011C34CF">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1.基本要求</w:t>
      </w:r>
    </w:p>
    <w:p w14:paraId="765CE6BF">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1.1文体活动应以小型、多样、就近和安全为原则，结合湖墅街道辖区内企业退休人员年龄实际情况，拟定计划、征求意见、组织实施。</w:t>
      </w:r>
    </w:p>
    <w:p w14:paraId="0F78337B">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1.2供应商应设有相对独立的服务热线电话和服务质量投诉电话，指定专人负责本项目的服务工作。</w:t>
      </w:r>
    </w:p>
    <w:p w14:paraId="3E895C3D">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1.3</w:t>
      </w:r>
      <w:r>
        <w:rPr>
          <w:rFonts w:hint="eastAsia" w:ascii="宋体" w:hAnsi="宋体" w:eastAsia="宋体" w:cs="宋体"/>
          <w:color w:val="auto"/>
          <w:kern w:val="0"/>
          <w:sz w:val="24"/>
          <w:szCs w:val="24"/>
          <w:highlight w:val="none"/>
          <w:lang w:val="en-US" w:eastAsia="zh-CN" w:bidi="ar-SA"/>
        </w:rPr>
        <w:t>供应商提供的活动策划及其他相关各项资料，使用前需交采购人认可，认可后的实施方案供应商方可执行。</w:t>
      </w:r>
    </w:p>
    <w:p w14:paraId="79909758">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2.活动形式要求</w:t>
      </w:r>
    </w:p>
    <w:p w14:paraId="1EF676B1">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2.1一次性活动：可适当整合资源，不接受现金、购物卡及有价证券的活动形式。</w:t>
      </w:r>
    </w:p>
    <w:p w14:paraId="1F2A9875">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2.2活动种类多样、可操作性强。投标人在响应文件中需提供不少于5种详细的多种类活动方案（包括但不限于活动类型、组织方式、活动时间、参加人数等），供企退人员进行选择。活动不得变相售卖任何产品，不得进行违法违规活动。</w:t>
      </w:r>
    </w:p>
    <w:p w14:paraId="71493CF4">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2.3辖区内上门慰问活动（针对不便外出人员）：使用上门慰问的形式必须向采购人提供有效的照片影像资料及签名台账，供应商实施上门慰问活动时不得外包第三方单位落实。</w:t>
      </w:r>
    </w:p>
    <w:p w14:paraId="75FAC4BB">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2.4活动组织方式：小型活动，包括但不限于外出参观游览，文娱健身活动须安排在街道辖区场地组织，开展活动前，中标人应落实活动场地、确保活动场地的安全可靠，并报采购人确认。活动所需的配套设施设备应符合活动要求。投标人对活动开展过程中（包括报名、活动签到、</w:t>
      </w:r>
      <w:r>
        <w:rPr>
          <w:rFonts w:hint="eastAsia" w:cs="宋体"/>
          <w:b w:val="0"/>
          <w:bCs w:val="0"/>
          <w:color w:val="auto"/>
          <w:kern w:val="0"/>
          <w:sz w:val="24"/>
          <w:szCs w:val="24"/>
          <w:highlight w:val="none"/>
          <w:lang w:val="en-US" w:eastAsia="zh-CN" w:bidi="ar-SA"/>
        </w:rPr>
        <w:t>资格认证、</w:t>
      </w:r>
      <w:r>
        <w:rPr>
          <w:rFonts w:hint="eastAsia" w:ascii="宋体" w:hAnsi="宋体" w:eastAsia="宋体" w:cs="宋体"/>
          <w:b w:val="0"/>
          <w:bCs w:val="0"/>
          <w:color w:val="auto"/>
          <w:kern w:val="0"/>
          <w:sz w:val="24"/>
          <w:szCs w:val="24"/>
          <w:highlight w:val="none"/>
          <w:lang w:val="en-US" w:eastAsia="zh-CN" w:bidi="ar-SA"/>
        </w:rPr>
        <w:t>活动结束人员统计）制定详细的活动人员组织安排方案。活动策划需体现活动宣传标语内容，活动结束后需在市级媒体上自行发布2篇活动信息。</w:t>
      </w:r>
    </w:p>
    <w:p w14:paraId="54F33153">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2.5企退人员活动时间：按照街道确定的活动方案，由企退人员自由选择，截止时间为2025年12月31 日。</w:t>
      </w:r>
    </w:p>
    <w:p w14:paraId="6A030A9B">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3.参观游览的活动安排要求：</w:t>
      </w:r>
    </w:p>
    <w:p w14:paraId="02D038FF">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3.1制定游览活动开展的工作程序和步骤、活动过程中的管理和协调方法、相关服务保障措施。</w:t>
      </w:r>
    </w:p>
    <w:p w14:paraId="218E9250">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3.2一般上午就近集中出发，中午集中就餐，下午结束后返回出发点，具体线路与景点由投标人给出方案，在响应文件中明确，活动全程不允许进行任何形式的商业推广产品促销。</w:t>
      </w:r>
    </w:p>
    <w:p w14:paraId="06D43462">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3.3提供不少于5条外出参观游览方案，具体线路、景点由投标人自行设计，需详细说明线路，标明点与点的行程距离、地理位置及所耗交通时间与景点参观时长。</w:t>
      </w:r>
    </w:p>
    <w:p w14:paraId="6D59DC16">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3.4交通：全程空调旅游车接送。</w:t>
      </w:r>
    </w:p>
    <w:p w14:paraId="0AB2E818">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3.5车辆配备情况：投标人车辆配备5辆以上，要求车辆需配备有冷暖空调、GPS定位设备、车内摄像监控装置；行驶里程不超过6万公里，座位不少于33座。（提供清晰的行驶证扫描件及行驶里程照片作为证明材料并加盖公章。）</w:t>
      </w:r>
    </w:p>
    <w:p w14:paraId="5154F5F8">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3.6门票：包含。如因出行人员身体不适等原因未进入景区的,结算时须退还相应实际门市票价。</w:t>
      </w:r>
    </w:p>
    <w:p w14:paraId="22AF5817">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3.7用餐：一般10人一桌，午餐一餐，不应低于30元/人标准，投标人需提供合适餐厅，菜肴和口味适合老年人，保证食品卫生及质量，餐厅须具有《食品经营许可证》，适配各出行方案线路。</w:t>
      </w:r>
    </w:p>
    <w:p w14:paraId="0C57B442">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3.8导游：具有导游资格证，并且有2年以上带团经验，导游全程陪同讲解。</w:t>
      </w:r>
    </w:p>
    <w:p w14:paraId="162D1643">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3.9驾驶员：驾驶员具备5年以上驾驶经验，服务态度好、技术好，确保行程安全，驾驶员服务期间要求统一着装。</w:t>
      </w:r>
    </w:p>
    <w:p w14:paraId="5E8721AB">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3.10购物：全程不进购物点，无需要自费的景点或活动。</w:t>
      </w:r>
    </w:p>
    <w:p w14:paraId="3C966FE9">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3.11保障：车上应确保每人至少1瓶500ml矿泉水/纯净水。供应商应为服务对象购买老年短期意外险。在活动期间，供应商负责安全防护，切实做好项目的服务工作。</w:t>
      </w:r>
    </w:p>
    <w:p w14:paraId="200D21B4">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4.服务目标及质量：满意度达95%及以上，安全事故“0”发生。采购人对供应商组织的活动进行满意度调查。</w:t>
      </w:r>
      <w:r>
        <w:rPr>
          <w:rFonts w:hint="eastAsia" w:ascii="宋体" w:hAnsi="宋体" w:eastAsia="宋体" w:cs="宋体"/>
          <w:color w:val="auto"/>
          <w:kern w:val="0"/>
          <w:sz w:val="24"/>
          <w:szCs w:val="24"/>
          <w:highlight w:val="none"/>
          <w:lang w:val="en-US" w:eastAsia="zh-CN" w:bidi="ar-SA"/>
        </w:rPr>
        <w:t>（满意度调查低于95%，服务费扣除合同签约价的2%，并按采购人要求整改；因供应商原因发生安全事故的，服务费扣除合同签约价的5%-15%，并承担事故所有损失，采购人有权单方面终止合同。</w:t>
      </w:r>
    </w:p>
    <w:p w14:paraId="260D4EAC">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5.供应商应承诺及保证自身对参加活动人员名单和个人信息不外泄。</w:t>
      </w:r>
    </w:p>
    <w:p w14:paraId="3880C8AF">
      <w:pPr>
        <w:pStyle w:val="965"/>
        <w:tabs>
          <w:tab w:val="left" w:pos="471"/>
        </w:tabs>
        <w:snapToGrid w:val="0"/>
        <w:spacing w:beforeLines="0" w:afterLines="0" w:line="360" w:lineRule="auto"/>
        <w:ind w:firstLine="482"/>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应急要求</w:t>
      </w:r>
    </w:p>
    <w:p w14:paraId="5225EFCE">
      <w:pPr>
        <w:pStyle w:val="965"/>
        <w:tabs>
          <w:tab w:val="left" w:pos="471"/>
        </w:tabs>
        <w:snapToGrid w:val="0"/>
        <w:spacing w:beforeLines="0" w:afterLines="0" w:line="360" w:lineRule="auto"/>
        <w:ind w:firstLine="482"/>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6.1供应商须制定</w:t>
      </w:r>
      <w:r>
        <w:rPr>
          <w:rFonts w:hint="eastAsia" w:ascii="宋体" w:hAnsi="宋体" w:eastAsia="宋体" w:cs="宋体"/>
          <w:b w:val="0"/>
          <w:bCs w:val="0"/>
          <w:color w:val="auto"/>
          <w:kern w:val="0"/>
          <w:sz w:val="24"/>
          <w:szCs w:val="24"/>
          <w:highlight w:val="none"/>
          <w:lang w:val="en-US" w:eastAsia="zh-CN" w:bidi="ar-SA"/>
        </w:rPr>
        <w:t>对应的应急预案（</w:t>
      </w:r>
      <w:r>
        <w:rPr>
          <w:rFonts w:hint="eastAsia" w:ascii="宋体" w:hAnsi="宋体" w:eastAsia="宋体" w:cs="宋体"/>
          <w:color w:val="auto"/>
          <w:kern w:val="0"/>
          <w:sz w:val="24"/>
          <w:szCs w:val="24"/>
          <w:highlight w:val="none"/>
          <w:lang w:val="en-US" w:eastAsia="zh-CN" w:bidi="ar-SA"/>
        </w:rPr>
        <w:t>包括传达机制、人员调配、责任分工等，</w:t>
      </w:r>
      <w:r>
        <w:rPr>
          <w:rFonts w:hint="eastAsia" w:ascii="宋体" w:hAnsi="宋体" w:eastAsia="宋体" w:cs="宋体"/>
          <w:b w:val="0"/>
          <w:bCs w:val="0"/>
          <w:color w:val="auto"/>
          <w:kern w:val="0"/>
          <w:sz w:val="24"/>
          <w:szCs w:val="24"/>
          <w:highlight w:val="none"/>
          <w:lang w:val="en-US" w:eastAsia="zh-CN" w:bidi="ar-SA"/>
        </w:rPr>
        <w:t>活动期间需安排专业人员保障）和应急措施。</w:t>
      </w:r>
    </w:p>
    <w:p w14:paraId="3A6FBD94">
      <w:pPr>
        <w:pStyle w:val="965"/>
        <w:tabs>
          <w:tab w:val="left" w:pos="471"/>
        </w:tabs>
        <w:snapToGrid w:val="0"/>
        <w:spacing w:beforeLines="0" w:afterLines="0" w:line="360" w:lineRule="auto"/>
        <w:ind w:firstLine="482"/>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6.2项目实施过程中，当发生重大险情或安全事故，或有重大任务、活动时，能够及时处理并向采购人报告，最大限度避免或减少损失。</w:t>
      </w:r>
    </w:p>
    <w:p w14:paraId="30E73D1F">
      <w:pPr>
        <w:pStyle w:val="965"/>
        <w:tabs>
          <w:tab w:val="left" w:pos="471"/>
        </w:tabs>
        <w:snapToGrid w:val="0"/>
        <w:spacing w:beforeLines="0" w:afterLines="0" w:line="360" w:lineRule="auto"/>
        <w:ind w:firstLine="482"/>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7.规章制度</w:t>
      </w:r>
    </w:p>
    <w:p w14:paraId="4C6BF39D">
      <w:pPr>
        <w:pStyle w:val="965"/>
        <w:tabs>
          <w:tab w:val="left" w:pos="471"/>
        </w:tabs>
        <w:snapToGrid w:val="0"/>
        <w:spacing w:beforeLines="0" w:afterLines="0" w:line="360" w:lineRule="auto"/>
        <w:ind w:firstLine="482"/>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7.1供应商须具备完整可行的规章制度，保障项目的高效实施。</w:t>
      </w:r>
    </w:p>
    <w:p w14:paraId="6C177C30">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7.2供应商应做好本项目的所有档案、数据管理工作。</w:t>
      </w:r>
    </w:p>
    <w:p w14:paraId="35834968">
      <w:pPr>
        <w:pStyle w:val="965"/>
        <w:tabs>
          <w:tab w:val="left" w:pos="471"/>
        </w:tabs>
        <w:snapToGrid w:val="0"/>
        <w:spacing w:beforeLines="0" w:afterLines="0" w:line="360" w:lineRule="auto"/>
        <w:ind w:firstLine="482"/>
        <w:outlineLvl w:val="1"/>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四、项目组人员要求</w:t>
      </w:r>
    </w:p>
    <w:p w14:paraId="6B61E1F5">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项目组要求设置项目负责人1人，策划专业人员不少于2人，活动组织、执行人员不少6人。投标文件中提供拟派项目组人员配备方案，方案应包含拟派项目组团队组织架构、岗位设置与人员配置计划和整体安排。</w:t>
      </w:r>
    </w:p>
    <w:p w14:paraId="7477A979">
      <w:pPr>
        <w:pStyle w:val="965"/>
        <w:tabs>
          <w:tab w:val="left" w:pos="471"/>
        </w:tabs>
        <w:snapToGrid w:val="0"/>
        <w:spacing w:beforeLines="0" w:afterLines="0" w:line="360" w:lineRule="auto"/>
        <w:ind w:firstLine="482"/>
        <w:outlineLvl w:val="9"/>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五、商务需求</w:t>
      </w:r>
    </w:p>
    <w:p w14:paraId="79B35E2A">
      <w:pPr>
        <w:pStyle w:val="63"/>
        <w:keepNext w:val="0"/>
        <w:keepLines w:val="0"/>
        <w:pageBreakBefore w:val="0"/>
        <w:widowControl w:val="0"/>
        <w:kinsoku/>
        <w:wordWrap/>
        <w:overflowPunct/>
        <w:topLinePunct w:val="0"/>
        <w:bidi w:val="0"/>
        <w:snapToGrid w:val="0"/>
        <w:spacing w:beforeLines="0" w:after="0" w:afterLines="0" w:line="360" w:lineRule="auto"/>
        <w:ind w:left="0" w:leftChars="0" w:firstLine="46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（一）报价要求：</w:t>
      </w:r>
      <w:r>
        <w:rPr>
          <w:rFonts w:hint="eastAsia" w:ascii="宋体" w:hAnsi="宋体" w:eastAsia="宋体" w:cs="宋体"/>
          <w:color w:val="auto"/>
          <w:sz w:val="24"/>
          <w:szCs w:val="24"/>
          <w:highlight w:val="none"/>
          <w:lang w:val="en-US" w:eastAsia="zh-CN"/>
        </w:rPr>
        <w:t>详见须知前附表。</w:t>
      </w:r>
      <w:r>
        <w:rPr>
          <w:rFonts w:hint="eastAsia" w:ascii="宋体" w:hAnsi="宋体" w:eastAsia="宋体" w:cs="宋体"/>
          <w:b/>
          <w:bCs/>
          <w:color w:val="auto"/>
          <w:sz w:val="24"/>
          <w:szCs w:val="24"/>
          <w:highlight w:val="none"/>
          <w:lang w:val="en-US" w:eastAsia="zh-CN"/>
        </w:rPr>
        <w:t>本项目报价不竞争。</w:t>
      </w:r>
    </w:p>
    <w:p w14:paraId="1DD3C2D2">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highlight w:val="none"/>
        </w:rPr>
        <w:t>▲（二）</w:t>
      </w:r>
      <w:r>
        <w:rPr>
          <w:rFonts w:hint="eastAsia" w:ascii="宋体" w:hAnsi="宋体" w:eastAsia="宋体" w:cs="宋体"/>
          <w:b w:val="0"/>
          <w:bCs w:val="0"/>
          <w:color w:val="auto"/>
          <w:sz w:val="24"/>
          <w:szCs w:val="24"/>
          <w:highlight w:val="none"/>
          <w:lang w:val="en-US" w:eastAsia="zh-CN"/>
        </w:rPr>
        <w:t>付款方式</w:t>
      </w:r>
    </w:p>
    <w:p w14:paraId="29E2C37A">
      <w:pPr>
        <w:pStyle w:val="965"/>
        <w:tabs>
          <w:tab w:val="left" w:pos="471"/>
        </w:tabs>
        <w:snapToGrid w:val="0"/>
        <w:spacing w:beforeLines="0" w:afterLines="0" w:line="360" w:lineRule="auto"/>
        <w:ind w:firstLine="482"/>
        <w:outlineLvl w:val="9"/>
        <w:rPr>
          <w:rFonts w:hint="eastAsia" w:ascii="宋体" w:hAnsi="宋体" w:eastAsia="宋体" w:cs="宋体"/>
          <w:b w:val="0"/>
          <w:bCs w:val="0"/>
          <w:color w:val="auto"/>
          <w:kern w:val="0"/>
          <w:sz w:val="24"/>
          <w:szCs w:val="24"/>
          <w:highlight w:val="yellow"/>
          <w:lang w:val="en-US" w:eastAsia="zh-CN" w:bidi="ar-SA"/>
        </w:rPr>
      </w:pPr>
      <w:r>
        <w:rPr>
          <w:rFonts w:hint="eastAsia" w:ascii="宋体" w:hAnsi="宋体" w:eastAsia="宋体" w:cs="宋体"/>
          <w:color w:val="auto"/>
          <w:sz w:val="24"/>
          <w:highlight w:val="none"/>
        </w:rPr>
        <w:t>合同签订并收到乙方开具的增值税发票后</w:t>
      </w:r>
      <w:r>
        <w:rPr>
          <w:rFonts w:hint="eastAsia" w:cs="宋体"/>
          <w:color w:val="auto"/>
          <w:sz w:val="24"/>
          <w:highlight w:val="none"/>
          <w:lang w:val="en-US" w:eastAsia="zh-CN"/>
        </w:rPr>
        <w:t>15</w:t>
      </w:r>
      <w:r>
        <w:rPr>
          <w:rFonts w:hint="eastAsia" w:ascii="宋体" w:hAnsi="宋体" w:eastAsia="宋体" w:cs="宋体"/>
          <w:color w:val="auto"/>
          <w:sz w:val="24"/>
          <w:highlight w:val="none"/>
        </w:rPr>
        <w:t>个工作日内甲方向乙方支付合同签约价的40%作为预付款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服务期</w:t>
      </w:r>
      <w:r>
        <w:rPr>
          <w:rFonts w:hint="eastAsia" w:ascii="宋体" w:hAnsi="宋体" w:eastAsia="宋体" w:cs="宋体"/>
          <w:color w:val="auto"/>
          <w:sz w:val="24"/>
          <w:szCs w:val="24"/>
          <w:highlight w:val="none"/>
          <w:lang w:eastAsia="zh-CN"/>
        </w:rPr>
        <w:t>结束、</w:t>
      </w:r>
      <w:r>
        <w:rPr>
          <w:rFonts w:hint="eastAsia" w:ascii="宋体" w:hAnsi="宋体" w:eastAsia="宋体" w:cs="宋体"/>
          <w:color w:val="auto"/>
          <w:sz w:val="24"/>
          <w:szCs w:val="24"/>
          <w:highlight w:val="none"/>
          <w:lang w:val="en-US" w:eastAsia="zh-CN"/>
        </w:rPr>
        <w:t>履约验收通过后，根据参加活动实际人数支付至结算价的100%。</w:t>
      </w:r>
      <w:r>
        <w:rPr>
          <w:rFonts w:hint="eastAsia" w:ascii="宋体" w:hAnsi="宋体" w:eastAsia="宋体" w:cs="宋体"/>
          <w:color w:val="auto"/>
          <w:sz w:val="24"/>
          <w:highlight w:val="none"/>
          <w:lang w:eastAsia="zh-CN"/>
        </w:rPr>
        <w:t>付款前乙方需开具增值税发票。</w:t>
      </w:r>
    </w:p>
    <w:p w14:paraId="7F5251A1">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（三）履约保证金(本项目不设置）</w:t>
      </w:r>
    </w:p>
    <w:p w14:paraId="13EA28C0">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1.提交时间：合同签订后十个工作日内，供应商向采购人提交合同价的</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/%作为履约保证金。</w:t>
      </w:r>
    </w:p>
    <w:p w14:paraId="120760A6">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2.提交形式：</w:t>
      </w:r>
      <w:r>
        <w:rPr>
          <w:rFonts w:hint="eastAsia" w:ascii="宋体" w:hAnsi="宋体" w:eastAsia="宋体" w:cs="宋体"/>
          <w:color w:val="auto"/>
          <w:sz w:val="24"/>
          <w:highlight w:val="none"/>
          <w:lang w:val="zh-CN"/>
        </w:rPr>
        <w:t>支票、汇票或本票或金融机构、担保机构出具的保函等非现金形式</w:t>
      </w:r>
      <w:r>
        <w:rPr>
          <w:rFonts w:hint="eastAsia" w:ascii="宋体" w:hAnsi="宋体" w:eastAsia="宋体" w:cs="宋体"/>
          <w:b w:val="0"/>
          <w:bCs w:val="0"/>
          <w:color w:val="auto"/>
          <w:sz w:val="24"/>
          <w:szCs w:val="24"/>
          <w:highlight w:val="none"/>
          <w:lang w:val="en-US" w:eastAsia="zh-CN"/>
        </w:rPr>
        <w:t>。</w:t>
      </w:r>
    </w:p>
    <w:p w14:paraId="0E1D43F0">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3.退还时间：履约保证金在项目履约完毕后10日内无息退还。</w:t>
      </w:r>
    </w:p>
    <w:p w14:paraId="658B4A2F">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如供应商违约造成采购人损失的，采购人有权在保证金中将相关金额扣除。采购人扣除保证金后，应通知供应商补足保证金，供应商应在收到通知后的7日内补足。保证金不足以弥补采购人损失的，采购人可以继续要求供应商承担赔偿损失的责任。</w:t>
      </w:r>
    </w:p>
    <w:p w14:paraId="47ACF7D7">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lef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5.供应商</w:t>
      </w:r>
      <w:r>
        <w:rPr>
          <w:rFonts w:hint="eastAsia" w:ascii="宋体" w:hAnsi="宋体" w:eastAsia="宋体" w:cs="宋体"/>
          <w:b w:val="0"/>
          <w:bCs w:val="0"/>
          <w:color w:val="auto"/>
          <w:sz w:val="24"/>
          <w:highlight w:val="none"/>
          <w:lang w:eastAsia="zh-CN"/>
        </w:rPr>
        <w:t>未按约定提交</w:t>
      </w:r>
      <w:r>
        <w:rPr>
          <w:rFonts w:hint="eastAsia" w:ascii="宋体" w:hAnsi="宋体" w:eastAsia="宋体" w:cs="宋体"/>
          <w:b w:val="0"/>
          <w:bCs w:val="0"/>
          <w:color w:val="auto"/>
          <w:sz w:val="24"/>
          <w:highlight w:val="none"/>
          <w:lang w:val="en-US" w:eastAsia="zh-CN"/>
        </w:rPr>
        <w:t>履约</w:t>
      </w:r>
      <w:r>
        <w:rPr>
          <w:rFonts w:hint="eastAsia" w:ascii="宋体" w:hAnsi="宋体" w:eastAsia="宋体" w:cs="宋体"/>
          <w:b w:val="0"/>
          <w:bCs w:val="0"/>
          <w:color w:val="auto"/>
          <w:sz w:val="24"/>
          <w:highlight w:val="none"/>
          <w:lang w:eastAsia="zh-CN"/>
        </w:rPr>
        <w:t>保证金</w:t>
      </w:r>
      <w:r>
        <w:rPr>
          <w:rFonts w:hint="eastAsia" w:ascii="宋体" w:hAnsi="宋体" w:eastAsia="宋体" w:cs="宋体"/>
          <w:b w:val="0"/>
          <w:bCs w:val="0"/>
          <w:color w:val="auto"/>
          <w:sz w:val="24"/>
          <w:highlight w:val="none"/>
          <w:lang w:val="en-US" w:eastAsia="zh-CN"/>
        </w:rPr>
        <w:t>的，视为合同违约，赔偿违约金10000元；履约</w:t>
      </w:r>
      <w:r>
        <w:rPr>
          <w:rFonts w:hint="eastAsia" w:ascii="宋体" w:hAnsi="宋体" w:eastAsia="宋体" w:cs="宋体"/>
          <w:b w:val="0"/>
          <w:bCs w:val="0"/>
          <w:color w:val="auto"/>
          <w:sz w:val="24"/>
          <w:highlight w:val="none"/>
          <w:lang w:eastAsia="zh-CN"/>
        </w:rPr>
        <w:t>保证金被扣除后未及时补齐的，</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highlight w:val="none"/>
          <w:lang w:eastAsia="zh-CN"/>
        </w:rPr>
        <w:t>有权</w:t>
      </w:r>
      <w:r>
        <w:rPr>
          <w:rFonts w:hint="eastAsia" w:ascii="宋体" w:hAnsi="宋体" w:eastAsia="宋体" w:cs="宋体"/>
          <w:b w:val="0"/>
          <w:bCs w:val="0"/>
          <w:color w:val="auto"/>
          <w:sz w:val="24"/>
          <w:highlight w:val="none"/>
          <w:lang w:val="en-US" w:eastAsia="zh-CN"/>
        </w:rPr>
        <w:t>提前解除</w:t>
      </w:r>
      <w:r>
        <w:rPr>
          <w:rFonts w:hint="eastAsia" w:ascii="宋体" w:hAnsi="宋体" w:eastAsia="宋体" w:cs="宋体"/>
          <w:b w:val="0"/>
          <w:bCs w:val="0"/>
          <w:color w:val="auto"/>
          <w:sz w:val="24"/>
          <w:highlight w:val="none"/>
          <w:lang w:eastAsia="zh-CN"/>
        </w:rPr>
        <w:t>本合同。</w:t>
      </w:r>
    </w:p>
    <w:p w14:paraId="69C5770F">
      <w:pPr>
        <w:spacing w:line="360" w:lineRule="auto"/>
        <w:ind w:firstLine="181" w:firstLineChars="50"/>
        <w:rPr>
          <w:rFonts w:ascii="宋体" w:hAnsi="宋体" w:cs="宋体"/>
          <w:b/>
          <w:color w:val="auto"/>
          <w:sz w:val="36"/>
          <w:szCs w:val="36"/>
          <w:highlight w:val="none"/>
        </w:rPr>
      </w:pP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308"/>
      <w:bookmarkEnd w:id="28"/>
      <w:bookmarkStart w:id="29" w:name="_Toc184310314"/>
      <w:bookmarkEnd w:id="29"/>
      <w:bookmarkStart w:id="30" w:name="_Toc184310295"/>
      <w:bookmarkEnd w:id="30"/>
      <w:bookmarkStart w:id="31" w:name="_Toc184314442"/>
      <w:bookmarkEnd w:id="31"/>
      <w:bookmarkStart w:id="32" w:name="_Toc184314411"/>
      <w:bookmarkEnd w:id="32"/>
      <w:bookmarkStart w:id="33" w:name="_Toc184314454"/>
      <w:bookmarkEnd w:id="33"/>
      <w:bookmarkStart w:id="34" w:name="_Toc184312119"/>
      <w:bookmarkEnd w:id="34"/>
      <w:bookmarkStart w:id="35" w:name="_Toc184310312"/>
      <w:bookmarkEnd w:id="35"/>
      <w:bookmarkStart w:id="36" w:name="_Toc184308088"/>
      <w:bookmarkEnd w:id="36"/>
      <w:bookmarkStart w:id="37" w:name="_Toc184312100"/>
      <w:bookmarkEnd w:id="37"/>
      <w:bookmarkStart w:id="38" w:name="_Toc184313277"/>
      <w:bookmarkEnd w:id="38"/>
      <w:bookmarkStart w:id="39" w:name="_Toc184312111"/>
      <w:bookmarkEnd w:id="39"/>
      <w:bookmarkStart w:id="40" w:name="_Toc184308049"/>
      <w:bookmarkEnd w:id="40"/>
      <w:bookmarkStart w:id="41" w:name="_Toc184308065"/>
      <w:bookmarkEnd w:id="41"/>
      <w:bookmarkStart w:id="42" w:name="_Toc184313247"/>
      <w:bookmarkEnd w:id="42"/>
      <w:bookmarkStart w:id="43" w:name="_Toc184314460"/>
      <w:bookmarkEnd w:id="43"/>
      <w:bookmarkStart w:id="44" w:name="_Toc184314412"/>
      <w:bookmarkEnd w:id="44"/>
      <w:bookmarkStart w:id="45" w:name="_Toc184314410"/>
      <w:bookmarkEnd w:id="45"/>
      <w:bookmarkStart w:id="46" w:name="_Toc184308042"/>
      <w:bookmarkEnd w:id="46"/>
      <w:bookmarkStart w:id="47" w:name="_Toc184312087"/>
      <w:bookmarkEnd w:id="47"/>
      <w:bookmarkStart w:id="48" w:name="_Toc184313252"/>
      <w:bookmarkEnd w:id="48"/>
      <w:bookmarkStart w:id="49" w:name="_Toc184314448"/>
      <w:bookmarkEnd w:id="49"/>
      <w:bookmarkStart w:id="50" w:name="_Toc184314441"/>
      <w:bookmarkEnd w:id="50"/>
      <w:bookmarkStart w:id="51" w:name="_Toc184312127"/>
      <w:bookmarkEnd w:id="51"/>
      <w:bookmarkStart w:id="52" w:name="_Toc184314428"/>
      <w:bookmarkEnd w:id="52"/>
      <w:bookmarkStart w:id="53" w:name="_Toc184313301"/>
      <w:bookmarkEnd w:id="53"/>
      <w:bookmarkStart w:id="54" w:name="_Toc184313307"/>
      <w:bookmarkEnd w:id="54"/>
      <w:bookmarkStart w:id="55" w:name="_Toc184310310"/>
      <w:bookmarkEnd w:id="55"/>
      <w:bookmarkStart w:id="56" w:name="_Toc184308107"/>
      <w:bookmarkEnd w:id="56"/>
      <w:bookmarkStart w:id="57" w:name="_Toc184312131"/>
      <w:bookmarkEnd w:id="57"/>
      <w:bookmarkStart w:id="58" w:name="_Toc184314421"/>
      <w:bookmarkEnd w:id="58"/>
      <w:bookmarkStart w:id="59" w:name="_Toc184310273"/>
      <w:bookmarkEnd w:id="59"/>
      <w:bookmarkStart w:id="60" w:name="_Toc184310279"/>
      <w:bookmarkEnd w:id="60"/>
      <w:bookmarkStart w:id="61" w:name="_Toc184308036"/>
      <w:bookmarkEnd w:id="61"/>
      <w:bookmarkStart w:id="62" w:name="_Toc184310335"/>
      <w:bookmarkEnd w:id="62"/>
      <w:bookmarkStart w:id="63" w:name="_Toc184310283"/>
      <w:bookmarkEnd w:id="63"/>
      <w:bookmarkStart w:id="64" w:name="_Toc184308103"/>
      <w:bookmarkEnd w:id="64"/>
      <w:bookmarkStart w:id="65" w:name="_Toc184310303"/>
      <w:bookmarkEnd w:id="65"/>
      <w:bookmarkStart w:id="66" w:name="_Toc184308055"/>
      <w:bookmarkEnd w:id="66"/>
      <w:bookmarkStart w:id="67" w:name="_Toc184313282"/>
      <w:bookmarkEnd w:id="67"/>
      <w:bookmarkStart w:id="68" w:name="_Toc184314426"/>
      <w:bookmarkEnd w:id="68"/>
      <w:bookmarkStart w:id="69" w:name="_Toc184314419"/>
      <w:bookmarkEnd w:id="69"/>
      <w:bookmarkStart w:id="70" w:name="_Toc184312120"/>
      <w:bookmarkEnd w:id="70"/>
      <w:bookmarkStart w:id="71" w:name="_Toc184308064"/>
      <w:bookmarkEnd w:id="71"/>
      <w:bookmarkStart w:id="72" w:name="_Toc184312134"/>
      <w:bookmarkEnd w:id="72"/>
      <w:bookmarkStart w:id="73" w:name="_Toc184310341"/>
      <w:bookmarkEnd w:id="73"/>
      <w:bookmarkStart w:id="74" w:name="_Toc184312106"/>
      <w:bookmarkEnd w:id="74"/>
      <w:bookmarkStart w:id="75" w:name="_Toc184310280"/>
      <w:bookmarkEnd w:id="75"/>
      <w:bookmarkStart w:id="76" w:name="_Toc184312085"/>
      <w:bookmarkEnd w:id="76"/>
      <w:bookmarkStart w:id="77" w:name="_Toc184314469"/>
      <w:bookmarkEnd w:id="77"/>
      <w:bookmarkStart w:id="78" w:name="_Toc184313243"/>
      <w:bookmarkEnd w:id="78"/>
      <w:bookmarkStart w:id="79" w:name="_Toc184308078"/>
      <w:bookmarkEnd w:id="79"/>
      <w:bookmarkStart w:id="80" w:name="_Toc184308056"/>
      <w:bookmarkEnd w:id="80"/>
      <w:bookmarkStart w:id="81" w:name="_Toc184313286"/>
      <w:bookmarkEnd w:id="81"/>
      <w:bookmarkStart w:id="82" w:name="_Toc184310329"/>
      <w:bookmarkEnd w:id="82"/>
      <w:bookmarkStart w:id="83" w:name="_Toc184312135"/>
      <w:bookmarkEnd w:id="83"/>
      <w:bookmarkStart w:id="84" w:name="_Toc184310302"/>
      <w:bookmarkEnd w:id="84"/>
      <w:bookmarkStart w:id="85" w:name="_Toc184313283"/>
      <w:bookmarkEnd w:id="85"/>
      <w:bookmarkStart w:id="86" w:name="_Toc184312130"/>
      <w:bookmarkEnd w:id="86"/>
      <w:bookmarkStart w:id="87" w:name="_Toc184314427"/>
      <w:bookmarkEnd w:id="87"/>
      <w:bookmarkStart w:id="88" w:name="_Toc184314432"/>
      <w:bookmarkEnd w:id="88"/>
      <w:bookmarkStart w:id="89" w:name="_Toc184308037"/>
      <w:bookmarkEnd w:id="89"/>
      <w:bookmarkStart w:id="90" w:name="_Toc184312117"/>
      <w:bookmarkEnd w:id="90"/>
      <w:bookmarkStart w:id="91" w:name="_Toc184308052"/>
      <w:bookmarkEnd w:id="91"/>
      <w:bookmarkStart w:id="92" w:name="_Toc184310289"/>
      <w:bookmarkEnd w:id="92"/>
      <w:bookmarkStart w:id="93" w:name="_Toc184312101"/>
      <w:bookmarkEnd w:id="93"/>
      <w:bookmarkStart w:id="94" w:name="_Toc184313241"/>
      <w:bookmarkEnd w:id="94"/>
      <w:bookmarkStart w:id="95" w:name="_Toc184312133"/>
      <w:bookmarkEnd w:id="95"/>
      <w:bookmarkStart w:id="96" w:name="_Toc184310292"/>
      <w:bookmarkEnd w:id="96"/>
      <w:bookmarkStart w:id="97" w:name="_Toc184310338"/>
      <w:bookmarkEnd w:id="97"/>
      <w:bookmarkStart w:id="98" w:name="_Toc184312089"/>
      <w:bookmarkEnd w:id="98"/>
      <w:bookmarkStart w:id="99" w:name="_Toc184308062"/>
      <w:bookmarkEnd w:id="99"/>
      <w:bookmarkStart w:id="100" w:name="_Toc184312092"/>
      <w:bookmarkEnd w:id="100"/>
      <w:bookmarkStart w:id="101" w:name="_Toc184312139"/>
      <w:bookmarkEnd w:id="101"/>
      <w:bookmarkStart w:id="102" w:name="_Toc184312132"/>
      <w:bookmarkEnd w:id="102"/>
      <w:bookmarkStart w:id="103" w:name="_Toc184310293"/>
      <w:bookmarkEnd w:id="103"/>
      <w:bookmarkStart w:id="104" w:name="_Toc184314449"/>
      <w:bookmarkEnd w:id="104"/>
      <w:bookmarkStart w:id="105" w:name="_Toc184308093"/>
      <w:bookmarkEnd w:id="105"/>
      <w:bookmarkStart w:id="106" w:name="_Toc184313240"/>
      <w:bookmarkEnd w:id="106"/>
      <w:bookmarkStart w:id="107" w:name="_Toc184308105"/>
      <w:bookmarkEnd w:id="107"/>
      <w:bookmarkStart w:id="108" w:name="_Toc184314472"/>
      <w:bookmarkEnd w:id="108"/>
      <w:bookmarkStart w:id="109" w:name="_Toc184314413"/>
      <w:bookmarkEnd w:id="109"/>
      <w:bookmarkStart w:id="110" w:name="_Toc184313258"/>
      <w:bookmarkEnd w:id="110"/>
      <w:bookmarkStart w:id="111" w:name="_Toc184314435"/>
      <w:bookmarkEnd w:id="111"/>
      <w:bookmarkStart w:id="112" w:name="_Toc184314416"/>
      <w:bookmarkEnd w:id="112"/>
      <w:bookmarkStart w:id="113" w:name="_Toc184308038"/>
      <w:bookmarkEnd w:id="113"/>
      <w:bookmarkStart w:id="114" w:name="_Toc184310298"/>
      <w:bookmarkEnd w:id="114"/>
      <w:bookmarkStart w:id="115" w:name="_Toc184308083"/>
      <w:bookmarkEnd w:id="115"/>
      <w:bookmarkStart w:id="116" w:name="_Toc184310317"/>
      <w:bookmarkEnd w:id="116"/>
      <w:bookmarkStart w:id="117" w:name="_Toc184310318"/>
      <w:bookmarkEnd w:id="117"/>
      <w:bookmarkStart w:id="118" w:name="_Toc184310291"/>
      <w:bookmarkEnd w:id="118"/>
      <w:bookmarkStart w:id="119" w:name="_Toc184308090"/>
      <w:bookmarkEnd w:id="119"/>
      <w:bookmarkStart w:id="120" w:name="_Toc184314461"/>
      <w:bookmarkEnd w:id="120"/>
      <w:bookmarkStart w:id="121" w:name="_Toc184310336"/>
      <w:bookmarkEnd w:id="121"/>
      <w:bookmarkStart w:id="122" w:name="_Toc184312071"/>
      <w:bookmarkEnd w:id="122"/>
      <w:bookmarkStart w:id="123" w:name="_Toc184310328"/>
      <w:bookmarkEnd w:id="123"/>
      <w:bookmarkStart w:id="124" w:name="_Toc184310325"/>
      <w:bookmarkEnd w:id="124"/>
      <w:bookmarkStart w:id="125" w:name="_Toc184310339"/>
      <w:bookmarkEnd w:id="125"/>
      <w:bookmarkStart w:id="126" w:name="_Toc184308079"/>
      <w:bookmarkEnd w:id="126"/>
      <w:bookmarkStart w:id="127" w:name="_Toc184314438"/>
      <w:bookmarkEnd w:id="127"/>
      <w:bookmarkStart w:id="128" w:name="_Toc184310340"/>
      <w:bookmarkEnd w:id="128"/>
      <w:bookmarkStart w:id="129" w:name="_Toc184308100"/>
      <w:bookmarkEnd w:id="129"/>
      <w:bookmarkStart w:id="130" w:name="_Toc184312116"/>
      <w:bookmarkEnd w:id="130"/>
      <w:bookmarkStart w:id="131" w:name="_Toc184314465"/>
      <w:bookmarkEnd w:id="131"/>
      <w:bookmarkStart w:id="132" w:name="_Toc184313255"/>
      <w:bookmarkEnd w:id="132"/>
      <w:bookmarkStart w:id="133" w:name="_Toc184308063"/>
      <w:bookmarkEnd w:id="133"/>
      <w:bookmarkStart w:id="134" w:name="_Toc184312068"/>
      <w:bookmarkEnd w:id="134"/>
      <w:bookmarkStart w:id="135" w:name="_Toc184308051"/>
      <w:bookmarkEnd w:id="135"/>
      <w:bookmarkStart w:id="136" w:name="_Toc184310333"/>
      <w:bookmarkEnd w:id="136"/>
      <w:bookmarkStart w:id="137" w:name="_Toc184312124"/>
      <w:bookmarkEnd w:id="137"/>
      <w:bookmarkStart w:id="138" w:name="_Toc184313298"/>
      <w:bookmarkEnd w:id="138"/>
      <w:bookmarkStart w:id="139" w:name="_Toc184312080"/>
      <w:bookmarkEnd w:id="139"/>
      <w:bookmarkStart w:id="140" w:name="_Toc184313254"/>
      <w:bookmarkEnd w:id="140"/>
      <w:bookmarkStart w:id="141" w:name="_Toc184314418"/>
      <w:bookmarkEnd w:id="141"/>
      <w:bookmarkStart w:id="142" w:name="_Toc184310299"/>
      <w:bookmarkEnd w:id="142"/>
      <w:bookmarkStart w:id="143" w:name="_Toc184308050"/>
      <w:bookmarkEnd w:id="143"/>
      <w:bookmarkStart w:id="144" w:name="_Toc184310305"/>
      <w:bookmarkEnd w:id="144"/>
      <w:bookmarkStart w:id="145" w:name="_Toc184308043"/>
      <w:bookmarkEnd w:id="145"/>
      <w:bookmarkStart w:id="146" w:name="_Toc184313304"/>
      <w:bookmarkEnd w:id="146"/>
      <w:bookmarkStart w:id="147" w:name="_Toc184314464"/>
      <w:bookmarkEnd w:id="147"/>
      <w:bookmarkStart w:id="148" w:name="_Toc184314479"/>
      <w:bookmarkEnd w:id="148"/>
      <w:bookmarkStart w:id="149" w:name="_Toc184312073"/>
      <w:bookmarkEnd w:id="149"/>
      <w:bookmarkStart w:id="150" w:name="_Toc184313289"/>
      <w:bookmarkEnd w:id="150"/>
      <w:bookmarkStart w:id="151" w:name="_Toc184314414"/>
      <w:bookmarkEnd w:id="151"/>
      <w:bookmarkStart w:id="152" w:name="_Toc184312102"/>
      <w:bookmarkEnd w:id="152"/>
      <w:bookmarkStart w:id="153" w:name="_Toc184308091"/>
      <w:bookmarkEnd w:id="153"/>
      <w:bookmarkStart w:id="154" w:name="_Toc184312103"/>
      <w:bookmarkEnd w:id="154"/>
      <w:bookmarkStart w:id="155" w:name="_Toc184310326"/>
      <w:bookmarkEnd w:id="155"/>
      <w:bookmarkStart w:id="156" w:name="_Toc184314478"/>
      <w:bookmarkEnd w:id="156"/>
      <w:bookmarkStart w:id="157" w:name="_Toc184314450"/>
      <w:bookmarkEnd w:id="157"/>
      <w:bookmarkStart w:id="158" w:name="_Toc184308047"/>
      <w:bookmarkEnd w:id="158"/>
      <w:bookmarkStart w:id="159" w:name="_Toc184308068"/>
      <w:bookmarkEnd w:id="159"/>
      <w:bookmarkStart w:id="160" w:name="_Toc184308066"/>
      <w:bookmarkEnd w:id="160"/>
      <w:bookmarkStart w:id="161" w:name="_Toc184308080"/>
      <w:bookmarkEnd w:id="161"/>
      <w:bookmarkStart w:id="162" w:name="_Toc184308046"/>
      <w:bookmarkEnd w:id="162"/>
      <w:bookmarkStart w:id="163" w:name="_Toc184312076"/>
      <w:bookmarkEnd w:id="163"/>
      <w:bookmarkStart w:id="164" w:name="_Toc184314445"/>
      <w:bookmarkEnd w:id="164"/>
      <w:bookmarkStart w:id="165" w:name="_Toc184312075"/>
      <w:bookmarkEnd w:id="165"/>
      <w:bookmarkStart w:id="166" w:name="_Toc184313253"/>
      <w:bookmarkEnd w:id="166"/>
      <w:bookmarkStart w:id="167" w:name="_Toc184310297"/>
      <w:bookmarkEnd w:id="167"/>
      <w:bookmarkStart w:id="168" w:name="_Toc184314453"/>
      <w:bookmarkEnd w:id="168"/>
      <w:bookmarkStart w:id="169" w:name="_Toc184312084"/>
      <w:bookmarkEnd w:id="169"/>
      <w:bookmarkStart w:id="170" w:name="_Toc184312137"/>
      <w:bookmarkEnd w:id="170"/>
      <w:bookmarkStart w:id="171" w:name="_Toc184310286"/>
      <w:bookmarkEnd w:id="171"/>
      <w:bookmarkStart w:id="172" w:name="_Toc184313276"/>
      <w:bookmarkEnd w:id="172"/>
      <w:bookmarkStart w:id="173" w:name="_Toc184310337"/>
      <w:bookmarkEnd w:id="173"/>
      <w:bookmarkStart w:id="174" w:name="_Toc184308098"/>
      <w:bookmarkEnd w:id="174"/>
      <w:bookmarkStart w:id="175" w:name="_Toc184314480"/>
      <w:bookmarkEnd w:id="175"/>
      <w:bookmarkStart w:id="176" w:name="_Toc184310282"/>
      <w:bookmarkEnd w:id="176"/>
      <w:bookmarkStart w:id="177" w:name="_Toc184312110"/>
      <w:bookmarkEnd w:id="177"/>
      <w:bookmarkStart w:id="178" w:name="_Toc184310319"/>
      <w:bookmarkEnd w:id="178"/>
      <w:bookmarkStart w:id="179" w:name="_Toc184312109"/>
      <w:bookmarkEnd w:id="179"/>
      <w:bookmarkStart w:id="180" w:name="_Toc184310315"/>
      <w:bookmarkEnd w:id="180"/>
      <w:bookmarkStart w:id="181" w:name="_Toc184312114"/>
      <w:bookmarkEnd w:id="181"/>
      <w:bookmarkStart w:id="182" w:name="_Toc184313251"/>
      <w:bookmarkEnd w:id="182"/>
      <w:bookmarkStart w:id="183" w:name="_Toc184312079"/>
      <w:bookmarkEnd w:id="183"/>
      <w:bookmarkStart w:id="184" w:name="_Toc184314455"/>
      <w:bookmarkEnd w:id="184"/>
      <w:bookmarkStart w:id="185" w:name="_Toc184308104"/>
      <w:bookmarkEnd w:id="185"/>
      <w:bookmarkStart w:id="186" w:name="_Toc184314452"/>
      <w:bookmarkEnd w:id="186"/>
      <w:bookmarkStart w:id="187" w:name="_Toc184313269"/>
      <w:bookmarkEnd w:id="187"/>
      <w:bookmarkStart w:id="188" w:name="_Toc184310344"/>
      <w:bookmarkEnd w:id="188"/>
      <w:bookmarkStart w:id="189" w:name="_Toc184310324"/>
      <w:bookmarkEnd w:id="189"/>
      <w:bookmarkStart w:id="190" w:name="_Toc184313274"/>
      <w:bookmarkEnd w:id="190"/>
      <w:bookmarkStart w:id="191" w:name="_Toc184314473"/>
      <w:bookmarkEnd w:id="191"/>
      <w:bookmarkStart w:id="192" w:name="_Toc184308041"/>
      <w:bookmarkEnd w:id="192"/>
      <w:bookmarkStart w:id="193" w:name="_Toc184312088"/>
      <w:bookmarkEnd w:id="193"/>
      <w:bookmarkStart w:id="194" w:name="_Toc184313310"/>
      <w:bookmarkEnd w:id="194"/>
      <w:bookmarkStart w:id="195" w:name="_Toc184313245"/>
      <w:bookmarkEnd w:id="195"/>
      <w:bookmarkStart w:id="196" w:name="_Toc184310323"/>
      <w:bookmarkEnd w:id="196"/>
      <w:bookmarkStart w:id="197" w:name="_Toc184314436"/>
      <w:bookmarkEnd w:id="197"/>
      <w:bookmarkStart w:id="198" w:name="_Toc184308101"/>
      <w:bookmarkEnd w:id="198"/>
      <w:bookmarkStart w:id="199" w:name="_Toc184314434"/>
      <w:bookmarkEnd w:id="199"/>
      <w:bookmarkStart w:id="200" w:name="_Toc184310272"/>
      <w:bookmarkEnd w:id="200"/>
      <w:bookmarkStart w:id="201" w:name="_Toc184308099"/>
      <w:bookmarkEnd w:id="201"/>
      <w:bookmarkStart w:id="202" w:name="_Toc184308108"/>
      <w:bookmarkEnd w:id="202"/>
      <w:bookmarkStart w:id="203" w:name="_Toc184310327"/>
      <w:bookmarkEnd w:id="203"/>
      <w:bookmarkStart w:id="204" w:name="_Toc184313287"/>
      <w:bookmarkEnd w:id="204"/>
      <w:bookmarkStart w:id="205" w:name="_Toc184310290"/>
      <w:bookmarkEnd w:id="205"/>
      <w:bookmarkStart w:id="206" w:name="_Toc184314431"/>
      <w:bookmarkEnd w:id="206"/>
      <w:bookmarkStart w:id="207" w:name="_Toc184312128"/>
      <w:bookmarkEnd w:id="207"/>
      <w:bookmarkStart w:id="208" w:name="_Toc184314433"/>
      <w:bookmarkEnd w:id="208"/>
      <w:bookmarkStart w:id="209" w:name="_Toc184313293"/>
      <w:bookmarkEnd w:id="209"/>
      <w:bookmarkStart w:id="210" w:name="_Toc184314466"/>
      <w:bookmarkEnd w:id="210"/>
      <w:bookmarkStart w:id="211" w:name="_Toc184314477"/>
      <w:bookmarkEnd w:id="211"/>
      <w:bookmarkStart w:id="212" w:name="_Toc184310331"/>
      <w:bookmarkEnd w:id="212"/>
      <w:bookmarkStart w:id="213" w:name="_Toc184308074"/>
      <w:bookmarkEnd w:id="213"/>
      <w:bookmarkStart w:id="214" w:name="_Toc184313278"/>
      <w:bookmarkEnd w:id="214"/>
      <w:bookmarkStart w:id="215" w:name="_Toc184313263"/>
      <w:bookmarkEnd w:id="215"/>
      <w:bookmarkStart w:id="216" w:name="_Toc184313261"/>
      <w:bookmarkEnd w:id="216"/>
      <w:bookmarkStart w:id="217" w:name="_Toc184314471"/>
      <w:bookmarkEnd w:id="217"/>
      <w:bookmarkStart w:id="218" w:name="_Toc184312099"/>
      <w:bookmarkEnd w:id="218"/>
      <w:bookmarkStart w:id="219" w:name="_Toc184312122"/>
      <w:bookmarkEnd w:id="219"/>
      <w:bookmarkStart w:id="220" w:name="_Toc184314458"/>
      <w:bookmarkEnd w:id="220"/>
      <w:bookmarkStart w:id="221" w:name="_Toc184308058"/>
      <w:bookmarkEnd w:id="221"/>
      <w:bookmarkStart w:id="222" w:name="_Toc184312118"/>
      <w:bookmarkEnd w:id="222"/>
      <w:bookmarkStart w:id="223" w:name="_Toc184313294"/>
      <w:bookmarkEnd w:id="223"/>
      <w:bookmarkStart w:id="224" w:name="_Toc184308070"/>
      <w:bookmarkEnd w:id="224"/>
      <w:bookmarkStart w:id="225" w:name="_Toc184308048"/>
      <w:bookmarkEnd w:id="225"/>
      <w:bookmarkStart w:id="226" w:name="_Toc184310304"/>
      <w:bookmarkEnd w:id="226"/>
      <w:bookmarkStart w:id="227" w:name="_Toc184314475"/>
      <w:bookmarkEnd w:id="227"/>
      <w:bookmarkStart w:id="228" w:name="_Toc184308089"/>
      <w:bookmarkEnd w:id="228"/>
      <w:bookmarkStart w:id="229" w:name="_Toc184314444"/>
      <w:bookmarkEnd w:id="229"/>
      <w:bookmarkStart w:id="230" w:name="_Toc184312094"/>
      <w:bookmarkEnd w:id="230"/>
      <w:bookmarkStart w:id="231" w:name="_Toc184312077"/>
      <w:bookmarkEnd w:id="231"/>
      <w:bookmarkStart w:id="232" w:name="_Toc184312138"/>
      <w:bookmarkEnd w:id="232"/>
      <w:bookmarkStart w:id="233" w:name="_Toc184314457"/>
      <w:bookmarkEnd w:id="233"/>
      <w:bookmarkStart w:id="234" w:name="_Toc184313271"/>
      <w:bookmarkEnd w:id="234"/>
      <w:bookmarkStart w:id="235" w:name="_Toc184312086"/>
      <w:bookmarkEnd w:id="235"/>
      <w:bookmarkStart w:id="236" w:name="_Toc184308073"/>
      <w:bookmarkEnd w:id="236"/>
      <w:bookmarkStart w:id="237" w:name="_Toc184313246"/>
      <w:bookmarkEnd w:id="237"/>
      <w:bookmarkStart w:id="238" w:name="_Toc184313291"/>
      <w:bookmarkEnd w:id="238"/>
      <w:bookmarkStart w:id="239" w:name="_Toc184313257"/>
      <w:bookmarkEnd w:id="239"/>
      <w:bookmarkStart w:id="240" w:name="_Toc184308059"/>
      <w:bookmarkEnd w:id="240"/>
      <w:bookmarkStart w:id="241" w:name="_Toc184310342"/>
      <w:bookmarkEnd w:id="241"/>
      <w:bookmarkStart w:id="242" w:name="_Toc184314443"/>
      <w:bookmarkEnd w:id="242"/>
      <w:bookmarkStart w:id="243" w:name="_Toc184308082"/>
      <w:bookmarkEnd w:id="243"/>
      <w:bookmarkStart w:id="244" w:name="_Toc184314430"/>
      <w:bookmarkEnd w:id="244"/>
      <w:bookmarkStart w:id="245" w:name="_Toc184310277"/>
      <w:bookmarkEnd w:id="245"/>
      <w:bookmarkStart w:id="246" w:name="_Toc184312136"/>
      <w:bookmarkEnd w:id="246"/>
      <w:bookmarkStart w:id="247" w:name="_Toc184312108"/>
      <w:bookmarkEnd w:id="247"/>
      <w:bookmarkStart w:id="248" w:name="_Toc184313302"/>
      <w:bookmarkEnd w:id="248"/>
      <w:bookmarkStart w:id="249" w:name="_Toc184310321"/>
      <w:bookmarkEnd w:id="249"/>
      <w:bookmarkStart w:id="250" w:name="_Toc184314423"/>
      <w:bookmarkEnd w:id="250"/>
      <w:bookmarkStart w:id="251" w:name="_Toc184313244"/>
      <w:bookmarkEnd w:id="251"/>
      <w:bookmarkStart w:id="252" w:name="_Toc184312123"/>
      <w:bookmarkEnd w:id="252"/>
      <w:bookmarkStart w:id="253" w:name="_Toc184308071"/>
      <w:bookmarkEnd w:id="253"/>
      <w:bookmarkStart w:id="254" w:name="_Toc184314476"/>
      <w:bookmarkEnd w:id="254"/>
      <w:bookmarkStart w:id="255" w:name="_Toc184310300"/>
      <w:bookmarkEnd w:id="255"/>
      <w:bookmarkStart w:id="256" w:name="_Toc184312070"/>
      <w:bookmarkEnd w:id="256"/>
      <w:bookmarkStart w:id="257" w:name="_Toc184308096"/>
      <w:bookmarkEnd w:id="257"/>
      <w:bookmarkStart w:id="258" w:name="_Toc184312096"/>
      <w:bookmarkEnd w:id="258"/>
      <w:bookmarkStart w:id="259" w:name="_Toc184313275"/>
      <w:bookmarkEnd w:id="259"/>
      <w:bookmarkStart w:id="260" w:name="_Toc184314468"/>
      <w:bookmarkEnd w:id="260"/>
      <w:bookmarkStart w:id="261" w:name="_Toc184310332"/>
      <w:bookmarkEnd w:id="261"/>
      <w:bookmarkStart w:id="262" w:name="_Toc184310322"/>
      <w:bookmarkEnd w:id="262"/>
      <w:bookmarkStart w:id="263" w:name="_Toc184310309"/>
      <w:bookmarkEnd w:id="263"/>
      <w:bookmarkStart w:id="264" w:name="_Toc184312107"/>
      <w:bookmarkEnd w:id="264"/>
      <w:bookmarkStart w:id="265" w:name="_Toc184310285"/>
      <w:bookmarkEnd w:id="265"/>
      <w:bookmarkStart w:id="266" w:name="_Toc184312090"/>
      <w:bookmarkEnd w:id="266"/>
      <w:bookmarkStart w:id="267" w:name="_Toc184313285"/>
      <w:bookmarkEnd w:id="267"/>
      <w:bookmarkStart w:id="268" w:name="_Toc184310294"/>
      <w:bookmarkEnd w:id="268"/>
      <w:bookmarkStart w:id="269" w:name="_Toc184310301"/>
      <w:bookmarkEnd w:id="269"/>
      <w:bookmarkStart w:id="270" w:name="_Toc184312072"/>
      <w:bookmarkEnd w:id="270"/>
      <w:bookmarkStart w:id="271" w:name="_Toc184314429"/>
      <w:bookmarkEnd w:id="271"/>
      <w:bookmarkStart w:id="272" w:name="_Toc184313297"/>
      <w:bookmarkEnd w:id="272"/>
      <w:bookmarkStart w:id="273" w:name="_Toc184310288"/>
      <w:bookmarkEnd w:id="273"/>
      <w:bookmarkStart w:id="274" w:name="_Toc184312104"/>
      <w:bookmarkEnd w:id="274"/>
      <w:bookmarkStart w:id="275" w:name="_Toc184312098"/>
      <w:bookmarkEnd w:id="275"/>
      <w:bookmarkStart w:id="276" w:name="_Toc184314439"/>
      <w:bookmarkEnd w:id="276"/>
      <w:bookmarkStart w:id="277" w:name="_Toc184314425"/>
      <w:bookmarkEnd w:id="277"/>
      <w:bookmarkStart w:id="278" w:name="_Toc184308102"/>
      <w:bookmarkEnd w:id="278"/>
      <w:bookmarkStart w:id="279" w:name="_Toc184313295"/>
      <w:bookmarkEnd w:id="279"/>
      <w:bookmarkStart w:id="280" w:name="_Toc184313242"/>
      <w:bookmarkEnd w:id="280"/>
      <w:bookmarkStart w:id="281" w:name="_Toc184313290"/>
      <w:bookmarkEnd w:id="281"/>
      <w:bookmarkStart w:id="282" w:name="_Toc184313292"/>
      <w:bookmarkEnd w:id="282"/>
      <w:bookmarkStart w:id="283" w:name="_Toc184313256"/>
      <w:bookmarkEnd w:id="283"/>
      <w:bookmarkStart w:id="284" w:name="_Toc184313300"/>
      <w:bookmarkEnd w:id="284"/>
      <w:bookmarkStart w:id="285" w:name="_Toc184313268"/>
      <w:bookmarkEnd w:id="285"/>
      <w:bookmarkStart w:id="286" w:name="_Toc184308069"/>
      <w:bookmarkEnd w:id="286"/>
      <w:bookmarkStart w:id="287" w:name="_Toc184308086"/>
      <w:bookmarkEnd w:id="287"/>
      <w:bookmarkStart w:id="288" w:name="_Toc184310284"/>
      <w:bookmarkEnd w:id="288"/>
      <w:bookmarkStart w:id="289" w:name="_Toc184312067"/>
      <w:bookmarkEnd w:id="289"/>
      <w:bookmarkStart w:id="290" w:name="_Toc184308097"/>
      <w:bookmarkEnd w:id="290"/>
      <w:bookmarkStart w:id="291" w:name="_Toc184313260"/>
      <w:bookmarkEnd w:id="291"/>
      <w:bookmarkStart w:id="292" w:name="_Toc184313288"/>
      <w:bookmarkEnd w:id="292"/>
      <w:bookmarkStart w:id="293" w:name="_Toc184313280"/>
      <w:bookmarkEnd w:id="293"/>
      <w:bookmarkStart w:id="294" w:name="_Toc184312112"/>
      <w:bookmarkEnd w:id="294"/>
      <w:bookmarkStart w:id="295" w:name="_Toc184314463"/>
      <w:bookmarkEnd w:id="295"/>
      <w:bookmarkStart w:id="296" w:name="_Toc184313272"/>
      <w:bookmarkEnd w:id="296"/>
      <w:bookmarkStart w:id="297" w:name="_Toc184308054"/>
      <w:bookmarkEnd w:id="297"/>
      <w:bookmarkStart w:id="298" w:name="_Toc184313239"/>
      <w:bookmarkEnd w:id="298"/>
      <w:bookmarkStart w:id="299" w:name="_Toc184308092"/>
      <w:bookmarkEnd w:id="299"/>
      <w:bookmarkStart w:id="300" w:name="_Toc184313266"/>
      <w:bookmarkEnd w:id="300"/>
      <w:bookmarkStart w:id="301" w:name="_Toc184310306"/>
      <w:bookmarkEnd w:id="301"/>
      <w:bookmarkStart w:id="302" w:name="_Toc184313296"/>
      <w:bookmarkEnd w:id="302"/>
      <w:bookmarkStart w:id="303" w:name="_Toc184313248"/>
      <w:bookmarkEnd w:id="303"/>
      <w:bookmarkStart w:id="304" w:name="_Toc184312125"/>
      <w:bookmarkEnd w:id="304"/>
      <w:bookmarkStart w:id="305" w:name="_Toc184308077"/>
      <w:bookmarkEnd w:id="305"/>
      <w:bookmarkStart w:id="306" w:name="_Toc184313267"/>
      <w:bookmarkEnd w:id="306"/>
      <w:bookmarkStart w:id="307" w:name="_Toc184312078"/>
      <w:bookmarkEnd w:id="307"/>
      <w:bookmarkStart w:id="308" w:name="_Toc184314481"/>
      <w:bookmarkEnd w:id="308"/>
      <w:bookmarkStart w:id="309" w:name="_Toc184310320"/>
      <w:bookmarkEnd w:id="309"/>
      <w:bookmarkStart w:id="310" w:name="_Toc184308085"/>
      <w:bookmarkEnd w:id="310"/>
      <w:bookmarkStart w:id="311" w:name="_Toc184308075"/>
      <w:bookmarkEnd w:id="311"/>
      <w:bookmarkStart w:id="312" w:name="_Toc184308106"/>
      <w:bookmarkEnd w:id="312"/>
      <w:bookmarkStart w:id="313" w:name="_Toc184308067"/>
      <w:bookmarkEnd w:id="313"/>
      <w:bookmarkStart w:id="314" w:name="_Toc184313270"/>
      <w:bookmarkEnd w:id="314"/>
      <w:bookmarkStart w:id="315" w:name="_Toc184310276"/>
      <w:bookmarkEnd w:id="315"/>
      <w:bookmarkStart w:id="316" w:name="_Toc184308060"/>
      <w:bookmarkEnd w:id="316"/>
      <w:bookmarkStart w:id="317" w:name="_Toc184313281"/>
      <w:bookmarkEnd w:id="317"/>
      <w:bookmarkStart w:id="318" w:name="_Toc184312105"/>
      <w:bookmarkEnd w:id="318"/>
      <w:bookmarkStart w:id="319" w:name="_Toc184314467"/>
      <w:bookmarkEnd w:id="319"/>
      <w:bookmarkStart w:id="320" w:name="_Toc184313306"/>
      <w:bookmarkEnd w:id="320"/>
      <w:bookmarkStart w:id="321" w:name="_Toc184314451"/>
      <w:bookmarkEnd w:id="321"/>
      <w:bookmarkStart w:id="322" w:name="_Toc184314456"/>
      <w:bookmarkEnd w:id="322"/>
      <w:bookmarkStart w:id="323" w:name="_Toc184313264"/>
      <w:bookmarkEnd w:id="323"/>
      <w:bookmarkStart w:id="324" w:name="_Toc184314424"/>
      <w:bookmarkEnd w:id="324"/>
      <w:bookmarkStart w:id="325" w:name="_Toc184312097"/>
      <w:bookmarkEnd w:id="325"/>
      <w:bookmarkStart w:id="326" w:name="_Toc184308044"/>
      <w:bookmarkEnd w:id="326"/>
      <w:bookmarkStart w:id="327" w:name="_Toc184314415"/>
      <w:bookmarkEnd w:id="327"/>
      <w:bookmarkStart w:id="328" w:name="_Toc184314420"/>
      <w:bookmarkEnd w:id="328"/>
      <w:bookmarkStart w:id="329" w:name="_Toc184312129"/>
      <w:bookmarkEnd w:id="329"/>
      <w:bookmarkStart w:id="330" w:name="_Toc184312093"/>
      <w:bookmarkEnd w:id="330"/>
      <w:bookmarkStart w:id="331" w:name="_Toc184310308"/>
      <w:bookmarkEnd w:id="331"/>
      <w:bookmarkStart w:id="332" w:name="_Toc184312126"/>
      <w:bookmarkEnd w:id="332"/>
      <w:bookmarkStart w:id="333" w:name="_Toc184312081"/>
      <w:bookmarkEnd w:id="333"/>
      <w:bookmarkStart w:id="334" w:name="_Toc184310274"/>
      <w:bookmarkEnd w:id="334"/>
      <w:bookmarkStart w:id="335" w:name="_Toc184310313"/>
      <w:bookmarkEnd w:id="335"/>
      <w:bookmarkStart w:id="336" w:name="_Toc184313238"/>
      <w:bookmarkEnd w:id="336"/>
      <w:bookmarkStart w:id="337" w:name="_Toc184308057"/>
      <w:bookmarkEnd w:id="337"/>
      <w:bookmarkStart w:id="338" w:name="_Toc184308095"/>
      <w:bookmarkEnd w:id="338"/>
      <w:bookmarkStart w:id="339" w:name="_Toc184308053"/>
      <w:bookmarkEnd w:id="339"/>
      <w:bookmarkStart w:id="340" w:name="_Toc184313249"/>
      <w:bookmarkEnd w:id="340"/>
      <w:bookmarkStart w:id="341" w:name="_Toc184308081"/>
      <w:bookmarkEnd w:id="341"/>
      <w:bookmarkStart w:id="342" w:name="_Toc184308084"/>
      <w:bookmarkEnd w:id="342"/>
      <w:bookmarkStart w:id="343" w:name="_Toc184314437"/>
      <w:bookmarkEnd w:id="343"/>
      <w:bookmarkStart w:id="344" w:name="_Toc184314462"/>
      <w:bookmarkEnd w:id="344"/>
      <w:bookmarkStart w:id="345" w:name="_Toc184314422"/>
      <w:bookmarkEnd w:id="345"/>
      <w:bookmarkStart w:id="346" w:name="_Toc184308061"/>
      <w:bookmarkEnd w:id="346"/>
      <w:bookmarkStart w:id="347" w:name="_Toc184314446"/>
      <w:bookmarkEnd w:id="347"/>
      <w:bookmarkStart w:id="348" w:name="_Toc184313309"/>
      <w:bookmarkEnd w:id="348"/>
      <w:bookmarkStart w:id="349" w:name="_Toc184314459"/>
      <w:bookmarkEnd w:id="349"/>
      <w:bookmarkStart w:id="350" w:name="_Toc184312095"/>
      <w:bookmarkEnd w:id="350"/>
      <w:bookmarkStart w:id="351" w:name="_Toc184310296"/>
      <w:bookmarkEnd w:id="351"/>
      <w:bookmarkStart w:id="352" w:name="_Toc184310334"/>
      <w:bookmarkEnd w:id="352"/>
      <w:bookmarkStart w:id="353" w:name="_Toc184313273"/>
      <w:bookmarkEnd w:id="353"/>
      <w:bookmarkStart w:id="354" w:name="_Toc184312121"/>
      <w:bookmarkEnd w:id="354"/>
      <w:bookmarkStart w:id="355" w:name="_Toc184310330"/>
      <w:bookmarkEnd w:id="355"/>
      <w:bookmarkStart w:id="356" w:name="_Toc184314447"/>
      <w:bookmarkEnd w:id="356"/>
      <w:bookmarkStart w:id="357" w:name="_Toc184312082"/>
      <w:bookmarkEnd w:id="357"/>
      <w:bookmarkStart w:id="358" w:name="_Toc184313284"/>
      <w:bookmarkEnd w:id="358"/>
      <w:bookmarkStart w:id="359" w:name="_Toc184314482"/>
      <w:bookmarkEnd w:id="359"/>
      <w:bookmarkStart w:id="360" w:name="_Toc184310281"/>
      <w:bookmarkEnd w:id="360"/>
      <w:bookmarkStart w:id="361" w:name="_Toc184313259"/>
      <w:bookmarkEnd w:id="361"/>
      <w:bookmarkStart w:id="362" w:name="_Toc184310275"/>
      <w:bookmarkEnd w:id="362"/>
      <w:bookmarkStart w:id="363" w:name="_Toc184312113"/>
      <w:bookmarkEnd w:id="363"/>
      <w:bookmarkStart w:id="364" w:name="_Toc184314440"/>
      <w:bookmarkEnd w:id="364"/>
      <w:bookmarkStart w:id="365" w:name="_Toc184312091"/>
      <w:bookmarkEnd w:id="365"/>
      <w:bookmarkStart w:id="366" w:name="_Toc184310307"/>
      <w:bookmarkEnd w:id="366"/>
      <w:bookmarkStart w:id="367" w:name="_Toc184310343"/>
      <w:bookmarkEnd w:id="367"/>
      <w:bookmarkStart w:id="368" w:name="_Toc184313250"/>
      <w:bookmarkEnd w:id="368"/>
      <w:bookmarkStart w:id="369" w:name="_Toc184308040"/>
      <w:bookmarkEnd w:id="369"/>
      <w:bookmarkStart w:id="370" w:name="_Toc184312074"/>
      <w:bookmarkEnd w:id="370"/>
      <w:bookmarkStart w:id="371" w:name="_Toc184308072"/>
      <w:bookmarkEnd w:id="371"/>
      <w:bookmarkStart w:id="372" w:name="_Toc184312115"/>
      <w:bookmarkEnd w:id="372"/>
      <w:bookmarkStart w:id="373" w:name="_Toc184308087"/>
      <w:bookmarkEnd w:id="373"/>
      <w:bookmarkStart w:id="374" w:name="_Toc184312083"/>
      <w:bookmarkEnd w:id="374"/>
      <w:bookmarkStart w:id="375" w:name="_Toc184313265"/>
      <w:bookmarkEnd w:id="375"/>
      <w:bookmarkStart w:id="376" w:name="_Toc184310287"/>
      <w:bookmarkEnd w:id="376"/>
      <w:bookmarkStart w:id="377" w:name="_Toc184308045"/>
      <w:bookmarkEnd w:id="377"/>
      <w:bookmarkStart w:id="378" w:name="_Toc184308076"/>
      <w:bookmarkEnd w:id="378"/>
      <w:bookmarkStart w:id="379" w:name="_Toc184308039"/>
      <w:bookmarkEnd w:id="379"/>
      <w:bookmarkStart w:id="380" w:name="_Toc184308094"/>
      <w:bookmarkEnd w:id="380"/>
      <w:bookmarkStart w:id="381" w:name="_Toc184314474"/>
      <w:bookmarkEnd w:id="381"/>
      <w:bookmarkStart w:id="382" w:name="_Toc184313262"/>
      <w:bookmarkEnd w:id="382"/>
      <w:bookmarkStart w:id="383" w:name="_Toc184313303"/>
      <w:bookmarkEnd w:id="383"/>
      <w:bookmarkStart w:id="384" w:name="_Toc184313279"/>
      <w:bookmarkEnd w:id="384"/>
      <w:bookmarkStart w:id="385" w:name="_Toc184310278"/>
      <w:bookmarkEnd w:id="385"/>
      <w:bookmarkStart w:id="386" w:name="_Toc184313305"/>
      <w:bookmarkEnd w:id="386"/>
      <w:bookmarkStart w:id="387" w:name="_Toc184313299"/>
      <w:bookmarkEnd w:id="387"/>
      <w:bookmarkStart w:id="388" w:name="_Toc184312069"/>
      <w:bookmarkEnd w:id="388"/>
      <w:bookmarkStart w:id="389" w:name="_Toc184310311"/>
      <w:bookmarkEnd w:id="389"/>
      <w:bookmarkStart w:id="390" w:name="_Toc184314417"/>
      <w:bookmarkEnd w:id="390"/>
      <w:bookmarkStart w:id="391" w:name="_Toc184314470"/>
      <w:bookmarkEnd w:id="391"/>
      <w:bookmarkStart w:id="392" w:name="_Toc184310316"/>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4317"/>
        <w:gridCol w:w="834"/>
        <w:gridCol w:w="1089"/>
        <w:gridCol w:w="1611"/>
      </w:tblGrid>
      <w:tr w14:paraId="36A1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5" w:type="dxa"/>
            <w:vAlign w:val="center"/>
          </w:tcPr>
          <w:p w14:paraId="212381D3">
            <w:pPr>
              <w:keepNext w:val="0"/>
              <w:keepLines w:val="0"/>
              <w:pageBreakBefore w:val="0"/>
              <w:kinsoku/>
              <w:wordWrap w:val="0"/>
              <w:overflowPunct/>
              <w:topLinePunct w:val="0"/>
              <w:autoSpaceDE w:val="0"/>
              <w:autoSpaceDN w:val="0"/>
              <w:bidi w:val="0"/>
              <w:adjustRightInd w:val="0"/>
              <w:snapToGrid w:val="0"/>
              <w:spacing w:beforeLines="0" w:afterLines="0" w:line="360" w:lineRule="auto"/>
              <w:jc w:val="center"/>
              <w:textAlignment w:val="auto"/>
              <w:outlineLvl w:val="9"/>
              <w:rPr>
                <w:rStyle w:val="80"/>
                <w:rFonts w:ascii="仿宋" w:hAnsi="仿宋" w:eastAsia="仿宋" w:cs="仿宋"/>
                <w:bCs/>
                <w:color w:val="auto"/>
                <w:sz w:val="21"/>
                <w:szCs w:val="21"/>
                <w:highlight w:val="none"/>
              </w:rPr>
            </w:pPr>
            <w:r>
              <w:rPr>
                <w:rStyle w:val="80"/>
                <w:rFonts w:hint="eastAsia" w:ascii="仿宋" w:hAnsi="仿宋" w:eastAsia="仿宋" w:cs="仿宋"/>
                <w:b w:val="0"/>
                <w:bCs/>
                <w:color w:val="auto"/>
                <w:sz w:val="21"/>
                <w:szCs w:val="21"/>
                <w:highlight w:val="none"/>
              </w:rPr>
              <w:t>序号</w:t>
            </w:r>
          </w:p>
        </w:tc>
        <w:tc>
          <w:tcPr>
            <w:tcW w:w="4317" w:type="dxa"/>
            <w:vAlign w:val="center"/>
          </w:tcPr>
          <w:p w14:paraId="7C0D0E27">
            <w:pPr>
              <w:keepNext w:val="0"/>
              <w:keepLines w:val="0"/>
              <w:pageBreakBefore w:val="0"/>
              <w:kinsoku/>
              <w:wordWrap w:val="0"/>
              <w:overflowPunct/>
              <w:topLinePunct w:val="0"/>
              <w:autoSpaceDE w:val="0"/>
              <w:autoSpaceDN w:val="0"/>
              <w:bidi w:val="0"/>
              <w:adjustRightInd w:val="0"/>
              <w:snapToGrid w:val="0"/>
              <w:spacing w:beforeLines="0" w:afterLines="0" w:line="360" w:lineRule="auto"/>
              <w:ind w:firstLine="420" w:firstLineChars="200"/>
              <w:jc w:val="center"/>
              <w:textAlignment w:val="auto"/>
              <w:outlineLvl w:val="9"/>
              <w:rPr>
                <w:rStyle w:val="80"/>
                <w:rFonts w:ascii="仿宋" w:hAnsi="仿宋" w:eastAsia="仿宋" w:cs="仿宋"/>
                <w:bCs/>
                <w:color w:val="auto"/>
                <w:sz w:val="21"/>
                <w:szCs w:val="21"/>
                <w:highlight w:val="none"/>
              </w:rPr>
            </w:pPr>
            <w:r>
              <w:rPr>
                <w:rFonts w:hint="eastAsia" w:ascii="仿宋" w:hAnsi="仿宋" w:eastAsia="仿宋" w:cs="仿宋"/>
                <w:color w:val="auto"/>
                <w:sz w:val="21"/>
                <w:szCs w:val="21"/>
                <w:highlight w:val="none"/>
              </w:rPr>
              <w:t>评标标准</w:t>
            </w:r>
          </w:p>
        </w:tc>
        <w:tc>
          <w:tcPr>
            <w:tcW w:w="834" w:type="dxa"/>
            <w:vAlign w:val="center"/>
          </w:tcPr>
          <w:p w14:paraId="3011D67D">
            <w:pPr>
              <w:keepNext w:val="0"/>
              <w:keepLines w:val="0"/>
              <w:pageBreakBefore w:val="0"/>
              <w:kinsoku/>
              <w:wordWrap w:val="0"/>
              <w:overflowPunct/>
              <w:topLinePunct w:val="0"/>
              <w:autoSpaceDE w:val="0"/>
              <w:autoSpaceDN w:val="0"/>
              <w:bidi w:val="0"/>
              <w:adjustRightInd w:val="0"/>
              <w:snapToGrid w:val="0"/>
              <w:spacing w:beforeLines="0" w:afterLines="0" w:line="360" w:lineRule="auto"/>
              <w:jc w:val="center"/>
              <w:textAlignment w:val="auto"/>
              <w:outlineLvl w:val="9"/>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权重</w:t>
            </w:r>
          </w:p>
        </w:tc>
        <w:tc>
          <w:tcPr>
            <w:tcW w:w="1089" w:type="dxa"/>
            <w:vAlign w:val="center"/>
          </w:tcPr>
          <w:p w14:paraId="6525A4BE">
            <w:pPr>
              <w:keepNext w:val="0"/>
              <w:keepLines w:val="0"/>
              <w:pageBreakBefore w:val="0"/>
              <w:kinsoku/>
              <w:wordWrap w:val="0"/>
              <w:overflowPunct/>
              <w:topLinePunct w:val="0"/>
              <w:autoSpaceDE w:val="0"/>
              <w:autoSpaceDN w:val="0"/>
              <w:bidi w:val="0"/>
              <w:adjustRightInd w:val="0"/>
              <w:snapToGrid w:val="0"/>
              <w:spacing w:beforeLines="0" w:afterLines="0" w:line="360" w:lineRule="auto"/>
              <w:jc w:val="both"/>
              <w:textAlignment w:val="auto"/>
              <w:outlineLvl w:val="9"/>
              <w:rPr>
                <w:rStyle w:val="80"/>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主观分/客观分属性</w:t>
            </w:r>
          </w:p>
        </w:tc>
        <w:tc>
          <w:tcPr>
            <w:tcW w:w="1611" w:type="dxa"/>
            <w:vAlign w:val="center"/>
          </w:tcPr>
          <w:p w14:paraId="47F797B2">
            <w:pPr>
              <w:keepNext w:val="0"/>
              <w:keepLines w:val="0"/>
              <w:pageBreakBefore w:val="0"/>
              <w:kinsoku/>
              <w:wordWrap w:val="0"/>
              <w:overflowPunct/>
              <w:topLinePunct w:val="0"/>
              <w:autoSpaceDE w:val="0"/>
              <w:autoSpaceDN w:val="0"/>
              <w:bidi w:val="0"/>
              <w:adjustRightInd w:val="0"/>
              <w:snapToGrid w:val="0"/>
              <w:spacing w:beforeLines="0" w:afterLines="0" w:line="360" w:lineRule="auto"/>
              <w:jc w:val="both"/>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投标文件中评标标准相应的商务技术资料目录</w:t>
            </w:r>
          </w:p>
        </w:tc>
      </w:tr>
      <w:tr w14:paraId="623C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5" w:type="dxa"/>
            <w:vAlign w:val="center"/>
          </w:tcPr>
          <w:p w14:paraId="018CF857">
            <w:pPr>
              <w:wordWrap w:val="0"/>
              <w:autoSpaceDE w:val="0"/>
              <w:autoSpaceDN w:val="0"/>
              <w:snapToGrid w:val="0"/>
              <w:spacing w:beforeLines="0" w:afterLines="0" w:line="360" w:lineRule="auto"/>
              <w:jc w:val="center"/>
              <w:rPr>
                <w:rStyle w:val="80"/>
                <w:rFonts w:ascii="仿宋" w:hAnsi="仿宋" w:eastAsia="仿宋" w:cs="仿宋"/>
                <w:bCs/>
                <w:color w:val="auto"/>
                <w:sz w:val="21"/>
                <w:szCs w:val="21"/>
                <w:highlight w:val="none"/>
              </w:rPr>
            </w:pPr>
            <w:r>
              <w:rPr>
                <w:rStyle w:val="80"/>
                <w:rFonts w:hint="eastAsia" w:ascii="仿宋" w:hAnsi="仿宋" w:eastAsia="仿宋" w:cs="仿宋"/>
                <w:bCs/>
                <w:color w:val="auto"/>
                <w:sz w:val="21"/>
                <w:szCs w:val="21"/>
                <w:highlight w:val="none"/>
              </w:rPr>
              <w:t>1</w:t>
            </w:r>
          </w:p>
        </w:tc>
        <w:tc>
          <w:tcPr>
            <w:tcW w:w="4317" w:type="dxa"/>
            <w:vAlign w:val="center"/>
          </w:tcPr>
          <w:p w14:paraId="0844C1E7">
            <w:pPr>
              <w:wordWrap w:val="0"/>
              <w:autoSpaceDE w:val="0"/>
              <w:autoSpaceDN w:val="0"/>
              <w:snapToGrid w:val="0"/>
              <w:spacing w:beforeLines="0" w:afterLines="0" w:line="360" w:lineRule="auto"/>
              <w:jc w:val="both"/>
              <w:rPr>
                <w:rStyle w:val="80"/>
                <w:rFonts w:ascii="仿宋" w:hAnsi="仿宋" w:eastAsia="仿宋" w:cs="仿宋"/>
                <w:bCs/>
                <w:color w:val="auto"/>
                <w:sz w:val="21"/>
                <w:szCs w:val="21"/>
                <w:highlight w:val="none"/>
              </w:rPr>
            </w:pPr>
            <w:r>
              <w:rPr>
                <w:rStyle w:val="80"/>
                <w:rFonts w:hint="eastAsia" w:ascii="仿宋" w:hAnsi="仿宋" w:eastAsia="仿宋" w:cs="仿宋"/>
                <w:bCs/>
                <w:color w:val="auto"/>
                <w:sz w:val="21"/>
                <w:szCs w:val="21"/>
                <w:highlight w:val="none"/>
              </w:rPr>
              <w:t>投标人具有有效的质量管理体系认证证书、环境管理认证证书、职业健康安全管理体系认证证书的，每有1项得1分，最高得3分。（</w:t>
            </w:r>
            <w:r>
              <w:rPr>
                <w:rStyle w:val="80"/>
                <w:rFonts w:hint="eastAsia" w:ascii="仿宋" w:hAnsi="仿宋" w:eastAsia="仿宋" w:cs="仿宋"/>
                <w:bCs/>
                <w:color w:val="auto"/>
                <w:sz w:val="21"/>
                <w:szCs w:val="21"/>
                <w:highlight w:val="none"/>
                <w:lang w:val="en-US" w:eastAsia="zh-CN"/>
              </w:rPr>
              <w:t>证明材料</w:t>
            </w:r>
            <w:r>
              <w:rPr>
                <w:rStyle w:val="80"/>
                <w:rFonts w:hint="eastAsia" w:ascii="仿宋" w:hAnsi="仿宋" w:eastAsia="仿宋" w:cs="仿宋"/>
                <w:bCs/>
                <w:color w:val="auto"/>
                <w:sz w:val="21"/>
                <w:szCs w:val="21"/>
                <w:highlight w:val="none"/>
              </w:rPr>
              <w:t>提供证书及</w:t>
            </w:r>
            <w:r>
              <w:rPr>
                <w:rStyle w:val="80"/>
                <w:rFonts w:hint="eastAsia" w:ascii="仿宋" w:hAnsi="仿宋" w:eastAsia="仿宋" w:cs="仿宋"/>
                <w:bCs/>
                <w:color w:val="auto"/>
                <w:sz w:val="21"/>
                <w:szCs w:val="21"/>
                <w:highlight w:val="none"/>
                <w:lang w:eastAsia="zh-CN"/>
              </w:rPr>
              <w:t>“</w:t>
            </w:r>
            <w:r>
              <w:rPr>
                <w:rStyle w:val="80"/>
                <w:rFonts w:hint="eastAsia" w:ascii="仿宋" w:hAnsi="仿宋" w:eastAsia="仿宋" w:cs="仿宋"/>
                <w:bCs/>
                <w:color w:val="auto"/>
                <w:sz w:val="21"/>
                <w:szCs w:val="21"/>
                <w:highlight w:val="none"/>
              </w:rPr>
              <w:t>国家认证认可监督管理委员会</w:t>
            </w:r>
            <w:r>
              <w:rPr>
                <w:rStyle w:val="80"/>
                <w:rFonts w:hint="eastAsia" w:ascii="仿宋" w:hAnsi="仿宋" w:eastAsia="仿宋" w:cs="仿宋"/>
                <w:bCs/>
                <w:color w:val="auto"/>
                <w:sz w:val="21"/>
                <w:szCs w:val="21"/>
                <w:highlight w:val="none"/>
                <w:lang w:eastAsia="zh-CN"/>
              </w:rPr>
              <w:t>”</w:t>
            </w:r>
            <w:r>
              <w:rPr>
                <w:rStyle w:val="80"/>
                <w:rFonts w:hint="eastAsia" w:ascii="仿宋" w:hAnsi="仿宋" w:eastAsia="仿宋" w:cs="仿宋"/>
                <w:bCs/>
                <w:color w:val="auto"/>
                <w:sz w:val="21"/>
                <w:szCs w:val="21"/>
                <w:highlight w:val="none"/>
              </w:rPr>
              <w:t>网站（http://www.cnca.gov.cn）查询截图）。</w:t>
            </w:r>
          </w:p>
        </w:tc>
        <w:tc>
          <w:tcPr>
            <w:tcW w:w="834" w:type="dxa"/>
            <w:vAlign w:val="center"/>
          </w:tcPr>
          <w:p w14:paraId="127A3D7A">
            <w:pPr>
              <w:wordWrap w:val="0"/>
              <w:autoSpaceDE w:val="0"/>
              <w:autoSpaceDN w:val="0"/>
              <w:snapToGrid w:val="0"/>
              <w:spacing w:beforeLines="0" w:afterLines="0"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089" w:type="dxa"/>
            <w:vAlign w:val="center"/>
          </w:tcPr>
          <w:p w14:paraId="588F8C8C">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客观分</w:t>
            </w:r>
          </w:p>
        </w:tc>
        <w:tc>
          <w:tcPr>
            <w:tcW w:w="1611" w:type="dxa"/>
            <w:vAlign w:val="center"/>
          </w:tcPr>
          <w:p w14:paraId="0D43395D">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4977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55" w:type="dxa"/>
            <w:vAlign w:val="center"/>
          </w:tcPr>
          <w:p w14:paraId="068B2E13">
            <w:pPr>
              <w:wordWrap w:val="0"/>
              <w:autoSpaceDE w:val="0"/>
              <w:autoSpaceDN w:val="0"/>
              <w:snapToGrid w:val="0"/>
              <w:spacing w:beforeLines="0" w:afterLines="0" w:line="360" w:lineRule="auto"/>
              <w:jc w:val="center"/>
              <w:rPr>
                <w:rStyle w:val="80"/>
                <w:rFonts w:hint="eastAsia" w:ascii="仿宋" w:hAnsi="仿宋" w:eastAsia="仿宋" w:cs="仿宋"/>
                <w:bCs/>
                <w:color w:val="auto"/>
                <w:sz w:val="21"/>
                <w:szCs w:val="21"/>
                <w:highlight w:val="none"/>
                <w:lang w:val="en-US" w:eastAsia="zh-CN"/>
              </w:rPr>
            </w:pPr>
            <w:r>
              <w:rPr>
                <w:rStyle w:val="80"/>
                <w:rFonts w:hint="eastAsia" w:ascii="仿宋" w:hAnsi="仿宋" w:eastAsia="仿宋" w:cs="仿宋"/>
                <w:bCs/>
                <w:color w:val="auto"/>
                <w:sz w:val="21"/>
                <w:szCs w:val="21"/>
                <w:highlight w:val="none"/>
                <w:lang w:val="en-US" w:eastAsia="zh-CN"/>
              </w:rPr>
              <w:t>2</w:t>
            </w:r>
          </w:p>
        </w:tc>
        <w:tc>
          <w:tcPr>
            <w:tcW w:w="4317" w:type="dxa"/>
            <w:vAlign w:val="center"/>
          </w:tcPr>
          <w:p w14:paraId="7C7BFC92">
            <w:pPr>
              <w:wordWrap w:val="0"/>
              <w:snapToGrid w:val="0"/>
              <w:spacing w:beforeLines="0" w:afterLines="0" w:line="360" w:lineRule="auto"/>
              <w:rPr>
                <w:rStyle w:val="80"/>
                <w:rFonts w:hint="eastAsia" w:ascii="仿宋" w:hAnsi="仿宋" w:eastAsia="仿宋" w:cs="仿宋"/>
                <w:bCs/>
                <w:color w:val="auto"/>
                <w:sz w:val="21"/>
                <w:szCs w:val="21"/>
                <w:highlight w:val="none"/>
                <w:lang w:val="en-US" w:eastAsia="zh-CN"/>
              </w:rPr>
            </w:pPr>
            <w:r>
              <w:rPr>
                <w:rStyle w:val="80"/>
                <w:rFonts w:hint="eastAsia" w:ascii="仿宋" w:hAnsi="仿宋" w:eastAsia="仿宋" w:cs="仿宋"/>
                <w:bCs/>
                <w:color w:val="auto"/>
                <w:sz w:val="21"/>
                <w:szCs w:val="21"/>
                <w:highlight w:val="none"/>
                <w:lang w:val="en-US" w:eastAsia="zh-CN"/>
              </w:rPr>
              <w:t>投标人具备五星级品质旅行社的得3分，4星级品质旅行社的得2分，3星级品质旅行社的得1分</w:t>
            </w:r>
            <w:r>
              <w:rPr>
                <w:rStyle w:val="80"/>
                <w:rFonts w:hint="eastAsia" w:ascii="仿宋" w:hAnsi="仿宋" w:eastAsia="仿宋" w:cs="仿宋"/>
                <w:bCs/>
                <w:color w:val="auto"/>
                <w:sz w:val="21"/>
                <w:szCs w:val="21"/>
                <w:highlight w:val="none"/>
              </w:rPr>
              <w:t>。</w:t>
            </w:r>
          </w:p>
        </w:tc>
        <w:tc>
          <w:tcPr>
            <w:tcW w:w="834" w:type="dxa"/>
            <w:vAlign w:val="center"/>
          </w:tcPr>
          <w:p w14:paraId="0654C15B">
            <w:pPr>
              <w:wordWrap w:val="0"/>
              <w:autoSpaceDE w:val="0"/>
              <w:autoSpaceDN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1089" w:type="dxa"/>
            <w:vAlign w:val="center"/>
          </w:tcPr>
          <w:p w14:paraId="7F75DB99">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客观分</w:t>
            </w:r>
          </w:p>
        </w:tc>
        <w:tc>
          <w:tcPr>
            <w:tcW w:w="1611" w:type="dxa"/>
            <w:vAlign w:val="center"/>
          </w:tcPr>
          <w:p w14:paraId="1754B12A">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5E76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Align w:val="center"/>
          </w:tcPr>
          <w:p w14:paraId="6EF542C5">
            <w:pPr>
              <w:wordWrap w:val="0"/>
              <w:autoSpaceDE w:val="0"/>
              <w:autoSpaceDN w:val="0"/>
              <w:snapToGrid w:val="0"/>
              <w:spacing w:beforeLines="0" w:afterLines="0" w:line="360" w:lineRule="auto"/>
              <w:jc w:val="center"/>
              <w:rPr>
                <w:rStyle w:val="80"/>
                <w:rFonts w:hint="eastAsia" w:ascii="仿宋" w:hAnsi="仿宋" w:eastAsia="仿宋" w:cs="仿宋"/>
                <w:bCs/>
                <w:color w:val="auto"/>
                <w:sz w:val="21"/>
                <w:szCs w:val="21"/>
                <w:highlight w:val="none"/>
                <w:lang w:eastAsia="zh-CN"/>
              </w:rPr>
            </w:pPr>
            <w:r>
              <w:rPr>
                <w:rStyle w:val="80"/>
                <w:rFonts w:hint="eastAsia" w:ascii="仿宋" w:hAnsi="仿宋" w:eastAsia="仿宋" w:cs="仿宋"/>
                <w:bCs/>
                <w:color w:val="auto"/>
                <w:sz w:val="21"/>
                <w:szCs w:val="21"/>
                <w:highlight w:val="none"/>
                <w:lang w:val="en-US" w:eastAsia="zh-CN"/>
              </w:rPr>
              <w:t>3</w:t>
            </w:r>
          </w:p>
        </w:tc>
        <w:tc>
          <w:tcPr>
            <w:tcW w:w="4317" w:type="dxa"/>
            <w:vAlign w:val="center"/>
          </w:tcPr>
          <w:p w14:paraId="3DD19F45">
            <w:pPr>
              <w:wordWrap w:val="0"/>
              <w:autoSpaceDE w:val="0"/>
              <w:autoSpaceDN w:val="0"/>
              <w:snapToGrid w:val="0"/>
              <w:spacing w:beforeLines="0" w:afterLines="0" w:line="360" w:lineRule="auto"/>
              <w:jc w:val="both"/>
              <w:rPr>
                <w:rFonts w:ascii="仿宋" w:hAnsi="仿宋" w:eastAsia="仿宋" w:cs="仿宋"/>
                <w:color w:val="auto"/>
                <w:kern w:val="0"/>
                <w:sz w:val="21"/>
                <w:szCs w:val="21"/>
                <w:highlight w:val="none"/>
                <w:lang w:val="zh-CN"/>
              </w:rPr>
            </w:pPr>
            <w:r>
              <w:rPr>
                <w:rStyle w:val="80"/>
                <w:rFonts w:hint="eastAsia" w:ascii="仿宋" w:hAnsi="仿宋" w:eastAsia="仿宋" w:cs="仿宋"/>
                <w:bCs/>
                <w:color w:val="auto"/>
                <w:sz w:val="21"/>
                <w:szCs w:val="21"/>
                <w:highlight w:val="none"/>
              </w:rPr>
              <w:t>企业</w:t>
            </w:r>
            <w:r>
              <w:rPr>
                <w:rStyle w:val="80"/>
                <w:rFonts w:hint="eastAsia" w:ascii="仿宋" w:hAnsi="仿宋" w:eastAsia="仿宋" w:cs="仿宋"/>
                <w:bCs/>
                <w:color w:val="auto"/>
                <w:sz w:val="21"/>
                <w:szCs w:val="21"/>
                <w:highlight w:val="none"/>
                <w:lang w:val="en-US" w:eastAsia="zh-CN"/>
              </w:rPr>
              <w:t>类似</w:t>
            </w:r>
            <w:r>
              <w:rPr>
                <w:rStyle w:val="80"/>
                <w:rFonts w:hint="eastAsia" w:ascii="仿宋" w:hAnsi="仿宋" w:eastAsia="仿宋" w:cs="仿宋"/>
                <w:bCs/>
                <w:color w:val="auto"/>
                <w:sz w:val="21"/>
                <w:szCs w:val="21"/>
                <w:highlight w:val="none"/>
              </w:rPr>
              <w:t>业绩</w:t>
            </w:r>
            <w:r>
              <w:rPr>
                <w:rStyle w:val="80"/>
                <w:rFonts w:hint="eastAsia" w:ascii="仿宋" w:hAnsi="仿宋" w:eastAsia="仿宋" w:cs="仿宋"/>
                <w:bCs/>
                <w:color w:val="auto"/>
                <w:sz w:val="21"/>
                <w:szCs w:val="21"/>
                <w:highlight w:val="none"/>
                <w:lang w:eastAsia="zh-CN"/>
              </w:rPr>
              <w:t>：</w:t>
            </w:r>
            <w:r>
              <w:rPr>
                <w:rFonts w:hint="eastAsia" w:ascii="仿宋" w:hAnsi="仿宋" w:eastAsia="仿宋" w:cs="仿宋"/>
                <w:color w:val="auto"/>
                <w:kern w:val="0"/>
                <w:sz w:val="21"/>
                <w:szCs w:val="21"/>
                <w:highlight w:val="none"/>
                <w:lang w:val="zh-CN"/>
              </w:rPr>
              <w:t>供应商</w:t>
            </w:r>
            <w:r>
              <w:rPr>
                <w:rFonts w:hint="eastAsia" w:ascii="仿宋" w:hAnsi="仿宋" w:eastAsia="仿宋" w:cs="仿宋"/>
                <w:color w:val="auto"/>
                <w:kern w:val="0"/>
                <w:sz w:val="21"/>
                <w:szCs w:val="21"/>
                <w:highlight w:val="none"/>
                <w:lang w:val="en-US" w:eastAsia="zh-CN"/>
              </w:rPr>
              <w:t>具有</w:t>
            </w:r>
            <w:r>
              <w:rPr>
                <w:rFonts w:ascii="仿宋" w:hAnsi="仿宋" w:eastAsia="仿宋" w:cs="仿宋"/>
                <w:color w:val="auto"/>
                <w:kern w:val="0"/>
                <w:sz w:val="21"/>
                <w:szCs w:val="21"/>
                <w:highlight w:val="none"/>
                <w:lang w:val="zh-CN"/>
              </w:rPr>
              <w:t>企业退休人员</w:t>
            </w:r>
            <w:r>
              <w:rPr>
                <w:rFonts w:hint="eastAsia" w:ascii="仿宋" w:hAnsi="仿宋" w:eastAsia="仿宋" w:cs="仿宋"/>
                <w:color w:val="auto"/>
                <w:kern w:val="0"/>
                <w:sz w:val="21"/>
                <w:szCs w:val="21"/>
                <w:highlight w:val="none"/>
                <w:lang w:val="en-US" w:eastAsia="zh-CN"/>
              </w:rPr>
              <w:t>文体</w:t>
            </w:r>
            <w:r>
              <w:rPr>
                <w:rFonts w:ascii="仿宋" w:hAnsi="仿宋" w:eastAsia="仿宋" w:cs="仿宋"/>
                <w:color w:val="auto"/>
                <w:kern w:val="0"/>
                <w:sz w:val="21"/>
                <w:szCs w:val="21"/>
                <w:highlight w:val="none"/>
                <w:lang w:val="zh-CN"/>
              </w:rPr>
              <w:t>活动</w:t>
            </w:r>
            <w:r>
              <w:rPr>
                <w:rFonts w:hint="eastAsia" w:ascii="仿宋" w:hAnsi="仿宋" w:eastAsia="仿宋" w:cs="仿宋"/>
                <w:color w:val="auto"/>
                <w:kern w:val="0"/>
                <w:sz w:val="21"/>
                <w:szCs w:val="21"/>
                <w:highlight w:val="none"/>
                <w:lang w:val="en-US" w:eastAsia="zh-CN"/>
              </w:rPr>
              <w:t>承办服务</w:t>
            </w:r>
            <w:r>
              <w:rPr>
                <w:rFonts w:ascii="仿宋" w:hAnsi="仿宋" w:eastAsia="仿宋" w:cs="仿宋"/>
                <w:color w:val="auto"/>
                <w:kern w:val="0"/>
                <w:sz w:val="21"/>
                <w:szCs w:val="21"/>
                <w:highlight w:val="none"/>
                <w:lang w:val="zh-CN"/>
              </w:rPr>
              <w:t>业绩</w:t>
            </w:r>
            <w:r>
              <w:rPr>
                <w:rFonts w:hint="eastAsia" w:ascii="仿宋" w:hAnsi="仿宋" w:eastAsia="仿宋" w:cs="仿宋"/>
                <w:color w:val="auto"/>
                <w:kern w:val="0"/>
                <w:sz w:val="21"/>
                <w:szCs w:val="21"/>
                <w:highlight w:val="none"/>
                <w:lang w:val="en-US" w:eastAsia="zh-CN"/>
              </w:rPr>
              <w:t>的，</w:t>
            </w:r>
            <w:r>
              <w:rPr>
                <w:rFonts w:ascii="仿宋" w:hAnsi="仿宋" w:eastAsia="仿宋" w:cs="仿宋"/>
                <w:color w:val="auto"/>
                <w:kern w:val="0"/>
                <w:sz w:val="21"/>
                <w:szCs w:val="21"/>
                <w:highlight w:val="none"/>
                <w:lang w:val="zh-CN"/>
              </w:rPr>
              <w:t>每</w:t>
            </w:r>
            <w:r>
              <w:rPr>
                <w:rFonts w:hint="eastAsia" w:ascii="仿宋" w:hAnsi="仿宋" w:eastAsia="仿宋" w:cs="仿宋"/>
                <w:color w:val="auto"/>
                <w:kern w:val="0"/>
                <w:sz w:val="21"/>
                <w:szCs w:val="21"/>
                <w:highlight w:val="none"/>
                <w:lang w:val="en-US" w:eastAsia="zh-CN"/>
              </w:rPr>
              <w:t>具有1例的，得0.5</w:t>
            </w:r>
            <w:r>
              <w:rPr>
                <w:rFonts w:ascii="仿宋" w:hAnsi="仿宋" w:eastAsia="仿宋" w:cs="仿宋"/>
                <w:color w:val="auto"/>
                <w:kern w:val="0"/>
                <w:sz w:val="21"/>
                <w:szCs w:val="21"/>
                <w:highlight w:val="none"/>
                <w:lang w:val="zh-CN"/>
              </w:rPr>
              <w:t>分，</w:t>
            </w:r>
            <w:r>
              <w:rPr>
                <w:rFonts w:hint="eastAsia" w:ascii="仿宋" w:hAnsi="仿宋" w:eastAsia="仿宋" w:cs="仿宋"/>
                <w:color w:val="auto"/>
                <w:kern w:val="0"/>
                <w:sz w:val="21"/>
                <w:szCs w:val="21"/>
                <w:highlight w:val="none"/>
                <w:lang w:val="en-US" w:eastAsia="zh-CN"/>
              </w:rPr>
              <w:t>最高得1</w:t>
            </w:r>
            <w:r>
              <w:rPr>
                <w:rFonts w:ascii="仿宋" w:hAnsi="仿宋" w:eastAsia="仿宋" w:cs="仿宋"/>
                <w:color w:val="auto"/>
                <w:kern w:val="0"/>
                <w:sz w:val="21"/>
                <w:szCs w:val="21"/>
                <w:highlight w:val="none"/>
                <w:lang w:val="zh-CN"/>
              </w:rPr>
              <w:t>分</w:t>
            </w:r>
            <w:r>
              <w:rPr>
                <w:rFonts w:hint="eastAsia" w:ascii="仿宋" w:hAnsi="仿宋" w:eastAsia="仿宋" w:cs="仿宋"/>
                <w:color w:val="auto"/>
                <w:kern w:val="0"/>
                <w:sz w:val="21"/>
                <w:szCs w:val="21"/>
                <w:highlight w:val="none"/>
                <w:lang w:val="en-US" w:eastAsia="zh-CN"/>
              </w:rPr>
              <w:t>。</w:t>
            </w:r>
            <w:r>
              <w:rPr>
                <w:rFonts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lang w:val="zh-CN"/>
              </w:rPr>
              <w:t>证明材料提供合同，联合体</w:t>
            </w:r>
            <w:r>
              <w:rPr>
                <w:rFonts w:hint="eastAsia" w:ascii="仿宋" w:hAnsi="仿宋" w:eastAsia="仿宋" w:cs="仿宋"/>
                <w:color w:val="auto"/>
                <w:kern w:val="0"/>
                <w:sz w:val="21"/>
                <w:szCs w:val="21"/>
                <w:highlight w:val="none"/>
                <w:lang w:val="en-US" w:eastAsia="zh-CN"/>
              </w:rPr>
              <w:t>参加</w:t>
            </w:r>
            <w:r>
              <w:rPr>
                <w:rFonts w:hint="eastAsia" w:ascii="仿宋" w:hAnsi="仿宋" w:eastAsia="仿宋" w:cs="仿宋"/>
                <w:color w:val="auto"/>
                <w:kern w:val="0"/>
                <w:sz w:val="21"/>
                <w:szCs w:val="21"/>
                <w:highlight w:val="none"/>
                <w:lang w:val="zh-CN"/>
              </w:rPr>
              <w:t>的，业绩数量以提供材料较少的一方为准。</w:t>
            </w:r>
            <w:r>
              <w:rPr>
                <w:rFonts w:ascii="仿宋" w:hAnsi="仿宋" w:eastAsia="仿宋" w:cs="仿宋"/>
                <w:color w:val="auto"/>
                <w:kern w:val="0"/>
                <w:sz w:val="21"/>
                <w:szCs w:val="21"/>
                <w:highlight w:val="none"/>
                <w:lang w:val="zh-CN"/>
              </w:rPr>
              <w:t>）</w:t>
            </w:r>
          </w:p>
        </w:tc>
        <w:tc>
          <w:tcPr>
            <w:tcW w:w="834" w:type="dxa"/>
            <w:vAlign w:val="center"/>
          </w:tcPr>
          <w:p w14:paraId="16F356E9">
            <w:pPr>
              <w:wordWrap w:val="0"/>
              <w:autoSpaceDE w:val="0"/>
              <w:autoSpaceDN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w:t>
            </w:r>
          </w:p>
        </w:tc>
        <w:tc>
          <w:tcPr>
            <w:tcW w:w="1089" w:type="dxa"/>
            <w:vAlign w:val="center"/>
          </w:tcPr>
          <w:p w14:paraId="0EC408C2">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客观分</w:t>
            </w:r>
          </w:p>
        </w:tc>
        <w:tc>
          <w:tcPr>
            <w:tcW w:w="1611" w:type="dxa"/>
            <w:vAlign w:val="center"/>
          </w:tcPr>
          <w:p w14:paraId="50EC5D0C">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0DC6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5" w:type="dxa"/>
            <w:vAlign w:val="center"/>
          </w:tcPr>
          <w:p w14:paraId="238BC14C">
            <w:pPr>
              <w:wordWrap w:val="0"/>
              <w:autoSpaceDE w:val="0"/>
              <w:autoSpaceDN w:val="0"/>
              <w:snapToGrid w:val="0"/>
              <w:spacing w:beforeLines="0" w:afterLines="0" w:line="360" w:lineRule="auto"/>
              <w:jc w:val="center"/>
              <w:rPr>
                <w:rStyle w:val="80"/>
                <w:rFonts w:hint="eastAsia" w:ascii="仿宋" w:hAnsi="仿宋" w:eastAsia="仿宋" w:cs="仿宋"/>
                <w:bCs/>
                <w:color w:val="auto"/>
                <w:sz w:val="21"/>
                <w:szCs w:val="21"/>
                <w:highlight w:val="none"/>
                <w:lang w:eastAsia="zh-CN"/>
              </w:rPr>
            </w:pPr>
            <w:r>
              <w:rPr>
                <w:rStyle w:val="80"/>
                <w:rFonts w:hint="eastAsia" w:ascii="仿宋" w:hAnsi="仿宋" w:eastAsia="仿宋" w:cs="仿宋"/>
                <w:bCs/>
                <w:color w:val="auto"/>
                <w:sz w:val="21"/>
                <w:szCs w:val="21"/>
                <w:highlight w:val="none"/>
                <w:lang w:val="en-US" w:eastAsia="zh-CN"/>
              </w:rPr>
              <w:t>4</w:t>
            </w:r>
          </w:p>
        </w:tc>
        <w:tc>
          <w:tcPr>
            <w:tcW w:w="4317" w:type="dxa"/>
            <w:vAlign w:val="center"/>
          </w:tcPr>
          <w:p w14:paraId="40AF9B0A">
            <w:pPr>
              <w:widowControl/>
              <w:snapToGrid w:val="0"/>
              <w:spacing w:beforeLines="0" w:afterLines="0"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文娱健身活动活动方案</w:t>
            </w:r>
            <w:r>
              <w:rPr>
                <w:rFonts w:hint="eastAsia" w:ascii="仿宋" w:hAnsi="仿宋" w:eastAsia="仿宋" w:cs="仿宋"/>
                <w:color w:val="auto"/>
                <w:sz w:val="21"/>
                <w:szCs w:val="21"/>
                <w:highlight w:val="none"/>
                <w:lang w:eastAsia="zh-CN"/>
              </w:rPr>
              <w:t>：</w:t>
            </w:r>
          </w:p>
          <w:p w14:paraId="70F28578">
            <w:pPr>
              <w:widowControl/>
              <w:snapToGrid w:val="0"/>
              <w:spacing w:beforeLines="0" w:afterLines="0" w:line="36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w:t>
            </w:r>
            <w:r>
              <w:rPr>
                <w:rFonts w:hint="eastAsia" w:ascii="仿宋" w:hAnsi="仿宋" w:eastAsia="仿宋" w:cs="仿宋"/>
                <w:color w:val="auto"/>
                <w:sz w:val="21"/>
                <w:szCs w:val="21"/>
                <w:highlight w:val="none"/>
                <w:lang w:eastAsia="zh-CN"/>
              </w:rPr>
              <w:t>文娱健身活动方案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合理、</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适合老年人参与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与采购需求完全相适应、</w:t>
            </w:r>
            <w:r>
              <w:rPr>
                <w:rFonts w:hint="eastAsia" w:ascii="仿宋" w:hAnsi="仿宋" w:eastAsia="仿宋" w:cs="仿宋"/>
                <w:color w:val="auto"/>
                <w:sz w:val="21"/>
                <w:szCs w:val="21"/>
                <w:highlight w:val="none"/>
                <w:lang w:val="en-US" w:eastAsia="zh-CN"/>
              </w:rPr>
              <w:t>是否符合小型、多样、就近、安全原则</w:t>
            </w:r>
            <w:r>
              <w:rPr>
                <w:rFonts w:hint="eastAsia" w:ascii="仿宋" w:hAnsi="仿宋" w:eastAsia="仿宋" w:cs="仿宋"/>
                <w:color w:val="auto"/>
                <w:sz w:val="21"/>
                <w:szCs w:val="21"/>
                <w:highlight w:val="none"/>
                <w:lang w:eastAsia="zh-CN"/>
              </w:rPr>
              <w:t>进行打分：（</w:t>
            </w:r>
            <w:r>
              <w:rPr>
                <w:rFonts w:hint="eastAsia" w:ascii="仿宋" w:hAnsi="仿宋" w:eastAsia="仿宋" w:cs="仿宋"/>
                <w:color w:val="auto"/>
                <w:sz w:val="21"/>
                <w:szCs w:val="21"/>
                <w:highlight w:val="none"/>
                <w:lang w:val="en-US" w:eastAsia="zh-CN"/>
              </w:rPr>
              <w:t>评分范围8、7、6、5、4、3、2、1、0）</w:t>
            </w:r>
          </w:p>
          <w:p w14:paraId="43ED4D2C">
            <w:pPr>
              <w:widowControl/>
              <w:snapToGrid w:val="0"/>
              <w:spacing w:beforeLines="0" w:afterLines="0" w:line="360" w:lineRule="auto"/>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w:t>
            </w:r>
            <w:r>
              <w:rPr>
                <w:rFonts w:hint="eastAsia" w:ascii="仿宋" w:hAnsi="仿宋" w:eastAsia="仿宋" w:cs="仿宋"/>
                <w:color w:val="auto"/>
                <w:sz w:val="21"/>
                <w:szCs w:val="21"/>
                <w:highlight w:val="none"/>
                <w:lang w:eastAsia="zh-CN"/>
              </w:rPr>
              <w:t>提供的各类活动的活动场地、活动设施设备</w:t>
            </w:r>
            <w:r>
              <w:rPr>
                <w:rFonts w:hint="eastAsia" w:ascii="仿宋" w:hAnsi="仿宋" w:eastAsia="仿宋" w:cs="仿宋"/>
                <w:color w:val="auto"/>
                <w:sz w:val="21"/>
                <w:szCs w:val="21"/>
                <w:highlight w:val="none"/>
                <w:lang w:val="en-US" w:eastAsia="zh-CN"/>
              </w:rPr>
              <w:t>实施</w:t>
            </w:r>
            <w:r>
              <w:rPr>
                <w:rFonts w:hint="eastAsia" w:ascii="仿宋" w:hAnsi="仿宋" w:eastAsia="仿宋" w:cs="仿宋"/>
                <w:color w:val="auto"/>
                <w:sz w:val="21"/>
                <w:szCs w:val="21"/>
                <w:highlight w:val="none"/>
                <w:lang w:eastAsia="zh-CN"/>
              </w:rPr>
              <w:t>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全面合理且可操作性强，</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与采购需求完全相适应进行打分；（</w:t>
            </w:r>
            <w:r>
              <w:rPr>
                <w:rFonts w:hint="eastAsia" w:ascii="仿宋" w:hAnsi="仿宋" w:eastAsia="仿宋" w:cs="仿宋"/>
                <w:color w:val="auto"/>
                <w:sz w:val="21"/>
                <w:szCs w:val="21"/>
                <w:highlight w:val="none"/>
                <w:lang w:val="en-US" w:eastAsia="zh-CN"/>
              </w:rPr>
              <w:t>评分范围6、5、4、3、2、1、0）</w:t>
            </w:r>
          </w:p>
          <w:p w14:paraId="5424477F">
            <w:pPr>
              <w:widowControl/>
              <w:snapToGrid w:val="0"/>
              <w:spacing w:beforeLines="0" w:afterLines="0" w:line="360" w:lineRule="auto"/>
              <w:jc w:val="both"/>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③活动策划、宣传标语内容，及为采购人提供活动宣传素材的方案是否合理、完善进行打分。（评分范围5、4、3、2、1、0）</w:t>
            </w:r>
          </w:p>
          <w:p w14:paraId="395BC682">
            <w:pPr>
              <w:widowControl/>
              <w:snapToGrid w:val="0"/>
              <w:spacing w:beforeLines="0" w:afterLines="0" w:line="360" w:lineRule="auto"/>
              <w:jc w:val="both"/>
              <w:rPr>
                <w:rFonts w:hint="default"/>
                <w:color w:val="auto"/>
                <w:highlight w:val="none"/>
                <w:lang w:val="en-US"/>
              </w:rPr>
            </w:pPr>
            <w:r>
              <w:rPr>
                <w:rFonts w:hint="eastAsia" w:ascii="仿宋" w:hAnsi="仿宋" w:eastAsia="仿宋" w:cs="仿宋"/>
                <w:b w:val="0"/>
                <w:bCs w:val="0"/>
                <w:color w:val="auto"/>
                <w:kern w:val="2"/>
                <w:sz w:val="21"/>
                <w:szCs w:val="21"/>
                <w:highlight w:val="none"/>
                <w:lang w:val="en-US" w:eastAsia="zh-CN" w:bidi="ar-SA"/>
              </w:rPr>
              <w:t>④提供的上门慰问服务方案，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lang w:eastAsia="zh-CN"/>
              </w:rPr>
              <w:t>与采购需求相适应</w:t>
            </w:r>
            <w:r>
              <w:rPr>
                <w:rFonts w:hint="eastAsia" w:ascii="仿宋" w:hAnsi="仿宋" w:eastAsia="仿宋" w:cs="仿宋"/>
                <w:color w:val="auto"/>
                <w:sz w:val="21"/>
                <w:szCs w:val="21"/>
                <w:highlight w:val="none"/>
                <w:lang w:val="en-US" w:eastAsia="zh-CN"/>
              </w:rPr>
              <w:t>进行打分。</w:t>
            </w:r>
            <w:r>
              <w:rPr>
                <w:rFonts w:hint="eastAsia" w:ascii="仿宋" w:hAnsi="仿宋" w:eastAsia="仿宋" w:cs="仿宋"/>
                <w:b w:val="0"/>
                <w:bCs w:val="0"/>
                <w:color w:val="auto"/>
                <w:kern w:val="2"/>
                <w:sz w:val="21"/>
                <w:szCs w:val="21"/>
                <w:highlight w:val="none"/>
                <w:lang w:val="en-US" w:eastAsia="zh-CN" w:bidi="ar-SA"/>
              </w:rPr>
              <w:t>（评分范围3、2、1、0）</w:t>
            </w:r>
          </w:p>
        </w:tc>
        <w:tc>
          <w:tcPr>
            <w:tcW w:w="834" w:type="dxa"/>
            <w:vAlign w:val="center"/>
          </w:tcPr>
          <w:p w14:paraId="501F827A">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22</w:t>
            </w:r>
          </w:p>
        </w:tc>
        <w:tc>
          <w:tcPr>
            <w:tcW w:w="1089" w:type="dxa"/>
            <w:vAlign w:val="center"/>
          </w:tcPr>
          <w:p w14:paraId="1CE74B04">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7D7DF9F9">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3A8E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5" w:type="dxa"/>
            <w:vAlign w:val="center"/>
          </w:tcPr>
          <w:p w14:paraId="36CD5F50">
            <w:pPr>
              <w:wordWrap w:val="0"/>
              <w:autoSpaceDE w:val="0"/>
              <w:autoSpaceDN w:val="0"/>
              <w:snapToGrid w:val="0"/>
              <w:spacing w:beforeLines="0" w:afterLines="0" w:line="360" w:lineRule="auto"/>
              <w:jc w:val="center"/>
              <w:rPr>
                <w:rStyle w:val="80"/>
                <w:rFonts w:hint="default" w:ascii="仿宋" w:hAnsi="仿宋" w:eastAsia="仿宋" w:cs="仿宋"/>
                <w:bCs/>
                <w:color w:val="auto"/>
                <w:sz w:val="21"/>
                <w:szCs w:val="21"/>
                <w:highlight w:val="none"/>
                <w:lang w:val="en-US" w:eastAsia="zh-CN"/>
              </w:rPr>
            </w:pPr>
            <w:r>
              <w:rPr>
                <w:rStyle w:val="80"/>
                <w:rFonts w:hint="eastAsia" w:ascii="仿宋" w:hAnsi="仿宋" w:eastAsia="仿宋" w:cs="仿宋"/>
                <w:bCs/>
                <w:color w:val="auto"/>
                <w:sz w:val="21"/>
                <w:szCs w:val="21"/>
                <w:highlight w:val="none"/>
                <w:lang w:val="en-US" w:eastAsia="zh-CN"/>
              </w:rPr>
              <w:t>5</w:t>
            </w:r>
          </w:p>
        </w:tc>
        <w:tc>
          <w:tcPr>
            <w:tcW w:w="4317" w:type="dxa"/>
            <w:vAlign w:val="center"/>
          </w:tcPr>
          <w:p w14:paraId="076F11B6">
            <w:pPr>
              <w:tabs>
                <w:tab w:val="left" w:pos="1199"/>
              </w:tabs>
              <w:autoSpaceDE w:val="0"/>
              <w:autoSpaceDN w:val="0"/>
              <w:snapToGrid w:val="0"/>
              <w:spacing w:beforeLines="0" w:afterLines="0" w:line="360" w:lineRule="auto"/>
              <w:rPr>
                <w:rFonts w:hint="eastAsia" w:ascii="仿宋" w:hAnsi="仿宋" w:eastAsia="仿宋" w:cs="仿宋"/>
                <w:color w:val="auto"/>
                <w:sz w:val="21"/>
                <w:szCs w:val="21"/>
                <w:highlight w:val="none"/>
                <w:lang w:val="zh-CN" w:eastAsia="zh-CN"/>
              </w:rPr>
            </w:pPr>
            <w:r>
              <w:rPr>
                <w:rFonts w:hint="eastAsia" w:ascii="仿宋" w:hAnsi="仿宋" w:eastAsia="仿宋" w:cs="仿宋"/>
                <w:snapToGrid w:val="0"/>
                <w:color w:val="auto"/>
                <w:kern w:val="0"/>
                <w:szCs w:val="21"/>
                <w:highlight w:val="none"/>
              </w:rPr>
              <w:t>项目需求的理解</w:t>
            </w:r>
            <w:r>
              <w:rPr>
                <w:rFonts w:hint="eastAsia" w:ascii="仿宋" w:hAnsi="仿宋" w:eastAsia="仿宋" w:cs="仿宋"/>
                <w:snapToGrid w:val="0"/>
                <w:color w:val="auto"/>
                <w:kern w:val="0"/>
                <w:szCs w:val="21"/>
                <w:highlight w:val="none"/>
                <w:lang w:eastAsia="zh-CN"/>
              </w:rPr>
              <w:t>：</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对项目基本情况、</w:t>
            </w:r>
            <w:r>
              <w:rPr>
                <w:rFonts w:hint="eastAsia" w:ascii="仿宋" w:hAnsi="仿宋" w:eastAsia="仿宋" w:cs="仿宋"/>
                <w:color w:val="auto"/>
                <w:szCs w:val="21"/>
                <w:highlight w:val="none"/>
                <w:lang w:val="en-US" w:eastAsia="zh-CN"/>
              </w:rPr>
              <w:t>服务质量要求</w:t>
            </w:r>
            <w:r>
              <w:rPr>
                <w:rFonts w:hint="eastAsia" w:ascii="仿宋" w:hAnsi="仿宋" w:eastAsia="仿宋" w:cs="仿宋"/>
                <w:color w:val="auto"/>
                <w:szCs w:val="21"/>
                <w:highlight w:val="none"/>
              </w:rPr>
              <w:t>、服务内容的理解分析，了解</w:t>
            </w:r>
            <w:r>
              <w:rPr>
                <w:rFonts w:hint="eastAsia" w:ascii="仿宋" w:hAnsi="仿宋" w:eastAsia="仿宋" w:cs="仿宋"/>
                <w:color w:val="auto"/>
                <w:szCs w:val="21"/>
                <w:highlight w:val="none"/>
                <w:lang w:val="en-US" w:eastAsia="zh-CN"/>
              </w:rPr>
              <w:t>是否</w:t>
            </w:r>
            <w:r>
              <w:rPr>
                <w:rFonts w:hint="eastAsia" w:ascii="仿宋" w:hAnsi="仿宋" w:eastAsia="仿宋" w:cs="仿宋"/>
                <w:color w:val="auto"/>
                <w:szCs w:val="21"/>
                <w:highlight w:val="none"/>
              </w:rPr>
              <w:t>全面、分析</w:t>
            </w:r>
            <w:r>
              <w:rPr>
                <w:rFonts w:hint="eastAsia" w:ascii="仿宋" w:hAnsi="仿宋" w:eastAsia="仿宋" w:cs="仿宋"/>
                <w:color w:val="auto"/>
                <w:szCs w:val="21"/>
                <w:highlight w:val="none"/>
                <w:lang w:val="en-US" w:eastAsia="zh-CN"/>
              </w:rPr>
              <w:t>是否</w:t>
            </w:r>
            <w:r>
              <w:rPr>
                <w:rFonts w:hint="eastAsia" w:ascii="仿宋" w:hAnsi="仿宋" w:eastAsia="仿宋" w:cs="仿宋"/>
                <w:color w:val="auto"/>
                <w:szCs w:val="21"/>
                <w:highlight w:val="none"/>
              </w:rPr>
              <w:t>合理透彻</w:t>
            </w:r>
            <w:r>
              <w:rPr>
                <w:rFonts w:hint="eastAsia" w:ascii="仿宋" w:hAnsi="仿宋" w:eastAsia="仿宋" w:cs="仿宋"/>
                <w:color w:val="auto"/>
                <w:szCs w:val="21"/>
                <w:highlight w:val="none"/>
                <w:lang w:val="en-US" w:eastAsia="zh-CN"/>
              </w:rPr>
              <w:t>进行评分。（</w:t>
            </w:r>
            <w:r>
              <w:rPr>
                <w:rFonts w:hint="eastAsia" w:ascii="仿宋" w:hAnsi="仿宋" w:eastAsia="仿宋" w:cs="仿宋"/>
                <w:color w:val="auto"/>
                <w:sz w:val="21"/>
                <w:szCs w:val="21"/>
                <w:highlight w:val="none"/>
                <w:lang w:val="en-US" w:eastAsia="zh-CN"/>
              </w:rPr>
              <w:t>评分</w:t>
            </w:r>
            <w:r>
              <w:rPr>
                <w:rFonts w:hint="eastAsia" w:ascii="仿宋" w:hAnsi="仿宋" w:eastAsia="仿宋" w:cs="仿宋"/>
                <w:color w:val="auto"/>
                <w:szCs w:val="21"/>
                <w:highlight w:val="none"/>
                <w:lang w:val="en-US" w:eastAsia="zh-CN"/>
              </w:rPr>
              <w:t>范围6、5、4、3、2、1、0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c>
          <w:tcPr>
            <w:tcW w:w="834" w:type="dxa"/>
            <w:vAlign w:val="center"/>
          </w:tcPr>
          <w:p w14:paraId="6324DEE4">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089" w:type="dxa"/>
            <w:vAlign w:val="center"/>
          </w:tcPr>
          <w:p w14:paraId="1B1D59E4">
            <w:pPr>
              <w:wordWrap w:val="0"/>
              <w:autoSpaceDE w:val="0"/>
              <w:autoSpaceDN w:val="0"/>
              <w:snapToGrid w:val="0"/>
              <w:spacing w:beforeLines="0" w:afterLines="0" w:line="360" w:lineRule="auto"/>
              <w:rPr>
                <w:rFonts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0907C7DF">
            <w:pPr>
              <w:wordWrap w:val="0"/>
              <w:autoSpaceDE w:val="0"/>
              <w:autoSpaceDN w:val="0"/>
              <w:snapToGrid w:val="0"/>
              <w:spacing w:beforeLines="0" w:afterLines="0" w:line="360" w:lineRule="auto"/>
              <w:rPr>
                <w:rFonts w:ascii="仿宋" w:hAnsi="仿宋" w:eastAsia="仿宋" w:cs="仿宋"/>
                <w:bCs/>
                <w:color w:val="auto"/>
                <w:sz w:val="21"/>
                <w:szCs w:val="21"/>
                <w:highlight w:val="none"/>
              </w:rPr>
            </w:pPr>
          </w:p>
        </w:tc>
      </w:tr>
      <w:tr w14:paraId="3DB0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04280095">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6</w:t>
            </w:r>
          </w:p>
        </w:tc>
        <w:tc>
          <w:tcPr>
            <w:tcW w:w="4317" w:type="dxa"/>
            <w:vAlign w:val="center"/>
          </w:tcPr>
          <w:p w14:paraId="3A005376">
            <w:pPr>
              <w:widowControl/>
              <w:snapToGrid w:val="0"/>
              <w:spacing w:beforeLines="0" w:afterLines="0" w:line="360" w:lineRule="auto"/>
              <w:jc w:val="both"/>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zh-CN" w:eastAsia="zh-CN"/>
              </w:rPr>
              <w:t>活动开展的工作程序和步骤：根据供应商提供的活动开展的工作程序和步骤等方面进行评分。工作程序和步骤是否合理，是否适用性强；（评分范围</w:t>
            </w:r>
            <w:r>
              <w:rPr>
                <w:rFonts w:hint="eastAsia" w:ascii="仿宋" w:hAnsi="仿宋" w:eastAsia="仿宋" w:cs="仿宋"/>
                <w:color w:val="auto"/>
                <w:sz w:val="21"/>
                <w:szCs w:val="21"/>
                <w:highlight w:val="none"/>
                <w:lang w:val="en-US" w:eastAsia="zh-CN"/>
              </w:rPr>
              <w:t>6、5、</w:t>
            </w:r>
            <w:r>
              <w:rPr>
                <w:rFonts w:hint="eastAsia" w:ascii="仿宋" w:hAnsi="仿宋" w:eastAsia="仿宋" w:cs="仿宋"/>
                <w:color w:val="auto"/>
                <w:sz w:val="21"/>
                <w:szCs w:val="21"/>
                <w:highlight w:val="none"/>
                <w:lang w:val="zh-CN" w:eastAsia="zh-CN"/>
              </w:rPr>
              <w:t>4、3、2、1、0）</w:t>
            </w:r>
          </w:p>
        </w:tc>
        <w:tc>
          <w:tcPr>
            <w:tcW w:w="834" w:type="dxa"/>
            <w:vAlign w:val="center"/>
          </w:tcPr>
          <w:p w14:paraId="01F56EBC">
            <w:pPr>
              <w:autoSpaceDE w:val="0"/>
              <w:autoSpaceDN w:val="0"/>
              <w:snapToGrid w:val="0"/>
              <w:spacing w:beforeLines="0" w:afterLines="0" w:line="360" w:lineRule="auto"/>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c>
          <w:tcPr>
            <w:tcW w:w="1089" w:type="dxa"/>
            <w:vAlign w:val="center"/>
          </w:tcPr>
          <w:p w14:paraId="4B453C6C">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611" w:type="dxa"/>
            <w:vAlign w:val="center"/>
          </w:tcPr>
          <w:p w14:paraId="0645EB89">
            <w:pPr>
              <w:wordWrap w:val="0"/>
              <w:snapToGrid w:val="0"/>
              <w:spacing w:beforeLines="0" w:afterLines="0" w:line="360" w:lineRule="auto"/>
              <w:rPr>
                <w:rFonts w:ascii="仿宋" w:hAnsi="仿宋" w:eastAsia="仿宋" w:cs="仿宋"/>
                <w:color w:val="auto"/>
                <w:sz w:val="21"/>
                <w:szCs w:val="21"/>
                <w:highlight w:val="none"/>
              </w:rPr>
            </w:pPr>
          </w:p>
        </w:tc>
      </w:tr>
      <w:tr w14:paraId="2862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048D3AE3">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w:t>
            </w:r>
          </w:p>
        </w:tc>
        <w:tc>
          <w:tcPr>
            <w:tcW w:w="4317" w:type="dxa"/>
            <w:vAlign w:val="center"/>
          </w:tcPr>
          <w:p w14:paraId="49AFE4E4">
            <w:pPr>
              <w:pStyle w:val="59"/>
              <w:wordWrap w:val="0"/>
              <w:snapToGrid w:val="0"/>
              <w:spacing w:before="0" w:beforeLines="0" w:beforeAutospacing="0" w:after="0" w:afterLines="0" w:afterAutospacing="0" w:line="360" w:lineRule="auto"/>
              <w:rPr>
                <w:rFonts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活动过程中的管理和协调方法：根据供应商提供的活动过程中的管理和协调方法的合理性和适用管理和协调方法合理性进行评分。方案是否全面合理且可操作性强，与采购需求是否完全相适应；（评分范围6、5、4、3、2、1、0）</w:t>
            </w:r>
          </w:p>
        </w:tc>
        <w:tc>
          <w:tcPr>
            <w:tcW w:w="834" w:type="dxa"/>
            <w:vAlign w:val="center"/>
          </w:tcPr>
          <w:p w14:paraId="7C6F6FB6">
            <w:pPr>
              <w:autoSpaceDE w:val="0"/>
              <w:autoSpaceDN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089" w:type="dxa"/>
            <w:vAlign w:val="center"/>
          </w:tcPr>
          <w:p w14:paraId="1D2372A3">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611" w:type="dxa"/>
            <w:vAlign w:val="center"/>
          </w:tcPr>
          <w:p w14:paraId="3E511D24">
            <w:pPr>
              <w:wordWrap w:val="0"/>
              <w:snapToGrid w:val="0"/>
              <w:spacing w:beforeLines="0" w:afterLines="0" w:line="360" w:lineRule="auto"/>
              <w:rPr>
                <w:rFonts w:ascii="仿宋" w:hAnsi="仿宋" w:eastAsia="仿宋" w:cs="仿宋"/>
                <w:color w:val="auto"/>
                <w:sz w:val="21"/>
                <w:szCs w:val="21"/>
                <w:highlight w:val="none"/>
              </w:rPr>
            </w:pPr>
          </w:p>
        </w:tc>
      </w:tr>
      <w:tr w14:paraId="0A32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37F9C7A2">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8</w:t>
            </w:r>
          </w:p>
        </w:tc>
        <w:tc>
          <w:tcPr>
            <w:tcW w:w="4317" w:type="dxa"/>
            <w:vAlign w:val="center"/>
          </w:tcPr>
          <w:p w14:paraId="15CEB518">
            <w:pPr>
              <w:pStyle w:val="966"/>
              <w:wordWrap w:val="0"/>
              <w:snapToGrid w:val="0"/>
              <w:spacing w:beforeLines="0" w:afterLines="0" w:line="360" w:lineRule="auto"/>
              <w:jc w:val="left"/>
              <w:rPr>
                <w:rFonts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保密措施：根据供应商提供的对参加活动人员名单和个人信息的保密措施和方案的针对性、可行性进行打分。</w:t>
            </w:r>
          </w:p>
          <w:p w14:paraId="28372936">
            <w:pPr>
              <w:pStyle w:val="966"/>
              <w:wordWrap w:val="0"/>
              <w:snapToGrid w:val="0"/>
              <w:spacing w:beforeLines="0" w:afterLines="0" w:line="360" w:lineRule="auto"/>
              <w:jc w:val="left"/>
              <w:rPr>
                <w:rFonts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措施及方案是否完善、针对性强（评分范围5、4、3、2、1、0）</w:t>
            </w:r>
          </w:p>
        </w:tc>
        <w:tc>
          <w:tcPr>
            <w:tcW w:w="834" w:type="dxa"/>
            <w:vAlign w:val="center"/>
          </w:tcPr>
          <w:p w14:paraId="2DC46E90">
            <w:pPr>
              <w:autoSpaceDE w:val="0"/>
              <w:autoSpaceDN w:val="0"/>
              <w:snapToGrid w:val="0"/>
              <w:spacing w:beforeLines="0" w:afterLines="0" w:line="360" w:lineRule="auto"/>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1089" w:type="dxa"/>
            <w:vAlign w:val="center"/>
          </w:tcPr>
          <w:p w14:paraId="65C6BCB0">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611" w:type="dxa"/>
            <w:vAlign w:val="center"/>
          </w:tcPr>
          <w:p w14:paraId="4DD5D830">
            <w:pPr>
              <w:wordWrap w:val="0"/>
              <w:snapToGrid w:val="0"/>
              <w:spacing w:beforeLines="0" w:afterLines="0" w:line="360" w:lineRule="auto"/>
              <w:rPr>
                <w:rFonts w:ascii="仿宋" w:hAnsi="仿宋" w:eastAsia="仿宋" w:cs="仿宋"/>
                <w:color w:val="auto"/>
                <w:sz w:val="21"/>
                <w:szCs w:val="21"/>
                <w:highlight w:val="none"/>
              </w:rPr>
            </w:pPr>
          </w:p>
        </w:tc>
      </w:tr>
      <w:tr w14:paraId="342D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55" w:type="dxa"/>
            <w:vAlign w:val="center"/>
          </w:tcPr>
          <w:p w14:paraId="41FF4B7A">
            <w:pPr>
              <w:wordWrap w:val="0"/>
              <w:autoSpaceDE w:val="0"/>
              <w:autoSpaceDN w:val="0"/>
              <w:snapToGrid w:val="0"/>
              <w:spacing w:beforeLines="0" w:afterLines="0"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w:t>
            </w:r>
          </w:p>
        </w:tc>
        <w:tc>
          <w:tcPr>
            <w:tcW w:w="4317" w:type="dxa"/>
            <w:vAlign w:val="center"/>
          </w:tcPr>
          <w:p w14:paraId="73763A60">
            <w:pPr>
              <w:pStyle w:val="59"/>
              <w:wordWrap w:val="0"/>
              <w:snapToGrid w:val="0"/>
              <w:spacing w:before="0" w:beforeLines="0" w:beforeAutospacing="0" w:after="0" w:afterLines="0" w:afterAutospacing="0"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安全保障措施：根据供应商的安全保障性方案、应急预案，对活动中如出现的突发情况进行分析及提出合理的应对措施方案进行打分。</w:t>
            </w:r>
          </w:p>
          <w:p w14:paraId="418C4E14">
            <w:pPr>
              <w:pStyle w:val="966"/>
              <w:wordWrap w:val="0"/>
              <w:snapToGrid w:val="0"/>
              <w:spacing w:beforeLines="0" w:afterLines="0" w:line="360" w:lineRule="auto"/>
              <w:rPr>
                <w:rFonts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rPr>
              <w:t>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全面合理且可操作性强，与采购需求</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完全相适应</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评分范围6、5、4、3、2、1、0）</w:t>
            </w:r>
          </w:p>
        </w:tc>
        <w:tc>
          <w:tcPr>
            <w:tcW w:w="834" w:type="dxa"/>
            <w:vAlign w:val="center"/>
          </w:tcPr>
          <w:p w14:paraId="26A86763">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089" w:type="dxa"/>
            <w:vAlign w:val="center"/>
          </w:tcPr>
          <w:p w14:paraId="4BE252A4">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611" w:type="dxa"/>
            <w:vAlign w:val="center"/>
          </w:tcPr>
          <w:p w14:paraId="16EB7006">
            <w:pPr>
              <w:wordWrap w:val="0"/>
              <w:snapToGrid w:val="0"/>
              <w:spacing w:beforeLines="0" w:afterLines="0" w:line="360" w:lineRule="auto"/>
              <w:rPr>
                <w:rFonts w:ascii="仿宋" w:hAnsi="仿宋" w:eastAsia="仿宋" w:cs="仿宋"/>
                <w:color w:val="auto"/>
                <w:sz w:val="21"/>
                <w:szCs w:val="21"/>
                <w:highlight w:val="none"/>
              </w:rPr>
            </w:pPr>
          </w:p>
        </w:tc>
      </w:tr>
      <w:tr w14:paraId="128F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0D9D2A23">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4317" w:type="dxa"/>
            <w:vAlign w:val="center"/>
          </w:tcPr>
          <w:p w14:paraId="28164EB3">
            <w:pPr>
              <w:pStyle w:val="966"/>
              <w:wordWrap w:val="0"/>
              <w:snapToGrid w:val="0"/>
              <w:spacing w:beforeLines="0" w:afterLines="0"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①动态数据：承诺随时向采购人提供完整的本项目所有活动参与人员实时动态数据（含实时动态结算数据），承诺的得1.5分，不承诺不得分。</w:t>
            </w:r>
          </w:p>
          <w:p w14:paraId="1F489868">
            <w:pPr>
              <w:pStyle w:val="966"/>
              <w:wordWrap w:val="0"/>
              <w:snapToGrid w:val="0"/>
              <w:spacing w:beforeLines="0" w:afterLines="0" w:line="360" w:lineRule="auto"/>
              <w:rPr>
                <w:rFonts w:hint="eastAsia" w:ascii="仿宋" w:hAnsi="仿宋" w:eastAsia="仿宋" w:cs="仿宋"/>
                <w:color w:val="auto"/>
                <w:kern w:val="2"/>
                <w:sz w:val="21"/>
                <w:szCs w:val="21"/>
                <w:highlight w:val="none"/>
                <w:lang w:val="en-US" w:eastAsia="zh-CN" w:bidi="zh-TW"/>
              </w:rPr>
            </w:pPr>
            <w:r>
              <w:rPr>
                <w:rFonts w:hint="eastAsia" w:ascii="仿宋" w:hAnsi="仿宋" w:eastAsia="仿宋" w:cs="仿宋"/>
                <w:color w:val="auto"/>
                <w:sz w:val="21"/>
                <w:szCs w:val="21"/>
                <w:highlight w:val="none"/>
                <w:lang w:val="en-US" w:eastAsia="zh-CN"/>
              </w:rPr>
              <w:t>②承诺提供实施现场影像资料的，得1.5分，不承诺不得分。（投标文件中提供承诺书）</w:t>
            </w:r>
          </w:p>
        </w:tc>
        <w:tc>
          <w:tcPr>
            <w:tcW w:w="834" w:type="dxa"/>
            <w:vAlign w:val="center"/>
          </w:tcPr>
          <w:p w14:paraId="2682CC6A">
            <w:pPr>
              <w:autoSpaceDE w:val="0"/>
              <w:autoSpaceDN w:val="0"/>
              <w:snapToGrid w:val="0"/>
              <w:spacing w:beforeLines="0" w:afterLines="0" w:line="36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3</w:t>
            </w:r>
          </w:p>
        </w:tc>
        <w:tc>
          <w:tcPr>
            <w:tcW w:w="1089" w:type="dxa"/>
            <w:vAlign w:val="center"/>
          </w:tcPr>
          <w:p w14:paraId="434862EF">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客观分</w:t>
            </w:r>
          </w:p>
        </w:tc>
        <w:tc>
          <w:tcPr>
            <w:tcW w:w="1611" w:type="dxa"/>
            <w:vAlign w:val="center"/>
          </w:tcPr>
          <w:p w14:paraId="4F240DDF">
            <w:pPr>
              <w:wordWrap w:val="0"/>
              <w:snapToGrid w:val="0"/>
              <w:spacing w:beforeLines="0" w:afterLines="0" w:line="360" w:lineRule="auto"/>
              <w:rPr>
                <w:rFonts w:ascii="仿宋" w:hAnsi="仿宋" w:eastAsia="仿宋" w:cs="仿宋"/>
                <w:color w:val="auto"/>
                <w:sz w:val="21"/>
                <w:szCs w:val="21"/>
                <w:highlight w:val="none"/>
              </w:rPr>
            </w:pPr>
          </w:p>
        </w:tc>
      </w:tr>
      <w:tr w14:paraId="3C8B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4177FEED">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11</w:t>
            </w:r>
          </w:p>
        </w:tc>
        <w:tc>
          <w:tcPr>
            <w:tcW w:w="4317" w:type="dxa"/>
            <w:vAlign w:val="center"/>
          </w:tcPr>
          <w:p w14:paraId="1B9224EA">
            <w:pPr>
              <w:pStyle w:val="966"/>
              <w:wordWrap w:val="0"/>
              <w:snapToGrid w:val="0"/>
              <w:spacing w:beforeLines="0" w:afterLines="0" w:line="360" w:lineRule="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zh-TW"/>
              </w:rPr>
              <w:t>投诉处理方案：针对活动中可能发生投诉的风险点的分析及应对处理措施是否科学、合理、针对性强、措施是否到位进行评分。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评分范围6、5、4、3、2、1、0）</w:t>
            </w:r>
          </w:p>
        </w:tc>
        <w:tc>
          <w:tcPr>
            <w:tcW w:w="834" w:type="dxa"/>
            <w:vAlign w:val="center"/>
          </w:tcPr>
          <w:p w14:paraId="1A736FE7">
            <w:pPr>
              <w:autoSpaceDE w:val="0"/>
              <w:autoSpaceDN w:val="0"/>
              <w:snapToGrid w:val="0"/>
              <w:spacing w:beforeLines="0" w:afterLines="0" w:line="360" w:lineRule="auto"/>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6</w:t>
            </w:r>
          </w:p>
        </w:tc>
        <w:tc>
          <w:tcPr>
            <w:tcW w:w="1089" w:type="dxa"/>
            <w:vAlign w:val="center"/>
          </w:tcPr>
          <w:p w14:paraId="40D946C4">
            <w:pPr>
              <w:wordWrap w:val="0"/>
              <w:snapToGrid w:val="0"/>
              <w:spacing w:beforeLines="0" w:afterLines="0" w:line="360" w:lineRule="auto"/>
              <w:rPr>
                <w:rFonts w:ascii="仿宋" w:hAnsi="仿宋" w:eastAsia="仿宋" w:cs="仿宋"/>
                <w:color w:val="auto"/>
                <w:sz w:val="21"/>
                <w:szCs w:val="21"/>
                <w:highlight w:val="none"/>
              </w:rPr>
            </w:pPr>
            <w:r>
              <w:rPr>
                <w:rFonts w:hint="eastAsia" w:ascii="仿宋" w:hAnsi="仿宋" w:eastAsia="仿宋" w:cs="仿宋"/>
                <w:bCs/>
                <w:color w:val="auto"/>
                <w:sz w:val="21"/>
                <w:szCs w:val="21"/>
                <w:highlight w:val="none"/>
              </w:rPr>
              <w:t>主观分</w:t>
            </w:r>
          </w:p>
        </w:tc>
        <w:tc>
          <w:tcPr>
            <w:tcW w:w="1611" w:type="dxa"/>
            <w:vAlign w:val="center"/>
          </w:tcPr>
          <w:p w14:paraId="337F9643">
            <w:pPr>
              <w:wordWrap w:val="0"/>
              <w:snapToGrid w:val="0"/>
              <w:spacing w:beforeLines="0" w:afterLines="0" w:line="360" w:lineRule="auto"/>
              <w:rPr>
                <w:rFonts w:ascii="仿宋" w:hAnsi="仿宋" w:eastAsia="仿宋" w:cs="仿宋"/>
                <w:color w:val="auto"/>
                <w:sz w:val="21"/>
                <w:szCs w:val="21"/>
                <w:highlight w:val="none"/>
              </w:rPr>
            </w:pPr>
          </w:p>
        </w:tc>
      </w:tr>
      <w:tr w14:paraId="60CC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615891FC">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12</w:t>
            </w:r>
          </w:p>
        </w:tc>
        <w:tc>
          <w:tcPr>
            <w:tcW w:w="4317" w:type="dxa"/>
            <w:shd w:val="clear" w:color="auto" w:fill="auto"/>
            <w:vAlign w:val="center"/>
          </w:tcPr>
          <w:p w14:paraId="1B4776B1">
            <w:pPr>
              <w:pStyle w:val="59"/>
              <w:snapToGrid w:val="0"/>
              <w:spacing w:before="0" w:beforeLines="0" w:beforeAutospacing="0" w:after="0" w:afterLines="0" w:afterAutospacing="0" w:line="360" w:lineRule="auto"/>
              <w:rPr>
                <w:rStyle w:val="80"/>
                <w:rFonts w:hint="eastAsia" w:ascii="仿宋" w:hAnsi="仿宋" w:eastAsia="仿宋" w:cs="仿宋"/>
                <w:bCs/>
                <w:color w:val="auto"/>
                <w:sz w:val="21"/>
                <w:szCs w:val="21"/>
                <w:highlight w:val="none"/>
                <w:lang w:val="en-US" w:eastAsia="zh-CN"/>
              </w:rPr>
            </w:pPr>
            <w:r>
              <w:rPr>
                <w:rStyle w:val="80"/>
                <w:rFonts w:ascii="仿宋" w:hAnsi="仿宋" w:eastAsia="仿宋" w:cs="仿宋"/>
                <w:bCs/>
                <w:color w:val="auto"/>
                <w:sz w:val="21"/>
                <w:szCs w:val="21"/>
                <w:highlight w:val="none"/>
              </w:rPr>
              <w:t>保险</w:t>
            </w:r>
            <w:r>
              <w:rPr>
                <w:rStyle w:val="80"/>
                <w:rFonts w:hint="eastAsia" w:ascii="仿宋" w:hAnsi="仿宋" w:eastAsia="仿宋" w:cs="仿宋"/>
                <w:bCs/>
                <w:color w:val="auto"/>
                <w:sz w:val="21"/>
                <w:szCs w:val="21"/>
                <w:highlight w:val="none"/>
                <w:lang w:eastAsia="zh-CN"/>
              </w:rPr>
              <w:t>：供应商</w:t>
            </w:r>
            <w:r>
              <w:rPr>
                <w:rStyle w:val="80"/>
                <w:rFonts w:hint="eastAsia" w:ascii="仿宋" w:hAnsi="仿宋" w:eastAsia="仿宋" w:cs="仿宋"/>
                <w:bCs/>
                <w:color w:val="auto"/>
                <w:sz w:val="21"/>
                <w:szCs w:val="21"/>
                <w:highlight w:val="none"/>
                <w:lang w:val="en-US" w:eastAsia="zh-CN"/>
              </w:rPr>
              <w:t>承诺</w:t>
            </w:r>
            <w:r>
              <w:rPr>
                <w:rStyle w:val="80"/>
                <w:rFonts w:hint="eastAsia" w:ascii="仿宋" w:hAnsi="仿宋" w:eastAsia="仿宋" w:cs="仿宋"/>
                <w:bCs/>
                <w:color w:val="auto"/>
                <w:sz w:val="21"/>
                <w:szCs w:val="21"/>
                <w:highlight w:val="none"/>
              </w:rPr>
              <w:t>为参加活动的企退人员购买总保额不低于</w:t>
            </w:r>
            <w:r>
              <w:rPr>
                <w:rStyle w:val="80"/>
                <w:rFonts w:hint="eastAsia" w:ascii="仿宋" w:hAnsi="仿宋" w:eastAsia="仿宋" w:cs="仿宋"/>
                <w:bCs/>
                <w:color w:val="auto"/>
                <w:sz w:val="21"/>
                <w:szCs w:val="21"/>
                <w:highlight w:val="none"/>
                <w:lang w:val="en-US" w:eastAsia="zh-CN"/>
              </w:rPr>
              <w:t>2</w:t>
            </w:r>
            <w:r>
              <w:rPr>
                <w:rStyle w:val="80"/>
                <w:rFonts w:hint="eastAsia" w:ascii="仿宋" w:hAnsi="仿宋" w:eastAsia="仿宋" w:cs="仿宋"/>
                <w:bCs/>
                <w:color w:val="auto"/>
                <w:sz w:val="21"/>
                <w:szCs w:val="21"/>
                <w:highlight w:val="none"/>
              </w:rPr>
              <w:t>0万元的短期活动意外险情况</w:t>
            </w:r>
            <w:r>
              <w:rPr>
                <w:rStyle w:val="80"/>
                <w:rFonts w:hint="eastAsia" w:ascii="仿宋" w:hAnsi="仿宋" w:eastAsia="仿宋" w:cs="仿宋"/>
                <w:bCs/>
                <w:color w:val="auto"/>
                <w:sz w:val="21"/>
                <w:szCs w:val="21"/>
                <w:highlight w:val="none"/>
                <w:lang w:val="en-US" w:eastAsia="zh-CN"/>
              </w:rPr>
              <w:t>的，</w:t>
            </w:r>
            <w:r>
              <w:rPr>
                <w:rStyle w:val="80"/>
                <w:rFonts w:hint="eastAsia" w:ascii="仿宋" w:hAnsi="仿宋" w:eastAsia="仿宋" w:cs="仿宋"/>
                <w:bCs/>
                <w:color w:val="auto"/>
                <w:sz w:val="21"/>
                <w:szCs w:val="21"/>
                <w:highlight w:val="none"/>
              </w:rPr>
              <w:t>得</w:t>
            </w:r>
            <w:r>
              <w:rPr>
                <w:rStyle w:val="80"/>
                <w:rFonts w:hint="eastAsia" w:ascii="仿宋" w:hAnsi="仿宋" w:eastAsia="仿宋" w:cs="仿宋"/>
                <w:bCs/>
                <w:color w:val="auto"/>
                <w:sz w:val="21"/>
                <w:szCs w:val="21"/>
                <w:highlight w:val="none"/>
                <w:lang w:val="en-US" w:eastAsia="zh-CN"/>
              </w:rPr>
              <w:t>2</w:t>
            </w:r>
            <w:r>
              <w:rPr>
                <w:rStyle w:val="80"/>
                <w:rFonts w:hint="eastAsia" w:ascii="仿宋" w:hAnsi="仿宋" w:eastAsia="仿宋" w:cs="仿宋"/>
                <w:bCs/>
                <w:color w:val="auto"/>
                <w:sz w:val="21"/>
                <w:szCs w:val="21"/>
                <w:highlight w:val="none"/>
              </w:rPr>
              <w:t>分</w:t>
            </w:r>
            <w:r>
              <w:rPr>
                <w:rStyle w:val="80"/>
                <w:rFonts w:hint="eastAsia" w:ascii="仿宋" w:hAnsi="仿宋" w:eastAsia="仿宋" w:cs="仿宋"/>
                <w:bCs/>
                <w:color w:val="auto"/>
                <w:sz w:val="21"/>
                <w:szCs w:val="21"/>
                <w:highlight w:val="none"/>
                <w:lang w:eastAsia="zh-CN"/>
              </w:rPr>
              <w:t>；</w:t>
            </w:r>
            <w:r>
              <w:rPr>
                <w:rStyle w:val="80"/>
                <w:rFonts w:hint="eastAsia" w:ascii="仿宋" w:hAnsi="仿宋" w:eastAsia="仿宋" w:cs="仿宋"/>
                <w:bCs/>
                <w:color w:val="auto"/>
                <w:sz w:val="21"/>
                <w:szCs w:val="21"/>
                <w:highlight w:val="none"/>
                <w:lang w:val="en-US" w:eastAsia="zh-CN"/>
              </w:rPr>
              <w:t>无或低于20万元</w:t>
            </w:r>
            <w:r>
              <w:rPr>
                <w:rStyle w:val="80"/>
                <w:rFonts w:hint="eastAsia" w:ascii="仿宋" w:hAnsi="仿宋" w:eastAsia="仿宋" w:cs="仿宋"/>
                <w:bCs/>
                <w:color w:val="auto"/>
                <w:sz w:val="21"/>
                <w:szCs w:val="21"/>
                <w:highlight w:val="none"/>
              </w:rPr>
              <w:t>的</w:t>
            </w:r>
            <w:r>
              <w:rPr>
                <w:rStyle w:val="80"/>
                <w:rFonts w:hint="eastAsia" w:ascii="仿宋" w:hAnsi="仿宋" w:eastAsia="仿宋" w:cs="仿宋"/>
                <w:bCs/>
                <w:color w:val="auto"/>
                <w:sz w:val="21"/>
                <w:szCs w:val="21"/>
                <w:highlight w:val="none"/>
                <w:lang w:eastAsia="zh-CN"/>
              </w:rPr>
              <w:t>，</w:t>
            </w:r>
            <w:r>
              <w:rPr>
                <w:rStyle w:val="80"/>
                <w:rFonts w:hint="eastAsia" w:ascii="仿宋" w:hAnsi="仿宋" w:eastAsia="仿宋" w:cs="仿宋"/>
                <w:bCs/>
                <w:color w:val="auto"/>
                <w:sz w:val="21"/>
                <w:szCs w:val="21"/>
                <w:highlight w:val="none"/>
              </w:rPr>
              <w:t>不得分。</w:t>
            </w:r>
            <w:r>
              <w:rPr>
                <w:rStyle w:val="80"/>
                <w:rFonts w:hint="eastAsia" w:ascii="仿宋" w:hAnsi="仿宋" w:eastAsia="仿宋" w:cs="仿宋"/>
                <w:bCs/>
                <w:color w:val="auto"/>
                <w:sz w:val="21"/>
                <w:szCs w:val="21"/>
                <w:highlight w:val="none"/>
                <w:lang w:val="en-US" w:eastAsia="zh-CN"/>
              </w:rPr>
              <w:t>证明材料提供承诺书。</w:t>
            </w:r>
          </w:p>
          <w:p w14:paraId="32603FF9">
            <w:pPr>
              <w:pStyle w:val="59"/>
              <w:snapToGrid w:val="0"/>
              <w:spacing w:before="0" w:beforeLines="0" w:beforeAutospacing="0" w:after="0" w:afterLines="0" w:afterAutospacing="0" w:line="360" w:lineRule="auto"/>
              <w:rPr>
                <w:rFonts w:hint="eastAsia" w:ascii="仿宋" w:hAnsi="仿宋" w:eastAsia="仿宋" w:cs="仿宋"/>
                <w:bCs/>
                <w:color w:val="auto"/>
                <w:kern w:val="0"/>
                <w:sz w:val="21"/>
                <w:szCs w:val="21"/>
                <w:highlight w:val="none"/>
                <w:lang w:val="en-US" w:eastAsia="zh-CN" w:bidi="ar-SA"/>
              </w:rPr>
            </w:pPr>
            <w:r>
              <w:rPr>
                <w:rStyle w:val="80"/>
                <w:rFonts w:hint="eastAsia" w:ascii="仿宋" w:hAnsi="仿宋" w:eastAsia="仿宋" w:cs="仿宋"/>
                <w:bCs/>
                <w:color w:val="auto"/>
                <w:sz w:val="21"/>
                <w:szCs w:val="21"/>
                <w:highlight w:val="none"/>
                <w:lang w:val="en-US" w:eastAsia="zh-CN"/>
              </w:rPr>
              <w:t>②</w:t>
            </w:r>
            <w:r>
              <w:rPr>
                <w:rFonts w:hint="eastAsia" w:ascii="仿宋" w:hAnsi="仿宋" w:eastAsia="仿宋" w:cs="仿宋"/>
                <w:color w:val="auto"/>
                <w:sz w:val="21"/>
                <w:szCs w:val="21"/>
                <w:highlight w:val="none"/>
              </w:rPr>
              <w:t>供应商的企业责任保险保额达到</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000万的得3分，</w:t>
            </w:r>
            <w:r>
              <w:rPr>
                <w:rFonts w:hint="eastAsia" w:ascii="仿宋" w:hAnsi="仿宋" w:eastAsia="仿宋" w:cs="仿宋"/>
                <w:color w:val="auto"/>
                <w:sz w:val="21"/>
                <w:szCs w:val="21"/>
                <w:highlight w:val="none"/>
                <w:lang w:val="en-US" w:eastAsia="zh-CN"/>
              </w:rPr>
              <w:t>达到</w:t>
            </w:r>
            <w:r>
              <w:rPr>
                <w:rFonts w:hint="eastAsia" w:ascii="仿宋" w:hAnsi="仿宋" w:eastAsia="仿宋" w:cs="仿宋"/>
                <w:color w:val="auto"/>
                <w:sz w:val="21"/>
                <w:szCs w:val="21"/>
                <w:highlight w:val="none"/>
              </w:rPr>
              <w:t>1000万的得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val="en-US" w:eastAsia="zh-CN"/>
              </w:rPr>
              <w:t>1000万</w:t>
            </w:r>
            <w:r>
              <w:rPr>
                <w:rFonts w:hint="eastAsia" w:ascii="仿宋" w:hAnsi="仿宋" w:eastAsia="仿宋" w:cs="仿宋"/>
                <w:color w:val="auto"/>
                <w:sz w:val="21"/>
                <w:szCs w:val="21"/>
                <w:highlight w:val="none"/>
              </w:rPr>
              <w:t>以下的不得分（提供保单复印件加盖公章）；</w:t>
            </w:r>
          </w:p>
        </w:tc>
        <w:tc>
          <w:tcPr>
            <w:tcW w:w="834" w:type="dxa"/>
            <w:shd w:val="clear" w:color="auto" w:fill="auto"/>
            <w:vAlign w:val="center"/>
          </w:tcPr>
          <w:p w14:paraId="1BE2EB2D">
            <w:pPr>
              <w:autoSpaceDE w:val="0"/>
              <w:autoSpaceDN w:val="0"/>
              <w:snapToGrid w:val="0"/>
              <w:spacing w:beforeLines="0" w:afterLines="0" w:line="36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5</w:t>
            </w:r>
          </w:p>
        </w:tc>
        <w:tc>
          <w:tcPr>
            <w:tcW w:w="1089" w:type="dxa"/>
            <w:shd w:val="clear" w:color="auto" w:fill="auto"/>
            <w:vAlign w:val="center"/>
          </w:tcPr>
          <w:p w14:paraId="31CC2C9E">
            <w:pPr>
              <w:wordWrap w:val="0"/>
              <w:snapToGrid w:val="0"/>
              <w:spacing w:beforeLines="0" w:afterLines="0" w:line="360" w:lineRule="auto"/>
              <w:rPr>
                <w:rFonts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客观分</w:t>
            </w:r>
          </w:p>
        </w:tc>
        <w:tc>
          <w:tcPr>
            <w:tcW w:w="1611" w:type="dxa"/>
            <w:vAlign w:val="center"/>
          </w:tcPr>
          <w:p w14:paraId="47ABF498">
            <w:pPr>
              <w:wordWrap w:val="0"/>
              <w:snapToGrid w:val="0"/>
              <w:spacing w:beforeLines="0" w:afterLines="0" w:line="360" w:lineRule="auto"/>
              <w:rPr>
                <w:rFonts w:ascii="仿宋" w:hAnsi="仿宋" w:eastAsia="仿宋" w:cs="仿宋"/>
                <w:color w:val="auto"/>
                <w:sz w:val="21"/>
                <w:szCs w:val="21"/>
                <w:highlight w:val="none"/>
              </w:rPr>
            </w:pPr>
          </w:p>
        </w:tc>
      </w:tr>
      <w:tr w14:paraId="49E2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55" w:type="dxa"/>
            <w:vAlign w:val="center"/>
          </w:tcPr>
          <w:p w14:paraId="61E8427A">
            <w:pPr>
              <w:wordWrap w:val="0"/>
              <w:autoSpaceDE w:val="0"/>
              <w:autoSpaceDN w:val="0"/>
              <w:snapToGrid w:val="0"/>
              <w:spacing w:beforeLines="0" w:afterLines="0" w:line="36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13</w:t>
            </w:r>
          </w:p>
        </w:tc>
        <w:tc>
          <w:tcPr>
            <w:tcW w:w="4317" w:type="dxa"/>
            <w:shd w:val="clear" w:color="auto" w:fill="auto"/>
            <w:vAlign w:val="center"/>
          </w:tcPr>
          <w:p w14:paraId="378FE096">
            <w:pPr>
              <w:widowControl/>
              <w:snapToGrid w:val="0"/>
              <w:spacing w:beforeLines="0" w:afterLines="0" w:line="360" w:lineRule="auto"/>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rPr>
              <w:t>管理规章制度情况：针对本项目拟设立的各项管理规章制度</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US"/>
              </w:rPr>
              <w:t>各项公众制度</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US"/>
              </w:rPr>
              <w:t>岗位责任制度</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US"/>
              </w:rPr>
              <w:t>管理运作制度</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en-US"/>
              </w:rPr>
              <w:t>考核管理制度及标准等</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en-US"/>
              </w:rPr>
              <w:t>项目服务满意度回访制度</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US"/>
              </w:rPr>
              <w:t>以上5项方案</w:t>
            </w:r>
            <w:r>
              <w:rPr>
                <w:rFonts w:hint="eastAsia" w:ascii="仿宋" w:hAnsi="仿宋" w:eastAsia="仿宋" w:cs="仿宋"/>
                <w:color w:val="auto"/>
                <w:sz w:val="21"/>
                <w:szCs w:val="21"/>
                <w:highlight w:val="none"/>
                <w:lang w:val="en-US" w:eastAsia="zh-CN"/>
              </w:rPr>
              <w:t>每项</w:t>
            </w:r>
            <w:r>
              <w:rPr>
                <w:rFonts w:hint="eastAsia" w:ascii="仿宋" w:hAnsi="仿宋" w:eastAsia="仿宋" w:cs="仿宋"/>
                <w:color w:val="auto"/>
                <w:sz w:val="21"/>
                <w:szCs w:val="21"/>
                <w:highlight w:val="none"/>
                <w:lang w:val="en-US"/>
              </w:rPr>
              <w:t>是否符合</w:t>
            </w:r>
            <w:r>
              <w:rPr>
                <w:rFonts w:hint="eastAsia" w:ascii="仿宋" w:hAnsi="仿宋" w:eastAsia="仿宋" w:cs="仿宋"/>
                <w:color w:val="auto"/>
                <w:sz w:val="21"/>
                <w:szCs w:val="21"/>
                <w:highlight w:val="none"/>
                <w:lang w:val="en-US" w:eastAsia="zh-CN"/>
              </w:rPr>
              <w:t>采购需求</w:t>
            </w:r>
            <w:r>
              <w:rPr>
                <w:rFonts w:hint="eastAsia" w:ascii="仿宋" w:hAnsi="仿宋" w:eastAsia="仿宋" w:cs="仿宋"/>
                <w:color w:val="auto"/>
                <w:sz w:val="21"/>
                <w:szCs w:val="21"/>
                <w:highlight w:val="none"/>
                <w:lang w:val="en-US"/>
              </w:rPr>
              <w:t>、完善、全面、</w:t>
            </w:r>
            <w:r>
              <w:rPr>
                <w:rFonts w:hint="eastAsia" w:ascii="仿宋" w:hAnsi="仿宋" w:eastAsia="仿宋" w:cs="仿宋"/>
                <w:color w:val="auto"/>
                <w:sz w:val="21"/>
                <w:szCs w:val="21"/>
                <w:highlight w:val="none"/>
                <w:lang w:val="en-US" w:eastAsia="zh-CN"/>
              </w:rPr>
              <w:t>有</w:t>
            </w:r>
            <w:r>
              <w:rPr>
                <w:rFonts w:hint="eastAsia" w:ascii="仿宋" w:hAnsi="仿宋" w:eastAsia="仿宋" w:cs="仿宋"/>
                <w:color w:val="auto"/>
                <w:sz w:val="21"/>
                <w:szCs w:val="21"/>
                <w:highlight w:val="none"/>
                <w:lang w:val="en-US"/>
              </w:rPr>
              <w:t>针对</w:t>
            </w:r>
            <w:r>
              <w:rPr>
                <w:rFonts w:hint="eastAsia" w:ascii="仿宋" w:hAnsi="仿宋" w:eastAsia="仿宋" w:cs="仿宋"/>
                <w:color w:val="auto"/>
                <w:sz w:val="21"/>
                <w:szCs w:val="21"/>
                <w:highlight w:val="none"/>
                <w:lang w:val="en-US" w:eastAsia="zh-CN"/>
              </w:rPr>
              <w:t>性且</w:t>
            </w:r>
            <w:r>
              <w:rPr>
                <w:rFonts w:hint="eastAsia" w:ascii="仿宋" w:hAnsi="仿宋" w:eastAsia="仿宋" w:cs="仿宋"/>
                <w:color w:val="auto"/>
                <w:sz w:val="21"/>
                <w:szCs w:val="21"/>
                <w:highlight w:val="none"/>
                <w:lang w:val="en-US"/>
              </w:rPr>
              <w:t>可行分别进行评分，</w:t>
            </w:r>
            <w:r>
              <w:rPr>
                <w:rFonts w:hint="eastAsia" w:ascii="仿宋" w:hAnsi="仿宋" w:eastAsia="仿宋" w:cs="仿宋"/>
                <w:color w:val="auto"/>
                <w:sz w:val="21"/>
                <w:szCs w:val="21"/>
                <w:highlight w:val="none"/>
                <w:lang w:val="en-US" w:eastAsia="zh-CN"/>
              </w:rPr>
              <w:t>每项（评分范围3、2、1、0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p>
        </w:tc>
        <w:tc>
          <w:tcPr>
            <w:tcW w:w="834" w:type="dxa"/>
            <w:shd w:val="clear" w:color="auto" w:fill="auto"/>
            <w:vAlign w:val="center"/>
          </w:tcPr>
          <w:p w14:paraId="7655C488">
            <w:pPr>
              <w:wordWrap w:val="0"/>
              <w:snapToGrid w:val="0"/>
              <w:spacing w:beforeLines="0" w:afterLines="0" w:line="360" w:lineRule="auto"/>
              <w:jc w:val="center"/>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15</w:t>
            </w:r>
          </w:p>
        </w:tc>
        <w:tc>
          <w:tcPr>
            <w:tcW w:w="1089" w:type="dxa"/>
            <w:shd w:val="clear" w:color="auto" w:fill="auto"/>
            <w:vAlign w:val="center"/>
          </w:tcPr>
          <w:p w14:paraId="6D645D4B">
            <w:pPr>
              <w:wordWrap w:val="0"/>
              <w:snapToGrid w:val="0"/>
              <w:spacing w:beforeLines="0" w:afterLines="0" w:line="360" w:lineRule="auto"/>
              <w:rPr>
                <w:rFonts w:ascii="仿宋" w:hAnsi="仿宋" w:eastAsia="仿宋" w:cs="仿宋"/>
                <w:color w:val="auto"/>
                <w:kern w:val="2"/>
                <w:sz w:val="21"/>
                <w:szCs w:val="21"/>
                <w:highlight w:val="none"/>
                <w:lang w:val="en-US" w:eastAsia="zh-CN" w:bidi="ar-SA"/>
              </w:rPr>
            </w:pPr>
            <w:r>
              <w:rPr>
                <w:rFonts w:hint="eastAsia" w:ascii="仿宋" w:hAnsi="仿宋" w:eastAsia="仿宋" w:cs="仿宋"/>
                <w:bCs/>
                <w:color w:val="auto"/>
                <w:sz w:val="21"/>
                <w:szCs w:val="21"/>
                <w:highlight w:val="none"/>
                <w:lang w:val="en-US" w:eastAsia="zh-CN"/>
              </w:rPr>
              <w:t>主观分</w:t>
            </w:r>
          </w:p>
        </w:tc>
        <w:tc>
          <w:tcPr>
            <w:tcW w:w="1611" w:type="dxa"/>
            <w:vAlign w:val="center"/>
          </w:tcPr>
          <w:p w14:paraId="2D538FBF">
            <w:pPr>
              <w:wordWrap w:val="0"/>
              <w:snapToGrid w:val="0"/>
              <w:spacing w:beforeLines="0" w:afterLines="0" w:line="360" w:lineRule="auto"/>
              <w:rPr>
                <w:rFonts w:ascii="仿宋" w:hAnsi="仿宋" w:eastAsia="仿宋" w:cs="仿宋"/>
                <w:color w:val="auto"/>
                <w:sz w:val="21"/>
                <w:szCs w:val="21"/>
                <w:highlight w:val="none"/>
              </w:rPr>
            </w:pPr>
          </w:p>
        </w:tc>
      </w:tr>
      <w:tr w14:paraId="4479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955" w:type="dxa"/>
            <w:vAlign w:val="center"/>
          </w:tcPr>
          <w:p w14:paraId="53A2EA6D">
            <w:pPr>
              <w:wordWrap w:val="0"/>
              <w:autoSpaceDE w:val="0"/>
              <w:autoSpaceDN w:val="0"/>
              <w:snapToGrid w:val="0"/>
              <w:spacing w:beforeLines="0" w:afterLines="0" w:line="360" w:lineRule="auto"/>
              <w:jc w:val="center"/>
              <w:rPr>
                <w:rFonts w:hint="default"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14</w:t>
            </w:r>
          </w:p>
        </w:tc>
        <w:tc>
          <w:tcPr>
            <w:tcW w:w="4317" w:type="dxa"/>
            <w:vAlign w:val="center"/>
          </w:tcPr>
          <w:p w14:paraId="606C004D">
            <w:pPr>
              <w:wordWrap w:val="0"/>
              <w:snapToGrid w:val="0"/>
              <w:spacing w:beforeLines="0" w:afterLines="0" w:line="360" w:lineRule="auto"/>
              <w:rPr>
                <w:rFonts w:hint="default" w:eastAsia="仿宋"/>
                <w:b w:val="0"/>
                <w:bCs w:val="0"/>
                <w:color w:val="auto"/>
                <w:highlight w:val="none"/>
                <w:lang w:val="en-US" w:eastAsia="zh-CN"/>
              </w:rPr>
            </w:pPr>
            <w:bookmarkStart w:id="519" w:name="_GoBack"/>
            <w:r>
              <w:rPr>
                <w:rFonts w:hint="eastAsia" w:ascii="仿宋" w:hAnsi="仿宋" w:eastAsia="仿宋" w:cs="仿宋"/>
                <w:b w:val="0"/>
                <w:bCs w:val="0"/>
                <w:color w:val="auto"/>
                <w:szCs w:val="21"/>
                <w:highlight w:val="none"/>
              </w:rPr>
              <w:t>保障团队：</w:t>
            </w:r>
            <w:r>
              <w:rPr>
                <w:rFonts w:hint="eastAsia" w:ascii="仿宋" w:hAnsi="仿宋" w:eastAsia="仿宋" w:cs="仿宋"/>
                <w:b w:val="0"/>
                <w:bCs w:val="0"/>
                <w:color w:val="auto"/>
                <w:szCs w:val="21"/>
                <w:highlight w:val="none"/>
                <w:lang w:val="en-US" w:eastAsia="zh-CN"/>
              </w:rPr>
              <w:t>具备</w:t>
            </w:r>
            <w:r>
              <w:rPr>
                <w:rFonts w:hint="eastAsia" w:ascii="仿宋" w:hAnsi="仿宋" w:eastAsia="仿宋" w:cs="仿宋"/>
                <w:b w:val="0"/>
                <w:bCs w:val="0"/>
                <w:color w:val="auto"/>
                <w:szCs w:val="21"/>
                <w:highlight w:val="none"/>
              </w:rPr>
              <w:t>医师、护士、护理相关专业背景和专业技术能力、及从事类似项目经验年限等情况（</w:t>
            </w:r>
            <w:r>
              <w:rPr>
                <w:rFonts w:hint="eastAsia" w:ascii="仿宋" w:hAnsi="仿宋" w:eastAsia="仿宋" w:cs="仿宋"/>
                <w:b w:val="0"/>
                <w:bCs w:val="0"/>
                <w:color w:val="auto"/>
                <w:szCs w:val="21"/>
                <w:highlight w:val="none"/>
                <w:lang w:val="en-US" w:eastAsia="zh-CN"/>
              </w:rPr>
              <w:t>提供有效的医师、护士职业证书及与正规医疗机构签订的活动医疗保障协议），其中5人及以上得3分，3-4人得2分，3人以下得1分，没有不得分。人员需提供近一个月的社保证明。</w:t>
            </w:r>
            <w:bookmarkEnd w:id="519"/>
          </w:p>
        </w:tc>
        <w:tc>
          <w:tcPr>
            <w:tcW w:w="834" w:type="dxa"/>
            <w:vAlign w:val="center"/>
          </w:tcPr>
          <w:p w14:paraId="1CA2EF5C">
            <w:pPr>
              <w:wordWrap w:val="0"/>
              <w:snapToGrid w:val="0"/>
              <w:spacing w:beforeLines="0" w:afterLines="0" w:line="360" w:lineRule="auto"/>
              <w:jc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w:t>
            </w:r>
          </w:p>
        </w:tc>
        <w:tc>
          <w:tcPr>
            <w:tcW w:w="1089" w:type="dxa"/>
            <w:vAlign w:val="center"/>
          </w:tcPr>
          <w:p w14:paraId="10D6F144">
            <w:pPr>
              <w:wordWrap w:val="0"/>
              <w:snapToGrid w:val="0"/>
              <w:spacing w:beforeLines="0" w:afterLines="0" w:line="360" w:lineRule="auto"/>
              <w:rPr>
                <w:rFonts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客观分</w:t>
            </w:r>
          </w:p>
        </w:tc>
        <w:tc>
          <w:tcPr>
            <w:tcW w:w="1611" w:type="dxa"/>
            <w:vAlign w:val="center"/>
          </w:tcPr>
          <w:p w14:paraId="2D5CB2D9">
            <w:pPr>
              <w:wordWrap w:val="0"/>
              <w:snapToGrid w:val="0"/>
              <w:spacing w:beforeLines="0" w:afterLines="0" w:line="360" w:lineRule="auto"/>
              <w:rPr>
                <w:rFonts w:ascii="仿宋" w:hAnsi="仿宋" w:eastAsia="仿宋" w:cs="仿宋"/>
                <w:b w:val="0"/>
                <w:bCs w:val="0"/>
                <w:color w:val="auto"/>
                <w:sz w:val="21"/>
                <w:szCs w:val="21"/>
                <w:highlight w:val="none"/>
              </w:rPr>
            </w:pPr>
          </w:p>
        </w:tc>
      </w:tr>
      <w:tr w14:paraId="57AD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955" w:type="dxa"/>
            <w:vAlign w:val="center"/>
          </w:tcPr>
          <w:p w14:paraId="031AB223">
            <w:pPr>
              <w:wordWrap w:val="0"/>
              <w:autoSpaceDE w:val="0"/>
              <w:autoSpaceDN w:val="0"/>
              <w:snapToGrid w:val="0"/>
              <w:spacing w:beforeLines="0" w:afterLines="0" w:line="360" w:lineRule="auto"/>
              <w:jc w:val="center"/>
              <w:rPr>
                <w:rFonts w:hint="default"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15</w:t>
            </w:r>
          </w:p>
        </w:tc>
        <w:tc>
          <w:tcPr>
            <w:tcW w:w="4317" w:type="dxa"/>
            <w:vAlign w:val="center"/>
          </w:tcPr>
          <w:p w14:paraId="0D033A33">
            <w:pPr>
              <w:spacing w:line="360" w:lineRule="auto"/>
              <w:jc w:val="both"/>
              <w:outlineLvl w:val="0"/>
              <w:rPr>
                <w:rFonts w:hint="eastAsia" w:ascii="仿宋" w:hAnsi="仿宋" w:eastAsia="仿宋" w:cs="仿宋"/>
                <w:snapToGrid w:val="0"/>
                <w:kern w:val="2"/>
                <w:sz w:val="21"/>
                <w:szCs w:val="21"/>
                <w:lang w:val="en-US" w:eastAsia="zh-CN" w:bidi="ar-SA"/>
              </w:rPr>
            </w:pPr>
            <w:r>
              <w:rPr>
                <w:rFonts w:hint="eastAsia" w:ascii="仿宋" w:hAnsi="仿宋" w:eastAsia="仿宋" w:cs="仿宋"/>
                <w:snapToGrid w:val="0"/>
                <w:kern w:val="2"/>
                <w:sz w:val="21"/>
                <w:szCs w:val="21"/>
                <w:lang w:val="en-US" w:eastAsia="zh-CN" w:bidi="ar-SA"/>
              </w:rPr>
              <w:t>有效投标报价的最低价作为评标基准价，其最低报价为满分；按［投标报价得分=（评标基准价/投标报价）*权重］的计算公式计算。</w:t>
            </w:r>
          </w:p>
          <w:p w14:paraId="4878A2EA">
            <w:pPr>
              <w:widowControl/>
              <w:shd w:val="clear" w:color="auto" w:fill="FFFFFF"/>
              <w:adjustRightInd/>
              <w:spacing w:after="225" w:line="315" w:lineRule="atLeast"/>
              <w:ind w:firstLine="420" w:firstLineChars="0"/>
              <w:jc w:val="both"/>
              <w:rPr>
                <w:rFonts w:hint="eastAsia" w:ascii="仿宋" w:hAnsi="仿宋" w:eastAsia="仿宋" w:cs="仿宋"/>
                <w:snapToGrid w:val="0"/>
                <w:kern w:val="2"/>
                <w:sz w:val="21"/>
                <w:szCs w:val="21"/>
                <w:lang w:val="en-US" w:eastAsia="zh-CN" w:bidi="ar-SA"/>
              </w:rPr>
            </w:pPr>
            <w:r>
              <w:rPr>
                <w:rFonts w:hint="eastAsia" w:ascii="仿宋" w:hAnsi="仿宋" w:eastAsia="仿宋" w:cs="仿宋"/>
                <w:snapToGrid w:val="0"/>
                <w:kern w:val="2"/>
                <w:sz w:val="21"/>
                <w:szCs w:val="21"/>
                <w:lang w:val="en-US" w:eastAsia="zh-CN" w:bidi="ar-SA"/>
              </w:rPr>
              <w:t>评标过程中，不得去掉报价中的最高报价和最低报价。</w:t>
            </w:r>
          </w:p>
          <w:p w14:paraId="01BCB413">
            <w:pPr>
              <w:pStyle w:val="2"/>
              <w:ind w:left="0" w:leftChars="0" w:firstLine="0" w:firstLineChars="0"/>
              <w:rPr>
                <w:rFonts w:hint="eastAsia"/>
                <w:lang w:val="en-US" w:eastAsia="zh-CN"/>
              </w:rPr>
            </w:pPr>
            <w:r>
              <w:rPr>
                <w:rFonts w:hint="eastAsia" w:ascii="仿宋" w:hAnsi="仿宋" w:eastAsia="仿宋" w:cs="仿宋"/>
                <w:b/>
                <w:bCs/>
                <w:color w:val="auto"/>
                <w:sz w:val="21"/>
                <w:szCs w:val="21"/>
                <w:highlight w:val="none"/>
                <w:lang w:val="en-US" w:eastAsia="zh-CN"/>
              </w:rPr>
              <w:t>备注：</w:t>
            </w:r>
            <w:r>
              <w:rPr>
                <w:rFonts w:hint="eastAsia" w:ascii="仿宋" w:hAnsi="仿宋" w:eastAsia="仿宋" w:cs="仿宋"/>
                <w:b/>
                <w:bCs/>
                <w:color w:val="auto"/>
                <w:sz w:val="21"/>
                <w:szCs w:val="21"/>
                <w:highlight w:val="none"/>
              </w:rPr>
              <w:t>根据相关政策要求，本项目采用统一定价标准，价格不列为评审因素。</w:t>
            </w:r>
          </w:p>
        </w:tc>
        <w:tc>
          <w:tcPr>
            <w:tcW w:w="834" w:type="dxa"/>
            <w:vAlign w:val="center"/>
          </w:tcPr>
          <w:p w14:paraId="4B67A9AB">
            <w:pPr>
              <w:spacing w:line="360" w:lineRule="auto"/>
              <w:jc w:val="center"/>
              <w:outlineLvl w:val="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snapToGrid w:val="0"/>
                <w:kern w:val="2"/>
                <w:sz w:val="21"/>
                <w:szCs w:val="21"/>
                <w:lang w:val="en-US" w:eastAsia="zh-CN" w:bidi="ar-SA"/>
              </w:rPr>
              <w:t>10</w:t>
            </w:r>
          </w:p>
        </w:tc>
        <w:tc>
          <w:tcPr>
            <w:tcW w:w="1089" w:type="dxa"/>
            <w:vAlign w:val="center"/>
          </w:tcPr>
          <w:p w14:paraId="3119B9AA">
            <w:pPr>
              <w:spacing w:line="360" w:lineRule="auto"/>
              <w:jc w:val="center"/>
              <w:outlineLvl w:val="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snapToGrid w:val="0"/>
                <w:kern w:val="2"/>
                <w:sz w:val="21"/>
                <w:szCs w:val="21"/>
                <w:lang w:val="en-US" w:eastAsia="zh-CN" w:bidi="ar-SA"/>
              </w:rPr>
              <w:t>客观分</w:t>
            </w:r>
          </w:p>
        </w:tc>
        <w:tc>
          <w:tcPr>
            <w:tcW w:w="1611" w:type="dxa"/>
            <w:vAlign w:val="center"/>
          </w:tcPr>
          <w:p w14:paraId="366530C4">
            <w:pPr>
              <w:wordWrap w:val="0"/>
              <w:snapToGrid w:val="0"/>
              <w:spacing w:beforeLines="0" w:afterLines="0" w:line="360" w:lineRule="auto"/>
              <w:rPr>
                <w:rFonts w:ascii="仿宋" w:hAnsi="仿宋" w:eastAsia="仿宋" w:cs="仿宋"/>
                <w:b w:val="0"/>
                <w:bCs w:val="0"/>
                <w:color w:val="auto"/>
                <w:sz w:val="21"/>
                <w:szCs w:val="21"/>
                <w:highlight w:val="none"/>
              </w:rPr>
            </w:pPr>
          </w:p>
        </w:tc>
      </w:tr>
    </w:tbl>
    <w:p w14:paraId="56410C4E">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414513D2">
      <w:pPr>
        <w:spacing w:line="360" w:lineRule="auto"/>
        <w:outlineLvl w:val="0"/>
        <w:rPr>
          <w:rFonts w:ascii="宋体" w:hAnsi="宋体" w:cs="宋体"/>
          <w:b/>
          <w:color w:val="auto"/>
          <w:sz w:val="36"/>
          <w:szCs w:val="36"/>
          <w:highlight w:val="none"/>
        </w:rPr>
      </w:pPr>
      <w:bookmarkStart w:id="393" w:name="第五部分"/>
      <w:bookmarkStart w:id="394" w:name="_Toc86217003"/>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第五部分 拟签订的合同文本</w:t>
      </w:r>
    </w:p>
    <w:p w14:paraId="3816F2F6">
      <w:pPr>
        <w:ind w:firstLine="3120" w:firstLineChars="1300"/>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5"/>
        <w:rPr>
          <w:color w:val="auto"/>
          <w:highlight w:val="none"/>
        </w:rPr>
      </w:pPr>
    </w:p>
    <w:p w14:paraId="5912128F">
      <w:pPr>
        <w:keepNext w:val="0"/>
        <w:keepLines w:val="0"/>
        <w:pageBreakBefore w:val="0"/>
        <w:widowControl w:val="0"/>
        <w:kinsoku/>
        <w:wordWrap/>
        <w:overflowPunct/>
        <w:topLinePunct w:val="0"/>
        <w:autoSpaceDE/>
        <w:autoSpaceDN/>
        <w:bidi w:val="0"/>
        <w:snapToGrid/>
        <w:spacing w:before="120" w:line="360" w:lineRule="auto"/>
        <w:ind w:left="960"/>
        <w:textAlignment w:val="auto"/>
        <w:rPr>
          <w:rFonts w:ascii="宋体" w:hAnsi="宋体" w:eastAsia="宋体" w:cs="宋体"/>
          <w:color w:val="auto"/>
          <w:szCs w:val="24"/>
          <w:highlight w:val="none"/>
        </w:rPr>
      </w:pPr>
      <w:r>
        <w:rPr>
          <w:rFonts w:hint="eastAsia" w:ascii="仿宋" w:hAnsi="仿宋" w:eastAsia="仿宋" w:cs="仿宋"/>
          <w:color w:val="auto"/>
          <w:sz w:val="24"/>
        </w:rPr>
        <w:t>项目名称：</w:t>
      </w:r>
      <w:r>
        <w:rPr>
          <w:rFonts w:hint="eastAsia" w:ascii="宋体" w:hAnsi="宋体" w:cs="宋体"/>
          <w:color w:val="auto"/>
          <w:sz w:val="24"/>
          <w:highlight w:val="none"/>
          <w:u w:val="single"/>
          <w:lang w:eastAsia="zh-CN"/>
        </w:rPr>
        <w:t>杭州市拱墅区湖墅街道2025年度企退人员自管小组文体活动服务采购项目</w:t>
      </w: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9AB119D">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360" w:lineRule="auto"/>
        <w:jc w:val="left"/>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2025</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eastAsia="宋体" w:cs="宋体"/>
          <w:color w:val="auto"/>
          <w:sz w:val="24"/>
          <w:highlight w:val="none"/>
          <w:u w:val="single"/>
          <w:lang w:eastAsia="zh-CN"/>
        </w:rPr>
        <w:t xml:space="preserve"> 杭州市拱墅区人民政府湖墅街道办事处</w:t>
      </w:r>
      <w:r>
        <w:rPr>
          <w:rFonts w:hint="eastAsia" w:ascii="宋体" w:hAnsi="宋体" w:eastAsia="宋体" w:cs="宋体"/>
          <w:color w:val="auto"/>
          <w:sz w:val="24"/>
          <w:highlight w:val="none"/>
          <w:u w:val="single"/>
          <w:lang w:val="en-US" w:eastAsia="zh-CN"/>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杭州市拱墅区湖墅街道2025年度企退人员自管小组文体活动服务采购项目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评标委员会 </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eastAsia="宋体" w:cs="宋体"/>
          <w:color w:val="auto"/>
          <w:sz w:val="24"/>
          <w:highlight w:val="none"/>
          <w:u w:val="single"/>
          <w:lang w:eastAsia="zh-CN"/>
        </w:rPr>
        <w:t>杭州市拱墅区人民政府湖墅街道办事处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20421"/>
      <w:bookmarkStart w:id="396" w:name="_Toc19273"/>
      <w:bookmarkStart w:id="397" w:name="_Toc28855"/>
      <w:bookmarkStart w:id="398" w:name="_Toc22967"/>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22185"/>
      <w:bookmarkStart w:id="401" w:name="_Toc2918"/>
      <w:bookmarkStart w:id="402" w:name="_Toc18585"/>
      <w:bookmarkStart w:id="403" w:name="_Toc6311"/>
      <w:bookmarkStart w:id="404"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4929"/>
      <w:bookmarkStart w:id="406" w:name="_Toc13918"/>
      <w:bookmarkStart w:id="407" w:name="_Toc1386"/>
      <w:bookmarkStart w:id="408" w:name="_Toc5635"/>
      <w:bookmarkStart w:id="409"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0" w:name="_Toc30158"/>
      <w:bookmarkStart w:id="411" w:name="_Toc14993"/>
      <w:bookmarkStart w:id="412" w:name="_Toc3654"/>
      <w:bookmarkStart w:id="413" w:name="_Toc26916"/>
      <w:bookmarkStart w:id="414"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130元/人次</w:t>
      </w:r>
      <w:r>
        <w:rPr>
          <w:rFonts w:hint="eastAsia" w:ascii="宋体" w:hAnsi="宋体" w:eastAsia="宋体" w:cs="Times New Roman"/>
          <w:color w:val="auto"/>
          <w:sz w:val="24"/>
          <w:highlight w:val="none"/>
          <w:u w:val="single"/>
        </w:rPr>
        <w:t xml:space="preserve">  </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hint="eastAsia" w:ascii="宋体" w:hAnsi="宋体" w:eastAsia="宋体" w:cs="Times New Roman"/>
          <w:color w:val="auto"/>
          <w:sz w:val="24"/>
          <w:highlight w:val="none"/>
          <w:u w:val="single"/>
          <w:lang w:eastAsia="zh-CN"/>
        </w:rPr>
        <w:t>1118000.00</w:t>
      </w:r>
      <w:r>
        <w:rPr>
          <w:rFonts w:ascii="宋体" w:hAnsi="宋体" w:eastAsia="宋体" w:cs="Times New Roman"/>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壹佰壹拾壹万捌仟</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5CCC91">
      <w:pPr>
        <w:pStyle w:val="960"/>
        <w:spacing w:before="0" w:beforeAutospacing="0" w:after="0" w:afterAutospacing="0" w:line="360" w:lineRule="auto"/>
        <w:ind w:firstLine="480"/>
        <w:rPr>
          <w:b/>
          <w:color w:val="auto"/>
          <w:highlight w:val="none"/>
        </w:rPr>
      </w:pPr>
      <w:bookmarkStart w:id="415" w:name="_Toc1814"/>
      <w:bookmarkStart w:id="416" w:name="_Toc10340"/>
      <w:bookmarkStart w:id="417" w:name="_Toc22618"/>
      <w:bookmarkStart w:id="418" w:name="_Toc31421"/>
      <w:bookmarkStart w:id="419" w:name="_Toc8772"/>
      <w:bookmarkStart w:id="420" w:name="_Toc3625"/>
      <w:bookmarkStart w:id="421" w:name="_Toc11108"/>
      <w:bookmarkStart w:id="422" w:name="_Toc4760"/>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3" w:name="_Toc3079"/>
      <w:bookmarkStart w:id="424" w:name="_Toc5698"/>
      <w:bookmarkStart w:id="425" w:name="_Toc8586"/>
      <w:bookmarkStart w:id="426" w:name="_Toc24662"/>
      <w:bookmarkStart w:id="427"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26807"/>
      <w:bookmarkStart w:id="429" w:name="_Toc30329"/>
      <w:bookmarkStart w:id="430" w:name="_Toc9497"/>
      <w:bookmarkStart w:id="431" w:name="_Toc18683"/>
      <w:bookmarkStart w:id="432"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15583"/>
      <w:bookmarkStart w:id="434" w:name="_Toc28375"/>
      <w:bookmarkStart w:id="435" w:name="_Toc16021"/>
      <w:r>
        <w:rPr>
          <w:rFonts w:hint="eastAsia" w:ascii="宋体" w:hAnsi="宋体" w:cs="宋体"/>
          <w:b/>
          <w:color w:val="auto"/>
          <w:sz w:val="24"/>
          <w:highlight w:val="none"/>
        </w:rPr>
        <w:t>1.9合同争议的解决</w:t>
      </w:r>
      <w:bookmarkEnd w:id="433"/>
      <w:bookmarkEnd w:id="434"/>
      <w:bookmarkEnd w:id="435"/>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6" w:name="_Toc7245"/>
      <w:bookmarkStart w:id="437" w:name="_Toc15322"/>
      <w:bookmarkStart w:id="438" w:name="_Toc11173"/>
      <w:r>
        <w:rPr>
          <w:rFonts w:hint="eastAsia" w:ascii="宋体" w:hAnsi="宋体" w:cs="宋体"/>
          <w:b/>
          <w:color w:val="auto"/>
          <w:sz w:val="24"/>
          <w:highlight w:val="none"/>
        </w:rPr>
        <w:t>2.0 合同生效</w:t>
      </w:r>
      <w:bookmarkEnd w:id="436"/>
      <w:bookmarkEnd w:id="437"/>
      <w:bookmarkEnd w:id="438"/>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5228"/>
      <w:bookmarkStart w:id="440" w:name="_Toc19680"/>
      <w:bookmarkStart w:id="441" w:name="_Toc25079"/>
      <w:bookmarkStart w:id="442" w:name="_Toc31297"/>
      <w:bookmarkStart w:id="443" w:name="_Toc14021"/>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16752"/>
      <w:bookmarkStart w:id="445" w:name="_Toc19539"/>
      <w:bookmarkStart w:id="446" w:name="_Toc23289"/>
      <w:bookmarkStart w:id="447" w:name="_Toc31402"/>
      <w:bookmarkStart w:id="448" w:name="_Toc3769"/>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12412"/>
      <w:bookmarkStart w:id="450" w:name="_Toc13673"/>
      <w:bookmarkStart w:id="451" w:name="_Toc4133"/>
      <w:bookmarkStart w:id="452" w:name="_Toc27945"/>
      <w:bookmarkStart w:id="453" w:name="_Toc9161"/>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26555"/>
      <w:bookmarkStart w:id="455" w:name="_Toc22011"/>
      <w:bookmarkStart w:id="456" w:name="_Toc32670"/>
      <w:bookmarkStart w:id="457" w:name="_Toc31233"/>
      <w:bookmarkStart w:id="458" w:name="_Toc15447"/>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18990"/>
      <w:bookmarkStart w:id="460" w:name="_Toc30507"/>
      <w:bookmarkStart w:id="461" w:name="_Toc13467"/>
      <w:bookmarkStart w:id="462" w:name="_Toc13154"/>
      <w:bookmarkStart w:id="463" w:name="_Toc16163"/>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23368"/>
      <w:bookmarkStart w:id="468" w:name="_Toc21830"/>
      <w:bookmarkStart w:id="469" w:name="_Toc26689"/>
      <w:bookmarkStart w:id="470" w:name="_Toc10663"/>
      <w:bookmarkStart w:id="471" w:name="_Toc42"/>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25571"/>
      <w:bookmarkStart w:id="473" w:name="_Toc26633"/>
      <w:bookmarkStart w:id="474" w:name="_Toc4720"/>
      <w:bookmarkStart w:id="475" w:name="_Toc14371"/>
      <w:bookmarkStart w:id="476" w:name="_Toc32494"/>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24465"/>
      <w:bookmarkStart w:id="478" w:name="_Toc14115"/>
      <w:bookmarkStart w:id="479" w:name="_Toc23854"/>
      <w:bookmarkStart w:id="480" w:name="_Toc25783"/>
      <w:bookmarkStart w:id="481" w:name="_Toc3638"/>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25525"/>
      <w:bookmarkStart w:id="483" w:name="_Toc14814"/>
      <w:bookmarkStart w:id="484" w:name="_Toc26883"/>
      <w:bookmarkStart w:id="485" w:name="_Toc7315"/>
      <w:bookmarkStart w:id="486" w:name="_Toc30105"/>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1123"/>
      <w:bookmarkStart w:id="488" w:name="_Toc2016"/>
      <w:bookmarkStart w:id="489" w:name="_Toc23323"/>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7363"/>
      <w:bookmarkStart w:id="491" w:name="_Toc14525"/>
      <w:bookmarkStart w:id="492" w:name="_Toc1969"/>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25198"/>
      <w:bookmarkStart w:id="494" w:name="_Toc12666"/>
      <w:bookmarkStart w:id="495" w:name="_Toc31892"/>
      <w:bookmarkStart w:id="496" w:name="_Toc2308"/>
      <w:bookmarkStart w:id="497" w:name="_Toc9808"/>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20808"/>
      <w:bookmarkStart w:id="501" w:name="_Toc5063"/>
      <w:bookmarkStart w:id="502" w:name="_Toc28906"/>
      <w:bookmarkStart w:id="503" w:name="_Toc12254"/>
      <w:bookmarkStart w:id="504"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4355"/>
      <w:bookmarkStart w:id="506" w:name="_Toc30599"/>
      <w:bookmarkStart w:id="507" w:name="_Toc18540"/>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1.3.2</w:t>
            </w:r>
          </w:p>
        </w:tc>
        <w:tc>
          <w:tcPr>
            <w:tcW w:w="4464" w:type="pct"/>
            <w:vAlign w:val="center"/>
          </w:tcPr>
          <w:p w14:paraId="304DB868">
            <w:pPr>
              <w:spacing w:line="360" w:lineRule="auto"/>
              <w:rPr>
                <w:rFonts w:ascii="宋体" w:hAnsi="宋体" w:cs="宋体"/>
                <w:color w:val="auto"/>
                <w:sz w:val="21"/>
                <w:szCs w:val="21"/>
                <w:highlight w:val="none"/>
              </w:rPr>
            </w:pPr>
            <w:r>
              <w:rPr>
                <w:rFonts w:hint="eastAsia" w:ascii="仿宋" w:hAnsi="仿宋" w:eastAsia="仿宋" w:cs="仿宋"/>
                <w:color w:val="auto"/>
                <w:sz w:val="21"/>
                <w:szCs w:val="21"/>
              </w:rPr>
              <w:t>服务工作量的计量方式为：</w:t>
            </w:r>
            <w:r>
              <w:rPr>
                <w:rFonts w:hint="eastAsia" w:ascii="仿宋" w:hAnsi="仿宋" w:eastAsia="仿宋" w:cs="仿宋"/>
                <w:color w:val="auto"/>
                <w:sz w:val="21"/>
                <w:szCs w:val="21"/>
                <w:u w:val="single"/>
                <w:lang w:val="en-US" w:eastAsia="zh-CN"/>
              </w:rPr>
              <w:t xml:space="preserve">按实计量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1.5.1</w:t>
            </w:r>
          </w:p>
        </w:tc>
        <w:tc>
          <w:tcPr>
            <w:tcW w:w="4464" w:type="pct"/>
            <w:vAlign w:val="center"/>
          </w:tcPr>
          <w:p w14:paraId="39CDB7AE">
            <w:pPr>
              <w:pStyle w:val="965"/>
              <w:tabs>
                <w:tab w:val="left" w:pos="471"/>
              </w:tabs>
              <w:snapToGrid w:val="0"/>
              <w:spacing w:beforeLines="0" w:afterLines="0" w:line="360" w:lineRule="auto"/>
              <w:ind w:left="0" w:leftChars="0" w:firstLine="0" w:firstLineChars="0"/>
              <w:outlineLvl w:val="9"/>
              <w:rPr>
                <w:rFonts w:hint="eastAsia" w:ascii="宋体" w:hAnsi="宋体" w:eastAsia="宋体" w:cs="宋体"/>
                <w:color w:val="auto"/>
                <w:sz w:val="21"/>
                <w:szCs w:val="21"/>
                <w:highlight w:val="none"/>
                <w:lang w:eastAsia="zh-CN"/>
              </w:rPr>
            </w:pPr>
            <w:r>
              <w:rPr>
                <w:rFonts w:hint="eastAsia" w:ascii="仿宋" w:hAnsi="仿宋" w:eastAsia="仿宋" w:cs="仿宋"/>
                <w:color w:val="auto"/>
                <w:kern w:val="2"/>
                <w:sz w:val="21"/>
                <w:szCs w:val="21"/>
                <w:lang w:val="en-US" w:eastAsia="zh-CN" w:bidi="ar-SA"/>
              </w:rPr>
              <w:t>预付款比例、支付方式、时间:</w:t>
            </w:r>
            <w:r>
              <w:rPr>
                <w:rFonts w:hint="eastAsia" w:ascii="仿宋" w:hAnsi="仿宋" w:eastAsia="仿宋" w:cs="仿宋"/>
                <w:color w:val="auto"/>
                <w:kern w:val="2"/>
                <w:sz w:val="21"/>
                <w:szCs w:val="21"/>
                <w:u w:val="single"/>
                <w:lang w:val="en-US" w:eastAsia="zh-CN" w:bidi="ar-SA"/>
              </w:rPr>
              <w:t>合同签订并收到乙方开具的增值税发票后15个工作日内甲方向乙方支付合同签约价的40%作为预付款</w:t>
            </w:r>
            <w:r>
              <w:rPr>
                <w:rFonts w:hint="eastAsia" w:ascii="仿宋" w:hAnsi="仿宋" w:eastAsia="仿宋" w:cs="仿宋"/>
                <w:color w:val="auto"/>
                <w:kern w:val="2"/>
                <w:sz w:val="21"/>
                <w:szCs w:val="21"/>
                <w:lang w:val="en-US" w:eastAsia="zh-CN" w:bidi="ar-SA"/>
              </w:rPr>
              <w:t>。</w:t>
            </w: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1.6.2</w:t>
            </w:r>
          </w:p>
        </w:tc>
        <w:tc>
          <w:tcPr>
            <w:tcW w:w="4464" w:type="pct"/>
            <w:vAlign w:val="center"/>
          </w:tcPr>
          <w:p w14:paraId="4F7069E5">
            <w:pPr>
              <w:spacing w:line="360" w:lineRule="auto"/>
              <w:rPr>
                <w:rFonts w:hint="eastAsia" w:ascii="仿宋" w:hAnsi="仿宋" w:eastAsia="仿宋" w:cs="仿宋"/>
                <w:snapToGrid w:val="0"/>
                <w:color w:val="auto"/>
                <w:kern w:val="2"/>
                <w:sz w:val="21"/>
                <w:szCs w:val="21"/>
                <w:lang w:val="en-US" w:eastAsia="zh-CN" w:bidi="ar-SA"/>
              </w:rPr>
            </w:pPr>
            <w:r>
              <w:rPr>
                <w:rFonts w:hint="eastAsia" w:ascii="仿宋" w:hAnsi="仿宋" w:eastAsia="仿宋" w:cs="仿宋"/>
                <w:snapToGrid w:val="0"/>
                <w:color w:val="auto"/>
                <w:kern w:val="2"/>
                <w:sz w:val="21"/>
                <w:szCs w:val="21"/>
                <w:lang w:val="zh-CN" w:eastAsia="zh-CN" w:bidi="ar-SA"/>
              </w:rPr>
              <w:t>资金支付的方式、时间和条件</w:t>
            </w:r>
            <w:r>
              <w:rPr>
                <w:rFonts w:hint="eastAsia" w:ascii="仿宋" w:hAnsi="仿宋" w:eastAsia="仿宋" w:cs="仿宋"/>
                <w:snapToGrid w:val="0"/>
                <w:color w:val="auto"/>
                <w:kern w:val="2"/>
                <w:sz w:val="21"/>
                <w:szCs w:val="21"/>
                <w:lang w:val="en-US" w:eastAsia="zh-CN" w:bidi="ar-SA"/>
              </w:rPr>
              <w:t>:</w:t>
            </w:r>
          </w:p>
          <w:p w14:paraId="6F3CB6C5">
            <w:pPr>
              <w:widowControl/>
              <w:rPr>
                <w:rFonts w:hint="eastAsia" w:ascii="仿宋" w:hAnsi="仿宋" w:eastAsia="仿宋" w:cs="仿宋"/>
                <w:snapToGrid w:val="0"/>
                <w:color w:val="auto"/>
                <w:kern w:val="2"/>
                <w:sz w:val="21"/>
                <w:szCs w:val="21"/>
                <w:lang w:val="zh-CN" w:eastAsia="zh-CN" w:bidi="ar-SA"/>
              </w:rPr>
            </w:pPr>
            <w:r>
              <w:rPr>
                <w:rFonts w:hint="eastAsia" w:ascii="仿宋" w:hAnsi="仿宋" w:eastAsia="仿宋" w:cs="仿宋"/>
                <w:snapToGrid w:val="0"/>
                <w:color w:val="auto"/>
                <w:kern w:val="2"/>
                <w:sz w:val="21"/>
                <w:szCs w:val="21"/>
                <w:lang w:val="en-US" w:eastAsia="zh-CN" w:bidi="ar-SA"/>
              </w:rPr>
              <w:t>(1)</w:t>
            </w:r>
            <w:r>
              <w:rPr>
                <w:rFonts w:hint="eastAsia" w:ascii="仿宋" w:hAnsi="仿宋" w:eastAsia="仿宋" w:cs="仿宋"/>
                <w:snapToGrid w:val="0"/>
                <w:color w:val="auto"/>
                <w:kern w:val="2"/>
                <w:sz w:val="21"/>
                <w:szCs w:val="21"/>
                <w:lang w:val="zh-CN" w:eastAsia="zh-CN" w:bidi="ar-SA"/>
              </w:rPr>
              <w:t>资金支付的方式：转账。</w:t>
            </w:r>
          </w:p>
          <w:p w14:paraId="1072DB00">
            <w:pPr>
              <w:pStyle w:val="25"/>
              <w:rPr>
                <w:rFonts w:hint="eastAsia" w:ascii="仿宋" w:hAnsi="仿宋" w:eastAsia="仿宋" w:cs="仿宋"/>
                <w:snapToGrid w:val="0"/>
                <w:color w:val="auto"/>
                <w:kern w:val="2"/>
                <w:sz w:val="21"/>
                <w:szCs w:val="21"/>
                <w:lang w:val="en-US" w:eastAsia="zh-CN" w:bidi="ar-SA"/>
              </w:rPr>
            </w:pPr>
            <w:r>
              <w:rPr>
                <w:rFonts w:hint="eastAsia" w:ascii="仿宋" w:hAnsi="仿宋" w:eastAsia="仿宋" w:cs="仿宋"/>
                <w:snapToGrid w:val="0"/>
                <w:color w:val="auto"/>
                <w:kern w:val="2"/>
                <w:sz w:val="21"/>
                <w:szCs w:val="21"/>
                <w:lang w:val="en-US" w:eastAsia="zh-CN" w:bidi="ar-SA"/>
              </w:rPr>
              <w:t>(2)</w:t>
            </w:r>
            <w:r>
              <w:rPr>
                <w:rFonts w:hint="eastAsia" w:ascii="仿宋" w:hAnsi="仿宋" w:eastAsia="仿宋" w:cs="仿宋"/>
                <w:snapToGrid w:val="0"/>
                <w:color w:val="auto"/>
                <w:kern w:val="2"/>
                <w:sz w:val="21"/>
                <w:szCs w:val="21"/>
                <w:lang w:val="zh-CN" w:eastAsia="zh-CN" w:bidi="ar-SA"/>
              </w:rPr>
              <w:t>资金支付的时间和条件：</w:t>
            </w:r>
          </w:p>
          <w:p w14:paraId="7F95A8C2">
            <w:pPr>
              <w:pStyle w:val="25"/>
              <w:rPr>
                <w:rFonts w:hint="eastAsia"/>
                <w:color w:val="auto"/>
                <w:sz w:val="21"/>
                <w:szCs w:val="21"/>
                <w:lang w:val="en-US" w:eastAsia="zh-CN"/>
              </w:rPr>
            </w:pPr>
            <w:r>
              <w:rPr>
                <w:rFonts w:hint="eastAsia" w:ascii="仿宋" w:hAnsi="仿宋" w:eastAsia="仿宋" w:cs="仿宋"/>
                <w:snapToGrid w:val="0"/>
                <w:color w:val="auto"/>
                <w:kern w:val="2"/>
                <w:sz w:val="21"/>
                <w:szCs w:val="21"/>
                <w:lang w:val="zh-CN" w:eastAsia="zh-CN" w:bidi="ar-SA"/>
              </w:rPr>
              <w:t>合同签订并收到乙方开具的增值税发票后</w:t>
            </w:r>
            <w:r>
              <w:rPr>
                <w:rFonts w:hint="eastAsia" w:ascii="仿宋" w:hAnsi="仿宋" w:eastAsia="仿宋" w:cs="仿宋"/>
                <w:snapToGrid w:val="0"/>
                <w:color w:val="auto"/>
                <w:kern w:val="2"/>
                <w:sz w:val="21"/>
                <w:szCs w:val="21"/>
                <w:lang w:val="en-US" w:eastAsia="zh-CN" w:bidi="ar-SA"/>
              </w:rPr>
              <w:t>15</w:t>
            </w:r>
            <w:r>
              <w:rPr>
                <w:rFonts w:hint="eastAsia" w:ascii="仿宋" w:hAnsi="仿宋" w:eastAsia="仿宋" w:cs="仿宋"/>
                <w:snapToGrid w:val="0"/>
                <w:color w:val="auto"/>
                <w:kern w:val="2"/>
                <w:sz w:val="21"/>
                <w:szCs w:val="21"/>
                <w:lang w:val="zh-CN" w:eastAsia="zh-CN" w:bidi="ar-SA"/>
              </w:rPr>
              <w:t>个工作日内甲方向乙方支付合同</w:t>
            </w:r>
            <w:r>
              <w:rPr>
                <w:rFonts w:hint="eastAsia" w:ascii="仿宋" w:hAnsi="仿宋" w:eastAsia="仿宋" w:cs="仿宋"/>
                <w:snapToGrid w:val="0"/>
                <w:color w:val="auto"/>
                <w:kern w:val="2"/>
                <w:sz w:val="21"/>
                <w:szCs w:val="21"/>
                <w:lang w:val="en-US" w:eastAsia="zh-CN" w:bidi="ar-SA"/>
              </w:rPr>
              <w:t>签约</w:t>
            </w:r>
            <w:r>
              <w:rPr>
                <w:rFonts w:hint="eastAsia" w:ascii="仿宋" w:hAnsi="仿宋" w:eastAsia="仿宋" w:cs="仿宋"/>
                <w:snapToGrid w:val="0"/>
                <w:color w:val="auto"/>
                <w:kern w:val="2"/>
                <w:sz w:val="21"/>
                <w:szCs w:val="21"/>
                <w:lang w:val="zh-CN" w:eastAsia="zh-CN" w:bidi="ar-SA"/>
              </w:rPr>
              <w:t>价的</w:t>
            </w:r>
            <w:r>
              <w:rPr>
                <w:rFonts w:hint="eastAsia" w:ascii="仿宋" w:hAnsi="仿宋" w:eastAsia="仿宋" w:cs="仿宋"/>
                <w:snapToGrid w:val="0"/>
                <w:color w:val="auto"/>
                <w:kern w:val="2"/>
                <w:sz w:val="21"/>
                <w:szCs w:val="21"/>
                <w:lang w:val="en-US" w:eastAsia="zh-CN" w:bidi="ar-SA"/>
              </w:rPr>
              <w:t>4</w:t>
            </w:r>
            <w:r>
              <w:rPr>
                <w:rFonts w:hint="eastAsia" w:ascii="仿宋" w:hAnsi="仿宋" w:eastAsia="仿宋" w:cs="仿宋"/>
                <w:snapToGrid w:val="0"/>
                <w:color w:val="auto"/>
                <w:kern w:val="2"/>
                <w:sz w:val="21"/>
                <w:szCs w:val="21"/>
                <w:lang w:val="zh-CN" w:eastAsia="zh-CN" w:bidi="ar-SA"/>
              </w:rPr>
              <w:t>0%作为预付款；</w:t>
            </w:r>
            <w:r>
              <w:rPr>
                <w:rFonts w:hint="eastAsia" w:ascii="仿宋" w:hAnsi="仿宋" w:eastAsia="仿宋" w:cs="仿宋"/>
                <w:snapToGrid w:val="0"/>
                <w:color w:val="auto"/>
                <w:kern w:val="2"/>
                <w:sz w:val="21"/>
                <w:szCs w:val="21"/>
                <w:lang w:val="en-US" w:eastAsia="zh-CN" w:bidi="ar-SA"/>
              </w:rPr>
              <w:t>服务期</w:t>
            </w:r>
            <w:r>
              <w:rPr>
                <w:rFonts w:hint="eastAsia" w:ascii="仿宋" w:hAnsi="仿宋" w:eastAsia="仿宋" w:cs="仿宋"/>
                <w:snapToGrid w:val="0"/>
                <w:color w:val="auto"/>
                <w:kern w:val="2"/>
                <w:sz w:val="21"/>
                <w:szCs w:val="21"/>
                <w:lang w:val="zh-CN" w:eastAsia="zh-CN" w:bidi="ar-SA"/>
              </w:rPr>
              <w:t>结束、</w:t>
            </w:r>
            <w:r>
              <w:rPr>
                <w:rFonts w:hint="eastAsia" w:ascii="仿宋" w:hAnsi="仿宋" w:eastAsia="仿宋" w:cs="仿宋"/>
                <w:snapToGrid w:val="0"/>
                <w:color w:val="auto"/>
                <w:kern w:val="2"/>
                <w:sz w:val="21"/>
                <w:szCs w:val="21"/>
                <w:lang w:val="en-US" w:eastAsia="zh-CN" w:bidi="ar-SA"/>
              </w:rPr>
              <w:t>履约验收通过后，根据参加活动实际人数支付至结算价的100%。</w:t>
            </w:r>
            <w:r>
              <w:rPr>
                <w:rFonts w:hint="eastAsia" w:ascii="仿宋" w:hAnsi="仿宋" w:eastAsia="仿宋" w:cs="仿宋"/>
                <w:snapToGrid w:val="0"/>
                <w:color w:val="auto"/>
                <w:kern w:val="2"/>
                <w:sz w:val="21"/>
                <w:szCs w:val="21"/>
                <w:lang w:val="zh-CN" w:eastAsia="zh-CN" w:bidi="ar-SA"/>
              </w:rPr>
              <w:t>付款前乙方需开具增值税发票</w:t>
            </w: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7.1</w:t>
            </w:r>
          </w:p>
        </w:tc>
        <w:tc>
          <w:tcPr>
            <w:tcW w:w="4464" w:type="pct"/>
            <w:vAlign w:val="center"/>
          </w:tcPr>
          <w:p w14:paraId="4AA1D5F3">
            <w:pPr>
              <w:spacing w:line="360" w:lineRule="auto"/>
              <w:rPr>
                <w:rFonts w:hint="default" w:ascii="宋体" w:hAnsi="宋体" w:eastAsia="仿宋" w:cs="宋体"/>
                <w:color w:val="auto"/>
                <w:sz w:val="21"/>
                <w:szCs w:val="21"/>
                <w:highlight w:val="none"/>
                <w:lang w:val="en-US" w:eastAsia="zh-CN"/>
              </w:rPr>
            </w:pPr>
            <w:r>
              <w:rPr>
                <w:rFonts w:hint="eastAsia" w:ascii="仿宋" w:hAnsi="仿宋" w:eastAsia="仿宋" w:cs="仿宋"/>
                <w:color w:val="auto"/>
                <w:sz w:val="21"/>
                <w:szCs w:val="21"/>
              </w:rPr>
              <w:t>履行期限：</w:t>
            </w:r>
            <w:r>
              <w:rPr>
                <w:rFonts w:hint="eastAsia" w:ascii="仿宋" w:hAnsi="仿宋" w:eastAsia="仿宋" w:cs="仿宋"/>
                <w:b/>
                <w:color w:val="auto"/>
                <w:sz w:val="21"/>
                <w:szCs w:val="21"/>
                <w:u w:val="single"/>
              </w:rPr>
              <w:t>合同生效之日起至202</w:t>
            </w:r>
            <w:r>
              <w:rPr>
                <w:rFonts w:hint="eastAsia" w:ascii="仿宋" w:hAnsi="仿宋" w:eastAsia="仿宋" w:cs="仿宋"/>
                <w:b/>
                <w:color w:val="auto"/>
                <w:sz w:val="21"/>
                <w:szCs w:val="21"/>
                <w:u w:val="single"/>
                <w:lang w:val="en-US" w:eastAsia="zh-CN"/>
              </w:rPr>
              <w:t>5</w:t>
            </w:r>
            <w:r>
              <w:rPr>
                <w:rFonts w:hint="eastAsia" w:ascii="仿宋" w:hAnsi="仿宋" w:eastAsia="仿宋" w:cs="仿宋"/>
                <w:b/>
                <w:color w:val="auto"/>
                <w:sz w:val="21"/>
                <w:szCs w:val="21"/>
                <w:u w:val="single"/>
              </w:rPr>
              <w:t>年12月31日。</w:t>
            </w:r>
            <w:r>
              <w:rPr>
                <w:rFonts w:hint="eastAsia" w:ascii="仿宋" w:hAnsi="仿宋" w:eastAsia="仿宋" w:cs="仿宋"/>
                <w:b/>
                <w:color w:val="auto"/>
                <w:sz w:val="21"/>
                <w:szCs w:val="21"/>
                <w:u w:val="single"/>
                <w:lang w:val="en-US" w:eastAsia="zh-CN"/>
              </w:rPr>
              <w:t>其中合同生效之日起三个月内，需完成协议约定全部内容的90%。</w:t>
            </w: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7.2</w:t>
            </w:r>
          </w:p>
        </w:tc>
        <w:tc>
          <w:tcPr>
            <w:tcW w:w="4464" w:type="pct"/>
            <w:vAlign w:val="center"/>
          </w:tcPr>
          <w:p w14:paraId="601A43BA">
            <w:pPr>
              <w:spacing w:line="360" w:lineRule="auto"/>
              <w:rPr>
                <w:rFonts w:ascii="宋体" w:hAnsi="宋体" w:cs="宋体"/>
                <w:color w:val="auto"/>
                <w:sz w:val="21"/>
                <w:szCs w:val="21"/>
                <w:highlight w:val="none"/>
              </w:rPr>
            </w:pPr>
            <w:r>
              <w:rPr>
                <w:rFonts w:hint="eastAsia" w:ascii="仿宋" w:hAnsi="仿宋" w:eastAsia="仿宋" w:cs="仿宋"/>
                <w:color w:val="auto"/>
                <w:sz w:val="21"/>
                <w:szCs w:val="21"/>
              </w:rPr>
              <w:t>履行地点：</w:t>
            </w:r>
            <w:r>
              <w:rPr>
                <w:rFonts w:hint="eastAsia" w:ascii="仿宋" w:hAnsi="仿宋" w:eastAsia="仿宋" w:cs="仿宋"/>
                <w:b/>
                <w:color w:val="auto"/>
                <w:sz w:val="21"/>
                <w:szCs w:val="21"/>
                <w:u w:val="single"/>
              </w:rPr>
              <w:t>杭州市</w:t>
            </w: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7.3</w:t>
            </w:r>
          </w:p>
        </w:tc>
        <w:tc>
          <w:tcPr>
            <w:tcW w:w="4464" w:type="pct"/>
            <w:vAlign w:val="center"/>
          </w:tcPr>
          <w:p w14:paraId="31D42319">
            <w:pPr>
              <w:spacing w:line="360" w:lineRule="auto"/>
              <w:rPr>
                <w:rFonts w:ascii="宋体" w:hAnsi="宋体" w:cs="宋体"/>
                <w:color w:val="auto"/>
                <w:sz w:val="21"/>
                <w:szCs w:val="21"/>
                <w:highlight w:val="none"/>
              </w:rPr>
            </w:pPr>
            <w:r>
              <w:rPr>
                <w:rFonts w:hint="eastAsia" w:ascii="仿宋" w:hAnsi="仿宋" w:eastAsia="仿宋" w:cs="仿宋"/>
                <w:color w:val="auto"/>
                <w:sz w:val="21"/>
                <w:szCs w:val="21"/>
              </w:rPr>
              <w:t>履行方式：</w:t>
            </w:r>
            <w:r>
              <w:rPr>
                <w:rFonts w:hint="eastAsia" w:ascii="仿宋" w:hAnsi="仿宋" w:eastAsia="仿宋" w:cs="仿宋"/>
                <w:b/>
                <w:color w:val="auto"/>
                <w:sz w:val="21"/>
                <w:szCs w:val="21"/>
                <w:u w:val="single"/>
              </w:rPr>
              <w:t>按要求招标人要求及投标承诺。</w:t>
            </w: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8.7</w:t>
            </w:r>
          </w:p>
        </w:tc>
        <w:tc>
          <w:tcPr>
            <w:tcW w:w="4464" w:type="pct"/>
            <w:vAlign w:val="center"/>
          </w:tcPr>
          <w:p w14:paraId="5B41A289">
            <w:pPr>
              <w:spacing w:line="360" w:lineRule="auto"/>
              <w:rPr>
                <w:rFonts w:hint="eastAsia" w:ascii="宋体" w:hAnsi="宋体" w:eastAsia="仿宋" w:cs="宋体"/>
                <w:color w:val="auto"/>
                <w:sz w:val="21"/>
                <w:szCs w:val="21"/>
                <w:highlight w:val="none"/>
                <w:lang w:val="en-US" w:eastAsia="zh-CN"/>
              </w:rPr>
            </w:pPr>
            <w:r>
              <w:rPr>
                <w:rFonts w:hint="eastAsia" w:ascii="仿宋" w:hAnsi="仿宋" w:eastAsia="仿宋" w:cs="仿宋"/>
                <w:color w:val="auto"/>
                <w:sz w:val="21"/>
                <w:szCs w:val="21"/>
              </w:rPr>
              <w:t>违约责任特殊约定：</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w:t>
            </w:r>
            <w:r>
              <w:rPr>
                <w:rFonts w:hint="eastAsia" w:ascii="仿宋" w:hAnsi="仿宋" w:eastAsia="仿宋" w:cs="仿宋"/>
                <w:color w:val="auto"/>
                <w:sz w:val="21"/>
                <w:szCs w:val="21"/>
                <w:u w:val="single"/>
                <w:lang w:val="en-US" w:eastAsia="zh-CN"/>
              </w:rPr>
              <w:t xml:space="preserve"> </w:t>
            </w: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9.2</w:t>
            </w:r>
          </w:p>
        </w:tc>
        <w:tc>
          <w:tcPr>
            <w:tcW w:w="4464" w:type="pct"/>
            <w:vAlign w:val="center"/>
          </w:tcPr>
          <w:p w14:paraId="70E5ED3A">
            <w:pPr>
              <w:spacing w:line="360" w:lineRule="auto"/>
              <w:rPr>
                <w:rFonts w:ascii="宋体" w:hAnsi="宋体" w:cs="宋体"/>
                <w:color w:val="auto"/>
                <w:sz w:val="21"/>
                <w:szCs w:val="21"/>
                <w:highlight w:val="none"/>
              </w:rPr>
            </w:pPr>
            <w:r>
              <w:rPr>
                <w:rFonts w:hint="eastAsia" w:ascii="仿宋" w:hAnsi="仿宋" w:eastAsia="仿宋" w:cs="仿宋"/>
                <w:b/>
                <w:color w:val="auto"/>
                <w:sz w:val="21"/>
                <w:szCs w:val="21"/>
                <w:u w:val="single"/>
              </w:rPr>
              <w:t>甲方所在地人民法院。</w:t>
            </w: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2.3.2</w:t>
            </w:r>
          </w:p>
        </w:tc>
        <w:tc>
          <w:tcPr>
            <w:tcW w:w="4464" w:type="pct"/>
            <w:vAlign w:val="center"/>
          </w:tcPr>
          <w:p w14:paraId="7261FC83">
            <w:pPr>
              <w:spacing w:line="360" w:lineRule="auto"/>
              <w:rPr>
                <w:rFonts w:ascii="宋体" w:hAnsi="宋体" w:cs="宋体"/>
                <w:color w:val="auto"/>
                <w:sz w:val="21"/>
                <w:szCs w:val="21"/>
                <w:highlight w:val="none"/>
              </w:rPr>
            </w:pPr>
            <w:r>
              <w:rPr>
                <w:rFonts w:hint="eastAsia" w:ascii="仿宋" w:hAnsi="仿宋" w:eastAsia="仿宋" w:cs="仿宋"/>
                <w:color w:val="auto"/>
                <w:sz w:val="21"/>
                <w:szCs w:val="21"/>
              </w:rPr>
              <w:t>合同涉及技术成果的归属和收益的分成办法：</w:t>
            </w:r>
            <w:r>
              <w:rPr>
                <w:rFonts w:hint="eastAsia" w:ascii="仿宋" w:hAnsi="仿宋" w:eastAsia="仿宋" w:cs="仿宋"/>
                <w:b/>
                <w:color w:val="auto"/>
                <w:sz w:val="21"/>
                <w:szCs w:val="21"/>
                <w:u w:val="single"/>
              </w:rPr>
              <w:t>如有根据实际双方协商</w:t>
            </w:r>
            <w:r>
              <w:rPr>
                <w:rFonts w:hint="eastAsia" w:ascii="仿宋" w:hAnsi="仿宋" w:eastAsia="仿宋" w:cs="仿宋"/>
                <w:b/>
                <w:color w:val="auto"/>
                <w:sz w:val="21"/>
                <w:szCs w:val="21"/>
              </w:rPr>
              <w:t>。</w:t>
            </w: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jc w:val="center"/>
              <w:rPr>
                <w:rFonts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2.5</w:t>
            </w:r>
          </w:p>
        </w:tc>
        <w:tc>
          <w:tcPr>
            <w:tcW w:w="4464" w:type="pct"/>
            <w:vAlign w:val="center"/>
          </w:tcPr>
          <w:p w14:paraId="6490AB55">
            <w:pPr>
              <w:spacing w:line="360" w:lineRule="auto"/>
              <w:ind w:left="-420" w:leftChars="-200" w:right="-420" w:rightChars="-200" w:firstLine="422" w:firstLineChars="200"/>
              <w:rPr>
                <w:rFonts w:ascii="宋体" w:hAnsi="宋体" w:cs="宋体"/>
                <w:color w:val="auto"/>
                <w:sz w:val="21"/>
                <w:szCs w:val="21"/>
                <w:highlight w:val="none"/>
              </w:rPr>
            </w:pPr>
            <w:r>
              <w:rPr>
                <w:rFonts w:hint="eastAsia" w:ascii="仿宋" w:hAnsi="仿宋" w:eastAsia="仿宋" w:cs="仿宋"/>
                <w:b/>
                <w:bCs/>
                <w:color w:val="auto"/>
                <w:sz w:val="21"/>
                <w:szCs w:val="21"/>
              </w:rPr>
              <w:t>见1.</w:t>
            </w:r>
            <w:r>
              <w:rPr>
                <w:rFonts w:hint="eastAsia" w:ascii="仿宋" w:hAnsi="仿宋" w:eastAsia="仿宋" w:cs="仿宋"/>
                <w:b/>
                <w:bCs/>
                <w:color w:val="auto"/>
                <w:sz w:val="21"/>
                <w:szCs w:val="21"/>
                <w:lang w:val="en-US" w:eastAsia="zh-CN"/>
              </w:rPr>
              <w:t>3</w:t>
            </w:r>
            <w:r>
              <w:rPr>
                <w:rFonts w:hint="eastAsia" w:ascii="仿宋" w:hAnsi="仿宋" w:eastAsia="仿宋" w:cs="仿宋"/>
                <w:b/>
                <w:bCs/>
                <w:color w:val="auto"/>
                <w:sz w:val="21"/>
                <w:szCs w:val="21"/>
              </w:rPr>
              <w:t>相应条款。</w:t>
            </w: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jc w:val="center"/>
              <w:rPr>
                <w:rFonts w:ascii="宋体" w:hAnsi="宋体" w:cs="宋体"/>
                <w:color w:val="auto"/>
                <w:sz w:val="21"/>
                <w:szCs w:val="21"/>
                <w:highlight w:val="none"/>
              </w:rPr>
            </w:pPr>
            <w:r>
              <w:rPr>
                <w:rFonts w:hint="eastAsia" w:ascii="仿宋" w:hAnsi="仿宋" w:eastAsia="仿宋" w:cs="仿宋"/>
                <w:color w:val="auto"/>
                <w:sz w:val="21"/>
                <w:szCs w:val="21"/>
              </w:rPr>
              <w:t>2.11.3</w:t>
            </w:r>
          </w:p>
        </w:tc>
        <w:tc>
          <w:tcPr>
            <w:tcW w:w="4464" w:type="pct"/>
            <w:vAlign w:val="center"/>
          </w:tcPr>
          <w:p w14:paraId="3A43FF54">
            <w:pPr>
              <w:spacing w:line="360" w:lineRule="auto"/>
              <w:rPr>
                <w:rFonts w:ascii="宋体" w:hAnsi="宋体" w:cs="宋体"/>
                <w:color w:val="auto"/>
                <w:sz w:val="21"/>
                <w:szCs w:val="21"/>
                <w:highlight w:val="none"/>
              </w:rPr>
            </w:pPr>
            <w:r>
              <w:rPr>
                <w:rFonts w:hint="eastAsia" w:ascii="仿宋" w:hAnsi="仿宋" w:eastAsia="仿宋" w:cs="仿宋"/>
                <w:color w:val="auto"/>
                <w:sz w:val="21"/>
                <w:szCs w:val="21"/>
              </w:rPr>
              <w:t>因不可抗力致使合同有变更必要的，双方当事人应在</w:t>
            </w:r>
            <w:r>
              <w:rPr>
                <w:rFonts w:hint="eastAsia" w:ascii="仿宋" w:hAnsi="仿宋" w:eastAsia="仿宋" w:cs="仿宋"/>
                <w:b/>
                <w:color w:val="auto"/>
                <w:sz w:val="21"/>
                <w:szCs w:val="21"/>
                <w:u w:val="single"/>
              </w:rPr>
              <w:t>3个工作日</w:t>
            </w:r>
            <w:r>
              <w:rPr>
                <w:rFonts w:hint="eastAsia" w:ascii="仿宋" w:hAnsi="仿宋" w:eastAsia="仿宋" w:cs="仿宋"/>
                <w:color w:val="auto"/>
                <w:sz w:val="21"/>
                <w:szCs w:val="21"/>
              </w:rPr>
              <w:t>内以书面形式变更合同；</w:t>
            </w: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top"/>
          </w:tcPr>
          <w:p w14:paraId="793FD5F6">
            <w:pPr>
              <w:spacing w:line="360" w:lineRule="auto"/>
              <w:jc w:val="center"/>
              <w:rPr>
                <w:rFonts w:ascii="宋体" w:hAnsi="宋体" w:cs="宋体"/>
                <w:color w:val="auto"/>
                <w:sz w:val="21"/>
                <w:szCs w:val="21"/>
                <w:highlight w:val="none"/>
              </w:rPr>
            </w:pPr>
            <w:r>
              <w:rPr>
                <w:rFonts w:hint="eastAsia" w:ascii="仿宋" w:hAnsi="仿宋" w:eastAsia="仿宋" w:cs="仿宋"/>
                <w:color w:val="auto"/>
                <w:sz w:val="21"/>
                <w:szCs w:val="21"/>
              </w:rPr>
              <w:t>2.11.4</w:t>
            </w:r>
          </w:p>
        </w:tc>
        <w:tc>
          <w:tcPr>
            <w:tcW w:w="4464" w:type="pct"/>
            <w:vAlign w:val="top"/>
          </w:tcPr>
          <w:p w14:paraId="24FED585">
            <w:pPr>
              <w:spacing w:line="360" w:lineRule="auto"/>
              <w:rPr>
                <w:rFonts w:ascii="宋体" w:hAnsi="宋体" w:cs="宋体"/>
                <w:color w:val="auto"/>
                <w:sz w:val="21"/>
                <w:szCs w:val="21"/>
                <w:highlight w:val="none"/>
              </w:rPr>
            </w:pPr>
            <w:r>
              <w:rPr>
                <w:rFonts w:hint="eastAsia" w:ascii="仿宋" w:hAnsi="仿宋" w:eastAsia="仿宋" w:cs="仿宋"/>
                <w:color w:val="auto"/>
                <w:sz w:val="21"/>
                <w:szCs w:val="21"/>
              </w:rPr>
              <w:t>受不可抗力影响的一方在不可抗力发生后，应在</w:t>
            </w:r>
            <w:r>
              <w:rPr>
                <w:rFonts w:hint="eastAsia" w:ascii="仿宋" w:hAnsi="仿宋" w:eastAsia="仿宋" w:cs="仿宋"/>
                <w:b/>
                <w:color w:val="auto"/>
                <w:sz w:val="21"/>
                <w:szCs w:val="21"/>
                <w:u w:val="single"/>
              </w:rPr>
              <w:t>1个工作日</w:t>
            </w:r>
            <w:r>
              <w:rPr>
                <w:rFonts w:hint="eastAsia" w:ascii="仿宋" w:hAnsi="仿宋" w:eastAsia="仿宋" w:cs="仿宋"/>
                <w:color w:val="auto"/>
                <w:sz w:val="21"/>
                <w:szCs w:val="21"/>
              </w:rPr>
              <w:t>内以书面形式通知对方当事人，并在</w:t>
            </w:r>
            <w:r>
              <w:rPr>
                <w:rFonts w:hint="eastAsia" w:ascii="仿宋" w:hAnsi="仿宋" w:eastAsia="仿宋" w:cs="仿宋"/>
                <w:b/>
                <w:color w:val="auto"/>
                <w:sz w:val="21"/>
                <w:szCs w:val="21"/>
                <w:u w:val="single"/>
              </w:rPr>
              <w:t>3个工作日</w:t>
            </w:r>
            <w:r>
              <w:rPr>
                <w:rFonts w:hint="eastAsia" w:ascii="仿宋" w:hAnsi="仿宋" w:eastAsia="仿宋" w:cs="仿宋"/>
                <w:color w:val="auto"/>
                <w:sz w:val="21"/>
                <w:szCs w:val="21"/>
              </w:rPr>
              <w:t>内，将有关部门出具的证明文件送达对方当事人。</w:t>
            </w: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jc w:val="center"/>
              <w:rPr>
                <w:rFonts w:ascii="宋体" w:hAnsi="宋体" w:cs="宋体"/>
                <w:color w:val="auto"/>
                <w:sz w:val="21"/>
                <w:szCs w:val="21"/>
                <w:highlight w:val="none"/>
              </w:rPr>
            </w:pPr>
            <w:r>
              <w:rPr>
                <w:rFonts w:hint="eastAsia" w:ascii="仿宋" w:hAnsi="仿宋" w:eastAsia="仿宋" w:cs="仿宋"/>
                <w:color w:val="auto"/>
                <w:sz w:val="21"/>
                <w:szCs w:val="21"/>
              </w:rPr>
              <w:t>2.15.1</w:t>
            </w:r>
          </w:p>
        </w:tc>
        <w:tc>
          <w:tcPr>
            <w:tcW w:w="4464" w:type="pct"/>
            <w:vAlign w:val="center"/>
          </w:tcPr>
          <w:p w14:paraId="475F6F49">
            <w:pPr>
              <w:spacing w:line="360" w:lineRule="auto"/>
              <w:rPr>
                <w:rFonts w:ascii="宋体" w:hAnsi="宋体" w:cs="宋体"/>
                <w:color w:val="auto"/>
                <w:sz w:val="21"/>
                <w:szCs w:val="21"/>
                <w:highlight w:val="none"/>
              </w:rPr>
            </w:pPr>
            <w:r>
              <w:rPr>
                <w:rFonts w:hint="eastAsia" w:ascii="仿宋" w:hAnsi="仿宋" w:eastAsia="仿宋" w:cs="仿宋"/>
                <w:b/>
                <w:bCs/>
                <w:color w:val="auto"/>
                <w:sz w:val="21"/>
                <w:szCs w:val="21"/>
              </w:rPr>
              <w:t>按投标承诺的时间完成,特殊情况按院方要求</w:t>
            </w:r>
            <w:r>
              <w:rPr>
                <w:rFonts w:hint="eastAsia" w:ascii="仿宋" w:hAnsi="仿宋" w:eastAsia="仿宋" w:cs="仿宋"/>
                <w:color w:val="auto"/>
                <w:sz w:val="21"/>
                <w:szCs w:val="21"/>
              </w:rPr>
              <w:t>。</w:t>
            </w: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jc w:val="center"/>
              <w:rPr>
                <w:rFonts w:ascii="宋体" w:hAnsi="宋体" w:cs="宋体"/>
                <w:color w:val="auto"/>
                <w:sz w:val="21"/>
                <w:szCs w:val="21"/>
                <w:highlight w:val="none"/>
              </w:rPr>
            </w:pPr>
            <w:r>
              <w:rPr>
                <w:rFonts w:hint="eastAsia" w:ascii="仿宋" w:hAnsi="仿宋" w:eastAsia="仿宋" w:cs="仿宋"/>
                <w:color w:val="auto"/>
                <w:sz w:val="21"/>
                <w:szCs w:val="21"/>
              </w:rPr>
              <w:t>2.15.3</w:t>
            </w:r>
          </w:p>
        </w:tc>
        <w:tc>
          <w:tcPr>
            <w:tcW w:w="4464" w:type="pct"/>
            <w:vAlign w:val="center"/>
          </w:tcPr>
          <w:p w14:paraId="634980CB">
            <w:pPr>
              <w:spacing w:line="360" w:lineRule="auto"/>
              <w:rPr>
                <w:rFonts w:ascii="宋体" w:hAnsi="宋体" w:cs="宋体"/>
                <w:color w:val="auto"/>
                <w:sz w:val="21"/>
                <w:szCs w:val="21"/>
                <w:highlight w:val="none"/>
              </w:rPr>
            </w:pPr>
            <w:r>
              <w:rPr>
                <w:rFonts w:hint="eastAsia" w:ascii="仿宋" w:hAnsi="仿宋" w:eastAsia="仿宋" w:cs="仿宋"/>
                <w:color w:val="auto"/>
                <w:sz w:val="21"/>
                <w:szCs w:val="21"/>
              </w:rPr>
              <w:t>检验和验收标准、程序等具体内容以及前述验收书的效力详见</w:t>
            </w:r>
            <w:r>
              <w:rPr>
                <w:rFonts w:hint="eastAsia" w:ascii="仿宋" w:hAnsi="仿宋" w:eastAsia="仿宋" w:cs="仿宋"/>
                <w:b/>
                <w:bCs/>
                <w:color w:val="auto"/>
                <w:sz w:val="21"/>
                <w:szCs w:val="21"/>
                <w:u w:val="single"/>
              </w:rPr>
              <w:t>本项目行业标准。</w:t>
            </w: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top"/>
          </w:tcPr>
          <w:p w14:paraId="088498D9">
            <w:pPr>
              <w:spacing w:line="360" w:lineRule="auto"/>
              <w:jc w:val="center"/>
              <w:rPr>
                <w:rFonts w:ascii="宋体" w:hAnsi="宋体" w:cs="宋体"/>
                <w:color w:val="auto"/>
                <w:sz w:val="21"/>
                <w:szCs w:val="21"/>
                <w:highlight w:val="none"/>
              </w:rPr>
            </w:pPr>
            <w:r>
              <w:rPr>
                <w:rFonts w:hint="eastAsia" w:ascii="仿宋" w:hAnsi="仿宋" w:eastAsia="仿宋" w:cs="仿宋"/>
                <w:color w:val="auto"/>
                <w:sz w:val="21"/>
                <w:szCs w:val="21"/>
              </w:rPr>
              <w:t>2.19</w:t>
            </w:r>
          </w:p>
        </w:tc>
        <w:tc>
          <w:tcPr>
            <w:tcW w:w="4464" w:type="pct"/>
            <w:vAlign w:val="top"/>
          </w:tcPr>
          <w:p w14:paraId="7D8A34B0">
            <w:pPr>
              <w:spacing w:line="360" w:lineRule="auto"/>
              <w:rPr>
                <w:rFonts w:ascii="宋体" w:hAnsi="宋体" w:cs="宋体"/>
                <w:color w:val="auto"/>
                <w:sz w:val="21"/>
                <w:szCs w:val="21"/>
                <w:highlight w:val="none"/>
              </w:rPr>
            </w:pPr>
            <w:r>
              <w:rPr>
                <w:rFonts w:hint="eastAsia" w:ascii="仿宋" w:hAnsi="仿宋" w:eastAsia="仿宋" w:cs="仿宋"/>
                <w:color w:val="auto"/>
                <w:sz w:val="21"/>
                <w:szCs w:val="21"/>
              </w:rPr>
              <w:t>同份数：</w:t>
            </w:r>
            <w:r>
              <w:rPr>
                <w:rFonts w:hint="eastAsia" w:ascii="仿宋" w:hAnsi="仿宋" w:eastAsia="仿宋" w:cs="仿宋"/>
                <w:b/>
                <w:color w:val="auto"/>
                <w:sz w:val="21"/>
                <w:szCs w:val="21"/>
                <w:u w:val="single"/>
              </w:rPr>
              <w:t>一式六份，双方各执三份。</w:t>
            </w:r>
          </w:p>
        </w:tc>
      </w:tr>
    </w:tbl>
    <w:p w14:paraId="1C1485BB">
      <w:pPr>
        <w:spacing w:line="360" w:lineRule="auto"/>
        <w:ind w:left="-420" w:leftChars="-200" w:right="-420" w:rightChars="-200" w:firstLine="420" w:firstLineChars="200"/>
        <w:rPr>
          <w:rFonts w:ascii="宋体" w:hAnsi="宋体" w:cs="宋体"/>
          <w:color w:val="auto"/>
          <w:sz w:val="21"/>
          <w:szCs w:val="21"/>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eastAsia="宋体" w:cs="宋体"/>
          <w:color w:val="auto"/>
          <w:sz w:val="24"/>
          <w:highlight w:val="none"/>
          <w:lang w:eastAsia="zh-CN"/>
        </w:rPr>
        <w:t>杭州市拱墅区人民政府湖墅街道办事处</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杭州兴恒项目管理有限公司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杭州市拱墅区湖墅街道2025年度企退人员自管小组文体活动服务采购项目</w:t>
      </w:r>
      <w:r>
        <w:rPr>
          <w:rFonts w:hint="eastAsia" w:ascii="宋体" w:hAnsi="宋体" w:cs="宋体"/>
          <w:color w:val="auto"/>
          <w:sz w:val="24"/>
          <w:highlight w:val="none"/>
        </w:rPr>
        <w:t>）【招标编号：（采购编号）】政府采购活动，郑重承诺：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eastAsia="宋体" w:cs="宋体"/>
          <w:color w:val="auto"/>
          <w:sz w:val="24"/>
          <w:highlight w:val="none"/>
          <w:lang w:eastAsia="zh-CN"/>
        </w:rPr>
        <w:t>杭州市拱墅区人民政府湖墅街道办事处</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杭州兴恒项目管理有限公司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杭州市拱墅区湖墅街道2025年度企退人员自管小组文体活动服务采购项目</w:t>
      </w:r>
      <w:r>
        <w:rPr>
          <w:rFonts w:hint="eastAsia" w:ascii="宋体" w:hAnsi="宋体" w:cs="宋体"/>
          <w:color w:val="auto"/>
          <w:sz w:val="24"/>
          <w:highlight w:val="none"/>
        </w:rPr>
        <w:t>）【招标编号：（采购编号）】招标的有关活动，并对此项目进行投标。为此：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keepNext w:val="0"/>
        <w:keepLines w:val="0"/>
        <w:pageBreakBefore w:val="0"/>
        <w:widowControl w:val="0"/>
        <w:numPr>
          <w:ilvl w:val="0"/>
          <w:numId w:val="0"/>
        </w:numPr>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CD0FE86">
      <w:pPr>
        <w:snapToGrid w:val="0"/>
        <w:spacing w:line="360" w:lineRule="auto"/>
        <w:ind w:left="210" w:leftChars="100" w:firstLine="480" w:firstLineChars="200"/>
        <w:rPr>
          <w:rFonts w:hint="eastAsia" w:ascii="宋体" w:hAnsi="宋体" w:eastAsia="宋体" w:cs="宋体"/>
          <w:b/>
          <w:color w:val="auto"/>
          <w:sz w:val="24"/>
          <w:szCs w:val="24"/>
          <w:u w:val="singl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kern w:val="0"/>
          <w:sz w:val="24"/>
          <w:szCs w:val="24"/>
          <w:u w:val="single"/>
        </w:rPr>
        <w:t>中标供应商</w:t>
      </w:r>
      <w:r>
        <w:rPr>
          <w:rFonts w:hint="eastAsia" w:ascii="宋体" w:hAnsi="宋体" w:eastAsia="宋体" w:cs="宋体"/>
          <w:b/>
          <w:color w:val="auto"/>
          <w:sz w:val="24"/>
          <w:szCs w:val="24"/>
          <w:u w:val="single"/>
        </w:rPr>
        <w:t>拒绝与采购人签订合同的</w:t>
      </w:r>
      <w:r>
        <w:rPr>
          <w:rFonts w:hint="eastAsia" w:ascii="宋体" w:hAnsi="宋体" w:eastAsia="宋体" w:cs="宋体"/>
          <w:b/>
          <w:color w:val="auto"/>
          <w:kern w:val="0"/>
          <w:sz w:val="24"/>
          <w:szCs w:val="24"/>
          <w:u w:val="single"/>
        </w:rPr>
        <w:t>，</w:t>
      </w:r>
      <w:r>
        <w:rPr>
          <w:rFonts w:hint="eastAsia" w:ascii="宋体" w:hAnsi="宋体" w:eastAsia="宋体" w:cs="宋体"/>
          <w:b/>
          <w:color w:val="auto"/>
          <w:sz w:val="24"/>
          <w:szCs w:val="24"/>
          <w:u w:val="single"/>
        </w:rPr>
        <w:t>须按项目中标金额的【</w:t>
      </w:r>
      <w:r>
        <w:rPr>
          <w:rFonts w:hint="eastAsia" w:ascii="宋体" w:hAnsi="宋体" w:eastAsia="宋体" w:cs="宋体"/>
          <w:b/>
          <w:i/>
          <w:color w:val="auto"/>
          <w:sz w:val="24"/>
          <w:szCs w:val="24"/>
          <w:u w:val="single"/>
        </w:rPr>
        <w:t>2.5％</w:t>
      </w:r>
      <w:r>
        <w:rPr>
          <w:rFonts w:hint="eastAsia" w:ascii="宋体" w:hAnsi="宋体" w:eastAsia="宋体" w:cs="宋体"/>
          <w:b/>
          <w:color w:val="auto"/>
          <w:sz w:val="24"/>
          <w:szCs w:val="24"/>
          <w:u w:val="single"/>
        </w:rPr>
        <w:t>】向采购人、采购代理机构进行赔偿，赔偿用于支付采购代理服务费、专家评审费、其他采购组织费用以及因中标供应商拒绝签订合同给采购人、采购代理机构造成的其他损失，同时采购人或采购代理机构将视情对其失信行为上报至同级政府采购监督管理部门对其依法处理。</w:t>
      </w:r>
    </w:p>
    <w:p w14:paraId="584AF1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w:t>
      </w:r>
    </w:p>
    <w:p w14:paraId="4EAAA2F7">
      <w:pPr>
        <w:keepNext w:val="0"/>
        <w:keepLines w:val="0"/>
        <w:pageBreakBefore w:val="0"/>
        <w:widowControl w:val="0"/>
        <w:kinsoku/>
        <w:wordWrap/>
        <w:overflowPunct/>
        <w:topLinePunct w:val="0"/>
        <w:autoSpaceDE/>
        <w:autoSpaceDN/>
        <w:bidi w:val="0"/>
        <w:adjustRightInd w:val="0"/>
        <w:spacing w:line="36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eastAsia="宋体" w:cs="宋体"/>
          <w:color w:val="auto"/>
          <w:sz w:val="24"/>
          <w:highlight w:val="none"/>
          <w:lang w:eastAsia="zh-CN"/>
        </w:rPr>
        <w:t>杭州市拱墅区人民政府湖墅街道办事处</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杭州兴恒项目管理有限公司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杭州市拱墅区湖墅街道2025年度企退人员自管小组文体活动服务采购项目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eastAsia="宋体" w:cs="宋体"/>
          <w:color w:val="auto"/>
          <w:sz w:val="24"/>
          <w:highlight w:val="none"/>
          <w:lang w:eastAsia="zh-CN"/>
        </w:rPr>
        <w:t>杭州市拱墅区人民政府湖墅街道办事处</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杭州兴恒项目管理有限公司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杭州市拱墅区湖墅街道2025年度企退人员自管小组文体活动服务采购项目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3679E3C8">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3887EAFA">
      <w:pPr>
        <w:pStyle w:val="2"/>
        <w:rPr>
          <w:color w:val="auto"/>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1"/>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5"/>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eastAsia="宋体" w:cs="宋体"/>
          <w:color w:val="auto"/>
          <w:sz w:val="24"/>
          <w:highlight w:val="none"/>
          <w:lang w:eastAsia="zh-CN"/>
        </w:rPr>
        <w:t>杭州市拱墅区人民政府湖墅街道办事处</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杭州兴恒项目管理有限公司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72BA7BC">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2"/>
        <w:rPr>
          <w:rFonts w:hint="eastAsia"/>
          <w:color w:val="auto"/>
          <w:highlight w:val="none"/>
        </w:rPr>
      </w:pPr>
    </w:p>
    <w:p w14:paraId="4DA9F2CD">
      <w:pPr>
        <w:pStyle w:val="2"/>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174F1823">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eastAsia="宋体" w:cs="宋体"/>
          <w:color w:val="auto"/>
          <w:sz w:val="24"/>
          <w:highlight w:val="none"/>
          <w:lang w:eastAsia="zh-CN"/>
        </w:rPr>
        <w:t>杭州市拱墅区人民政府湖墅街道办事处</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杭州兴恒项目管理有限公司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杭州市拱墅区湖墅街道2025年度企退人员自管小组文体活动服务采购项目</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803"/>
        <w:gridCol w:w="792"/>
        <w:gridCol w:w="948"/>
        <w:gridCol w:w="1325"/>
        <w:gridCol w:w="1339"/>
        <w:gridCol w:w="1152"/>
      </w:tblGrid>
      <w:tr w14:paraId="6B1D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54" w:type="dxa"/>
            <w:vAlign w:val="center"/>
          </w:tcPr>
          <w:p w14:paraId="2562E277">
            <w:pPr>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803" w:type="dxa"/>
            <w:vAlign w:val="center"/>
          </w:tcPr>
          <w:p w14:paraId="5D96A481">
            <w:pPr>
              <w:jc w:val="center"/>
              <w:rPr>
                <w:rFonts w:hint="eastAsia" w:ascii="宋体" w:hAnsi="宋体" w:eastAsia="宋体" w:cs="宋体"/>
                <w:b/>
                <w:color w:val="auto"/>
                <w:szCs w:val="21"/>
              </w:rPr>
            </w:pPr>
            <w:r>
              <w:rPr>
                <w:rFonts w:hint="eastAsia" w:ascii="宋体" w:hAnsi="宋体" w:eastAsia="宋体" w:cs="宋体"/>
                <w:b/>
                <w:color w:val="auto"/>
                <w:szCs w:val="21"/>
              </w:rPr>
              <w:t>项目名称</w:t>
            </w:r>
          </w:p>
        </w:tc>
        <w:tc>
          <w:tcPr>
            <w:tcW w:w="792" w:type="dxa"/>
            <w:vAlign w:val="center"/>
          </w:tcPr>
          <w:p w14:paraId="7731C852">
            <w:pPr>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数量</w:t>
            </w:r>
          </w:p>
        </w:tc>
        <w:tc>
          <w:tcPr>
            <w:tcW w:w="948" w:type="dxa"/>
            <w:vAlign w:val="center"/>
          </w:tcPr>
          <w:p w14:paraId="4BDEDB5D">
            <w:pPr>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单位</w:t>
            </w:r>
          </w:p>
        </w:tc>
        <w:tc>
          <w:tcPr>
            <w:tcW w:w="1325" w:type="dxa"/>
            <w:vAlign w:val="center"/>
          </w:tcPr>
          <w:p w14:paraId="3F925614">
            <w:pPr>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投标报价（元/人.次）</w:t>
            </w:r>
          </w:p>
        </w:tc>
        <w:tc>
          <w:tcPr>
            <w:tcW w:w="1339" w:type="dxa"/>
            <w:vAlign w:val="center"/>
          </w:tcPr>
          <w:p w14:paraId="6BFD0831">
            <w:pPr>
              <w:spacing w:line="360" w:lineRule="auto"/>
              <w:ind w:left="-94" w:leftChars="-45"/>
              <w:jc w:val="center"/>
              <w:rPr>
                <w:rFonts w:hint="eastAsia" w:ascii="宋体" w:hAnsi="宋体" w:eastAsia="宋体" w:cs="宋体"/>
                <w:b/>
                <w:color w:val="auto"/>
                <w:szCs w:val="21"/>
              </w:rPr>
            </w:pPr>
            <w:r>
              <w:rPr>
                <w:rFonts w:hint="eastAsia" w:ascii="宋体" w:hAnsi="宋体" w:eastAsia="宋体" w:cs="宋体"/>
                <w:b/>
                <w:color w:val="auto"/>
                <w:szCs w:val="21"/>
              </w:rPr>
              <w:t>暂定数量</w:t>
            </w:r>
          </w:p>
          <w:p w14:paraId="65303237">
            <w:pPr>
              <w:spacing w:line="280" w:lineRule="exact"/>
              <w:jc w:val="center"/>
              <w:rPr>
                <w:rFonts w:hint="eastAsia" w:ascii="宋体" w:hAnsi="宋体" w:eastAsia="宋体" w:cs="宋体"/>
                <w:b/>
                <w:color w:val="auto"/>
                <w:szCs w:val="21"/>
              </w:rPr>
            </w:pPr>
            <w:r>
              <w:rPr>
                <w:rFonts w:hint="eastAsia" w:ascii="宋体" w:hAnsi="宋体" w:eastAsia="宋体" w:cs="宋体"/>
                <w:b/>
                <w:color w:val="auto"/>
                <w:szCs w:val="21"/>
              </w:rPr>
              <w:t>（人）</w:t>
            </w:r>
          </w:p>
        </w:tc>
        <w:tc>
          <w:tcPr>
            <w:tcW w:w="1152" w:type="dxa"/>
            <w:vAlign w:val="center"/>
          </w:tcPr>
          <w:p w14:paraId="05034FE9">
            <w:pPr>
              <w:spacing w:line="280" w:lineRule="exact"/>
              <w:jc w:val="center"/>
              <w:rPr>
                <w:rFonts w:hint="eastAsia" w:ascii="宋体" w:hAnsi="宋体" w:eastAsia="宋体" w:cs="宋体"/>
                <w:b/>
                <w:color w:val="auto"/>
                <w:szCs w:val="21"/>
                <w:lang w:eastAsia="zh-CN"/>
              </w:rPr>
            </w:pPr>
            <w:r>
              <w:rPr>
                <w:rFonts w:hint="eastAsia" w:ascii="宋体" w:hAnsi="宋体" w:cs="宋体"/>
                <w:b/>
                <w:color w:val="auto"/>
                <w:szCs w:val="21"/>
                <w:lang w:val="en-US" w:eastAsia="zh-CN"/>
              </w:rPr>
              <w:t>总价（元）</w:t>
            </w:r>
          </w:p>
        </w:tc>
      </w:tr>
      <w:tr w14:paraId="53CF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554" w:type="dxa"/>
            <w:vMerge w:val="restart"/>
            <w:vAlign w:val="center"/>
          </w:tcPr>
          <w:p w14:paraId="5E5F0833">
            <w:pPr>
              <w:jc w:val="center"/>
              <w:rPr>
                <w:rFonts w:hint="eastAsia" w:ascii="宋体" w:hAnsi="宋体" w:eastAsia="宋体" w:cs="宋体"/>
                <w:b/>
                <w:color w:val="auto"/>
                <w:szCs w:val="21"/>
              </w:rPr>
            </w:pPr>
            <w:r>
              <w:rPr>
                <w:rFonts w:hint="eastAsia" w:ascii="宋体" w:hAnsi="宋体" w:eastAsia="宋体" w:cs="宋体"/>
                <w:b/>
                <w:color w:val="auto"/>
                <w:szCs w:val="21"/>
              </w:rPr>
              <w:t>1</w:t>
            </w:r>
          </w:p>
        </w:tc>
        <w:tc>
          <w:tcPr>
            <w:tcW w:w="2803" w:type="dxa"/>
            <w:vMerge w:val="restart"/>
            <w:vAlign w:val="center"/>
          </w:tcPr>
          <w:p w14:paraId="7ECA7AE5">
            <w:pPr>
              <w:jc w:val="center"/>
              <w:rPr>
                <w:rFonts w:hint="eastAsia" w:ascii="宋体" w:hAnsi="宋体" w:eastAsia="宋体" w:cs="宋体"/>
                <w:b/>
                <w:color w:val="auto"/>
                <w:szCs w:val="21"/>
              </w:rPr>
            </w:pPr>
            <w:r>
              <w:rPr>
                <w:rFonts w:hint="eastAsia" w:ascii="宋体" w:hAnsi="宋体" w:eastAsia="宋体" w:cs="宋体"/>
                <w:color w:val="auto"/>
                <w:sz w:val="24"/>
                <w:highlight w:val="none"/>
                <w:lang w:eastAsia="zh-CN"/>
              </w:rPr>
              <w:t>杭州市拱墅区湖墅街道2025年度企退人员自管小组文体活动服务采购项目</w:t>
            </w:r>
          </w:p>
        </w:tc>
        <w:tc>
          <w:tcPr>
            <w:tcW w:w="792" w:type="dxa"/>
            <w:vAlign w:val="center"/>
          </w:tcPr>
          <w:p w14:paraId="38D99263">
            <w:pPr>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snapToGrid w:val="0"/>
                <w:color w:val="auto"/>
                <w:szCs w:val="21"/>
              </w:rPr>
              <w:t>1</w:t>
            </w:r>
          </w:p>
        </w:tc>
        <w:tc>
          <w:tcPr>
            <w:tcW w:w="948" w:type="dxa"/>
            <w:vAlign w:val="center"/>
          </w:tcPr>
          <w:p w14:paraId="0DD1A8B9">
            <w:pPr>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snapToGrid w:val="0"/>
                <w:color w:val="auto"/>
                <w:szCs w:val="21"/>
              </w:rPr>
              <w:t>项</w:t>
            </w:r>
          </w:p>
        </w:tc>
        <w:tc>
          <w:tcPr>
            <w:tcW w:w="1325" w:type="dxa"/>
            <w:vAlign w:val="center"/>
          </w:tcPr>
          <w:p w14:paraId="3F4282FF">
            <w:pPr>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snapToGrid w:val="0"/>
                <w:color w:val="auto"/>
                <w:szCs w:val="21"/>
              </w:rPr>
              <w:t>130</w:t>
            </w:r>
          </w:p>
        </w:tc>
        <w:tc>
          <w:tcPr>
            <w:tcW w:w="1339" w:type="dxa"/>
            <w:vAlign w:val="center"/>
          </w:tcPr>
          <w:p w14:paraId="75A8368B">
            <w:pPr>
              <w:snapToGrid w:val="0"/>
              <w:spacing w:line="400" w:lineRule="exact"/>
              <w:jc w:val="center"/>
              <w:rPr>
                <w:rFonts w:hint="eastAsia" w:ascii="宋体" w:hAnsi="宋体" w:eastAsia="宋体" w:cs="宋体"/>
                <w:snapToGrid w:val="0"/>
                <w:color w:val="auto"/>
                <w:szCs w:val="21"/>
                <w:lang w:val="en-US" w:eastAsia="zh-CN"/>
              </w:rPr>
            </w:pPr>
            <w:r>
              <w:rPr>
                <w:rFonts w:hint="eastAsia" w:ascii="宋体" w:hAnsi="宋体" w:eastAsia="宋体" w:cs="宋体"/>
                <w:color w:val="auto"/>
                <w:sz w:val="22"/>
                <w:szCs w:val="22"/>
                <w:lang w:val="en-US" w:eastAsia="zh-CN"/>
              </w:rPr>
              <w:t>8600</w:t>
            </w:r>
          </w:p>
        </w:tc>
        <w:tc>
          <w:tcPr>
            <w:tcW w:w="1152" w:type="dxa"/>
            <w:vAlign w:val="center"/>
          </w:tcPr>
          <w:p w14:paraId="51415E64">
            <w:pPr>
              <w:snapToGrid w:val="0"/>
              <w:spacing w:line="400" w:lineRule="exact"/>
              <w:jc w:val="center"/>
              <w:rPr>
                <w:rFonts w:hint="default" w:ascii="宋体" w:hAnsi="宋体" w:eastAsia="宋体" w:cs="宋体"/>
                <w:snapToGrid w:val="0"/>
                <w:color w:val="auto"/>
                <w:szCs w:val="21"/>
                <w:lang w:val="en-US" w:eastAsia="zh-CN"/>
              </w:rPr>
            </w:pPr>
            <w:r>
              <w:rPr>
                <w:rFonts w:hint="eastAsia" w:ascii="宋体" w:hAnsi="宋体" w:cs="宋体"/>
                <w:snapToGrid w:val="0"/>
                <w:color w:val="auto"/>
                <w:szCs w:val="21"/>
                <w:lang w:val="en-US" w:eastAsia="zh-CN"/>
              </w:rPr>
              <w:t>1118000</w:t>
            </w:r>
          </w:p>
        </w:tc>
      </w:tr>
      <w:tr w14:paraId="6B97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554" w:type="dxa"/>
            <w:vMerge w:val="continue"/>
            <w:vAlign w:val="center"/>
          </w:tcPr>
          <w:p w14:paraId="49E8AA0C">
            <w:pPr>
              <w:jc w:val="center"/>
              <w:rPr>
                <w:rFonts w:hint="eastAsia" w:ascii="宋体" w:hAnsi="宋体" w:eastAsia="宋体" w:cs="宋体"/>
                <w:b/>
                <w:color w:val="auto"/>
                <w:szCs w:val="21"/>
              </w:rPr>
            </w:pPr>
          </w:p>
        </w:tc>
        <w:tc>
          <w:tcPr>
            <w:tcW w:w="2803" w:type="dxa"/>
            <w:vMerge w:val="continue"/>
            <w:vAlign w:val="center"/>
          </w:tcPr>
          <w:p w14:paraId="7DD06A25">
            <w:pPr>
              <w:jc w:val="center"/>
              <w:rPr>
                <w:rFonts w:hint="eastAsia" w:ascii="宋体" w:hAnsi="宋体" w:eastAsia="宋体" w:cs="宋体"/>
                <w:b/>
                <w:color w:val="auto"/>
                <w:szCs w:val="21"/>
              </w:rPr>
            </w:pPr>
          </w:p>
        </w:tc>
        <w:tc>
          <w:tcPr>
            <w:tcW w:w="5556" w:type="dxa"/>
            <w:gridSpan w:val="5"/>
            <w:vAlign w:val="center"/>
          </w:tcPr>
          <w:p w14:paraId="3F84FAD6">
            <w:pPr>
              <w:tabs>
                <w:tab w:val="left" w:pos="740"/>
              </w:tabs>
              <w:snapToGrid w:val="0"/>
              <w:spacing w:line="400" w:lineRule="exact"/>
              <w:jc w:val="left"/>
              <w:rPr>
                <w:rFonts w:hint="eastAsia" w:ascii="宋体" w:hAnsi="宋体" w:eastAsia="宋体" w:cs="宋体"/>
                <w:snapToGrid w:val="0"/>
                <w:color w:val="auto"/>
                <w:szCs w:val="21"/>
              </w:rPr>
            </w:pPr>
            <w:r>
              <w:rPr>
                <w:rFonts w:hint="eastAsia" w:ascii="宋体" w:hAnsi="宋体" w:eastAsia="宋体" w:cs="宋体"/>
                <w:snapToGrid w:val="0"/>
                <w:color w:val="auto"/>
                <w:szCs w:val="21"/>
              </w:rPr>
              <w:t>投标总价：大写人民币</w:t>
            </w:r>
            <w:r>
              <w:rPr>
                <w:rFonts w:hint="eastAsia" w:ascii="宋体" w:hAnsi="宋体" w:eastAsia="宋体" w:cs="宋体"/>
                <w:snapToGrid w:val="0"/>
                <w:color w:val="auto"/>
                <w:szCs w:val="21"/>
                <w:lang w:val="en-US" w:eastAsia="zh-CN"/>
              </w:rPr>
              <w:t>壹佰壹拾壹万捌仟</w:t>
            </w:r>
            <w:r>
              <w:rPr>
                <w:rFonts w:hint="eastAsia" w:ascii="宋体" w:hAnsi="宋体" w:eastAsia="宋体" w:cs="宋体"/>
                <w:snapToGrid w:val="0"/>
                <w:color w:val="auto"/>
                <w:szCs w:val="21"/>
              </w:rPr>
              <w:t>元整（￥</w:t>
            </w:r>
            <w:r>
              <w:rPr>
                <w:rFonts w:hint="eastAsia" w:ascii="宋体" w:hAnsi="宋体" w:eastAsia="宋体" w:cs="宋体"/>
                <w:snapToGrid w:val="0"/>
                <w:color w:val="auto"/>
                <w:szCs w:val="21"/>
                <w:lang w:val="en-US" w:eastAsia="zh-CN"/>
              </w:rPr>
              <w:t>1118000</w:t>
            </w:r>
            <w:r>
              <w:rPr>
                <w:rFonts w:hint="eastAsia" w:ascii="宋体" w:hAnsi="宋体" w:eastAsia="宋体" w:cs="宋体"/>
                <w:snapToGrid w:val="0"/>
                <w:color w:val="auto"/>
                <w:szCs w:val="21"/>
              </w:rPr>
              <w:t>元）</w:t>
            </w:r>
          </w:p>
        </w:tc>
      </w:tr>
    </w:tbl>
    <w:p w14:paraId="6B3E0F85">
      <w:pPr>
        <w:pStyle w:val="2"/>
        <w:rPr>
          <w:color w:val="auto"/>
          <w:lang w:val="zh-CN"/>
        </w:rPr>
      </w:pPr>
    </w:p>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bCs/>
          <w:color w:val="auto"/>
          <w:kern w:val="0"/>
          <w:sz w:val="24"/>
          <w:highlight w:val="none"/>
          <w:lang w:val="zh-CN"/>
        </w:rPr>
        <w:t>格式、已列内容不得自行更改，</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w:t>
      </w:r>
      <w:r>
        <w:rPr>
          <w:rFonts w:hint="eastAsia" w:ascii="宋体" w:hAnsi="宋体" w:eastAsia="宋体" w:cs="宋体"/>
          <w:color w:val="auto"/>
          <w:kern w:val="0"/>
          <w:sz w:val="24"/>
          <w:highlight w:val="none"/>
          <w:lang w:val="en-US" w:eastAsia="zh-CN"/>
        </w:rPr>
        <w:t>对供应商实行差别待遇或者歧视待遇，也不得将其作为中标（成交）条件或者合同签订条件；</w:t>
      </w:r>
      <w:r>
        <w:rPr>
          <w:rFonts w:hint="eastAsia" w:ascii="宋体" w:hAnsi="宋体" w:eastAsia="宋体" w:cs="宋体"/>
          <w:color w:val="auto"/>
          <w:kern w:val="0"/>
          <w:sz w:val="24"/>
          <w:highlight w:val="none"/>
          <w:lang w:val="zh-CN"/>
        </w:rPr>
        <w:t>总价</w:t>
      </w:r>
      <w:r>
        <w:rPr>
          <w:rFonts w:hint="eastAsia" w:ascii="宋体" w:hAnsi="宋体" w:eastAsia="宋体" w:cs="宋体"/>
          <w:color w:val="auto"/>
          <w:kern w:val="0"/>
          <w:sz w:val="24"/>
          <w:highlight w:val="none"/>
          <w:lang w:val="zh-CN" w:eastAsia="zh-CN"/>
        </w:rPr>
        <w:t>不为零</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部分</w:t>
      </w:r>
      <w:r>
        <w:rPr>
          <w:rFonts w:hint="eastAsia" w:ascii="宋体" w:hAnsi="宋体" w:eastAsia="宋体" w:cs="宋体"/>
          <w:color w:val="auto"/>
          <w:kern w:val="0"/>
          <w:sz w:val="24"/>
          <w:highlight w:val="none"/>
          <w:lang w:val="zh-CN"/>
        </w:rPr>
        <w:t>产品、服务单价为零的，视作已包含在总价中</w:t>
      </w:r>
      <w:r>
        <w:rPr>
          <w:rFonts w:hint="eastAsia" w:ascii="宋体" w:hAnsi="宋体" w:eastAsia="宋体" w:cs="宋体"/>
          <w:color w:val="auto"/>
          <w:kern w:val="0"/>
          <w:sz w:val="24"/>
          <w:highlight w:val="none"/>
          <w:lang w:val="zh-CN" w:eastAsia="zh-CN"/>
        </w:rPr>
        <w:t>。</w:t>
      </w:r>
      <w:r>
        <w:rPr>
          <w:rFonts w:hint="eastAsia" w:ascii="宋体" w:hAnsi="宋体" w:eastAsia="宋体" w:cs="宋体"/>
          <w:color w:val="auto"/>
          <w:kern w:val="0"/>
          <w:sz w:val="24"/>
          <w:highlight w:val="none"/>
          <w:lang w:val="zh-CN"/>
        </w:rPr>
        <w:t>采购内容未包含在《开标一览表（报价表）》名称栏中，投标人不能作出合理解释的，视为投标文件含有采购人不能接受的附加条件的，投标无效。</w:t>
      </w:r>
    </w:p>
    <w:p w14:paraId="66E0A6FE">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本项目投标价格不竞争，为固定单价合同，人数按实结算。</w:t>
      </w:r>
    </w:p>
    <w:p w14:paraId="537359F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rPr>
        <w:t>4、</w:t>
      </w:r>
      <w:r>
        <w:rPr>
          <w:rFonts w:hint="eastAsia" w:ascii="宋体" w:hAnsi="宋体" w:eastAsia="宋体" w:cs="宋体"/>
          <w:color w:val="auto"/>
          <w:kern w:val="0"/>
          <w:sz w:val="24"/>
          <w:highlight w:val="none"/>
          <w:lang w:val="zh-CN"/>
        </w:rPr>
        <w:t>除政策调整因素外，合同期内投标价不能调整。如果违反相关规定，造成损失（比如被罚款等），投标方承担所有责任。</w:t>
      </w:r>
    </w:p>
    <w:p w14:paraId="4A378867">
      <w:pPr>
        <w:spacing w:line="360" w:lineRule="auto"/>
        <w:ind w:firstLine="480" w:firstLineChars="200"/>
        <w:rPr>
          <w:rFonts w:ascii="宋体" w:hAnsi="宋体" w:cs="宋体"/>
          <w:b/>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val="zh-CN"/>
        </w:rPr>
        <w:t>、特别提</w:t>
      </w:r>
      <w:r>
        <w:rPr>
          <w:rFonts w:hint="eastAsia" w:ascii="宋体" w:hAnsi="宋体" w:cs="宋体"/>
          <w:color w:val="auto"/>
          <w:kern w:val="0"/>
          <w:sz w:val="24"/>
          <w:highlight w:val="none"/>
          <w:lang w:val="zh-CN"/>
        </w:rPr>
        <w:t>示：采购代理机构将对杭州市拱墅区湖墅街道2025年度企退人员自管小组文体活动服务采购项目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167292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0" w:num="1"/>
          <w:titlePg/>
          <w:rtlGutter w:val="0"/>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2"/>
        <w:rPr>
          <w:rFonts w:hint="eastAsia" w:ascii="宋体" w:hAnsi="宋体" w:cs="宋体"/>
          <w:b/>
          <w:color w:val="auto"/>
          <w:sz w:val="24"/>
          <w:highlight w:val="none"/>
        </w:rPr>
      </w:pPr>
    </w:p>
    <w:p w14:paraId="1AA2EA6C">
      <w:pPr>
        <w:pStyle w:val="2"/>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杭州市拱墅区湖墅街道2025年度企退人员自管小组文体活动服务采购项目</w:t>
      </w:r>
      <w:r>
        <w:rPr>
          <w:rFonts w:hint="eastAsia" w:ascii="宋体" w:hAnsi="宋体" w:cs="宋体"/>
          <w:color w:val="auto"/>
          <w:sz w:val="24"/>
          <w:highlight w:val="none"/>
          <w:u w:val="single"/>
        </w:rPr>
        <w:t>）</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0433DAF0">
      <w:pPr>
        <w:pStyle w:val="2"/>
        <w:rPr>
          <w:color w:val="auto"/>
        </w:rPr>
      </w:pPr>
    </w:p>
    <w:p w14:paraId="375715D1">
      <w:pPr>
        <w:pStyle w:val="2"/>
        <w:rPr>
          <w:color w:val="auto"/>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50E4507D">
      <w:pPr>
        <w:pStyle w:val="2"/>
        <w:rPr>
          <w:rFonts w:hint="eastAsia" w:ascii="宋体" w:hAnsi="宋体" w:cs="宋体"/>
          <w:b/>
          <w:color w:val="auto"/>
          <w:spacing w:val="6"/>
          <w:sz w:val="32"/>
          <w:szCs w:val="32"/>
          <w:highlight w:val="none"/>
        </w:rPr>
      </w:pPr>
    </w:p>
    <w:p w14:paraId="782DA365">
      <w:pPr>
        <w:pStyle w:val="2"/>
        <w:rPr>
          <w:rFonts w:hint="eastAsia" w:ascii="宋体" w:hAnsi="宋体" w:cs="宋体"/>
          <w:b/>
          <w:color w:val="auto"/>
          <w:spacing w:val="6"/>
          <w:sz w:val="32"/>
          <w:szCs w:val="32"/>
          <w:highlight w:val="none"/>
        </w:rPr>
      </w:pPr>
    </w:p>
    <w:p w14:paraId="2E1A0368">
      <w:pPr>
        <w:pStyle w:val="2"/>
        <w:rPr>
          <w:rFonts w:hint="eastAsia" w:ascii="宋体" w:hAnsi="宋体" w:cs="宋体"/>
          <w:b/>
          <w:color w:val="auto"/>
          <w:spacing w:val="6"/>
          <w:sz w:val="32"/>
          <w:szCs w:val="32"/>
          <w:highlight w:val="none"/>
        </w:rPr>
      </w:pPr>
    </w:p>
    <w:p w14:paraId="31C20F2E">
      <w:pPr>
        <w:pStyle w:val="2"/>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w:t>
      </w:r>
      <w:r>
        <w:rPr>
          <w:rFonts w:hint="eastAsia" w:ascii="宋体" w:hAnsi="宋体" w:cs="宋体"/>
          <w:color w:val="auto"/>
          <w:sz w:val="24"/>
          <w:highlight w:val="none"/>
          <w:lang w:eastAsia="zh-CN"/>
        </w:rPr>
        <w:t>杭州市拱墅区湖墅街道2025年度企退人员自管小组文体活动服务采购项目</w:t>
      </w:r>
      <w:r>
        <w:rPr>
          <w:rFonts w:hint="eastAsia" w:ascii="宋体" w:hAnsi="宋体" w:cs="宋体"/>
          <w:color w:val="auto"/>
          <w:sz w:val="24"/>
          <w:highlight w:val="none"/>
        </w:rPr>
        <w:t>：</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78CEC1E7">
      <w:pPr>
        <w:autoSpaceDE w:val="0"/>
        <w:autoSpaceDN w:val="0"/>
        <w:jc w:val="center"/>
        <w:rPr>
          <w:rFonts w:hint="eastAsia" w:ascii="宋体" w:hAnsi="宋体" w:cs="宋体"/>
          <w:b/>
          <w:color w:val="auto"/>
          <w:spacing w:val="6"/>
          <w:sz w:val="32"/>
          <w:szCs w:val="32"/>
          <w:highlight w:val="none"/>
        </w:rPr>
      </w:pPr>
    </w:p>
    <w:p w14:paraId="632F4A24">
      <w:pPr>
        <w:autoSpaceDE w:val="0"/>
        <w:autoSpaceDN w:val="0"/>
        <w:jc w:val="center"/>
        <w:rPr>
          <w:rFonts w:hint="eastAsia" w:ascii="宋体" w:hAnsi="宋体" w:cs="宋体"/>
          <w:b/>
          <w:color w:val="auto"/>
          <w:spacing w:val="6"/>
          <w:sz w:val="32"/>
          <w:szCs w:val="32"/>
          <w:highlight w:val="none"/>
        </w:rPr>
      </w:pPr>
    </w:p>
    <w:p w14:paraId="33B45B3A">
      <w:pPr>
        <w:autoSpaceDE w:val="0"/>
        <w:autoSpaceDN w:val="0"/>
        <w:jc w:val="center"/>
        <w:rPr>
          <w:rFonts w:hint="eastAsia" w:ascii="宋体" w:hAnsi="宋体" w:cs="宋体"/>
          <w:b/>
          <w:color w:val="auto"/>
          <w:spacing w:val="6"/>
          <w:sz w:val="32"/>
          <w:szCs w:val="32"/>
          <w:highlight w:val="none"/>
        </w:rPr>
      </w:pPr>
    </w:p>
    <w:p w14:paraId="3FE5903C">
      <w:pPr>
        <w:autoSpaceDE w:val="0"/>
        <w:autoSpaceDN w:val="0"/>
        <w:jc w:val="center"/>
        <w:rPr>
          <w:rFonts w:hint="eastAsia" w:ascii="宋体" w:hAnsi="宋体" w:cs="宋体"/>
          <w:b/>
          <w:color w:val="auto"/>
          <w:spacing w:val="6"/>
          <w:sz w:val="32"/>
          <w:szCs w:val="32"/>
          <w:highlight w:val="none"/>
        </w:rPr>
      </w:pPr>
    </w:p>
    <w:p w14:paraId="790C3EF5">
      <w:pPr>
        <w:autoSpaceDE w:val="0"/>
        <w:autoSpaceDN w:val="0"/>
        <w:jc w:val="center"/>
        <w:rPr>
          <w:rFonts w:hint="eastAsia" w:ascii="宋体" w:hAnsi="宋体" w:cs="宋体"/>
          <w:b/>
          <w:color w:val="auto"/>
          <w:spacing w:val="6"/>
          <w:sz w:val="32"/>
          <w:szCs w:val="32"/>
          <w:highlight w:val="none"/>
        </w:rPr>
      </w:pPr>
    </w:p>
    <w:p w14:paraId="0F060899">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杭州市拱墅区湖墅街道2025年度企退人员自管小组文体活动服务采购项目</w:t>
      </w:r>
      <w:r>
        <w:rPr>
          <w:rFonts w:hint="eastAsia" w:ascii="宋体" w:hAnsi="宋体" w:cs="宋体"/>
          <w:color w:val="auto"/>
          <w:sz w:val="24"/>
          <w:highlight w:val="none"/>
        </w:rPr>
        <w:t>）【招标编号：（采购编号）】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12FC670">
      <w:pPr>
        <w:autoSpaceDE w:val="0"/>
        <w:autoSpaceDN w:val="0"/>
        <w:jc w:val="center"/>
        <w:rPr>
          <w:rFonts w:hint="eastAsia" w:ascii="宋体" w:hAnsi="宋体" w:cs="宋体"/>
          <w:b/>
          <w:color w:val="auto"/>
          <w:spacing w:val="6"/>
          <w:sz w:val="32"/>
          <w:szCs w:val="32"/>
          <w:highlight w:val="none"/>
        </w:rPr>
      </w:pPr>
    </w:p>
    <w:p w14:paraId="398C59E8">
      <w:pPr>
        <w:autoSpaceDE w:val="0"/>
        <w:autoSpaceDN w:val="0"/>
        <w:jc w:val="center"/>
        <w:rPr>
          <w:rFonts w:hint="eastAsia" w:ascii="宋体" w:hAnsi="宋体" w:cs="宋体"/>
          <w:b/>
          <w:color w:val="auto"/>
          <w:spacing w:val="6"/>
          <w:sz w:val="32"/>
          <w:szCs w:val="32"/>
          <w:highlight w:val="none"/>
        </w:rPr>
      </w:pPr>
    </w:p>
    <w:p w14:paraId="20831618">
      <w:pPr>
        <w:autoSpaceDE w:val="0"/>
        <w:autoSpaceDN w:val="0"/>
        <w:jc w:val="center"/>
        <w:rPr>
          <w:rFonts w:hint="eastAsia" w:ascii="宋体" w:hAnsi="宋体" w:cs="宋体"/>
          <w:b/>
          <w:color w:val="auto"/>
          <w:spacing w:val="6"/>
          <w:sz w:val="32"/>
          <w:szCs w:val="32"/>
          <w:highlight w:val="none"/>
        </w:rPr>
      </w:pPr>
    </w:p>
    <w:p w14:paraId="2770EF5A">
      <w:pPr>
        <w:autoSpaceDE w:val="0"/>
        <w:autoSpaceDN w:val="0"/>
        <w:jc w:val="center"/>
        <w:rPr>
          <w:rFonts w:hint="eastAsia" w:ascii="宋体" w:hAnsi="宋体" w:cs="宋体"/>
          <w:b/>
          <w:color w:val="auto"/>
          <w:spacing w:val="6"/>
          <w:sz w:val="32"/>
          <w:szCs w:val="32"/>
          <w:highlight w:val="none"/>
        </w:rPr>
      </w:pPr>
    </w:p>
    <w:p w14:paraId="541F2A0E">
      <w:pPr>
        <w:autoSpaceDE w:val="0"/>
        <w:autoSpaceDN w:val="0"/>
        <w:jc w:val="center"/>
        <w:rPr>
          <w:rFonts w:hint="eastAsia" w:ascii="宋体" w:hAnsi="宋体" w:cs="宋体"/>
          <w:b/>
          <w:color w:val="auto"/>
          <w:spacing w:val="6"/>
          <w:sz w:val="32"/>
          <w:szCs w:val="32"/>
          <w:highlight w:val="none"/>
        </w:rPr>
      </w:pPr>
    </w:p>
    <w:p w14:paraId="48DFE67C">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杭州市拱墅区湖墅街道2025年度企退人员自管小组文体活动服务采购项目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4E14407C">
      <w:pPr>
        <w:pStyle w:val="2"/>
        <w:rPr>
          <w:rFonts w:ascii="宋体" w:hAnsi="宋体" w:cs="宋体"/>
          <w:b/>
          <w:color w:val="auto"/>
          <w:spacing w:val="6"/>
          <w:sz w:val="32"/>
          <w:szCs w:val="32"/>
          <w:highlight w:val="none"/>
        </w:rPr>
      </w:pPr>
    </w:p>
    <w:p w14:paraId="4B93340C">
      <w:pPr>
        <w:pStyle w:val="2"/>
        <w:rPr>
          <w:rFonts w:ascii="宋体" w:hAnsi="宋体" w:cs="宋体"/>
          <w:b/>
          <w:color w:val="auto"/>
          <w:spacing w:val="6"/>
          <w:sz w:val="32"/>
          <w:szCs w:val="32"/>
          <w:highlight w:val="none"/>
        </w:rPr>
      </w:pPr>
    </w:p>
    <w:p w14:paraId="2A37FE83">
      <w:pPr>
        <w:pStyle w:val="2"/>
        <w:rPr>
          <w:rFonts w:ascii="宋体" w:hAnsi="宋体" w:cs="宋体"/>
          <w:b/>
          <w:color w:val="auto"/>
          <w:spacing w:val="6"/>
          <w:sz w:val="32"/>
          <w:szCs w:val="32"/>
          <w:highlight w:val="none"/>
        </w:rPr>
      </w:pPr>
    </w:p>
    <w:p w14:paraId="5E2A3C62">
      <w:pPr>
        <w:pStyle w:val="2"/>
        <w:rPr>
          <w:rFonts w:ascii="宋体" w:hAnsi="宋体" w:cs="宋体"/>
          <w:b/>
          <w:color w:val="auto"/>
          <w:spacing w:val="6"/>
          <w:sz w:val="32"/>
          <w:szCs w:val="32"/>
          <w:highlight w:val="none"/>
        </w:rPr>
      </w:pPr>
    </w:p>
    <w:p w14:paraId="471E9084">
      <w:pPr>
        <w:pStyle w:val="2"/>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杭州市拱墅区湖墅街道2025年度企退人员自管小组文体活动服务采购项目</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525F07D8">
      <w:pPr>
        <w:pStyle w:val="2"/>
        <w:rPr>
          <w:rFonts w:ascii="宋体" w:hAnsi="宋体" w:cs="宋体"/>
          <w:b/>
          <w:color w:val="auto"/>
          <w:spacing w:val="6"/>
          <w:sz w:val="32"/>
          <w:szCs w:val="32"/>
          <w:highlight w:val="none"/>
        </w:rPr>
      </w:pPr>
    </w:p>
    <w:p w14:paraId="790FF5A1">
      <w:pPr>
        <w:pStyle w:val="2"/>
        <w:rPr>
          <w:rFonts w:ascii="宋体" w:hAnsi="宋体" w:cs="宋体"/>
          <w:b/>
          <w:color w:val="auto"/>
          <w:spacing w:val="6"/>
          <w:sz w:val="32"/>
          <w:szCs w:val="32"/>
          <w:highlight w:val="none"/>
        </w:rPr>
      </w:pPr>
    </w:p>
    <w:p w14:paraId="140C1295">
      <w:pPr>
        <w:pStyle w:val="2"/>
        <w:rPr>
          <w:rFonts w:ascii="宋体" w:hAnsi="宋体" w:cs="宋体"/>
          <w:b/>
          <w:color w:val="auto"/>
          <w:spacing w:val="6"/>
          <w:sz w:val="32"/>
          <w:szCs w:val="32"/>
          <w:highlight w:val="none"/>
        </w:rPr>
      </w:pPr>
    </w:p>
    <w:p w14:paraId="76EC4D84">
      <w:pPr>
        <w:pStyle w:val="2"/>
        <w:rPr>
          <w:rFonts w:ascii="宋体" w:hAnsi="宋体" w:cs="宋体"/>
          <w:b/>
          <w:color w:val="auto"/>
          <w:spacing w:val="6"/>
          <w:sz w:val="32"/>
          <w:szCs w:val="32"/>
          <w:highlight w:val="none"/>
        </w:rPr>
      </w:pPr>
    </w:p>
    <w:p w14:paraId="0B7241F2">
      <w:pPr>
        <w:pStyle w:val="2"/>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杭州市拱墅区湖墅街道2025年度企退人员自管小组文体活动服务采购项目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47" w:right="1418" w:bottom="1276" w:left="1418"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ingLiU">
    <w:altName w:val="PMingLiU-ExtB"/>
    <w:panose1 w:val="02020509000000000000"/>
    <w:charset w:val="88"/>
    <w:family w:val="swiss"/>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4"/>
      </w:rPr>
    </w:pPr>
    <w:r>
      <w:fldChar w:fldCharType="begin"/>
    </w:r>
    <w:r>
      <w:rPr>
        <w:rStyle w:val="74"/>
      </w:rPr>
      <w:instrText xml:space="preserve">PAGE  </w:instrText>
    </w:r>
    <w:r>
      <w:fldChar w:fldCharType="end"/>
    </w:r>
  </w:p>
  <w:p w14:paraId="65FC6C0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131845147"/>
    <w:bookmarkStart w:id="517" w:name="_Toc3611018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1"/>
      <w:framePr w:wrap="around" w:vAnchor="text" w:hAnchor="margin" w:xAlign="right" w:y="1"/>
      <w:rPr>
        <w:rStyle w:val="74"/>
      </w:rPr>
    </w:pPr>
    <w:r>
      <w:fldChar w:fldCharType="begin"/>
    </w:r>
    <w:r>
      <w:rPr>
        <w:rStyle w:val="74"/>
      </w:rPr>
      <w:instrText xml:space="preserve">PAGE  </w:instrText>
    </w:r>
    <w:r>
      <w:fldChar w:fldCharType="end"/>
    </w:r>
  </w:p>
  <w:p w14:paraId="5E0900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9272D"/>
    <w:rsid w:val="03DD35E4"/>
    <w:rsid w:val="04076900"/>
    <w:rsid w:val="041A5A3B"/>
    <w:rsid w:val="042311BA"/>
    <w:rsid w:val="042B157A"/>
    <w:rsid w:val="04606284"/>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49122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5268D"/>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48410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3487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7B3721"/>
    <w:rsid w:val="418F0D2A"/>
    <w:rsid w:val="41D01505"/>
    <w:rsid w:val="42336996"/>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113B2"/>
    <w:rsid w:val="46422483"/>
    <w:rsid w:val="4659254A"/>
    <w:rsid w:val="465B0637"/>
    <w:rsid w:val="465E3F0D"/>
    <w:rsid w:val="466A16E6"/>
    <w:rsid w:val="46893F2B"/>
    <w:rsid w:val="46C4686E"/>
    <w:rsid w:val="46FF153C"/>
    <w:rsid w:val="477B778F"/>
    <w:rsid w:val="478203EC"/>
    <w:rsid w:val="47B025FA"/>
    <w:rsid w:val="4809698F"/>
    <w:rsid w:val="4811697D"/>
    <w:rsid w:val="487A3E25"/>
    <w:rsid w:val="488B5503"/>
    <w:rsid w:val="48931F3C"/>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A4057"/>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081E6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E5688"/>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733693"/>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58116F"/>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7">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7"/>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paragraph" w:styleId="62">
    <w:name w:val="Body Text First Indent"/>
    <w:basedOn w:val="25"/>
    <w:link w:val="321"/>
    <w:qFormat/>
    <w:uiPriority w:val="0"/>
    <w:pPr>
      <w:ind w:firstLine="420"/>
    </w:pPr>
    <w:rPr>
      <w:rFonts w:hAnsi="Calibri" w:cs="Times New Roman"/>
      <w:snapToGrid/>
      <w:szCs w:val="20"/>
    </w:rPr>
  </w:style>
  <w:style w:type="paragraph" w:styleId="63">
    <w:name w:val="Body Text First Indent 2"/>
    <w:basedOn w:val="26"/>
    <w:next w:val="1"/>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Body text|1"/>
    <w:basedOn w:val="1"/>
    <w:qFormat/>
    <w:uiPriority w:val="0"/>
    <w:pPr>
      <w:spacing w:line="480" w:lineRule="auto"/>
      <w:ind w:firstLine="140"/>
    </w:pPr>
    <w:rPr>
      <w:rFonts w:ascii="宋体" w:hAnsi="宋体" w:cs="宋体"/>
      <w:sz w:val="22"/>
      <w:szCs w:val="22"/>
      <w:lang w:val="zh-TW" w:eastAsia="zh-TW" w:bidi="zh-TW"/>
    </w:rPr>
  </w:style>
  <w:style w:type="paragraph" w:customStyle="1" w:styleId="966">
    <w:name w:val="Other|1"/>
    <w:basedOn w:val="1"/>
    <w:qFormat/>
    <w:uiPriority w:val="0"/>
    <w:pPr>
      <w:spacing w:line="322" w:lineRule="exact"/>
    </w:pPr>
    <w:rPr>
      <w:rFonts w:ascii="MingLiU" w:hAnsi="MingLiU" w:eastAsia="MingLiU" w:cs="MingLiU"/>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9444</Words>
  <Characters>10211</Characters>
  <Lines>281</Lines>
  <Paragraphs>79</Paragraphs>
  <TotalTime>78</TotalTime>
  <ScaleCrop>false</ScaleCrop>
  <LinksUpToDate>false</LinksUpToDate>
  <CharactersWithSpaces>10647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珠穆朗玛hc</cp:lastModifiedBy>
  <cp:lastPrinted>2021-12-28T03:06:00Z</cp:lastPrinted>
  <dcterms:modified xsi:type="dcterms:W3CDTF">2025-07-03T10:48:57Z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5DEB52B5AFB140469056C4127B36E305_13</vt:lpwstr>
  </property>
  <property fmtid="{D5CDD505-2E9C-101B-9397-08002B2CF9AE}" pid="5" name="KSOTemplateDocerSaveRecord">
    <vt:lpwstr>eyJoZGlkIjoiOTQzYzZlOTYxMTMwM2NlYjQ2ZDc1OGJiNzU0MTY5ZTQiLCJ1c2VySWQiOiIyODMyNjMxNzUifQ==</vt:lpwstr>
  </property>
</Properties>
</file>