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4"/>
          <w:highlight w:val="none"/>
        </w:rPr>
      </w:pPr>
      <w:bookmarkStart w:id="408" w:name="_GoBack"/>
    </w:p>
    <w:p>
      <w:pPr>
        <w:spacing w:line="360" w:lineRule="auto"/>
        <w:jc w:val="center"/>
        <w:rPr>
          <w:rFonts w:hint="eastAsia" w:ascii="仿宋" w:hAnsi="仿宋" w:eastAsia="仿宋" w:cs="仿宋"/>
          <w:b/>
          <w:color w:val="auto"/>
          <w:sz w:val="24"/>
          <w:highlight w:val="none"/>
        </w:rPr>
      </w:pPr>
    </w:p>
    <w:p>
      <w:pPr>
        <w:adjustRightInd/>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b/>
          <w:color w:val="auto"/>
          <w:sz w:val="44"/>
          <w:szCs w:val="44"/>
          <w:highlight w:val="none"/>
        </w:rPr>
      </w:pPr>
    </w:p>
    <w:p>
      <w:pPr>
        <w:adjustRightInd/>
        <w:spacing w:line="360" w:lineRule="auto"/>
        <w:jc w:val="center"/>
        <w:rPr>
          <w:rFonts w:hint="eastAsia" w:ascii="仿宋" w:hAnsi="仿宋" w:eastAsia="仿宋" w:cs="仿宋"/>
          <w:b/>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lang w:eastAsia="zh-CN"/>
        </w:rPr>
      </w:pPr>
      <w:r>
        <w:rPr>
          <w:rFonts w:hint="eastAsia" w:ascii="仿宋" w:hAnsi="仿宋" w:eastAsia="仿宋" w:cs="仿宋"/>
          <w:color w:val="auto"/>
          <w:sz w:val="48"/>
          <w:szCs w:val="48"/>
          <w:highlight w:val="none"/>
          <w:lang w:eastAsia="zh-CN"/>
        </w:rPr>
        <w:t>仓基新村社区驻点服务项目</w:t>
      </w: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 xml:space="preserve">招标文件 </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snapToGrid w:val="0"/>
        <w:spacing w:line="360" w:lineRule="auto"/>
        <w:jc w:val="center"/>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编号:</w:t>
      </w:r>
      <w:r>
        <w:rPr>
          <w:rFonts w:hint="eastAsia" w:ascii="仿宋" w:hAnsi="仿宋" w:eastAsia="仿宋" w:cs="仿宋"/>
          <w:color w:val="auto"/>
          <w:sz w:val="30"/>
          <w:szCs w:val="30"/>
          <w:highlight w:val="none"/>
          <w:lang w:eastAsia="zh-CN"/>
        </w:rPr>
        <w:t>HSJD-202401</w:t>
      </w:r>
    </w:p>
    <w:p>
      <w:pPr>
        <w:adjustRightInd/>
        <w:spacing w:line="360" w:lineRule="auto"/>
        <w:rPr>
          <w:rFonts w:hint="eastAsia" w:ascii="仿宋" w:hAnsi="仿宋" w:eastAsia="仿宋" w:cs="仿宋"/>
          <w:color w:val="auto"/>
          <w:sz w:val="28"/>
          <w:szCs w:val="20"/>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32"/>
          <w:szCs w:val="32"/>
          <w:highlight w:val="none"/>
        </w:rPr>
      </w:pPr>
    </w:p>
    <w:p>
      <w:pPr>
        <w:snapToGrid w:val="0"/>
        <w:spacing w:line="360" w:lineRule="auto"/>
        <w:jc w:val="center"/>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 xml:space="preserve">杭州市拱墅区人民政府湖墅街道办事处 </w:t>
      </w:r>
    </w:p>
    <w:p>
      <w:pPr>
        <w:spacing w:line="360" w:lineRule="auto"/>
        <w:jc w:val="center"/>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lang w:eastAsia="zh-CN"/>
        </w:rPr>
        <w:t>杭州君信工程咨询有限公司</w:t>
      </w:r>
    </w:p>
    <w:p>
      <w:pPr>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二〇二</w:t>
      </w:r>
      <w:r>
        <w:rPr>
          <w:rFonts w:hint="eastAsia" w:ascii="仿宋" w:hAnsi="仿宋" w:eastAsia="仿宋" w:cs="仿宋"/>
          <w:bCs/>
          <w:color w:val="auto"/>
          <w:sz w:val="32"/>
          <w:szCs w:val="32"/>
          <w:highlight w:val="none"/>
          <w:lang w:val="en-US" w:eastAsia="zh-CN"/>
        </w:rPr>
        <w:t>四</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四</w:t>
      </w:r>
      <w:r>
        <w:rPr>
          <w:rFonts w:hint="eastAsia" w:ascii="仿宋" w:hAnsi="仿宋" w:eastAsia="仿宋" w:cs="仿宋"/>
          <w:bCs/>
          <w:color w:val="auto"/>
          <w:sz w:val="32"/>
          <w:szCs w:val="32"/>
          <w:highlight w:val="none"/>
        </w:rPr>
        <w:t>月</w:t>
      </w:r>
    </w:p>
    <w:p>
      <w:pPr>
        <w:pStyle w:val="634"/>
        <w:rPr>
          <w:rFonts w:hint="eastAsia" w:ascii="仿宋" w:hAnsi="仿宋" w:eastAsia="仿宋" w:cs="仿宋"/>
          <w:color w:val="auto"/>
          <w:highlight w:val="none"/>
        </w:rPr>
        <w:sectPr>
          <w:headerReference r:id="rId4" w:type="first"/>
          <w:headerReference r:id="rId3" w:type="default"/>
          <w:footerReference r:id="rId5" w:type="even"/>
          <w:pgSz w:w="11906" w:h="16838"/>
          <w:pgMar w:top="680" w:right="1418" w:bottom="468" w:left="1418" w:header="851" w:footer="992" w:gutter="0"/>
          <w:cols w:space="720" w:num="1"/>
          <w:titlePg/>
          <w:docGrid w:linePitch="312" w:charSpace="0"/>
        </w:sectPr>
      </w:pPr>
    </w:p>
    <w:p>
      <w:pPr>
        <w:pStyle w:val="634"/>
        <w:rPr>
          <w:rFonts w:hint="eastAsia" w:ascii="仿宋" w:hAnsi="仿宋" w:eastAsia="仿宋" w:cs="仿宋"/>
          <w:color w:val="auto"/>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0" w:name="_Hlt91233176"/>
      <w:bookmarkEnd w:id="0"/>
      <w:bookmarkStart w:id="1"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bookmarkEnd w:id="1"/>
    <w:p>
      <w:pPr>
        <w:adjustRightInd/>
        <w:spacing w:line="360" w:lineRule="auto"/>
        <w:jc w:val="center"/>
        <w:outlineLvl w:val="0"/>
        <w:rPr>
          <w:rFonts w:hint="eastAsia" w:ascii="仿宋" w:hAnsi="仿宋" w:eastAsia="仿宋" w:cs="仿宋"/>
          <w:b/>
          <w:color w:val="auto"/>
          <w:sz w:val="36"/>
          <w:szCs w:val="20"/>
          <w:highlight w:val="none"/>
        </w:rPr>
        <w:sectPr>
          <w:footerReference r:id="rId7" w:type="first"/>
          <w:footerReference r:id="rId6" w:type="default"/>
          <w:pgSz w:w="11906" w:h="16838"/>
          <w:pgMar w:top="680" w:right="1418" w:bottom="468" w:left="1418" w:header="851" w:footer="992" w:gutter="0"/>
          <w:pgNumType w:start="1"/>
          <w:cols w:space="720" w:num="1"/>
          <w:docGrid w:linePitch="312" w:charSpace="0"/>
        </w:sectPr>
      </w:pPr>
      <w:bookmarkStart w:id="2" w:name="_Hlt74707423"/>
      <w:bookmarkEnd w:id="2"/>
      <w:bookmarkStart w:id="3" w:name="_Hlt74728647"/>
      <w:bookmarkEnd w:id="3"/>
      <w:bookmarkStart w:id="4" w:name="_Hlt74729822"/>
      <w:bookmarkEnd w:id="4"/>
      <w:bookmarkStart w:id="5" w:name="_Hlt74649545"/>
      <w:bookmarkEnd w:id="5"/>
      <w:bookmarkStart w:id="6" w:name="第二部分"/>
      <w:bookmarkStart w:id="7" w:name="_Toc91899870"/>
      <w:bookmarkStart w:id="8" w:name="_Toc91899871"/>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lang w:eastAsia="zh-CN"/>
        </w:rPr>
        <w:t>仓基新村社区驻点服务项目</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"https://www.zcygov.cn/）获取（下载）招标文件，并于202%20年%20月%20日%20点%20分00秒" </w:instrText>
      </w:r>
      <w:r>
        <w:rPr>
          <w:rFonts w:hint="eastAsia" w:ascii="仿宋" w:hAnsi="仿宋" w:eastAsia="仿宋" w:cs="仿宋"/>
          <w:color w:val="auto"/>
          <w:highlight w:val="none"/>
        </w:rPr>
        <w:fldChar w:fldCharType="separate"/>
      </w:r>
      <w:r>
        <w:rPr>
          <w:rStyle w:val="76"/>
          <w:rFonts w:hint="eastAsia" w:ascii="仿宋" w:hAnsi="仿宋" w:eastAsia="仿宋" w:cs="仿宋"/>
          <w:snapToGrid/>
          <w:color w:val="auto"/>
          <w:kern w:val="2"/>
          <w:sz w:val="24"/>
          <w:szCs w:val="24"/>
          <w:highlight w:val="none"/>
        </w:rPr>
        <w:t>https://www.zcygov.cn/）获取（下载）招标文件，并于202</w:t>
      </w:r>
      <w:r>
        <w:rPr>
          <w:rStyle w:val="76"/>
          <w:rFonts w:hint="eastAsia" w:ascii="仿宋" w:hAnsi="仿宋" w:eastAsia="仿宋" w:cs="仿宋"/>
          <w:snapToGrid/>
          <w:color w:val="auto"/>
          <w:kern w:val="2"/>
          <w:sz w:val="24"/>
          <w:szCs w:val="24"/>
          <w:highlight w:val="none"/>
          <w:lang w:val="en-US" w:eastAsia="zh-CN"/>
        </w:rPr>
        <w:t>4</w:t>
      </w:r>
      <w:r>
        <w:rPr>
          <w:rStyle w:val="76"/>
          <w:rFonts w:hint="eastAsia" w:ascii="仿宋" w:hAnsi="仿宋" w:eastAsia="仿宋" w:cs="仿宋"/>
          <w:snapToGrid/>
          <w:color w:val="auto"/>
          <w:kern w:val="2"/>
          <w:sz w:val="24"/>
          <w:szCs w:val="24"/>
          <w:highlight w:val="none"/>
        </w:rPr>
        <w:t>年</w:t>
      </w:r>
      <w:r>
        <w:rPr>
          <w:rStyle w:val="76"/>
          <w:rFonts w:hint="eastAsia" w:ascii="仿宋" w:hAnsi="仿宋" w:eastAsia="仿宋" w:cs="仿宋"/>
          <w:snapToGrid/>
          <w:color w:val="auto"/>
          <w:kern w:val="2"/>
          <w:sz w:val="24"/>
          <w:szCs w:val="24"/>
          <w:highlight w:val="none"/>
          <w:lang w:val="en-US" w:eastAsia="zh-CN"/>
        </w:rPr>
        <w:t>5</w:t>
      </w:r>
      <w:r>
        <w:rPr>
          <w:rStyle w:val="76"/>
          <w:rFonts w:hint="eastAsia" w:ascii="仿宋" w:hAnsi="仿宋" w:eastAsia="仿宋" w:cs="仿宋"/>
          <w:snapToGrid/>
          <w:color w:val="auto"/>
          <w:kern w:val="2"/>
          <w:sz w:val="24"/>
          <w:szCs w:val="24"/>
          <w:highlight w:val="none"/>
        </w:rPr>
        <w:t>月</w:t>
      </w:r>
      <w:r>
        <w:rPr>
          <w:rStyle w:val="76"/>
          <w:rFonts w:hint="eastAsia" w:ascii="仿宋" w:hAnsi="仿宋" w:eastAsia="仿宋" w:cs="仿宋"/>
          <w:snapToGrid/>
          <w:color w:val="auto"/>
          <w:kern w:val="2"/>
          <w:sz w:val="24"/>
          <w:szCs w:val="24"/>
          <w:highlight w:val="none"/>
          <w:lang w:val="en-US" w:eastAsia="zh-CN"/>
        </w:rPr>
        <w:t>9</w:t>
      </w:r>
      <w:r>
        <w:rPr>
          <w:rStyle w:val="76"/>
          <w:rFonts w:hint="eastAsia" w:ascii="仿宋" w:hAnsi="仿宋" w:eastAsia="仿宋" w:cs="仿宋"/>
          <w:snapToGrid/>
          <w:color w:val="auto"/>
          <w:kern w:val="2"/>
          <w:sz w:val="24"/>
          <w:szCs w:val="24"/>
          <w:highlight w:val="none"/>
        </w:rPr>
        <w:t>日</w:t>
      </w:r>
      <w:r>
        <w:rPr>
          <w:rStyle w:val="76"/>
          <w:rFonts w:hint="eastAsia" w:ascii="仿宋" w:hAnsi="仿宋" w:eastAsia="仿宋" w:cs="仿宋"/>
          <w:snapToGrid/>
          <w:color w:val="auto"/>
          <w:kern w:val="2"/>
          <w:sz w:val="24"/>
          <w:szCs w:val="24"/>
          <w:highlight w:val="none"/>
          <w:lang w:val="en-US" w:eastAsia="zh-CN"/>
        </w:rPr>
        <w:t>14</w:t>
      </w:r>
      <w:r>
        <w:rPr>
          <w:rStyle w:val="76"/>
          <w:rFonts w:hint="eastAsia" w:ascii="仿宋" w:hAnsi="仿宋" w:eastAsia="仿宋" w:cs="仿宋"/>
          <w:snapToGrid/>
          <w:color w:val="auto"/>
          <w:kern w:val="2"/>
          <w:sz w:val="24"/>
          <w:szCs w:val="24"/>
          <w:highlight w:val="none"/>
        </w:rPr>
        <w:t>点</w:t>
      </w:r>
      <w:r>
        <w:rPr>
          <w:rStyle w:val="76"/>
          <w:rFonts w:hint="eastAsia" w:ascii="仿宋" w:hAnsi="仿宋" w:eastAsia="仿宋" w:cs="仿宋"/>
          <w:snapToGrid/>
          <w:color w:val="auto"/>
          <w:kern w:val="2"/>
          <w:sz w:val="24"/>
          <w:szCs w:val="24"/>
          <w:highlight w:val="none"/>
          <w:lang w:val="en-US" w:eastAsia="zh-CN"/>
        </w:rPr>
        <w:t>00</w:t>
      </w:r>
      <w:r>
        <w:rPr>
          <w:rStyle w:val="76"/>
          <w:rFonts w:hint="eastAsia" w:ascii="仿宋" w:hAnsi="仿宋" w:eastAsia="仿宋" w:cs="仿宋"/>
          <w:snapToGrid/>
          <w:color w:val="auto"/>
          <w:kern w:val="2"/>
          <w:sz w:val="24"/>
          <w:szCs w:val="24"/>
          <w:highlight w:val="none"/>
        </w:rPr>
        <w:t>分</w:t>
      </w:r>
      <w:r>
        <w:rPr>
          <w:rStyle w:val="76"/>
          <w:rFonts w:hint="eastAsia" w:ascii="仿宋" w:hAnsi="仿宋" w:eastAsia="仿宋" w:cs="仿宋"/>
          <w:bCs/>
          <w:snapToGrid/>
          <w:color w:val="auto"/>
          <w:kern w:val="2"/>
          <w:sz w:val="24"/>
          <w:szCs w:val="24"/>
          <w:highlight w:val="none"/>
        </w:rPr>
        <w:t>00秒</w:t>
      </w:r>
      <w:r>
        <w:rPr>
          <w:rStyle w:val="76"/>
          <w:rFonts w:hint="eastAsia" w:ascii="仿宋" w:hAnsi="仿宋" w:eastAsia="仿宋" w:cs="仿宋"/>
          <w:bCs/>
          <w:snapToGrid/>
          <w:color w:val="auto"/>
          <w:kern w:val="2"/>
          <w:sz w:val="24"/>
          <w:szCs w:val="24"/>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rPr>
        <w:t>项目编号：</w:t>
      </w:r>
      <w:r>
        <w:rPr>
          <w:rFonts w:hint="eastAsia" w:ascii="仿宋" w:hAnsi="仿宋" w:eastAsia="仿宋" w:cs="仿宋"/>
          <w:color w:val="auto"/>
          <w:sz w:val="24"/>
          <w:highlight w:val="none"/>
          <w:lang w:eastAsia="zh-CN"/>
        </w:rPr>
        <w:t>HSJD-202401</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rPr>
        <w:t>项目名称：</w:t>
      </w:r>
      <w:r>
        <w:rPr>
          <w:rFonts w:hint="eastAsia" w:ascii="仿宋" w:hAnsi="仿宋" w:eastAsia="仿宋" w:cs="仿宋"/>
          <w:color w:val="auto"/>
          <w:sz w:val="24"/>
          <w:highlight w:val="none"/>
          <w:lang w:eastAsia="zh-CN"/>
        </w:rPr>
        <w:t>仓基新村社区驻点服务项目</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b/>
          <w:color w:val="auto"/>
          <w:sz w:val="24"/>
          <w:highlight w:val="none"/>
        </w:rPr>
        <w:t>预算金额（元）：</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1800000</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b/>
          <w:color w:val="auto"/>
          <w:sz w:val="24"/>
          <w:highlight w:val="none"/>
        </w:rPr>
        <w:t>最高限价（元）：</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1800000</w:t>
      </w:r>
    </w:p>
    <w:p>
      <w:pPr>
        <w:pStyle w:val="3"/>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bCs/>
          <w:snapToGrid/>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Cs/>
          <w:snapToGrid/>
          <w:color w:val="auto"/>
          <w:kern w:val="2"/>
          <w:sz w:val="24"/>
          <w:szCs w:val="24"/>
          <w:highlight w:val="none"/>
          <w:lang w:val="en-US" w:eastAsia="zh-CN"/>
        </w:rPr>
        <w:t>湖墅街道仓基新村场地日常管理、为老服务（本社区老年人健康促进、健康管理、预防保健、文化娱乐活动等身心灵服务）、为小服务（0-16岁儿童的托育托管、发育发展评估、亲子养育指导、素质课程、文化娱乐活动服务）、老幼融合活动、以家庭为单位的亲子文化融合活动、专业益智类辅助课程、专业素质类辅助课程及社区团购活动开展等相关事宜</w:t>
      </w:r>
      <w:r>
        <w:rPr>
          <w:rFonts w:hint="eastAsia" w:ascii="仿宋" w:hAnsi="仿宋" w:eastAsia="仿宋" w:cs="仿宋"/>
          <w:snapToGrid/>
          <w:color w:val="auto"/>
          <w:kern w:val="2"/>
          <w:sz w:val="24"/>
          <w:szCs w:val="24"/>
          <w:highlight w:val="none"/>
          <w:lang w:val="en-US" w:eastAsia="zh-CN"/>
        </w:rPr>
        <w:t>。</w:t>
      </w:r>
      <w:r>
        <w:rPr>
          <w:rFonts w:hint="eastAsia" w:ascii="仿宋" w:hAnsi="仿宋" w:eastAsia="仿宋" w:cs="仿宋"/>
          <w:snapToGrid/>
          <w:color w:val="auto"/>
          <w:kern w:val="2"/>
          <w:sz w:val="24"/>
          <w:szCs w:val="24"/>
          <w:highlight w:val="none"/>
        </w:rPr>
        <w:t>具体以招标文件第三部分采购需求为准，供应商可点击本公告下方“浏览采购文件”查看采购需求。</w:t>
      </w:r>
    </w:p>
    <w:p>
      <w:pPr>
        <w:pStyle w:val="128"/>
        <w:keepNext w:val="0"/>
        <w:keepLines w:val="0"/>
        <w:pageBreakBefore w:val="0"/>
        <w:kinsoku/>
        <w:wordWrap/>
        <w:overflowPunct/>
        <w:topLinePunct w:val="0"/>
        <w:autoSpaceDE/>
        <w:autoSpaceDN/>
        <w:bidi w:val="0"/>
        <w:adjustRightInd w:val="0"/>
        <w:spacing w:before="0"/>
        <w:ind w:firstLine="482" w:firstLineChars="200"/>
        <w:textAlignment w:val="auto"/>
        <w:outlineLvl w:val="2"/>
        <w:rPr>
          <w:rFonts w:hint="eastAsia" w:ascii="仿宋" w:hAnsi="仿宋" w:eastAsia="仿宋" w:cs="仿宋"/>
          <w:color w:val="auto"/>
          <w:highlight w:val="none"/>
        </w:rPr>
      </w:pPr>
      <w:r>
        <w:rPr>
          <w:rFonts w:hint="eastAsia" w:ascii="仿宋" w:hAnsi="仿宋" w:eastAsia="仿宋" w:cs="仿宋"/>
          <w:b/>
          <w:color w:val="auto"/>
          <w:highlight w:val="none"/>
        </w:rPr>
        <w:t>合同履约期限：</w:t>
      </w:r>
      <w:r>
        <w:rPr>
          <w:rFonts w:hint="eastAsia" w:ascii="仿宋" w:hAnsi="仿宋" w:eastAsia="仿宋" w:cs="仿宋"/>
          <w:bCs/>
          <w:color w:val="auto"/>
          <w:szCs w:val="24"/>
          <w:highlight w:val="none"/>
        </w:rPr>
        <w:t>服务期三年</w:t>
      </w:r>
      <w:r>
        <w:rPr>
          <w:rFonts w:hint="eastAsia" w:ascii="仿宋" w:hAnsi="仿宋" w:eastAsia="仿宋" w:cs="仿宋"/>
          <w:bCs/>
          <w:color w:val="auto"/>
          <w:szCs w:val="24"/>
          <w:highlight w:val="none"/>
          <w:lang w:eastAsia="zh-CN"/>
        </w:rPr>
        <w:t>，</w:t>
      </w:r>
      <w:r>
        <w:rPr>
          <w:rFonts w:hint="eastAsia" w:ascii="仿宋" w:hAnsi="仿宋" w:eastAsia="仿宋" w:cs="仿宋"/>
          <w:bCs/>
          <w:color w:val="auto"/>
          <w:szCs w:val="24"/>
          <w:highlight w:val="none"/>
        </w:rPr>
        <w:t>合同一年一签</w:t>
      </w:r>
      <w:r>
        <w:rPr>
          <w:rFonts w:hint="eastAsia" w:ascii="仿宋" w:hAnsi="仿宋" w:eastAsia="仿宋" w:cs="仿宋"/>
          <w:bCs/>
          <w:color w:val="auto"/>
          <w:szCs w:val="24"/>
          <w:highlight w:val="none"/>
          <w:lang w:eastAsia="zh-CN"/>
        </w:rPr>
        <w:t>。</w:t>
      </w:r>
      <w:r>
        <w:rPr>
          <w:rFonts w:hint="eastAsia" w:ascii="仿宋" w:hAnsi="仿宋" w:eastAsia="仿宋" w:cs="仿宋"/>
          <w:color w:val="auto"/>
          <w:highlight w:val="none"/>
          <w:lang w:val="en-US" w:eastAsia="zh-CN"/>
        </w:rPr>
        <w:t>招标人根据</w:t>
      </w:r>
      <w:r>
        <w:rPr>
          <w:rFonts w:hint="eastAsia" w:ascii="仿宋" w:hAnsi="仿宋" w:eastAsia="仿宋" w:cs="仿宋"/>
          <w:color w:val="auto"/>
          <w:highlight w:val="none"/>
        </w:rPr>
        <w:t>招标文件要求进行考核，如不能达到招标文件及</w:t>
      </w:r>
      <w:r>
        <w:rPr>
          <w:rFonts w:hint="eastAsia" w:ascii="仿宋" w:hAnsi="仿宋" w:eastAsia="仿宋" w:cs="仿宋"/>
          <w:color w:val="auto"/>
          <w:highlight w:val="none"/>
          <w:lang w:val="en-US" w:eastAsia="zh-CN"/>
        </w:rPr>
        <w:t>招标人</w:t>
      </w:r>
      <w:r>
        <w:rPr>
          <w:rFonts w:hint="eastAsia" w:ascii="仿宋" w:hAnsi="仿宋" w:eastAsia="仿宋" w:cs="仿宋"/>
          <w:color w:val="auto"/>
          <w:highlight w:val="none"/>
        </w:rPr>
        <w:t>要求的，</w:t>
      </w:r>
      <w:r>
        <w:rPr>
          <w:rFonts w:hint="eastAsia" w:ascii="仿宋" w:hAnsi="仿宋" w:eastAsia="仿宋" w:cs="仿宋"/>
          <w:color w:val="auto"/>
          <w:highlight w:val="none"/>
          <w:lang w:val="en-US" w:eastAsia="zh-CN"/>
        </w:rPr>
        <w:t>招标人有权取消</w:t>
      </w:r>
      <w:r>
        <w:rPr>
          <w:rFonts w:hint="eastAsia" w:ascii="仿宋" w:hAnsi="仿宋" w:eastAsia="仿宋" w:cs="仿宋"/>
          <w:color w:val="auto"/>
          <w:highlight w:val="none"/>
        </w:rPr>
        <w:t>续签。</w:t>
      </w:r>
    </w:p>
    <w:p>
      <w:pPr>
        <w:pStyle w:val="3"/>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仿宋" w:hAnsi="仿宋" w:eastAsia="仿宋" w:cs="仿宋"/>
          <w:b/>
          <w:color w:val="auto"/>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color w:val="auto"/>
          <w:kern w:val="0"/>
          <w:sz w:val="24"/>
          <w:highlight w:val="none"/>
        </w:rPr>
        <w:t xml:space="preserve"> </w:t>
      </w:r>
      <w:sdt>
        <w:sdtPr>
          <w:rPr>
            <w:rFonts w:hint="eastAsia" w:ascii="仿宋" w:hAnsi="仿宋" w:eastAsia="仿宋" w:cs="仿宋"/>
            <w:color w:val="auto"/>
            <w:kern w:val="0"/>
            <w:sz w:val="24"/>
            <w:highlight w:val="none"/>
          </w:rPr>
          <w:id w:val="-441836950"/>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b/>
          <w:color w:val="auto"/>
          <w:sz w:val="24"/>
          <w:highlight w:val="none"/>
        </w:rPr>
        <w:t>是；</w:t>
      </w:r>
      <w:sdt>
        <w:sdtPr>
          <w:rPr>
            <w:rFonts w:hint="eastAsia" w:ascii="仿宋" w:hAnsi="仿宋" w:eastAsia="仿宋" w:cs="仿宋"/>
            <w:color w:val="auto"/>
            <w:kern w:val="0"/>
            <w:sz w:val="24"/>
            <w:highlight w:val="none"/>
          </w:rPr>
          <w:id w:val="-1591624199"/>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w:t>
      </w:r>
      <w:r>
        <w:rPr>
          <w:rFonts w:hint="eastAsia" w:ascii="仿宋" w:hAnsi="仿宋" w:eastAsia="仿宋" w:cs="仿宋"/>
          <w:color w:val="auto"/>
          <w:highlight w:val="none"/>
        </w:rPr>
        <w:t xml:space="preserve"> </w:t>
      </w:r>
      <w:r>
        <w:rPr>
          <w:rFonts w:hint="eastAsia" w:ascii="仿宋" w:hAnsi="仿宋" w:eastAsia="仿宋" w:cs="仿宋"/>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3.落实政府采购政策需满足的资格要求：</w:t>
      </w:r>
    </w:p>
    <w:p>
      <w:pPr>
        <w:spacing w:line="360" w:lineRule="auto"/>
        <w:ind w:firstLine="480" w:firstLineChars="200"/>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928616923"/>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无</w:t>
      </w:r>
      <w:r>
        <w:rPr>
          <w:rFonts w:hint="eastAsia" w:ascii="仿宋" w:hAnsi="仿宋" w:eastAsia="仿宋" w:cs="仿宋"/>
          <w:snapToGrid w:val="0"/>
          <w:color w:val="auto"/>
          <w:kern w:val="28"/>
          <w:sz w:val="24"/>
          <w:szCs w:val="20"/>
          <w:highlight w:val="none"/>
        </w:rPr>
        <w:t>（注：不得限制大中型企业与小微企业组成联合体参与投标）；</w:t>
      </w:r>
    </w:p>
    <w:p>
      <w:pPr>
        <w:spacing w:line="360" w:lineRule="auto"/>
        <w:ind w:firstLine="480" w:firstLineChars="200"/>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024704304"/>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333685401"/>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214102535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服务全部由符合政策要求的小微企业承接，提供中小企业声明函；</w:t>
      </w:r>
    </w:p>
    <w:p>
      <w:pPr>
        <w:rPr>
          <w:rFonts w:hint="eastAsia" w:ascii="仿宋" w:hAnsi="仿宋" w:eastAsia="仿宋" w:cs="仿宋"/>
          <w:color w:val="auto"/>
          <w:highlight w:val="none"/>
        </w:rPr>
      </w:pPr>
    </w:p>
    <w:p>
      <w:pPr>
        <w:spacing w:line="360" w:lineRule="auto"/>
        <w:ind w:firstLine="480" w:firstLineChars="200"/>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98560779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%，其中小微企业合同金额应当达到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3463064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要求合同分包，提供分包意向协议和中小企业声明函，分包意向协议中中小企业合同金额应当达到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，其中小微企业合同金额应当达到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w:t>
      </w:r>
      <w:r>
        <w:rPr>
          <w:rFonts w:hint="eastAsia" w:ascii="仿宋" w:hAnsi="仿宋" w:eastAsia="仿宋" w:cs="仿宋"/>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4.本项目的特定资格要求：无；</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 xml:space="preserve"> 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分00秒</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 xml:space="preserve"> 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14</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分00秒</w:t>
      </w:r>
      <w:r>
        <w:rPr>
          <w:rFonts w:hint="eastAsia" w:ascii="仿宋" w:hAnsi="仿宋" w:eastAsia="仿宋" w:cs="仿宋"/>
          <w:bCs/>
          <w:color w:val="auto"/>
          <w:sz w:val="24"/>
          <w:highlight w:val="none"/>
          <w:u w:val="single"/>
        </w:rPr>
        <w:t xml:space="preserve">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名    称：</w:t>
      </w:r>
      <w:r>
        <w:rPr>
          <w:rFonts w:hint="eastAsia" w:ascii="仿宋" w:hAnsi="仿宋" w:eastAsia="仿宋" w:cs="仿宋"/>
          <w:color w:val="auto"/>
          <w:sz w:val="24"/>
          <w:highlight w:val="none"/>
          <w:lang w:eastAsia="zh-CN"/>
        </w:rPr>
        <w:t xml:space="preserve">杭州市拱墅区人民政府湖墅街道办事处  </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 xml:space="preserve">    地    址：</w:t>
      </w:r>
      <w:r>
        <w:rPr>
          <w:rFonts w:hint="eastAsia" w:ascii="仿宋" w:hAnsi="仿宋" w:eastAsia="仿宋" w:cs="仿宋"/>
          <w:color w:val="auto"/>
          <w:sz w:val="24"/>
          <w:highlight w:val="none"/>
          <w:lang w:val="en-US" w:eastAsia="zh-CN"/>
        </w:rPr>
        <w:t>杭州市</w:t>
      </w:r>
      <w:r>
        <w:rPr>
          <w:rFonts w:hint="eastAsia" w:ascii="仿宋" w:hAnsi="仿宋" w:eastAsia="仿宋" w:cs="仿宋"/>
          <w:color w:val="auto"/>
          <w:sz w:val="24"/>
          <w:highlight w:val="none"/>
          <w:lang w:eastAsia="zh-CN"/>
        </w:rPr>
        <w:t xml:space="preserve">拱墅区珠儿潭巷10号      </w:t>
      </w:r>
    </w:p>
    <w:p>
      <w:pPr>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传    真：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项目联系人（询问）：</w:t>
      </w:r>
      <w:r>
        <w:rPr>
          <w:rFonts w:hint="eastAsia" w:ascii="仿宋" w:hAnsi="仿宋" w:eastAsia="仿宋" w:cs="仿宋"/>
          <w:color w:val="auto"/>
          <w:sz w:val="24"/>
          <w:highlight w:val="none"/>
          <w:lang w:val="en-US" w:eastAsia="zh-CN"/>
        </w:rPr>
        <w:t>沈</w:t>
      </w:r>
      <w:r>
        <w:rPr>
          <w:rFonts w:hint="eastAsia" w:ascii="仿宋" w:hAnsi="仿宋" w:eastAsia="仿宋" w:cs="仿宋"/>
          <w:color w:val="auto"/>
          <w:sz w:val="24"/>
          <w:highlight w:val="none"/>
        </w:rPr>
        <w:t>工</w:t>
      </w:r>
    </w:p>
    <w:p>
      <w:pP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项目联系方式（询问）：</w:t>
      </w:r>
      <w:r>
        <w:rPr>
          <w:rFonts w:hint="eastAsia" w:ascii="仿宋" w:hAnsi="仿宋" w:eastAsia="仿宋" w:cs="仿宋"/>
          <w:color w:val="auto"/>
          <w:sz w:val="24"/>
          <w:highlight w:val="none"/>
          <w:lang w:val="en-US" w:eastAsia="zh-CN"/>
        </w:rPr>
        <w:t>0571-58103045</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质疑联系人： </w:t>
      </w:r>
      <w:r>
        <w:rPr>
          <w:rFonts w:hint="eastAsia" w:ascii="仿宋" w:hAnsi="仿宋" w:eastAsia="仿宋" w:cs="仿宋"/>
          <w:color w:val="auto"/>
          <w:sz w:val="24"/>
          <w:highlight w:val="none"/>
          <w:lang w:val="en-US" w:eastAsia="zh-CN"/>
        </w:rPr>
        <w:t>沈工</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质疑联系方式：</w:t>
      </w:r>
      <w:r>
        <w:rPr>
          <w:rFonts w:hint="eastAsia" w:ascii="仿宋" w:hAnsi="仿宋" w:eastAsia="仿宋" w:cs="仿宋"/>
          <w:color w:val="auto"/>
          <w:sz w:val="24"/>
          <w:highlight w:val="none"/>
          <w:lang w:val="en-US" w:eastAsia="zh-CN"/>
        </w:rPr>
        <w:t>0571-58103062</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            </w:t>
      </w:r>
    </w:p>
    <w:p>
      <w:pPr>
        <w:spacing w:line="360" w:lineRule="auto"/>
        <w:ind w:firstLine="48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名    称：</w:t>
      </w:r>
      <w:r>
        <w:rPr>
          <w:rFonts w:hint="eastAsia" w:ascii="仿宋" w:hAnsi="仿宋" w:eastAsia="仿宋" w:cs="仿宋"/>
          <w:color w:val="auto"/>
          <w:sz w:val="24"/>
          <w:highlight w:val="none"/>
          <w:lang w:eastAsia="zh-CN"/>
        </w:rPr>
        <w:t>杭州君信工程咨询有限公司</w:t>
      </w:r>
    </w:p>
    <w:p>
      <w:pPr>
        <w:spacing w:line="360" w:lineRule="auto"/>
        <w:ind w:firstLine="48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lang w:eastAsia="zh-CN"/>
        </w:rPr>
        <w:t>杭州市余杭区五常街道高巨大厦B座417室</w:t>
      </w:r>
    </w:p>
    <w:p>
      <w:pPr>
        <w:spacing w:line="360" w:lineRule="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传    真：</w:t>
      </w:r>
      <w:r>
        <w:rPr>
          <w:rFonts w:hint="eastAsia" w:ascii="仿宋" w:hAnsi="仿宋" w:eastAsia="仿宋" w:cs="仿宋"/>
          <w:color w:val="auto"/>
          <w:sz w:val="24"/>
          <w:highlight w:val="none"/>
          <w:lang w:val="en-US" w:eastAsia="zh-CN"/>
        </w:rPr>
        <w:t>/</w:t>
      </w:r>
    </w:p>
    <w:p>
      <w:pP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项目联系人（询问）：</w:t>
      </w:r>
      <w:r>
        <w:rPr>
          <w:rFonts w:hint="eastAsia" w:ascii="仿宋" w:hAnsi="仿宋" w:eastAsia="仿宋" w:cs="仿宋"/>
          <w:color w:val="auto"/>
          <w:sz w:val="24"/>
          <w:highlight w:val="none"/>
          <w:lang w:val="en-US" w:eastAsia="zh-CN"/>
        </w:rPr>
        <w:t>钱浩萍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项目联系方式（询问）：13989823649</w:t>
      </w:r>
    </w:p>
    <w:p>
      <w:pP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质疑联系人：</w:t>
      </w:r>
      <w:r>
        <w:rPr>
          <w:rFonts w:hint="eastAsia" w:ascii="仿宋" w:hAnsi="仿宋" w:eastAsia="仿宋" w:cs="仿宋"/>
          <w:color w:val="auto"/>
          <w:sz w:val="24"/>
          <w:highlight w:val="none"/>
          <w:lang w:val="en-US" w:eastAsia="zh-CN"/>
        </w:rPr>
        <w:t>何杭峰</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质疑联系方式：13676891057</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名    称：杭州市拱墅区财政局、浙江省政府采购行政裁决服务中心（杭州）</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址：杭州市上城区四季青街道新业路市民之家G03办公室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传    真：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联系人 ：朱女士、王女士</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监督投诉电话：电话：0571-85252453   </w:t>
      </w:r>
    </w:p>
    <w:p>
      <w:pPr>
        <w:spacing w:line="360" w:lineRule="auto"/>
        <w:ind w:firstLine="48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政策咨询：陈先生、厉先生，0571-89580460、89580456</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widowControl/>
        <w:adjustRightInd/>
        <w:jc w:val="left"/>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第二部分</w:t>
      </w:r>
      <w:bookmarkEnd w:id="6"/>
      <w:r>
        <w:rPr>
          <w:rFonts w:hint="eastAsia" w:ascii="仿宋" w:hAnsi="仿宋" w:eastAsia="仿宋" w:cs="仿宋"/>
          <w:b/>
          <w:color w:val="auto"/>
          <w:sz w:val="36"/>
          <w:szCs w:val="20"/>
          <w:highlight w:val="none"/>
        </w:rPr>
        <w:t xml:space="preserve"> 投标人须知</w:t>
      </w:r>
      <w:bookmarkEnd w:id="7"/>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654"/>
        <w:gridCol w:w="6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654" w:type="dxa"/>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284" w:type="dxa"/>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654" w:type="dxa"/>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项目属性</w:t>
            </w:r>
          </w:p>
        </w:tc>
        <w:tc>
          <w:tcPr>
            <w:tcW w:w="6284"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654" w:type="dxa"/>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采购标的及其对应的中小企业划分标准所属行业</w:t>
            </w:r>
          </w:p>
        </w:tc>
        <w:tc>
          <w:tcPr>
            <w:tcW w:w="6284"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（1）标的：</w:t>
            </w:r>
            <w:r>
              <w:rPr>
                <w:rFonts w:hint="eastAsia" w:ascii="仿宋" w:hAnsi="仿宋" w:eastAsia="仿宋" w:cs="仿宋"/>
                <w:color w:val="auto"/>
                <w:kern w:val="0"/>
                <w:sz w:val="24"/>
                <w:highlight w:val="none"/>
                <w:u w:val="single"/>
              </w:rPr>
              <w:t xml:space="preserve"> 驻点服务 </w:t>
            </w:r>
            <w:r>
              <w:rPr>
                <w:rFonts w:hint="eastAsia" w:ascii="仿宋" w:hAnsi="仿宋" w:eastAsia="仿宋" w:cs="仿宋"/>
                <w:color w:val="auto"/>
                <w:kern w:val="0"/>
                <w:sz w:val="24"/>
                <w:highlight w:val="none"/>
              </w:rPr>
              <w:t>，属于</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sz w:val="24"/>
                <w:highlight w:val="none"/>
                <w:u w:val="single"/>
                <w:lang w:val="en-US"/>
              </w:rPr>
              <w:t>租赁和商务服务业</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行业；</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color w:val="auto"/>
                <w:highlight w:val="none"/>
                <w:lang w:val="en-US" w:eastAsia="zh-CN"/>
              </w:rPr>
            </w:pPr>
            <w:r>
              <w:rPr>
                <w:rFonts w:hint="eastAsia" w:ascii="仿宋" w:hAnsi="仿宋" w:eastAsia="仿宋" w:cs="仿宋"/>
                <w:color w:val="auto"/>
                <w:sz w:val="24"/>
                <w:highlight w:val="none"/>
                <w:u w:val="single"/>
                <w:lang w:val="en-US" w:eastAsia="zh-CN"/>
              </w:rPr>
              <w:t>“（十五）</w:t>
            </w:r>
            <w:r>
              <w:rPr>
                <w:rFonts w:hint="eastAsia" w:ascii="仿宋" w:hAnsi="仿宋" w:eastAsia="仿宋" w:cs="仿宋"/>
                <w:color w:val="auto"/>
                <w:sz w:val="24"/>
                <w:highlight w:val="none"/>
                <w:u w:val="single"/>
                <w:lang w:val="en-US"/>
              </w:rPr>
              <w:t>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仿宋" w:hAnsi="仿宋" w:eastAsia="仿宋" w:cs="仿宋"/>
                <w:color w:val="auto"/>
                <w:sz w:val="24"/>
                <w:highlight w:val="none"/>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8" w:hRule="atLeast"/>
          <w:tblHeader/>
        </w:trPr>
        <w:tc>
          <w:tcPr>
            <w:tcW w:w="629"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1654" w:type="dxa"/>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284"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828425707"/>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本项目不允许采购进口产品。</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color w:val="auto"/>
                <w:highlight w:val="none"/>
              </w:rPr>
            </w:pPr>
            <w:sdt>
              <w:sdtPr>
                <w:rPr>
                  <w:rFonts w:hint="eastAsia" w:ascii="仿宋" w:hAnsi="仿宋" w:eastAsia="仿宋" w:cs="仿宋"/>
                  <w:color w:val="auto"/>
                  <w:kern w:val="0"/>
                  <w:sz w:val="24"/>
                  <w:highlight w:val="none"/>
                </w:rPr>
                <w:id w:val="-5285282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可以就</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2" w:hRule="atLeast"/>
          <w:tblHeader/>
        </w:trPr>
        <w:tc>
          <w:tcPr>
            <w:tcW w:w="629"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1654" w:type="dxa"/>
            <w:vAlign w:val="center"/>
          </w:tcPr>
          <w:p>
            <w:pPr>
              <w:snapToGrid w:val="0"/>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284"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477286927"/>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仿宋" w:cs="仿宋"/>
                    <w:color w:val="auto"/>
                    <w:kern w:val="0"/>
                    <w:sz w:val="24"/>
                    <w:szCs w:val="24"/>
                    <w:highlight w:val="none"/>
                    <w:lang w:val="en-US" w:eastAsia="zh-CN" w:bidi="ar-SA"/>
                  </w:rPr>
                  <w:t>☐</w:t>
                </w:r>
              </w:sdtContent>
            </w:sdt>
            <w:r>
              <w:rPr>
                <w:rFonts w:hint="eastAsia" w:ascii="仿宋" w:hAnsi="仿宋" w:eastAsia="仿宋" w:cs="仿宋"/>
                <w:color w:val="auto"/>
                <w:kern w:val="0"/>
                <w:sz w:val="24"/>
                <w:highlight w:val="none"/>
              </w:rPr>
              <w:t xml:space="preserve"> A</w:t>
            </w:r>
            <w:r>
              <w:rPr>
                <w:rFonts w:hint="eastAsia" w:ascii="仿宋" w:hAnsi="仿宋" w:eastAsia="仿宋" w:cs="仿宋"/>
                <w:color w:val="auto"/>
                <w:sz w:val="24"/>
                <w:highlight w:val="none"/>
              </w:rPr>
              <w:t>同意将非主体、非关键性的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工作分包。</w:t>
            </w:r>
            <w:sdt>
              <w:sdtPr>
                <w:rPr>
                  <w:rFonts w:hint="eastAsia" w:ascii="仿宋" w:hAnsi="仿宋" w:eastAsia="仿宋" w:cs="仿宋"/>
                  <w:color w:val="auto"/>
                  <w:kern w:val="0"/>
                  <w:sz w:val="24"/>
                  <w:highlight w:val="none"/>
                </w:rPr>
                <w:id w:val="-1276331357"/>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 xml:space="preserve"> B</w:t>
            </w:r>
            <w:r>
              <w:rPr>
                <w:rFonts w:hint="eastAsia" w:ascii="仿宋" w:hAnsi="仿宋" w:eastAsia="仿宋" w:cs="仿宋"/>
                <w:color w:val="auto"/>
                <w:sz w:val="24"/>
                <w:highlight w:val="none"/>
              </w:rPr>
              <w:t>不同意分包。</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9" w:hRule="atLeast"/>
          <w:tblHeader/>
        </w:trPr>
        <w:tc>
          <w:tcPr>
            <w:tcW w:w="629"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1654" w:type="dxa"/>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284"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21296641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color w:val="auto"/>
                <w:sz w:val="24"/>
                <w:szCs w:val="20"/>
                <w:highlight w:val="none"/>
              </w:rPr>
            </w:pPr>
            <w:sdt>
              <w:sdtPr>
                <w:rPr>
                  <w:rFonts w:hint="eastAsia" w:ascii="仿宋" w:hAnsi="仿宋" w:eastAsia="仿宋" w:cs="仿宋"/>
                  <w:color w:val="auto"/>
                  <w:kern w:val="0"/>
                  <w:sz w:val="24"/>
                  <w:highlight w:val="none"/>
                </w:rPr>
                <w:id w:val="-99980297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1654" w:type="dxa"/>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284"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63994648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02683198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B要求提供，</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r>
              <w:rPr>
                <w:rFonts w:hint="eastAsia" w:ascii="仿宋" w:hAnsi="仿宋" w:eastAsia="仿宋" w:cs="仿宋"/>
                <w:snapToGrid w:val="0"/>
                <w:color w:val="auto"/>
                <w:kern w:val="28"/>
                <w:sz w:val="24"/>
                <w:highlight w:val="none"/>
              </w:rPr>
              <w:t>样品：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snapToGrid w:val="0"/>
                <w:color w:val="auto"/>
                <w:kern w:val="28"/>
                <w:sz w:val="24"/>
                <w:highlight w:val="none"/>
              </w:rPr>
              <w:t>样品制作的标准和要求：</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（3）样品的评审方法以及评审标准</w:t>
            </w:r>
            <w:r>
              <w:rPr>
                <w:rFonts w:hint="eastAsia" w:ascii="仿宋" w:hAnsi="仿宋" w:eastAsia="仿宋" w:cs="仿宋"/>
                <w:snapToGrid w:val="0"/>
                <w:color w:val="auto"/>
                <w:kern w:val="28"/>
                <w:sz w:val="24"/>
                <w:highlight w:val="none"/>
              </w:rPr>
              <w:t>：详见</w:t>
            </w:r>
            <w:r>
              <w:rPr>
                <w:rFonts w:hint="eastAsia" w:ascii="仿宋" w:hAnsi="仿宋" w:eastAsia="仿宋" w:cs="仿宋"/>
                <w:color w:val="auto"/>
                <w:sz w:val="24"/>
                <w:highlight w:val="none"/>
                <w:u w:val="single"/>
              </w:rPr>
              <w:t>评标办法</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（4）是否需要随样品提交检测报告：</w:t>
            </w:r>
            <w:sdt>
              <w:sdtPr>
                <w:rPr>
                  <w:rFonts w:hint="eastAsia" w:ascii="仿宋" w:hAnsi="仿宋" w:eastAsia="仿宋" w:cs="仿宋"/>
                  <w:color w:val="auto"/>
                  <w:kern w:val="0"/>
                  <w:sz w:val="24"/>
                  <w:highlight w:val="none"/>
                </w:rPr>
                <w:id w:val="130342145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否；</w:t>
            </w:r>
            <w:sdt>
              <w:sdtPr>
                <w:rPr>
                  <w:rFonts w:hint="eastAsia" w:ascii="仿宋" w:hAnsi="仿宋" w:eastAsia="仿宋" w:cs="仿宋"/>
                  <w:color w:val="auto"/>
                  <w:kern w:val="0"/>
                  <w:sz w:val="24"/>
                  <w:highlight w:val="none"/>
                </w:rPr>
                <w:id w:val="1621728433"/>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是，检测机构的要求</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；检测内容</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（5）提供样品的时间：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；联系人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28"/>
                <w:sz w:val="24"/>
                <w:highlight w:val="none"/>
              </w:rPr>
              <w:t>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采购活动结束后，对于未中标人提供的样品，采购人、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将通知未中标人在规定的时间内取回，逾期未取回的，采购人、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不负保管义务；对于中标人提供的样品，采购人将进行保管、封存，并作为履约验收的参考。</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165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284" w:type="dxa"/>
            <w:vAlign w:val="center"/>
          </w:tcPr>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85934854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174071719"/>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B组织。</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（1）在评标时安排每个投标人进行方案讲解演示。每个投标人时间不超过</w:t>
            </w:r>
            <w:r>
              <w:rPr>
                <w:rFonts w:hint="eastAsia" w:ascii="仿宋" w:hAnsi="仿宋" w:eastAsia="仿宋" w:cs="仿宋"/>
                <w:color w:val="auto"/>
                <w:kern w:val="0"/>
                <w:sz w:val="24"/>
                <w:highlight w:val="none"/>
                <w:u w:val="single"/>
              </w:rPr>
              <w:t>20</w:t>
            </w:r>
            <w:r>
              <w:rPr>
                <w:rFonts w:hint="eastAsia" w:ascii="仿宋" w:hAnsi="仿宋" w:eastAsia="仿宋" w:cs="仿宋"/>
                <w:color w:val="auto"/>
                <w:kern w:val="0"/>
                <w:sz w:val="24"/>
                <w:highlight w:val="none"/>
                <w:u w:val="single"/>
                <w:lang w:eastAsia="zh-CN"/>
              </w:rPr>
              <w:t>（</w:t>
            </w:r>
            <w:r>
              <w:rPr>
                <w:rFonts w:hint="eastAsia" w:ascii="仿宋" w:hAnsi="仿宋" w:eastAsia="仿宋" w:cs="仿宋"/>
                <w:color w:val="auto"/>
                <w:kern w:val="0"/>
                <w:sz w:val="24"/>
                <w:highlight w:val="none"/>
                <w:u w:val="single"/>
                <w:lang w:val="en-US" w:eastAsia="zh-CN"/>
              </w:rPr>
              <w:t>编制时可根据项目情况进行调整</w:t>
            </w:r>
            <w:r>
              <w:rPr>
                <w:rFonts w:hint="eastAsia" w:ascii="仿宋" w:hAnsi="仿宋" w:eastAsia="仿宋" w:cs="仿宋"/>
                <w:color w:val="auto"/>
                <w:kern w:val="0"/>
                <w:sz w:val="24"/>
                <w:highlight w:val="none"/>
                <w:u w:val="single"/>
                <w:lang w:eastAsia="zh-CN"/>
              </w:rPr>
              <w:t>）</w:t>
            </w:r>
            <w:r>
              <w:rPr>
                <w:rFonts w:hint="eastAsia" w:ascii="仿宋" w:hAnsi="仿宋" w:eastAsia="仿宋" w:cs="仿宋"/>
                <w:color w:val="auto"/>
                <w:kern w:val="0"/>
                <w:sz w:val="24"/>
                <w:highlight w:val="none"/>
              </w:rPr>
              <w:t>分钟，讲解次序以投标文件解密时间先后次序为准，讲解演示人员不超过</w:t>
            </w:r>
            <w:r>
              <w:rPr>
                <w:rFonts w:hint="eastAsia" w:ascii="仿宋" w:hAnsi="仿宋" w:eastAsia="仿宋" w:cs="仿宋"/>
                <w:color w:val="auto"/>
                <w:kern w:val="0"/>
                <w:sz w:val="24"/>
                <w:highlight w:val="none"/>
                <w:u w:val="single"/>
              </w:rPr>
              <w:t>3</w:t>
            </w:r>
            <w:r>
              <w:rPr>
                <w:rFonts w:hint="eastAsia" w:ascii="仿宋" w:hAnsi="仿宋" w:eastAsia="仿宋" w:cs="仿宋"/>
                <w:color w:val="auto"/>
                <w:kern w:val="0"/>
                <w:sz w:val="24"/>
                <w:highlight w:val="none"/>
                <w:u w:val="single"/>
                <w:lang w:eastAsia="zh-CN"/>
              </w:rPr>
              <w:t>（</w:t>
            </w:r>
            <w:r>
              <w:rPr>
                <w:rFonts w:hint="eastAsia" w:ascii="仿宋" w:hAnsi="仿宋" w:eastAsia="仿宋" w:cs="仿宋"/>
                <w:color w:val="auto"/>
                <w:kern w:val="0"/>
                <w:sz w:val="24"/>
                <w:highlight w:val="none"/>
                <w:u w:val="single"/>
                <w:lang w:val="en-US" w:eastAsia="zh-CN"/>
              </w:rPr>
              <w:t>编制时可根据项目情况进行调整</w:t>
            </w:r>
            <w:r>
              <w:rPr>
                <w:rFonts w:hint="eastAsia" w:ascii="仿宋" w:hAnsi="仿宋" w:eastAsia="仿宋" w:cs="仿宋"/>
                <w:color w:val="auto"/>
                <w:kern w:val="0"/>
                <w:sz w:val="24"/>
                <w:highlight w:val="none"/>
                <w:u w:val="single"/>
                <w:lang w:eastAsia="zh-CN"/>
              </w:rPr>
              <w:t>）</w:t>
            </w:r>
            <w:r>
              <w:rPr>
                <w:rFonts w:hint="eastAsia" w:ascii="仿宋" w:hAnsi="仿宋" w:eastAsia="仿宋" w:cs="仿宋"/>
                <w:color w:val="auto"/>
                <w:kern w:val="0"/>
                <w:sz w:val="24"/>
                <w:highlight w:val="none"/>
              </w:rPr>
              <w:t>人。讲解演示结束后按要求解答评标委员会提问。</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（2）方案讲解演示可选择以下其中一种方式：</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方式一：政采云平台在线讲解演示。政采云平台在线讲解需投标人根据政采云平台操作要求做好准备工作，提前完善软硬件配置环境。</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方式二：交易中心现场讲解演示。现场讲解地点为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，讲解演示所用电脑等设备由投标人自备。现场讲解演示人员进场时提供讲解人员名单（加盖公章或授权代表签名）及身份证明，否则不得讲解演示。</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vMerge w:val="restart"/>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1654" w:type="dxa"/>
            <w:vMerge w:val="restart"/>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2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（1）资格证明文件：见招标文件第二部分11.1。</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vMerge w:val="continue"/>
          </w:tcPr>
          <w:p>
            <w:pPr>
              <w:snapToGrid w:val="0"/>
              <w:spacing w:line="360" w:lineRule="auto"/>
              <w:jc w:val="center"/>
              <w:rPr>
                <w:rFonts w:hint="eastAsia" w:ascii="仿宋" w:hAnsi="仿宋" w:eastAsia="仿宋" w:cs="仿宋"/>
                <w:color w:val="auto"/>
                <w:sz w:val="24"/>
                <w:highlight w:val="none"/>
              </w:rPr>
            </w:pPr>
          </w:p>
        </w:tc>
        <w:tc>
          <w:tcPr>
            <w:tcW w:w="1654" w:type="dxa"/>
            <w:vMerge w:val="continue"/>
            <w:vAlign w:val="center"/>
          </w:tcPr>
          <w:p>
            <w:pPr>
              <w:snapToGrid w:val="0"/>
              <w:spacing w:line="360" w:lineRule="auto"/>
              <w:jc w:val="center"/>
              <w:rPr>
                <w:rFonts w:hint="eastAsia" w:ascii="仿宋" w:hAnsi="仿宋" w:eastAsia="仿宋" w:cs="仿宋"/>
                <w:b/>
                <w:color w:val="auto"/>
                <w:sz w:val="24"/>
                <w:highlight w:val="none"/>
              </w:rPr>
            </w:pPr>
          </w:p>
        </w:tc>
        <w:tc>
          <w:tcPr>
            <w:tcW w:w="62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9</w:t>
            </w:r>
          </w:p>
        </w:tc>
        <w:tc>
          <w:tcPr>
            <w:tcW w:w="1654" w:type="dxa"/>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2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auto"/>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10</w:t>
            </w:r>
          </w:p>
        </w:tc>
        <w:tc>
          <w:tcPr>
            <w:tcW w:w="1654" w:type="dxa"/>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284"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b/>
                <w:bCs/>
                <w:color w:val="auto"/>
                <w:kern w:val="0"/>
                <w:sz w:val="24"/>
                <w:highlight w:val="none"/>
                <w:lang w:val="zh-CN"/>
              </w:rPr>
              <w:t>投标文件</w:t>
            </w:r>
            <w:r>
              <w:rPr>
                <w:rFonts w:hint="eastAsia" w:ascii="仿宋" w:hAnsi="仿宋" w:eastAsia="仿宋" w:cs="仿宋"/>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highlight w:val="none"/>
                <w:lang w:val="zh-CN"/>
              </w:rPr>
              <w:t>提醒：验收时检测费用由采购人承担，不包含在投标总价中。</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投标报价超过招标文件中规定的预算金额或者最高限价;</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color w:val="auto"/>
                <w:sz w:val="24"/>
                <w:highlight w:val="none"/>
              </w:rPr>
            </w:pPr>
            <w:r>
              <w:rPr>
                <w:rFonts w:hint="eastAsia" w:ascii="仿宋" w:hAnsi="仿宋" w:eastAsia="仿宋" w:cs="仿宋"/>
                <w:b/>
                <w:color w:val="auto"/>
                <w:kern w:val="0"/>
                <w:sz w:val="24"/>
                <w:highlight w:val="none"/>
              </w:rPr>
              <w:t>投标人对根据修正原则修正后的报价不确认的</w:t>
            </w:r>
            <w:r>
              <w:rPr>
                <w:rFonts w:hint="eastAsia" w:ascii="仿宋" w:hAnsi="仿宋" w:eastAsia="仿宋" w:cs="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4" w:hRule="atLeast"/>
          <w:tblHeader/>
        </w:trPr>
        <w:tc>
          <w:tcPr>
            <w:tcW w:w="629"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1654" w:type="dxa"/>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284"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color w:val="auto"/>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8" w:hRule="atLeast"/>
          <w:tblHeader/>
        </w:trPr>
        <w:tc>
          <w:tcPr>
            <w:tcW w:w="629"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12</w:t>
            </w:r>
          </w:p>
        </w:tc>
        <w:tc>
          <w:tcPr>
            <w:tcW w:w="1654" w:type="dxa"/>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备份投标文件送达地点和签收人员 </w:t>
            </w:r>
          </w:p>
        </w:tc>
        <w:tc>
          <w:tcPr>
            <w:tcW w:w="6284" w:type="dxa"/>
            <w:vAlign w:val="center"/>
          </w:tcPr>
          <w:p>
            <w:pPr>
              <w:pStyle w:val="32"/>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color w:val="auto"/>
                <w:kern w:val="28"/>
                <w:sz w:val="24"/>
                <w:highlight w:val="none"/>
              </w:rPr>
            </w:pPr>
            <w:r>
              <w:rPr>
                <w:rFonts w:hint="eastAsia" w:ascii="仿宋" w:hAnsi="仿宋" w:eastAsia="仿宋" w:cs="仿宋"/>
                <w:color w:val="auto"/>
                <w:kern w:val="28"/>
                <w:sz w:val="24"/>
                <w:szCs w:val="24"/>
                <w:highlight w:val="none"/>
              </w:rPr>
              <w:t>备份投标文件送达地点：</w:t>
            </w:r>
            <w:r>
              <w:rPr>
                <w:rFonts w:hint="eastAsia" w:ascii="仿宋" w:hAnsi="仿宋" w:eastAsia="仿宋" w:cs="仿宋"/>
                <w:color w:val="auto"/>
                <w:kern w:val="28"/>
                <w:sz w:val="24"/>
                <w:szCs w:val="24"/>
                <w:highlight w:val="none"/>
                <w:u w:val="single"/>
                <w:lang w:eastAsia="zh-CN"/>
              </w:rPr>
              <w:t>杭州市余杭区五常街道高巨大厦B座417室</w:t>
            </w:r>
            <w:r>
              <w:rPr>
                <w:rFonts w:hint="eastAsia" w:ascii="仿宋" w:hAnsi="仿宋" w:eastAsia="仿宋" w:cs="仿宋"/>
                <w:color w:val="auto"/>
                <w:kern w:val="28"/>
                <w:sz w:val="24"/>
                <w:szCs w:val="24"/>
                <w:highlight w:val="none"/>
              </w:rPr>
              <w:t>；备份投标文件签收人员联系电话：</w:t>
            </w:r>
            <w:r>
              <w:rPr>
                <w:rFonts w:hint="eastAsia" w:ascii="仿宋" w:hAnsi="仿宋" w:eastAsia="仿宋" w:cs="仿宋"/>
                <w:color w:val="auto"/>
                <w:kern w:val="28"/>
                <w:sz w:val="24"/>
                <w:szCs w:val="24"/>
                <w:highlight w:val="none"/>
                <w:u w:val="single"/>
                <w:lang w:val="en-US" w:eastAsia="zh-CN"/>
              </w:rPr>
              <w:t>钱工；</w:t>
            </w:r>
            <w:r>
              <w:rPr>
                <w:rFonts w:hint="eastAsia" w:ascii="仿宋" w:hAnsi="仿宋" w:eastAsia="仿宋" w:cs="仿宋"/>
                <w:color w:val="auto"/>
                <w:sz w:val="24"/>
                <w:highlight w:val="none"/>
                <w:u w:val="single"/>
              </w:rPr>
              <w:t>13989823649</w:t>
            </w:r>
            <w:r>
              <w:rPr>
                <w:rFonts w:hint="eastAsia" w:ascii="仿宋" w:hAnsi="仿宋" w:eastAsia="仿宋" w:cs="仿宋"/>
                <w:color w:val="auto"/>
                <w:sz w:val="24"/>
                <w:szCs w:val="24"/>
                <w:highlight w:val="none"/>
              </w:rPr>
              <w:t>。</w:t>
            </w:r>
            <w:r>
              <w:rPr>
                <w:rFonts w:hint="eastAsia" w:ascii="仿宋" w:hAnsi="仿宋" w:eastAsia="仿宋" w:cs="仿宋"/>
                <w:b/>
                <w:color w:val="auto"/>
                <w:sz w:val="24"/>
                <w:szCs w:val="24"/>
                <w:highlight w:val="none"/>
              </w:rPr>
              <w:t>采购人、</w:t>
            </w:r>
            <w:r>
              <w:rPr>
                <w:rFonts w:hint="eastAsia" w:ascii="仿宋" w:hAnsi="仿宋" w:eastAsia="仿宋" w:cs="仿宋"/>
                <w:b/>
                <w:color w:val="auto"/>
                <w:sz w:val="24"/>
                <w:szCs w:val="24"/>
                <w:highlight w:val="none"/>
                <w:lang w:eastAsia="zh-CN"/>
              </w:rPr>
              <w:t>采购代理机构</w:t>
            </w:r>
            <w:r>
              <w:rPr>
                <w:rFonts w:hint="eastAsia" w:ascii="仿宋" w:hAnsi="仿宋" w:eastAsia="仿宋" w:cs="仿宋"/>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5" w:hRule="atLeast"/>
          <w:tblHeader/>
        </w:trPr>
        <w:tc>
          <w:tcPr>
            <w:tcW w:w="629" w:type="dxa"/>
            <w:vMerge w:val="restart"/>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13</w:t>
            </w:r>
          </w:p>
        </w:tc>
        <w:tc>
          <w:tcPr>
            <w:tcW w:w="1654" w:type="dxa"/>
            <w:vMerge w:val="restart"/>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284"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continue"/>
          </w:tcPr>
          <w:p>
            <w:pPr>
              <w:snapToGrid w:val="0"/>
              <w:spacing w:line="360" w:lineRule="auto"/>
              <w:jc w:val="center"/>
              <w:rPr>
                <w:rFonts w:hint="eastAsia" w:ascii="仿宋" w:hAnsi="仿宋" w:eastAsia="仿宋" w:cs="仿宋"/>
                <w:color w:val="auto"/>
                <w:sz w:val="24"/>
                <w:highlight w:val="none"/>
              </w:rPr>
            </w:pPr>
          </w:p>
        </w:tc>
        <w:tc>
          <w:tcPr>
            <w:tcW w:w="1654" w:type="dxa"/>
            <w:vMerge w:val="continue"/>
            <w:vAlign w:val="center"/>
          </w:tcPr>
          <w:p>
            <w:pPr>
              <w:snapToGrid w:val="0"/>
              <w:spacing w:line="360" w:lineRule="auto"/>
              <w:jc w:val="center"/>
              <w:rPr>
                <w:rFonts w:hint="eastAsia" w:ascii="仿宋" w:hAnsi="仿宋" w:eastAsia="仿宋" w:cs="仿宋"/>
                <w:b/>
                <w:color w:val="auto"/>
                <w:sz w:val="24"/>
                <w:highlight w:val="none"/>
              </w:rPr>
            </w:pPr>
          </w:p>
        </w:tc>
        <w:tc>
          <w:tcPr>
            <w:tcW w:w="6284"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snapToGrid w:val="0"/>
                <w:color w:val="auto"/>
                <w:kern w:val="28"/>
                <w:sz w:val="24"/>
                <w:highlight w:val="none"/>
              </w:rPr>
            </w:pPr>
            <w:sdt>
              <w:sdtPr>
                <w:rPr>
                  <w:rFonts w:hint="eastAsia" w:ascii="仿宋" w:hAnsi="仿宋" w:eastAsia="仿宋" w:cs="仿宋"/>
                  <w:color w:val="auto"/>
                  <w:kern w:val="0"/>
                  <w:sz w:val="24"/>
                  <w:highlight w:val="none"/>
                </w:rPr>
                <w:id w:val="-1816336663"/>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snapToGrid w:val="0"/>
                <w:color w:val="auto"/>
                <w:kern w:val="28"/>
                <w:sz w:val="24"/>
                <w:highlight w:val="none"/>
              </w:rPr>
              <w:t>联合体投标的，联合体各方均需按招标文件第四部分评标标准要求提供资信证明文件，否则视为不符合相关要求。</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eastAsia" w:ascii="仿宋" w:hAnsi="仿宋" w:eastAsia="仿宋" w:cs="仿宋"/>
                <w:snapToGrid w:val="0"/>
                <w:color w:val="auto"/>
                <w:kern w:val="28"/>
                <w:sz w:val="24"/>
                <w:highlight w:val="none"/>
              </w:rPr>
            </w:pPr>
            <w:sdt>
              <w:sdtPr>
                <w:rPr>
                  <w:rFonts w:hint="eastAsia" w:ascii="仿宋" w:hAnsi="仿宋" w:eastAsia="仿宋" w:cs="仿宋"/>
                  <w:color w:val="auto"/>
                  <w:kern w:val="0"/>
                  <w:sz w:val="24"/>
                  <w:highlight w:val="none"/>
                </w:rPr>
                <w:id w:val="-232311894"/>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vAlign w:val="center"/>
          </w:tcPr>
          <w:p>
            <w:pPr>
              <w:snapToGrid w:val="0"/>
              <w:spacing w:line="36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w:t>
            </w:r>
          </w:p>
        </w:tc>
        <w:tc>
          <w:tcPr>
            <w:tcW w:w="1654" w:type="dxa"/>
            <w:vAlign w:val="center"/>
          </w:tcPr>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bCs/>
                <w:color w:val="auto"/>
                <w:kern w:val="0"/>
                <w:sz w:val="24"/>
                <w:highlight w:val="none"/>
                <w:lang w:val="en-US" w:eastAsia="zh-CN"/>
              </w:rPr>
              <w:t>招标代理费</w:t>
            </w:r>
          </w:p>
        </w:tc>
        <w:tc>
          <w:tcPr>
            <w:tcW w:w="6284"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招标代理费由采购人支付。</w:t>
            </w:r>
          </w:p>
        </w:tc>
      </w:tr>
    </w:tbl>
    <w:p>
      <w:pPr>
        <w:snapToGrid w:val="0"/>
        <w:spacing w:line="360" w:lineRule="auto"/>
        <w:jc w:val="center"/>
        <w:rPr>
          <w:rFonts w:hint="eastAsia" w:ascii="仿宋" w:hAnsi="仿宋" w:eastAsia="仿宋" w:cs="仿宋"/>
          <w:b/>
          <w:color w:val="auto"/>
          <w:sz w:val="32"/>
          <w:szCs w:val="20"/>
          <w:highlight w:val="none"/>
        </w:rPr>
      </w:pPr>
    </w:p>
    <w:bookmarkEnd w:id="8"/>
    <w:p>
      <w:pPr>
        <w:rPr>
          <w:rFonts w:hint="eastAsia" w:ascii="仿宋" w:hAnsi="仿宋" w:eastAsia="仿宋" w:cs="仿宋"/>
          <w:b/>
          <w:color w:val="auto"/>
          <w:sz w:val="32"/>
          <w:szCs w:val="20"/>
          <w:highlight w:val="none"/>
        </w:rPr>
      </w:pPr>
      <w:bookmarkStart w:id="9" w:name="第三部分"/>
      <w:bookmarkStart w:id="10" w:name="_Toc164416483"/>
      <w:r>
        <w:rPr>
          <w:rFonts w:hint="eastAsia" w:ascii="仿宋" w:hAnsi="仿宋" w:eastAsia="仿宋" w:cs="仿宋"/>
          <w:b/>
          <w:color w:val="auto"/>
          <w:sz w:val="32"/>
          <w:szCs w:val="20"/>
          <w:highlight w:val="none"/>
        </w:rPr>
        <w:br w:type="page"/>
      </w:r>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”系指招标公告中载明的本项目的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w:t>
      </w:r>
      <w:r>
        <w:rPr>
          <w:rFonts w:hint="eastAsia" w:ascii="仿宋" w:hAnsi="仿宋" w:eastAsia="仿宋" w:cs="仿宋"/>
          <w:color w:val="auto"/>
          <w:sz w:val="24"/>
          <w:highlight w:val="none"/>
          <w:lang w:val="en-US" w:eastAsia="zh-CN"/>
        </w:rPr>
        <w:t>系</w:t>
      </w:r>
      <w:r>
        <w:rPr>
          <w:rFonts w:hint="eastAsia" w:ascii="仿宋" w:hAnsi="仿宋" w:eastAsia="仿宋" w:cs="仿宋"/>
          <w:color w:val="auto"/>
          <w:sz w:val="24"/>
          <w:highlight w:val="none"/>
        </w:rPr>
        <w:t>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w:t>
      </w:r>
      <w:sdt>
        <w:sdtPr>
          <w:rPr>
            <w:rFonts w:hint="eastAsia" w:ascii="仿宋" w:hAnsi="仿宋" w:eastAsia="仿宋" w:cs="仿宋"/>
            <w:color w:val="auto"/>
            <w:kern w:val="0"/>
            <w:sz w:val="24"/>
            <w:highlight w:val="none"/>
          </w:rPr>
          <w:id w:val="51297023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sz w:val="24"/>
          <w:highlight w:val="none"/>
        </w:rPr>
        <w:t>” 系指适用本项目的要求，“</w:t>
      </w:r>
      <w:sdt>
        <w:sdtPr>
          <w:rPr>
            <w:rFonts w:hint="eastAsia" w:ascii="仿宋" w:hAnsi="仿宋" w:eastAsia="仿宋" w:cs="仿宋"/>
            <w:color w:val="auto"/>
            <w:kern w:val="0"/>
            <w:sz w:val="24"/>
            <w:highlight w:val="none"/>
          </w:rPr>
          <w:id w:val="40488885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 系指不适用本项目的要求。</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不会对其加以限制，仍将按照公平竞争原则实施采购）；</w:t>
      </w:r>
      <w:r>
        <w:rPr>
          <w:rFonts w:hint="eastAsia" w:ascii="仿宋" w:hAnsi="仿宋" w:eastAsia="仿宋" w:cs="仿宋"/>
          <w:color w:val="auto"/>
          <w:kern w:val="0"/>
          <w:sz w:val="24"/>
          <w:highlight w:val="none"/>
        </w:rPr>
        <w:t>优先采购向我国企业转让技术、与我国企业签订消化吸收再创新方案的供应商的进口产品</w:t>
      </w:r>
      <w:r>
        <w:rPr>
          <w:rFonts w:hint="eastAsia" w:ascii="仿宋" w:hAnsi="仿宋" w:eastAsia="仿宋" w:cs="仿宋"/>
          <w:color w:val="auto"/>
          <w:sz w:val="24"/>
          <w:highlight w:val="none"/>
        </w:rPr>
        <w:t>。</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3.5平等对待内外资企业和符合条件的破产重整企业</w:t>
      </w:r>
    </w:p>
    <w:p>
      <w:pPr>
        <w:spacing w:line="360" w:lineRule="auto"/>
        <w:ind w:firstLine="240" w:firstLineChars="100"/>
        <w:rPr>
          <w:rFonts w:hint="eastAsia" w:ascii="仿宋" w:hAnsi="仿宋" w:eastAsia="仿宋" w:cs="仿宋"/>
          <w:b/>
          <w:color w:val="auto"/>
          <w:sz w:val="24"/>
          <w:highlight w:val="none"/>
        </w:rPr>
      </w:pPr>
      <w:r>
        <w:rPr>
          <w:rFonts w:hint="eastAsia" w:ascii="仿宋" w:hAnsi="仿宋" w:eastAsia="仿宋" w:cs="仿宋"/>
          <w:color w:val="auto"/>
          <w:sz w:val="24"/>
          <w:highlight w:val="none"/>
        </w:rPr>
        <w:t>平等对待内外资企业和符合条件的破产重整企业，切实保障企业公平竞争，平等维护企业的合法利益。</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4.3供应商质疑</w:t>
      </w:r>
    </w:p>
    <w:p>
      <w:pPr>
        <w:pStyle w:val="32"/>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提出质疑，否则，采购人或者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不予受理：</w:t>
      </w:r>
    </w:p>
    <w:p>
      <w:pPr>
        <w:pStyle w:val="3"/>
        <w:spacing w:line="360" w:lineRule="auto"/>
        <w:ind w:firstLine="480" w:firstLineChars="200"/>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int="eastAsia" w:ascii="仿宋" w:hAnsi="仿宋" w:eastAsia="仿宋" w:cs="仿宋"/>
          <w:color w:val="auto"/>
          <w:sz w:val="24"/>
          <w:highlight w:val="none"/>
        </w:rPr>
      </w:pPr>
      <w:r>
        <w:rPr>
          <w:rFonts w:hint="eastAsia" w:ascii="仿宋" w:hAnsi="仿宋" w:eastAsia="仿宋" w:cs="仿宋"/>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w:t>
      </w:r>
      <w:r>
        <w:rPr>
          <w:rFonts w:hint="eastAsia" w:ascii="仿宋" w:hAnsi="仿宋" w:eastAsia="仿宋" w:cs="仿宋"/>
          <w:color w:val="auto"/>
          <w:sz w:val="24"/>
          <w:highlight w:val="none"/>
        </w:rPr>
        <w:t>供应商提出质疑应当提交质疑函和必要的证明材料。质疑函应当包括下列内容：</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4.3.3.1供应商的姓名或者名称、地址、邮编、联系人及联系电话；</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4.3.3.2质疑项目的名称、编号；</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4.3.3.3具体、明确的质疑事项和与质疑事项相关的请求；</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4.3.3.4事实依据；</w:t>
      </w:r>
    </w:p>
    <w:p>
      <w:pPr>
        <w:pStyle w:val="32"/>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4.3.3.5必要的法律依据；</w:t>
      </w:r>
    </w:p>
    <w:p>
      <w:pPr>
        <w:pStyle w:val="32"/>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4.3.3.6提出质疑的日期。</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.5采购人或者</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4.4供应商投诉</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4.4.1质疑供应商对采购人、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的答复不满意或者采购人、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4.4.3供应商投诉应当有明确的请求和必要的证明材料。</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2"/>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提出。</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6.2 </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3"/>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w:t>
      </w:r>
      <w:r>
        <w:rPr>
          <w:rFonts w:hint="eastAsia" w:ascii="仿宋" w:hAnsi="仿宋" w:eastAsia="仿宋" w:cs="仿宋"/>
          <w:snapToGrid w:val="0"/>
          <w:color w:val="auto"/>
          <w:kern w:val="28"/>
          <w:sz w:val="24"/>
          <w:szCs w:val="20"/>
          <w:highlight w:val="none"/>
        </w:rPr>
        <w:t>联合协议（如果有)；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11.1.3落实政府采购政策需满足的资格要求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11.1.4本项目的特定资格要求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11.2.3分包意向协议（如果有)；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11.2.4符合性审查资料；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11.2.5评标标准相应的商务技术资料；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11.2.6投标标的清单；</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0" w:firstLineChars="200"/>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128"/>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128"/>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128"/>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128"/>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可以视情况延长投标文件提交的截止时间。在上述情况下，</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与投标人以前在投标截止期方面的全部权利、责任和义务，将适用于延长至新的投标截止期。</w:t>
      </w:r>
    </w:p>
    <w:p>
      <w:pPr>
        <w:pStyle w:val="32"/>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2"/>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w:t>
      </w:r>
      <w:r>
        <w:rPr>
          <w:rFonts w:hint="eastAsia" w:ascii="仿宋" w:hAnsi="仿宋" w:eastAsia="仿宋" w:cs="仿宋"/>
          <w:b/>
          <w:color w:val="auto"/>
          <w:sz w:val="24"/>
          <w:szCs w:val="24"/>
          <w:highlight w:val="none"/>
          <w:lang w:eastAsia="zh-CN"/>
        </w:rPr>
        <w:t>采购代理机构</w:t>
      </w:r>
      <w:r>
        <w:rPr>
          <w:rFonts w:hint="eastAsia" w:ascii="仿宋" w:hAnsi="仿宋" w:eastAsia="仿宋" w:cs="仿宋"/>
          <w:b/>
          <w:color w:val="auto"/>
          <w:sz w:val="24"/>
          <w:szCs w:val="24"/>
          <w:highlight w:val="none"/>
        </w:rPr>
        <w:t>不强制或变相强制投标人提交备份投标文件。</w:t>
      </w:r>
    </w:p>
    <w:p>
      <w:pPr>
        <w:pStyle w:val="32"/>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w:t>
      </w:r>
      <w:r>
        <w:rPr>
          <w:rFonts w:hint="eastAsia" w:ascii="仿宋" w:hAnsi="仿宋" w:eastAsia="仿宋" w:cs="仿宋"/>
          <w:color w:val="auto"/>
          <w:sz w:val="24"/>
          <w:highlight w:val="none"/>
          <w:lang w:val="en-US" w:eastAsia="zh-CN"/>
        </w:rPr>
        <w:t>等存储介质</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将拒绝接受逾期送达的备份投标文件。</w:t>
      </w:r>
    </w:p>
    <w:p>
      <w:pPr>
        <w:pStyle w:val="32"/>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highlight w:val="none"/>
        </w:rPr>
        <w:t>招标文件第二部分投标人须知前附表规定的备份投标文件送达地点；</w:t>
      </w:r>
      <w:r>
        <w:rPr>
          <w:rFonts w:hint="eastAsia" w:ascii="仿宋" w:hAnsi="仿宋" w:eastAsia="仿宋" w:cs="仿宋"/>
          <w:color w:val="auto"/>
          <w:sz w:val="24"/>
          <w:szCs w:val="24"/>
          <w:highlight w:val="none"/>
        </w:rPr>
        <w:t>送达时间以签收人签收时间为准。</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将拒绝接受逾期送达的备份投标文件。邮寄过程中，电子备份投标文件发生泄露、遗失、损坏或延期送达等情况的，由投标人自行负责。</w:t>
      </w:r>
    </w:p>
    <w:p>
      <w:pPr>
        <w:pStyle w:val="32"/>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15.5投标人仅提交备份投标文件，未在电子交易平台传输递交投标文件的，投标无效。</w:t>
      </w:r>
    </w:p>
    <w:p>
      <w:pPr>
        <w:pStyle w:val="128"/>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4"/>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有招标文件第四部分4.2规定的情形之一的，投标无效：</w:t>
      </w:r>
    </w:p>
    <w:p>
      <w:pPr>
        <w:pStyle w:val="128"/>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可以以书面形式通知投标人延长投标有效期。投标人同意延长的，不得要求或被允许修改其投标文件，投标人拒绝延长的，其投标无效。</w:t>
      </w:r>
    </w:p>
    <w:p>
      <w:pPr>
        <w:pStyle w:val="128"/>
        <w:spacing w:before="0"/>
        <w:ind w:firstLine="643"/>
        <w:rPr>
          <w:rFonts w:hint="eastAsia" w:ascii="仿宋" w:hAnsi="仿宋" w:eastAsia="仿宋" w:cs="仿宋"/>
          <w:b/>
          <w:color w:val="auto"/>
          <w:sz w:val="32"/>
          <w:highlight w:val="none"/>
        </w:rPr>
      </w:pPr>
    </w:p>
    <w:p>
      <w:pPr>
        <w:pStyle w:val="128"/>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554"/>
        <w:spacing w:before="0" w:line="360" w:lineRule="auto"/>
        <w:ind w:left="0" w:leftChars="0" w:firstLine="0" w:firstLineChars="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554"/>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pStyle w:val="554"/>
        <w:spacing w:before="0" w:line="360" w:lineRule="auto"/>
        <w:ind w:left="0" w:leftChars="0" w:firstLine="0" w:firstLineChars="0"/>
        <w:contextualSpacing/>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19</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资格审查</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w:t>
      </w: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sz w:val="24"/>
          <w:highlight w:val="none"/>
        </w:rPr>
        <w:t>采购人或</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依据法律法规和招标文件的规定，对投标人的资格进行审查。</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kern w:val="0"/>
          <w:szCs w:val="24"/>
          <w:highlight w:val="none"/>
          <w:lang w:val="en-US" w:eastAsia="zh-CN"/>
        </w:rPr>
        <w:t>2</w:t>
      </w:r>
      <w:r>
        <w:rPr>
          <w:rFonts w:hint="eastAsia" w:ascii="仿宋" w:hAnsi="仿宋" w:eastAsia="仿宋" w:cs="仿宋"/>
          <w:color w:val="auto"/>
          <w:kern w:val="0"/>
          <w:szCs w:val="24"/>
          <w:highlight w:val="none"/>
        </w:rPr>
        <w:t>投标人未按照招标文件要求提供与</w:t>
      </w:r>
      <w:r>
        <w:rPr>
          <w:rFonts w:hint="eastAsia" w:ascii="仿宋" w:hAnsi="仿宋" w:eastAsia="仿宋" w:cs="仿宋"/>
          <w:color w:val="auto"/>
          <w:highlight w:val="none"/>
        </w:rPr>
        <w:t>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rPr>
        <w:t>对未通过资格审查的投标人，采购人或</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告知其未通过的原因。</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合格投标人不足3家的，不再评标。</w:t>
      </w:r>
    </w:p>
    <w:p>
      <w:pPr>
        <w:pStyle w:val="128"/>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w:t>
      </w:r>
      <w:r>
        <w:rPr>
          <w:rFonts w:hint="eastAsia" w:ascii="仿宋" w:hAnsi="仿宋" w:eastAsia="仿宋" w:cs="仿宋"/>
          <w:b/>
          <w:color w:val="auto"/>
          <w:szCs w:val="24"/>
          <w:highlight w:val="none"/>
          <w:lang w:val="en-US" w:eastAsia="zh-CN"/>
        </w:rPr>
        <w:t>.</w:t>
      </w:r>
      <w:r>
        <w:rPr>
          <w:rFonts w:hint="eastAsia" w:ascii="仿宋" w:hAnsi="仿宋" w:eastAsia="仿宋" w:cs="仿宋"/>
          <w:b/>
          <w:color w:val="auto"/>
          <w:szCs w:val="24"/>
          <w:highlight w:val="none"/>
        </w:rPr>
        <w:t>信用信息查询</w:t>
      </w:r>
    </w:p>
    <w:p>
      <w:pPr>
        <w:pStyle w:val="128"/>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w:t>
      </w:r>
      <w:r>
        <w:rPr>
          <w:rFonts w:hint="eastAsia" w:ascii="仿宋" w:hAnsi="仿宋" w:eastAsia="仿宋" w:cs="仿宋"/>
          <w:color w:val="auto"/>
          <w:kern w:val="0"/>
          <w:szCs w:val="24"/>
          <w:highlight w:val="none"/>
          <w:lang w:eastAsia="zh-CN"/>
        </w:rPr>
        <w:t>采购代理机构</w:t>
      </w:r>
      <w:r>
        <w:rPr>
          <w:rFonts w:hint="eastAsia" w:ascii="仿宋" w:hAnsi="仿宋" w:eastAsia="仿宋" w:cs="仿宋"/>
          <w:color w:val="auto"/>
          <w:kern w:val="0"/>
          <w:szCs w:val="24"/>
          <w:highlight w:val="none"/>
        </w:rPr>
        <w:t>将在资格审查时通过“信用中国”网站(www.creditchina.gov.cn)、中国政府采购网(www.ccgp.gov.cn)渠道查询投标人接受资格时的信用记录。</w:t>
      </w:r>
    </w:p>
    <w:p>
      <w:pPr>
        <w:pStyle w:val="128"/>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128"/>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pStyle w:val="128"/>
        <w:spacing w:before="0"/>
        <w:ind w:left="0" w:leftChars="0" w:firstLine="0" w:firstLineChars="0"/>
        <w:rPr>
          <w:rFonts w:hint="eastAsia" w:ascii="仿宋" w:hAnsi="仿宋" w:eastAsia="仿宋" w:cs="仿宋"/>
          <w:color w:val="auto"/>
          <w:kern w:val="0"/>
          <w:szCs w:val="24"/>
          <w:highlight w:val="none"/>
        </w:rPr>
      </w:pPr>
      <w:bookmarkStart w:id="11" w:name="_Toc91899903"/>
      <w:r>
        <w:rPr>
          <w:rFonts w:hint="eastAsia" w:ascii="仿宋" w:hAnsi="仿宋" w:eastAsia="仿宋" w:cs="仿宋"/>
          <w:color w:val="auto"/>
          <w:kern w:val="0"/>
          <w:szCs w:val="24"/>
          <w:highlight w:val="none"/>
        </w:rPr>
        <w:t>21.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bCs/>
          <w:color w:val="auto"/>
          <w:kern w:val="0"/>
          <w:szCs w:val="24"/>
          <w:highlight w:val="none"/>
        </w:rPr>
        <w:t>详见招标文件第四部分评标办法。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六、定标</w:t>
      </w:r>
    </w:p>
    <w:p>
      <w:pPr>
        <w:pStyle w:val="24"/>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22.确定中标供应商</w:t>
      </w:r>
    </w:p>
    <w:p>
      <w:pPr>
        <w:pStyle w:val="128"/>
        <w:snapToGrid w:val="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通过电子交易平台向中标人发出中标通知书，同时编制发布采购结果公告。</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的名称、地址、联系方式，项目名称和项目编号，中标人名称、地址和中标金额，主要中标标的的名称、规格型号、数量、单价、服务要求，开标记录、</w:t>
      </w:r>
      <w:bookmarkStart w:id="12" w:name="_Hlk101184471"/>
      <w:r>
        <w:rPr>
          <w:rFonts w:hint="eastAsia" w:ascii="仿宋" w:hAnsi="仿宋" w:eastAsia="仿宋" w:cs="仿宋"/>
          <w:color w:val="auto"/>
          <w:sz w:val="24"/>
          <w:highlight w:val="none"/>
        </w:rPr>
        <w:t>资格审查情况、评审专家抽取规则、符合性审查情况、</w:t>
      </w:r>
      <w:bookmarkEnd w:id="12"/>
      <w:r>
        <w:rPr>
          <w:rFonts w:hint="eastAsia" w:ascii="仿宋" w:hAnsi="仿宋" w:eastAsia="仿宋" w:cs="仿宋"/>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jc w:val="center"/>
        <w:rPr>
          <w:rFonts w:hint="eastAsia" w:ascii="仿宋" w:hAnsi="仿宋" w:eastAsia="仿宋" w:cs="仿宋"/>
          <w:b/>
          <w:color w:val="auto"/>
          <w:sz w:val="32"/>
          <w:highlight w:val="none"/>
        </w:rPr>
      </w:pPr>
    </w:p>
    <w:p>
      <w:pPr>
        <w:snapToGrid w:val="0"/>
        <w:spacing w:line="360" w:lineRule="auto"/>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4"/>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24.</w:t>
      </w:r>
      <w:r>
        <w:rPr>
          <w:rFonts w:hint="eastAsia" w:ascii="仿宋" w:hAnsi="仿宋" w:eastAsia="仿宋" w:cs="仿宋"/>
          <w:color w:val="auto"/>
          <w:highlight w:val="none"/>
        </w:rPr>
        <w:t>合同主要条款详见第五部分拟签订的合同文本。</w:t>
      </w:r>
    </w:p>
    <w:p>
      <w:pPr>
        <w:pStyle w:val="24"/>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5"/>
        <w:ind w:left="0" w:firstLine="480" w:firstLineChars="200"/>
        <w:rPr>
          <w:rFonts w:hint="eastAsia" w:ascii="仿宋" w:hAnsi="仿宋" w:eastAsia="仿宋" w:cs="仿宋"/>
          <w:b w:val="0"/>
          <w:bCs w:val="0"/>
          <w:snapToGrid w:val="0"/>
          <w:color w:val="auto"/>
          <w:kern w:val="28"/>
          <w:sz w:val="24"/>
          <w:highlight w:val="none"/>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rFonts w:hint="eastAsia" w:ascii="仿宋" w:hAnsi="仿宋" w:eastAsia="仿宋" w:cs="仿宋"/>
          <w:color w:val="auto"/>
          <w:highlight w:val="none"/>
        </w:rPr>
      </w:pPr>
      <w:r>
        <w:rPr>
          <w:rFonts w:hint="eastAsia" w:ascii="仿宋" w:hAnsi="仿宋" w:eastAsia="仿宋" w:cs="仿宋"/>
          <w:b/>
          <w:bCs/>
          <w:color w:val="auto"/>
          <w:sz w:val="24"/>
          <w:szCs w:val="32"/>
          <w:highlight w:val="none"/>
          <w:lang w:val="en-US"/>
        </w:rPr>
        <w:t>27.预付款</w:t>
      </w:r>
    </w:p>
    <w:p>
      <w:pPr>
        <w:adjustRightInd/>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128"/>
        <w:snapToGrid w:val="0"/>
        <w:spacing w:before="0"/>
        <w:ind w:firstLine="0" w:firstLineChars="0"/>
        <w:rPr>
          <w:rFonts w:hint="eastAsia" w:ascii="仿宋" w:hAnsi="仿宋" w:eastAsia="仿宋" w:cs="仿宋"/>
          <w:color w:val="auto"/>
          <w:highlight w:val="none"/>
        </w:rPr>
      </w:pPr>
      <w:r>
        <w:rPr>
          <w:rFonts w:hint="eastAsia" w:ascii="仿宋" w:hAnsi="仿宋" w:eastAsia="仿宋" w:cs="仿宋"/>
          <w:b/>
          <w:bCs/>
          <w:color w:val="auto"/>
          <w:sz w:val="24"/>
          <w:szCs w:val="20"/>
          <w:highlight w:val="none"/>
        </w:rPr>
        <w:t>2</w:t>
      </w:r>
      <w:r>
        <w:rPr>
          <w:rFonts w:hint="eastAsia" w:ascii="仿宋" w:hAnsi="仿宋" w:eastAsia="仿宋" w:cs="仿宋"/>
          <w:b/>
          <w:bCs/>
          <w:color w:val="auto"/>
          <w:sz w:val="24"/>
          <w:szCs w:val="24"/>
          <w:highlight w:val="none"/>
        </w:rPr>
        <w:t>8</w:t>
      </w:r>
      <w:r>
        <w:rPr>
          <w:rFonts w:hint="eastAsia" w:ascii="仿宋" w:hAnsi="仿宋" w:eastAsia="仿宋" w:cs="仿宋"/>
          <w:b/>
          <w:color w:val="auto"/>
          <w:szCs w:val="24"/>
          <w:highlight w:val="none"/>
        </w:rPr>
        <w:t>.电子交易活动的中止。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可中止电子交易活动：</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28.1电子交易平台发生故障而无法登录访问的； </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28.2电子交易平台应用或数据库出现错误，不能进行正常操作的；</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28.3电子交易平台发现严重安全漏洞，有潜在泄密危险的；</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28.4病毒发作导致不能进行正常操作的； </w:t>
      </w:r>
    </w:p>
    <w:p>
      <w:pPr>
        <w:pStyle w:val="128"/>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28.5其他无法保证电子交易的公平、公正和安全的情况。</w:t>
      </w:r>
    </w:p>
    <w:p>
      <w:pPr>
        <w:pStyle w:val="128"/>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4"/>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30.验收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1"/>
    <w:p>
      <w:pPr>
        <w:tabs>
          <w:tab w:val="left" w:pos="0"/>
        </w:tabs>
        <w:spacing w:line="360" w:lineRule="auto"/>
        <w:ind w:firstLine="480"/>
        <w:rPr>
          <w:rFonts w:hint="eastAsia" w:ascii="仿宋" w:hAnsi="仿宋" w:eastAsia="仿宋" w:cs="仿宋"/>
          <w:color w:val="auto"/>
          <w:kern w:val="0"/>
          <w:sz w:val="24"/>
          <w:highlight w:val="none"/>
        </w:rPr>
        <w:sectPr>
          <w:footerReference r:id="rId8" w:type="default"/>
          <w:pgSz w:w="11906" w:h="16838"/>
          <w:pgMar w:top="680" w:right="1418" w:bottom="468" w:left="1418" w:header="851" w:footer="992" w:gutter="0"/>
          <w:pgNumType w:start="1"/>
          <w:cols w:space="720" w:num="1"/>
          <w:docGrid w:linePitch="312" w:charSpace="0"/>
        </w:sectPr>
      </w:pPr>
      <w:bookmarkStart w:id="13" w:name="_Hlt68403820"/>
      <w:bookmarkEnd w:id="13"/>
      <w:bookmarkStart w:id="14" w:name="_Hlt74714665"/>
      <w:bookmarkEnd w:id="14"/>
      <w:bookmarkStart w:id="15" w:name="_Hlt74729768"/>
      <w:bookmarkEnd w:id="15"/>
      <w:bookmarkStart w:id="16" w:name="_Hlt68072990"/>
      <w:bookmarkEnd w:id="16"/>
      <w:bookmarkStart w:id="17" w:name="_Hlt74707468"/>
      <w:bookmarkEnd w:id="17"/>
      <w:bookmarkStart w:id="18" w:name="_Hlt75236101"/>
      <w:bookmarkEnd w:id="18"/>
      <w:bookmarkStart w:id="19" w:name="_Hlt75236290"/>
      <w:bookmarkEnd w:id="19"/>
      <w:bookmarkStart w:id="20" w:name="_Hlt75236011"/>
      <w:bookmarkEnd w:id="20"/>
      <w:bookmarkStart w:id="21" w:name="_Hlt74730295"/>
      <w:bookmarkEnd w:id="21"/>
      <w:bookmarkStart w:id="22" w:name="_Hlt68073093"/>
      <w:bookmarkEnd w:id="22"/>
      <w:bookmarkStart w:id="23" w:name="_Hlt68072998"/>
      <w:bookmarkEnd w:id="23"/>
      <w:bookmarkStart w:id="24" w:name="_Hlt68057669"/>
      <w:bookmarkEnd w:id="24"/>
    </w:p>
    <w:bookmarkEnd w:id="9"/>
    <w:bookmarkEnd w:id="10"/>
    <w:p>
      <w:pPr>
        <w:spacing w:line="360" w:lineRule="auto"/>
        <w:jc w:val="center"/>
        <w:outlineLvl w:val="0"/>
        <w:rPr>
          <w:rFonts w:hint="eastAsia" w:ascii="仿宋" w:hAnsi="仿宋" w:eastAsia="仿宋" w:cs="仿宋"/>
          <w:b/>
          <w:color w:val="auto"/>
          <w:sz w:val="36"/>
          <w:szCs w:val="36"/>
          <w:highlight w:val="none"/>
        </w:rPr>
      </w:pPr>
      <w:bookmarkStart w:id="25" w:name="第四部分"/>
      <w:r>
        <w:rPr>
          <w:rFonts w:hint="eastAsia" w:ascii="仿宋" w:hAnsi="仿宋" w:eastAsia="仿宋" w:cs="仿宋"/>
          <w:b/>
          <w:color w:val="auto"/>
          <w:sz w:val="36"/>
          <w:szCs w:val="36"/>
          <w:highlight w:val="none"/>
        </w:rPr>
        <w:t>第三部分   采购需求</w:t>
      </w:r>
    </w:p>
    <w:p>
      <w:pPr>
        <w:pStyle w:val="23"/>
        <w:keepNext w:val="0"/>
        <w:keepLines w:val="0"/>
        <w:pageBreakBefore w:val="0"/>
        <w:kinsoku/>
        <w:wordWrap/>
        <w:overflowPunct/>
        <w:topLinePunct w:val="0"/>
        <w:bidi w:val="0"/>
        <w:adjustRightInd w:val="0"/>
        <w:snapToGrid/>
        <w:spacing w:line="360" w:lineRule="auto"/>
        <w:ind w:left="0" w:right="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仓基新村社区驻点服务项目，</w:t>
      </w:r>
      <w:r>
        <w:rPr>
          <w:rFonts w:hint="eastAsia" w:ascii="仿宋" w:hAnsi="仿宋" w:eastAsia="仿宋" w:cs="仿宋"/>
          <w:color w:val="auto"/>
          <w:sz w:val="24"/>
          <w:highlight w:val="none"/>
        </w:rPr>
        <w:t>运营周期为三年。指定托管区域包含：</w:t>
      </w:r>
      <w:r>
        <w:rPr>
          <w:rFonts w:hint="eastAsia" w:ascii="仿宋" w:hAnsi="仿宋" w:eastAsia="仿宋" w:cs="仿宋"/>
          <w:color w:val="auto"/>
          <w:sz w:val="24"/>
          <w:highlight w:val="none"/>
          <w:lang w:eastAsia="zh-CN"/>
        </w:rPr>
        <w:t>仓基新村</w:t>
      </w:r>
      <w:r>
        <w:rPr>
          <w:rFonts w:hint="eastAsia" w:ascii="仿宋" w:hAnsi="仿宋" w:eastAsia="仿宋" w:cs="仿宋"/>
          <w:color w:val="auto"/>
          <w:sz w:val="24"/>
          <w:highlight w:val="none"/>
          <w:lang w:val="en-US" w:eastAsia="zh-CN"/>
        </w:rPr>
        <w:t>66幢大运河幸福家园、6幢、社区百姓健身房</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投标人</w:t>
      </w:r>
      <w:r>
        <w:rPr>
          <w:rFonts w:hint="eastAsia" w:ascii="仿宋" w:hAnsi="仿宋" w:eastAsia="仿宋" w:cs="仿宋"/>
          <w:color w:val="auto"/>
          <w:sz w:val="24"/>
          <w:highlight w:val="none"/>
        </w:rPr>
        <w:t>在托管区域内开展</w:t>
      </w:r>
      <w:r>
        <w:rPr>
          <w:rFonts w:hint="eastAsia" w:ascii="仿宋" w:hAnsi="仿宋" w:eastAsia="仿宋" w:cs="仿宋"/>
          <w:color w:val="auto"/>
          <w:sz w:val="24"/>
          <w:highlight w:val="none"/>
          <w:lang w:val="en-US" w:eastAsia="zh-CN"/>
        </w:rPr>
        <w:t>活动包括如下：</w:t>
      </w:r>
    </w:p>
    <w:tbl>
      <w:tblPr>
        <w:tblStyle w:val="96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07"/>
        <w:gridCol w:w="1509"/>
        <w:gridCol w:w="5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trPr>
        <w:tc>
          <w:tcPr>
            <w:tcW w:w="547" w:type="pct"/>
          </w:tcPr>
          <w:p>
            <w:pPr>
              <w:pStyle w:val="337"/>
              <w:keepNext w:val="0"/>
              <w:keepLines w:val="0"/>
              <w:pageBreakBefore w:val="0"/>
              <w:kinsoku/>
              <w:wordWrap/>
              <w:overflowPunct/>
              <w:topLinePunct w:val="0"/>
              <w:autoSpaceDE/>
              <w:autoSpaceDN/>
              <w:bidi w:val="0"/>
              <w:adjustRightInd w:val="0"/>
              <w:snapToGrid/>
              <w:spacing w:before="0" w:after="0" w:line="240" w:lineRule="auto"/>
              <w:ind w:left="0" w:right="0" w:firstLine="0" w:firstLineChars="0"/>
              <w:jc w:val="center"/>
              <w:textAlignment w:val="auto"/>
              <w:rPr>
                <w:rFonts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主题</w:t>
            </w:r>
          </w:p>
        </w:tc>
        <w:tc>
          <w:tcPr>
            <w:tcW w:w="910" w:type="pct"/>
          </w:tcPr>
          <w:p>
            <w:pPr>
              <w:pStyle w:val="337"/>
              <w:keepNext w:val="0"/>
              <w:keepLines w:val="0"/>
              <w:pageBreakBefore w:val="0"/>
              <w:kinsoku/>
              <w:wordWrap/>
              <w:overflowPunct/>
              <w:topLinePunct w:val="0"/>
              <w:autoSpaceDE/>
              <w:autoSpaceDN/>
              <w:bidi w:val="0"/>
              <w:adjustRightInd w:val="0"/>
              <w:snapToGrid/>
              <w:spacing w:before="0" w:after="0" w:line="240" w:lineRule="auto"/>
              <w:ind w:left="0" w:right="0" w:firstLine="0" w:firstLineChars="0"/>
              <w:jc w:val="center"/>
              <w:textAlignment w:val="auto"/>
              <w:rPr>
                <w:rFonts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项目名称</w:t>
            </w:r>
          </w:p>
        </w:tc>
        <w:tc>
          <w:tcPr>
            <w:tcW w:w="3541" w:type="pct"/>
          </w:tcPr>
          <w:p>
            <w:pPr>
              <w:pStyle w:val="337"/>
              <w:keepNext w:val="0"/>
              <w:keepLines w:val="0"/>
              <w:pageBreakBefore w:val="0"/>
              <w:kinsoku/>
              <w:wordWrap/>
              <w:overflowPunct/>
              <w:topLinePunct w:val="0"/>
              <w:autoSpaceDE/>
              <w:autoSpaceDN/>
              <w:bidi w:val="0"/>
              <w:adjustRightInd w:val="0"/>
              <w:snapToGrid/>
              <w:spacing w:before="0" w:after="0" w:line="240" w:lineRule="auto"/>
              <w:ind w:left="0" w:right="0" w:firstLine="0" w:firstLineChars="0"/>
              <w:jc w:val="center"/>
              <w:textAlignment w:val="auto"/>
              <w:rPr>
                <w:rFonts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9" w:hRule="atLeast"/>
        </w:trPr>
        <w:tc>
          <w:tcPr>
            <w:tcW w:w="547" w:type="pct"/>
            <w:vAlign w:val="center"/>
          </w:tcPr>
          <w:p>
            <w:pPr>
              <w:pStyle w:val="337"/>
              <w:keepNext w:val="0"/>
              <w:keepLines w:val="0"/>
              <w:pageBreakBefore w:val="0"/>
              <w:kinsoku/>
              <w:wordWrap/>
              <w:overflowPunct/>
              <w:topLinePunct w:val="0"/>
              <w:autoSpaceDE/>
              <w:autoSpaceDN/>
              <w:bidi w:val="0"/>
              <w:adjustRightInd w:val="0"/>
              <w:snapToGrid/>
              <w:spacing w:before="0" w:after="0" w:line="240" w:lineRule="auto"/>
              <w:ind w:left="0" w:right="0" w:firstLine="0" w:firstLineChars="0"/>
              <w:jc w:val="center"/>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“一老”服务</w:t>
            </w:r>
          </w:p>
        </w:tc>
        <w:tc>
          <w:tcPr>
            <w:tcW w:w="910" w:type="pct"/>
            <w:vAlign w:val="center"/>
          </w:tcPr>
          <w:p>
            <w:pPr>
              <w:pStyle w:val="337"/>
              <w:keepNext w:val="0"/>
              <w:keepLines w:val="0"/>
              <w:pageBreakBefore w:val="0"/>
              <w:kinsoku/>
              <w:wordWrap/>
              <w:overflowPunct/>
              <w:topLinePunct w:val="0"/>
              <w:autoSpaceDE/>
              <w:autoSpaceDN/>
              <w:bidi w:val="0"/>
              <w:adjustRightInd w:val="0"/>
              <w:snapToGrid/>
              <w:spacing w:before="0" w:after="0" w:line="240" w:lineRule="auto"/>
              <w:ind w:left="0" w:right="0" w:firstLine="0" w:firstLineChars="0"/>
              <w:jc w:val="center"/>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打造老少融合颐养中心</w:t>
            </w:r>
          </w:p>
        </w:tc>
        <w:tc>
          <w:tcPr>
            <w:tcW w:w="3541" w:type="pct"/>
          </w:tcPr>
          <w:p>
            <w:pPr>
              <w:pStyle w:val="337"/>
              <w:keepNext w:val="0"/>
              <w:keepLines w:val="0"/>
              <w:pageBreakBefore w:val="0"/>
              <w:kinsoku/>
              <w:wordWrap/>
              <w:overflowPunct/>
              <w:topLinePunct w:val="0"/>
              <w:autoSpaceDE/>
              <w:autoSpaceDN/>
              <w:bidi w:val="0"/>
              <w:adjustRightInd w:val="0"/>
              <w:snapToGrid/>
              <w:spacing w:before="0" w:after="0" w:line="240" w:lineRule="auto"/>
              <w:ind w:left="0" w:right="220" w:rightChars="105" w:firstLine="0" w:firstLineChars="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开展</w:t>
            </w:r>
            <w:r>
              <w:rPr>
                <w:rFonts w:hint="eastAsia" w:ascii="仿宋" w:hAnsi="仿宋" w:eastAsia="仿宋" w:cs="仿宋"/>
                <w:color w:val="auto"/>
                <w:sz w:val="24"/>
                <w:szCs w:val="24"/>
                <w:highlight w:val="none"/>
                <w:lang w:eastAsia="zh-CN"/>
              </w:rPr>
              <w:t>老年</w:t>
            </w:r>
            <w:r>
              <w:rPr>
                <w:rFonts w:hint="eastAsia" w:ascii="仿宋" w:hAnsi="仿宋" w:eastAsia="仿宋" w:cs="仿宋"/>
                <w:color w:val="auto"/>
                <w:sz w:val="24"/>
                <w:szCs w:val="24"/>
                <w:highlight w:val="none"/>
                <w:lang w:val="en-US" w:eastAsia="zh-CN"/>
              </w:rPr>
              <w:t>学堂</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lang w:val="en-US" w:eastAsia="zh-CN"/>
              </w:rPr>
              <w:t>培育一支民间师资骨干队伍，打造符合辖区群众实际需求的专业课程、特色课程。组建居民团队不少于5个，组织各类</w:t>
            </w:r>
            <w:r>
              <w:rPr>
                <w:rFonts w:hint="eastAsia" w:ascii="仿宋" w:hAnsi="仿宋" w:eastAsia="仿宋" w:cs="仿宋"/>
                <w:color w:val="auto"/>
                <w:sz w:val="24"/>
                <w:szCs w:val="24"/>
                <w:highlight w:val="none"/>
                <w:lang w:eastAsia="zh-CN"/>
              </w:rPr>
              <w:t>文娱活动；</w:t>
            </w:r>
            <w:r>
              <w:rPr>
                <w:rFonts w:hint="eastAsia" w:ascii="仿宋" w:hAnsi="仿宋" w:eastAsia="仿宋" w:cs="仿宋"/>
                <w:color w:val="auto"/>
                <w:sz w:val="24"/>
                <w:szCs w:val="24"/>
                <w:highlight w:val="none"/>
                <w:lang w:val="en-US" w:eastAsia="zh-CN"/>
              </w:rPr>
              <w:t>开设老少融合</w:t>
            </w:r>
            <w:r>
              <w:rPr>
                <w:rFonts w:hint="eastAsia" w:ascii="仿宋" w:hAnsi="仿宋" w:eastAsia="仿宋" w:cs="仿宋"/>
                <w:color w:val="auto"/>
                <w:sz w:val="24"/>
                <w:szCs w:val="24"/>
                <w:highlight w:val="none"/>
                <w:lang w:eastAsia="zh-CN"/>
              </w:rPr>
              <w:t>健康讲座服务等活动。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trPr>
        <w:tc>
          <w:tcPr>
            <w:tcW w:w="547" w:type="pct"/>
            <w:vAlign w:val="center"/>
          </w:tcPr>
          <w:p>
            <w:pPr>
              <w:keepNext w:val="0"/>
              <w:keepLines w:val="0"/>
              <w:pageBreakBefore w:val="0"/>
              <w:kinsoku/>
              <w:wordWrap/>
              <w:overflowPunct/>
              <w:topLinePunct w:val="0"/>
              <w:autoSpaceDE/>
              <w:autoSpaceDN/>
              <w:bidi w:val="0"/>
              <w:adjustRightInd w:val="0"/>
              <w:snapToGrid/>
              <w:spacing w:line="240" w:lineRule="auto"/>
              <w:ind w:left="0" w:right="0" w:firstLine="0" w:firstLineChars="0"/>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en-US"/>
              </w:rPr>
              <w:t>“一</w:t>
            </w:r>
            <w:r>
              <w:rPr>
                <w:rFonts w:hint="eastAsia" w:ascii="仿宋" w:hAnsi="仿宋" w:eastAsia="仿宋" w:cs="仿宋"/>
                <w:color w:val="auto"/>
                <w:sz w:val="24"/>
                <w:szCs w:val="24"/>
                <w:highlight w:val="none"/>
              </w:rPr>
              <w:t>小</w:t>
            </w:r>
            <w:r>
              <w:rPr>
                <w:rFonts w:hint="eastAsia" w:ascii="仿宋" w:hAnsi="仿宋" w:eastAsia="仿宋" w:cs="仿宋"/>
                <w:color w:val="auto"/>
                <w:sz w:val="24"/>
                <w:szCs w:val="24"/>
                <w:highlight w:val="none"/>
                <w:lang w:eastAsia="en-US"/>
              </w:rPr>
              <w:t>”服务</w:t>
            </w:r>
          </w:p>
        </w:tc>
        <w:tc>
          <w:tcPr>
            <w:tcW w:w="910" w:type="pct"/>
            <w:vAlign w:val="center"/>
          </w:tcPr>
          <w:p>
            <w:pPr>
              <w:keepNext w:val="0"/>
              <w:keepLines w:val="0"/>
              <w:pageBreakBefore w:val="0"/>
              <w:kinsoku/>
              <w:wordWrap/>
              <w:overflowPunct/>
              <w:topLinePunct w:val="0"/>
              <w:autoSpaceDE/>
              <w:autoSpaceDN/>
              <w:bidi w:val="0"/>
              <w:adjustRightInd w:val="0"/>
              <w:snapToGrid/>
              <w:spacing w:line="240" w:lineRule="auto"/>
              <w:ind w:left="0" w:right="0" w:firstLine="0" w:firstLineChars="0"/>
              <w:jc w:val="center"/>
              <w:textAlignment w:val="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打造儿童成长中心</w:t>
            </w:r>
          </w:p>
        </w:tc>
        <w:tc>
          <w:tcPr>
            <w:tcW w:w="3541" w:type="pct"/>
          </w:tcPr>
          <w:p>
            <w:pPr>
              <w:pStyle w:val="337"/>
              <w:keepNext w:val="0"/>
              <w:keepLines w:val="0"/>
              <w:pageBreakBefore w:val="0"/>
              <w:kinsoku/>
              <w:wordWrap/>
              <w:overflowPunct/>
              <w:topLinePunct w:val="0"/>
              <w:autoSpaceDE/>
              <w:autoSpaceDN/>
              <w:bidi w:val="0"/>
              <w:adjustRightInd w:val="0"/>
              <w:snapToGrid/>
              <w:spacing w:before="0" w:after="0" w:line="240" w:lineRule="auto"/>
              <w:ind w:left="0" w:right="0" w:firstLine="0" w:firstLineChars="0"/>
              <w:jc w:val="center"/>
              <w:textAlignment w:val="auto"/>
              <w:rPr>
                <w:rFonts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建设</w:t>
            </w:r>
            <w:r>
              <w:rPr>
                <w:rFonts w:hint="eastAsia" w:ascii="仿宋" w:hAnsi="仿宋" w:eastAsia="仿宋" w:cs="仿宋"/>
                <w:color w:val="auto"/>
                <w:sz w:val="24"/>
                <w:szCs w:val="24"/>
                <w:highlight w:val="none"/>
                <w:lang w:val="en-US" w:eastAsia="zh-CN"/>
              </w:rPr>
              <w:t>家门口的青少年宫、儿童之家</w:t>
            </w:r>
            <w:r>
              <w:rPr>
                <w:rFonts w:hint="eastAsia" w:ascii="仿宋" w:hAnsi="仿宋" w:eastAsia="仿宋" w:cs="仿宋"/>
                <w:color w:val="auto"/>
                <w:sz w:val="24"/>
                <w:szCs w:val="24"/>
                <w:highlight w:val="none"/>
                <w:lang w:eastAsia="zh-CN"/>
              </w:rPr>
              <w:t>提供儿童亲子公益活动、亲子绘本伴读、儿童素质课程服务，开展课后托管、假期活动等，满足不同年龄段儿童成长服务需求。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547" w:type="pct"/>
            <w:vAlign w:val="center"/>
          </w:tcPr>
          <w:p>
            <w:pPr>
              <w:keepNext w:val="0"/>
              <w:keepLines w:val="0"/>
              <w:pageBreakBefore w:val="0"/>
              <w:kinsoku/>
              <w:wordWrap/>
              <w:overflowPunct/>
              <w:topLinePunct w:val="0"/>
              <w:autoSpaceDE/>
              <w:autoSpaceDN/>
              <w:bidi w:val="0"/>
              <w:adjustRightInd w:val="0"/>
              <w:snapToGrid/>
              <w:spacing w:line="240" w:lineRule="auto"/>
              <w:ind w:left="0" w:right="0" w:firstLine="0" w:firstLineChars="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妇女儿童驿站</w:t>
            </w:r>
          </w:p>
        </w:tc>
        <w:tc>
          <w:tcPr>
            <w:tcW w:w="910" w:type="pct"/>
            <w:vAlign w:val="center"/>
          </w:tcPr>
          <w:p>
            <w:pPr>
              <w:keepNext w:val="0"/>
              <w:keepLines w:val="0"/>
              <w:pageBreakBefore w:val="0"/>
              <w:kinsoku/>
              <w:wordWrap/>
              <w:overflowPunct/>
              <w:topLinePunct w:val="0"/>
              <w:autoSpaceDE/>
              <w:autoSpaceDN/>
              <w:bidi w:val="0"/>
              <w:adjustRightInd w:val="0"/>
              <w:snapToGrid/>
              <w:spacing w:line="240" w:lineRule="auto"/>
              <w:ind w:left="0" w:right="0" w:firstLine="0" w:firstLineChars="0"/>
              <w:jc w:val="center"/>
              <w:textAlignment w:val="auto"/>
              <w:rPr>
                <w:rFonts w:hint="eastAsia" w:ascii="仿宋" w:hAnsi="仿宋" w:eastAsia="仿宋" w:cs="仿宋"/>
                <w:color w:val="auto"/>
                <w:sz w:val="24"/>
                <w:szCs w:val="24"/>
                <w:highlight w:val="none"/>
              </w:rPr>
            </w:pPr>
          </w:p>
        </w:tc>
        <w:tc>
          <w:tcPr>
            <w:tcW w:w="3541" w:type="pct"/>
          </w:tcPr>
          <w:p>
            <w:pPr>
              <w:pStyle w:val="337"/>
              <w:keepNext w:val="0"/>
              <w:keepLines w:val="0"/>
              <w:pageBreakBefore w:val="0"/>
              <w:kinsoku/>
              <w:wordWrap/>
              <w:overflowPunct/>
              <w:topLinePunct w:val="0"/>
              <w:autoSpaceDE/>
              <w:autoSpaceDN/>
              <w:bidi w:val="0"/>
              <w:adjustRightInd w:val="0"/>
              <w:snapToGrid/>
              <w:spacing w:before="0" w:after="0" w:line="240" w:lineRule="auto"/>
              <w:ind w:left="0" w:right="0" w:firstLine="0" w:firstLineChars="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lang w:val="en-US" w:eastAsia="zh-CN"/>
              </w:rPr>
              <w:t>开设母亲科学人文素养课程，做好公益关爱、针对特殊家庭开展公益帮扶，打造个性化服务场景。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trPr>
        <w:tc>
          <w:tcPr>
            <w:tcW w:w="547" w:type="pct"/>
            <w:vAlign w:val="center"/>
          </w:tcPr>
          <w:p>
            <w:pPr>
              <w:keepNext w:val="0"/>
              <w:keepLines w:val="0"/>
              <w:pageBreakBefore w:val="0"/>
              <w:kinsoku/>
              <w:wordWrap/>
              <w:overflowPunct/>
              <w:topLinePunct w:val="0"/>
              <w:autoSpaceDE/>
              <w:autoSpaceDN/>
              <w:bidi w:val="0"/>
              <w:adjustRightInd w:val="0"/>
              <w:snapToGrid/>
              <w:spacing w:line="240" w:lineRule="auto"/>
              <w:ind w:left="0" w:right="0" w:firstLine="0" w:firstLineChars="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个性化服务</w:t>
            </w:r>
          </w:p>
        </w:tc>
        <w:tc>
          <w:tcPr>
            <w:tcW w:w="910" w:type="pct"/>
            <w:vAlign w:val="center"/>
          </w:tcPr>
          <w:p>
            <w:pPr>
              <w:keepNext w:val="0"/>
              <w:keepLines w:val="0"/>
              <w:pageBreakBefore w:val="0"/>
              <w:kinsoku/>
              <w:wordWrap/>
              <w:overflowPunct/>
              <w:topLinePunct w:val="0"/>
              <w:autoSpaceDE/>
              <w:autoSpaceDN/>
              <w:bidi w:val="0"/>
              <w:adjustRightInd w:val="0"/>
              <w:snapToGrid/>
              <w:spacing w:line="240" w:lineRule="auto"/>
              <w:ind w:left="0" w:right="0" w:firstLine="0" w:firstLineChars="0"/>
              <w:jc w:val="center"/>
              <w:textAlignment w:val="auto"/>
              <w:rPr>
                <w:rFonts w:hint="default" w:ascii="仿宋" w:hAnsi="仿宋" w:eastAsia="仿宋" w:cs="仿宋"/>
                <w:color w:val="auto"/>
                <w:sz w:val="24"/>
                <w:szCs w:val="24"/>
                <w:highlight w:val="none"/>
                <w:lang w:val="en-US" w:eastAsia="zh-CN"/>
              </w:rPr>
            </w:pPr>
          </w:p>
        </w:tc>
        <w:tc>
          <w:tcPr>
            <w:tcW w:w="3541" w:type="pct"/>
          </w:tcPr>
          <w:p>
            <w:pPr>
              <w:pStyle w:val="337"/>
              <w:keepNext w:val="0"/>
              <w:keepLines w:val="0"/>
              <w:pageBreakBefore w:val="0"/>
              <w:kinsoku/>
              <w:wordWrap/>
              <w:overflowPunct/>
              <w:topLinePunct w:val="0"/>
              <w:autoSpaceDE/>
              <w:autoSpaceDN/>
              <w:bidi w:val="0"/>
              <w:adjustRightInd w:val="0"/>
              <w:snapToGrid/>
              <w:spacing w:before="0" w:after="0" w:line="240" w:lineRule="auto"/>
              <w:ind w:left="0" w:right="0" w:firstLine="0" w:firstLineChars="0"/>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结合湖墅街道资源服务对象需求，开展个性化服务项目，并在主流媒体上进行宣传报道。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1" w:hRule="atLeast"/>
        </w:trPr>
        <w:tc>
          <w:tcPr>
            <w:tcW w:w="547" w:type="pct"/>
            <w:vAlign w:val="center"/>
          </w:tcPr>
          <w:p>
            <w:pPr>
              <w:keepNext w:val="0"/>
              <w:keepLines w:val="0"/>
              <w:pageBreakBefore w:val="0"/>
              <w:kinsoku/>
              <w:wordWrap/>
              <w:overflowPunct/>
              <w:topLinePunct w:val="0"/>
              <w:autoSpaceDE/>
              <w:autoSpaceDN/>
              <w:bidi w:val="0"/>
              <w:adjustRightInd w:val="0"/>
              <w:snapToGrid/>
              <w:spacing w:line="240" w:lineRule="auto"/>
              <w:ind w:left="0" w:right="0" w:firstLine="0" w:firstLineChars="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体育服务</w:t>
            </w:r>
          </w:p>
        </w:tc>
        <w:tc>
          <w:tcPr>
            <w:tcW w:w="910" w:type="pct"/>
            <w:vAlign w:val="center"/>
          </w:tcPr>
          <w:p>
            <w:pPr>
              <w:keepNext w:val="0"/>
              <w:keepLines w:val="0"/>
              <w:pageBreakBefore w:val="0"/>
              <w:kinsoku/>
              <w:wordWrap/>
              <w:overflowPunct/>
              <w:topLinePunct w:val="0"/>
              <w:autoSpaceDE/>
              <w:autoSpaceDN/>
              <w:bidi w:val="0"/>
              <w:adjustRightInd w:val="0"/>
              <w:snapToGrid/>
              <w:spacing w:line="240" w:lineRule="auto"/>
              <w:ind w:left="0" w:right="0" w:firstLine="0" w:firstLine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百姓健身房</w:t>
            </w:r>
          </w:p>
        </w:tc>
        <w:tc>
          <w:tcPr>
            <w:tcW w:w="3541" w:type="pct"/>
          </w:tcPr>
          <w:p>
            <w:pPr>
              <w:pStyle w:val="337"/>
              <w:keepNext w:val="0"/>
              <w:keepLines w:val="0"/>
              <w:pageBreakBefore w:val="0"/>
              <w:kinsoku/>
              <w:wordWrap/>
              <w:overflowPunct/>
              <w:topLinePunct w:val="0"/>
              <w:autoSpaceDE/>
              <w:autoSpaceDN/>
              <w:bidi w:val="0"/>
              <w:adjustRightInd w:val="0"/>
              <w:snapToGrid/>
              <w:spacing w:before="0" w:after="0" w:line="240" w:lineRule="auto"/>
              <w:ind w:left="0" w:right="0" w:firstLine="0" w:firstLineChars="0"/>
              <w:jc w:val="center"/>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建设</w:t>
            </w:r>
            <w:r>
              <w:rPr>
                <w:rFonts w:hint="eastAsia" w:ascii="仿宋" w:hAnsi="仿宋" w:eastAsia="仿宋" w:cs="仿宋"/>
                <w:color w:val="auto"/>
                <w:sz w:val="24"/>
                <w:szCs w:val="24"/>
                <w:highlight w:val="none"/>
                <w:lang w:eastAsia="zh-CN"/>
              </w:rPr>
              <w:t>主打智慧化、实用化，推广和应用智慧健身场馆；提升实用性，形成布局合理、覆盖面广的未来社区体育设施网络，打造</w:t>
            </w:r>
            <w:r>
              <w:rPr>
                <w:rFonts w:hint="eastAsia" w:ascii="仿宋" w:hAnsi="仿宋" w:eastAsia="仿宋" w:cs="仿宋"/>
                <w:color w:val="auto"/>
                <w:sz w:val="24"/>
                <w:szCs w:val="24"/>
                <w:highlight w:val="none"/>
                <w:lang w:val="en-US" w:eastAsia="zh-CN"/>
              </w:rPr>
              <w:t>社区</w:t>
            </w:r>
            <w:r>
              <w:rPr>
                <w:rFonts w:hint="eastAsia" w:ascii="仿宋" w:hAnsi="仿宋" w:eastAsia="仿宋" w:cs="仿宋"/>
                <w:color w:val="auto"/>
                <w:sz w:val="24"/>
                <w:szCs w:val="24"/>
                <w:highlight w:val="none"/>
                <w:lang w:eastAsia="zh-CN"/>
              </w:rPr>
              <w:t>‘5分钟健身圈’。</w:t>
            </w:r>
          </w:p>
        </w:tc>
      </w:tr>
    </w:tbl>
    <w:p>
      <w:pPr>
        <w:pStyle w:val="23"/>
        <w:keepNext w:val="0"/>
        <w:keepLines w:val="0"/>
        <w:pageBreakBefore w:val="0"/>
        <w:kinsoku/>
        <w:wordWrap/>
        <w:overflowPunct/>
        <w:topLinePunct w:val="0"/>
        <w:bidi w:val="0"/>
        <w:adjustRightInd w:val="0"/>
        <w:snapToGrid/>
        <w:spacing w:line="360" w:lineRule="auto"/>
        <w:ind w:left="0" w:right="0" w:firstLine="482" w:firstLineChars="200"/>
        <w:textAlignment w:val="auto"/>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注：招标人</w:t>
      </w:r>
      <w:r>
        <w:rPr>
          <w:rFonts w:hint="eastAsia" w:ascii="仿宋" w:hAnsi="仿宋" w:eastAsia="仿宋" w:cs="仿宋"/>
          <w:b/>
          <w:bCs/>
          <w:color w:val="auto"/>
          <w:sz w:val="24"/>
          <w:highlight w:val="none"/>
        </w:rPr>
        <w:t>依据中标金额并结合考核标准支付支付年度运营服务费用</w:t>
      </w:r>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lang w:val="en-US" w:eastAsia="zh-CN"/>
        </w:rPr>
        <w:t>承担</w:t>
      </w:r>
      <w:r>
        <w:rPr>
          <w:rFonts w:hint="eastAsia" w:ascii="仿宋" w:hAnsi="仿宋" w:eastAsia="仿宋" w:cs="仿宋"/>
          <w:b/>
          <w:bCs/>
          <w:color w:val="auto"/>
          <w:sz w:val="24"/>
          <w:highlight w:val="none"/>
        </w:rPr>
        <w:t>水电</w:t>
      </w:r>
      <w:r>
        <w:rPr>
          <w:rFonts w:hint="eastAsia" w:ascii="仿宋" w:hAnsi="仿宋" w:eastAsia="仿宋" w:cs="仿宋"/>
          <w:b/>
          <w:bCs/>
          <w:color w:val="auto"/>
          <w:sz w:val="24"/>
          <w:highlight w:val="none"/>
          <w:lang w:val="en-US" w:eastAsia="zh-CN"/>
        </w:rPr>
        <w:t>能耗费用、</w:t>
      </w:r>
      <w:r>
        <w:rPr>
          <w:rFonts w:hint="eastAsia" w:ascii="仿宋" w:hAnsi="仿宋" w:eastAsia="仿宋" w:cs="仿宋"/>
          <w:b/>
          <w:bCs/>
          <w:color w:val="auto"/>
          <w:sz w:val="24"/>
          <w:highlight w:val="none"/>
        </w:rPr>
        <w:t>物业</w:t>
      </w:r>
      <w:r>
        <w:rPr>
          <w:rFonts w:hint="eastAsia" w:ascii="仿宋" w:hAnsi="仿宋" w:eastAsia="仿宋" w:cs="仿宋"/>
          <w:b/>
          <w:bCs/>
          <w:color w:val="auto"/>
          <w:sz w:val="24"/>
          <w:highlight w:val="none"/>
          <w:lang w:val="en-US" w:eastAsia="zh-CN"/>
        </w:rPr>
        <w:t>费用、</w:t>
      </w:r>
      <w:r>
        <w:rPr>
          <w:rFonts w:hint="eastAsia" w:ascii="仿宋" w:hAnsi="仿宋" w:eastAsia="仿宋" w:cs="仿宋"/>
          <w:b/>
          <w:bCs/>
          <w:color w:val="auto"/>
          <w:sz w:val="24"/>
          <w:highlight w:val="none"/>
        </w:rPr>
        <w:t>公共区域保洁卫生费用</w:t>
      </w:r>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lang w:val="en-US" w:eastAsia="zh-CN"/>
        </w:rPr>
        <w:t>并且</w:t>
      </w:r>
      <w:r>
        <w:rPr>
          <w:rFonts w:hint="eastAsia" w:ascii="仿宋" w:hAnsi="仿宋" w:eastAsia="仿宋" w:cs="仿宋"/>
          <w:b/>
          <w:bCs/>
          <w:color w:val="auto"/>
          <w:sz w:val="24"/>
          <w:highlight w:val="none"/>
        </w:rPr>
        <w:t>为中标人开展宣传工作和品牌培育工作提供必要指导、支持</w:t>
      </w:r>
      <w:r>
        <w:rPr>
          <w:rFonts w:hint="eastAsia" w:ascii="仿宋" w:hAnsi="仿宋" w:eastAsia="仿宋" w:cs="仿宋"/>
          <w:b/>
          <w:bCs/>
          <w:color w:val="auto"/>
          <w:sz w:val="24"/>
          <w:highlight w:val="none"/>
          <w:lang w:eastAsia="zh-CN"/>
        </w:rPr>
        <w:t>，</w:t>
      </w:r>
      <w:r>
        <w:rPr>
          <w:rFonts w:hint="eastAsia" w:ascii="仿宋" w:hAnsi="仿宋" w:eastAsia="仿宋" w:cs="仿宋"/>
          <w:b w:val="0"/>
          <w:bCs w:val="0"/>
          <w:color w:val="auto"/>
          <w:sz w:val="24"/>
          <w:szCs w:val="24"/>
          <w:highlight w:val="none"/>
          <w:u w:val="none"/>
          <w:lang w:val="en-US" w:eastAsia="zh-CN"/>
        </w:rPr>
        <w:t>全程监督中标人项目的服务内容、进展与服务过程，并提出相关有利于双方合作目的的实现的意见与建议</w:t>
      </w:r>
      <w:r>
        <w:rPr>
          <w:rFonts w:hint="eastAsia" w:ascii="仿宋" w:hAnsi="仿宋" w:eastAsia="仿宋" w:cs="仿宋"/>
          <w:b/>
          <w:bCs/>
          <w:color w:val="auto"/>
          <w:sz w:val="24"/>
          <w:highlight w:val="none"/>
        </w:rPr>
        <w:t>。</w:t>
      </w:r>
    </w:p>
    <w:p>
      <w:pPr>
        <w:pStyle w:val="23"/>
        <w:keepNext w:val="0"/>
        <w:keepLines w:val="0"/>
        <w:pageBreakBefore w:val="0"/>
        <w:kinsoku/>
        <w:wordWrap/>
        <w:overflowPunct/>
        <w:topLinePunct w:val="0"/>
        <w:bidi w:val="0"/>
        <w:adjustRightInd w:val="0"/>
        <w:snapToGrid/>
        <w:spacing w:line="360" w:lineRule="auto"/>
        <w:ind w:left="0" w:right="0" w:firstLine="482" w:firstLineChars="200"/>
        <w:textAlignment w:val="auto"/>
        <w:rPr>
          <w:rFonts w:hint="default"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rPr>
        <w:t xml:space="preserve">二、 </w:t>
      </w:r>
      <w:r>
        <w:rPr>
          <w:rFonts w:hint="eastAsia" w:ascii="仿宋" w:hAnsi="仿宋" w:eastAsia="仿宋" w:cs="仿宋"/>
          <w:b/>
          <w:bCs/>
          <w:color w:val="auto"/>
          <w:sz w:val="24"/>
          <w:highlight w:val="none"/>
          <w:lang w:val="en-US" w:eastAsia="zh-CN"/>
        </w:rPr>
        <w:t>服务要求</w:t>
      </w:r>
    </w:p>
    <w:p>
      <w:pPr>
        <w:pStyle w:val="23"/>
        <w:keepNext w:val="0"/>
        <w:keepLines w:val="0"/>
        <w:pageBreakBefore w:val="0"/>
        <w:kinsoku/>
        <w:wordWrap/>
        <w:overflowPunct/>
        <w:topLinePunct w:val="0"/>
        <w:bidi w:val="0"/>
        <w:adjustRightInd w:val="0"/>
        <w:snapToGrid/>
        <w:spacing w:line="360" w:lineRule="auto"/>
        <w:ind w:left="0" w:righ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投标人为</w:t>
      </w:r>
      <w:r>
        <w:rPr>
          <w:rFonts w:hint="eastAsia" w:ascii="仿宋" w:hAnsi="仿宋" w:eastAsia="仿宋" w:cs="仿宋"/>
          <w:color w:val="auto"/>
          <w:sz w:val="24"/>
          <w:highlight w:val="none"/>
        </w:rPr>
        <w:t>提供招标人</w:t>
      </w:r>
      <w:r>
        <w:rPr>
          <w:rFonts w:hint="eastAsia" w:ascii="仿宋" w:hAnsi="仿宋" w:eastAsia="仿宋" w:cs="仿宋"/>
          <w:color w:val="auto"/>
          <w:sz w:val="24"/>
          <w:highlight w:val="none"/>
          <w:lang w:eastAsia="zh-CN"/>
        </w:rPr>
        <w:t>仓基新村</w:t>
      </w:r>
      <w:r>
        <w:rPr>
          <w:rFonts w:hint="eastAsia" w:ascii="仿宋" w:hAnsi="仿宋" w:eastAsia="仿宋" w:cs="仿宋"/>
          <w:color w:val="auto"/>
          <w:sz w:val="24"/>
          <w:highlight w:val="none"/>
          <w:lang w:val="en-US" w:eastAsia="zh-CN"/>
        </w:rPr>
        <w:t>66幢，6幢，百姓健身房</w:t>
      </w:r>
      <w:r>
        <w:rPr>
          <w:rFonts w:hint="eastAsia" w:ascii="仿宋" w:hAnsi="仿宋" w:eastAsia="仿宋" w:cs="仿宋"/>
          <w:color w:val="auto"/>
          <w:sz w:val="24"/>
          <w:highlight w:val="none"/>
        </w:rPr>
        <w:t>开展常态化运营服务。</w:t>
      </w:r>
    </w:p>
    <w:p>
      <w:pPr>
        <w:pStyle w:val="23"/>
        <w:keepNext w:val="0"/>
        <w:keepLines w:val="0"/>
        <w:pageBreakBefore w:val="0"/>
        <w:kinsoku/>
        <w:wordWrap/>
        <w:overflowPunct/>
        <w:topLinePunct w:val="0"/>
        <w:bidi w:val="0"/>
        <w:adjustRightInd w:val="0"/>
        <w:snapToGrid/>
        <w:spacing w:line="360" w:lineRule="auto"/>
        <w:ind w:left="0" w:right="0"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项目人员配备：</w:t>
      </w:r>
      <w:r>
        <w:rPr>
          <w:rFonts w:hint="eastAsia" w:ascii="仿宋" w:hAnsi="仿宋" w:eastAsia="仿宋" w:cs="仿宋"/>
          <w:color w:val="auto"/>
          <w:sz w:val="24"/>
          <w:highlight w:val="none"/>
          <w:lang w:val="en-US" w:eastAsia="zh-CN"/>
        </w:rPr>
        <w:t>要</w:t>
      </w:r>
      <w:r>
        <w:rPr>
          <w:rFonts w:hint="eastAsia" w:ascii="仿宋" w:hAnsi="仿宋" w:eastAsia="仿宋" w:cs="仿宋"/>
          <w:b w:val="0"/>
          <w:bCs w:val="0"/>
          <w:color w:val="auto"/>
          <w:sz w:val="24"/>
          <w:szCs w:val="24"/>
          <w:highlight w:val="none"/>
          <w:u w:val="none"/>
          <w:lang w:val="en-US" w:eastAsia="zh-CN"/>
        </w:rPr>
        <w:t>求投标人在项目地点配置不少于5人的运营团队（行政主管1人；前台接待1人；活动主管1人；老师2人），且需由具有场地经营与运维能力的领队人做好团队管理工作。</w:t>
      </w:r>
      <w:r>
        <w:rPr>
          <w:rFonts w:hint="eastAsia" w:ascii="仿宋" w:hAnsi="仿宋" w:eastAsia="仿宋" w:cs="仿宋"/>
          <w:color w:val="auto"/>
          <w:sz w:val="24"/>
          <w:highlight w:val="none"/>
        </w:rPr>
        <w:t>所有工作人员由</w:t>
      </w:r>
      <w:r>
        <w:rPr>
          <w:rFonts w:hint="eastAsia" w:ascii="仿宋" w:hAnsi="仿宋" w:eastAsia="仿宋" w:cs="仿宋"/>
          <w:color w:val="auto"/>
          <w:sz w:val="24"/>
          <w:highlight w:val="none"/>
          <w:lang w:val="en-US" w:eastAsia="zh-CN"/>
        </w:rPr>
        <w:t>投标人</w:t>
      </w:r>
      <w:r>
        <w:rPr>
          <w:rFonts w:hint="eastAsia" w:ascii="仿宋" w:hAnsi="仿宋" w:eastAsia="仿宋" w:cs="仿宋"/>
          <w:color w:val="auto"/>
          <w:sz w:val="24"/>
          <w:highlight w:val="none"/>
        </w:rPr>
        <w:t>聘用，聘用人员按当地政府相应劳资政策执行，如发生劳动（雇佣）纠纷及人身意外伤亡事故均由</w:t>
      </w:r>
      <w:r>
        <w:rPr>
          <w:rFonts w:hint="eastAsia" w:ascii="仿宋" w:hAnsi="仿宋" w:eastAsia="仿宋" w:cs="仿宋"/>
          <w:color w:val="auto"/>
          <w:sz w:val="24"/>
          <w:highlight w:val="none"/>
          <w:lang w:val="en-US" w:eastAsia="zh-CN"/>
        </w:rPr>
        <w:t>投标人</w:t>
      </w:r>
      <w:r>
        <w:rPr>
          <w:rFonts w:hint="eastAsia" w:ascii="仿宋" w:hAnsi="仿宋" w:eastAsia="仿宋" w:cs="仿宋"/>
          <w:color w:val="auto"/>
          <w:sz w:val="24"/>
          <w:highlight w:val="none"/>
        </w:rPr>
        <w:t>承担责任。</w:t>
      </w:r>
    </w:p>
    <w:p>
      <w:pPr>
        <w:pStyle w:val="23"/>
        <w:keepNext w:val="0"/>
        <w:keepLines w:val="0"/>
        <w:pageBreakBefore w:val="0"/>
        <w:kinsoku/>
        <w:wordWrap/>
        <w:overflowPunct/>
        <w:topLinePunct w:val="0"/>
        <w:bidi w:val="0"/>
        <w:adjustRightInd w:val="0"/>
        <w:snapToGrid/>
        <w:spacing w:line="360" w:lineRule="auto"/>
        <w:ind w:left="0" w:right="0"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前期设备投入：</w:t>
      </w:r>
      <w:r>
        <w:rPr>
          <w:rFonts w:hint="eastAsia" w:ascii="仿宋" w:hAnsi="仿宋" w:eastAsia="仿宋" w:cs="仿宋"/>
          <w:color w:val="auto"/>
          <w:sz w:val="24"/>
          <w:highlight w:val="none"/>
          <w:lang w:val="en-US" w:eastAsia="zh-CN"/>
        </w:rPr>
        <w:t>投标人</w:t>
      </w:r>
      <w:r>
        <w:rPr>
          <w:rFonts w:hint="eastAsia" w:ascii="仿宋" w:hAnsi="仿宋" w:eastAsia="仿宋" w:cs="仿宋"/>
          <w:color w:val="auto"/>
          <w:sz w:val="24"/>
          <w:szCs w:val="24"/>
          <w:highlight w:val="none"/>
          <w:lang w:val="en-US" w:eastAsia="zh-CN"/>
        </w:rPr>
        <w:t>针对仓基新村运营空间需进行必要的设施设备、软件装修投入</w:t>
      </w:r>
      <w:r>
        <w:rPr>
          <w:rFonts w:hint="eastAsia" w:ascii="仿宋" w:hAnsi="仿宋" w:eastAsia="仿宋" w:cs="仿宋"/>
          <w:b w:val="0"/>
          <w:bCs w:val="0"/>
          <w:color w:val="auto"/>
          <w:sz w:val="24"/>
          <w:szCs w:val="24"/>
          <w:highlight w:val="none"/>
          <w:u w:val="none"/>
          <w:lang w:val="en-US" w:eastAsia="zh-CN"/>
        </w:rPr>
        <w:t>。因投标人运营期间设备的损耗，后期运营设施设备维修维护费用由投标人承担。</w:t>
      </w:r>
    </w:p>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活动场次要求：</w:t>
      </w:r>
      <w:r>
        <w:rPr>
          <w:rFonts w:hint="eastAsia" w:ascii="仿宋" w:hAnsi="仿宋" w:eastAsia="仿宋" w:cs="仿宋"/>
          <w:color w:val="auto"/>
          <w:sz w:val="24"/>
          <w:highlight w:val="none"/>
          <w:lang w:val="en-US" w:eastAsia="zh-CN"/>
        </w:rPr>
        <w:t>投标人</w:t>
      </w:r>
      <w:r>
        <w:rPr>
          <w:rFonts w:hint="eastAsia" w:ascii="仿宋" w:hAnsi="仿宋" w:eastAsia="仿宋" w:cs="仿宋"/>
          <w:color w:val="auto"/>
          <w:sz w:val="24"/>
          <w:szCs w:val="24"/>
          <w:highlight w:val="none"/>
          <w:lang w:val="en-US" w:eastAsia="zh-CN"/>
        </w:rPr>
        <w:t>针对</w:t>
      </w:r>
      <w:r>
        <w:rPr>
          <w:rFonts w:hint="eastAsia" w:ascii="仿宋" w:hAnsi="仿宋" w:eastAsia="仿宋" w:cs="仿宋"/>
          <w:b w:val="0"/>
          <w:bCs w:val="0"/>
          <w:color w:val="auto"/>
          <w:sz w:val="24"/>
          <w:szCs w:val="24"/>
          <w:highlight w:val="none"/>
          <w:lang w:val="en-US" w:eastAsia="zh-CN"/>
        </w:rPr>
        <w:t>仓基新村公共服务空间开展</w:t>
      </w:r>
      <w:r>
        <w:rPr>
          <w:rFonts w:hint="eastAsia" w:ascii="仿宋" w:hAnsi="仿宋" w:eastAsia="仿宋" w:cs="仿宋"/>
          <w:color w:val="auto"/>
          <w:sz w:val="24"/>
          <w:szCs w:val="24"/>
          <w:highlight w:val="none"/>
          <w:lang w:val="en-US" w:eastAsia="zh-CN"/>
        </w:rPr>
        <w:t>需求调研工作，在托管场地开展各类型特色公益普惠活动，运营每年不少于50场公益活动。投标人应当做好服务活动的书面记录等凭据，招标人有权随时查阅并复制相关材料。</w:t>
      </w:r>
    </w:p>
    <w:p>
      <w:pPr>
        <w:pStyle w:val="23"/>
        <w:keepNext w:val="0"/>
        <w:keepLines w:val="0"/>
        <w:pageBreakBefore w:val="0"/>
        <w:kinsoku/>
        <w:wordWrap/>
        <w:overflowPunct/>
        <w:topLinePunct w:val="0"/>
        <w:bidi w:val="0"/>
        <w:adjustRightInd w:val="0"/>
        <w:snapToGrid/>
        <w:spacing w:line="360" w:lineRule="auto"/>
        <w:ind w:left="0" w:right="0"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场馆运营时间：托管场馆运营服务时间一般为周一至周日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rPr>
        <w:t>9：00-</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：00，其中66幢图书馆开放时间应满足每周六、周日9:00-12:00,14:00-17:00，每周一至周五9:00-20:00</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不包含法定节假日</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遇</w:t>
      </w:r>
      <w:r>
        <w:rPr>
          <w:rFonts w:hint="eastAsia" w:ascii="仿宋" w:hAnsi="仿宋" w:eastAsia="仿宋" w:cs="仿宋"/>
          <w:color w:val="auto"/>
          <w:sz w:val="24"/>
          <w:highlight w:val="none"/>
          <w:lang w:val="en-US" w:eastAsia="zh-CN"/>
        </w:rPr>
        <w:t>街道、</w:t>
      </w:r>
      <w:r>
        <w:rPr>
          <w:rFonts w:hint="eastAsia" w:ascii="仿宋" w:hAnsi="仿宋" w:eastAsia="仿宋" w:cs="仿宋"/>
          <w:color w:val="auto"/>
          <w:sz w:val="24"/>
          <w:highlight w:val="none"/>
        </w:rPr>
        <w:t>社区有重大活动安排或场馆特殊需求可根据商议延长或更改服务时间</w:t>
      </w:r>
      <w:r>
        <w:rPr>
          <w:rFonts w:hint="eastAsia" w:ascii="仿宋" w:hAnsi="仿宋" w:eastAsia="仿宋" w:cs="仿宋"/>
          <w:color w:val="auto"/>
          <w:sz w:val="24"/>
          <w:highlight w:val="none"/>
          <w:lang w:val="en-US" w:eastAsia="zh-CN"/>
        </w:rPr>
        <w:t>以及派遣服务人员</w:t>
      </w:r>
      <w:r>
        <w:rPr>
          <w:rFonts w:hint="eastAsia" w:ascii="仿宋" w:hAnsi="仿宋" w:eastAsia="仿宋" w:cs="仿宋"/>
          <w:color w:val="auto"/>
          <w:sz w:val="24"/>
          <w:highlight w:val="none"/>
        </w:rPr>
        <w:t>。原则上根据需要</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适当兼顾公益性</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具体安排由双方商定。</w:t>
      </w:r>
    </w:p>
    <w:p>
      <w:pPr>
        <w:pStyle w:val="23"/>
        <w:keepNext w:val="0"/>
        <w:keepLines w:val="0"/>
        <w:pageBreakBefore w:val="0"/>
        <w:kinsoku/>
        <w:wordWrap/>
        <w:overflowPunct/>
        <w:topLinePunct w:val="0"/>
        <w:bidi w:val="0"/>
        <w:adjustRightInd w:val="0"/>
        <w:snapToGrid/>
        <w:spacing w:line="360" w:lineRule="auto"/>
        <w:ind w:left="0" w:right="0"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中心</w:t>
      </w:r>
      <w:r>
        <w:rPr>
          <w:rFonts w:hint="eastAsia" w:ascii="仿宋" w:hAnsi="仿宋" w:eastAsia="仿宋" w:cs="仿宋"/>
          <w:color w:val="auto"/>
          <w:sz w:val="24"/>
          <w:highlight w:val="none"/>
        </w:rPr>
        <w:t>运营规范：</w:t>
      </w:r>
      <w:r>
        <w:rPr>
          <w:rFonts w:hint="eastAsia" w:ascii="仿宋" w:hAnsi="仿宋" w:eastAsia="仿宋" w:cs="仿宋"/>
          <w:color w:val="auto"/>
          <w:sz w:val="24"/>
          <w:highlight w:val="none"/>
          <w:lang w:val="en-US" w:eastAsia="zh-CN"/>
        </w:rPr>
        <w:t>投标人</w:t>
      </w:r>
      <w:r>
        <w:rPr>
          <w:rFonts w:hint="eastAsia" w:ascii="仿宋" w:hAnsi="仿宋" w:eastAsia="仿宋" w:cs="仿宋"/>
          <w:color w:val="auto"/>
          <w:sz w:val="24"/>
          <w:szCs w:val="24"/>
          <w:highlight w:val="none"/>
          <w:lang w:val="en-US" w:eastAsia="zh-CN"/>
        </w:rPr>
        <w:t>须合理统筹中心各功能区安排，最大限度地提高使用率和功能多样化程度，提高居民参与度和服务认可度；投标人负责对中心内各功能区日常操作的设施设备，进行定期检查、评估、维修；投标人负责做好中心管理制度、活动安排上墙；投标人负责管理和使用中心内设施设备，在管理期间，运营方应保证各项资产完整（合理损耗除外）；在满足公益活动、公益服务时间基础上，投标人可以利用场地开展面向“一老一小”领域的普惠性经营活动，普惠性经营活动方案应当经由招标人书面同意后实施，如有发现违约行为招标人有权终止托管协议，由此产生的损失由投标人承担。</w:t>
      </w:r>
    </w:p>
    <w:p>
      <w:pPr>
        <w:pStyle w:val="23"/>
        <w:keepNext w:val="0"/>
        <w:keepLines w:val="0"/>
        <w:pageBreakBefore w:val="0"/>
        <w:kinsoku/>
        <w:wordWrap/>
        <w:overflowPunct/>
        <w:topLinePunct w:val="0"/>
        <w:bidi w:val="0"/>
        <w:adjustRightInd w:val="0"/>
        <w:snapToGrid/>
        <w:spacing w:line="360" w:lineRule="auto"/>
        <w:ind w:left="0" w:right="0" w:firstLine="480" w:firstLineChars="200"/>
        <w:textAlignment w:val="auto"/>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、支持配合社区工作：</w:t>
      </w:r>
      <w:r>
        <w:rPr>
          <w:rFonts w:hint="eastAsia" w:ascii="仿宋" w:hAnsi="仿宋" w:eastAsia="仿宋" w:cs="仿宋"/>
          <w:color w:val="auto"/>
          <w:sz w:val="24"/>
          <w:szCs w:val="24"/>
          <w:highlight w:val="none"/>
          <w:lang w:val="en-US" w:eastAsia="zh-CN"/>
        </w:rPr>
        <w:t>投标人需与社区保持紧密联动，帮助社区在实现托管场地日活运营基础上，配合协助社区做好各职能条线品牌深化落地工作以及参与各级项目品牌争创及参观讲解陪同等工作。</w:t>
      </w:r>
    </w:p>
    <w:p>
      <w:pPr>
        <w:pStyle w:val="23"/>
        <w:keepNext w:val="0"/>
        <w:keepLines w:val="0"/>
        <w:pageBreakBefore w:val="0"/>
        <w:kinsoku/>
        <w:wordWrap/>
        <w:overflowPunct/>
        <w:topLinePunct w:val="0"/>
        <w:bidi w:val="0"/>
        <w:adjustRightInd w:val="0"/>
        <w:snapToGrid/>
        <w:spacing w:line="360" w:lineRule="auto"/>
        <w:ind w:left="0" w:right="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特色品牌创建：</w:t>
      </w:r>
      <w:r>
        <w:rPr>
          <w:rFonts w:hint="eastAsia" w:ascii="仿宋" w:hAnsi="仿宋" w:eastAsia="仿宋" w:cs="仿宋"/>
          <w:color w:val="auto"/>
          <w:sz w:val="24"/>
          <w:highlight w:val="none"/>
          <w:lang w:val="en-US" w:eastAsia="zh-CN"/>
        </w:rPr>
        <w:t>投标人须</w:t>
      </w:r>
      <w:r>
        <w:rPr>
          <w:rFonts w:hint="eastAsia" w:ascii="仿宋" w:hAnsi="仿宋" w:eastAsia="仿宋" w:cs="仿宋"/>
          <w:color w:val="auto"/>
          <w:sz w:val="24"/>
          <w:highlight w:val="none"/>
        </w:rPr>
        <w:t>配合招标人做好相关特色品牌创建工作，积极帮助创建省、市级荣誉、在市级以上主流媒体开展宣传，相关工作获得市级以上综合性荣誉的，视实际贡献对</w:t>
      </w:r>
      <w:r>
        <w:rPr>
          <w:rFonts w:hint="eastAsia" w:ascii="仿宋" w:hAnsi="仿宋" w:eastAsia="仿宋" w:cs="仿宋"/>
          <w:color w:val="auto"/>
          <w:sz w:val="24"/>
          <w:highlight w:val="none"/>
          <w:lang w:val="en-US" w:eastAsia="zh-CN"/>
        </w:rPr>
        <w:t>投标人</w:t>
      </w:r>
      <w:r>
        <w:rPr>
          <w:rFonts w:hint="eastAsia" w:ascii="仿宋" w:hAnsi="仿宋" w:eastAsia="仿宋" w:cs="仿宋"/>
          <w:color w:val="auto"/>
          <w:sz w:val="24"/>
          <w:highlight w:val="none"/>
        </w:rPr>
        <w:t>予以奖补。</w:t>
      </w:r>
    </w:p>
    <w:p>
      <w:pPr>
        <w:pStyle w:val="3"/>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b w:val="0"/>
          <w:bCs w:val="0"/>
          <w:color w:val="auto"/>
          <w:sz w:val="24"/>
          <w:szCs w:val="24"/>
          <w:highlight w:val="none"/>
          <w:u w:val="none"/>
          <w:lang w:val="en-US" w:eastAsia="zh-CN"/>
        </w:rPr>
      </w:pPr>
      <w:r>
        <w:rPr>
          <w:rFonts w:hint="eastAsia" w:ascii="仿宋" w:hAnsi="仿宋" w:eastAsia="仿宋" w:cs="仿宋"/>
          <w:color w:val="auto"/>
          <w:sz w:val="24"/>
          <w:szCs w:val="24"/>
          <w:highlight w:val="none"/>
          <w:lang w:val="en-US" w:eastAsia="zh-CN"/>
        </w:rPr>
        <w:t>9、投标人严格遵守消防、治安、安全管理等有关法律法规的规定，自行做好各项工作，保障消防和人员安全，在运营期间发生的一切责任事故或纠纷，包括但不限于如投标人</w:t>
      </w:r>
      <w:r>
        <w:rPr>
          <w:rFonts w:hint="eastAsia" w:ascii="仿宋" w:hAnsi="仿宋" w:eastAsia="仿宋" w:cs="仿宋"/>
          <w:b w:val="0"/>
          <w:bCs w:val="0"/>
          <w:i w:val="0"/>
          <w:iCs w:val="0"/>
          <w:color w:val="auto"/>
          <w:sz w:val="24"/>
          <w:szCs w:val="24"/>
          <w:highlight w:val="none"/>
          <w:u w:val="none"/>
          <w:lang w:val="en-US" w:eastAsia="zh-CN"/>
        </w:rPr>
        <w:t>经营性责任</w:t>
      </w:r>
      <w:r>
        <w:rPr>
          <w:rFonts w:hint="eastAsia" w:ascii="仿宋" w:hAnsi="仿宋" w:eastAsia="仿宋" w:cs="仿宋"/>
          <w:b w:val="0"/>
          <w:bCs w:val="0"/>
          <w:color w:val="auto"/>
          <w:sz w:val="24"/>
          <w:szCs w:val="24"/>
          <w:highlight w:val="none"/>
          <w:u w:val="none"/>
          <w:lang w:val="en-US" w:eastAsia="zh-CN"/>
        </w:rPr>
        <w:t>、</w:t>
      </w:r>
      <w:r>
        <w:rPr>
          <w:rFonts w:hint="eastAsia" w:ascii="仿宋" w:hAnsi="仿宋" w:eastAsia="仿宋" w:cs="仿宋"/>
          <w:color w:val="auto"/>
          <w:sz w:val="24"/>
          <w:szCs w:val="24"/>
          <w:highlight w:val="none"/>
          <w:lang w:val="en-US" w:eastAsia="zh-CN"/>
        </w:rPr>
        <w:t>安全生产责任事故、场所内人身意外伤害事故、职工工伤事故、劳资纠纷、意外事件等及损失（包括给招标人造成的损失）</w:t>
      </w:r>
      <w:r>
        <w:rPr>
          <w:rFonts w:hint="eastAsia" w:ascii="仿宋" w:hAnsi="仿宋" w:eastAsia="仿宋" w:cs="仿宋"/>
          <w:b/>
          <w:bCs/>
          <w:color w:val="auto"/>
          <w:sz w:val="24"/>
          <w:szCs w:val="24"/>
          <w:highlight w:val="none"/>
          <w:u w:val="single"/>
          <w:lang w:val="en-US" w:eastAsia="zh-CN"/>
        </w:rPr>
        <w:t>均</w:t>
      </w:r>
      <w:r>
        <w:rPr>
          <w:rFonts w:hint="eastAsia" w:ascii="仿宋" w:hAnsi="仿宋" w:eastAsia="仿宋" w:cs="仿宋"/>
          <w:b w:val="0"/>
          <w:bCs w:val="0"/>
          <w:color w:val="auto"/>
          <w:sz w:val="24"/>
          <w:szCs w:val="24"/>
          <w:highlight w:val="none"/>
          <w:u w:val="none"/>
          <w:lang w:val="en-US" w:eastAsia="zh-CN"/>
        </w:rPr>
        <w:t>由</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b w:val="0"/>
          <w:bCs w:val="0"/>
          <w:color w:val="auto"/>
          <w:sz w:val="24"/>
          <w:szCs w:val="24"/>
          <w:highlight w:val="none"/>
          <w:u w:val="none"/>
          <w:lang w:val="en-US" w:eastAsia="zh-CN"/>
        </w:rPr>
        <w:t>负责赔偿并独立承担法律和赔偿责任。</w:t>
      </w:r>
    </w:p>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10、服务满意度：投标人需按照社区标准保证托管场地日活工作，根据场地人流监控数据量、运营方活动档案登记、社区日常抽查检查及年末满意度测评等方式进行统计，统计结果及统计方式和原始材料应当留存备查。 </w:t>
      </w:r>
    </w:p>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b w:val="0"/>
          <w:bCs/>
          <w:color w:val="auto"/>
          <w:sz w:val="24"/>
          <w:szCs w:val="24"/>
          <w:highlight w:val="none"/>
          <w:u w:val="none"/>
          <w:lang w:val="en-US" w:eastAsia="zh-CN"/>
        </w:rPr>
      </w:pPr>
      <w:r>
        <w:rPr>
          <w:rFonts w:hint="eastAsia" w:ascii="仿宋" w:hAnsi="仿宋" w:eastAsia="仿宋" w:cs="仿宋"/>
          <w:b w:val="0"/>
          <w:bCs w:val="0"/>
          <w:color w:val="auto"/>
          <w:sz w:val="24"/>
          <w:szCs w:val="24"/>
          <w:highlight w:val="none"/>
          <w:lang w:val="en-US" w:eastAsia="zh-CN"/>
        </w:rPr>
        <w:t>11、</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b w:val="0"/>
          <w:bCs w:val="0"/>
          <w:color w:val="auto"/>
          <w:sz w:val="24"/>
          <w:szCs w:val="24"/>
          <w:highlight w:val="none"/>
          <w:lang w:val="en-US" w:eastAsia="zh-CN"/>
        </w:rPr>
        <w:t>保证具有本合同项目要求的资质和服务能力（老师要持有健康证、无犯罪记录、失信记录等），并且在本合同规定的服务期内。</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b w:val="0"/>
          <w:bCs/>
          <w:color w:val="auto"/>
          <w:sz w:val="24"/>
          <w:szCs w:val="24"/>
          <w:highlight w:val="none"/>
          <w:u w:val="none"/>
          <w:lang w:val="en-US" w:eastAsia="zh-CN"/>
        </w:rPr>
        <w:t>保证自身及旗下产品及服务的所有合作服务上具有合法经营的资质。</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b w:val="0"/>
          <w:bCs/>
          <w:color w:val="auto"/>
          <w:sz w:val="24"/>
          <w:szCs w:val="24"/>
          <w:highlight w:val="none"/>
          <w:u w:val="none"/>
          <w:lang w:val="en-US" w:eastAsia="zh-CN"/>
        </w:rPr>
        <w:t>保证提供的关于自身的信息、资料、资质、运营情况等内容真实有效，自行承担在经营活动中所产生的所有法律责任，不得给招标人的正常工作、运营、形象等造成影响。</w:t>
      </w:r>
    </w:p>
    <w:p>
      <w:pPr>
        <w:pStyle w:val="3"/>
        <w:pageBreakBefore w:val="0"/>
        <w:widowControl w:val="0"/>
        <w:kinsoku/>
        <w:wordWrap/>
        <w:overflowPunct/>
        <w:topLinePunct w:val="0"/>
        <w:autoSpaceDE/>
        <w:autoSpaceDN/>
        <w:bidi w:val="0"/>
        <w:snapToGrid/>
        <w:spacing w:line="360" w:lineRule="auto"/>
        <w:ind w:left="0" w:firstLine="480" w:firstLineChars="200"/>
        <w:textAlignment w:val="auto"/>
        <w:rPr>
          <w:rFonts w:hint="eastAsia" w:ascii="仿宋" w:hAnsi="仿宋" w:eastAsia="宋体" w:cs="仿宋"/>
          <w:b/>
          <w:bCs/>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12、</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b w:val="0"/>
          <w:bCs w:val="0"/>
          <w:color w:val="auto"/>
          <w:sz w:val="24"/>
          <w:szCs w:val="24"/>
          <w:highlight w:val="none"/>
          <w:lang w:val="en-US" w:eastAsia="zh-CN"/>
        </w:rPr>
        <w:t>不得改变场地的用途，</w:t>
      </w:r>
      <w:r>
        <w:rPr>
          <w:rFonts w:hint="eastAsia" w:ascii="仿宋" w:hAnsi="仿宋" w:eastAsia="仿宋" w:cs="仿宋"/>
          <w:b w:val="0"/>
          <w:bCs w:val="0"/>
          <w:color w:val="auto"/>
          <w:sz w:val="24"/>
          <w:szCs w:val="24"/>
          <w:highlight w:val="none"/>
          <w:lang w:val="en-US" w:eastAsia="zh-CN"/>
        </w:rPr>
        <w:t>如将中心转租、分割须取得招标人</w:t>
      </w:r>
      <w:r>
        <w:rPr>
          <w:rFonts w:hint="eastAsia" w:ascii="仿宋" w:hAnsi="仿宋" w:eastAsia="仿宋" w:cs="仿宋"/>
          <w:b w:val="0"/>
          <w:bCs w:val="0"/>
          <w:color w:val="auto"/>
          <w:sz w:val="24"/>
          <w:szCs w:val="24"/>
          <w:highlight w:val="none"/>
          <w:lang w:val="en-US" w:eastAsia="zh-CN"/>
        </w:rPr>
        <w:t>书面</w:t>
      </w:r>
      <w:r>
        <w:rPr>
          <w:rFonts w:hint="eastAsia" w:ascii="仿宋" w:hAnsi="仿宋" w:eastAsia="仿宋" w:cs="仿宋"/>
          <w:b w:val="0"/>
          <w:bCs w:val="0"/>
          <w:color w:val="auto"/>
          <w:sz w:val="24"/>
          <w:szCs w:val="24"/>
          <w:highlight w:val="none"/>
          <w:lang w:val="en-US" w:eastAsia="zh-CN"/>
        </w:rPr>
        <w:t>同意。</w:t>
      </w:r>
      <w:r>
        <w:rPr>
          <w:rFonts w:hint="eastAsia" w:ascii="仿宋" w:hAnsi="仿宋" w:eastAsia="仿宋" w:cs="仿宋"/>
          <w:b w:val="0"/>
          <w:bCs w:val="0"/>
          <w:color w:val="auto"/>
          <w:sz w:val="24"/>
          <w:szCs w:val="24"/>
          <w:highlight w:val="none"/>
          <w:u w:val="none"/>
          <w:lang w:val="en-US" w:eastAsia="zh-CN"/>
        </w:rPr>
        <w:t>未经招标人书面同意，在任何情况下，</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b w:val="0"/>
          <w:bCs w:val="0"/>
          <w:color w:val="auto"/>
          <w:sz w:val="24"/>
          <w:szCs w:val="24"/>
          <w:highlight w:val="none"/>
          <w:u w:val="none"/>
          <w:lang w:val="en-US" w:eastAsia="zh-CN"/>
        </w:rPr>
        <w:t>均不得以任何理由拆除、破坏毁损场地的装修、设施、设备等。否则招标人有权终止协议，由此产生的损失由</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b w:val="0"/>
          <w:bCs w:val="0"/>
          <w:color w:val="auto"/>
          <w:sz w:val="24"/>
          <w:szCs w:val="24"/>
          <w:highlight w:val="none"/>
          <w:u w:val="none"/>
          <w:lang w:val="en-US" w:eastAsia="zh-CN"/>
        </w:rPr>
        <w:t>承担。</w:t>
      </w:r>
    </w:p>
    <w:p>
      <w:pPr>
        <w:pStyle w:val="23"/>
        <w:spacing w:before="0" w:line="360" w:lineRule="auto"/>
        <w:ind w:left="0" w:right="0" w:firstLine="482" w:firstLineChars="200"/>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三、其他要求</w:t>
      </w:r>
    </w:p>
    <w:p>
      <w:pPr>
        <w:pStyle w:val="23"/>
        <w:spacing w:before="0" w:line="360" w:lineRule="auto"/>
        <w:ind w:left="0" w:right="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对于临时工作需要需使用委托区域或社区非托管区域，双方代表必须沟通一致并进行现场核验。社区根据工作需要，经双方协商一致后由</w:t>
      </w:r>
      <w:r>
        <w:rPr>
          <w:rFonts w:hint="eastAsia" w:ascii="仿宋" w:hAnsi="仿宋" w:eastAsia="仿宋" w:cs="仿宋"/>
          <w:color w:val="auto"/>
          <w:sz w:val="24"/>
          <w:highlight w:val="none"/>
          <w:lang w:val="en-US" w:eastAsia="zh-CN"/>
        </w:rPr>
        <w:t>投标人</w:t>
      </w:r>
      <w:r>
        <w:rPr>
          <w:rFonts w:hint="eastAsia" w:ascii="仿宋" w:hAnsi="仿宋" w:eastAsia="仿宋" w:cs="仿宋"/>
          <w:color w:val="auto"/>
          <w:sz w:val="24"/>
          <w:highlight w:val="none"/>
        </w:rPr>
        <w:t>承接与运营项目相关服务，若涉及额外费用的招标人需另行购买。</w:t>
      </w:r>
    </w:p>
    <w:p>
      <w:pPr>
        <w:pStyle w:val="23"/>
        <w:spacing w:before="0" w:line="360" w:lineRule="auto"/>
        <w:ind w:left="0" w:righ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根据居民需求，招标人有权要求</w:t>
      </w:r>
      <w:r>
        <w:rPr>
          <w:rFonts w:hint="eastAsia" w:ascii="仿宋" w:hAnsi="仿宋" w:eastAsia="仿宋" w:cs="仿宋"/>
          <w:color w:val="auto"/>
          <w:sz w:val="24"/>
          <w:highlight w:val="none"/>
          <w:lang w:val="en-US" w:eastAsia="zh-CN"/>
        </w:rPr>
        <w:t>投标人</w:t>
      </w:r>
      <w:r>
        <w:rPr>
          <w:rFonts w:hint="eastAsia" w:ascii="仿宋" w:hAnsi="仿宋" w:eastAsia="仿宋" w:cs="仿宋"/>
          <w:color w:val="auto"/>
          <w:sz w:val="24"/>
          <w:highlight w:val="none"/>
        </w:rPr>
        <w:t>调整优化服务内容。</w:t>
      </w:r>
    </w:p>
    <w:p>
      <w:pPr>
        <w:pStyle w:val="23"/>
        <w:spacing w:before="0" w:line="360" w:lineRule="auto"/>
        <w:ind w:left="0" w:right="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招标范围内的服务应由</w:t>
      </w:r>
      <w:r>
        <w:rPr>
          <w:rFonts w:hint="eastAsia" w:ascii="仿宋" w:hAnsi="仿宋" w:eastAsia="仿宋" w:cs="仿宋"/>
          <w:color w:val="auto"/>
          <w:sz w:val="24"/>
          <w:highlight w:val="none"/>
          <w:lang w:val="en-US" w:eastAsia="zh-CN"/>
        </w:rPr>
        <w:t>投标人</w:t>
      </w:r>
      <w:r>
        <w:rPr>
          <w:rFonts w:hint="eastAsia" w:ascii="仿宋" w:hAnsi="仿宋" w:eastAsia="仿宋" w:cs="仿宋"/>
          <w:color w:val="auto"/>
          <w:sz w:val="24"/>
          <w:highlight w:val="none"/>
        </w:rPr>
        <w:t>直接供应。除</w:t>
      </w:r>
      <w:r>
        <w:rPr>
          <w:rFonts w:hint="eastAsia" w:ascii="仿宋" w:hAnsi="仿宋" w:eastAsia="仿宋" w:cs="仿宋"/>
          <w:color w:val="auto"/>
          <w:sz w:val="24"/>
          <w:highlight w:val="none"/>
          <w:lang w:val="en-US" w:eastAsia="zh-CN"/>
        </w:rPr>
        <w:t>经</w:t>
      </w:r>
      <w:r>
        <w:rPr>
          <w:rFonts w:hint="eastAsia" w:ascii="仿宋" w:hAnsi="仿宋" w:eastAsia="仿宋" w:cs="仿宋"/>
          <w:color w:val="auto"/>
          <w:sz w:val="24"/>
          <w:highlight w:val="none"/>
        </w:rPr>
        <w:t>招标人同意，中标人不得将招标范围的服务全部或部分直接分包给他人供应，但允许引进相关专业人士合作运营。如有转让或未经招标人同意服务的分包行为，招标人有权解除合同</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由此造成的损失由</w:t>
      </w:r>
      <w:r>
        <w:rPr>
          <w:rFonts w:hint="eastAsia" w:ascii="仿宋" w:hAnsi="仿宋" w:eastAsia="仿宋" w:cs="仿宋"/>
          <w:color w:val="auto"/>
          <w:sz w:val="24"/>
          <w:highlight w:val="none"/>
          <w:lang w:val="en-US" w:eastAsia="zh-CN"/>
        </w:rPr>
        <w:t>投标</w:t>
      </w:r>
      <w:r>
        <w:rPr>
          <w:rFonts w:hint="eastAsia" w:ascii="仿宋" w:hAnsi="仿宋" w:eastAsia="仿宋" w:cs="仿宋"/>
          <w:color w:val="auto"/>
          <w:sz w:val="24"/>
          <w:highlight w:val="none"/>
        </w:rPr>
        <w:t>人承担。</w:t>
      </w:r>
    </w:p>
    <w:p>
      <w:pPr>
        <w:pStyle w:val="23"/>
        <w:keepNext w:val="0"/>
        <w:keepLines w:val="0"/>
        <w:pageBreakBefore w:val="0"/>
        <w:kinsoku/>
        <w:wordWrap/>
        <w:overflowPunct/>
        <w:topLinePunct w:val="0"/>
        <w:bidi w:val="0"/>
        <w:adjustRightInd w:val="0"/>
        <w:snapToGrid/>
        <w:spacing w:line="360" w:lineRule="auto"/>
        <w:ind w:left="0" w:right="0" w:firstLine="482" w:firstLineChars="200"/>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四、考核要求</w:t>
      </w:r>
    </w:p>
    <w:p>
      <w:pPr>
        <w:pStyle w:val="23"/>
        <w:keepNext w:val="0"/>
        <w:keepLines w:val="0"/>
        <w:pageBreakBefore w:val="0"/>
        <w:kinsoku/>
        <w:wordWrap/>
        <w:overflowPunct/>
        <w:topLinePunct w:val="0"/>
        <w:bidi w:val="0"/>
        <w:adjustRightInd w:val="0"/>
        <w:snapToGrid/>
        <w:spacing w:line="360" w:lineRule="auto"/>
        <w:ind w:left="0" w:right="0" w:firstLine="480" w:firstLineChars="200"/>
        <w:textAlignment w:val="auto"/>
        <w:rPr>
          <w:rFonts w:hint="eastAsia"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按照湖墅街道仓基新村社区驻点服务年度考核办法实施，采用扣分制，初始总分为100分（科室考核40分，社区考核30分，群众满意度考核30分），</w:t>
      </w:r>
      <w:r>
        <w:rPr>
          <w:rFonts w:hint="eastAsia" w:ascii="仿宋" w:hAnsi="仿宋" w:eastAsia="仿宋" w:cs="仿宋"/>
          <w:b w:val="0"/>
          <w:bCs w:val="0"/>
          <w:color w:val="auto"/>
          <w:sz w:val="24"/>
          <w:highlight w:val="none"/>
          <w:lang w:eastAsia="zh-CN"/>
        </w:rPr>
        <w:t>考核合格分为</w:t>
      </w:r>
      <w:r>
        <w:rPr>
          <w:rFonts w:hint="eastAsia" w:ascii="仿宋" w:hAnsi="仿宋" w:eastAsia="仿宋" w:cs="仿宋"/>
          <w:b w:val="0"/>
          <w:bCs w:val="0"/>
          <w:color w:val="auto"/>
          <w:sz w:val="24"/>
          <w:highlight w:val="none"/>
          <w:lang w:val="en-US" w:eastAsia="zh-CN"/>
        </w:rPr>
        <w:t>90分，根据工作情况进行评分考量，具体如下：</w:t>
      </w:r>
    </w:p>
    <w:p>
      <w:pPr>
        <w:pStyle w:val="23"/>
        <w:keepNext w:val="0"/>
        <w:keepLines w:val="0"/>
        <w:pageBreakBefore w:val="0"/>
        <w:kinsoku/>
        <w:wordWrap/>
        <w:overflowPunct/>
        <w:topLinePunct w:val="0"/>
        <w:bidi w:val="0"/>
        <w:adjustRightInd w:val="0"/>
        <w:snapToGrid/>
        <w:spacing w:line="360" w:lineRule="auto"/>
        <w:ind w:left="0" w:right="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1、被通报批评、被媒体负面曝光等根据情节严重程度，每次扣1-3分。</w:t>
      </w:r>
    </w:p>
    <w:p>
      <w:pPr>
        <w:pStyle w:val="23"/>
        <w:keepNext w:val="0"/>
        <w:keepLines w:val="0"/>
        <w:pageBreakBefore w:val="0"/>
        <w:kinsoku/>
        <w:wordWrap/>
        <w:overflowPunct/>
        <w:topLinePunct w:val="0"/>
        <w:bidi w:val="0"/>
        <w:adjustRightInd w:val="0"/>
        <w:snapToGrid/>
        <w:spacing w:line="360" w:lineRule="auto"/>
        <w:ind w:left="0" w:right="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亲子互动及陪伴活动每周开放少于5天，或科学养育照护公益课堂每年举办少于12次（运营方负责协助场地使用与签到，课程由卫生院提供)；开展学科类培训或隐形变异类学科培训，导致街道被通报批评、在考核中扣分或引发负面舆情的每次扣2分。</w:t>
      </w:r>
    </w:p>
    <w:p>
      <w:pPr>
        <w:pStyle w:val="23"/>
        <w:keepNext w:val="0"/>
        <w:keepLines w:val="0"/>
        <w:pageBreakBefore w:val="0"/>
        <w:kinsoku/>
        <w:wordWrap/>
        <w:overflowPunct/>
        <w:topLinePunct w:val="0"/>
        <w:bidi w:val="0"/>
        <w:adjustRightInd w:val="0"/>
        <w:snapToGrid/>
        <w:spacing w:line="360" w:lineRule="auto"/>
        <w:ind w:left="0" w:right="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仓基百姓健身房在中央、省、市、区各类明察暗访中被查到未正常开放运营，或设施不符合《浙江省体育局关于进一步推进百姓健身房建设工作的通知》要求（浙体群〔2020〕60号），或发生火灾或人身安全责任事故导致街道在考核中被扣分的，每次扣3分。</w:t>
      </w:r>
    </w:p>
    <w:p>
      <w:pPr>
        <w:pStyle w:val="23"/>
        <w:keepNext w:val="0"/>
        <w:keepLines w:val="0"/>
        <w:pageBreakBefore w:val="0"/>
        <w:kinsoku/>
        <w:wordWrap/>
        <w:overflowPunct/>
        <w:topLinePunct w:val="0"/>
        <w:bidi w:val="0"/>
        <w:adjustRightInd w:val="0"/>
        <w:snapToGrid/>
        <w:spacing w:line="360" w:lineRule="auto"/>
        <w:ind w:left="0" w:right="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仓基百姓健身房未达到开放时间要求（每天开放时间须不少于6小时，且晚上开放时间不少于2小时），或文化站图书馆未达到开放时间要求（每周六、周日9:00-12:00,14:00-17:00，每周一至周五9:00-20:00，导致街道在中央、省、市、区各类明察暗访或考核中扣分，或引发负面舆情的，每次扣3分。</w:t>
      </w:r>
    </w:p>
    <w:p>
      <w:pPr>
        <w:pStyle w:val="23"/>
        <w:keepNext w:val="0"/>
        <w:keepLines w:val="0"/>
        <w:pageBreakBefore w:val="0"/>
        <w:kinsoku/>
        <w:wordWrap/>
        <w:overflowPunct/>
        <w:topLinePunct w:val="0"/>
        <w:bidi w:val="0"/>
        <w:adjustRightInd w:val="0"/>
        <w:snapToGrid/>
        <w:spacing w:line="360" w:lineRule="auto"/>
        <w:ind w:left="0" w:right="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5、不配合街道科室或社区要求，开展相关工作，或街道社区因工作需要使用仓基新村66幢、仓基百姓健身房场地时不配合，每次扣2分。</w:t>
      </w:r>
    </w:p>
    <w:p>
      <w:pPr>
        <w:pStyle w:val="23"/>
        <w:keepNext w:val="0"/>
        <w:keepLines w:val="0"/>
        <w:pageBreakBefore w:val="0"/>
        <w:kinsoku/>
        <w:wordWrap/>
        <w:overflowPunct/>
        <w:topLinePunct w:val="0"/>
        <w:bidi w:val="0"/>
        <w:adjustRightInd w:val="0"/>
        <w:snapToGrid/>
        <w:spacing w:line="360" w:lineRule="auto"/>
        <w:ind w:left="0" w:right="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6、为保障运营工作连续性与稳定性，出现</w:t>
      </w:r>
      <w:r>
        <w:rPr>
          <w:rFonts w:hint="eastAsia" w:ascii="仿宋" w:hAnsi="仿宋" w:eastAsia="仿宋" w:cs="仿宋"/>
          <w:color w:val="auto"/>
          <w:sz w:val="24"/>
          <w:highlight w:val="none"/>
          <w:lang w:val="en-US" w:eastAsia="zh-CN"/>
        </w:rPr>
        <w:t>主要负责的</w:t>
      </w:r>
      <w:r>
        <w:rPr>
          <w:rFonts w:hint="eastAsia" w:ascii="仿宋" w:hAnsi="仿宋" w:eastAsia="仿宋" w:cs="仿宋"/>
          <w:color w:val="auto"/>
          <w:sz w:val="24"/>
          <w:highlight w:val="none"/>
          <w:lang w:val="en-US" w:eastAsia="zh-CN"/>
        </w:rPr>
        <w:t>工作人员变动时，未提前至少1周书面告知招标人的，每次扣1分。</w:t>
      </w:r>
    </w:p>
    <w:p>
      <w:pPr>
        <w:pStyle w:val="23"/>
        <w:keepNext w:val="0"/>
        <w:keepLines w:val="0"/>
        <w:pageBreakBefore w:val="0"/>
        <w:kinsoku/>
        <w:wordWrap/>
        <w:overflowPunct/>
        <w:topLinePunct w:val="0"/>
        <w:bidi w:val="0"/>
        <w:adjustRightInd w:val="0"/>
        <w:snapToGrid/>
        <w:spacing w:line="360" w:lineRule="auto"/>
        <w:ind w:left="0" w:right="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需创建不低于500人的专属社群社团或活动群，平均每月开展活动不少于2次，每次活动参与人数不少于20人，年累计开展活动不少于50次（包含第8点中提及的活动），年累计活动参与人次不少于1500人次，年底未达标则扣3分。</w:t>
      </w:r>
    </w:p>
    <w:p>
      <w:pPr>
        <w:pStyle w:val="23"/>
        <w:keepNext w:val="0"/>
        <w:keepLines w:val="0"/>
        <w:pageBreakBefore w:val="0"/>
        <w:kinsoku/>
        <w:wordWrap/>
        <w:overflowPunct/>
        <w:topLinePunct w:val="0"/>
        <w:bidi w:val="0"/>
        <w:adjustRightInd w:val="0"/>
        <w:snapToGrid/>
        <w:spacing w:line="360" w:lineRule="auto"/>
        <w:ind w:left="0" w:right="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8、负责仓基新村66幢大运河幸福家园 、百姓健身房、仓基新村6号文创中心的全面管理（包括安全管理、社团管理等），一键呼叫24小时响应，常态化运行，确保人员响应到位、数字化平台运营到位、处置流程到位、回访评价到位。并在实现托管场地日活运营基础上，配合社区做好各职能条线品牌深化落地工作，参与各级项目品牌争创，承接社区参观讲解陪同等工作(包括但不限于仓基新村66幢、百姓健身房、仓基新村6号文创中心与共富街区)。此条未达标则根据情节严重程度扣1-3分。</w:t>
      </w:r>
    </w:p>
    <w:p>
      <w:pPr>
        <w:pStyle w:val="23"/>
        <w:keepNext w:val="0"/>
        <w:keepLines w:val="0"/>
        <w:pageBreakBefore w:val="0"/>
        <w:kinsoku/>
        <w:wordWrap/>
        <w:overflowPunct/>
        <w:topLinePunct w:val="0"/>
        <w:bidi w:val="0"/>
        <w:adjustRightInd w:val="0"/>
        <w:snapToGrid/>
        <w:spacing w:line="360" w:lineRule="auto"/>
        <w:ind w:left="0" w:right="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9、整合街道辖区资源，提供个性化专业化服务，形成相关工作经验和典型做法，并在主流媒体上发布，获得社会影响力。年底未达标扣1-5分。</w:t>
      </w:r>
    </w:p>
    <w:p>
      <w:pPr>
        <w:pStyle w:val="23"/>
        <w:keepNext w:val="0"/>
        <w:keepLines w:val="0"/>
        <w:pageBreakBefore w:val="0"/>
        <w:kinsoku/>
        <w:wordWrap/>
        <w:overflowPunct/>
        <w:topLinePunct w:val="0"/>
        <w:bidi w:val="0"/>
        <w:adjustRightInd w:val="0"/>
        <w:snapToGrid/>
        <w:spacing w:line="360" w:lineRule="auto"/>
        <w:ind w:left="0" w:right="0"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10、群众满意度考核，调查表中总体不满意占比值作相应扣分。</w:t>
      </w:r>
    </w:p>
    <w:p>
      <w:pPr>
        <w:pStyle w:val="23"/>
        <w:keepNext w:val="0"/>
        <w:keepLines w:val="0"/>
        <w:pageBreakBefore w:val="0"/>
        <w:kinsoku/>
        <w:wordWrap/>
        <w:overflowPunct/>
        <w:topLinePunct w:val="0"/>
        <w:bidi w:val="0"/>
        <w:adjustRightInd w:val="0"/>
        <w:snapToGrid/>
        <w:spacing w:line="360" w:lineRule="auto"/>
        <w:ind w:left="0" w:right="0" w:firstLine="480" w:firstLineChars="20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以上扣分由招标人获取的信息为准，投标人对此无异议。</w:t>
      </w:r>
    </w:p>
    <w:p>
      <w:pPr>
        <w:spacing w:line="360" w:lineRule="auto"/>
        <w:ind w:firstLine="181" w:firstLineChars="50"/>
        <w:rPr>
          <w:rFonts w:hint="eastAsia" w:ascii="仿宋" w:hAnsi="仿宋" w:eastAsia="仿宋" w:cs="仿宋"/>
          <w:b/>
          <w:color w:val="auto"/>
          <w:sz w:val="36"/>
          <w:szCs w:val="36"/>
          <w:highlight w:val="none"/>
        </w:rPr>
      </w:pPr>
    </w:p>
    <w:p>
      <w:pPr>
        <w:widowControl/>
        <w:ind w:firstLine="720" w:firstLineChars="300"/>
        <w:jc w:val="left"/>
        <w:rPr>
          <w:rFonts w:hint="eastAsia" w:ascii="仿宋" w:hAnsi="仿宋" w:eastAsia="仿宋" w:cs="仿宋"/>
          <w:bCs/>
          <w:color w:val="auto"/>
          <w:sz w:val="24"/>
          <w:highlight w:val="none"/>
        </w:rPr>
      </w:pPr>
    </w:p>
    <w:p>
      <w:pPr>
        <w:rPr>
          <w:rFonts w:hint="eastAsia" w:ascii="仿宋" w:hAnsi="仿宋" w:eastAsia="仿宋" w:cs="仿宋"/>
          <w:snapToGrid w:val="0"/>
          <w:color w:val="auto"/>
          <w:kern w:val="0"/>
          <w:sz w:val="24"/>
          <w:highlight w:val="none"/>
        </w:rPr>
      </w:pPr>
    </w:p>
    <w:p>
      <w:pPr>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36"/>
          <w:szCs w:val="36"/>
          <w:highlight w:val="none"/>
        </w:rPr>
        <w:t xml:space="preserve">第四部分   </w:t>
      </w:r>
      <w:bookmarkStart w:id="26" w:name="_Toc184312127"/>
      <w:bookmarkEnd w:id="26"/>
      <w:bookmarkStart w:id="27" w:name="_Toc184310290"/>
      <w:bookmarkEnd w:id="27"/>
      <w:bookmarkStart w:id="28" w:name="_Toc184313257"/>
      <w:bookmarkEnd w:id="28"/>
      <w:bookmarkStart w:id="29" w:name="_Toc184314448"/>
      <w:bookmarkEnd w:id="29"/>
      <w:bookmarkStart w:id="30" w:name="_Toc184313264"/>
      <w:bookmarkEnd w:id="30"/>
      <w:bookmarkStart w:id="31" w:name="_Toc184312108"/>
      <w:bookmarkEnd w:id="31"/>
      <w:bookmarkStart w:id="32" w:name="_Toc184312097"/>
      <w:bookmarkEnd w:id="32"/>
      <w:bookmarkStart w:id="33" w:name="_Toc184310279"/>
      <w:bookmarkEnd w:id="33"/>
      <w:bookmarkStart w:id="34" w:name="_Toc184312076"/>
      <w:bookmarkEnd w:id="34"/>
      <w:bookmarkStart w:id="35" w:name="_Toc184314441"/>
      <w:bookmarkEnd w:id="35"/>
      <w:bookmarkStart w:id="36" w:name="_Toc184308064"/>
      <w:bookmarkEnd w:id="36"/>
      <w:bookmarkStart w:id="37" w:name="_Toc184312071"/>
      <w:bookmarkEnd w:id="37"/>
      <w:bookmarkStart w:id="38" w:name="_Toc184314462"/>
      <w:bookmarkEnd w:id="38"/>
      <w:bookmarkStart w:id="39" w:name="_Toc184308091"/>
      <w:bookmarkEnd w:id="39"/>
      <w:bookmarkStart w:id="40" w:name="_Toc184312139"/>
      <w:bookmarkEnd w:id="40"/>
      <w:bookmarkStart w:id="41" w:name="_Toc184308054"/>
      <w:bookmarkEnd w:id="41"/>
      <w:bookmarkStart w:id="42" w:name="_Toc184312070"/>
      <w:bookmarkEnd w:id="42"/>
      <w:bookmarkStart w:id="43" w:name="_Toc184313239"/>
      <w:bookmarkEnd w:id="43"/>
      <w:bookmarkStart w:id="44" w:name="_Toc184312135"/>
      <w:bookmarkEnd w:id="44"/>
      <w:bookmarkStart w:id="45" w:name="_Toc184308059"/>
      <w:bookmarkEnd w:id="45"/>
      <w:bookmarkStart w:id="46" w:name="_Toc184313300"/>
      <w:bookmarkEnd w:id="46"/>
      <w:bookmarkStart w:id="47" w:name="_Toc184312122"/>
      <w:bookmarkEnd w:id="47"/>
      <w:bookmarkStart w:id="48" w:name="_Toc184308061"/>
      <w:bookmarkEnd w:id="48"/>
      <w:bookmarkStart w:id="49" w:name="_Toc184314422"/>
      <w:bookmarkEnd w:id="49"/>
      <w:bookmarkStart w:id="50" w:name="_Toc184313265"/>
      <w:bookmarkEnd w:id="50"/>
      <w:bookmarkStart w:id="51" w:name="_Toc184314465"/>
      <w:bookmarkEnd w:id="51"/>
      <w:bookmarkStart w:id="52" w:name="_Toc184312092"/>
      <w:bookmarkEnd w:id="52"/>
      <w:bookmarkStart w:id="53" w:name="_Toc184308102"/>
      <w:bookmarkEnd w:id="53"/>
      <w:bookmarkStart w:id="54" w:name="_Toc184313238"/>
      <w:bookmarkEnd w:id="54"/>
      <w:bookmarkStart w:id="55" w:name="_Toc184314439"/>
      <w:bookmarkEnd w:id="55"/>
      <w:bookmarkStart w:id="56" w:name="_Toc184312118"/>
      <w:bookmarkEnd w:id="56"/>
      <w:bookmarkStart w:id="57" w:name="_Toc184308093"/>
      <w:bookmarkEnd w:id="57"/>
      <w:bookmarkStart w:id="58" w:name="_Toc184314474"/>
      <w:bookmarkEnd w:id="58"/>
      <w:bookmarkStart w:id="59" w:name="_Toc184312074"/>
      <w:bookmarkEnd w:id="59"/>
      <w:bookmarkStart w:id="60" w:name="_Toc184313241"/>
      <w:bookmarkEnd w:id="60"/>
      <w:bookmarkStart w:id="61" w:name="_Toc184314427"/>
      <w:bookmarkEnd w:id="61"/>
      <w:bookmarkStart w:id="62" w:name="_Toc184308042"/>
      <w:bookmarkEnd w:id="62"/>
      <w:bookmarkStart w:id="63" w:name="_Toc184310273"/>
      <w:bookmarkEnd w:id="63"/>
      <w:bookmarkStart w:id="64" w:name="_Toc184314470"/>
      <w:bookmarkEnd w:id="64"/>
      <w:bookmarkStart w:id="65" w:name="_Toc184313281"/>
      <w:bookmarkEnd w:id="65"/>
      <w:bookmarkStart w:id="66" w:name="_Toc184310304"/>
      <w:bookmarkEnd w:id="66"/>
      <w:bookmarkStart w:id="67" w:name="_Toc184313293"/>
      <w:bookmarkEnd w:id="67"/>
      <w:bookmarkStart w:id="68" w:name="_Toc184310296"/>
      <w:bookmarkEnd w:id="68"/>
      <w:bookmarkStart w:id="69" w:name="_Toc184314445"/>
      <w:bookmarkEnd w:id="69"/>
      <w:bookmarkStart w:id="70" w:name="_Toc184314429"/>
      <w:bookmarkEnd w:id="70"/>
      <w:bookmarkStart w:id="71" w:name="_Toc184313290"/>
      <w:bookmarkEnd w:id="71"/>
      <w:bookmarkStart w:id="72" w:name="_Toc184312080"/>
      <w:bookmarkEnd w:id="72"/>
      <w:bookmarkStart w:id="73" w:name="_Toc184314413"/>
      <w:bookmarkEnd w:id="73"/>
      <w:bookmarkStart w:id="74" w:name="_Toc184313280"/>
      <w:bookmarkEnd w:id="74"/>
      <w:bookmarkStart w:id="75" w:name="_Toc184314454"/>
      <w:bookmarkEnd w:id="75"/>
      <w:bookmarkStart w:id="76" w:name="_Toc184308076"/>
      <w:bookmarkEnd w:id="76"/>
      <w:bookmarkStart w:id="77" w:name="_Toc184310332"/>
      <w:bookmarkEnd w:id="77"/>
      <w:bookmarkStart w:id="78" w:name="_Toc184310317"/>
      <w:bookmarkEnd w:id="78"/>
      <w:bookmarkStart w:id="79" w:name="_Toc184313266"/>
      <w:bookmarkEnd w:id="79"/>
      <w:bookmarkStart w:id="80" w:name="_Toc184308039"/>
      <w:bookmarkEnd w:id="80"/>
      <w:bookmarkStart w:id="81" w:name="_Toc184313287"/>
      <w:bookmarkEnd w:id="81"/>
      <w:bookmarkStart w:id="82" w:name="_Toc184310344"/>
      <w:bookmarkEnd w:id="82"/>
      <w:bookmarkStart w:id="83" w:name="_Toc184310325"/>
      <w:bookmarkEnd w:id="83"/>
      <w:bookmarkStart w:id="84" w:name="_Toc184312088"/>
      <w:bookmarkEnd w:id="84"/>
      <w:bookmarkStart w:id="85" w:name="_Toc184313249"/>
      <w:bookmarkEnd w:id="85"/>
      <w:bookmarkStart w:id="86" w:name="_Toc184310282"/>
      <w:bookmarkEnd w:id="86"/>
      <w:bookmarkStart w:id="87" w:name="_Toc184313271"/>
      <w:bookmarkEnd w:id="87"/>
      <w:bookmarkStart w:id="88" w:name="_Toc184312113"/>
      <w:bookmarkEnd w:id="88"/>
      <w:bookmarkStart w:id="89" w:name="_Toc184312083"/>
      <w:bookmarkEnd w:id="89"/>
      <w:bookmarkStart w:id="90" w:name="_Toc184310306"/>
      <w:bookmarkEnd w:id="90"/>
      <w:bookmarkStart w:id="91" w:name="_Toc184314472"/>
      <w:bookmarkEnd w:id="91"/>
      <w:bookmarkStart w:id="92" w:name="_Toc184312085"/>
      <w:bookmarkEnd w:id="92"/>
      <w:bookmarkStart w:id="93" w:name="_Toc184314417"/>
      <w:bookmarkEnd w:id="93"/>
      <w:bookmarkStart w:id="94" w:name="_Toc184314457"/>
      <w:bookmarkEnd w:id="94"/>
      <w:bookmarkStart w:id="95" w:name="_Toc184308070"/>
      <w:bookmarkEnd w:id="95"/>
      <w:bookmarkStart w:id="96" w:name="_Toc184314447"/>
      <w:bookmarkEnd w:id="96"/>
      <w:bookmarkStart w:id="97" w:name="_Toc184308055"/>
      <w:bookmarkEnd w:id="97"/>
      <w:bookmarkStart w:id="98" w:name="_Toc184312126"/>
      <w:bookmarkEnd w:id="98"/>
      <w:bookmarkStart w:id="99" w:name="_Toc184312093"/>
      <w:bookmarkEnd w:id="99"/>
      <w:bookmarkStart w:id="100" w:name="_Toc184308048"/>
      <w:bookmarkEnd w:id="100"/>
      <w:bookmarkStart w:id="101" w:name="_Toc184310278"/>
      <w:bookmarkEnd w:id="101"/>
      <w:bookmarkStart w:id="102" w:name="_Toc184308037"/>
      <w:bookmarkEnd w:id="102"/>
      <w:bookmarkStart w:id="103" w:name="_Toc184308043"/>
      <w:bookmarkEnd w:id="103"/>
      <w:bookmarkStart w:id="104" w:name="_Toc184313285"/>
      <w:bookmarkEnd w:id="104"/>
      <w:bookmarkStart w:id="105" w:name="_Toc184310286"/>
      <w:bookmarkEnd w:id="105"/>
      <w:bookmarkStart w:id="106" w:name="_Toc184308090"/>
      <w:bookmarkEnd w:id="106"/>
      <w:bookmarkStart w:id="107" w:name="_Toc184312125"/>
      <w:bookmarkEnd w:id="107"/>
      <w:bookmarkStart w:id="108" w:name="_Toc184313289"/>
      <w:bookmarkEnd w:id="108"/>
      <w:bookmarkStart w:id="109" w:name="_Toc184313259"/>
      <w:bookmarkEnd w:id="109"/>
      <w:bookmarkStart w:id="110" w:name="_Toc184308104"/>
      <w:bookmarkEnd w:id="110"/>
      <w:bookmarkStart w:id="111" w:name="_Toc184310298"/>
      <w:bookmarkEnd w:id="111"/>
      <w:bookmarkStart w:id="112" w:name="_Toc184308086"/>
      <w:bookmarkEnd w:id="112"/>
      <w:bookmarkStart w:id="113" w:name="_Toc184312101"/>
      <w:bookmarkEnd w:id="113"/>
      <w:bookmarkStart w:id="114" w:name="_Toc184313301"/>
      <w:bookmarkEnd w:id="114"/>
      <w:bookmarkStart w:id="115" w:name="_Toc184314477"/>
      <w:bookmarkEnd w:id="115"/>
      <w:bookmarkStart w:id="116" w:name="_Toc184312096"/>
      <w:bookmarkEnd w:id="116"/>
      <w:bookmarkStart w:id="117" w:name="_Toc184313284"/>
      <w:bookmarkEnd w:id="117"/>
      <w:bookmarkStart w:id="118" w:name="_Toc184313272"/>
      <w:bookmarkEnd w:id="118"/>
      <w:bookmarkStart w:id="119" w:name="_Toc184312068"/>
      <w:bookmarkEnd w:id="119"/>
      <w:bookmarkStart w:id="120" w:name="_Toc184313250"/>
      <w:bookmarkEnd w:id="120"/>
      <w:bookmarkStart w:id="121" w:name="_Toc184313260"/>
      <w:bookmarkEnd w:id="121"/>
      <w:bookmarkStart w:id="122" w:name="_Toc184308106"/>
      <w:bookmarkEnd w:id="122"/>
      <w:bookmarkStart w:id="123" w:name="_Toc184308066"/>
      <w:bookmarkEnd w:id="123"/>
      <w:bookmarkStart w:id="124" w:name="_Toc184308057"/>
      <w:bookmarkEnd w:id="124"/>
      <w:bookmarkStart w:id="125" w:name="_Toc184312105"/>
      <w:bookmarkEnd w:id="125"/>
      <w:bookmarkStart w:id="126" w:name="_Toc184310299"/>
      <w:bookmarkEnd w:id="126"/>
      <w:bookmarkStart w:id="127" w:name="_Toc184314459"/>
      <w:bookmarkEnd w:id="127"/>
      <w:bookmarkStart w:id="128" w:name="_Toc184310324"/>
      <w:bookmarkEnd w:id="128"/>
      <w:bookmarkStart w:id="129" w:name="_Toc184313294"/>
      <w:bookmarkEnd w:id="129"/>
      <w:bookmarkStart w:id="130" w:name="_Toc184312116"/>
      <w:bookmarkEnd w:id="130"/>
      <w:bookmarkStart w:id="131" w:name="_Toc184310297"/>
      <w:bookmarkEnd w:id="131"/>
      <w:bookmarkStart w:id="132" w:name="_Toc184313243"/>
      <w:bookmarkEnd w:id="132"/>
      <w:bookmarkStart w:id="133" w:name="_Toc184313303"/>
      <w:bookmarkEnd w:id="133"/>
      <w:bookmarkStart w:id="134" w:name="_Toc184310339"/>
      <w:bookmarkEnd w:id="134"/>
      <w:bookmarkStart w:id="135" w:name="_Toc184313298"/>
      <w:bookmarkEnd w:id="135"/>
      <w:bookmarkStart w:id="136" w:name="_Toc184310288"/>
      <w:bookmarkEnd w:id="136"/>
      <w:bookmarkStart w:id="137" w:name="_Toc184312137"/>
      <w:bookmarkEnd w:id="137"/>
      <w:bookmarkStart w:id="138" w:name="_Toc184312120"/>
      <w:bookmarkEnd w:id="138"/>
      <w:bookmarkStart w:id="139" w:name="_Toc184310300"/>
      <w:bookmarkEnd w:id="139"/>
      <w:bookmarkStart w:id="140" w:name="_Toc184308051"/>
      <w:bookmarkEnd w:id="140"/>
      <w:bookmarkStart w:id="141" w:name="_Toc184313276"/>
      <w:bookmarkEnd w:id="141"/>
      <w:bookmarkStart w:id="142" w:name="_Toc184313288"/>
      <w:bookmarkEnd w:id="142"/>
      <w:bookmarkStart w:id="143" w:name="_Toc184312081"/>
      <w:bookmarkEnd w:id="143"/>
      <w:bookmarkStart w:id="144" w:name="_Toc184314479"/>
      <w:bookmarkEnd w:id="144"/>
      <w:bookmarkStart w:id="145" w:name="_Toc184314418"/>
      <w:bookmarkEnd w:id="145"/>
      <w:bookmarkStart w:id="146" w:name="_Toc184310281"/>
      <w:bookmarkEnd w:id="146"/>
      <w:bookmarkStart w:id="147" w:name="_Toc184308087"/>
      <w:bookmarkEnd w:id="147"/>
      <w:bookmarkStart w:id="148" w:name="_Toc184312087"/>
      <w:bookmarkEnd w:id="148"/>
      <w:bookmarkStart w:id="149" w:name="_Toc184310318"/>
      <w:bookmarkEnd w:id="149"/>
      <w:bookmarkStart w:id="150" w:name="_Toc184310289"/>
      <w:bookmarkEnd w:id="150"/>
      <w:bookmarkStart w:id="151" w:name="_Toc184314442"/>
      <w:bookmarkEnd w:id="151"/>
      <w:bookmarkStart w:id="152" w:name="_Toc184312079"/>
      <w:bookmarkEnd w:id="152"/>
      <w:bookmarkStart w:id="153" w:name="_Toc184312107"/>
      <w:bookmarkEnd w:id="153"/>
      <w:bookmarkStart w:id="154" w:name="_Toc184308105"/>
      <w:bookmarkEnd w:id="154"/>
      <w:bookmarkStart w:id="155" w:name="_Toc184312073"/>
      <w:bookmarkEnd w:id="155"/>
      <w:bookmarkStart w:id="156" w:name="_Toc184310326"/>
      <w:bookmarkEnd w:id="156"/>
      <w:bookmarkStart w:id="157" w:name="_Toc184314435"/>
      <w:bookmarkEnd w:id="157"/>
      <w:bookmarkStart w:id="158" w:name="_Toc184312109"/>
      <w:bookmarkEnd w:id="158"/>
      <w:bookmarkStart w:id="159" w:name="_Toc184310335"/>
      <w:bookmarkEnd w:id="159"/>
      <w:bookmarkStart w:id="160" w:name="_Toc184310320"/>
      <w:bookmarkEnd w:id="160"/>
      <w:bookmarkStart w:id="161" w:name="_Toc184312078"/>
      <w:bookmarkEnd w:id="161"/>
      <w:bookmarkStart w:id="162" w:name="_Toc184314467"/>
      <w:bookmarkEnd w:id="162"/>
      <w:bookmarkStart w:id="163" w:name="_Toc184312112"/>
      <w:bookmarkEnd w:id="163"/>
      <w:bookmarkStart w:id="164" w:name="_Toc184310309"/>
      <w:bookmarkEnd w:id="164"/>
      <w:bookmarkStart w:id="165" w:name="_Toc184314412"/>
      <w:bookmarkEnd w:id="165"/>
      <w:bookmarkStart w:id="166" w:name="_Toc184308079"/>
      <w:bookmarkEnd w:id="166"/>
      <w:bookmarkStart w:id="167" w:name="_Toc184308075"/>
      <w:bookmarkEnd w:id="167"/>
      <w:bookmarkStart w:id="168" w:name="_Toc184314468"/>
      <w:bookmarkEnd w:id="168"/>
      <w:bookmarkStart w:id="169" w:name="_Toc184308069"/>
      <w:bookmarkEnd w:id="169"/>
      <w:bookmarkStart w:id="170" w:name="_Toc184313306"/>
      <w:bookmarkEnd w:id="170"/>
      <w:bookmarkStart w:id="171" w:name="_Toc184312095"/>
      <w:bookmarkEnd w:id="171"/>
      <w:bookmarkStart w:id="172" w:name="_Toc184310316"/>
      <w:bookmarkEnd w:id="172"/>
      <w:bookmarkStart w:id="173" w:name="_Toc184308074"/>
      <w:bookmarkEnd w:id="173"/>
      <w:bookmarkStart w:id="174" w:name="_Toc184308067"/>
      <w:bookmarkEnd w:id="174"/>
      <w:bookmarkStart w:id="175" w:name="_Toc184308072"/>
      <w:bookmarkEnd w:id="175"/>
      <w:bookmarkStart w:id="176" w:name="_Toc184314446"/>
      <w:bookmarkEnd w:id="176"/>
      <w:bookmarkStart w:id="177" w:name="_Toc184314464"/>
      <w:bookmarkEnd w:id="177"/>
      <w:bookmarkStart w:id="178" w:name="_Toc184314433"/>
      <w:bookmarkEnd w:id="178"/>
      <w:bookmarkStart w:id="179" w:name="_Toc184314460"/>
      <w:bookmarkEnd w:id="179"/>
      <w:bookmarkStart w:id="180" w:name="_Toc184310328"/>
      <w:bookmarkEnd w:id="180"/>
      <w:bookmarkStart w:id="181" w:name="_Toc184314419"/>
      <w:bookmarkEnd w:id="181"/>
      <w:bookmarkStart w:id="182" w:name="_Toc184310283"/>
      <w:bookmarkEnd w:id="182"/>
      <w:bookmarkStart w:id="183" w:name="_Toc184310340"/>
      <w:bookmarkEnd w:id="183"/>
      <w:bookmarkStart w:id="184" w:name="_Toc184313296"/>
      <w:bookmarkEnd w:id="184"/>
      <w:bookmarkStart w:id="185" w:name="_Toc184313279"/>
      <w:bookmarkEnd w:id="185"/>
      <w:bookmarkStart w:id="186" w:name="_Toc184313310"/>
      <w:bookmarkEnd w:id="186"/>
      <w:bookmarkStart w:id="187" w:name="_Toc184312111"/>
      <w:bookmarkEnd w:id="187"/>
      <w:bookmarkStart w:id="188" w:name="_Toc184314452"/>
      <w:bookmarkEnd w:id="188"/>
      <w:bookmarkStart w:id="189" w:name="_Toc184314481"/>
      <w:bookmarkEnd w:id="189"/>
      <w:bookmarkStart w:id="190" w:name="_Toc184308052"/>
      <w:bookmarkEnd w:id="190"/>
      <w:bookmarkStart w:id="191" w:name="_Toc184313282"/>
      <w:bookmarkEnd w:id="191"/>
      <w:bookmarkStart w:id="192" w:name="_Toc184310314"/>
      <w:bookmarkEnd w:id="192"/>
      <w:bookmarkStart w:id="193" w:name="_Toc184313308"/>
      <w:bookmarkEnd w:id="193"/>
      <w:bookmarkStart w:id="194" w:name="_Toc184313305"/>
      <w:bookmarkEnd w:id="194"/>
      <w:bookmarkStart w:id="195" w:name="_Toc184312086"/>
      <w:bookmarkEnd w:id="195"/>
      <w:bookmarkStart w:id="196" w:name="_Toc184314440"/>
      <w:bookmarkEnd w:id="196"/>
      <w:bookmarkStart w:id="197" w:name="_Toc184312084"/>
      <w:bookmarkEnd w:id="197"/>
      <w:bookmarkStart w:id="198" w:name="_Toc184313256"/>
      <w:bookmarkEnd w:id="198"/>
      <w:bookmarkStart w:id="199" w:name="_Toc184310303"/>
      <w:bookmarkEnd w:id="199"/>
      <w:bookmarkStart w:id="200" w:name="_Toc184312136"/>
      <w:bookmarkEnd w:id="200"/>
      <w:bookmarkStart w:id="201" w:name="_Toc184310334"/>
      <w:bookmarkEnd w:id="201"/>
      <w:bookmarkStart w:id="202" w:name="_Toc184314453"/>
      <w:bookmarkEnd w:id="202"/>
      <w:bookmarkStart w:id="203" w:name="_Toc184308107"/>
      <w:bookmarkEnd w:id="203"/>
      <w:bookmarkStart w:id="204" w:name="_Toc184312138"/>
      <w:bookmarkEnd w:id="204"/>
      <w:bookmarkStart w:id="205" w:name="_Toc184312128"/>
      <w:bookmarkEnd w:id="205"/>
      <w:bookmarkStart w:id="206" w:name="_Toc184308103"/>
      <w:bookmarkEnd w:id="206"/>
      <w:bookmarkStart w:id="207" w:name="_Toc184310312"/>
      <w:bookmarkEnd w:id="207"/>
      <w:bookmarkStart w:id="208" w:name="_Toc184314461"/>
      <w:bookmarkEnd w:id="208"/>
      <w:bookmarkStart w:id="209" w:name="_Toc184312130"/>
      <w:bookmarkEnd w:id="209"/>
      <w:bookmarkStart w:id="210" w:name="_Toc184312090"/>
      <w:bookmarkEnd w:id="210"/>
      <w:bookmarkStart w:id="211" w:name="_Toc184310310"/>
      <w:bookmarkEnd w:id="211"/>
      <w:bookmarkStart w:id="212" w:name="_Toc184308068"/>
      <w:bookmarkEnd w:id="212"/>
      <w:bookmarkStart w:id="213" w:name="_Toc184308085"/>
      <w:bookmarkEnd w:id="213"/>
      <w:bookmarkStart w:id="214" w:name="_Toc184314471"/>
      <w:bookmarkEnd w:id="214"/>
      <w:bookmarkStart w:id="215" w:name="_Toc184310319"/>
      <w:bookmarkEnd w:id="215"/>
      <w:bookmarkStart w:id="216" w:name="_Toc184314434"/>
      <w:bookmarkEnd w:id="216"/>
      <w:bookmarkStart w:id="217" w:name="_Toc184313248"/>
      <w:bookmarkEnd w:id="217"/>
      <w:bookmarkStart w:id="218" w:name="_Toc184308073"/>
      <w:bookmarkEnd w:id="218"/>
      <w:bookmarkStart w:id="219" w:name="_Toc184312114"/>
      <w:bookmarkEnd w:id="219"/>
      <w:bookmarkStart w:id="220" w:name="_Toc184313309"/>
      <w:bookmarkEnd w:id="220"/>
      <w:bookmarkStart w:id="221" w:name="_Toc184312123"/>
      <w:bookmarkEnd w:id="221"/>
      <w:bookmarkStart w:id="222" w:name="_Toc184312102"/>
      <w:bookmarkEnd w:id="222"/>
      <w:bookmarkStart w:id="223" w:name="_Toc184314411"/>
      <w:bookmarkEnd w:id="223"/>
      <w:bookmarkStart w:id="224" w:name="_Toc184314444"/>
      <w:bookmarkEnd w:id="224"/>
      <w:bookmarkStart w:id="225" w:name="_Toc184310285"/>
      <w:bookmarkEnd w:id="225"/>
      <w:bookmarkStart w:id="226" w:name="_Toc184308040"/>
      <w:bookmarkEnd w:id="226"/>
      <w:bookmarkStart w:id="227" w:name="_Toc184314475"/>
      <w:bookmarkEnd w:id="227"/>
      <w:bookmarkStart w:id="228" w:name="_Toc184313268"/>
      <w:bookmarkEnd w:id="228"/>
      <w:bookmarkStart w:id="229" w:name="_Toc184308083"/>
      <w:bookmarkEnd w:id="229"/>
      <w:bookmarkStart w:id="230" w:name="_Toc184310337"/>
      <w:bookmarkEnd w:id="230"/>
      <w:bookmarkStart w:id="231" w:name="_Toc184312131"/>
      <w:bookmarkEnd w:id="231"/>
      <w:bookmarkStart w:id="232" w:name="_Toc184308096"/>
      <w:bookmarkEnd w:id="232"/>
      <w:bookmarkStart w:id="233" w:name="_Toc184313253"/>
      <w:bookmarkEnd w:id="233"/>
      <w:bookmarkStart w:id="234" w:name="_Toc184313278"/>
      <w:bookmarkEnd w:id="234"/>
      <w:bookmarkStart w:id="235" w:name="_Toc184308088"/>
      <w:bookmarkEnd w:id="235"/>
      <w:bookmarkStart w:id="236" w:name="_Toc184310284"/>
      <w:bookmarkEnd w:id="236"/>
      <w:bookmarkStart w:id="237" w:name="_Toc184312094"/>
      <w:bookmarkEnd w:id="237"/>
      <w:bookmarkStart w:id="238" w:name="_Toc184312098"/>
      <w:bookmarkEnd w:id="238"/>
      <w:bookmarkStart w:id="239" w:name="_Toc184313245"/>
      <w:bookmarkEnd w:id="239"/>
      <w:bookmarkStart w:id="240" w:name="_Toc184314476"/>
      <w:bookmarkEnd w:id="240"/>
      <w:bookmarkStart w:id="241" w:name="_Toc184308062"/>
      <w:bookmarkEnd w:id="241"/>
      <w:bookmarkStart w:id="242" w:name="_Toc184313292"/>
      <w:bookmarkEnd w:id="242"/>
      <w:bookmarkStart w:id="243" w:name="_Toc184313263"/>
      <w:bookmarkEnd w:id="243"/>
      <w:bookmarkStart w:id="244" w:name="_Toc184310308"/>
      <w:bookmarkEnd w:id="244"/>
      <w:bookmarkStart w:id="245" w:name="_Toc184312103"/>
      <w:bookmarkEnd w:id="245"/>
      <w:bookmarkStart w:id="246" w:name="_Toc184314410"/>
      <w:bookmarkEnd w:id="246"/>
      <w:bookmarkStart w:id="247" w:name="_Toc184312129"/>
      <w:bookmarkEnd w:id="247"/>
      <w:bookmarkStart w:id="248" w:name="_Toc184310342"/>
      <w:bookmarkEnd w:id="248"/>
      <w:bookmarkStart w:id="249" w:name="_Toc184313283"/>
      <w:bookmarkEnd w:id="249"/>
      <w:bookmarkStart w:id="250" w:name="_Toc184308080"/>
      <w:bookmarkEnd w:id="250"/>
      <w:bookmarkStart w:id="251" w:name="_Toc184308046"/>
      <w:bookmarkEnd w:id="251"/>
      <w:bookmarkStart w:id="252" w:name="_Toc184314415"/>
      <w:bookmarkEnd w:id="252"/>
      <w:bookmarkStart w:id="253" w:name="_Toc184313247"/>
      <w:bookmarkEnd w:id="253"/>
      <w:bookmarkStart w:id="254" w:name="_Toc184314420"/>
      <w:bookmarkEnd w:id="254"/>
      <w:bookmarkStart w:id="255" w:name="_Toc184313307"/>
      <w:bookmarkEnd w:id="255"/>
      <w:bookmarkStart w:id="256" w:name="_Toc184308049"/>
      <w:bookmarkEnd w:id="256"/>
      <w:bookmarkStart w:id="257" w:name="_Toc184310336"/>
      <w:bookmarkEnd w:id="257"/>
      <w:bookmarkStart w:id="258" w:name="_Toc184314455"/>
      <w:bookmarkEnd w:id="258"/>
      <w:bookmarkStart w:id="259" w:name="_Toc184314426"/>
      <w:bookmarkEnd w:id="259"/>
      <w:bookmarkStart w:id="260" w:name="_Toc184312104"/>
      <w:bookmarkEnd w:id="260"/>
      <w:bookmarkStart w:id="261" w:name="_Toc184310272"/>
      <w:bookmarkEnd w:id="261"/>
      <w:bookmarkStart w:id="262" w:name="_Toc184314451"/>
      <w:bookmarkEnd w:id="262"/>
      <w:bookmarkStart w:id="263" w:name="_Toc184314430"/>
      <w:bookmarkEnd w:id="263"/>
      <w:bookmarkStart w:id="264" w:name="_Toc184308099"/>
      <w:bookmarkEnd w:id="264"/>
      <w:bookmarkStart w:id="265" w:name="_Toc184310295"/>
      <w:bookmarkEnd w:id="265"/>
      <w:bookmarkStart w:id="266" w:name="_Toc184308060"/>
      <w:bookmarkEnd w:id="266"/>
      <w:bookmarkStart w:id="267" w:name="_Toc184310293"/>
      <w:bookmarkEnd w:id="267"/>
      <w:bookmarkStart w:id="268" w:name="_Toc184313252"/>
      <w:bookmarkEnd w:id="268"/>
      <w:bookmarkStart w:id="269" w:name="_Toc184313275"/>
      <w:bookmarkEnd w:id="269"/>
      <w:bookmarkStart w:id="270" w:name="_Toc184308044"/>
      <w:bookmarkEnd w:id="270"/>
      <w:bookmarkStart w:id="271" w:name="_Toc184314428"/>
      <w:bookmarkEnd w:id="271"/>
      <w:bookmarkStart w:id="272" w:name="_Toc184313269"/>
      <w:bookmarkEnd w:id="272"/>
      <w:bookmarkStart w:id="273" w:name="_Toc184314456"/>
      <w:bookmarkEnd w:id="273"/>
      <w:bookmarkStart w:id="274" w:name="_Toc184313277"/>
      <w:bookmarkEnd w:id="274"/>
      <w:bookmarkStart w:id="275" w:name="_Toc184308100"/>
      <w:bookmarkEnd w:id="275"/>
      <w:bookmarkStart w:id="276" w:name="_Toc184312117"/>
      <w:bookmarkEnd w:id="276"/>
      <w:bookmarkStart w:id="277" w:name="_Toc184308053"/>
      <w:bookmarkEnd w:id="277"/>
      <w:bookmarkStart w:id="278" w:name="_Toc184314424"/>
      <w:bookmarkEnd w:id="278"/>
      <w:bookmarkStart w:id="279" w:name="_Toc184313244"/>
      <w:bookmarkEnd w:id="279"/>
      <w:bookmarkStart w:id="280" w:name="_Toc184314423"/>
      <w:bookmarkEnd w:id="280"/>
      <w:bookmarkStart w:id="281" w:name="_Toc184308101"/>
      <w:bookmarkEnd w:id="281"/>
      <w:bookmarkStart w:id="282" w:name="_Toc184308092"/>
      <w:bookmarkEnd w:id="282"/>
      <w:bookmarkStart w:id="283" w:name="_Toc184312134"/>
      <w:bookmarkEnd w:id="283"/>
      <w:bookmarkStart w:id="284" w:name="_Toc184314421"/>
      <w:bookmarkEnd w:id="284"/>
      <w:bookmarkStart w:id="285" w:name="_Toc184312124"/>
      <w:bookmarkEnd w:id="285"/>
      <w:bookmarkStart w:id="286" w:name="_Toc184313255"/>
      <w:bookmarkEnd w:id="286"/>
      <w:bookmarkStart w:id="287" w:name="_Toc184310313"/>
      <w:bookmarkEnd w:id="287"/>
      <w:bookmarkStart w:id="288" w:name="_Toc184312119"/>
      <w:bookmarkEnd w:id="288"/>
      <w:bookmarkStart w:id="289" w:name="_Toc184310327"/>
      <w:bookmarkEnd w:id="289"/>
      <w:bookmarkStart w:id="290" w:name="_Toc184310302"/>
      <w:bookmarkEnd w:id="290"/>
      <w:bookmarkStart w:id="291" w:name="_Toc184313258"/>
      <w:bookmarkEnd w:id="291"/>
      <w:bookmarkStart w:id="292" w:name="_Toc184312099"/>
      <w:bookmarkEnd w:id="292"/>
      <w:bookmarkStart w:id="293" w:name="_Toc184312072"/>
      <w:bookmarkEnd w:id="293"/>
      <w:bookmarkStart w:id="294" w:name="_Toc184308063"/>
      <w:bookmarkEnd w:id="294"/>
      <w:bookmarkStart w:id="295" w:name="_Toc184308036"/>
      <w:bookmarkEnd w:id="295"/>
      <w:bookmarkStart w:id="296" w:name="_Toc184314437"/>
      <w:bookmarkEnd w:id="296"/>
      <w:bookmarkStart w:id="297" w:name="_Toc184308078"/>
      <w:bookmarkEnd w:id="297"/>
      <w:bookmarkStart w:id="298" w:name="_Toc184308095"/>
      <w:bookmarkEnd w:id="298"/>
      <w:bookmarkStart w:id="299" w:name="_Toc184313262"/>
      <w:bookmarkEnd w:id="299"/>
      <w:bookmarkStart w:id="300" w:name="_Toc184310323"/>
      <w:bookmarkEnd w:id="300"/>
      <w:bookmarkStart w:id="301" w:name="_Toc184312091"/>
      <w:bookmarkEnd w:id="301"/>
      <w:bookmarkStart w:id="302" w:name="_Toc184308098"/>
      <w:bookmarkEnd w:id="302"/>
      <w:bookmarkStart w:id="303" w:name="_Toc184314414"/>
      <w:bookmarkEnd w:id="303"/>
      <w:bookmarkStart w:id="304" w:name="_Toc184312132"/>
      <w:bookmarkEnd w:id="304"/>
      <w:bookmarkStart w:id="305" w:name="_Toc184308108"/>
      <w:bookmarkEnd w:id="305"/>
      <w:bookmarkStart w:id="306" w:name="_Toc184314450"/>
      <w:bookmarkEnd w:id="306"/>
      <w:bookmarkStart w:id="307" w:name="_Toc184310305"/>
      <w:bookmarkEnd w:id="307"/>
      <w:bookmarkStart w:id="308" w:name="_Toc184308077"/>
      <w:bookmarkEnd w:id="308"/>
      <w:bookmarkStart w:id="309" w:name="_Toc184313302"/>
      <w:bookmarkEnd w:id="309"/>
      <w:bookmarkStart w:id="310" w:name="_Toc184313291"/>
      <w:bookmarkEnd w:id="310"/>
      <w:bookmarkStart w:id="311" w:name="_Toc184308047"/>
      <w:bookmarkEnd w:id="311"/>
      <w:bookmarkStart w:id="312" w:name="_Toc184312106"/>
      <w:bookmarkEnd w:id="312"/>
      <w:bookmarkStart w:id="313" w:name="_Toc184313286"/>
      <w:bookmarkEnd w:id="313"/>
      <w:bookmarkStart w:id="314" w:name="_Toc184308050"/>
      <w:bookmarkEnd w:id="314"/>
      <w:bookmarkStart w:id="315" w:name="_Toc184310277"/>
      <w:bookmarkEnd w:id="315"/>
      <w:bookmarkStart w:id="316" w:name="_Toc184313297"/>
      <w:bookmarkEnd w:id="316"/>
      <w:bookmarkStart w:id="317" w:name="_Toc184314469"/>
      <w:bookmarkEnd w:id="317"/>
      <w:bookmarkStart w:id="318" w:name="_Toc184310331"/>
      <w:bookmarkEnd w:id="318"/>
      <w:bookmarkStart w:id="319" w:name="_Toc184314449"/>
      <w:bookmarkEnd w:id="319"/>
      <w:bookmarkStart w:id="320" w:name="_Toc184310341"/>
      <w:bookmarkEnd w:id="320"/>
      <w:bookmarkStart w:id="321" w:name="_Toc184310294"/>
      <w:bookmarkEnd w:id="321"/>
      <w:bookmarkStart w:id="322" w:name="_Toc184313240"/>
      <w:bookmarkEnd w:id="322"/>
      <w:bookmarkStart w:id="323" w:name="_Toc184312115"/>
      <w:bookmarkEnd w:id="323"/>
      <w:bookmarkStart w:id="324" w:name="_Toc184308081"/>
      <w:bookmarkEnd w:id="324"/>
      <w:bookmarkStart w:id="325" w:name="_Toc184314482"/>
      <w:bookmarkEnd w:id="325"/>
      <w:bookmarkStart w:id="326" w:name="_Toc184310311"/>
      <w:bookmarkEnd w:id="326"/>
      <w:bookmarkStart w:id="327" w:name="_Toc184310322"/>
      <w:bookmarkEnd w:id="327"/>
      <w:bookmarkStart w:id="328" w:name="_Toc184308045"/>
      <w:bookmarkEnd w:id="328"/>
      <w:bookmarkStart w:id="329" w:name="_Toc184310329"/>
      <w:bookmarkEnd w:id="329"/>
      <w:bookmarkStart w:id="330" w:name="_Toc184310338"/>
      <w:bookmarkEnd w:id="330"/>
      <w:bookmarkStart w:id="331" w:name="_Toc184312082"/>
      <w:bookmarkEnd w:id="331"/>
      <w:bookmarkStart w:id="332" w:name="_Toc184312121"/>
      <w:bookmarkEnd w:id="332"/>
      <w:bookmarkStart w:id="333" w:name="_Toc184313274"/>
      <w:bookmarkEnd w:id="333"/>
      <w:bookmarkStart w:id="334" w:name="_Toc184310343"/>
      <w:bookmarkEnd w:id="334"/>
      <w:bookmarkStart w:id="335" w:name="_Toc184314436"/>
      <w:bookmarkEnd w:id="335"/>
      <w:bookmarkStart w:id="336" w:name="_Toc184313254"/>
      <w:bookmarkEnd w:id="336"/>
      <w:bookmarkStart w:id="337" w:name="_Toc184312100"/>
      <w:bookmarkEnd w:id="337"/>
      <w:bookmarkStart w:id="338" w:name="_Toc184310292"/>
      <w:bookmarkEnd w:id="338"/>
      <w:bookmarkStart w:id="339" w:name="_Toc184313267"/>
      <w:bookmarkEnd w:id="339"/>
      <w:bookmarkStart w:id="340" w:name="_Toc184314431"/>
      <w:bookmarkEnd w:id="340"/>
      <w:bookmarkStart w:id="341" w:name="_Toc184313261"/>
      <w:bookmarkEnd w:id="341"/>
      <w:bookmarkStart w:id="342" w:name="_Toc184314473"/>
      <w:bookmarkEnd w:id="342"/>
      <w:bookmarkStart w:id="343" w:name="_Toc184314438"/>
      <w:bookmarkEnd w:id="343"/>
      <w:bookmarkStart w:id="344" w:name="_Toc184310315"/>
      <w:bookmarkEnd w:id="344"/>
      <w:bookmarkStart w:id="345" w:name="_Toc184308065"/>
      <w:bookmarkEnd w:id="345"/>
      <w:bookmarkStart w:id="346" w:name="_Toc184313304"/>
      <w:bookmarkEnd w:id="346"/>
      <w:bookmarkStart w:id="347" w:name="_Toc184308094"/>
      <w:bookmarkEnd w:id="347"/>
      <w:bookmarkStart w:id="348" w:name="_Toc184313246"/>
      <w:bookmarkEnd w:id="348"/>
      <w:bookmarkStart w:id="349" w:name="_Toc184308058"/>
      <w:bookmarkEnd w:id="349"/>
      <w:bookmarkStart w:id="350" w:name="_Toc184310301"/>
      <w:bookmarkEnd w:id="350"/>
      <w:bookmarkStart w:id="351" w:name="_Toc184314425"/>
      <w:bookmarkEnd w:id="351"/>
      <w:bookmarkStart w:id="352" w:name="_Toc184308097"/>
      <w:bookmarkEnd w:id="352"/>
      <w:bookmarkStart w:id="353" w:name="_Toc184314480"/>
      <w:bookmarkEnd w:id="353"/>
      <w:bookmarkStart w:id="354" w:name="_Toc184310287"/>
      <w:bookmarkEnd w:id="354"/>
      <w:bookmarkStart w:id="355" w:name="_Toc184313295"/>
      <w:bookmarkEnd w:id="355"/>
      <w:bookmarkStart w:id="356" w:name="_Toc184313299"/>
      <w:bookmarkEnd w:id="356"/>
      <w:bookmarkStart w:id="357" w:name="_Toc184308041"/>
      <w:bookmarkEnd w:id="357"/>
      <w:bookmarkStart w:id="358" w:name="_Toc184312069"/>
      <w:bookmarkEnd w:id="358"/>
      <w:bookmarkStart w:id="359" w:name="_Toc184314458"/>
      <w:bookmarkEnd w:id="359"/>
      <w:bookmarkStart w:id="360" w:name="_Toc184312089"/>
      <w:bookmarkEnd w:id="360"/>
      <w:bookmarkStart w:id="361" w:name="_Toc184314463"/>
      <w:bookmarkEnd w:id="361"/>
      <w:bookmarkStart w:id="362" w:name="_Toc184314416"/>
      <w:bookmarkEnd w:id="362"/>
      <w:bookmarkStart w:id="363" w:name="_Toc184310274"/>
      <w:bookmarkEnd w:id="363"/>
      <w:bookmarkStart w:id="364" w:name="_Toc184312067"/>
      <w:bookmarkEnd w:id="364"/>
      <w:bookmarkStart w:id="365" w:name="_Toc184310330"/>
      <w:bookmarkEnd w:id="365"/>
      <w:bookmarkStart w:id="366" w:name="_Toc184310307"/>
      <w:bookmarkEnd w:id="366"/>
      <w:bookmarkStart w:id="367" w:name="_Toc184308038"/>
      <w:bookmarkEnd w:id="367"/>
      <w:bookmarkStart w:id="368" w:name="_Toc184313270"/>
      <w:bookmarkEnd w:id="368"/>
      <w:bookmarkStart w:id="369" w:name="_Toc184313273"/>
      <w:bookmarkEnd w:id="369"/>
      <w:bookmarkStart w:id="370" w:name="_Toc184308089"/>
      <w:bookmarkEnd w:id="370"/>
      <w:bookmarkStart w:id="371" w:name="_Toc184312133"/>
      <w:bookmarkEnd w:id="371"/>
      <w:bookmarkStart w:id="372" w:name="_Toc184310291"/>
      <w:bookmarkEnd w:id="372"/>
      <w:bookmarkStart w:id="373" w:name="_Toc184310275"/>
      <w:bookmarkEnd w:id="373"/>
      <w:bookmarkStart w:id="374" w:name="_Toc184312110"/>
      <w:bookmarkEnd w:id="374"/>
      <w:bookmarkStart w:id="375" w:name="_Toc184308082"/>
      <w:bookmarkEnd w:id="375"/>
      <w:bookmarkStart w:id="376" w:name="_Toc184314432"/>
      <w:bookmarkEnd w:id="376"/>
      <w:bookmarkStart w:id="377" w:name="_Toc184314478"/>
      <w:bookmarkEnd w:id="377"/>
      <w:bookmarkStart w:id="378" w:name="_Toc184308084"/>
      <w:bookmarkEnd w:id="378"/>
      <w:bookmarkStart w:id="379" w:name="_Toc184310321"/>
      <w:bookmarkEnd w:id="379"/>
      <w:bookmarkStart w:id="380" w:name="_Toc184312075"/>
      <w:bookmarkEnd w:id="380"/>
      <w:bookmarkStart w:id="381" w:name="_Toc184310333"/>
      <w:bookmarkEnd w:id="381"/>
      <w:bookmarkStart w:id="382" w:name="_Toc184308071"/>
      <w:bookmarkEnd w:id="382"/>
      <w:bookmarkStart w:id="383" w:name="_Toc184310276"/>
      <w:bookmarkEnd w:id="383"/>
      <w:bookmarkStart w:id="384" w:name="_Toc184308056"/>
      <w:bookmarkEnd w:id="384"/>
      <w:bookmarkStart w:id="385" w:name="_Toc184313251"/>
      <w:bookmarkEnd w:id="385"/>
      <w:bookmarkStart w:id="386" w:name="_Toc184313242"/>
      <w:bookmarkEnd w:id="386"/>
      <w:bookmarkStart w:id="387" w:name="_Toc184314443"/>
      <w:bookmarkEnd w:id="387"/>
      <w:bookmarkStart w:id="388" w:name="_Toc184310280"/>
      <w:bookmarkEnd w:id="388"/>
      <w:bookmarkStart w:id="389" w:name="_Toc184312077"/>
      <w:bookmarkEnd w:id="389"/>
      <w:bookmarkStart w:id="390" w:name="_Toc184314466"/>
      <w:bookmarkEnd w:id="390"/>
      <w:r>
        <w:rPr>
          <w:rFonts w:hint="eastAsia" w:ascii="仿宋" w:hAnsi="仿宋" w:eastAsia="仿宋" w:cs="仿宋"/>
          <w:b/>
          <w:color w:val="auto"/>
          <w:sz w:val="36"/>
          <w:szCs w:val="36"/>
          <w:highlight w:val="none"/>
        </w:rPr>
        <w:t>评标办法</w:t>
      </w:r>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4360"/>
        <w:gridCol w:w="918"/>
        <w:gridCol w:w="882"/>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678" w:type="dxa"/>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4360" w:type="dxa"/>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评标标准</w:t>
            </w:r>
          </w:p>
        </w:tc>
        <w:tc>
          <w:tcPr>
            <w:tcW w:w="918" w:type="dxa"/>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权重</w:t>
            </w:r>
          </w:p>
        </w:tc>
        <w:tc>
          <w:tcPr>
            <w:tcW w:w="882" w:type="dxa"/>
            <w:vAlign w:val="center"/>
          </w:tcPr>
          <w:p>
            <w:pPr>
              <w:snapToGrid w:val="0"/>
              <w:spacing w:line="240" w:lineRule="auto"/>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主观分/客观分属性</w:t>
            </w:r>
          </w:p>
        </w:tc>
        <w:tc>
          <w:tcPr>
            <w:tcW w:w="1657" w:type="dxa"/>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360" w:type="dxa"/>
            <w:vAlign w:val="center"/>
          </w:tcPr>
          <w:p>
            <w:pPr>
              <w:snapToGrid/>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投标人自</w:t>
            </w:r>
            <w:r>
              <w:rPr>
                <w:rFonts w:hint="eastAsia" w:ascii="仿宋" w:hAnsi="仿宋" w:eastAsia="仿宋" w:cs="仿宋"/>
                <w:color w:val="auto"/>
                <w:sz w:val="24"/>
                <w:szCs w:val="24"/>
                <w:highlight w:val="none"/>
              </w:rPr>
              <w:t>20</w:t>
            </w:r>
            <w:r>
              <w:rPr>
                <w:rFonts w:hint="eastAsia" w:ascii="仿宋" w:hAnsi="仿宋" w:eastAsia="仿宋" w:cs="仿宋"/>
                <w:color w:val="auto"/>
                <w:sz w:val="24"/>
                <w:szCs w:val="24"/>
                <w:highlight w:val="none"/>
                <w:lang w:val="en-US" w:eastAsia="zh-CN"/>
              </w:rPr>
              <w:t>19</w:t>
            </w:r>
            <w:r>
              <w:rPr>
                <w:rFonts w:hint="eastAsia" w:ascii="仿宋" w:hAnsi="仿宋" w:eastAsia="仿宋" w:cs="仿宋"/>
                <w:color w:val="auto"/>
                <w:sz w:val="24"/>
                <w:szCs w:val="24"/>
                <w:highlight w:val="none"/>
              </w:rPr>
              <w:t>年1月1日</w:t>
            </w:r>
            <w:r>
              <w:rPr>
                <w:rFonts w:hint="eastAsia" w:ascii="仿宋" w:hAnsi="仿宋" w:eastAsia="仿宋" w:cs="仿宋"/>
                <w:color w:val="auto"/>
                <w:sz w:val="24"/>
                <w:szCs w:val="24"/>
                <w:highlight w:val="none"/>
                <w:lang w:val="en-US" w:eastAsia="zh-CN"/>
              </w:rPr>
              <w:t>以来</w:t>
            </w:r>
            <w:r>
              <w:rPr>
                <w:rFonts w:hint="eastAsia" w:ascii="仿宋" w:hAnsi="仿宋" w:eastAsia="仿宋" w:cs="仿宋"/>
                <w:color w:val="auto"/>
                <w:sz w:val="24"/>
                <w:highlight w:val="none"/>
              </w:rPr>
              <w:t>签订的已履行完毕或正在履行的类似“一老一小”室内服务场景业绩</w:t>
            </w:r>
            <w:r>
              <w:rPr>
                <w:rFonts w:hint="eastAsia" w:ascii="仿宋" w:hAnsi="仿宋" w:eastAsia="仿宋" w:cs="仿宋"/>
                <w:color w:val="auto"/>
                <w:sz w:val="24"/>
                <w:szCs w:val="24"/>
                <w:highlight w:val="none"/>
              </w:rPr>
              <w:t>，每提供一个得</w:t>
            </w:r>
            <w:r>
              <w:rPr>
                <w:rFonts w:hint="eastAsia" w:ascii="仿宋" w:hAnsi="仿宋" w:eastAsia="仿宋" w:cs="仿宋"/>
                <w:color w:val="auto"/>
                <w:sz w:val="24"/>
                <w:szCs w:val="24"/>
                <w:highlight w:val="none"/>
                <w:lang w:val="en-US" w:eastAsia="zh-CN"/>
              </w:rPr>
              <w:t>0.5</w:t>
            </w:r>
            <w:r>
              <w:rPr>
                <w:rFonts w:hint="eastAsia" w:ascii="仿宋" w:hAnsi="仿宋" w:eastAsia="仿宋" w:cs="仿宋"/>
                <w:color w:val="auto"/>
                <w:sz w:val="24"/>
                <w:szCs w:val="24"/>
                <w:highlight w:val="none"/>
              </w:rPr>
              <w:t>分，最高得</w:t>
            </w:r>
            <w:r>
              <w:rPr>
                <w:rFonts w:hint="eastAsia" w:ascii="仿宋" w:hAnsi="仿宋" w:eastAsia="仿宋" w:cs="仿宋"/>
                <w:color w:val="auto"/>
                <w:sz w:val="24"/>
                <w:szCs w:val="24"/>
                <w:highlight w:val="none"/>
                <w:lang w:val="en-US" w:eastAsia="zh-CN"/>
              </w:rPr>
              <w:t>0.5</w:t>
            </w:r>
            <w:r>
              <w:rPr>
                <w:rFonts w:hint="eastAsia" w:ascii="仿宋" w:hAnsi="仿宋" w:eastAsia="仿宋" w:cs="仿宋"/>
                <w:color w:val="auto"/>
                <w:sz w:val="24"/>
                <w:szCs w:val="24"/>
                <w:highlight w:val="none"/>
              </w:rPr>
              <w:t>分。</w:t>
            </w:r>
          </w:p>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val="en-US" w:eastAsia="zh-CN"/>
              </w:rPr>
              <w:t>证明材料：须</w:t>
            </w:r>
            <w:r>
              <w:rPr>
                <w:rFonts w:hint="eastAsia" w:ascii="仿宋" w:hAnsi="仿宋" w:eastAsia="仿宋" w:cs="仿宋"/>
                <w:color w:val="auto"/>
                <w:sz w:val="24"/>
                <w:szCs w:val="24"/>
                <w:highlight w:val="none"/>
              </w:rPr>
              <w:t>提供</w:t>
            </w:r>
            <w:r>
              <w:rPr>
                <w:rFonts w:hint="eastAsia" w:ascii="仿宋" w:hAnsi="仿宋" w:eastAsia="仿宋" w:cs="仿宋"/>
                <w:color w:val="auto"/>
                <w:sz w:val="24"/>
                <w:szCs w:val="24"/>
                <w:highlight w:val="none"/>
                <w:lang w:val="en-US" w:eastAsia="zh-CN"/>
              </w:rPr>
              <w:t>相应</w:t>
            </w:r>
            <w:r>
              <w:rPr>
                <w:rFonts w:hint="eastAsia" w:ascii="仿宋" w:hAnsi="仿宋" w:eastAsia="仿宋" w:cs="仿宋"/>
                <w:color w:val="auto"/>
                <w:sz w:val="24"/>
                <w:szCs w:val="24"/>
                <w:highlight w:val="none"/>
              </w:rPr>
              <w:t>合同</w:t>
            </w:r>
            <w:r>
              <w:rPr>
                <w:rFonts w:hint="eastAsia" w:ascii="仿宋" w:hAnsi="仿宋" w:eastAsia="仿宋" w:cs="仿宋"/>
                <w:color w:val="auto"/>
                <w:sz w:val="24"/>
                <w:szCs w:val="24"/>
                <w:highlight w:val="none"/>
                <w:lang w:val="en-US" w:eastAsia="zh-CN"/>
              </w:rPr>
              <w:t>复印件加盖公章</w:t>
            </w:r>
            <w:r>
              <w:rPr>
                <w:rFonts w:hint="eastAsia" w:ascii="仿宋" w:hAnsi="仿宋" w:eastAsia="仿宋" w:cs="仿宋"/>
                <w:color w:val="auto"/>
                <w:sz w:val="24"/>
                <w:szCs w:val="24"/>
                <w:highlight w:val="none"/>
              </w:rPr>
              <w:t>，无证明材料</w:t>
            </w:r>
            <w:r>
              <w:rPr>
                <w:rFonts w:hint="eastAsia" w:ascii="仿宋" w:hAnsi="仿宋" w:eastAsia="仿宋" w:cs="仿宋"/>
                <w:color w:val="auto"/>
                <w:sz w:val="24"/>
                <w:szCs w:val="24"/>
                <w:highlight w:val="none"/>
                <w:lang w:val="en-US" w:eastAsia="zh-CN"/>
              </w:rPr>
              <w:t>或</w:t>
            </w:r>
            <w:r>
              <w:rPr>
                <w:rFonts w:hint="eastAsia" w:ascii="仿宋" w:hAnsi="仿宋" w:eastAsia="仿宋" w:cs="仿宋"/>
                <w:color w:val="auto"/>
                <w:sz w:val="24"/>
                <w:szCs w:val="24"/>
                <w:highlight w:val="none"/>
              </w:rPr>
              <w:t>不具备本项目主要内容特征的项目不得分。</w:t>
            </w:r>
          </w:p>
        </w:tc>
        <w:tc>
          <w:tcPr>
            <w:tcW w:w="918" w:type="dxa"/>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0-0.5</w:t>
            </w:r>
          </w:p>
        </w:tc>
        <w:tc>
          <w:tcPr>
            <w:tcW w:w="882" w:type="dxa"/>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客观分</w:t>
            </w:r>
          </w:p>
        </w:tc>
        <w:tc>
          <w:tcPr>
            <w:tcW w:w="1657" w:type="dxa"/>
            <w:vMerge w:val="restart"/>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业绩（1分）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4360" w:type="dxa"/>
            <w:vAlign w:val="center"/>
          </w:tcPr>
          <w:p>
            <w:pPr>
              <w:snapToGrid/>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拟派项目负责人自</w:t>
            </w:r>
            <w:r>
              <w:rPr>
                <w:rFonts w:hint="eastAsia" w:ascii="仿宋" w:hAnsi="仿宋" w:eastAsia="仿宋" w:cs="仿宋"/>
                <w:color w:val="auto"/>
                <w:sz w:val="24"/>
                <w:szCs w:val="24"/>
                <w:highlight w:val="none"/>
              </w:rPr>
              <w:t>20</w:t>
            </w:r>
            <w:r>
              <w:rPr>
                <w:rFonts w:hint="eastAsia" w:ascii="仿宋" w:hAnsi="仿宋" w:eastAsia="仿宋" w:cs="仿宋"/>
                <w:color w:val="auto"/>
                <w:sz w:val="24"/>
                <w:szCs w:val="24"/>
                <w:highlight w:val="none"/>
                <w:lang w:val="en-US" w:eastAsia="zh-CN"/>
              </w:rPr>
              <w:t>19</w:t>
            </w:r>
            <w:r>
              <w:rPr>
                <w:rFonts w:hint="eastAsia" w:ascii="仿宋" w:hAnsi="仿宋" w:eastAsia="仿宋" w:cs="仿宋"/>
                <w:color w:val="auto"/>
                <w:sz w:val="24"/>
                <w:szCs w:val="24"/>
                <w:highlight w:val="none"/>
              </w:rPr>
              <w:t>年1月1日</w:t>
            </w:r>
            <w:r>
              <w:rPr>
                <w:rFonts w:hint="eastAsia" w:ascii="仿宋" w:hAnsi="仿宋" w:eastAsia="仿宋" w:cs="仿宋"/>
                <w:color w:val="auto"/>
                <w:sz w:val="24"/>
                <w:szCs w:val="24"/>
                <w:highlight w:val="none"/>
                <w:lang w:val="en-US" w:eastAsia="zh-CN"/>
              </w:rPr>
              <w:t>以来</w:t>
            </w:r>
            <w:r>
              <w:rPr>
                <w:rFonts w:hint="eastAsia" w:ascii="仿宋" w:hAnsi="仿宋" w:eastAsia="仿宋" w:cs="仿宋"/>
                <w:color w:val="auto"/>
                <w:sz w:val="24"/>
                <w:highlight w:val="none"/>
              </w:rPr>
              <w:t>签订的</w:t>
            </w:r>
            <w:r>
              <w:rPr>
                <w:rFonts w:hint="eastAsia" w:ascii="仿宋" w:hAnsi="仿宋" w:eastAsia="仿宋" w:cs="仿宋"/>
                <w:color w:val="auto"/>
                <w:sz w:val="24"/>
                <w:szCs w:val="24"/>
                <w:highlight w:val="none"/>
                <w:lang w:val="en-US" w:eastAsia="zh-CN"/>
              </w:rPr>
              <w:t>以项目负责人身份</w:t>
            </w:r>
            <w:r>
              <w:rPr>
                <w:rFonts w:hint="eastAsia" w:ascii="仿宋" w:hAnsi="仿宋" w:eastAsia="仿宋" w:cs="仿宋"/>
                <w:color w:val="auto"/>
                <w:sz w:val="24"/>
                <w:highlight w:val="none"/>
                <w:lang w:val="en-US" w:eastAsia="zh-CN"/>
              </w:rPr>
              <w:t>承接过</w:t>
            </w:r>
            <w:r>
              <w:rPr>
                <w:rFonts w:hint="eastAsia" w:ascii="仿宋" w:hAnsi="仿宋" w:eastAsia="仿宋" w:cs="仿宋"/>
                <w:color w:val="auto"/>
                <w:sz w:val="24"/>
                <w:highlight w:val="none"/>
              </w:rPr>
              <w:t>类似“一老一小”室内服务场景</w:t>
            </w:r>
            <w:r>
              <w:rPr>
                <w:rFonts w:hint="eastAsia" w:ascii="仿宋" w:hAnsi="仿宋" w:eastAsia="仿宋" w:cs="仿宋"/>
                <w:color w:val="auto"/>
                <w:sz w:val="24"/>
                <w:highlight w:val="none"/>
                <w:lang w:val="en-US" w:eastAsia="zh-CN"/>
              </w:rPr>
              <w:t>案例</w:t>
            </w:r>
            <w:r>
              <w:rPr>
                <w:rFonts w:hint="eastAsia" w:ascii="仿宋" w:hAnsi="仿宋" w:eastAsia="仿宋" w:cs="仿宋"/>
                <w:color w:val="auto"/>
                <w:sz w:val="24"/>
                <w:szCs w:val="24"/>
                <w:highlight w:val="none"/>
              </w:rPr>
              <w:t>，每提供一个得</w:t>
            </w:r>
            <w:r>
              <w:rPr>
                <w:rFonts w:hint="eastAsia" w:ascii="仿宋" w:hAnsi="仿宋" w:eastAsia="仿宋" w:cs="仿宋"/>
                <w:color w:val="auto"/>
                <w:sz w:val="24"/>
                <w:szCs w:val="24"/>
                <w:highlight w:val="none"/>
                <w:lang w:val="en-US" w:eastAsia="zh-CN"/>
              </w:rPr>
              <w:t>0.5</w:t>
            </w:r>
            <w:r>
              <w:rPr>
                <w:rFonts w:hint="eastAsia" w:ascii="仿宋" w:hAnsi="仿宋" w:eastAsia="仿宋" w:cs="仿宋"/>
                <w:color w:val="auto"/>
                <w:sz w:val="24"/>
                <w:szCs w:val="24"/>
                <w:highlight w:val="none"/>
              </w:rPr>
              <w:t>分，最高得</w:t>
            </w:r>
            <w:r>
              <w:rPr>
                <w:rFonts w:hint="eastAsia" w:ascii="仿宋" w:hAnsi="仿宋" w:eastAsia="仿宋" w:cs="仿宋"/>
                <w:color w:val="auto"/>
                <w:sz w:val="24"/>
                <w:szCs w:val="24"/>
                <w:highlight w:val="none"/>
                <w:lang w:val="en-US" w:eastAsia="zh-CN"/>
              </w:rPr>
              <w:t>0.5</w:t>
            </w:r>
            <w:r>
              <w:rPr>
                <w:rFonts w:hint="eastAsia" w:ascii="仿宋" w:hAnsi="仿宋" w:eastAsia="仿宋" w:cs="仿宋"/>
                <w:color w:val="auto"/>
                <w:sz w:val="24"/>
                <w:szCs w:val="24"/>
                <w:highlight w:val="none"/>
              </w:rPr>
              <w:t>分。</w:t>
            </w:r>
          </w:p>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val="en-US" w:eastAsia="zh-CN"/>
              </w:rPr>
              <w:t>证明材料：须</w:t>
            </w:r>
            <w:r>
              <w:rPr>
                <w:rFonts w:hint="eastAsia" w:ascii="仿宋" w:hAnsi="仿宋" w:eastAsia="仿宋" w:cs="仿宋"/>
                <w:color w:val="auto"/>
                <w:sz w:val="24"/>
                <w:szCs w:val="24"/>
                <w:highlight w:val="none"/>
              </w:rPr>
              <w:t>提供</w:t>
            </w:r>
            <w:r>
              <w:rPr>
                <w:rFonts w:hint="eastAsia" w:ascii="仿宋" w:hAnsi="仿宋" w:eastAsia="仿宋" w:cs="仿宋"/>
                <w:color w:val="auto"/>
                <w:sz w:val="24"/>
                <w:szCs w:val="24"/>
                <w:highlight w:val="none"/>
                <w:lang w:val="en-US" w:eastAsia="zh-CN"/>
              </w:rPr>
              <w:t>相应</w:t>
            </w:r>
            <w:r>
              <w:rPr>
                <w:rFonts w:hint="eastAsia" w:ascii="仿宋" w:hAnsi="仿宋" w:eastAsia="仿宋" w:cs="仿宋"/>
                <w:color w:val="auto"/>
                <w:sz w:val="24"/>
                <w:szCs w:val="24"/>
                <w:highlight w:val="none"/>
              </w:rPr>
              <w:t>合同</w:t>
            </w:r>
            <w:r>
              <w:rPr>
                <w:rFonts w:hint="eastAsia" w:ascii="仿宋" w:hAnsi="仿宋" w:eastAsia="仿宋" w:cs="仿宋"/>
                <w:color w:val="auto"/>
                <w:sz w:val="24"/>
                <w:szCs w:val="24"/>
                <w:highlight w:val="none"/>
                <w:lang w:val="en-US" w:eastAsia="zh-CN"/>
              </w:rPr>
              <w:t>或业主证明材料复印件加盖公章</w:t>
            </w:r>
            <w:r>
              <w:rPr>
                <w:rFonts w:hint="eastAsia" w:ascii="仿宋" w:hAnsi="仿宋" w:eastAsia="仿宋" w:cs="仿宋"/>
                <w:color w:val="auto"/>
                <w:sz w:val="24"/>
                <w:szCs w:val="24"/>
                <w:highlight w:val="none"/>
              </w:rPr>
              <w:t>，无证明材料</w:t>
            </w:r>
            <w:r>
              <w:rPr>
                <w:rFonts w:hint="eastAsia" w:ascii="仿宋" w:hAnsi="仿宋" w:eastAsia="仿宋" w:cs="仿宋"/>
                <w:color w:val="auto"/>
                <w:sz w:val="24"/>
                <w:szCs w:val="24"/>
                <w:highlight w:val="none"/>
                <w:lang w:val="en-US" w:eastAsia="zh-CN"/>
              </w:rPr>
              <w:t>或</w:t>
            </w:r>
            <w:r>
              <w:rPr>
                <w:rFonts w:hint="eastAsia" w:ascii="仿宋" w:hAnsi="仿宋" w:eastAsia="仿宋" w:cs="仿宋"/>
                <w:color w:val="auto"/>
                <w:sz w:val="24"/>
                <w:szCs w:val="24"/>
                <w:highlight w:val="none"/>
              </w:rPr>
              <w:t>不具备本项目主要内容特征的项目不得分。</w:t>
            </w:r>
          </w:p>
        </w:tc>
        <w:tc>
          <w:tcPr>
            <w:tcW w:w="918" w:type="dxa"/>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0-0.5</w:t>
            </w:r>
          </w:p>
        </w:tc>
        <w:tc>
          <w:tcPr>
            <w:tcW w:w="882" w:type="dxa"/>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客观分</w:t>
            </w:r>
          </w:p>
        </w:tc>
        <w:tc>
          <w:tcPr>
            <w:tcW w:w="1657" w:type="dxa"/>
            <w:vMerge w:val="continue"/>
          </w:tcPr>
          <w:p>
            <w:pPr>
              <w:snapToGrid w:val="0"/>
              <w:spacing w:line="240" w:lineRule="auto"/>
              <w:jc w:val="center"/>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w:t>
            </w:r>
          </w:p>
        </w:tc>
        <w:tc>
          <w:tcPr>
            <w:tcW w:w="4360" w:type="dxa"/>
            <w:vAlign w:val="center"/>
          </w:tcPr>
          <w:p>
            <w:pPr>
              <w:numPr>
                <w:ilvl w:val="-1"/>
                <w:numId w:val="0"/>
              </w:num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根据投标人的具体服务实</w:t>
            </w:r>
            <w:r>
              <w:rPr>
                <w:rFonts w:hint="eastAsia" w:ascii="仿宋" w:hAnsi="仿宋" w:eastAsia="仿宋" w:cs="仿宋"/>
                <w:color w:val="auto"/>
                <w:sz w:val="24"/>
                <w:highlight w:val="none"/>
                <w:lang w:val="en-US" w:eastAsia="zh-CN"/>
              </w:rPr>
              <w:t>施</w:t>
            </w:r>
            <w:r>
              <w:rPr>
                <w:rFonts w:hint="eastAsia" w:ascii="仿宋" w:hAnsi="仿宋" w:eastAsia="仿宋" w:cs="仿宋"/>
                <w:color w:val="auto"/>
                <w:sz w:val="24"/>
                <w:highlight w:val="none"/>
              </w:rPr>
              <w:t>方案的</w:t>
            </w:r>
            <w:r>
              <w:rPr>
                <w:rFonts w:hint="eastAsia" w:ascii="仿宋" w:hAnsi="仿宋" w:eastAsia="仿宋" w:cs="仿宋"/>
                <w:color w:val="auto"/>
                <w:sz w:val="24"/>
                <w:highlight w:val="none"/>
                <w:lang w:val="en-US" w:eastAsia="zh-CN"/>
              </w:rPr>
              <w:t>全面性、</w:t>
            </w:r>
            <w:r>
              <w:rPr>
                <w:rFonts w:hint="eastAsia" w:ascii="仿宋" w:hAnsi="仿宋" w:eastAsia="仿宋" w:cs="仿宋"/>
                <w:color w:val="auto"/>
                <w:sz w:val="24"/>
                <w:highlight w:val="none"/>
              </w:rPr>
              <w:t>完整性、可操作性等</w:t>
            </w:r>
            <w:r>
              <w:rPr>
                <w:rFonts w:hint="eastAsia" w:ascii="仿宋" w:hAnsi="仿宋" w:eastAsia="仿宋" w:cs="仿宋"/>
                <w:color w:val="auto"/>
                <w:sz w:val="24"/>
                <w:highlight w:val="none"/>
                <w:lang w:val="en-US" w:eastAsia="zh-CN"/>
              </w:rPr>
              <w:t>进行综合评议</w:t>
            </w:r>
            <w:r>
              <w:rPr>
                <w:rFonts w:hint="eastAsia" w:ascii="仿宋" w:hAnsi="仿宋" w:eastAsia="仿宋" w:cs="仿宋"/>
                <w:color w:val="auto"/>
                <w:sz w:val="24"/>
                <w:highlight w:val="none"/>
              </w:rPr>
              <w:t>。</w:t>
            </w:r>
          </w:p>
          <w:p>
            <w:pPr>
              <w:numPr>
                <w:ilvl w:val="-1"/>
                <w:numId w:val="0"/>
              </w:num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项目总体构想内容</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0-5分）</w:t>
            </w:r>
          </w:p>
          <w:p>
            <w:pPr>
              <w:numPr>
                <w:ilvl w:val="-1"/>
                <w:numId w:val="0"/>
              </w:num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2）服务质量标准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0-5分）</w:t>
            </w:r>
          </w:p>
        </w:tc>
        <w:tc>
          <w:tcPr>
            <w:tcW w:w="918" w:type="dxa"/>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0-10</w:t>
            </w:r>
          </w:p>
        </w:tc>
        <w:tc>
          <w:tcPr>
            <w:tcW w:w="882" w:type="dxa"/>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主观分</w:t>
            </w:r>
          </w:p>
        </w:tc>
        <w:tc>
          <w:tcPr>
            <w:tcW w:w="1657" w:type="dxa"/>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服务实施方案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8" w:type="dxa"/>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p>
        </w:tc>
        <w:tc>
          <w:tcPr>
            <w:tcW w:w="4360" w:type="dxa"/>
            <w:vAlign w:val="center"/>
          </w:tcPr>
          <w:p>
            <w:pPr>
              <w:numPr>
                <w:ilvl w:val="-1"/>
                <w:numId w:val="0"/>
              </w:num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针对</w:t>
            </w:r>
            <w:r>
              <w:rPr>
                <w:rFonts w:hint="eastAsia" w:ascii="仿宋" w:hAnsi="仿宋" w:eastAsia="仿宋" w:cs="仿宋"/>
                <w:color w:val="auto"/>
                <w:sz w:val="24"/>
                <w:highlight w:val="none"/>
                <w:lang w:eastAsia="zh-CN"/>
              </w:rPr>
              <w:t>仓基新村</w:t>
            </w:r>
            <w:r>
              <w:rPr>
                <w:rFonts w:hint="eastAsia" w:ascii="仿宋" w:hAnsi="仿宋" w:eastAsia="仿宋" w:cs="仿宋"/>
                <w:color w:val="auto"/>
                <w:sz w:val="24"/>
                <w:highlight w:val="none"/>
                <w:lang w:val="en-US" w:eastAsia="zh-CN"/>
              </w:rPr>
              <w:t>的</w:t>
            </w:r>
            <w:r>
              <w:rPr>
                <w:rFonts w:hint="eastAsia" w:ascii="仿宋" w:hAnsi="仿宋" w:eastAsia="仿宋" w:cs="仿宋"/>
                <w:color w:val="auto"/>
                <w:sz w:val="24"/>
                <w:highlight w:val="none"/>
              </w:rPr>
              <w:t>前期设备投入</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支持配合社区工作</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品牌创建工作措施方案的合理性、科学性进行综合评议。</w:t>
            </w:r>
          </w:p>
        </w:tc>
        <w:tc>
          <w:tcPr>
            <w:tcW w:w="918" w:type="dxa"/>
            <w:vAlign w:val="center"/>
          </w:tcPr>
          <w:p>
            <w:pPr>
              <w:snapToGrid w:val="0"/>
              <w:spacing w:line="24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0-</w:t>
            </w:r>
            <w:r>
              <w:rPr>
                <w:rFonts w:hint="eastAsia" w:ascii="仿宋" w:hAnsi="仿宋" w:eastAsia="仿宋" w:cs="仿宋"/>
                <w:color w:val="auto"/>
                <w:sz w:val="24"/>
                <w:highlight w:val="none"/>
                <w:lang w:val="en-US" w:eastAsia="zh-CN"/>
              </w:rPr>
              <w:t>5</w:t>
            </w:r>
          </w:p>
        </w:tc>
        <w:tc>
          <w:tcPr>
            <w:tcW w:w="882" w:type="dxa"/>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主观分</w:t>
            </w:r>
          </w:p>
        </w:tc>
        <w:tc>
          <w:tcPr>
            <w:tcW w:w="1657" w:type="dxa"/>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措施方案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78" w:type="dxa"/>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4360" w:type="dxa"/>
            <w:vAlign w:val="center"/>
          </w:tcPr>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r>
              <w:rPr>
                <w:rFonts w:hint="eastAsia" w:ascii="仿宋" w:hAnsi="仿宋" w:eastAsia="仿宋" w:cs="仿宋"/>
                <w:color w:val="auto"/>
                <w:sz w:val="24"/>
                <w:highlight w:val="none"/>
                <w:lang w:val="en-US" w:eastAsia="zh-CN"/>
              </w:rPr>
              <w:t>组织架构的完整性、抗风险性进行综合评议。</w:t>
            </w:r>
          </w:p>
        </w:tc>
        <w:tc>
          <w:tcPr>
            <w:tcW w:w="918" w:type="dxa"/>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0-3</w:t>
            </w:r>
          </w:p>
        </w:tc>
        <w:tc>
          <w:tcPr>
            <w:tcW w:w="882" w:type="dxa"/>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主观分</w:t>
            </w:r>
          </w:p>
        </w:tc>
        <w:tc>
          <w:tcPr>
            <w:tcW w:w="1657" w:type="dxa"/>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组织架构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napToGrid/>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w:t>
            </w:r>
          </w:p>
        </w:tc>
        <w:tc>
          <w:tcPr>
            <w:tcW w:w="4360" w:type="dxa"/>
            <w:vAlign w:val="center"/>
          </w:tcPr>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根据投标人提供的</w:t>
            </w:r>
            <w:r>
              <w:rPr>
                <w:rFonts w:hint="eastAsia" w:ascii="仿宋" w:hAnsi="仿宋" w:eastAsia="仿宋" w:cs="仿宋"/>
                <w:color w:val="auto"/>
                <w:sz w:val="24"/>
                <w:highlight w:val="none"/>
                <w:lang w:val="en-US" w:eastAsia="zh-CN"/>
              </w:rPr>
              <w:t>拟派服务人员</w:t>
            </w:r>
            <w:r>
              <w:rPr>
                <w:rFonts w:hint="eastAsia" w:ascii="仿宋" w:hAnsi="仿宋" w:eastAsia="仿宋" w:cs="仿宋"/>
                <w:color w:val="auto"/>
                <w:sz w:val="24"/>
                <w:highlight w:val="none"/>
              </w:rPr>
              <w:t>管理制度进行综合评议。</w:t>
            </w:r>
          </w:p>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人员</w:t>
            </w:r>
            <w:r>
              <w:rPr>
                <w:rFonts w:hint="eastAsia" w:ascii="仿宋" w:hAnsi="仿宋" w:eastAsia="仿宋" w:cs="仿宋"/>
                <w:color w:val="auto"/>
                <w:sz w:val="24"/>
                <w:highlight w:val="none"/>
              </w:rPr>
              <w:t>职责制度。（0-</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w:t>
            </w:r>
          </w:p>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（2）例会制度。（0-</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w:t>
            </w:r>
          </w:p>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en-US" w:eastAsia="zh-CN"/>
              </w:rPr>
              <w:t>人员</w:t>
            </w:r>
            <w:r>
              <w:rPr>
                <w:rFonts w:hint="eastAsia" w:ascii="仿宋" w:hAnsi="仿宋" w:eastAsia="仿宋" w:cs="仿宋"/>
                <w:color w:val="auto"/>
                <w:sz w:val="24"/>
                <w:highlight w:val="none"/>
              </w:rPr>
              <w:t>招聘、使用、管理、调配和辞退制度。（0-</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w:t>
            </w:r>
          </w:p>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val="en-US" w:eastAsia="zh-CN"/>
              </w:rPr>
              <w:t>人员</w:t>
            </w:r>
            <w:r>
              <w:rPr>
                <w:rFonts w:hint="eastAsia" w:ascii="仿宋" w:hAnsi="仿宋" w:eastAsia="仿宋" w:cs="仿宋"/>
                <w:color w:val="auto"/>
                <w:sz w:val="24"/>
                <w:highlight w:val="none"/>
              </w:rPr>
              <w:t>劳资管理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奖惩制度。（0-</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w:t>
            </w:r>
          </w:p>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val="en-US" w:eastAsia="zh-CN"/>
              </w:rPr>
              <w:t>人员</w:t>
            </w:r>
            <w:r>
              <w:rPr>
                <w:rFonts w:hint="eastAsia" w:ascii="仿宋" w:hAnsi="仿宋" w:eastAsia="仿宋" w:cs="仿宋"/>
                <w:color w:val="auto"/>
                <w:sz w:val="24"/>
                <w:highlight w:val="none"/>
              </w:rPr>
              <w:t>监督机制考核。（0-</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w:t>
            </w:r>
          </w:p>
          <w:p>
            <w:pPr>
              <w:spacing w:line="240" w:lineRule="auto"/>
              <w:jc w:val="left"/>
              <w:rPr>
                <w:rFonts w:hint="default"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（6）稳定队伍解决方案。（0-2分）</w:t>
            </w:r>
          </w:p>
        </w:tc>
        <w:tc>
          <w:tcPr>
            <w:tcW w:w="918" w:type="dxa"/>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0-</w:t>
            </w:r>
            <w:r>
              <w:rPr>
                <w:rFonts w:hint="eastAsia" w:ascii="仿宋" w:hAnsi="仿宋" w:eastAsia="仿宋" w:cs="仿宋"/>
                <w:color w:val="auto"/>
                <w:sz w:val="24"/>
                <w:highlight w:val="none"/>
                <w:lang w:val="en-US" w:eastAsia="zh-CN"/>
              </w:rPr>
              <w:t>12</w:t>
            </w:r>
          </w:p>
        </w:tc>
        <w:tc>
          <w:tcPr>
            <w:tcW w:w="882" w:type="dxa"/>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主观分</w:t>
            </w:r>
          </w:p>
        </w:tc>
        <w:tc>
          <w:tcPr>
            <w:tcW w:w="1657" w:type="dxa"/>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w:t>
            </w:r>
          </w:p>
        </w:tc>
        <w:tc>
          <w:tcPr>
            <w:tcW w:w="4360" w:type="dxa"/>
            <w:vAlign w:val="center"/>
          </w:tcPr>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投标人结合采购需求对拟投入服务团队的培训方案进行综合评议：</w:t>
            </w:r>
          </w:p>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（1）具备服务团队的培训方案（含培训内容、时间、地点、人次等）（0-</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分）</w:t>
            </w:r>
          </w:p>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（2）贴合实际需求的演练（0-</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分）</w:t>
            </w:r>
          </w:p>
        </w:tc>
        <w:tc>
          <w:tcPr>
            <w:tcW w:w="918" w:type="dxa"/>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0-5</w:t>
            </w:r>
          </w:p>
        </w:tc>
        <w:tc>
          <w:tcPr>
            <w:tcW w:w="882" w:type="dxa"/>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主观分</w:t>
            </w:r>
          </w:p>
        </w:tc>
        <w:tc>
          <w:tcPr>
            <w:tcW w:w="1657" w:type="dxa"/>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p>
        </w:tc>
        <w:tc>
          <w:tcPr>
            <w:tcW w:w="4360" w:type="dxa"/>
            <w:vAlign w:val="center"/>
          </w:tcPr>
          <w:p>
            <w:pPr>
              <w:numPr>
                <w:ilvl w:val="-1"/>
                <w:numId w:val="0"/>
              </w:numPr>
              <w:spacing w:line="24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服务人员配备及结构</w:t>
            </w:r>
            <w:r>
              <w:rPr>
                <w:rFonts w:hint="eastAsia" w:ascii="仿宋" w:hAnsi="仿宋" w:eastAsia="仿宋" w:cs="仿宋"/>
                <w:color w:val="auto"/>
                <w:sz w:val="24"/>
                <w:highlight w:val="none"/>
                <w:lang w:val="en-US" w:eastAsia="zh-CN"/>
              </w:rPr>
              <w:t>的合理性及科学性进行综合评议。</w:t>
            </w:r>
          </w:p>
          <w:p>
            <w:pPr>
              <w:numPr>
                <w:ilvl w:val="0"/>
                <w:numId w:val="1"/>
              </w:numPr>
              <w:spacing w:line="240" w:lineRule="auto"/>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运营管理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0-2分）</w:t>
            </w:r>
          </w:p>
          <w:p>
            <w:pPr>
              <w:numPr>
                <w:ilvl w:val="0"/>
                <w:numId w:val="1"/>
              </w:numPr>
              <w:spacing w:line="240" w:lineRule="auto"/>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活动执行</w:t>
            </w:r>
            <w:r>
              <w:rPr>
                <w:rFonts w:hint="eastAsia" w:ascii="仿宋" w:hAnsi="仿宋" w:eastAsia="仿宋" w:cs="仿宋"/>
                <w:color w:val="auto"/>
                <w:sz w:val="24"/>
                <w:highlight w:val="none"/>
                <w:lang w:val="en-US" w:eastAsia="zh-CN"/>
              </w:rPr>
              <w:t>管理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0-2分）</w:t>
            </w:r>
          </w:p>
          <w:p>
            <w:pPr>
              <w:numPr>
                <w:ilvl w:val="0"/>
                <w:numId w:val="1"/>
              </w:numPr>
              <w:spacing w:line="240" w:lineRule="auto"/>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运维领队管理（0-2分</w:t>
            </w:r>
            <w:r>
              <w:rPr>
                <w:rFonts w:hint="eastAsia" w:ascii="仿宋" w:hAnsi="仿宋" w:eastAsia="仿宋" w:cs="仿宋"/>
                <w:color w:val="auto"/>
                <w:sz w:val="24"/>
                <w:highlight w:val="none"/>
              </w:rPr>
              <w:t>）</w:t>
            </w:r>
          </w:p>
          <w:p>
            <w:pPr>
              <w:numPr>
                <w:ilvl w:val="0"/>
                <w:numId w:val="1"/>
              </w:num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教学岗管理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0-2分）</w:t>
            </w:r>
          </w:p>
        </w:tc>
        <w:tc>
          <w:tcPr>
            <w:tcW w:w="918" w:type="dxa"/>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0-8</w:t>
            </w:r>
          </w:p>
        </w:tc>
        <w:tc>
          <w:tcPr>
            <w:tcW w:w="882" w:type="dxa"/>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主观分</w:t>
            </w:r>
          </w:p>
        </w:tc>
        <w:tc>
          <w:tcPr>
            <w:tcW w:w="1657" w:type="dxa"/>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服务人员配备结构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w:t>
            </w:r>
          </w:p>
        </w:tc>
        <w:tc>
          <w:tcPr>
            <w:tcW w:w="4360"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仿宋" w:hAnsi="仿宋" w:eastAsia="仿宋" w:cs="仿宋"/>
                <w:bCs w:val="0"/>
                <w:caps w:val="0"/>
                <w:color w:val="auto"/>
                <w:sz w:val="24"/>
                <w:szCs w:val="24"/>
                <w:highlight w:val="none"/>
              </w:rPr>
            </w:pPr>
            <w:r>
              <w:rPr>
                <w:rFonts w:hint="eastAsia" w:ascii="仿宋" w:hAnsi="仿宋" w:eastAsia="仿宋" w:cs="仿宋"/>
                <w:bCs w:val="0"/>
                <w:caps w:val="0"/>
                <w:color w:val="auto"/>
                <w:sz w:val="24"/>
                <w:szCs w:val="24"/>
                <w:highlight w:val="none"/>
                <w:lang w:val="en-US" w:eastAsia="zh-CN"/>
              </w:rPr>
              <w:t>针对各类</w:t>
            </w:r>
            <w:r>
              <w:rPr>
                <w:rFonts w:hint="eastAsia" w:ascii="仿宋" w:hAnsi="仿宋" w:eastAsia="仿宋" w:cs="仿宋"/>
                <w:bCs w:val="0"/>
                <w:caps w:val="0"/>
                <w:color w:val="auto"/>
                <w:sz w:val="24"/>
                <w:szCs w:val="24"/>
                <w:highlight w:val="none"/>
              </w:rPr>
              <w:t>应急方案及措施的可操作性及针对性</w:t>
            </w:r>
            <w:r>
              <w:rPr>
                <w:rFonts w:hint="eastAsia" w:ascii="仿宋" w:hAnsi="仿宋" w:eastAsia="仿宋" w:cs="仿宋"/>
                <w:bCs w:val="0"/>
                <w:caps w:val="0"/>
                <w:color w:val="auto"/>
                <w:sz w:val="24"/>
                <w:szCs w:val="24"/>
                <w:highlight w:val="none"/>
                <w:lang w:val="en-US" w:eastAsia="zh-CN"/>
              </w:rPr>
              <w:t>进行综合评议。</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Cs w:val="0"/>
                <w:caps w:val="0"/>
                <w:color w:val="auto"/>
                <w:sz w:val="24"/>
                <w:szCs w:val="24"/>
                <w:highlight w:val="none"/>
              </w:rPr>
            </w:pPr>
            <w:r>
              <w:rPr>
                <w:rFonts w:hint="eastAsia" w:ascii="仿宋" w:hAnsi="仿宋" w:eastAsia="仿宋" w:cs="仿宋"/>
                <w:bCs w:val="0"/>
                <w:caps w:val="0"/>
                <w:color w:val="auto"/>
                <w:sz w:val="24"/>
                <w:szCs w:val="24"/>
                <w:highlight w:val="none"/>
              </w:rPr>
              <w:t>（1）对于突发事件的响应时间及处理时间的响应承诺情况。（0-</w:t>
            </w:r>
            <w:r>
              <w:rPr>
                <w:rFonts w:hint="eastAsia" w:ascii="仿宋" w:hAnsi="仿宋" w:eastAsia="仿宋" w:cs="仿宋"/>
                <w:bCs w:val="0"/>
                <w:caps w:val="0"/>
                <w:color w:val="auto"/>
                <w:sz w:val="24"/>
                <w:szCs w:val="24"/>
                <w:highlight w:val="none"/>
                <w:lang w:val="en-US" w:eastAsia="zh-CN"/>
              </w:rPr>
              <w:t>3</w:t>
            </w:r>
            <w:r>
              <w:rPr>
                <w:rFonts w:hint="eastAsia" w:ascii="仿宋" w:hAnsi="仿宋" w:eastAsia="仿宋" w:cs="仿宋"/>
                <w:bCs w:val="0"/>
                <w:caps w:val="0"/>
                <w:color w:val="auto"/>
                <w:sz w:val="24"/>
                <w:szCs w:val="24"/>
                <w:highlight w:val="none"/>
              </w:rPr>
              <w:t>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Cs w:val="0"/>
                <w:caps w:val="0"/>
                <w:color w:val="auto"/>
                <w:sz w:val="24"/>
                <w:szCs w:val="24"/>
                <w:highlight w:val="none"/>
              </w:rPr>
            </w:pPr>
            <w:r>
              <w:rPr>
                <w:rFonts w:hint="eastAsia" w:ascii="仿宋" w:hAnsi="仿宋" w:eastAsia="仿宋" w:cs="仿宋"/>
                <w:bCs w:val="0"/>
                <w:caps w:val="0"/>
                <w:color w:val="auto"/>
                <w:sz w:val="24"/>
                <w:szCs w:val="24"/>
                <w:highlight w:val="none"/>
              </w:rPr>
              <w:t>（2</w:t>
            </w:r>
            <w:r>
              <w:rPr>
                <w:rFonts w:hint="eastAsia" w:ascii="仿宋" w:hAnsi="仿宋" w:eastAsia="仿宋" w:cs="仿宋"/>
                <w:bCs w:val="0"/>
                <w:caps w:val="0"/>
                <w:color w:val="auto"/>
                <w:sz w:val="24"/>
                <w:szCs w:val="24"/>
                <w:highlight w:val="none"/>
                <w:lang w:eastAsia="zh-CN"/>
              </w:rPr>
              <w:t>）</w:t>
            </w:r>
            <w:r>
              <w:rPr>
                <w:rFonts w:hint="eastAsia" w:ascii="仿宋" w:hAnsi="仿宋" w:eastAsia="仿宋" w:cs="仿宋"/>
                <w:bCs w:val="0"/>
                <w:caps w:val="0"/>
                <w:color w:val="auto"/>
                <w:sz w:val="24"/>
                <w:szCs w:val="24"/>
                <w:highlight w:val="none"/>
              </w:rPr>
              <w:t>对服务区域内消防</w:t>
            </w:r>
            <w:r>
              <w:rPr>
                <w:rFonts w:hint="eastAsia" w:ascii="仿宋" w:hAnsi="仿宋" w:eastAsia="仿宋" w:cs="仿宋"/>
                <w:bCs w:val="0"/>
                <w:caps w:val="0"/>
                <w:color w:val="auto"/>
                <w:sz w:val="24"/>
                <w:szCs w:val="24"/>
                <w:highlight w:val="none"/>
                <w:lang w:val="en-US" w:eastAsia="zh-CN"/>
              </w:rPr>
              <w:t>措施</w:t>
            </w:r>
            <w:r>
              <w:rPr>
                <w:rFonts w:hint="eastAsia" w:ascii="仿宋" w:hAnsi="仿宋" w:eastAsia="仿宋" w:cs="仿宋"/>
                <w:bCs w:val="0"/>
                <w:caps w:val="0"/>
                <w:color w:val="auto"/>
                <w:sz w:val="24"/>
                <w:szCs w:val="24"/>
                <w:highlight w:val="none"/>
              </w:rPr>
              <w:t>等紧急预案。（0-</w:t>
            </w:r>
            <w:r>
              <w:rPr>
                <w:rFonts w:hint="eastAsia" w:ascii="仿宋" w:hAnsi="仿宋" w:eastAsia="仿宋" w:cs="仿宋"/>
                <w:bCs w:val="0"/>
                <w:caps w:val="0"/>
                <w:color w:val="auto"/>
                <w:sz w:val="24"/>
                <w:szCs w:val="24"/>
                <w:highlight w:val="none"/>
                <w:lang w:val="en-US" w:eastAsia="zh-CN"/>
              </w:rPr>
              <w:t>3</w:t>
            </w:r>
            <w:r>
              <w:rPr>
                <w:rFonts w:hint="eastAsia" w:ascii="仿宋" w:hAnsi="仿宋" w:eastAsia="仿宋" w:cs="仿宋"/>
                <w:bCs w:val="0"/>
                <w:caps w:val="0"/>
                <w:color w:val="auto"/>
                <w:sz w:val="24"/>
                <w:szCs w:val="24"/>
                <w:highlight w:val="none"/>
              </w:rPr>
              <w:t>分）</w:t>
            </w:r>
          </w:p>
          <w:p>
            <w:pPr>
              <w:spacing w:line="240" w:lineRule="auto"/>
              <w:jc w:val="left"/>
              <w:rPr>
                <w:rFonts w:hint="eastAsia" w:ascii="仿宋" w:hAnsi="仿宋" w:eastAsia="仿宋" w:cs="仿宋"/>
                <w:color w:val="auto"/>
                <w:sz w:val="24"/>
                <w:highlight w:val="none"/>
                <w:lang w:eastAsia="zh-CN"/>
              </w:rPr>
            </w:pPr>
            <w:r>
              <w:rPr>
                <w:rFonts w:hint="eastAsia" w:ascii="仿宋" w:hAnsi="仿宋" w:eastAsia="仿宋" w:cs="仿宋"/>
                <w:bCs w:val="0"/>
                <w:caps w:val="0"/>
                <w:color w:val="auto"/>
                <w:sz w:val="24"/>
                <w:szCs w:val="24"/>
                <w:highlight w:val="none"/>
              </w:rPr>
              <w:t>（</w:t>
            </w:r>
            <w:r>
              <w:rPr>
                <w:rFonts w:hint="eastAsia" w:ascii="仿宋" w:hAnsi="仿宋" w:eastAsia="仿宋" w:cs="仿宋"/>
                <w:bCs w:val="0"/>
                <w:caps w:val="0"/>
                <w:color w:val="auto"/>
                <w:sz w:val="24"/>
                <w:szCs w:val="24"/>
                <w:highlight w:val="none"/>
                <w:lang w:val="en-US" w:eastAsia="zh-CN"/>
              </w:rPr>
              <w:t>3</w:t>
            </w:r>
            <w:r>
              <w:rPr>
                <w:rFonts w:hint="eastAsia" w:ascii="仿宋" w:hAnsi="仿宋" w:eastAsia="仿宋" w:cs="仿宋"/>
                <w:bCs w:val="0"/>
                <w:caps w:val="0"/>
                <w:color w:val="auto"/>
                <w:sz w:val="24"/>
                <w:szCs w:val="24"/>
                <w:highlight w:val="none"/>
              </w:rPr>
              <w:t>）对重大</w:t>
            </w:r>
            <w:r>
              <w:rPr>
                <w:rFonts w:hint="eastAsia" w:ascii="仿宋" w:hAnsi="仿宋" w:eastAsia="仿宋" w:cs="仿宋"/>
                <w:bCs w:val="0"/>
                <w:caps w:val="0"/>
                <w:color w:val="auto"/>
                <w:sz w:val="24"/>
                <w:szCs w:val="24"/>
                <w:highlight w:val="none"/>
                <w:lang w:val="en-US" w:eastAsia="zh-CN"/>
              </w:rPr>
              <w:t>会议</w:t>
            </w:r>
            <w:r>
              <w:rPr>
                <w:rFonts w:hint="eastAsia" w:ascii="仿宋" w:hAnsi="仿宋" w:eastAsia="仿宋" w:cs="仿宋"/>
                <w:bCs w:val="0"/>
                <w:caps w:val="0"/>
                <w:color w:val="auto"/>
                <w:sz w:val="24"/>
                <w:szCs w:val="24"/>
                <w:highlight w:val="none"/>
              </w:rPr>
              <w:t>活动或重要接待任务等的应急</w:t>
            </w:r>
            <w:r>
              <w:rPr>
                <w:rFonts w:hint="eastAsia" w:ascii="仿宋" w:hAnsi="仿宋" w:eastAsia="仿宋" w:cs="仿宋"/>
                <w:bCs w:val="0"/>
                <w:caps w:val="0"/>
                <w:color w:val="auto"/>
                <w:sz w:val="24"/>
                <w:szCs w:val="24"/>
                <w:highlight w:val="none"/>
                <w:lang w:val="en-US" w:eastAsia="zh-CN"/>
              </w:rPr>
              <w:t>聘请人员</w:t>
            </w:r>
            <w:r>
              <w:rPr>
                <w:rFonts w:hint="eastAsia" w:ascii="仿宋" w:hAnsi="仿宋" w:eastAsia="仿宋" w:cs="仿宋"/>
                <w:bCs w:val="0"/>
                <w:caps w:val="0"/>
                <w:color w:val="auto"/>
                <w:sz w:val="24"/>
                <w:szCs w:val="24"/>
                <w:highlight w:val="none"/>
              </w:rPr>
              <w:t>预案。（0-</w:t>
            </w:r>
            <w:r>
              <w:rPr>
                <w:rFonts w:hint="eastAsia" w:ascii="仿宋" w:hAnsi="仿宋" w:eastAsia="仿宋" w:cs="仿宋"/>
                <w:bCs w:val="0"/>
                <w:caps w:val="0"/>
                <w:color w:val="auto"/>
                <w:sz w:val="24"/>
                <w:szCs w:val="24"/>
                <w:highlight w:val="none"/>
                <w:lang w:val="en-US" w:eastAsia="zh-CN"/>
              </w:rPr>
              <w:t>3</w:t>
            </w:r>
            <w:r>
              <w:rPr>
                <w:rFonts w:hint="eastAsia" w:ascii="仿宋" w:hAnsi="仿宋" w:eastAsia="仿宋" w:cs="仿宋"/>
                <w:bCs w:val="0"/>
                <w:caps w:val="0"/>
                <w:color w:val="auto"/>
                <w:sz w:val="24"/>
                <w:szCs w:val="24"/>
                <w:highlight w:val="none"/>
              </w:rPr>
              <w:t>分）</w:t>
            </w:r>
          </w:p>
        </w:tc>
        <w:tc>
          <w:tcPr>
            <w:tcW w:w="918" w:type="dxa"/>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0-9</w:t>
            </w:r>
          </w:p>
        </w:tc>
        <w:tc>
          <w:tcPr>
            <w:tcW w:w="882" w:type="dxa"/>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主观分</w:t>
            </w:r>
          </w:p>
        </w:tc>
        <w:tc>
          <w:tcPr>
            <w:tcW w:w="1657" w:type="dxa"/>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bCs w:val="0"/>
                <w:caps w:val="0"/>
                <w:color w:val="auto"/>
                <w:sz w:val="24"/>
                <w:szCs w:val="24"/>
                <w:highlight w:val="none"/>
              </w:rPr>
              <w:t>应急方案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8" w:type="dxa"/>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4360" w:type="dxa"/>
            <w:vAlign w:val="center"/>
          </w:tcPr>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针对</w:t>
            </w:r>
            <w:r>
              <w:rPr>
                <w:rFonts w:hint="eastAsia" w:ascii="仿宋" w:hAnsi="仿宋" w:eastAsia="仿宋" w:cs="仿宋"/>
                <w:color w:val="auto"/>
                <w:sz w:val="24"/>
                <w:highlight w:val="none"/>
                <w:lang w:eastAsia="zh-CN"/>
              </w:rPr>
              <w:t>仓基新村未来社区</w:t>
            </w:r>
            <w:r>
              <w:rPr>
                <w:rFonts w:hint="eastAsia" w:ascii="仿宋" w:hAnsi="仿宋" w:eastAsia="仿宋" w:cs="仿宋"/>
                <w:color w:val="auto"/>
                <w:sz w:val="24"/>
                <w:highlight w:val="none"/>
              </w:rPr>
              <w:t>各类活动</w:t>
            </w:r>
            <w:r>
              <w:rPr>
                <w:rFonts w:hint="eastAsia" w:ascii="仿宋" w:hAnsi="仿宋" w:eastAsia="仿宋" w:cs="仿宋"/>
                <w:color w:val="auto"/>
                <w:sz w:val="24"/>
                <w:highlight w:val="none"/>
                <w:lang w:val="en-US" w:eastAsia="zh-CN"/>
              </w:rPr>
              <w:t>的</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lang w:val="en-US" w:eastAsia="zh-CN"/>
              </w:rPr>
              <w:t>及</w:t>
            </w:r>
            <w:r>
              <w:rPr>
                <w:rFonts w:hint="eastAsia" w:ascii="仿宋" w:hAnsi="仿宋" w:eastAsia="仿宋" w:cs="仿宋"/>
                <w:color w:val="auto"/>
                <w:sz w:val="24"/>
                <w:highlight w:val="none"/>
              </w:rPr>
              <w:t>场次计划编制</w:t>
            </w:r>
            <w:r>
              <w:rPr>
                <w:rFonts w:hint="eastAsia" w:ascii="仿宋" w:hAnsi="仿宋" w:eastAsia="仿宋" w:cs="仿宋"/>
                <w:color w:val="auto"/>
                <w:sz w:val="24"/>
                <w:highlight w:val="none"/>
                <w:lang w:val="en-US" w:eastAsia="zh-CN"/>
              </w:rPr>
              <w:t>、收费</w:t>
            </w:r>
            <w:r>
              <w:rPr>
                <w:rFonts w:hint="eastAsia" w:ascii="仿宋" w:hAnsi="仿宋" w:eastAsia="仿宋" w:cs="仿宋"/>
                <w:color w:val="auto"/>
                <w:sz w:val="24"/>
                <w:highlight w:val="none"/>
              </w:rPr>
              <w:t>方案</w:t>
            </w:r>
            <w:r>
              <w:rPr>
                <w:rFonts w:hint="eastAsia" w:ascii="仿宋" w:hAnsi="仿宋" w:eastAsia="仿宋" w:cs="仿宋"/>
                <w:color w:val="auto"/>
                <w:sz w:val="24"/>
                <w:highlight w:val="none"/>
                <w:lang w:val="en-US" w:eastAsia="zh-CN"/>
              </w:rPr>
              <w:t>的</w:t>
            </w:r>
            <w:r>
              <w:rPr>
                <w:rFonts w:hint="eastAsia" w:ascii="仿宋" w:hAnsi="仿宋" w:eastAsia="仿宋" w:cs="仿宋"/>
                <w:color w:val="auto"/>
                <w:sz w:val="24"/>
                <w:highlight w:val="none"/>
              </w:rPr>
              <w:t>可行性、合理性、完整性进行</w:t>
            </w:r>
            <w:r>
              <w:rPr>
                <w:rFonts w:hint="eastAsia" w:ascii="仿宋" w:hAnsi="仿宋" w:eastAsia="仿宋" w:cs="仿宋"/>
                <w:color w:val="auto"/>
                <w:sz w:val="24"/>
                <w:highlight w:val="none"/>
                <w:lang w:val="en-US" w:eastAsia="zh-CN"/>
              </w:rPr>
              <w:t>综合</w:t>
            </w:r>
            <w:r>
              <w:rPr>
                <w:rFonts w:hint="eastAsia" w:ascii="仿宋" w:hAnsi="仿宋" w:eastAsia="仿宋" w:cs="仿宋"/>
                <w:color w:val="auto"/>
                <w:sz w:val="24"/>
                <w:highlight w:val="none"/>
              </w:rPr>
              <w:t>评议。</w:t>
            </w:r>
          </w:p>
          <w:p>
            <w:pPr>
              <w:spacing w:line="24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（1）需求调研工作（0-4分）</w:t>
            </w:r>
          </w:p>
          <w:p>
            <w:pPr>
              <w:spacing w:line="24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（2）公益服务（0-5分）</w:t>
            </w:r>
          </w:p>
          <w:p>
            <w:pPr>
              <w:spacing w:line="240" w:lineRule="auto"/>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（3）普惠性服务（0-5分）</w:t>
            </w:r>
          </w:p>
        </w:tc>
        <w:tc>
          <w:tcPr>
            <w:tcW w:w="918" w:type="dxa"/>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0-14</w:t>
            </w:r>
          </w:p>
        </w:tc>
        <w:tc>
          <w:tcPr>
            <w:tcW w:w="882" w:type="dxa"/>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主观分</w:t>
            </w:r>
          </w:p>
        </w:tc>
        <w:tc>
          <w:tcPr>
            <w:tcW w:w="1657" w:type="dxa"/>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活动服务工作方案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w:t>
            </w:r>
          </w:p>
        </w:tc>
        <w:tc>
          <w:tcPr>
            <w:tcW w:w="4360" w:type="dxa"/>
            <w:vAlign w:val="center"/>
          </w:tcPr>
          <w:p>
            <w:pPr>
              <w:spacing w:line="24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针对</w:t>
            </w:r>
            <w:r>
              <w:rPr>
                <w:rFonts w:hint="eastAsia" w:ascii="仿宋" w:hAnsi="仿宋" w:eastAsia="仿宋" w:cs="仿宋"/>
                <w:color w:val="auto"/>
                <w:sz w:val="24"/>
                <w:highlight w:val="none"/>
                <w:lang w:eastAsia="zh-CN"/>
              </w:rPr>
              <w:t>仓基新村未来社区</w:t>
            </w:r>
            <w:r>
              <w:rPr>
                <w:rFonts w:hint="eastAsia" w:ascii="仿宋" w:hAnsi="仿宋" w:eastAsia="仿宋" w:cs="仿宋"/>
                <w:color w:val="auto"/>
                <w:sz w:val="24"/>
                <w:highlight w:val="none"/>
              </w:rPr>
              <w:t>的空间运营</w:t>
            </w:r>
            <w:r>
              <w:rPr>
                <w:rFonts w:hint="eastAsia" w:ascii="仿宋" w:hAnsi="仿宋" w:eastAsia="仿宋" w:cs="仿宋"/>
                <w:color w:val="auto"/>
                <w:sz w:val="24"/>
                <w:highlight w:val="none"/>
                <w:lang w:val="en-US" w:eastAsia="zh-CN"/>
              </w:rPr>
              <w:t>方案的</w:t>
            </w:r>
            <w:r>
              <w:rPr>
                <w:rFonts w:hint="eastAsia" w:ascii="仿宋" w:hAnsi="仿宋" w:eastAsia="仿宋" w:cs="仿宋"/>
                <w:color w:val="auto"/>
                <w:sz w:val="24"/>
                <w:highlight w:val="none"/>
              </w:rPr>
              <w:t>惠民性、公益性、合理性、</w:t>
            </w:r>
            <w:r>
              <w:rPr>
                <w:rFonts w:hint="eastAsia" w:ascii="仿宋" w:hAnsi="仿宋" w:eastAsia="仿宋" w:cs="仿宋"/>
                <w:color w:val="auto"/>
                <w:sz w:val="24"/>
                <w:highlight w:val="none"/>
                <w:lang w:val="en-US" w:eastAsia="zh-CN"/>
              </w:rPr>
              <w:t>创新性、</w:t>
            </w:r>
            <w:r>
              <w:rPr>
                <w:rFonts w:hint="eastAsia" w:ascii="仿宋" w:hAnsi="仿宋" w:eastAsia="仿宋" w:cs="仿宋"/>
                <w:color w:val="auto"/>
                <w:sz w:val="24"/>
                <w:highlight w:val="none"/>
              </w:rPr>
              <w:t>完整性</w:t>
            </w:r>
            <w:r>
              <w:rPr>
                <w:rFonts w:hint="eastAsia" w:ascii="仿宋" w:hAnsi="仿宋" w:eastAsia="仿宋" w:cs="仿宋"/>
                <w:color w:val="auto"/>
                <w:sz w:val="24"/>
                <w:highlight w:val="none"/>
                <w:lang w:val="en-US" w:eastAsia="zh-CN"/>
              </w:rPr>
              <w:t>进行综合评议。</w:t>
            </w:r>
          </w:p>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（1）惠民性</w:t>
            </w:r>
            <w:r>
              <w:rPr>
                <w:rFonts w:hint="eastAsia" w:ascii="仿宋" w:hAnsi="仿宋" w:eastAsia="仿宋" w:cs="仿宋"/>
                <w:color w:val="auto"/>
                <w:sz w:val="24"/>
                <w:highlight w:val="none"/>
                <w:lang w:val="en-US" w:eastAsia="zh-CN"/>
              </w:rPr>
              <w:t>（0-5分）</w:t>
            </w:r>
          </w:p>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（2）公益性</w:t>
            </w:r>
            <w:r>
              <w:rPr>
                <w:rFonts w:hint="eastAsia" w:ascii="仿宋" w:hAnsi="仿宋" w:eastAsia="仿宋" w:cs="仿宋"/>
                <w:color w:val="auto"/>
                <w:sz w:val="24"/>
                <w:highlight w:val="none"/>
                <w:lang w:val="en-US" w:eastAsia="zh-CN"/>
              </w:rPr>
              <w:t>（0-5分）</w:t>
            </w:r>
          </w:p>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（3）合理性</w:t>
            </w:r>
            <w:r>
              <w:rPr>
                <w:rFonts w:hint="eastAsia" w:ascii="仿宋" w:hAnsi="仿宋" w:eastAsia="仿宋" w:cs="仿宋"/>
                <w:color w:val="auto"/>
                <w:sz w:val="24"/>
                <w:highlight w:val="none"/>
                <w:lang w:val="en-US" w:eastAsia="zh-CN"/>
              </w:rPr>
              <w:t>（0-5分）</w:t>
            </w:r>
          </w:p>
          <w:p>
            <w:pPr>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（4）创新性</w:t>
            </w:r>
            <w:r>
              <w:rPr>
                <w:rFonts w:hint="eastAsia" w:ascii="仿宋" w:hAnsi="仿宋" w:eastAsia="仿宋" w:cs="仿宋"/>
                <w:color w:val="auto"/>
                <w:sz w:val="24"/>
                <w:highlight w:val="none"/>
                <w:lang w:val="en-US" w:eastAsia="zh-CN"/>
              </w:rPr>
              <w:t>（0-5分）</w:t>
            </w:r>
          </w:p>
          <w:p>
            <w:pPr>
              <w:spacing w:line="240" w:lineRule="auto"/>
              <w:jc w:val="left"/>
              <w:rPr>
                <w:rFonts w:hint="eastAsia"/>
                <w:color w:val="auto"/>
              </w:rPr>
            </w:pPr>
            <w:r>
              <w:rPr>
                <w:rFonts w:hint="eastAsia" w:ascii="仿宋" w:hAnsi="仿宋" w:eastAsia="仿宋" w:cs="仿宋"/>
                <w:color w:val="auto"/>
                <w:sz w:val="24"/>
                <w:highlight w:val="none"/>
              </w:rPr>
              <w:t>（5）完整性</w:t>
            </w:r>
            <w:r>
              <w:rPr>
                <w:rFonts w:hint="eastAsia" w:ascii="仿宋" w:hAnsi="仿宋" w:eastAsia="仿宋" w:cs="仿宋"/>
                <w:color w:val="auto"/>
                <w:sz w:val="24"/>
                <w:highlight w:val="none"/>
                <w:lang w:val="en-US" w:eastAsia="zh-CN"/>
              </w:rPr>
              <w:t>（0-3分）</w:t>
            </w:r>
          </w:p>
        </w:tc>
        <w:tc>
          <w:tcPr>
            <w:tcW w:w="918" w:type="dxa"/>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0-23</w:t>
            </w:r>
          </w:p>
        </w:tc>
        <w:tc>
          <w:tcPr>
            <w:tcW w:w="882" w:type="dxa"/>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主观分</w:t>
            </w:r>
          </w:p>
        </w:tc>
        <w:tc>
          <w:tcPr>
            <w:tcW w:w="1657" w:type="dxa"/>
            <w:vAlign w:val="center"/>
          </w:tcPr>
          <w:p>
            <w:pPr>
              <w:snapToGrid w:val="0"/>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空间运营</w:t>
            </w:r>
            <w:r>
              <w:rPr>
                <w:rFonts w:hint="eastAsia" w:ascii="仿宋" w:hAnsi="仿宋" w:eastAsia="仿宋" w:cs="仿宋"/>
                <w:color w:val="auto"/>
                <w:sz w:val="24"/>
                <w:highlight w:val="none"/>
                <w:lang w:val="en-US"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w:t>
            </w:r>
          </w:p>
        </w:tc>
        <w:tc>
          <w:tcPr>
            <w:tcW w:w="4360" w:type="dxa"/>
          </w:tcPr>
          <w:p>
            <w:pPr>
              <w:spacing w:line="24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有效投标报价的最低价作为评标基准价，其最低报价为满分；按［投标报价得分=（评标基准价/投标报价）*</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］的计算公式计算。评标过程中，不得去掉报价中的最高报价和最低报价。</w:t>
            </w:r>
          </w:p>
          <w:p>
            <w:pPr>
              <w:spacing w:line="240" w:lineRule="auto"/>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对于未预留份额专门面向中小企业的政府采购服务项目，以及预留份额政府采购服务项目中的非预留部分标项，对小型和微型企业的投标报价给予</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%的扣除，用扣除后的价格参加评审。</w:t>
            </w:r>
          </w:p>
        </w:tc>
        <w:tc>
          <w:tcPr>
            <w:tcW w:w="918" w:type="dxa"/>
            <w:vAlign w:val="center"/>
          </w:tcPr>
          <w:p>
            <w:pPr>
              <w:spacing w:line="240" w:lineRule="auto"/>
              <w:jc w:val="center"/>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882" w:type="dxa"/>
            <w:vAlign w:val="center"/>
          </w:tcPr>
          <w:p>
            <w:pPr>
              <w:spacing w:line="240" w:lineRule="auto"/>
              <w:jc w:val="center"/>
              <w:outlineLvl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w:t>
            </w:r>
          </w:p>
        </w:tc>
        <w:tc>
          <w:tcPr>
            <w:tcW w:w="1657" w:type="dxa"/>
            <w:vAlign w:val="center"/>
          </w:tcPr>
          <w:p>
            <w:pPr>
              <w:spacing w:line="240" w:lineRule="auto"/>
              <w:jc w:val="center"/>
              <w:outlineLvl w:val="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报价部分</w:t>
            </w:r>
          </w:p>
        </w:tc>
      </w:tr>
    </w:tbl>
    <w:p>
      <w:pPr>
        <w:rPr>
          <w:rFonts w:hint="eastAsia" w:ascii="仿宋" w:hAnsi="仿宋" w:eastAsia="仿宋" w:cs="仿宋"/>
          <w:color w:val="auto"/>
          <w:highlight w:val="none"/>
        </w:rPr>
      </w:pP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128"/>
        <w:spacing w:before="0"/>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128"/>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有下列情形之一的，投标无效：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4.2.12投标人仅提交备份投标文件，未在电子交易平台传输递交投标文件的，投标无效；</w:t>
      </w:r>
    </w:p>
    <w:p>
      <w:pPr>
        <w:pStyle w:val="5"/>
        <w:ind w:left="862" w:leftChars="205"/>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24"/>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4"/>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4"/>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4"/>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4"/>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4"/>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应当将废标理由通知所有投标人。</w:t>
      </w:r>
    </w:p>
    <w:p>
      <w:pPr>
        <w:pStyle w:val="24"/>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沟通并作书面记录。采购人、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确认后，将修改招标文件，重新组织采购活动。</w:t>
      </w:r>
    </w:p>
    <w:p>
      <w:pPr>
        <w:pStyle w:val="24"/>
        <w:snapToGrid w:val="0"/>
        <w:spacing w:line="360" w:lineRule="auto"/>
        <w:ind w:firstLine="482"/>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有政府采购法第七十一条、第七十二条规定的违法行为之一，影响或者可能影响中标结果的，依照下列规定处理：</w:t>
      </w:r>
    </w:p>
    <w:p>
      <w:pPr>
        <w:pStyle w:val="24"/>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7.1未确定中标供应商的，终止本次政府采购活动，重新开展政府采购活动。</w:t>
      </w:r>
    </w:p>
    <w:p>
      <w:pPr>
        <w:pStyle w:val="24"/>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4"/>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hint="eastAsia" w:ascii="仿宋" w:hAnsi="仿宋" w:eastAsia="仿宋" w:cs="仿宋"/>
          <w:color w:val="auto"/>
          <w:highlight w:val="none"/>
        </w:rPr>
      </w:pPr>
    </w:p>
    <w:bookmarkEnd w:id="25"/>
    <w:p>
      <w:pPr>
        <w:spacing w:line="360" w:lineRule="auto"/>
        <w:ind w:left="720" w:leftChars="343" w:firstLine="1084" w:firstLineChars="300"/>
        <w:outlineLvl w:val="0"/>
        <w:rPr>
          <w:rFonts w:hint="eastAsia" w:ascii="仿宋" w:hAnsi="仿宋" w:eastAsia="仿宋" w:cs="仿宋"/>
          <w:b/>
          <w:color w:val="auto"/>
          <w:sz w:val="36"/>
          <w:szCs w:val="36"/>
          <w:highlight w:val="none"/>
        </w:rPr>
      </w:pPr>
      <w:bookmarkStart w:id="391" w:name="第五部分"/>
      <w:bookmarkStart w:id="392" w:name="_Toc86217003"/>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widowControl/>
        <w:adjustRightInd/>
        <w:jc w:val="left"/>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480" w:lineRule="auto"/>
        <w:jc w:val="center"/>
        <w:rPr>
          <w:rFonts w:hint="eastAsia" w:ascii="仿宋" w:hAnsi="仿宋" w:eastAsia="仿宋" w:cs="仿宋"/>
          <w:b/>
          <w:color w:val="auto"/>
          <w:sz w:val="28"/>
          <w:szCs w:val="28"/>
          <w:highlight w:val="none"/>
        </w:rPr>
      </w:pP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政府采购合同（合同最终以签订为准）</w:t>
      </w: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（服务类）</w:t>
      </w:r>
    </w:p>
    <w:p>
      <w:pPr>
        <w:pStyle w:val="699"/>
        <w:ind w:firstLine="2843" w:firstLineChars="118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第一部分 合同书</w:t>
      </w: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596"/>
        <w:spacing w:before="120" w:line="22" w:lineRule="atLeast"/>
        <w:rPr>
          <w:rFonts w:hint="eastAsia" w:ascii="仿宋" w:hAnsi="仿宋" w:eastAsia="仿宋" w:cs="仿宋"/>
          <w:color w:val="auto"/>
          <w:szCs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jc w:val="left"/>
        <w:rPr>
          <w:rFonts w:hint="eastAsia" w:ascii="仿宋" w:hAnsi="仿宋" w:eastAsia="仿宋" w:cs="仿宋"/>
          <w:color w:val="auto"/>
          <w:kern w:val="0"/>
          <w:sz w:val="24"/>
          <w:highlight w:val="none"/>
        </w:rPr>
      </w:pPr>
    </w:p>
    <w:p>
      <w:pPr>
        <w:widowControl/>
        <w:jc w:val="left"/>
        <w:rPr>
          <w:rFonts w:hint="eastAsia" w:ascii="仿宋" w:hAnsi="仿宋" w:eastAsia="仿宋" w:cs="仿宋"/>
          <w:color w:val="auto"/>
          <w:kern w:val="0"/>
          <w:sz w:val="24"/>
          <w:highlight w:val="none"/>
        </w:rPr>
      </w:pPr>
    </w:p>
    <w:p>
      <w:pPr>
        <w:widowControl/>
        <w:jc w:val="left"/>
        <w:rPr>
          <w:rFonts w:hint="eastAsia" w:ascii="仿宋" w:hAnsi="仿宋" w:eastAsia="仿宋" w:cs="仿宋"/>
          <w:color w:val="auto"/>
          <w:kern w:val="0"/>
          <w:sz w:val="24"/>
          <w:highlight w:val="none"/>
        </w:rPr>
      </w:pPr>
    </w:p>
    <w:p>
      <w:pPr>
        <w:widowControl/>
        <w:jc w:val="left"/>
        <w:rPr>
          <w:rFonts w:hint="eastAsia" w:ascii="仿宋" w:hAnsi="仿宋" w:eastAsia="仿宋" w:cs="仿宋"/>
          <w:color w:val="auto"/>
          <w:kern w:val="0"/>
          <w:sz w:val="24"/>
          <w:highlight w:val="none"/>
        </w:rPr>
        <w:sectPr>
          <w:pgSz w:w="11907" w:h="16840"/>
          <w:pgMar w:top="1474" w:right="1814" w:bottom="1474" w:left="1814" w:header="851" w:footer="851" w:gutter="0"/>
          <w:cols w:space="720" w:num="1"/>
        </w:sectPr>
      </w:pPr>
    </w:p>
    <w:p>
      <w:pPr>
        <w:keepNext w:val="0"/>
        <w:keepLines w:val="0"/>
        <w:pageBreakBefore w:val="0"/>
        <w:widowControl w:val="0"/>
        <w:tabs>
          <w:tab w:val="left" w:pos="744"/>
        </w:tabs>
        <w:kinsoku/>
        <w:wordWrap/>
        <w:overflowPunct/>
        <w:topLinePunct w:val="0"/>
        <w:autoSpaceDE/>
        <w:autoSpaceDN/>
        <w:bidi w:val="0"/>
        <w:adjustRightInd w:val="0"/>
        <w:snapToGrid/>
        <w:spacing w:line="360" w:lineRule="auto"/>
        <w:ind w:firstLine="480" w:firstLineChars="200"/>
        <w:jc w:val="left"/>
        <w:textAlignment w:val="auto"/>
        <w:rPr>
          <w:rFonts w:hint="eastAsia" w:ascii="仿宋" w:hAnsi="仿宋" w:eastAsia="仿宋" w:cs="仿宋"/>
          <w:color w:val="auto"/>
          <w:sz w:val="24"/>
          <w:szCs w:val="24"/>
        </w:rPr>
      </w:pPr>
      <w:bookmarkStart w:id="393" w:name="_Toc19273"/>
      <w:bookmarkStart w:id="394" w:name="_Toc22967"/>
      <w:bookmarkStart w:id="395" w:name="_Toc28855"/>
      <w:bookmarkStart w:id="396" w:name="_Toc15367"/>
      <w:bookmarkStart w:id="397" w:name="_Toc20421"/>
      <w:r>
        <w:rPr>
          <w:rFonts w:hint="eastAsia" w:ascii="仿宋" w:hAnsi="仿宋" w:eastAsia="仿宋" w:cs="仿宋"/>
          <w:color w:val="auto"/>
          <w:sz w:val="24"/>
          <w:szCs w:val="24"/>
        </w:rPr>
        <w:t>根据相关法律法规和</w:t>
      </w:r>
      <w:r>
        <w:rPr>
          <w:rFonts w:hint="eastAsia" w:ascii="仿宋" w:hAnsi="仿宋" w:eastAsia="仿宋" w:cs="仿宋"/>
          <w:color w:val="auto"/>
          <w:sz w:val="24"/>
          <w:szCs w:val="24"/>
          <w:lang w:eastAsia="zh-CN"/>
        </w:rPr>
        <w:t>湖墅街道仓基新村</w:t>
      </w:r>
      <w:r>
        <w:rPr>
          <w:rFonts w:hint="eastAsia" w:ascii="仿宋" w:hAnsi="仿宋" w:eastAsia="仿宋" w:cs="仿宋"/>
          <w:color w:val="auto"/>
          <w:sz w:val="24"/>
          <w:szCs w:val="24"/>
          <w:lang w:val="en-US" w:eastAsia="zh-CN"/>
        </w:rPr>
        <w:t>社区驻点服务</w:t>
      </w:r>
      <w:r>
        <w:rPr>
          <w:rFonts w:hint="eastAsia" w:ascii="仿宋" w:hAnsi="仿宋" w:eastAsia="仿宋" w:cs="仿宋"/>
          <w:color w:val="auto"/>
          <w:sz w:val="24"/>
          <w:szCs w:val="24"/>
          <w:lang w:eastAsia="zh-CN"/>
        </w:rPr>
        <w:t>项目</w:t>
      </w:r>
      <w:r>
        <w:rPr>
          <w:rFonts w:hint="eastAsia" w:ascii="仿宋" w:hAnsi="仿宋" w:eastAsia="仿宋" w:cs="仿宋"/>
          <w:color w:val="auto"/>
          <w:sz w:val="24"/>
          <w:szCs w:val="24"/>
        </w:rPr>
        <w:t>的成交情况，遵循平等、自愿、公平、诚实信用的原则，由招标人（以下简称甲方）与经评审最终确定的成交中标人（以下简称乙方）结合本项目具体情况，经双方协商一致后达成以下条款</w:t>
      </w:r>
      <w:r>
        <w:rPr>
          <w:rFonts w:hint="eastAsia" w:ascii="仿宋" w:hAnsi="仿宋" w:eastAsia="仿宋" w:cs="仿宋"/>
          <w:color w:val="auto"/>
          <w:sz w:val="24"/>
          <w:szCs w:val="24"/>
          <w:lang w:eastAsia="zh-CN"/>
        </w:rPr>
        <w:t>：</w:t>
      </w:r>
    </w:p>
    <w:p>
      <w:pPr>
        <w:keepNext w:val="0"/>
        <w:keepLines w:val="0"/>
        <w:pageBreakBefore w:val="0"/>
        <w:widowControl w:val="0"/>
        <w:tabs>
          <w:tab w:val="left" w:pos="744"/>
        </w:tabs>
        <w:kinsoku/>
        <w:wordWrap/>
        <w:overflowPunct/>
        <w:topLinePunct w:val="0"/>
        <w:autoSpaceDE/>
        <w:autoSpaceDN/>
        <w:bidi w:val="0"/>
        <w:adjustRightInd w:val="0"/>
        <w:snapToGrid/>
        <w:spacing w:line="360" w:lineRule="auto"/>
        <w:ind w:firstLine="482" w:firstLineChars="200"/>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第一条</w:t>
      </w:r>
      <w:r>
        <w:rPr>
          <w:rFonts w:hint="eastAsia" w:ascii="仿宋" w:hAnsi="仿宋" w:eastAsia="仿宋" w:cs="仿宋"/>
          <w:b/>
          <w:bCs/>
          <w:color w:val="auto"/>
          <w:sz w:val="24"/>
          <w:szCs w:val="24"/>
          <w:lang w:val="en-US" w:eastAsia="zh-CN"/>
        </w:rPr>
        <w:t xml:space="preserve"> </w:t>
      </w:r>
      <w:r>
        <w:rPr>
          <w:rFonts w:hint="eastAsia" w:ascii="仿宋" w:hAnsi="仿宋" w:eastAsia="仿宋" w:cs="仿宋"/>
          <w:b/>
          <w:bCs/>
          <w:color w:val="auto"/>
          <w:sz w:val="24"/>
          <w:szCs w:val="24"/>
        </w:rPr>
        <w:t>合同价格</w:t>
      </w:r>
    </w:p>
    <w:p>
      <w:pPr>
        <w:keepNext w:val="0"/>
        <w:keepLines w:val="0"/>
        <w:pageBreakBefore w:val="0"/>
        <w:widowControl w:val="0"/>
        <w:tabs>
          <w:tab w:val="left" w:pos="744"/>
        </w:tabs>
        <w:kinsoku/>
        <w:wordWrap/>
        <w:overflowPunct/>
        <w:topLinePunct w:val="0"/>
        <w:autoSpaceDE/>
        <w:autoSpaceDN/>
        <w:bidi w:val="0"/>
        <w:adjustRightInd w:val="0"/>
        <w:snapToGrid/>
        <w:spacing w:line="360" w:lineRule="auto"/>
        <w:ind w:firstLine="480" w:firstLineChars="200"/>
        <w:jc w:val="righ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金额单位：</w:t>
      </w:r>
      <w:r>
        <w:rPr>
          <w:rFonts w:hint="eastAsia" w:ascii="仿宋" w:hAnsi="仿宋" w:eastAsia="仿宋" w:cs="仿宋"/>
          <w:color w:val="auto"/>
          <w:sz w:val="24"/>
          <w:szCs w:val="24"/>
          <w:lang w:val="en-US" w:eastAsia="zh-CN"/>
        </w:rPr>
        <w:t>元</w:t>
      </w:r>
    </w:p>
    <w:tbl>
      <w:tblPr>
        <w:tblStyle w:val="962"/>
        <w:tblW w:w="927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8"/>
        <w:gridCol w:w="1934"/>
        <w:gridCol w:w="824"/>
        <w:gridCol w:w="993"/>
        <w:gridCol w:w="1736"/>
        <w:gridCol w:w="1482"/>
        <w:gridCol w:w="15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808" w:type="dxa"/>
            <w:vAlign w:val="center"/>
          </w:tcPr>
          <w:p>
            <w:pPr>
              <w:widowControl/>
              <w:kinsoku/>
              <w:autoSpaceDE/>
              <w:autoSpaceDN/>
              <w:adjustRightInd/>
              <w:snapToGrid/>
              <w:spacing w:line="240" w:lineRule="auto"/>
              <w:jc w:val="center"/>
              <w:textAlignment w:val="center"/>
              <w:rPr>
                <w:rFonts w:hint="eastAsia" w:ascii="仿宋" w:hAnsi="仿宋" w:eastAsia="仿宋" w:cs="仿宋"/>
                <w:b/>
                <w:bCs/>
                <w:snapToGrid/>
                <w:color w:val="auto"/>
                <w:kern w:val="0"/>
                <w:sz w:val="24"/>
                <w:szCs w:val="24"/>
                <w:lang w:val="en-US" w:eastAsia="zh-CN" w:bidi="ar-SA"/>
              </w:rPr>
            </w:pPr>
            <w:r>
              <w:rPr>
                <w:rFonts w:hint="eastAsia" w:ascii="仿宋" w:hAnsi="仿宋" w:eastAsia="仿宋" w:cs="仿宋"/>
                <w:b/>
                <w:bCs/>
                <w:snapToGrid/>
                <w:color w:val="auto"/>
                <w:kern w:val="0"/>
                <w:sz w:val="24"/>
                <w:szCs w:val="24"/>
                <w:lang w:val="en-US" w:eastAsia="zh-CN" w:bidi="ar-SA"/>
              </w:rPr>
              <w:t>序号</w:t>
            </w:r>
          </w:p>
        </w:tc>
        <w:tc>
          <w:tcPr>
            <w:tcW w:w="1934" w:type="dxa"/>
            <w:vAlign w:val="center"/>
          </w:tcPr>
          <w:p>
            <w:pPr>
              <w:widowControl/>
              <w:kinsoku/>
              <w:autoSpaceDE/>
              <w:autoSpaceDN/>
              <w:adjustRightInd/>
              <w:snapToGrid/>
              <w:spacing w:line="240" w:lineRule="auto"/>
              <w:jc w:val="center"/>
              <w:textAlignment w:val="center"/>
              <w:rPr>
                <w:rFonts w:hint="eastAsia" w:ascii="仿宋" w:hAnsi="仿宋" w:eastAsia="仿宋" w:cs="仿宋"/>
                <w:b/>
                <w:bCs/>
                <w:snapToGrid/>
                <w:color w:val="auto"/>
                <w:kern w:val="0"/>
                <w:sz w:val="24"/>
                <w:szCs w:val="24"/>
                <w:lang w:val="en-US" w:eastAsia="zh-CN" w:bidi="ar-SA"/>
              </w:rPr>
            </w:pPr>
            <w:r>
              <w:rPr>
                <w:rFonts w:hint="eastAsia" w:ascii="仿宋" w:hAnsi="仿宋" w:eastAsia="仿宋" w:cs="仿宋"/>
                <w:b/>
                <w:bCs/>
                <w:snapToGrid/>
                <w:color w:val="auto"/>
                <w:kern w:val="0"/>
                <w:sz w:val="24"/>
                <w:szCs w:val="24"/>
                <w:lang w:val="en-US" w:eastAsia="zh-CN" w:bidi="ar-SA"/>
              </w:rPr>
              <w:t>内容</w:t>
            </w:r>
          </w:p>
        </w:tc>
        <w:tc>
          <w:tcPr>
            <w:tcW w:w="824" w:type="dxa"/>
            <w:vAlign w:val="center"/>
          </w:tcPr>
          <w:p>
            <w:pPr>
              <w:widowControl/>
              <w:kinsoku/>
              <w:autoSpaceDE/>
              <w:autoSpaceDN/>
              <w:adjustRightInd/>
              <w:snapToGrid/>
              <w:spacing w:line="240" w:lineRule="auto"/>
              <w:jc w:val="center"/>
              <w:textAlignment w:val="center"/>
              <w:rPr>
                <w:rFonts w:hint="eastAsia" w:ascii="仿宋" w:hAnsi="仿宋" w:eastAsia="仿宋" w:cs="仿宋"/>
                <w:b/>
                <w:bCs/>
                <w:snapToGrid/>
                <w:color w:val="auto"/>
                <w:kern w:val="0"/>
                <w:sz w:val="24"/>
                <w:szCs w:val="24"/>
                <w:lang w:val="en-US" w:eastAsia="zh-CN" w:bidi="ar-SA"/>
              </w:rPr>
            </w:pPr>
            <w:r>
              <w:rPr>
                <w:rFonts w:hint="eastAsia" w:ascii="仿宋" w:hAnsi="仿宋" w:eastAsia="仿宋" w:cs="仿宋"/>
                <w:b/>
                <w:bCs/>
                <w:snapToGrid/>
                <w:color w:val="auto"/>
                <w:kern w:val="0"/>
                <w:sz w:val="24"/>
                <w:szCs w:val="24"/>
                <w:lang w:val="en-US" w:eastAsia="zh-CN" w:bidi="ar-SA"/>
              </w:rPr>
              <w:t>单位</w:t>
            </w:r>
          </w:p>
        </w:tc>
        <w:tc>
          <w:tcPr>
            <w:tcW w:w="993" w:type="dxa"/>
            <w:vAlign w:val="center"/>
          </w:tcPr>
          <w:p>
            <w:pPr>
              <w:widowControl/>
              <w:kinsoku/>
              <w:autoSpaceDE/>
              <w:autoSpaceDN/>
              <w:adjustRightInd/>
              <w:snapToGrid/>
              <w:spacing w:line="240" w:lineRule="auto"/>
              <w:jc w:val="center"/>
              <w:textAlignment w:val="center"/>
              <w:rPr>
                <w:rFonts w:hint="eastAsia" w:ascii="仿宋" w:hAnsi="仿宋" w:eastAsia="仿宋" w:cs="仿宋"/>
                <w:b/>
                <w:bCs/>
                <w:snapToGrid/>
                <w:color w:val="auto"/>
                <w:kern w:val="0"/>
                <w:sz w:val="24"/>
                <w:szCs w:val="24"/>
                <w:lang w:val="en-US" w:eastAsia="zh-CN" w:bidi="ar-SA"/>
              </w:rPr>
            </w:pPr>
            <w:r>
              <w:rPr>
                <w:rFonts w:hint="eastAsia" w:ascii="仿宋" w:hAnsi="仿宋" w:eastAsia="仿宋" w:cs="仿宋"/>
                <w:b/>
                <w:bCs/>
                <w:snapToGrid/>
                <w:color w:val="auto"/>
                <w:kern w:val="0"/>
                <w:sz w:val="24"/>
                <w:szCs w:val="24"/>
                <w:lang w:val="en-US" w:eastAsia="zh-CN" w:bidi="ar-SA"/>
              </w:rPr>
              <w:t>数量</w:t>
            </w:r>
          </w:p>
        </w:tc>
        <w:tc>
          <w:tcPr>
            <w:tcW w:w="1736" w:type="dxa"/>
            <w:vAlign w:val="center"/>
          </w:tcPr>
          <w:p>
            <w:pPr>
              <w:widowControl/>
              <w:kinsoku/>
              <w:autoSpaceDE/>
              <w:autoSpaceDN/>
              <w:adjustRightInd/>
              <w:snapToGrid/>
              <w:spacing w:line="240" w:lineRule="auto"/>
              <w:jc w:val="center"/>
              <w:textAlignment w:val="center"/>
              <w:rPr>
                <w:rFonts w:hint="eastAsia" w:ascii="仿宋" w:hAnsi="仿宋" w:eastAsia="仿宋" w:cs="仿宋"/>
                <w:b/>
                <w:bCs/>
                <w:snapToGrid/>
                <w:color w:val="auto"/>
                <w:kern w:val="0"/>
                <w:sz w:val="24"/>
                <w:szCs w:val="24"/>
                <w:lang w:val="en-US" w:eastAsia="zh-CN" w:bidi="ar-SA"/>
              </w:rPr>
            </w:pPr>
            <w:r>
              <w:rPr>
                <w:rFonts w:hint="eastAsia" w:ascii="仿宋" w:hAnsi="仿宋" w:eastAsia="仿宋" w:cs="仿宋"/>
                <w:b/>
                <w:bCs/>
                <w:snapToGrid/>
                <w:color w:val="auto"/>
                <w:kern w:val="0"/>
                <w:sz w:val="24"/>
                <w:szCs w:val="24"/>
                <w:lang w:val="en-US" w:eastAsia="zh-CN" w:bidi="ar-SA"/>
              </w:rPr>
              <w:t>三年总服务费用（元）</w:t>
            </w:r>
          </w:p>
        </w:tc>
        <w:tc>
          <w:tcPr>
            <w:tcW w:w="1482" w:type="dxa"/>
            <w:vAlign w:val="center"/>
          </w:tcPr>
          <w:p>
            <w:pPr>
              <w:widowControl/>
              <w:kinsoku/>
              <w:autoSpaceDE/>
              <w:autoSpaceDN/>
              <w:adjustRightInd/>
              <w:snapToGrid/>
              <w:spacing w:line="240" w:lineRule="auto"/>
              <w:jc w:val="center"/>
              <w:textAlignment w:val="center"/>
              <w:rPr>
                <w:rFonts w:hint="eastAsia" w:ascii="仿宋" w:hAnsi="仿宋" w:eastAsia="仿宋" w:cs="仿宋"/>
                <w:b/>
                <w:bCs/>
                <w:snapToGrid/>
                <w:color w:val="auto"/>
                <w:kern w:val="0"/>
                <w:sz w:val="24"/>
                <w:szCs w:val="24"/>
                <w:lang w:val="en-US" w:eastAsia="zh-CN" w:bidi="ar-SA"/>
              </w:rPr>
            </w:pPr>
            <w:r>
              <w:rPr>
                <w:rFonts w:hint="eastAsia" w:ascii="仿宋" w:hAnsi="仿宋" w:eastAsia="仿宋" w:cs="仿宋"/>
                <w:b/>
                <w:bCs/>
                <w:snapToGrid/>
                <w:color w:val="auto"/>
                <w:kern w:val="0"/>
                <w:sz w:val="24"/>
                <w:szCs w:val="24"/>
                <w:lang w:val="en-US" w:eastAsia="zh-CN" w:bidi="ar-SA"/>
              </w:rPr>
              <w:t>单年服务费用（元）</w:t>
            </w:r>
          </w:p>
        </w:tc>
        <w:tc>
          <w:tcPr>
            <w:tcW w:w="1500" w:type="dxa"/>
            <w:vAlign w:val="center"/>
          </w:tcPr>
          <w:p>
            <w:pPr>
              <w:widowControl/>
              <w:kinsoku/>
              <w:autoSpaceDE/>
              <w:autoSpaceDN/>
              <w:adjustRightInd/>
              <w:snapToGrid/>
              <w:spacing w:line="240" w:lineRule="auto"/>
              <w:jc w:val="center"/>
              <w:textAlignment w:val="center"/>
              <w:rPr>
                <w:rFonts w:hint="eastAsia" w:ascii="仿宋" w:hAnsi="仿宋" w:eastAsia="仿宋" w:cs="仿宋"/>
                <w:b/>
                <w:bCs/>
                <w:snapToGrid/>
                <w:color w:val="auto"/>
                <w:kern w:val="0"/>
                <w:sz w:val="24"/>
                <w:szCs w:val="24"/>
                <w:lang w:val="en-US" w:eastAsia="zh-CN" w:bidi="ar-SA"/>
              </w:rPr>
            </w:pPr>
            <w:r>
              <w:rPr>
                <w:rFonts w:hint="eastAsia" w:ascii="仿宋" w:hAnsi="仿宋" w:eastAsia="仿宋" w:cs="仿宋"/>
                <w:b/>
                <w:bCs/>
                <w:snapToGrid/>
                <w:color w:val="auto"/>
                <w:kern w:val="0"/>
                <w:sz w:val="24"/>
                <w:szCs w:val="24"/>
                <w:lang w:val="en-US" w:eastAsia="zh-CN" w:bidi="ar-SA"/>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1" w:hRule="atLeast"/>
        </w:trPr>
        <w:tc>
          <w:tcPr>
            <w:tcW w:w="808" w:type="dxa"/>
            <w:vAlign w:val="center"/>
          </w:tcPr>
          <w:p>
            <w:pPr>
              <w:spacing w:before="72" w:line="182" w:lineRule="auto"/>
              <w:ind w:left="391"/>
              <w:jc w:val="both"/>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934" w:type="dxa"/>
            <w:vAlign w:val="center"/>
          </w:tcPr>
          <w:p>
            <w:pPr>
              <w:widowControl/>
              <w:kinsoku/>
              <w:autoSpaceDE/>
              <w:autoSpaceDN/>
              <w:adjustRightInd/>
              <w:snapToGrid/>
              <w:spacing w:line="240" w:lineRule="auto"/>
              <w:jc w:val="center"/>
              <w:textAlignment w:val="center"/>
              <w:rPr>
                <w:rFonts w:hint="eastAsia" w:ascii="仿宋" w:hAnsi="仿宋" w:eastAsia="仿宋" w:cs="仿宋"/>
                <w:color w:val="auto"/>
                <w:sz w:val="24"/>
                <w:szCs w:val="24"/>
              </w:rPr>
            </w:pPr>
            <w:r>
              <w:rPr>
                <w:rFonts w:hint="eastAsia" w:ascii="仿宋" w:hAnsi="仿宋" w:eastAsia="仿宋" w:cs="仿宋"/>
                <w:b w:val="0"/>
                <w:bCs w:val="0"/>
                <w:snapToGrid/>
                <w:color w:val="auto"/>
                <w:kern w:val="0"/>
                <w:sz w:val="24"/>
                <w:szCs w:val="24"/>
                <w:highlight w:val="none"/>
                <w:lang w:val="en-US" w:eastAsia="zh-CN" w:bidi="ar-SA"/>
              </w:rPr>
              <w:t>湖墅街道仓基新村社区驻点服务项目</w:t>
            </w:r>
          </w:p>
        </w:tc>
        <w:tc>
          <w:tcPr>
            <w:tcW w:w="824" w:type="dxa"/>
            <w:vAlign w:val="center"/>
          </w:tcPr>
          <w:p>
            <w:pPr>
              <w:spacing w:before="72" w:line="225"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项</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w:t>
            </w:r>
          </w:p>
        </w:tc>
        <w:tc>
          <w:tcPr>
            <w:tcW w:w="173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color w:val="auto"/>
                <w:sz w:val="24"/>
                <w:szCs w:val="24"/>
              </w:rPr>
            </w:pP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仿宋" w:hAnsi="仿宋" w:eastAsia="仿宋" w:cs="仿宋"/>
                <w:color w:val="auto"/>
                <w:sz w:val="24"/>
                <w:szCs w:val="24"/>
                <w:lang w:val="en-US" w:eastAsia="zh-CN"/>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before="24" w:line="252" w:lineRule="auto"/>
              <w:ind w:left="136" w:right="170" w:firstLine="0"/>
              <w:jc w:val="center"/>
              <w:textAlignment w:val="auto"/>
              <w:rPr>
                <w:rFonts w:hint="eastAsia" w:ascii="仿宋" w:hAnsi="仿宋" w:eastAsia="仿宋" w:cs="仿宋"/>
                <w:color w:val="auto"/>
                <w:sz w:val="24"/>
                <w:szCs w:val="24"/>
              </w:rPr>
            </w:pPr>
            <w:r>
              <w:rPr>
                <w:rFonts w:hint="eastAsia" w:ascii="仿宋" w:hAnsi="仿宋" w:eastAsia="仿宋" w:cs="仿宋"/>
                <w:color w:val="auto"/>
                <w:spacing w:val="12"/>
                <w:sz w:val="24"/>
                <w:szCs w:val="24"/>
              </w:rPr>
              <w:t>服</w:t>
            </w:r>
            <w:r>
              <w:rPr>
                <w:rFonts w:hint="eastAsia" w:ascii="仿宋" w:hAnsi="仿宋" w:eastAsia="仿宋" w:cs="仿宋"/>
                <w:color w:val="auto"/>
                <w:spacing w:val="7"/>
                <w:sz w:val="24"/>
                <w:szCs w:val="24"/>
              </w:rPr>
              <w:t>务期</w:t>
            </w:r>
            <w:r>
              <w:rPr>
                <w:rFonts w:hint="eastAsia" w:ascii="仿宋" w:hAnsi="仿宋" w:eastAsia="仿宋" w:cs="仿宋"/>
                <w:color w:val="auto"/>
                <w:spacing w:val="7"/>
                <w:sz w:val="24"/>
                <w:szCs w:val="24"/>
                <w:lang w:eastAsia="zh-CN"/>
              </w:rPr>
              <w:t>三</w:t>
            </w:r>
            <w:r>
              <w:rPr>
                <w:rFonts w:hint="eastAsia" w:ascii="仿宋" w:hAnsi="仿宋" w:eastAsia="仿宋" w:cs="仿宋"/>
                <w:color w:val="auto"/>
                <w:spacing w:val="7"/>
                <w:sz w:val="24"/>
                <w:szCs w:val="24"/>
              </w:rPr>
              <w:t>年</w:t>
            </w:r>
            <w:r>
              <w:rPr>
                <w:rFonts w:hint="eastAsia" w:ascii="仿宋" w:hAnsi="仿宋" w:eastAsia="仿宋" w:cs="仿宋"/>
                <w:color w:val="auto"/>
                <w:spacing w:val="7"/>
                <w:sz w:val="24"/>
                <w:szCs w:val="24"/>
                <w:lang w:eastAsia="zh-CN"/>
              </w:rPr>
              <w:t>，服务期三年到期后，乙方拥有优先续约权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4559" w:type="dxa"/>
            <w:gridSpan w:val="4"/>
            <w:vAlign w:val="center"/>
          </w:tcPr>
          <w:p>
            <w:pPr>
              <w:widowControl/>
              <w:kinsoku/>
              <w:autoSpaceDE/>
              <w:autoSpaceDN/>
              <w:adjustRightInd/>
              <w:snapToGrid/>
              <w:spacing w:line="240" w:lineRule="auto"/>
              <w:jc w:val="center"/>
              <w:textAlignment w:val="center"/>
              <w:rPr>
                <w:rFonts w:hint="eastAsia" w:ascii="仿宋" w:hAnsi="仿宋" w:eastAsia="仿宋" w:cs="仿宋"/>
                <w:b w:val="0"/>
                <w:bCs w:val="0"/>
                <w:snapToGrid/>
                <w:color w:val="auto"/>
                <w:kern w:val="0"/>
                <w:sz w:val="24"/>
                <w:szCs w:val="24"/>
                <w:highlight w:val="none"/>
                <w:lang w:val="en-US" w:eastAsia="zh-CN" w:bidi="ar-SA"/>
              </w:rPr>
            </w:pPr>
            <w:r>
              <w:rPr>
                <w:rFonts w:hint="eastAsia" w:ascii="仿宋" w:hAnsi="仿宋" w:eastAsia="仿宋" w:cs="仿宋"/>
                <w:b w:val="0"/>
                <w:bCs w:val="0"/>
                <w:snapToGrid/>
                <w:color w:val="auto"/>
                <w:kern w:val="0"/>
                <w:sz w:val="24"/>
                <w:szCs w:val="24"/>
                <w:highlight w:val="none"/>
                <w:lang w:val="en-US" w:eastAsia="zh-CN" w:bidi="ar-SA"/>
              </w:rPr>
              <w:t>合计 （元）</w:t>
            </w:r>
          </w:p>
        </w:tc>
        <w:tc>
          <w:tcPr>
            <w:tcW w:w="4718" w:type="dxa"/>
            <w:gridSpan w:val="3"/>
            <w:vAlign w:val="center"/>
          </w:tcPr>
          <w:p>
            <w:pPr>
              <w:widowControl/>
              <w:kinsoku/>
              <w:autoSpaceDE/>
              <w:autoSpaceDN/>
              <w:adjustRightInd/>
              <w:snapToGrid/>
              <w:spacing w:line="240" w:lineRule="auto"/>
              <w:jc w:val="center"/>
              <w:textAlignment w:val="center"/>
              <w:rPr>
                <w:rFonts w:hint="eastAsia" w:ascii="仿宋" w:hAnsi="仿宋" w:eastAsia="仿宋" w:cs="仿宋"/>
                <w:b w:val="0"/>
                <w:bCs w:val="0"/>
                <w:snapToGrid/>
                <w:color w:val="auto"/>
                <w:kern w:val="0"/>
                <w:sz w:val="24"/>
                <w:szCs w:val="24"/>
                <w:highlight w:val="none"/>
                <w:lang w:val="en-US" w:eastAsia="zh-CN" w:bidi="ar-SA"/>
              </w:rPr>
            </w:pPr>
          </w:p>
        </w:tc>
      </w:tr>
    </w:tbl>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注：</w:t>
      </w:r>
      <w:r>
        <w:rPr>
          <w:rFonts w:hint="eastAsia" w:ascii="仿宋" w:hAnsi="仿宋" w:eastAsia="仿宋" w:cs="仿宋"/>
          <w:color w:val="auto"/>
          <w:sz w:val="24"/>
          <w:szCs w:val="24"/>
          <w:lang w:eastAsia="zh-CN"/>
        </w:rPr>
        <w:t>本项目</w:t>
      </w:r>
      <w:r>
        <w:rPr>
          <w:rFonts w:hint="eastAsia" w:ascii="仿宋" w:hAnsi="仿宋" w:eastAsia="仿宋" w:cs="仿宋"/>
          <w:color w:val="auto"/>
          <w:sz w:val="24"/>
          <w:szCs w:val="24"/>
          <w:lang w:val="en-US" w:eastAsia="zh-CN"/>
        </w:rPr>
        <w:t>单年服务费</w:t>
      </w:r>
      <w:r>
        <w:rPr>
          <w:rFonts w:hint="eastAsia" w:ascii="仿宋" w:hAnsi="仿宋" w:eastAsia="仿宋" w:cs="仿宋"/>
          <w:color w:val="auto"/>
          <w:sz w:val="24"/>
          <w:szCs w:val="24"/>
          <w:lang w:eastAsia="zh-CN"/>
        </w:rPr>
        <w:t>合同价人民币</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元/年（大写：</w:t>
      </w:r>
      <w:r>
        <w:rPr>
          <w:rFonts w:hint="eastAsia" w:ascii="仿宋" w:hAnsi="仿宋" w:eastAsia="仿宋" w:cs="仿宋"/>
          <w:color w:val="auto"/>
          <w:sz w:val="24"/>
          <w:szCs w:val="24"/>
          <w:u w:val="single"/>
          <w:lang w:val="en-US" w:eastAsia="zh-CN"/>
        </w:rPr>
        <w:t xml:space="preserve">       元整</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以上费用报价含税。</w:t>
      </w:r>
      <w:r>
        <w:rPr>
          <w:rFonts w:hint="eastAsia" w:ascii="仿宋" w:hAnsi="仿宋" w:eastAsia="仿宋" w:cs="仿宋"/>
          <w:color w:val="auto"/>
          <w:sz w:val="24"/>
          <w:szCs w:val="24"/>
          <w:lang w:val="en-US" w:eastAsia="zh-CN"/>
        </w:rPr>
        <w:t>合同价款包含但不限于整个服务期内所需的一切人工费用（含工资、加班、保险等全部费用）、策划费、管理费、工具、设备、保险、交通、利润、验收、税金（包含须由甲方承担的各项税费）、其他辅助工作等完成本项目的所有费用。除本协议外，乙方不再以任何理由、形式收费。</w:t>
      </w:r>
    </w:p>
    <w:p>
      <w:pPr>
        <w:pageBreakBefore w:val="0"/>
        <w:widowControl w:val="0"/>
        <w:tabs>
          <w:tab w:val="left" w:pos="744"/>
        </w:tabs>
        <w:kinsoku/>
        <w:wordWrap/>
        <w:overflowPunct/>
        <w:topLinePunct w:val="0"/>
        <w:autoSpaceDE/>
        <w:autoSpaceDN/>
        <w:bidi w:val="0"/>
        <w:snapToGrid/>
        <w:spacing w:line="360" w:lineRule="auto"/>
        <w:ind w:left="0" w:firstLine="482" w:firstLineChars="200"/>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第二条 服务期限</w:t>
      </w:r>
    </w:p>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服务期三年为限。自 ______ 年 ___ 月___日起至 _____ 年___ 月____日止。甲方按照招标文件进行考核，如不能达到招标文件及甲方要求的，甲方有权终止协议。即年度合同服务期限届满前一个月，甲方可根据乙方在上一阶段的合同履约、考核情况（年度考核不低于90分）等决定是否继续履行。</w:t>
      </w:r>
    </w:p>
    <w:p>
      <w:pPr>
        <w:keepNext w:val="0"/>
        <w:keepLines w:val="0"/>
        <w:pageBreakBefore w:val="0"/>
        <w:widowControl w:val="0"/>
        <w:tabs>
          <w:tab w:val="left" w:pos="744"/>
        </w:tabs>
        <w:kinsoku/>
        <w:wordWrap/>
        <w:overflowPunct/>
        <w:topLinePunct w:val="0"/>
        <w:autoSpaceDE/>
        <w:autoSpaceDN/>
        <w:bidi w:val="0"/>
        <w:adjustRightInd/>
        <w:snapToGrid/>
        <w:spacing w:line="360" w:lineRule="auto"/>
        <w:ind w:left="0" w:firstLine="482" w:firstLineChars="200"/>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第三条</w:t>
      </w:r>
      <w:r>
        <w:rPr>
          <w:rFonts w:hint="eastAsia" w:ascii="仿宋" w:hAnsi="仿宋" w:eastAsia="仿宋" w:cs="仿宋"/>
          <w:b/>
          <w:bCs/>
          <w:color w:val="auto"/>
          <w:sz w:val="24"/>
          <w:szCs w:val="24"/>
          <w:lang w:val="en-US" w:eastAsia="zh-CN"/>
        </w:rPr>
        <w:t xml:space="preserve"> 服务</w:t>
      </w:r>
      <w:r>
        <w:rPr>
          <w:rFonts w:hint="eastAsia" w:ascii="仿宋" w:hAnsi="仿宋" w:eastAsia="仿宋" w:cs="仿宋"/>
          <w:b/>
          <w:bCs/>
          <w:color w:val="auto"/>
          <w:sz w:val="24"/>
          <w:szCs w:val="24"/>
        </w:rPr>
        <w:t>地点</w:t>
      </w:r>
    </w:p>
    <w:p>
      <w:pPr>
        <w:keepNext w:val="0"/>
        <w:keepLines w:val="0"/>
        <w:pageBreakBefore w:val="0"/>
        <w:widowControl w:val="0"/>
        <w:tabs>
          <w:tab w:val="left" w:pos="744"/>
        </w:tabs>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b/>
          <w:bCs/>
          <w:color w:val="auto"/>
          <w:sz w:val="24"/>
          <w:szCs w:val="24"/>
        </w:rPr>
      </w:pPr>
      <w:r>
        <w:rPr>
          <w:rFonts w:hint="eastAsia" w:ascii="仿宋" w:hAnsi="仿宋" w:eastAsia="仿宋" w:cs="仿宋"/>
          <w:color w:val="auto"/>
          <w:sz w:val="24"/>
          <w:szCs w:val="24"/>
          <w:lang w:val="en-US" w:eastAsia="zh-CN"/>
        </w:rPr>
        <w:t>甲方向乙</w:t>
      </w:r>
      <w:r>
        <w:rPr>
          <w:rFonts w:hint="eastAsia" w:ascii="仿宋" w:hAnsi="仿宋" w:eastAsia="仿宋" w:cs="仿宋"/>
          <w:color w:val="auto"/>
          <w:sz w:val="24"/>
          <w:szCs w:val="24"/>
          <w:highlight w:val="none"/>
          <w:lang w:val="en-US" w:eastAsia="zh-CN"/>
        </w:rPr>
        <w:t>方无偿提供甲方</w:t>
      </w:r>
      <w:r>
        <w:rPr>
          <w:rFonts w:hint="eastAsia" w:ascii="仿宋" w:hAnsi="仿宋" w:eastAsia="仿宋" w:cs="仿宋"/>
          <w:b w:val="0"/>
          <w:bCs w:val="0"/>
          <w:color w:val="auto"/>
          <w:sz w:val="24"/>
          <w:szCs w:val="24"/>
          <w:highlight w:val="none"/>
          <w:u w:val="none"/>
          <w:lang w:val="en-US" w:eastAsia="zh-CN"/>
        </w:rPr>
        <w:t>仓基新村社区部分公共场所</w:t>
      </w:r>
      <w:r>
        <w:rPr>
          <w:rFonts w:hint="eastAsia" w:ascii="仿宋" w:hAnsi="仿宋" w:eastAsia="仿宋" w:cs="仿宋"/>
          <w:color w:val="auto"/>
          <w:sz w:val="24"/>
          <w:szCs w:val="24"/>
          <w:highlight w:val="none"/>
          <w:lang w:val="en-US" w:eastAsia="zh-CN"/>
        </w:rPr>
        <w:t>作为开展本项目合作的地点（包含</w:t>
      </w:r>
      <w:r>
        <w:rPr>
          <w:rFonts w:hint="eastAsia" w:ascii="仿宋" w:hAnsi="仿宋" w:eastAsia="仿宋" w:cs="仿宋"/>
          <w:b w:val="0"/>
          <w:bCs w:val="0"/>
          <w:color w:val="auto"/>
          <w:sz w:val="24"/>
          <w:szCs w:val="24"/>
          <w:highlight w:val="none"/>
          <w:lang w:val="en-US" w:eastAsia="zh-CN"/>
        </w:rPr>
        <w:t>拱墅区湖墅街道湖墅南路仓基新村66幢大运河幸福家园、仓基新村社区百姓健身房、仓基新村6号楼）</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甲方指定地点，乙方实施，双方代表必须进行现场验核</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在</w:t>
      </w:r>
      <w:r>
        <w:rPr>
          <w:rFonts w:hint="eastAsia" w:ascii="仿宋" w:hAnsi="仿宋" w:eastAsia="仿宋" w:cs="仿宋"/>
          <w:color w:val="auto"/>
          <w:sz w:val="24"/>
          <w:szCs w:val="24"/>
          <w:highlight w:val="none"/>
          <w:lang w:val="en-US" w:eastAsia="zh-CN"/>
        </w:rPr>
        <w:t>入驻</w:t>
      </w:r>
      <w:r>
        <w:rPr>
          <w:rFonts w:hint="eastAsia" w:ascii="仿宋" w:hAnsi="仿宋" w:eastAsia="仿宋" w:cs="仿宋"/>
          <w:color w:val="auto"/>
          <w:sz w:val="24"/>
          <w:szCs w:val="24"/>
          <w:highlight w:val="none"/>
        </w:rPr>
        <w:t>前</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甲乙双方共同</w:t>
      </w:r>
      <w:r>
        <w:rPr>
          <w:rFonts w:hint="eastAsia" w:ascii="仿宋" w:hAnsi="仿宋" w:eastAsia="仿宋" w:cs="仿宋"/>
          <w:color w:val="auto"/>
          <w:sz w:val="24"/>
          <w:szCs w:val="24"/>
        </w:rPr>
        <w:t>清点社区场景内固定资产，</w:t>
      </w:r>
      <w:r>
        <w:rPr>
          <w:rFonts w:hint="eastAsia" w:ascii="仿宋" w:hAnsi="仿宋" w:eastAsia="仿宋" w:cs="仿宋"/>
          <w:color w:val="auto"/>
          <w:sz w:val="24"/>
          <w:szCs w:val="24"/>
          <w:lang w:val="en-US" w:eastAsia="zh-CN"/>
        </w:rPr>
        <w:t>并制作固定资产表作为本合同的附件，</w:t>
      </w:r>
      <w:r>
        <w:rPr>
          <w:rFonts w:hint="eastAsia" w:ascii="仿宋" w:hAnsi="仿宋" w:eastAsia="仿宋" w:cs="仿宋"/>
          <w:color w:val="auto"/>
          <w:sz w:val="24"/>
          <w:szCs w:val="24"/>
        </w:rPr>
        <w:t>除运营过程中自然折旧及乙方没有恶意损坏外，在合同到期后甲乙双方再次清点固定资产，核对无误后乙方归还给甲方。</w:t>
      </w:r>
      <w:r>
        <w:rPr>
          <w:rFonts w:hint="eastAsia" w:ascii="仿宋" w:hAnsi="仿宋" w:eastAsia="仿宋" w:cs="仿宋"/>
          <w:color w:val="auto"/>
          <w:sz w:val="24"/>
          <w:szCs w:val="24"/>
          <w:lang w:val="en-US" w:eastAsia="zh-CN"/>
        </w:rPr>
        <w:t>乙方添置的设备设施不在清点的范围之内。</w:t>
      </w:r>
    </w:p>
    <w:p>
      <w:pPr>
        <w:keepNext w:val="0"/>
        <w:keepLines w:val="0"/>
        <w:pageBreakBefore w:val="0"/>
        <w:widowControl w:val="0"/>
        <w:tabs>
          <w:tab w:val="left" w:pos="744"/>
        </w:tabs>
        <w:kinsoku/>
        <w:wordWrap/>
        <w:overflowPunct/>
        <w:topLinePunct w:val="0"/>
        <w:autoSpaceDE/>
        <w:autoSpaceDN/>
        <w:bidi w:val="0"/>
        <w:adjustRightInd/>
        <w:snapToGrid/>
        <w:spacing w:line="360" w:lineRule="auto"/>
        <w:ind w:left="0" w:firstLine="482" w:firstLineChars="200"/>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第四条</w:t>
      </w:r>
      <w:r>
        <w:rPr>
          <w:rFonts w:hint="eastAsia" w:ascii="仿宋" w:hAnsi="仿宋" w:eastAsia="仿宋" w:cs="仿宋"/>
          <w:b/>
          <w:bCs/>
          <w:color w:val="auto"/>
          <w:sz w:val="24"/>
          <w:szCs w:val="24"/>
          <w:lang w:val="en-US" w:eastAsia="zh-CN"/>
        </w:rPr>
        <w:t xml:space="preserve"> </w:t>
      </w:r>
      <w:r>
        <w:rPr>
          <w:rFonts w:hint="eastAsia" w:ascii="仿宋" w:hAnsi="仿宋" w:eastAsia="仿宋" w:cs="仿宋"/>
          <w:b/>
          <w:bCs/>
          <w:color w:val="auto"/>
          <w:sz w:val="24"/>
          <w:szCs w:val="24"/>
        </w:rPr>
        <w:t>服务内容及要求</w:t>
      </w:r>
    </w:p>
    <w:p>
      <w:pPr>
        <w:keepNext w:val="0"/>
        <w:keepLines w:val="0"/>
        <w:pageBreakBefore w:val="0"/>
        <w:widowControl w:val="0"/>
        <w:tabs>
          <w:tab w:val="left" w:pos="744"/>
        </w:tabs>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b w:val="0"/>
          <w:bCs w:val="0"/>
          <w:color w:val="auto"/>
          <w:sz w:val="24"/>
          <w:szCs w:val="24"/>
          <w:highlight w:val="none"/>
          <w:u w:val="none"/>
          <w:lang w:val="en-US" w:eastAsia="zh-CN"/>
        </w:rPr>
      </w:pPr>
      <w:r>
        <w:rPr>
          <w:rFonts w:hint="eastAsia" w:ascii="仿宋" w:hAnsi="仿宋" w:eastAsia="仿宋" w:cs="仿宋"/>
          <w:b w:val="0"/>
          <w:bCs w:val="0"/>
          <w:color w:val="auto"/>
          <w:sz w:val="24"/>
          <w:szCs w:val="24"/>
          <w:u w:val="none"/>
          <w:lang w:val="en-US" w:eastAsia="zh-CN"/>
        </w:rPr>
        <w:t>1、项目人员配备：要求运营方在项</w:t>
      </w:r>
      <w:r>
        <w:rPr>
          <w:rFonts w:hint="eastAsia" w:ascii="仿宋" w:hAnsi="仿宋" w:eastAsia="仿宋" w:cs="仿宋"/>
          <w:b w:val="0"/>
          <w:bCs w:val="0"/>
          <w:color w:val="auto"/>
          <w:sz w:val="24"/>
          <w:szCs w:val="24"/>
          <w:highlight w:val="none"/>
          <w:u w:val="none"/>
          <w:lang w:val="en-US" w:eastAsia="zh-CN"/>
        </w:rPr>
        <w:t>目地点配置不少于5人的运营团队（行政主管1人；前台接待1人；活动主管1人；老师2人），且需由具有场地经营与运维能力的领队人做好团队管理工作。所有工作人员由乙方聘用，聘用人员按当地政府相应劳资政策执行，如发生劳动（雇佣）纠纷及人身意外伤亡事故在内的任何纠纷均由乙方承担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textAlignment w:val="auto"/>
        <w:rPr>
          <w:rFonts w:hint="eastAsia" w:ascii="仿宋" w:hAnsi="仿宋" w:eastAsia="仿宋" w:cs="仿宋"/>
          <w:b w:val="0"/>
          <w:bCs w:val="0"/>
          <w:color w:val="auto"/>
          <w:sz w:val="24"/>
          <w:szCs w:val="24"/>
          <w:highlight w:val="none"/>
          <w:u w:val="none"/>
          <w:lang w:val="en-US" w:eastAsia="zh-CN"/>
        </w:rPr>
      </w:pPr>
      <w:r>
        <w:rPr>
          <w:rFonts w:hint="eastAsia" w:ascii="仿宋" w:hAnsi="仿宋" w:eastAsia="仿宋" w:cs="仿宋"/>
          <w:b w:val="0"/>
          <w:bCs w:val="0"/>
          <w:color w:val="auto"/>
          <w:sz w:val="24"/>
          <w:szCs w:val="24"/>
          <w:highlight w:val="none"/>
          <w:u w:val="none"/>
          <w:lang w:val="en-US" w:eastAsia="zh-CN"/>
        </w:rPr>
        <w:t>2、开放时间：仓基新村66幢，仓基社区百姓健身房，一周七天均需开放，但国家法定节假日如春节等可不开放，每日开放时间按照基层公共服务文化站和百姓健身房考核要求落实。</w:t>
      </w:r>
    </w:p>
    <w:p>
      <w:pPr>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textAlignment w:val="auto"/>
        <w:rPr>
          <w:rFonts w:hint="eastAsia" w:ascii="仿宋" w:hAnsi="仿宋" w:eastAsia="仿宋" w:cs="仿宋"/>
          <w:b w:val="0"/>
          <w:bCs w:val="0"/>
          <w:color w:val="auto"/>
          <w:sz w:val="24"/>
          <w:szCs w:val="24"/>
          <w:u w:val="none"/>
          <w:lang w:eastAsia="zh-CN"/>
        </w:rPr>
      </w:pPr>
      <w:r>
        <w:rPr>
          <w:rFonts w:hint="eastAsia" w:ascii="仿宋" w:hAnsi="仿宋" w:eastAsia="仿宋" w:cs="仿宋"/>
          <w:b w:val="0"/>
          <w:bCs w:val="0"/>
          <w:color w:val="auto"/>
          <w:sz w:val="24"/>
          <w:szCs w:val="24"/>
          <w:highlight w:val="none"/>
          <w:u w:val="none"/>
          <w:lang w:val="en-US" w:eastAsia="zh-CN"/>
        </w:rPr>
        <w:t>3、服务内容：</w:t>
      </w:r>
      <w:r>
        <w:rPr>
          <w:rFonts w:hint="eastAsia" w:ascii="仿宋" w:hAnsi="仿宋" w:eastAsia="仿宋" w:cs="仿宋"/>
          <w:b w:val="0"/>
          <w:bCs w:val="0"/>
          <w:color w:val="auto"/>
          <w:sz w:val="24"/>
          <w:szCs w:val="24"/>
          <w:highlight w:val="none"/>
          <w:u w:val="none"/>
        </w:rPr>
        <w:t>甲方委托乙方负责</w:t>
      </w:r>
      <w:r>
        <w:rPr>
          <w:rFonts w:hint="eastAsia" w:ascii="仿宋" w:hAnsi="仿宋" w:eastAsia="仿宋" w:cs="仿宋"/>
          <w:b w:val="0"/>
          <w:bCs w:val="0"/>
          <w:color w:val="auto"/>
          <w:sz w:val="24"/>
          <w:szCs w:val="24"/>
          <w:highlight w:val="none"/>
          <w:u w:val="none"/>
          <w:lang w:eastAsia="zh-CN"/>
        </w:rPr>
        <w:t>湖墅街道仓基新村</w:t>
      </w:r>
      <w:r>
        <w:rPr>
          <w:rFonts w:hint="eastAsia" w:ascii="仿宋" w:hAnsi="仿宋" w:eastAsia="仿宋" w:cs="仿宋"/>
          <w:b w:val="0"/>
          <w:bCs w:val="0"/>
          <w:color w:val="auto"/>
          <w:sz w:val="24"/>
          <w:szCs w:val="24"/>
          <w:highlight w:val="none"/>
          <w:u w:val="none"/>
          <w:lang w:val="en-US" w:eastAsia="zh-CN"/>
        </w:rPr>
        <w:t>部分公共</w:t>
      </w:r>
      <w:r>
        <w:rPr>
          <w:rFonts w:hint="eastAsia" w:ascii="仿宋" w:hAnsi="仿宋" w:eastAsia="仿宋" w:cs="仿宋"/>
          <w:b w:val="0"/>
          <w:bCs w:val="0"/>
          <w:color w:val="auto"/>
          <w:sz w:val="24"/>
          <w:szCs w:val="24"/>
          <w:highlight w:val="none"/>
          <w:u w:val="none"/>
        </w:rPr>
        <w:t>场地日常管理、</w:t>
      </w:r>
      <w:r>
        <w:rPr>
          <w:rFonts w:hint="eastAsia" w:ascii="仿宋" w:hAnsi="仿宋" w:eastAsia="仿宋" w:cs="仿宋"/>
          <w:b w:val="0"/>
          <w:bCs w:val="0"/>
          <w:color w:val="auto"/>
          <w:sz w:val="24"/>
          <w:szCs w:val="24"/>
          <w:highlight w:val="none"/>
          <w:u w:val="none"/>
          <w:lang w:eastAsia="zh-CN"/>
        </w:rPr>
        <w:t>为老服务（老年人</w:t>
      </w:r>
      <w:r>
        <w:rPr>
          <w:rFonts w:hint="eastAsia" w:ascii="仿宋" w:hAnsi="仿宋" w:eastAsia="仿宋" w:cs="仿宋"/>
          <w:b w:val="0"/>
          <w:bCs w:val="0"/>
          <w:color w:val="auto"/>
          <w:sz w:val="24"/>
          <w:szCs w:val="24"/>
          <w:highlight w:val="none"/>
          <w:u w:val="none"/>
        </w:rPr>
        <w:t>健康促进、健康管理、预防保健、</w:t>
      </w:r>
      <w:r>
        <w:rPr>
          <w:rFonts w:hint="eastAsia" w:ascii="仿宋" w:hAnsi="仿宋" w:eastAsia="仿宋" w:cs="仿宋"/>
          <w:b w:val="0"/>
          <w:bCs w:val="0"/>
          <w:color w:val="auto"/>
          <w:sz w:val="24"/>
          <w:szCs w:val="24"/>
          <w:highlight w:val="none"/>
          <w:u w:val="none"/>
          <w:lang w:eastAsia="zh-CN"/>
        </w:rPr>
        <w:t>文化</w:t>
      </w:r>
      <w:r>
        <w:rPr>
          <w:rFonts w:hint="eastAsia" w:ascii="仿宋" w:hAnsi="仿宋" w:eastAsia="仿宋" w:cs="仿宋"/>
          <w:b w:val="0"/>
          <w:bCs w:val="0"/>
          <w:color w:val="auto"/>
          <w:sz w:val="24"/>
          <w:szCs w:val="24"/>
          <w:highlight w:val="none"/>
          <w:u w:val="none"/>
        </w:rPr>
        <w:t>娱乐活动等身心灵服</w:t>
      </w:r>
      <w:r>
        <w:rPr>
          <w:rFonts w:hint="eastAsia" w:ascii="仿宋" w:hAnsi="仿宋" w:eastAsia="仿宋" w:cs="仿宋"/>
          <w:b w:val="0"/>
          <w:bCs w:val="0"/>
          <w:color w:val="auto"/>
          <w:sz w:val="24"/>
          <w:szCs w:val="24"/>
          <w:u w:val="none"/>
        </w:rPr>
        <w:t>务</w:t>
      </w:r>
      <w:r>
        <w:rPr>
          <w:rFonts w:hint="eastAsia" w:ascii="仿宋" w:hAnsi="仿宋" w:eastAsia="仿宋" w:cs="仿宋"/>
          <w:b w:val="0"/>
          <w:bCs w:val="0"/>
          <w:color w:val="auto"/>
          <w:sz w:val="24"/>
          <w:szCs w:val="24"/>
          <w:u w:val="none"/>
          <w:lang w:eastAsia="zh-CN"/>
        </w:rPr>
        <w:t>），</w:t>
      </w:r>
      <w:r>
        <w:rPr>
          <w:rFonts w:hint="eastAsia" w:ascii="仿宋" w:hAnsi="仿宋" w:eastAsia="仿宋" w:cs="仿宋"/>
          <w:b w:val="0"/>
          <w:bCs w:val="0"/>
          <w:color w:val="auto"/>
          <w:sz w:val="24"/>
          <w:szCs w:val="24"/>
          <w:u w:val="none"/>
          <w:lang w:val="en-US" w:eastAsia="zh-CN"/>
        </w:rPr>
        <w:t>为小服务（0-16岁儿童的托育托管</w:t>
      </w:r>
      <w:r>
        <w:rPr>
          <w:rFonts w:hint="eastAsia" w:ascii="仿宋" w:hAnsi="仿宋" w:eastAsia="仿宋" w:cs="仿宋"/>
          <w:b w:val="0"/>
          <w:bCs w:val="0"/>
          <w:color w:val="auto"/>
          <w:sz w:val="24"/>
          <w:szCs w:val="24"/>
          <w:u w:val="none"/>
        </w:rPr>
        <w:t>、</w:t>
      </w:r>
      <w:r>
        <w:rPr>
          <w:rFonts w:hint="eastAsia" w:ascii="仿宋" w:hAnsi="仿宋" w:eastAsia="仿宋" w:cs="仿宋"/>
          <w:b w:val="0"/>
          <w:bCs w:val="0"/>
          <w:color w:val="auto"/>
          <w:sz w:val="24"/>
          <w:szCs w:val="24"/>
          <w:u w:val="none"/>
          <w:lang w:val="en-US" w:eastAsia="zh-CN"/>
        </w:rPr>
        <w:t>发育发展评估</w:t>
      </w:r>
      <w:r>
        <w:rPr>
          <w:rFonts w:hint="eastAsia" w:ascii="仿宋" w:hAnsi="仿宋" w:eastAsia="仿宋" w:cs="仿宋"/>
          <w:b w:val="0"/>
          <w:bCs w:val="0"/>
          <w:color w:val="auto"/>
          <w:sz w:val="24"/>
          <w:szCs w:val="24"/>
          <w:u w:val="none"/>
        </w:rPr>
        <w:t>、</w:t>
      </w:r>
      <w:r>
        <w:rPr>
          <w:rFonts w:hint="eastAsia" w:ascii="仿宋" w:hAnsi="仿宋" w:eastAsia="仿宋" w:cs="仿宋"/>
          <w:b w:val="0"/>
          <w:bCs w:val="0"/>
          <w:color w:val="auto"/>
          <w:sz w:val="24"/>
          <w:szCs w:val="24"/>
          <w:u w:val="none"/>
          <w:lang w:val="en-US" w:eastAsia="zh-CN"/>
        </w:rPr>
        <w:t>亲子养育指导</w:t>
      </w:r>
      <w:r>
        <w:rPr>
          <w:rFonts w:hint="eastAsia" w:ascii="仿宋" w:hAnsi="仿宋" w:eastAsia="仿宋" w:cs="仿宋"/>
          <w:b w:val="0"/>
          <w:bCs w:val="0"/>
          <w:color w:val="auto"/>
          <w:sz w:val="24"/>
          <w:szCs w:val="24"/>
          <w:u w:val="none"/>
        </w:rPr>
        <w:t>、</w:t>
      </w:r>
      <w:r>
        <w:rPr>
          <w:rFonts w:hint="eastAsia" w:ascii="仿宋" w:hAnsi="仿宋" w:eastAsia="仿宋" w:cs="仿宋"/>
          <w:b w:val="0"/>
          <w:bCs w:val="0"/>
          <w:color w:val="auto"/>
          <w:sz w:val="24"/>
          <w:szCs w:val="24"/>
          <w:u w:val="none"/>
          <w:lang w:val="en-US" w:eastAsia="zh-CN"/>
        </w:rPr>
        <w:t>素质课程</w:t>
      </w:r>
      <w:r>
        <w:rPr>
          <w:rFonts w:hint="eastAsia" w:ascii="仿宋" w:hAnsi="仿宋" w:eastAsia="仿宋" w:cs="仿宋"/>
          <w:b w:val="0"/>
          <w:bCs w:val="0"/>
          <w:color w:val="auto"/>
          <w:sz w:val="24"/>
          <w:szCs w:val="24"/>
          <w:u w:val="none"/>
        </w:rPr>
        <w:t>、</w:t>
      </w:r>
      <w:r>
        <w:rPr>
          <w:rFonts w:hint="eastAsia" w:ascii="仿宋" w:hAnsi="仿宋" w:eastAsia="仿宋" w:cs="仿宋"/>
          <w:b w:val="0"/>
          <w:bCs w:val="0"/>
          <w:color w:val="auto"/>
          <w:sz w:val="24"/>
          <w:szCs w:val="24"/>
          <w:u w:val="none"/>
          <w:lang w:eastAsia="zh-CN"/>
        </w:rPr>
        <w:t>文化</w:t>
      </w:r>
      <w:r>
        <w:rPr>
          <w:rFonts w:hint="eastAsia" w:ascii="仿宋" w:hAnsi="仿宋" w:eastAsia="仿宋" w:cs="仿宋"/>
          <w:b w:val="0"/>
          <w:bCs w:val="0"/>
          <w:color w:val="auto"/>
          <w:sz w:val="24"/>
          <w:szCs w:val="24"/>
          <w:u w:val="none"/>
        </w:rPr>
        <w:t>娱乐活动服务</w:t>
      </w:r>
      <w:r>
        <w:rPr>
          <w:rFonts w:hint="eastAsia" w:ascii="仿宋" w:hAnsi="仿宋" w:eastAsia="仿宋" w:cs="仿宋"/>
          <w:b w:val="0"/>
          <w:bCs w:val="0"/>
          <w:color w:val="auto"/>
          <w:sz w:val="24"/>
          <w:szCs w:val="24"/>
          <w:u w:val="none"/>
          <w:lang w:eastAsia="zh-CN"/>
        </w:rPr>
        <w:t>）</w:t>
      </w:r>
      <w:r>
        <w:rPr>
          <w:rFonts w:hint="eastAsia" w:ascii="仿宋" w:hAnsi="仿宋" w:eastAsia="仿宋" w:cs="仿宋"/>
          <w:b w:val="0"/>
          <w:bCs w:val="0"/>
          <w:color w:val="auto"/>
          <w:sz w:val="24"/>
          <w:szCs w:val="24"/>
          <w:u w:val="none"/>
          <w:lang w:val="en-US" w:eastAsia="zh-CN"/>
        </w:rPr>
        <w:t>：</w:t>
      </w:r>
      <w:r>
        <w:rPr>
          <w:rFonts w:hint="eastAsia" w:ascii="仿宋" w:hAnsi="仿宋" w:eastAsia="仿宋" w:cs="仿宋"/>
          <w:b w:val="0"/>
          <w:bCs w:val="0"/>
          <w:color w:val="auto"/>
          <w:sz w:val="24"/>
          <w:szCs w:val="24"/>
          <w:u w:val="none"/>
          <w:lang w:eastAsia="zh-CN"/>
        </w:rPr>
        <w:t>老幼融合活动、以家庭为单位的亲子文化融合</w:t>
      </w:r>
      <w:r>
        <w:rPr>
          <w:rFonts w:hint="eastAsia" w:ascii="仿宋" w:hAnsi="仿宋" w:eastAsia="仿宋" w:cs="仿宋"/>
          <w:b w:val="0"/>
          <w:bCs w:val="0"/>
          <w:color w:val="auto"/>
          <w:sz w:val="24"/>
          <w:szCs w:val="24"/>
          <w:u w:val="none"/>
        </w:rPr>
        <w:t>活动</w:t>
      </w:r>
      <w:r>
        <w:rPr>
          <w:rFonts w:hint="eastAsia" w:ascii="仿宋" w:hAnsi="仿宋" w:eastAsia="仿宋" w:cs="仿宋"/>
          <w:b w:val="0"/>
          <w:bCs w:val="0"/>
          <w:color w:val="auto"/>
          <w:sz w:val="24"/>
          <w:szCs w:val="24"/>
          <w:u w:val="none"/>
          <w:lang w:eastAsia="zh-CN"/>
        </w:rPr>
        <w:t>、专业益智类辅助课程、专业</w:t>
      </w:r>
      <w:r>
        <w:rPr>
          <w:rFonts w:hint="eastAsia" w:ascii="仿宋" w:hAnsi="仿宋" w:eastAsia="仿宋" w:cs="仿宋"/>
          <w:b w:val="0"/>
          <w:bCs w:val="0"/>
          <w:color w:val="auto"/>
          <w:sz w:val="24"/>
          <w:szCs w:val="24"/>
          <w:u w:val="none"/>
          <w:lang w:val="en-US" w:eastAsia="zh-CN"/>
        </w:rPr>
        <w:t>素质类</w:t>
      </w:r>
      <w:r>
        <w:rPr>
          <w:rFonts w:hint="eastAsia" w:ascii="仿宋" w:hAnsi="仿宋" w:eastAsia="仿宋" w:cs="仿宋"/>
          <w:b w:val="0"/>
          <w:bCs w:val="0"/>
          <w:color w:val="auto"/>
          <w:sz w:val="24"/>
          <w:szCs w:val="24"/>
          <w:u w:val="none"/>
          <w:lang w:eastAsia="zh-CN"/>
        </w:rPr>
        <w:t>辅助课程及社区团购活动</w:t>
      </w:r>
      <w:r>
        <w:rPr>
          <w:rFonts w:hint="eastAsia" w:ascii="仿宋" w:hAnsi="仿宋" w:eastAsia="仿宋" w:cs="仿宋"/>
          <w:b w:val="0"/>
          <w:bCs w:val="0"/>
          <w:color w:val="auto"/>
          <w:sz w:val="24"/>
          <w:szCs w:val="24"/>
          <w:u w:val="none"/>
        </w:rPr>
        <w:t>开展等相关事宜</w:t>
      </w:r>
      <w:r>
        <w:rPr>
          <w:rFonts w:hint="eastAsia" w:ascii="仿宋" w:hAnsi="仿宋" w:eastAsia="仿宋" w:cs="仿宋"/>
          <w:b w:val="0"/>
          <w:bCs w:val="0"/>
          <w:color w:val="auto"/>
          <w:sz w:val="24"/>
          <w:szCs w:val="24"/>
          <w:u w:val="none"/>
          <w:lang w:eastAsia="zh-CN"/>
        </w:rPr>
        <w:t>。</w:t>
      </w:r>
    </w:p>
    <w:p>
      <w:pPr>
        <w:pageBreakBefore w:val="0"/>
        <w:widowControl w:val="0"/>
        <w:numPr>
          <w:ilvl w:val="0"/>
          <w:numId w:val="0"/>
        </w:numPr>
        <w:kinsoku/>
        <w:wordWrap/>
        <w:overflowPunct/>
        <w:topLinePunct w:val="0"/>
        <w:autoSpaceDE/>
        <w:autoSpaceDN/>
        <w:bidi w:val="0"/>
        <w:adjustRightInd/>
        <w:snapToGrid/>
        <w:spacing w:line="360" w:lineRule="auto"/>
        <w:ind w:left="0" w:firstLine="480" w:firstLineChars="200"/>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4、街道社区共建项目：仓基新村66幢共建项目包含基层公共服务文化站、妇女儿童驿站、应急救护培训基地、老年学堂（企退学堂）、家门口青少年宫、儿童之家、侨胞之家。</w:t>
      </w:r>
    </w:p>
    <w:p>
      <w:pPr>
        <w:pageBreakBefore w:val="0"/>
        <w:widowControl w:val="0"/>
        <w:numPr>
          <w:ilvl w:val="0"/>
          <w:numId w:val="0"/>
        </w:numPr>
        <w:kinsoku/>
        <w:wordWrap/>
        <w:overflowPunct/>
        <w:topLinePunct w:val="0"/>
        <w:autoSpaceDE/>
        <w:autoSpaceDN/>
        <w:bidi w:val="0"/>
        <w:adjustRightInd/>
        <w:snapToGrid/>
        <w:spacing w:line="360" w:lineRule="auto"/>
        <w:ind w:left="0" w:firstLine="482" w:firstLineChars="200"/>
        <w:textAlignment w:val="auto"/>
        <w:rPr>
          <w:rFonts w:hint="eastAsia" w:ascii="仿宋" w:hAnsi="仿宋" w:eastAsia="仿宋" w:cs="仿宋"/>
          <w:b/>
          <w:bCs/>
          <w:color w:val="auto"/>
          <w:sz w:val="24"/>
          <w:szCs w:val="24"/>
          <w:highlight w:val="none"/>
          <w:u w:val="none"/>
          <w:lang w:val="en-US" w:eastAsia="zh-CN"/>
        </w:rPr>
      </w:pPr>
      <w:r>
        <w:rPr>
          <w:rFonts w:hint="eastAsia" w:ascii="仿宋" w:hAnsi="仿宋" w:eastAsia="仿宋" w:cs="仿宋"/>
          <w:b/>
          <w:bCs/>
          <w:color w:val="auto"/>
          <w:sz w:val="24"/>
          <w:szCs w:val="24"/>
          <w:highlight w:val="none"/>
          <w:u w:val="none"/>
          <w:lang w:val="en-US" w:eastAsia="zh-CN"/>
        </w:rPr>
        <w:t>第五条 权利与义务</w:t>
      </w:r>
    </w:p>
    <w:p>
      <w:pPr>
        <w:pageBreakBefore w:val="0"/>
        <w:widowControl w:val="0"/>
        <w:kinsoku/>
        <w:wordWrap/>
        <w:overflowPunct/>
        <w:topLinePunct w:val="0"/>
        <w:autoSpaceDE/>
        <w:autoSpaceDN/>
        <w:bidi w:val="0"/>
        <w:snapToGrid/>
        <w:spacing w:line="360" w:lineRule="auto"/>
        <w:ind w:left="0" w:firstLine="480" w:firstLineChars="200"/>
        <w:contextualSpacing/>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（一）甲方义务：</w:t>
      </w:r>
    </w:p>
    <w:p>
      <w:pPr>
        <w:keepNext w:val="0"/>
        <w:keepLines w:val="0"/>
        <w:pageBreakBefore w:val="0"/>
        <w:widowControl w:val="0"/>
        <w:tabs>
          <w:tab w:val="left" w:pos="744"/>
        </w:tabs>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highlight w:val="none"/>
          <w:lang w:val="en-US" w:eastAsia="zh-CN"/>
        </w:rPr>
        <w:t>甲方向乙方无偿提供甲方</w:t>
      </w:r>
      <w:r>
        <w:rPr>
          <w:rFonts w:hint="eastAsia" w:ascii="仿宋" w:hAnsi="仿宋" w:eastAsia="仿宋" w:cs="仿宋"/>
          <w:b w:val="0"/>
          <w:bCs w:val="0"/>
          <w:color w:val="auto"/>
          <w:sz w:val="24"/>
          <w:szCs w:val="24"/>
          <w:highlight w:val="none"/>
          <w:u w:val="none"/>
          <w:lang w:val="en-US" w:eastAsia="zh-CN"/>
        </w:rPr>
        <w:t>仓基新村社区部分公共场所</w:t>
      </w:r>
      <w:r>
        <w:rPr>
          <w:rFonts w:hint="eastAsia" w:ascii="仿宋" w:hAnsi="仿宋" w:eastAsia="仿宋" w:cs="仿宋"/>
          <w:color w:val="auto"/>
          <w:sz w:val="24"/>
          <w:szCs w:val="24"/>
          <w:highlight w:val="none"/>
          <w:lang w:val="en-US" w:eastAsia="zh-CN"/>
        </w:rPr>
        <w:t>作为开展本项目合作的地点（</w:t>
      </w:r>
      <w:r>
        <w:rPr>
          <w:rFonts w:hint="eastAsia" w:ascii="仿宋" w:hAnsi="仿宋" w:eastAsia="仿宋" w:cs="仿宋"/>
          <w:b w:val="0"/>
          <w:bCs w:val="0"/>
          <w:color w:val="auto"/>
          <w:sz w:val="24"/>
          <w:szCs w:val="24"/>
          <w:highlight w:val="none"/>
          <w:lang w:val="en-US" w:eastAsia="zh-CN"/>
        </w:rPr>
        <w:t>拱墅区湖墅街道湖墅南路仓基新村66幢大运河幸福家园、仓基新村社区百姓健身房、仓基新村6号楼）</w:t>
      </w:r>
      <w:r>
        <w:rPr>
          <w:rFonts w:hint="eastAsia" w:ascii="仿宋" w:hAnsi="仿宋" w:eastAsia="仿宋" w:cs="仿宋"/>
          <w:color w:val="auto"/>
          <w:sz w:val="24"/>
          <w:szCs w:val="24"/>
          <w:highlight w:val="none"/>
          <w:lang w:val="en-US" w:eastAsia="zh-CN"/>
        </w:rPr>
        <w:t>。甲方、乙方协议注明场地及场地内硬件装修和基本设备设施，（包含办公家具以双方确认的设备设施交接清单为准），甲方保证保障房屋基本使用功能完好。</w:t>
      </w:r>
    </w:p>
    <w:p>
      <w:pPr>
        <w:keepNext w:val="0"/>
        <w:keepLines w:val="0"/>
        <w:pageBreakBefore w:val="0"/>
        <w:widowControl w:val="0"/>
        <w:tabs>
          <w:tab w:val="left" w:pos="744"/>
        </w:tabs>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2、支付年度运营服务费用（依据中标金额并结合考核标准支付）。</w:t>
      </w:r>
    </w:p>
    <w:p>
      <w:pPr>
        <w:keepNext w:val="0"/>
        <w:keepLines w:val="0"/>
        <w:pageBreakBefore w:val="0"/>
        <w:widowControl w:val="0"/>
        <w:tabs>
          <w:tab w:val="left" w:pos="744"/>
        </w:tabs>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3、支付场地运营产生的水电能耗费用以及物业费用。但秉持节能低碳原则，运营方不得铺张浪费，空调使用按相关要求夏季不低于26度，冬季不高于</w:t>
      </w:r>
      <w:r>
        <w:rPr>
          <w:rFonts w:hint="eastAsia" w:ascii="仿宋" w:hAnsi="仿宋" w:eastAsia="仿宋" w:cs="仿宋"/>
          <w:b w:val="0"/>
          <w:bCs w:val="0"/>
          <w:color w:val="auto"/>
          <w:sz w:val="24"/>
          <w:szCs w:val="24"/>
          <w:highlight w:val="none"/>
          <w:u w:val="none"/>
          <w:lang w:val="en-US" w:eastAsia="zh-CN"/>
        </w:rPr>
        <w:t>20</w:t>
      </w:r>
      <w:r>
        <w:rPr>
          <w:rFonts w:hint="eastAsia" w:ascii="仿宋" w:hAnsi="仿宋" w:eastAsia="仿宋" w:cs="仿宋"/>
          <w:color w:val="auto"/>
          <w:sz w:val="24"/>
          <w:szCs w:val="24"/>
          <w:highlight w:val="none"/>
          <w:lang w:val="en-US" w:eastAsia="zh-CN"/>
        </w:rPr>
        <w:t>度。</w:t>
      </w:r>
    </w:p>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4、甲方负责</w:t>
      </w:r>
      <w:r>
        <w:rPr>
          <w:rFonts w:hint="eastAsia" w:ascii="仿宋" w:hAnsi="仿宋" w:eastAsia="仿宋" w:cs="仿宋"/>
          <w:b/>
          <w:bCs/>
          <w:color w:val="auto"/>
          <w:sz w:val="24"/>
          <w:szCs w:val="24"/>
          <w:highlight w:val="none"/>
          <w:u w:val="none"/>
          <w:lang w:val="en-US" w:eastAsia="zh-CN"/>
        </w:rPr>
        <w:t>仓基新村66幢、仓基新村社区百姓健身房</w:t>
      </w:r>
      <w:r>
        <w:rPr>
          <w:rFonts w:hint="eastAsia" w:ascii="仿宋" w:hAnsi="仿宋" w:eastAsia="仿宋" w:cs="仿宋"/>
          <w:b w:val="0"/>
          <w:bCs w:val="0"/>
          <w:color w:val="auto"/>
          <w:sz w:val="24"/>
          <w:szCs w:val="24"/>
          <w:highlight w:val="none"/>
          <w:u w:val="none"/>
          <w:lang w:val="en-US" w:eastAsia="zh-CN"/>
        </w:rPr>
        <w:t>卫</w:t>
      </w:r>
      <w:r>
        <w:rPr>
          <w:rFonts w:hint="eastAsia" w:ascii="仿宋" w:hAnsi="仿宋" w:eastAsia="仿宋" w:cs="仿宋"/>
          <w:color w:val="auto"/>
          <w:sz w:val="24"/>
          <w:szCs w:val="24"/>
          <w:highlight w:val="none"/>
          <w:lang w:val="en-US" w:eastAsia="zh-CN"/>
        </w:rPr>
        <w:t>生保洁工作。</w:t>
      </w:r>
    </w:p>
    <w:p>
      <w:pPr>
        <w:pStyle w:val="2"/>
        <w:pageBreakBefore w:val="0"/>
        <w:widowControl w:val="0"/>
        <w:kinsoku/>
        <w:wordWrap/>
        <w:overflowPunct/>
        <w:topLinePunct w:val="0"/>
        <w:autoSpaceDE/>
        <w:autoSpaceDN/>
        <w:bidi w:val="0"/>
        <w:snapToGrid/>
        <w:spacing w:before="0" w:after="0" w:line="360" w:lineRule="auto"/>
        <w:ind w:left="0" w:firstLine="480" w:firstLineChars="200"/>
        <w:textAlignment w:val="auto"/>
        <w:rPr>
          <w:rFonts w:hint="eastAsia" w:ascii="仿宋" w:hAnsi="仿宋" w:eastAsia="仿宋" w:cs="仿宋"/>
          <w:b w:val="0"/>
          <w:bCs w:val="0"/>
          <w:color w:val="auto"/>
          <w:sz w:val="24"/>
          <w:szCs w:val="24"/>
          <w:highlight w:val="none"/>
          <w:u w:val="none"/>
          <w:lang w:val="en-US" w:eastAsia="zh-CN"/>
        </w:rPr>
      </w:pPr>
      <w:r>
        <w:rPr>
          <w:rFonts w:hint="eastAsia" w:ascii="仿宋" w:hAnsi="仿宋" w:eastAsia="仿宋" w:cs="仿宋"/>
          <w:b w:val="0"/>
          <w:bCs w:val="0"/>
          <w:color w:val="auto"/>
          <w:sz w:val="24"/>
          <w:szCs w:val="24"/>
          <w:highlight w:val="none"/>
          <w:u w:val="none"/>
          <w:lang w:val="en-US" w:eastAsia="zh-CN"/>
        </w:rPr>
        <w:t>5、甲方有权全程监督乙方项目的服务内容、进展与服务过程，并提出相关有利于双方合作目的的实现的意见与建议。</w:t>
      </w:r>
    </w:p>
    <w:p>
      <w:pPr>
        <w:pageBreakBefore w:val="0"/>
        <w:widowControl w:val="0"/>
        <w:numPr>
          <w:ilvl w:val="0"/>
          <w:numId w:val="2"/>
        </w:numPr>
        <w:kinsoku/>
        <w:wordWrap/>
        <w:overflowPunct/>
        <w:topLinePunct w:val="0"/>
        <w:autoSpaceDE/>
        <w:autoSpaceDN/>
        <w:bidi w:val="0"/>
        <w:snapToGrid/>
        <w:spacing w:line="360" w:lineRule="auto"/>
        <w:ind w:left="0" w:firstLine="482" w:firstLineChars="200"/>
        <w:contextualSpacing/>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乙方（运营方）义务：</w:t>
      </w:r>
    </w:p>
    <w:p>
      <w:pPr>
        <w:pageBreakBefore w:val="0"/>
        <w:widowControl w:val="0"/>
        <w:numPr>
          <w:ilvl w:val="0"/>
          <w:numId w:val="0"/>
        </w:numPr>
        <w:kinsoku/>
        <w:wordWrap/>
        <w:overflowPunct/>
        <w:topLinePunct w:val="0"/>
        <w:autoSpaceDE/>
        <w:autoSpaceDN/>
        <w:bidi w:val="0"/>
        <w:snapToGrid/>
        <w:spacing w:line="360" w:lineRule="auto"/>
        <w:ind w:left="0" w:firstLine="480" w:firstLineChars="200"/>
        <w:contextualSpacing/>
        <w:textAlignment w:val="auto"/>
        <w:rPr>
          <w:rFonts w:hint="eastAsia" w:ascii="仿宋" w:hAnsi="仿宋" w:eastAsia="仿宋" w:cs="仿宋"/>
          <w:b w:val="0"/>
          <w:bCs w:val="0"/>
          <w:color w:val="auto"/>
          <w:sz w:val="24"/>
          <w:szCs w:val="24"/>
          <w:highlight w:val="none"/>
          <w:u w:val="none"/>
          <w:lang w:val="en-US" w:eastAsia="zh-CN"/>
        </w:rPr>
      </w:pPr>
      <w:r>
        <w:rPr>
          <w:rFonts w:hint="eastAsia" w:ascii="仿宋" w:hAnsi="仿宋" w:eastAsia="仿宋" w:cs="仿宋"/>
          <w:b w:val="0"/>
          <w:bCs w:val="0"/>
          <w:color w:val="auto"/>
          <w:sz w:val="24"/>
          <w:szCs w:val="24"/>
          <w:highlight w:val="none"/>
          <w:u w:val="none"/>
          <w:lang w:val="en-US" w:eastAsia="zh-CN"/>
        </w:rPr>
        <w:t>1、乙方在运营期间必须自觉遵守法律法规和政策规定，接受甲方及各行政主管或职能部门的监督、检查和指导，并及时纠正不当、缺陷等行为。</w:t>
      </w:r>
    </w:p>
    <w:p>
      <w:pPr>
        <w:keepNext w:val="0"/>
        <w:keepLines w:val="0"/>
        <w:pageBreakBefore w:val="0"/>
        <w:widowControl w:val="0"/>
        <w:tabs>
          <w:tab w:val="left" w:pos="744"/>
        </w:tabs>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b w:val="0"/>
          <w:bCs w:val="0"/>
          <w:color w:val="auto"/>
          <w:sz w:val="24"/>
          <w:szCs w:val="24"/>
          <w:highlight w:val="none"/>
          <w:u w:val="none"/>
          <w:lang w:val="en-US" w:eastAsia="zh-CN"/>
        </w:rPr>
      </w:pPr>
      <w:r>
        <w:rPr>
          <w:rFonts w:hint="eastAsia" w:ascii="仿宋" w:hAnsi="仿宋" w:eastAsia="仿宋" w:cs="仿宋"/>
          <w:color w:val="auto"/>
          <w:sz w:val="24"/>
          <w:szCs w:val="24"/>
          <w:highlight w:val="none"/>
          <w:lang w:val="en-US" w:eastAsia="zh-CN"/>
        </w:rPr>
        <w:t>2、前期设备投入：乙方针对仓基新村运营空间需进行必要的设施设备、软件装修投入</w:t>
      </w:r>
      <w:r>
        <w:rPr>
          <w:rFonts w:hint="eastAsia" w:ascii="仿宋" w:hAnsi="仿宋" w:eastAsia="仿宋" w:cs="仿宋"/>
          <w:b w:val="0"/>
          <w:bCs w:val="0"/>
          <w:color w:val="auto"/>
          <w:sz w:val="24"/>
          <w:szCs w:val="24"/>
          <w:highlight w:val="none"/>
          <w:u w:val="none"/>
          <w:lang w:val="en-US" w:eastAsia="zh-CN"/>
        </w:rPr>
        <w:t>。因乙方运营期间设备的损耗，后期运营设施设备维修维护费用由乙方承担</w:t>
      </w:r>
      <w:r>
        <w:rPr>
          <w:rFonts w:hint="eastAsia" w:ascii="仿宋" w:hAnsi="仿宋" w:eastAsia="仿宋" w:cs="仿宋"/>
          <w:b w:val="0"/>
          <w:bCs w:val="0"/>
          <w:color w:val="auto"/>
          <w:sz w:val="24"/>
          <w:szCs w:val="24"/>
          <w:highlight w:val="none"/>
          <w:u w:val="none"/>
          <w:lang w:val="en-US" w:eastAsia="zh-CN"/>
        </w:rPr>
        <w:t>损耗，设备维修费用则由甲方承担，乙方额外添置的设备设施除外。</w:t>
      </w:r>
    </w:p>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highlight w:val="none"/>
          <w:lang w:val="en-US" w:eastAsia="zh-CN"/>
        </w:rPr>
        <w:t>3、活动场次要求：乙方针对仓基新村</w:t>
      </w:r>
      <w:r>
        <w:rPr>
          <w:rFonts w:hint="eastAsia" w:ascii="仿宋" w:hAnsi="仿宋" w:eastAsia="仿宋" w:cs="仿宋"/>
          <w:b w:val="0"/>
          <w:bCs w:val="0"/>
          <w:color w:val="auto"/>
          <w:sz w:val="24"/>
          <w:szCs w:val="24"/>
          <w:highlight w:val="none"/>
          <w:lang w:val="en-US" w:eastAsia="zh-CN"/>
        </w:rPr>
        <w:t>公共服务空间开展</w:t>
      </w:r>
      <w:r>
        <w:rPr>
          <w:rFonts w:hint="eastAsia" w:ascii="仿宋" w:hAnsi="仿宋" w:eastAsia="仿宋" w:cs="仿宋"/>
          <w:color w:val="auto"/>
          <w:sz w:val="24"/>
          <w:szCs w:val="24"/>
          <w:highlight w:val="none"/>
          <w:lang w:val="en-US" w:eastAsia="zh-CN"/>
        </w:rPr>
        <w:t>需求调研工作，在托管场地开展各类型特色公益普惠活动，运营每年不少于50场公益活动。乙方应当做好服务活动的书面记录等凭据，甲方有权</w:t>
      </w:r>
      <w:r>
        <w:rPr>
          <w:rFonts w:hint="eastAsia" w:ascii="仿宋" w:hAnsi="仿宋" w:eastAsia="仿宋" w:cs="仿宋"/>
          <w:color w:val="auto"/>
          <w:sz w:val="24"/>
          <w:szCs w:val="24"/>
          <w:lang w:val="en-US" w:eastAsia="zh-CN"/>
        </w:rPr>
        <w:t>随时查阅并复制相关材料。</w:t>
      </w:r>
    </w:p>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中心运营规范：乙方须合理统筹中心各功能区安排，最大限度地提高使用率和功能多样化程度，提高居民参与度和服务认可度；乙方负责对中心内各功能区日常操作的设施设备，进行定期检查、评估、维修；乙方负责做好中心管理制度、活动安排上墙；乙方负责管理和使用中心内设施设备，在管理期间，运营方应保证各项资产完整（合理损耗除外）；在满足公益活动、公益服务时间基础上，乙方可以利用场地开展面向“一老一小”领域的普惠性经营活动，普惠性经营活动方案应当经由甲方书面同意后实施，如有发现违约行为甲方有权终止托管协议，由此产生的损失由运营方承担。</w:t>
      </w:r>
    </w:p>
    <w:p>
      <w:pPr>
        <w:pStyle w:val="3"/>
        <w:pageBreakBefore w:val="0"/>
        <w:widowControl w:val="0"/>
        <w:kinsoku/>
        <w:wordWrap/>
        <w:overflowPunct/>
        <w:topLinePunct w:val="0"/>
        <w:autoSpaceDE/>
        <w:autoSpaceDN/>
        <w:bidi w:val="0"/>
        <w:snapToGrid/>
        <w:spacing w:line="360" w:lineRule="auto"/>
        <w:ind w:left="0" w:leftChars="0" w:firstLine="480" w:firstLineChars="200"/>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color w:val="auto"/>
          <w:sz w:val="24"/>
          <w:szCs w:val="24"/>
          <w:lang w:val="en-US" w:eastAsia="zh-CN"/>
        </w:rPr>
        <w:t>5、乙方严格遵守消防、治安、安全管理等有关法律法规的规定，自行做好各项工作，保障消防和人员安全，在运营期间发生的一切责任事故或纠纷，包括但不限于如</w:t>
      </w:r>
      <w:r>
        <w:rPr>
          <w:rFonts w:hint="eastAsia" w:ascii="仿宋" w:hAnsi="仿宋" w:eastAsia="仿宋" w:cs="仿宋"/>
          <w:b w:val="0"/>
          <w:bCs w:val="0"/>
          <w:i w:val="0"/>
          <w:iCs w:val="0"/>
          <w:color w:val="auto"/>
          <w:sz w:val="24"/>
          <w:szCs w:val="24"/>
          <w:u w:val="none"/>
          <w:lang w:val="en-US" w:eastAsia="zh-CN"/>
        </w:rPr>
        <w:t>乙方经营性责任</w:t>
      </w:r>
      <w:r>
        <w:rPr>
          <w:rFonts w:hint="eastAsia" w:ascii="仿宋" w:hAnsi="仿宋" w:eastAsia="仿宋" w:cs="仿宋"/>
          <w:b w:val="0"/>
          <w:bCs w:val="0"/>
          <w:color w:val="auto"/>
          <w:sz w:val="24"/>
          <w:szCs w:val="24"/>
          <w:u w:val="none"/>
          <w:lang w:val="en-US" w:eastAsia="zh-CN"/>
        </w:rPr>
        <w:t>、</w:t>
      </w:r>
      <w:r>
        <w:rPr>
          <w:rFonts w:hint="eastAsia" w:ascii="仿宋" w:hAnsi="仿宋" w:eastAsia="仿宋" w:cs="仿宋"/>
          <w:color w:val="auto"/>
          <w:sz w:val="24"/>
          <w:szCs w:val="24"/>
          <w:lang w:val="en-US" w:eastAsia="zh-CN"/>
        </w:rPr>
        <w:t>安全生产责任事故、场所内人身意外伤害事故、职工工伤事故、劳资纠纷、意外事件等及损失（包括给采购单位造成的损失）</w:t>
      </w:r>
      <w:r>
        <w:rPr>
          <w:rFonts w:hint="eastAsia" w:ascii="仿宋" w:hAnsi="仿宋" w:eastAsia="仿宋" w:cs="仿宋"/>
          <w:b w:val="0"/>
          <w:bCs w:val="0"/>
          <w:i w:val="0"/>
          <w:iCs w:val="0"/>
          <w:color w:val="auto"/>
          <w:sz w:val="24"/>
          <w:szCs w:val="24"/>
          <w:u w:val="none"/>
          <w:lang w:val="en-US" w:eastAsia="zh-CN"/>
        </w:rPr>
        <w:t>均</w:t>
      </w:r>
      <w:r>
        <w:rPr>
          <w:rFonts w:hint="eastAsia" w:ascii="仿宋" w:hAnsi="仿宋" w:eastAsia="仿宋" w:cs="仿宋"/>
          <w:b w:val="0"/>
          <w:bCs w:val="0"/>
          <w:color w:val="auto"/>
          <w:sz w:val="24"/>
          <w:szCs w:val="24"/>
          <w:u w:val="none"/>
          <w:lang w:val="en-US" w:eastAsia="zh-CN"/>
        </w:rPr>
        <w:t>由乙方</w:t>
      </w:r>
      <w:r>
        <w:rPr>
          <w:rFonts w:hint="eastAsia" w:ascii="仿宋" w:hAnsi="仿宋" w:eastAsia="仿宋" w:cs="仿宋"/>
          <w:b w:val="0"/>
          <w:bCs w:val="0"/>
          <w:color w:val="auto"/>
          <w:sz w:val="24"/>
          <w:szCs w:val="24"/>
          <w:u w:val="none"/>
          <w:lang w:val="en-US" w:eastAsia="zh-CN"/>
        </w:rPr>
        <w:t>负责赔偿并独立承担法律和赔偿责任。</w:t>
      </w:r>
    </w:p>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6、社区配合协助：乙方需与社区保持紧密联动，帮助社区在实现托管场地日活运营基础上，配合协助社区做好各职能条线品牌深化落地工作以及参与各级项目品牌争创及参观讲解陪同等工作。</w:t>
      </w:r>
    </w:p>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7、服务满意度：乙方需按照社区标准保证托管场地日活工作，根据场地人流监控数据量、运营方活动档案登记、社区日常抽查检查及年末满意度测评等方式.进行统计，统计结果及统计方式和原始材料应当留存备查。 </w:t>
      </w:r>
    </w:p>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b w:val="0"/>
          <w:bCs/>
          <w:color w:val="auto"/>
          <w:sz w:val="24"/>
          <w:szCs w:val="24"/>
          <w:u w:val="none"/>
          <w:lang w:val="en-US" w:eastAsia="zh-CN"/>
        </w:rPr>
      </w:pPr>
      <w:r>
        <w:rPr>
          <w:rFonts w:hint="eastAsia" w:ascii="仿宋" w:hAnsi="仿宋" w:eastAsia="仿宋" w:cs="仿宋"/>
          <w:b w:val="0"/>
          <w:bCs w:val="0"/>
          <w:color w:val="auto"/>
          <w:sz w:val="24"/>
          <w:szCs w:val="24"/>
          <w:lang w:val="en-US" w:eastAsia="zh-CN"/>
        </w:rPr>
        <w:t>8、乙方保证具有本合同项目要求的资质和服务能力（老师要持有健康证、无犯罪记录、失信记录等），并且在本合同规定的服务期内。</w:t>
      </w:r>
      <w:r>
        <w:rPr>
          <w:rFonts w:hint="eastAsia" w:ascii="仿宋" w:hAnsi="仿宋" w:eastAsia="仿宋" w:cs="仿宋"/>
          <w:b w:val="0"/>
          <w:bCs/>
          <w:color w:val="auto"/>
          <w:sz w:val="24"/>
          <w:szCs w:val="24"/>
          <w:u w:val="none"/>
          <w:lang w:val="en-US" w:eastAsia="zh-CN"/>
        </w:rPr>
        <w:t>乙方保证自身及旗下产品及服务的所有合作服务上具有合法经营的资质。乙方保证提供的关于自身的信息、资料、资质、运营情况等内容真实有效，自行承担在经营活动中所产生的所有法律责任，不得给甲方的正常工作、运营、形象等造成影响。</w:t>
      </w:r>
    </w:p>
    <w:p>
      <w:pPr>
        <w:pStyle w:val="3"/>
        <w:pageBreakBefore w:val="0"/>
        <w:widowControl w:val="0"/>
        <w:kinsoku/>
        <w:wordWrap/>
        <w:overflowPunct/>
        <w:topLinePunct w:val="0"/>
        <w:autoSpaceDE/>
        <w:autoSpaceDN/>
        <w:bidi w:val="0"/>
        <w:snapToGrid/>
        <w:spacing w:line="360" w:lineRule="auto"/>
        <w:ind w:left="0" w:firstLine="480" w:firstLineChars="200"/>
        <w:textAlignment w:val="auto"/>
        <w:rPr>
          <w:rFonts w:hint="eastAsia" w:ascii="仿宋" w:hAnsi="仿宋" w:eastAsia="仿宋" w:cs="仿宋"/>
          <w:b/>
          <w:bCs/>
          <w:color w:val="auto"/>
          <w:sz w:val="24"/>
          <w:szCs w:val="24"/>
        </w:rPr>
      </w:pPr>
      <w:r>
        <w:rPr>
          <w:rFonts w:hint="eastAsia" w:ascii="仿宋" w:hAnsi="仿宋" w:eastAsia="仿宋" w:cs="仿宋"/>
          <w:b w:val="0"/>
          <w:bCs w:val="0"/>
          <w:color w:val="auto"/>
          <w:sz w:val="24"/>
          <w:szCs w:val="24"/>
          <w:lang w:val="en-US" w:eastAsia="zh-CN"/>
        </w:rPr>
        <w:t>9、乙方不得改变场地的用途，</w:t>
      </w:r>
      <w:r>
        <w:rPr>
          <w:rFonts w:hint="eastAsia" w:ascii="仿宋" w:hAnsi="仿宋" w:eastAsia="仿宋" w:cs="仿宋"/>
          <w:b w:val="0"/>
          <w:bCs w:val="0"/>
          <w:color w:val="auto"/>
          <w:sz w:val="24"/>
          <w:szCs w:val="24"/>
          <w:lang w:val="en-US" w:eastAsia="zh-CN"/>
        </w:rPr>
        <w:t>如将中心转租、分割须取得甲方</w:t>
      </w:r>
      <w:r>
        <w:rPr>
          <w:rFonts w:hint="eastAsia" w:ascii="仿宋" w:hAnsi="仿宋" w:eastAsia="仿宋" w:cs="仿宋"/>
          <w:b w:val="0"/>
          <w:bCs w:val="0"/>
          <w:color w:val="auto"/>
          <w:sz w:val="24"/>
          <w:szCs w:val="24"/>
          <w:lang w:val="en-US" w:eastAsia="zh-CN"/>
        </w:rPr>
        <w:t>书面</w:t>
      </w:r>
      <w:r>
        <w:rPr>
          <w:rFonts w:hint="eastAsia" w:ascii="仿宋" w:hAnsi="仿宋" w:eastAsia="仿宋" w:cs="仿宋"/>
          <w:b w:val="0"/>
          <w:bCs w:val="0"/>
          <w:color w:val="auto"/>
          <w:sz w:val="24"/>
          <w:szCs w:val="24"/>
          <w:lang w:val="en-US" w:eastAsia="zh-CN"/>
        </w:rPr>
        <w:t>同意。</w:t>
      </w:r>
      <w:r>
        <w:rPr>
          <w:rFonts w:hint="eastAsia" w:ascii="仿宋" w:hAnsi="仿宋" w:eastAsia="仿宋" w:cs="仿宋"/>
          <w:b w:val="0"/>
          <w:bCs w:val="0"/>
          <w:color w:val="auto"/>
          <w:sz w:val="24"/>
          <w:szCs w:val="24"/>
          <w:u w:val="none"/>
          <w:lang w:val="en-US" w:eastAsia="zh-CN"/>
        </w:rPr>
        <w:t>未经甲方书面同意，在任何情况下，乙方均不得以任何理由拆除、破坏毁损场地的装修、设施、设备等。否则甲方有权终止协议，由此产生的损失由乙方承担。</w:t>
      </w:r>
    </w:p>
    <w:p>
      <w:pPr>
        <w:pageBreakBefore w:val="0"/>
        <w:widowControl w:val="0"/>
        <w:tabs>
          <w:tab w:val="left" w:pos="744"/>
        </w:tabs>
        <w:kinsoku/>
        <w:wordWrap/>
        <w:overflowPunct/>
        <w:topLinePunct w:val="0"/>
        <w:autoSpaceDE/>
        <w:autoSpaceDN/>
        <w:bidi w:val="0"/>
        <w:snapToGrid/>
        <w:spacing w:line="360" w:lineRule="auto"/>
        <w:ind w:left="0" w:firstLine="482" w:firstLineChars="200"/>
        <w:jc w:val="left"/>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第</w:t>
      </w:r>
      <w:r>
        <w:rPr>
          <w:rFonts w:hint="eastAsia" w:ascii="仿宋" w:hAnsi="仿宋" w:eastAsia="仿宋" w:cs="仿宋"/>
          <w:b/>
          <w:bCs/>
          <w:color w:val="auto"/>
          <w:sz w:val="24"/>
          <w:szCs w:val="24"/>
          <w:highlight w:val="none"/>
          <w:lang w:val="en-US" w:eastAsia="zh-CN"/>
        </w:rPr>
        <w:t>六</w:t>
      </w:r>
      <w:r>
        <w:rPr>
          <w:rFonts w:hint="eastAsia" w:ascii="仿宋" w:hAnsi="仿宋" w:eastAsia="仿宋" w:cs="仿宋"/>
          <w:b/>
          <w:bCs/>
          <w:color w:val="auto"/>
          <w:sz w:val="24"/>
          <w:szCs w:val="24"/>
          <w:highlight w:val="none"/>
        </w:rPr>
        <w:t>条</w:t>
      </w:r>
      <w:r>
        <w:rPr>
          <w:rFonts w:hint="eastAsia" w:ascii="仿宋" w:hAnsi="仿宋" w:eastAsia="仿宋" w:cs="仿宋"/>
          <w:b/>
          <w:bCs/>
          <w:color w:val="auto"/>
          <w:sz w:val="24"/>
          <w:szCs w:val="24"/>
          <w:highlight w:val="none"/>
          <w:lang w:val="en-US" w:eastAsia="zh-CN"/>
        </w:rPr>
        <w:t xml:space="preserve"> 服务考核</w:t>
      </w:r>
      <w:r>
        <w:rPr>
          <w:rFonts w:hint="eastAsia" w:ascii="仿宋" w:hAnsi="仿宋" w:eastAsia="仿宋" w:cs="仿宋"/>
          <w:b/>
          <w:bCs/>
          <w:color w:val="auto"/>
          <w:sz w:val="24"/>
          <w:szCs w:val="24"/>
          <w:highlight w:val="none"/>
        </w:rPr>
        <w:t>要求</w:t>
      </w:r>
    </w:p>
    <w:p>
      <w:pPr>
        <w:keepNext w:val="0"/>
        <w:keepLines w:val="0"/>
        <w:pageBreakBefore w:val="0"/>
        <w:widowControl w:val="0"/>
        <w:tabs>
          <w:tab w:val="left" w:pos="744"/>
        </w:tabs>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按照湖墅街道仓基新村大运河幸福家园运营年度考核办法实施，采用扣分制，初始总分为100分</w:t>
      </w:r>
      <w:r>
        <w:rPr>
          <w:rFonts w:hint="eastAsia" w:ascii="仿宋" w:hAnsi="仿宋" w:eastAsia="仿宋" w:cs="仿宋"/>
          <w:b w:val="0"/>
          <w:bCs w:val="0"/>
          <w:color w:val="auto"/>
          <w:sz w:val="24"/>
          <w:szCs w:val="24"/>
          <w:highlight w:val="none"/>
          <w:u w:val="none"/>
          <w:lang w:val="en-US" w:eastAsia="zh-CN"/>
        </w:rPr>
        <w:t>（科室考核40分，社区考核30分，群众满意度考核30分），</w:t>
      </w:r>
      <w:r>
        <w:rPr>
          <w:rFonts w:hint="eastAsia" w:ascii="仿宋" w:hAnsi="仿宋" w:eastAsia="仿宋" w:cs="仿宋"/>
          <w:b w:val="0"/>
          <w:bCs w:val="0"/>
          <w:color w:val="auto"/>
          <w:sz w:val="24"/>
          <w:szCs w:val="24"/>
          <w:highlight w:val="none"/>
          <w:u w:val="none"/>
          <w:lang w:eastAsia="zh-CN"/>
        </w:rPr>
        <w:t>考核合格分为</w:t>
      </w:r>
      <w:r>
        <w:rPr>
          <w:rFonts w:hint="eastAsia" w:ascii="仿宋" w:hAnsi="仿宋" w:eastAsia="仿宋" w:cs="仿宋"/>
          <w:b w:val="0"/>
          <w:bCs w:val="0"/>
          <w:color w:val="auto"/>
          <w:sz w:val="24"/>
          <w:szCs w:val="24"/>
          <w:highlight w:val="none"/>
          <w:u w:val="none"/>
          <w:lang w:val="en-US" w:eastAsia="zh-CN"/>
        </w:rPr>
        <w:t>90分，</w:t>
      </w:r>
      <w:r>
        <w:rPr>
          <w:rFonts w:hint="eastAsia" w:ascii="仿宋" w:hAnsi="仿宋" w:eastAsia="仿宋" w:cs="仿宋"/>
          <w:color w:val="auto"/>
          <w:sz w:val="24"/>
          <w:szCs w:val="24"/>
          <w:highlight w:val="none"/>
          <w:lang w:val="en-US" w:eastAsia="zh-CN"/>
        </w:rPr>
        <w:t>根据工作情况进行评分考量，具体如下：</w:t>
      </w:r>
    </w:p>
    <w:p>
      <w:pPr>
        <w:keepNext w:val="0"/>
        <w:keepLines w:val="0"/>
        <w:pageBreakBefore w:val="0"/>
        <w:widowControl w:val="0"/>
        <w:tabs>
          <w:tab w:val="left" w:pos="744"/>
        </w:tabs>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1、被通报批评、被媒体负面曝光等根据情节严重程度，每次扣1-3分。</w:t>
      </w:r>
    </w:p>
    <w:p>
      <w:pPr>
        <w:keepNext w:val="0"/>
        <w:keepLines w:val="0"/>
        <w:pageBreakBefore w:val="0"/>
        <w:widowControl w:val="0"/>
        <w:tabs>
          <w:tab w:val="left" w:pos="744"/>
        </w:tabs>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亲子互动及陪伴活动每周开放少于5天，或科学养育照护公益课堂每年举办少于12次（运营方负责协助场地使用与签到，课程由卫生院提供)；开展学科类培训或隐形变异类学科培训，导致街道被通报批评、在考核中扣分或引发负面舆情的每次扣2分。</w:t>
      </w:r>
    </w:p>
    <w:p>
      <w:pPr>
        <w:keepNext w:val="0"/>
        <w:keepLines w:val="0"/>
        <w:pageBreakBefore w:val="0"/>
        <w:widowControl w:val="0"/>
        <w:tabs>
          <w:tab w:val="left" w:pos="744"/>
        </w:tabs>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仓基百姓健身房在中央、省、市、区各类明察暗访中被查到未正常开放运营，或设施不符合《浙江省体育局关于进一步推进百姓健身房建设工作的通知》要求（浙体群〔2020〕60号），或发生火灾或人身安全责任事故导致街道在考核中被扣分的，每次扣3分。</w:t>
      </w:r>
    </w:p>
    <w:p>
      <w:pPr>
        <w:keepNext w:val="0"/>
        <w:keepLines w:val="0"/>
        <w:pageBreakBefore w:val="0"/>
        <w:widowControl w:val="0"/>
        <w:tabs>
          <w:tab w:val="left" w:pos="744"/>
        </w:tabs>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仓基百姓健身房未达到开放时间要求（每天开放时间须不少于6小时，且晚上开放时间不少于2小时），或文化站图书馆未达到开放时间要求（每周六、周日9:00-12:00,14:00-17:00，每周一至周五9:00-20:00，导致街道在中央、省、市、区各类明察暗访或考核中扣分，或引发负面舆情的，每次扣3分。</w:t>
      </w:r>
    </w:p>
    <w:p>
      <w:pPr>
        <w:keepNext w:val="0"/>
        <w:keepLines w:val="0"/>
        <w:pageBreakBefore w:val="0"/>
        <w:widowControl w:val="0"/>
        <w:tabs>
          <w:tab w:val="left" w:pos="744"/>
        </w:tabs>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5、不配合街道科室或社区要求，开展相关工作，或街道社区因工作需要使用仓基新村66幢、仓基百姓健身房场地时不配合，每次扣2分。</w:t>
      </w:r>
    </w:p>
    <w:p>
      <w:pPr>
        <w:keepNext w:val="0"/>
        <w:keepLines w:val="0"/>
        <w:pageBreakBefore w:val="0"/>
        <w:widowControl w:val="0"/>
        <w:tabs>
          <w:tab w:val="left" w:pos="744"/>
        </w:tabs>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6、为保障运营工作连续性与稳定性，出现工作人员变动时，未提前至少1周书面告知甲方的，每次扣1分。</w:t>
      </w:r>
    </w:p>
    <w:p>
      <w:pPr>
        <w:keepNext w:val="0"/>
        <w:keepLines w:val="0"/>
        <w:pageBreakBefore w:val="0"/>
        <w:widowControl w:val="0"/>
        <w:tabs>
          <w:tab w:val="left" w:pos="744"/>
        </w:tabs>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需创建不低于500人的专属社群社团或活动群，平均每月开展活动不少于2次，每次活动参与人数不少于20人，年累计开展活动不少于50次（包含第8点中提及的活动），年累计活动参与人次不少于1500人次，年底未达标则扣3分。</w:t>
      </w:r>
    </w:p>
    <w:p>
      <w:pPr>
        <w:keepNext w:val="0"/>
        <w:keepLines w:val="0"/>
        <w:pageBreakBefore w:val="0"/>
        <w:widowControl w:val="0"/>
        <w:tabs>
          <w:tab w:val="left" w:pos="744"/>
        </w:tabs>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8、负责仓基新村66幢大运河幸福家园 、百姓健身房、仓基新村6号文创中心的全面管理（包括安全管理、社团管理等），一键呼叫24小时响应，常态化运行，确保人员响应到位、数字化平台运营到位、处置流程到位、回访评价到位。并在实现托管场地日活运营基础上，配合社区做好各职能条线品牌深化落地工作，参与各级项目品牌争创，承接社区参观讲解陪同等工作(包括但不限于仓基新村66幢、百姓健身房、仓基新村6号文创中心与共富街区)。此条未达标则根据情节严重程度扣1-3分。</w:t>
      </w:r>
    </w:p>
    <w:p>
      <w:pPr>
        <w:keepNext w:val="0"/>
        <w:keepLines w:val="0"/>
        <w:pageBreakBefore w:val="0"/>
        <w:widowControl w:val="0"/>
        <w:tabs>
          <w:tab w:val="left" w:pos="744"/>
        </w:tabs>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9、整合街道辖区资源，提供个性化专业化服务，形成相关工作经验和典型做法，并在主流媒体上发布，获得社会影响力。年底未达标扣1-5分。</w:t>
      </w:r>
    </w:p>
    <w:p>
      <w:pPr>
        <w:keepNext w:val="0"/>
        <w:keepLines w:val="0"/>
        <w:pageBreakBefore w:val="0"/>
        <w:widowControl w:val="0"/>
        <w:tabs>
          <w:tab w:val="left" w:pos="744"/>
        </w:tabs>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10、群众</w:t>
      </w:r>
      <w:r>
        <w:rPr>
          <w:rFonts w:hint="eastAsia" w:ascii="仿宋" w:hAnsi="仿宋" w:eastAsia="仿宋" w:cs="仿宋"/>
          <w:color w:val="auto"/>
          <w:sz w:val="24"/>
          <w:szCs w:val="24"/>
          <w:lang w:val="en-US" w:eastAsia="zh-CN"/>
        </w:rPr>
        <w:t>满意度考核，调查表中总体不满意占比值作相应扣分。</w:t>
      </w:r>
    </w:p>
    <w:p>
      <w:pPr>
        <w:keepNext w:val="0"/>
        <w:keepLines w:val="0"/>
        <w:pageBreakBefore w:val="0"/>
        <w:widowControl w:val="0"/>
        <w:tabs>
          <w:tab w:val="left" w:pos="744"/>
        </w:tabs>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b w:val="0"/>
          <w:bCs w:val="0"/>
          <w:color w:val="auto"/>
          <w:sz w:val="24"/>
          <w:szCs w:val="24"/>
          <w:highlight w:val="none"/>
          <w:u w:val="none"/>
        </w:rPr>
      </w:pPr>
      <w:r>
        <w:rPr>
          <w:rFonts w:hint="eastAsia" w:ascii="仿宋" w:hAnsi="仿宋" w:eastAsia="仿宋" w:cs="仿宋"/>
          <w:color w:val="auto"/>
          <w:sz w:val="24"/>
          <w:szCs w:val="24"/>
          <w:highlight w:val="none"/>
          <w:u w:val="none"/>
          <w:lang w:val="en-US" w:eastAsia="zh-CN"/>
        </w:rPr>
        <w:t>以上扣分由甲方获取的信息为准，乙方对此无异议。</w:t>
      </w:r>
    </w:p>
    <w:p>
      <w:pPr>
        <w:pageBreakBefore w:val="0"/>
        <w:widowControl w:val="0"/>
        <w:tabs>
          <w:tab w:val="left" w:pos="744"/>
        </w:tabs>
        <w:kinsoku/>
        <w:wordWrap/>
        <w:overflowPunct/>
        <w:topLinePunct w:val="0"/>
        <w:autoSpaceDE/>
        <w:autoSpaceDN/>
        <w:bidi w:val="0"/>
        <w:snapToGrid/>
        <w:spacing w:line="360" w:lineRule="auto"/>
        <w:ind w:left="0" w:firstLine="482" w:firstLineChars="20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第</w:t>
      </w:r>
      <w:r>
        <w:rPr>
          <w:rFonts w:hint="eastAsia" w:ascii="仿宋" w:hAnsi="仿宋" w:eastAsia="仿宋" w:cs="仿宋"/>
          <w:b/>
          <w:bCs/>
          <w:color w:val="auto"/>
          <w:sz w:val="24"/>
          <w:szCs w:val="24"/>
          <w:highlight w:val="none"/>
          <w:lang w:val="en-US" w:eastAsia="zh-CN"/>
        </w:rPr>
        <w:t>七</w:t>
      </w:r>
      <w:r>
        <w:rPr>
          <w:rFonts w:hint="eastAsia" w:ascii="仿宋" w:hAnsi="仿宋" w:eastAsia="仿宋" w:cs="仿宋"/>
          <w:b/>
          <w:bCs/>
          <w:color w:val="auto"/>
          <w:sz w:val="24"/>
          <w:szCs w:val="24"/>
          <w:highlight w:val="none"/>
        </w:rPr>
        <w:t>条费用的支付</w:t>
      </w:r>
    </w:p>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1、合同签订，场景设施设备配置完毕，软装结束且经甲方验收（以上期间不算在服务期内，且乙方最迟应在   年  月  日前完成）并在收到乙方等额含税发票后的7个工作日内，甲方向乙方支付本年度金额的25%。</w:t>
      </w:r>
    </w:p>
    <w:p>
      <w:pPr>
        <w:pageBreakBefore w:val="0"/>
        <w:widowControl w:val="0"/>
        <w:kinsoku/>
        <w:wordWrap/>
        <w:overflowPunct/>
        <w:topLinePunct w:val="0"/>
        <w:autoSpaceDE/>
        <w:autoSpaceDN/>
        <w:bidi w:val="0"/>
        <w:snapToGrid/>
        <w:spacing w:line="360" w:lineRule="auto"/>
        <w:ind w:left="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2、服务期开始</w:t>
      </w:r>
      <w:r>
        <w:rPr>
          <w:rFonts w:hint="eastAsia" w:ascii="仿宋" w:hAnsi="仿宋" w:eastAsia="仿宋" w:cs="仿宋"/>
          <w:color w:val="auto"/>
          <w:sz w:val="24"/>
          <w:szCs w:val="24"/>
          <w:highlight w:val="none"/>
          <w:lang w:val="en-US" w:eastAsia="zh-CN"/>
        </w:rPr>
        <w:t>每一季度结束后</w:t>
      </w:r>
      <w:r>
        <w:rPr>
          <w:rFonts w:hint="eastAsia" w:ascii="仿宋" w:hAnsi="仿宋" w:eastAsia="仿宋" w:cs="仿宋"/>
          <w:color w:val="auto"/>
          <w:sz w:val="24"/>
          <w:szCs w:val="24"/>
          <w:highlight w:val="none"/>
          <w:lang w:val="en-US" w:eastAsia="zh-CN"/>
        </w:rPr>
        <w:t>，经甲方考核合格并在收到乙方等额含税发票后的7个工作日内，甲方</w:t>
      </w:r>
      <w:r>
        <w:rPr>
          <w:rFonts w:hint="eastAsia" w:ascii="仿宋" w:hAnsi="仿宋" w:eastAsia="仿宋" w:cs="仿宋"/>
          <w:b/>
          <w:bCs/>
          <w:color w:val="auto"/>
          <w:sz w:val="24"/>
          <w:szCs w:val="24"/>
          <w:highlight w:val="none"/>
          <w:u w:val="single"/>
          <w:lang w:val="en-US" w:eastAsia="zh-CN"/>
        </w:rPr>
        <w:t>分别</w:t>
      </w:r>
      <w:r>
        <w:rPr>
          <w:rFonts w:hint="eastAsia" w:ascii="仿宋" w:hAnsi="仿宋" w:eastAsia="仿宋" w:cs="仿宋"/>
          <w:color w:val="auto"/>
          <w:sz w:val="24"/>
          <w:szCs w:val="24"/>
          <w:highlight w:val="none"/>
          <w:lang w:val="en-US" w:eastAsia="zh-CN"/>
        </w:rPr>
        <w:t>向乙方支付本年度金额的25%，3次支付的总金额为本年度金额的75%。</w:t>
      </w:r>
    </w:p>
    <w:p>
      <w:pPr>
        <w:pageBreakBefore w:val="0"/>
        <w:widowControl w:val="0"/>
        <w:kinsoku/>
        <w:wordWrap/>
        <w:overflowPunct/>
        <w:topLinePunct w:val="0"/>
        <w:autoSpaceDE/>
        <w:autoSpaceDN/>
        <w:bidi w:val="0"/>
        <w:snapToGrid/>
        <w:spacing w:line="360" w:lineRule="auto"/>
        <w:ind w:lef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3、后续年度的服务费用支付方式同上。</w:t>
      </w:r>
    </w:p>
    <w:p>
      <w:pPr>
        <w:pageBreakBefore w:val="0"/>
        <w:widowControl w:val="0"/>
        <w:numPr>
          <w:ilvl w:val="0"/>
          <w:numId w:val="0"/>
        </w:numPr>
        <w:kinsoku/>
        <w:wordWrap/>
        <w:overflowPunct/>
        <w:topLinePunct w:val="0"/>
        <w:autoSpaceDE/>
        <w:autoSpaceDN/>
        <w:bidi w:val="0"/>
        <w:snapToGrid/>
        <w:spacing w:line="360" w:lineRule="auto"/>
        <w:ind w:lef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4、本合同项下，乙方指定收款银行账户信息如下：</w:t>
      </w:r>
    </w:p>
    <w:p>
      <w:pPr>
        <w:pageBreakBefore w:val="0"/>
        <w:widowControl w:val="0"/>
        <w:kinsoku/>
        <w:wordWrap/>
        <w:overflowPunct/>
        <w:topLinePunct w:val="0"/>
        <w:autoSpaceDE/>
        <w:autoSpaceDN/>
        <w:bidi w:val="0"/>
        <w:snapToGrid/>
        <w:spacing w:line="360" w:lineRule="auto"/>
        <w:ind w:lef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公司名称：</w:t>
      </w:r>
    </w:p>
    <w:p>
      <w:pPr>
        <w:pageBreakBefore w:val="0"/>
        <w:widowControl w:val="0"/>
        <w:kinsoku/>
        <w:wordWrap/>
        <w:overflowPunct/>
        <w:topLinePunct w:val="0"/>
        <w:autoSpaceDE/>
        <w:autoSpaceDN/>
        <w:bidi w:val="0"/>
        <w:snapToGrid/>
        <w:spacing w:line="360" w:lineRule="auto"/>
        <w:ind w:lef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银行账户：</w:t>
      </w:r>
    </w:p>
    <w:p>
      <w:pPr>
        <w:pageBreakBefore w:val="0"/>
        <w:widowControl w:val="0"/>
        <w:kinsoku/>
        <w:wordWrap/>
        <w:overflowPunct/>
        <w:topLinePunct w:val="0"/>
        <w:autoSpaceDE/>
        <w:autoSpaceDN/>
        <w:bidi w:val="0"/>
        <w:snapToGrid/>
        <w:spacing w:line="360" w:lineRule="auto"/>
        <w:ind w:lef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开户行：</w:t>
      </w:r>
    </w:p>
    <w:p>
      <w:pPr>
        <w:pageBreakBefore w:val="0"/>
        <w:widowControl w:val="0"/>
        <w:tabs>
          <w:tab w:val="left" w:pos="744"/>
        </w:tabs>
        <w:kinsoku/>
        <w:wordWrap/>
        <w:overflowPunct/>
        <w:topLinePunct w:val="0"/>
        <w:autoSpaceDE/>
        <w:autoSpaceDN/>
        <w:bidi w:val="0"/>
        <w:snapToGrid/>
        <w:spacing w:line="360" w:lineRule="auto"/>
        <w:ind w:left="0" w:firstLine="482" w:firstLineChars="200"/>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第七条保密条款</w:t>
      </w:r>
    </w:p>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在执行合同时，乙方未经甲方同意，不得将所接触到的技术或业务资料、数据用作其他用途或以任何形式泄露，否则乙方将承担由此引起的法律责任和甲方损失。甲、乙双方对所有本外包项目的有关资料，不得向第三方透露。</w:t>
      </w:r>
    </w:p>
    <w:p>
      <w:pPr>
        <w:pageBreakBefore w:val="0"/>
        <w:widowControl w:val="0"/>
        <w:tabs>
          <w:tab w:val="left" w:pos="744"/>
        </w:tabs>
        <w:kinsoku/>
        <w:wordWrap/>
        <w:overflowPunct/>
        <w:topLinePunct w:val="0"/>
        <w:autoSpaceDE/>
        <w:autoSpaceDN/>
        <w:bidi w:val="0"/>
        <w:snapToGrid/>
        <w:spacing w:line="360" w:lineRule="auto"/>
        <w:ind w:left="0" w:firstLine="482" w:firstLineChars="200"/>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第八条违约责任</w:t>
      </w:r>
    </w:p>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、乙方</w:t>
      </w:r>
      <w:r>
        <w:rPr>
          <w:rFonts w:hint="eastAsia" w:ascii="仿宋" w:hAnsi="仿宋" w:eastAsia="仿宋" w:cs="仿宋"/>
          <w:color w:val="auto"/>
          <w:sz w:val="24"/>
          <w:szCs w:val="24"/>
          <w:lang w:eastAsia="zh-CN"/>
        </w:rPr>
        <w:t>未能如期提供服务的</w:t>
      </w:r>
      <w:r>
        <w:rPr>
          <w:rFonts w:hint="eastAsia" w:ascii="仿宋" w:hAnsi="仿宋" w:eastAsia="仿宋" w:cs="仿宋"/>
          <w:color w:val="auto"/>
          <w:sz w:val="24"/>
          <w:szCs w:val="24"/>
          <w:lang w:eastAsia="zh-CN"/>
        </w:rPr>
        <w:t>或因其他违约行为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应向甲方每日偿付合同</w:t>
      </w:r>
      <w:r>
        <w:rPr>
          <w:rFonts w:hint="eastAsia" w:ascii="仿宋" w:hAnsi="仿宋" w:eastAsia="仿宋" w:cs="仿宋"/>
          <w:color w:val="auto"/>
          <w:sz w:val="24"/>
          <w:szCs w:val="24"/>
          <w:lang w:eastAsia="zh-CN"/>
        </w:rPr>
        <w:t>款</w:t>
      </w:r>
      <w:r>
        <w:rPr>
          <w:rFonts w:hint="eastAsia" w:ascii="仿宋" w:hAnsi="仿宋" w:eastAsia="仿宋" w:cs="仿宋"/>
          <w:color w:val="auto"/>
          <w:sz w:val="24"/>
          <w:szCs w:val="24"/>
          <w:lang w:val="en-US" w:eastAsia="zh-CN"/>
        </w:rPr>
        <w:t>千</w:t>
      </w:r>
      <w:r>
        <w:rPr>
          <w:rFonts w:hint="eastAsia" w:ascii="仿宋" w:hAnsi="仿宋" w:eastAsia="仿宋" w:cs="仿宋"/>
          <w:color w:val="auto"/>
          <w:sz w:val="24"/>
          <w:szCs w:val="24"/>
        </w:rPr>
        <w:t>分之</w:t>
      </w:r>
      <w:r>
        <w:rPr>
          <w:rFonts w:hint="eastAsia" w:ascii="仿宋" w:hAnsi="仿宋" w:eastAsia="仿宋" w:cs="仿宋"/>
          <w:color w:val="auto"/>
          <w:sz w:val="24"/>
          <w:szCs w:val="24"/>
          <w:lang w:val="en-US" w:eastAsia="zh-CN"/>
        </w:rPr>
        <w:t>伍</w:t>
      </w:r>
      <w:r>
        <w:rPr>
          <w:rFonts w:hint="eastAsia" w:ascii="仿宋" w:hAnsi="仿宋" w:eastAsia="仿宋" w:cs="仿宋"/>
          <w:color w:val="auto"/>
          <w:sz w:val="24"/>
          <w:szCs w:val="24"/>
        </w:rPr>
        <w:t>的违约金。乙方逾期30天</w:t>
      </w:r>
      <w:r>
        <w:rPr>
          <w:rFonts w:hint="eastAsia" w:ascii="仿宋" w:hAnsi="仿宋" w:eastAsia="仿宋" w:cs="仿宋"/>
          <w:color w:val="auto"/>
          <w:sz w:val="24"/>
          <w:szCs w:val="24"/>
          <w:lang w:eastAsia="zh-CN"/>
        </w:rPr>
        <w:t>仍不能提供服务的</w:t>
      </w:r>
      <w:r>
        <w:rPr>
          <w:rFonts w:hint="eastAsia" w:ascii="仿宋" w:hAnsi="仿宋" w:eastAsia="仿宋" w:cs="仿宋"/>
          <w:color w:val="auto"/>
          <w:sz w:val="24"/>
          <w:szCs w:val="24"/>
          <w:lang w:eastAsia="zh-CN"/>
        </w:rPr>
        <w:t>或因其他违约行为</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以及</w:t>
      </w:r>
      <w:r>
        <w:rPr>
          <w:rFonts w:hint="eastAsia" w:ascii="仿宋" w:hAnsi="仿宋" w:eastAsia="仿宋" w:cs="仿宋"/>
          <w:b w:val="0"/>
          <w:bCs w:val="0"/>
          <w:color w:val="auto"/>
          <w:sz w:val="24"/>
          <w:szCs w:val="24"/>
          <w:u w:val="none"/>
          <w:lang w:val="en-US" w:eastAsia="zh-CN"/>
        </w:rPr>
        <w:t>年度考核不达标，</w:t>
      </w:r>
      <w:r>
        <w:rPr>
          <w:rFonts w:hint="eastAsia" w:ascii="仿宋" w:hAnsi="仿宋" w:eastAsia="仿宋" w:cs="仿宋"/>
          <w:color w:val="auto"/>
          <w:sz w:val="24"/>
          <w:szCs w:val="24"/>
          <w:lang w:eastAsia="zh-CN"/>
        </w:rPr>
        <w:t>甲方有权单方解除本合同，</w:t>
      </w:r>
      <w:r>
        <w:rPr>
          <w:rFonts w:hint="eastAsia" w:ascii="仿宋" w:hAnsi="仿宋" w:eastAsia="仿宋" w:cs="仿宋"/>
          <w:color w:val="auto"/>
          <w:sz w:val="24"/>
          <w:szCs w:val="24"/>
          <w:lang w:eastAsia="zh-CN"/>
        </w:rPr>
        <w:t>双方据实结算服务款项。</w:t>
      </w:r>
      <w:r>
        <w:rPr>
          <w:rFonts w:hint="eastAsia" w:ascii="仿宋" w:hAnsi="仿宋" w:eastAsia="仿宋" w:cs="仿宋"/>
          <w:color w:val="auto"/>
          <w:sz w:val="24"/>
          <w:szCs w:val="24"/>
          <w:lang w:eastAsia="zh-CN"/>
        </w:rPr>
        <w:t>乙方因未能如期提供服务或因其他违约行为导致甲方解除合同的，</w:t>
      </w:r>
      <w:r>
        <w:rPr>
          <w:rFonts w:hint="eastAsia" w:ascii="仿宋" w:hAnsi="仿宋" w:eastAsia="仿宋" w:cs="仿宋"/>
          <w:color w:val="auto"/>
          <w:sz w:val="24"/>
          <w:szCs w:val="24"/>
        </w:rPr>
        <w:t>应向甲方支付合同总价</w:t>
      </w:r>
      <w:r>
        <w:rPr>
          <w:rFonts w:hint="eastAsia" w:ascii="仿宋" w:hAnsi="仿宋" w:eastAsia="仿宋" w:cs="仿宋"/>
          <w:b w:val="0"/>
          <w:bCs w:val="0"/>
          <w:color w:val="auto"/>
          <w:sz w:val="24"/>
          <w:szCs w:val="24"/>
          <w:u w:val="none"/>
          <w:lang w:val="en-US" w:eastAsia="zh-CN"/>
        </w:rPr>
        <w:t>百分之十</w:t>
      </w:r>
      <w:r>
        <w:rPr>
          <w:rFonts w:hint="eastAsia" w:ascii="仿宋" w:hAnsi="仿宋" w:eastAsia="仿宋" w:cs="仿宋"/>
          <w:color w:val="auto"/>
          <w:sz w:val="24"/>
          <w:szCs w:val="24"/>
          <w:lang w:eastAsia="zh-CN"/>
        </w:rPr>
        <w:t>作为</w:t>
      </w:r>
      <w:r>
        <w:rPr>
          <w:rFonts w:hint="eastAsia" w:ascii="仿宋" w:hAnsi="仿宋" w:eastAsia="仿宋" w:cs="仿宋"/>
          <w:color w:val="auto"/>
          <w:sz w:val="24"/>
          <w:szCs w:val="24"/>
        </w:rPr>
        <w:t>违约金。</w:t>
      </w:r>
    </w:p>
    <w:p>
      <w:pPr>
        <w:pageBreakBefore w:val="0"/>
        <w:widowControl w:val="0"/>
        <w:tabs>
          <w:tab w:val="left" w:pos="744"/>
        </w:tabs>
        <w:kinsoku/>
        <w:wordWrap/>
        <w:overflowPunct/>
        <w:topLinePunct w:val="0"/>
        <w:autoSpaceDE/>
        <w:autoSpaceDN/>
        <w:bidi w:val="0"/>
        <w:adjustRightInd/>
        <w:snapToGrid/>
        <w:spacing w:line="360" w:lineRule="auto"/>
        <w:ind w:left="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2、乙方所供服务与合同要求不符，甲方有权拒收并结束本合同，并按《中华人民共和国民法典》中的有关条款索赔。</w:t>
      </w:r>
    </w:p>
    <w:p>
      <w:pPr>
        <w:pStyle w:val="2"/>
        <w:pageBreakBefore w:val="0"/>
        <w:widowControl w:val="0"/>
        <w:kinsoku/>
        <w:wordWrap/>
        <w:overflowPunct/>
        <w:topLinePunct w:val="0"/>
        <w:autoSpaceDE/>
        <w:autoSpaceDN/>
        <w:bidi w:val="0"/>
        <w:adjustRightInd/>
        <w:snapToGrid/>
        <w:spacing w:before="0" w:after="0" w:line="360" w:lineRule="auto"/>
        <w:ind w:left="0" w:firstLine="480" w:firstLineChars="200"/>
        <w:textAlignment w:val="auto"/>
        <w:rPr>
          <w:rFonts w:hint="eastAsia" w:ascii="仿宋" w:hAnsi="仿宋" w:eastAsia="仿宋" w:cs="仿宋"/>
          <w:b w:val="0"/>
          <w:bCs w:val="0"/>
          <w:color w:val="auto"/>
          <w:sz w:val="24"/>
          <w:szCs w:val="24"/>
          <w:u w:val="none"/>
          <w:lang w:val="en-US" w:eastAsia="zh-CN"/>
        </w:rPr>
      </w:pPr>
      <w:r>
        <w:rPr>
          <w:rFonts w:hint="eastAsia" w:ascii="仿宋" w:hAnsi="仿宋" w:eastAsia="仿宋" w:cs="仿宋"/>
          <w:b w:val="0"/>
          <w:bCs w:val="0"/>
          <w:color w:val="auto"/>
          <w:sz w:val="24"/>
          <w:szCs w:val="24"/>
          <w:u w:val="none"/>
          <w:lang w:val="en-US" w:eastAsia="zh-CN"/>
        </w:rPr>
        <w:t>3、乙方因自身原因单方面解除合同需提前3个月书面告知甲方，并按前述第八条第一款执行。</w:t>
      </w:r>
    </w:p>
    <w:p>
      <w:pPr>
        <w:pStyle w:val="2"/>
        <w:pageBreakBefore w:val="0"/>
        <w:widowControl w:val="0"/>
        <w:kinsoku/>
        <w:wordWrap/>
        <w:overflowPunct/>
        <w:topLinePunct w:val="0"/>
        <w:autoSpaceDE/>
        <w:autoSpaceDN/>
        <w:bidi w:val="0"/>
        <w:adjustRightInd/>
        <w:snapToGrid/>
        <w:spacing w:before="0" w:after="0" w:line="360" w:lineRule="auto"/>
        <w:ind w:left="0"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第九条　不可抗力</w:t>
      </w:r>
    </w:p>
    <w:p>
      <w:pPr>
        <w:pStyle w:val="2"/>
        <w:pageBreakBefore w:val="0"/>
        <w:widowControl w:val="0"/>
        <w:kinsoku/>
        <w:wordWrap/>
        <w:overflowPunct/>
        <w:topLinePunct w:val="0"/>
        <w:autoSpaceDE/>
        <w:autoSpaceDN/>
        <w:bidi w:val="0"/>
        <w:snapToGrid/>
        <w:spacing w:before="0" w:after="0" w:line="360" w:lineRule="auto"/>
        <w:ind w:left="0"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不可抗力是指《中华人民共和国民法典》所列举的不可抗力。不可抗力一旦发生，证明文件由法律规定部门签署，并由甲方、乙方及采购代理机构三方协商合同逾期履行和继续履行的方法，在此情况下，任何一方不能要求损失赔偿。</w:t>
      </w:r>
    </w:p>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第十条争议的解决</w:t>
      </w:r>
    </w:p>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（1）合同在履行过程中发生争议时，甲方与乙方及时协商解决。协商不成时，提请</w:t>
      </w:r>
      <w:r>
        <w:rPr>
          <w:rFonts w:hint="eastAsia" w:ascii="仿宋" w:hAnsi="仿宋" w:eastAsia="仿宋" w:cs="仿宋"/>
          <w:color w:val="auto"/>
          <w:sz w:val="24"/>
          <w:szCs w:val="24"/>
          <w:lang w:eastAsia="zh-CN"/>
        </w:rPr>
        <w:t>甲方所在地人民法院处理</w:t>
      </w:r>
      <w:r>
        <w:rPr>
          <w:rFonts w:hint="eastAsia" w:ascii="仿宋" w:hAnsi="仿宋" w:eastAsia="仿宋" w:cs="仿宋"/>
          <w:color w:val="auto"/>
          <w:sz w:val="24"/>
          <w:szCs w:val="24"/>
        </w:rPr>
        <w:t>。</w:t>
      </w:r>
    </w:p>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（2）对于因违反或终止合同而引起的损失、损害的赔偿，由甲方与乙方友好协商解决，经协商仍未能达成一致的，提交</w:t>
      </w:r>
      <w:r>
        <w:rPr>
          <w:rFonts w:hint="eastAsia" w:ascii="仿宋" w:hAnsi="仿宋" w:eastAsia="仿宋" w:cs="仿宋"/>
          <w:color w:val="auto"/>
          <w:sz w:val="24"/>
          <w:szCs w:val="24"/>
          <w:lang w:eastAsia="zh-CN"/>
        </w:rPr>
        <w:t>甲方所在地人民法院处理</w:t>
      </w:r>
      <w:r>
        <w:rPr>
          <w:rFonts w:hint="eastAsia" w:ascii="仿宋" w:hAnsi="仿宋" w:eastAsia="仿宋" w:cs="仿宋"/>
          <w:color w:val="auto"/>
          <w:sz w:val="24"/>
          <w:szCs w:val="24"/>
        </w:rPr>
        <w:t>。</w:t>
      </w:r>
    </w:p>
    <w:p>
      <w:pPr>
        <w:pageBreakBefore w:val="0"/>
        <w:widowControl w:val="0"/>
        <w:tabs>
          <w:tab w:val="left" w:pos="744"/>
        </w:tabs>
        <w:kinsoku/>
        <w:wordWrap/>
        <w:overflowPunct/>
        <w:topLinePunct w:val="0"/>
        <w:autoSpaceDE/>
        <w:autoSpaceDN/>
        <w:bidi w:val="0"/>
        <w:snapToGrid/>
        <w:spacing w:line="360" w:lineRule="auto"/>
        <w:ind w:left="0" w:firstLine="482" w:firstLineChars="200"/>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rPr>
        <w:t>第十一条合同的</w:t>
      </w:r>
      <w:r>
        <w:rPr>
          <w:rFonts w:hint="eastAsia" w:ascii="仿宋" w:hAnsi="仿宋" w:eastAsia="仿宋" w:cs="仿宋"/>
          <w:b/>
          <w:bCs/>
          <w:color w:val="auto"/>
          <w:sz w:val="24"/>
          <w:szCs w:val="24"/>
          <w:lang w:val="en-US" w:eastAsia="zh-CN"/>
        </w:rPr>
        <w:t>其他</w:t>
      </w:r>
    </w:p>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（1）未经过甲方的书面同意，乙方不得转让其应履行的合同项下的义务</w:t>
      </w:r>
      <w:r>
        <w:rPr>
          <w:rFonts w:hint="eastAsia" w:ascii="仿宋" w:hAnsi="仿宋" w:eastAsia="仿宋" w:cs="仿宋"/>
          <w:color w:val="auto"/>
          <w:sz w:val="24"/>
          <w:szCs w:val="24"/>
          <w:lang w:val="en-US" w:eastAsia="zh-CN"/>
        </w:rPr>
        <w:t>并且不得</w:t>
      </w:r>
      <w:r>
        <w:rPr>
          <w:rFonts w:hint="eastAsia" w:ascii="仿宋" w:hAnsi="仿宋" w:eastAsia="仿宋" w:cs="仿宋"/>
          <w:color w:val="auto"/>
          <w:sz w:val="24"/>
          <w:szCs w:val="24"/>
        </w:rPr>
        <w:t>将部分合同项下的</w:t>
      </w:r>
      <w:r>
        <w:rPr>
          <w:rFonts w:hint="eastAsia" w:ascii="仿宋" w:hAnsi="仿宋" w:eastAsia="仿宋" w:cs="仿宋"/>
          <w:color w:val="auto"/>
          <w:sz w:val="24"/>
          <w:szCs w:val="24"/>
          <w:lang w:val="en-US" w:eastAsia="zh-CN"/>
        </w:rPr>
        <w:t>任何项目</w:t>
      </w:r>
      <w:r>
        <w:rPr>
          <w:rFonts w:hint="eastAsia" w:ascii="仿宋" w:hAnsi="仿宋" w:eastAsia="仿宋" w:cs="仿宋"/>
          <w:color w:val="auto"/>
          <w:sz w:val="24"/>
          <w:szCs w:val="24"/>
        </w:rPr>
        <w:t>义务分包给</w:t>
      </w:r>
      <w:r>
        <w:rPr>
          <w:rFonts w:hint="eastAsia" w:ascii="仿宋" w:hAnsi="仿宋" w:eastAsia="仿宋" w:cs="仿宋"/>
          <w:color w:val="auto"/>
          <w:sz w:val="24"/>
          <w:szCs w:val="24"/>
          <w:lang w:val="en-US" w:eastAsia="zh-CN"/>
        </w:rPr>
        <w:t>交由</w:t>
      </w:r>
      <w:r>
        <w:rPr>
          <w:rFonts w:hint="eastAsia" w:ascii="仿宋" w:hAnsi="仿宋" w:eastAsia="仿宋" w:cs="仿宋"/>
          <w:color w:val="auto"/>
          <w:sz w:val="24"/>
          <w:szCs w:val="24"/>
        </w:rPr>
        <w:t>其他单位完成。</w:t>
      </w:r>
    </w:p>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（2）乙方不得参与可能与合同规定的与甲方的利益相冲突的任何活动。</w:t>
      </w:r>
    </w:p>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）合同履行期内甲乙双方均不得随意变更或解除合同。合同若有未尽事宜，需经双方共同协商，并订立补充协议，补充协议与本合同有同等法律效力。</w:t>
      </w:r>
    </w:p>
    <w:p>
      <w:pPr>
        <w:pageBreakBefore w:val="0"/>
        <w:widowControl w:val="0"/>
        <w:tabs>
          <w:tab w:val="left" w:pos="744"/>
        </w:tabs>
        <w:kinsoku/>
        <w:wordWrap/>
        <w:overflowPunct/>
        <w:topLinePunct w:val="0"/>
        <w:autoSpaceDE/>
        <w:autoSpaceDN/>
        <w:bidi w:val="0"/>
        <w:snapToGrid/>
        <w:spacing w:line="360" w:lineRule="auto"/>
        <w:ind w:left="0" w:firstLine="482" w:firstLineChars="200"/>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rPr>
        <w:t>第十二条其它</w:t>
      </w:r>
      <w:r>
        <w:rPr>
          <w:rFonts w:hint="eastAsia" w:ascii="仿宋" w:hAnsi="仿宋" w:eastAsia="仿宋" w:cs="仿宋"/>
          <w:b/>
          <w:bCs/>
          <w:color w:val="auto"/>
          <w:sz w:val="24"/>
          <w:szCs w:val="24"/>
          <w:lang w:val="en-US" w:eastAsia="zh-CN"/>
        </w:rPr>
        <w:t>事项约定</w:t>
      </w:r>
    </w:p>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）本合同经甲乙双方法定代表人</w:t>
      </w:r>
      <w:r>
        <w:rPr>
          <w:rFonts w:hint="eastAsia" w:ascii="仿宋" w:hAnsi="仿宋" w:eastAsia="仿宋" w:cs="仿宋"/>
          <w:color w:val="auto"/>
          <w:sz w:val="24"/>
          <w:szCs w:val="24"/>
          <w:lang w:eastAsia="zh-CN"/>
        </w:rPr>
        <w:t>签字并加盖公章后生效</w:t>
      </w:r>
      <w:r>
        <w:rPr>
          <w:rFonts w:hint="eastAsia" w:ascii="仿宋" w:hAnsi="仿宋" w:eastAsia="仿宋" w:cs="仿宋"/>
          <w:color w:val="auto"/>
          <w:sz w:val="24"/>
          <w:szCs w:val="24"/>
        </w:rPr>
        <w:t>。</w:t>
      </w:r>
    </w:p>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）本合同一式四份，甲方、乙方各执二份。</w:t>
      </w:r>
    </w:p>
    <w:p>
      <w:pPr>
        <w:pageBreakBefore w:val="0"/>
        <w:widowControl w:val="0"/>
        <w:tabs>
          <w:tab w:val="left" w:pos="744"/>
        </w:tabs>
        <w:kinsoku/>
        <w:wordWrap/>
        <w:overflowPunct/>
        <w:topLinePunct w:val="0"/>
        <w:autoSpaceDE/>
        <w:autoSpaceDN/>
        <w:bidi w:val="0"/>
        <w:snapToGrid/>
        <w:spacing w:line="360" w:lineRule="auto"/>
        <w:ind w:left="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适用法律：本合同</w:t>
      </w:r>
      <w:r>
        <w:rPr>
          <w:rFonts w:hint="eastAsia" w:ascii="仿宋" w:hAnsi="仿宋" w:eastAsia="仿宋" w:cs="仿宋"/>
          <w:color w:val="auto"/>
          <w:sz w:val="24"/>
          <w:szCs w:val="24"/>
          <w:lang w:val="en-US"/>
        </w:rPr>
        <w:t>应按照中华人民共和国的法律进行解释</w:t>
      </w:r>
      <w:r>
        <w:rPr>
          <w:rFonts w:hint="eastAsia" w:ascii="仿宋" w:hAnsi="仿宋" w:eastAsia="仿宋" w:cs="仿宋"/>
          <w:color w:val="auto"/>
          <w:sz w:val="24"/>
          <w:szCs w:val="24"/>
          <w:lang w:val="en-US" w:eastAsia="zh-CN"/>
        </w:rPr>
        <w:t>适用中华人民共和国法律</w:t>
      </w:r>
      <w:r>
        <w:rPr>
          <w:rFonts w:hint="eastAsia" w:ascii="仿宋" w:hAnsi="仿宋" w:eastAsia="仿宋" w:cs="仿宋"/>
          <w:color w:val="auto"/>
          <w:sz w:val="24"/>
          <w:szCs w:val="24"/>
        </w:rPr>
        <w:t>。</w:t>
      </w:r>
    </w:p>
    <w:p>
      <w:pPr>
        <w:rPr>
          <w:rFonts w:hint="eastAsia" w:ascii="仿宋" w:hAnsi="仿宋" w:eastAsia="仿宋" w:cs="仿宋"/>
          <w:color w:val="auto"/>
          <w:sz w:val="24"/>
          <w:szCs w:val="24"/>
          <w:highlight w:val="none"/>
        </w:rPr>
      </w:pPr>
    </w:p>
    <w:tbl>
      <w:tblPr>
        <w:tblStyle w:val="62"/>
        <w:tblpPr w:leftFromText="180" w:rightFromText="180" w:vertAnchor="text" w:horzAnchor="page" w:tblpX="1642" w:tblpY="144"/>
        <w:tblOverlap w:val="never"/>
        <w:tblW w:w="8779" w:type="dxa"/>
        <w:tblCellSpacing w:w="0" w:type="dxa"/>
        <w:tblInd w:w="0" w:type="dxa"/>
        <w:tblLayout w:type="fixed"/>
        <w:tblCellMar>
          <w:top w:w="0" w:type="dxa"/>
          <w:left w:w="0" w:type="dxa"/>
          <w:bottom w:w="0" w:type="dxa"/>
          <w:right w:w="0" w:type="dxa"/>
        </w:tblCellMar>
      </w:tblPr>
      <w:tblGrid>
        <w:gridCol w:w="4130"/>
        <w:gridCol w:w="4649"/>
      </w:tblGrid>
      <w:tr>
        <w:tblPrEx>
          <w:tblCellMar>
            <w:top w:w="0" w:type="dxa"/>
            <w:left w:w="0" w:type="dxa"/>
            <w:bottom w:w="0" w:type="dxa"/>
            <w:right w:w="0" w:type="dxa"/>
          </w:tblCellMar>
        </w:tblPrEx>
        <w:trPr>
          <w:trHeight w:val="447" w:hRule="atLeast"/>
          <w:tblCellSpacing w:w="0" w:type="dxa"/>
        </w:trPr>
        <w:tc>
          <w:tcPr>
            <w:tcW w:w="4130" w:type="dxa"/>
            <w:vAlign w:val="center"/>
          </w:tcPr>
          <w:p>
            <w:pPr>
              <w:tabs>
                <w:tab w:val="left" w:pos="744"/>
              </w:tabs>
              <w:spacing w:line="400" w:lineRule="exact"/>
              <w:ind w:firstLine="352" w:firstLineChars="147"/>
              <w:jc w:val="left"/>
              <w:rPr>
                <w:rFonts w:ascii="仿宋" w:hAnsi="仿宋" w:eastAsia="仿宋" w:cs="仿宋"/>
                <w:color w:val="auto"/>
                <w:sz w:val="24"/>
                <w:highlight w:val="none"/>
              </w:rPr>
            </w:pPr>
            <w:r>
              <w:rPr>
                <w:rFonts w:hint="eastAsia" w:ascii="仿宋" w:hAnsi="仿宋" w:eastAsia="仿宋" w:cs="仿宋"/>
                <w:color w:val="auto"/>
                <w:sz w:val="24"/>
                <w:highlight w:val="none"/>
              </w:rPr>
              <w:t>甲方（招标人）（盖章）：</w:t>
            </w:r>
          </w:p>
        </w:tc>
        <w:tc>
          <w:tcPr>
            <w:tcW w:w="4649" w:type="dxa"/>
            <w:vAlign w:val="center"/>
          </w:tcPr>
          <w:p>
            <w:pPr>
              <w:tabs>
                <w:tab w:val="left" w:pos="744"/>
              </w:tabs>
              <w:spacing w:line="400" w:lineRule="exact"/>
              <w:ind w:firstLine="352" w:firstLineChars="147"/>
              <w:jc w:val="left"/>
              <w:rPr>
                <w:rFonts w:ascii="仿宋" w:hAnsi="仿宋" w:eastAsia="仿宋" w:cs="仿宋"/>
                <w:color w:val="auto"/>
                <w:sz w:val="24"/>
                <w:highlight w:val="none"/>
              </w:rPr>
            </w:pPr>
            <w:r>
              <w:rPr>
                <w:rFonts w:hint="eastAsia" w:ascii="仿宋" w:hAnsi="仿宋" w:eastAsia="仿宋" w:cs="仿宋"/>
                <w:color w:val="auto"/>
                <w:sz w:val="24"/>
                <w:highlight w:val="none"/>
              </w:rPr>
              <w:t>乙方（投标人）（盖章）：</w:t>
            </w:r>
          </w:p>
        </w:tc>
      </w:tr>
      <w:tr>
        <w:tblPrEx>
          <w:tblCellMar>
            <w:top w:w="0" w:type="dxa"/>
            <w:left w:w="0" w:type="dxa"/>
            <w:bottom w:w="0" w:type="dxa"/>
            <w:right w:w="0" w:type="dxa"/>
          </w:tblCellMar>
        </w:tblPrEx>
        <w:trPr>
          <w:trHeight w:val="912" w:hRule="atLeast"/>
          <w:tblCellSpacing w:w="0" w:type="dxa"/>
        </w:trPr>
        <w:tc>
          <w:tcPr>
            <w:tcW w:w="4130" w:type="dxa"/>
            <w:vAlign w:val="center"/>
          </w:tcPr>
          <w:p>
            <w:pPr>
              <w:tabs>
                <w:tab w:val="left" w:pos="744"/>
              </w:tabs>
              <w:spacing w:line="400" w:lineRule="exact"/>
              <w:ind w:firstLine="352" w:firstLineChars="147"/>
              <w:jc w:val="left"/>
              <w:rPr>
                <w:rFonts w:ascii="仿宋" w:hAnsi="仿宋" w:eastAsia="仿宋" w:cs="仿宋"/>
                <w:color w:val="auto"/>
                <w:sz w:val="24"/>
                <w:highlight w:val="none"/>
              </w:rPr>
            </w:pPr>
            <w:r>
              <w:rPr>
                <w:rFonts w:hint="eastAsia" w:ascii="仿宋" w:hAnsi="仿宋" w:eastAsia="仿宋" w:cs="仿宋"/>
                <w:color w:val="auto"/>
                <w:sz w:val="24"/>
                <w:highlight w:val="none"/>
              </w:rPr>
              <w:t>法定代表人：</w:t>
            </w:r>
          </w:p>
          <w:p>
            <w:pPr>
              <w:tabs>
                <w:tab w:val="left" w:pos="744"/>
              </w:tabs>
              <w:spacing w:line="400" w:lineRule="exact"/>
              <w:ind w:firstLine="352" w:firstLineChars="147"/>
              <w:jc w:val="left"/>
              <w:rPr>
                <w:rFonts w:ascii="仿宋" w:hAnsi="仿宋" w:eastAsia="仿宋" w:cs="仿宋"/>
                <w:color w:val="auto"/>
                <w:sz w:val="24"/>
                <w:highlight w:val="none"/>
              </w:rPr>
            </w:pPr>
            <w:r>
              <w:rPr>
                <w:rFonts w:hint="eastAsia" w:ascii="仿宋" w:hAnsi="仿宋" w:eastAsia="仿宋" w:cs="仿宋"/>
                <w:color w:val="auto"/>
                <w:sz w:val="24"/>
                <w:highlight w:val="none"/>
              </w:rPr>
              <w:t>或授权委托人（签字）：</w:t>
            </w:r>
          </w:p>
        </w:tc>
        <w:tc>
          <w:tcPr>
            <w:tcW w:w="4649" w:type="dxa"/>
            <w:vAlign w:val="center"/>
          </w:tcPr>
          <w:p>
            <w:pPr>
              <w:tabs>
                <w:tab w:val="left" w:pos="744"/>
              </w:tabs>
              <w:spacing w:line="400" w:lineRule="exact"/>
              <w:ind w:firstLine="352" w:firstLineChars="147"/>
              <w:jc w:val="left"/>
              <w:rPr>
                <w:rFonts w:ascii="仿宋" w:hAnsi="仿宋" w:eastAsia="仿宋" w:cs="仿宋"/>
                <w:color w:val="auto"/>
                <w:sz w:val="24"/>
                <w:highlight w:val="none"/>
              </w:rPr>
            </w:pPr>
            <w:r>
              <w:rPr>
                <w:rFonts w:hint="eastAsia" w:ascii="仿宋" w:hAnsi="仿宋" w:eastAsia="仿宋" w:cs="仿宋"/>
                <w:color w:val="auto"/>
                <w:sz w:val="24"/>
                <w:highlight w:val="none"/>
              </w:rPr>
              <w:t>法定代表人：</w:t>
            </w:r>
          </w:p>
          <w:p>
            <w:pPr>
              <w:tabs>
                <w:tab w:val="left" w:pos="744"/>
              </w:tabs>
              <w:spacing w:line="400" w:lineRule="exact"/>
              <w:ind w:firstLine="352" w:firstLineChars="147"/>
              <w:jc w:val="left"/>
              <w:rPr>
                <w:rFonts w:ascii="仿宋" w:hAnsi="仿宋" w:eastAsia="仿宋" w:cs="仿宋"/>
                <w:color w:val="auto"/>
                <w:sz w:val="24"/>
                <w:highlight w:val="none"/>
              </w:rPr>
            </w:pPr>
            <w:r>
              <w:rPr>
                <w:rFonts w:hint="eastAsia" w:ascii="仿宋" w:hAnsi="仿宋" w:eastAsia="仿宋" w:cs="仿宋"/>
                <w:color w:val="auto"/>
                <w:sz w:val="24"/>
                <w:highlight w:val="none"/>
              </w:rPr>
              <w:t>或授权委托人（签字）：</w:t>
            </w:r>
          </w:p>
        </w:tc>
      </w:tr>
      <w:tr>
        <w:tblPrEx>
          <w:tblCellMar>
            <w:top w:w="0" w:type="dxa"/>
            <w:left w:w="0" w:type="dxa"/>
            <w:bottom w:w="0" w:type="dxa"/>
            <w:right w:w="0" w:type="dxa"/>
          </w:tblCellMar>
        </w:tblPrEx>
        <w:trPr>
          <w:trHeight w:val="447" w:hRule="atLeast"/>
          <w:tblCellSpacing w:w="0" w:type="dxa"/>
        </w:trPr>
        <w:tc>
          <w:tcPr>
            <w:tcW w:w="4130" w:type="dxa"/>
            <w:vAlign w:val="center"/>
          </w:tcPr>
          <w:p>
            <w:pPr>
              <w:tabs>
                <w:tab w:val="left" w:pos="744"/>
              </w:tabs>
              <w:spacing w:line="400" w:lineRule="exact"/>
              <w:ind w:firstLine="352" w:firstLineChars="147"/>
              <w:jc w:val="left"/>
              <w:rPr>
                <w:rFonts w:ascii="仿宋" w:hAnsi="仿宋" w:eastAsia="仿宋" w:cs="仿宋"/>
                <w:color w:val="auto"/>
                <w:sz w:val="24"/>
                <w:highlight w:val="none"/>
              </w:rPr>
            </w:pPr>
            <w:r>
              <w:rPr>
                <w:rFonts w:hint="eastAsia" w:ascii="仿宋" w:hAnsi="仿宋" w:eastAsia="仿宋" w:cs="仿宋"/>
                <w:color w:val="auto"/>
                <w:sz w:val="24"/>
                <w:highlight w:val="none"/>
              </w:rPr>
              <w:t>联系人（签字）：</w:t>
            </w:r>
          </w:p>
        </w:tc>
        <w:tc>
          <w:tcPr>
            <w:tcW w:w="4649" w:type="dxa"/>
            <w:vAlign w:val="center"/>
          </w:tcPr>
          <w:p>
            <w:pPr>
              <w:tabs>
                <w:tab w:val="left" w:pos="744"/>
              </w:tabs>
              <w:spacing w:line="400" w:lineRule="exact"/>
              <w:ind w:firstLine="352" w:firstLineChars="147"/>
              <w:jc w:val="left"/>
              <w:rPr>
                <w:rFonts w:ascii="仿宋" w:hAnsi="仿宋" w:eastAsia="仿宋" w:cs="仿宋"/>
                <w:color w:val="auto"/>
                <w:sz w:val="24"/>
                <w:highlight w:val="none"/>
              </w:rPr>
            </w:pPr>
            <w:r>
              <w:rPr>
                <w:rFonts w:hint="eastAsia" w:ascii="仿宋" w:hAnsi="仿宋" w:eastAsia="仿宋" w:cs="仿宋"/>
                <w:color w:val="auto"/>
                <w:sz w:val="24"/>
                <w:highlight w:val="none"/>
              </w:rPr>
              <w:t>联系人（签字）：</w:t>
            </w:r>
          </w:p>
        </w:tc>
      </w:tr>
      <w:tr>
        <w:tblPrEx>
          <w:tblCellMar>
            <w:top w:w="0" w:type="dxa"/>
            <w:left w:w="0" w:type="dxa"/>
            <w:bottom w:w="0" w:type="dxa"/>
            <w:right w:w="0" w:type="dxa"/>
          </w:tblCellMar>
        </w:tblPrEx>
        <w:trPr>
          <w:trHeight w:val="447" w:hRule="atLeast"/>
          <w:tblCellSpacing w:w="0" w:type="dxa"/>
        </w:trPr>
        <w:tc>
          <w:tcPr>
            <w:tcW w:w="4130" w:type="dxa"/>
            <w:vAlign w:val="center"/>
          </w:tcPr>
          <w:p>
            <w:pPr>
              <w:tabs>
                <w:tab w:val="left" w:pos="744"/>
              </w:tabs>
              <w:spacing w:line="400" w:lineRule="exact"/>
              <w:ind w:firstLine="352" w:firstLineChars="147"/>
              <w:jc w:val="left"/>
              <w:rPr>
                <w:rFonts w:ascii="仿宋" w:hAnsi="仿宋" w:eastAsia="仿宋" w:cs="仿宋"/>
                <w:color w:val="auto"/>
                <w:sz w:val="24"/>
                <w:highlight w:val="none"/>
              </w:rPr>
            </w:pPr>
            <w:r>
              <w:rPr>
                <w:rFonts w:hint="eastAsia" w:ascii="仿宋" w:hAnsi="仿宋" w:eastAsia="仿宋" w:cs="仿宋"/>
                <w:color w:val="auto"/>
                <w:sz w:val="24"/>
                <w:highlight w:val="none"/>
              </w:rPr>
              <w:t>地址：</w:t>
            </w:r>
          </w:p>
        </w:tc>
        <w:tc>
          <w:tcPr>
            <w:tcW w:w="4649" w:type="dxa"/>
            <w:vAlign w:val="center"/>
          </w:tcPr>
          <w:p>
            <w:pPr>
              <w:tabs>
                <w:tab w:val="left" w:pos="744"/>
              </w:tabs>
              <w:spacing w:line="400" w:lineRule="exact"/>
              <w:ind w:firstLine="352" w:firstLineChars="147"/>
              <w:jc w:val="left"/>
              <w:rPr>
                <w:rFonts w:ascii="仿宋" w:hAnsi="仿宋" w:eastAsia="仿宋" w:cs="仿宋"/>
                <w:color w:val="auto"/>
                <w:sz w:val="24"/>
                <w:highlight w:val="none"/>
              </w:rPr>
            </w:pPr>
            <w:r>
              <w:rPr>
                <w:rFonts w:hint="eastAsia" w:ascii="仿宋" w:hAnsi="仿宋" w:eastAsia="仿宋" w:cs="仿宋"/>
                <w:color w:val="auto"/>
                <w:sz w:val="24"/>
                <w:highlight w:val="none"/>
              </w:rPr>
              <w:t>地址：</w:t>
            </w:r>
          </w:p>
        </w:tc>
      </w:tr>
      <w:tr>
        <w:tblPrEx>
          <w:tblCellMar>
            <w:top w:w="0" w:type="dxa"/>
            <w:left w:w="0" w:type="dxa"/>
            <w:bottom w:w="0" w:type="dxa"/>
            <w:right w:w="0" w:type="dxa"/>
          </w:tblCellMar>
        </w:tblPrEx>
        <w:trPr>
          <w:trHeight w:val="447" w:hRule="atLeast"/>
          <w:tblCellSpacing w:w="0" w:type="dxa"/>
        </w:trPr>
        <w:tc>
          <w:tcPr>
            <w:tcW w:w="4130" w:type="dxa"/>
            <w:vAlign w:val="center"/>
          </w:tcPr>
          <w:p>
            <w:pPr>
              <w:tabs>
                <w:tab w:val="left" w:pos="744"/>
              </w:tabs>
              <w:spacing w:line="400" w:lineRule="exact"/>
              <w:ind w:firstLine="352" w:firstLineChars="147"/>
              <w:jc w:val="left"/>
              <w:rPr>
                <w:rFonts w:ascii="仿宋" w:hAnsi="仿宋" w:eastAsia="仿宋" w:cs="仿宋"/>
                <w:color w:val="auto"/>
                <w:sz w:val="24"/>
                <w:highlight w:val="none"/>
              </w:rPr>
            </w:pPr>
            <w:r>
              <w:rPr>
                <w:rFonts w:hint="eastAsia" w:ascii="仿宋" w:hAnsi="仿宋" w:eastAsia="仿宋" w:cs="仿宋"/>
                <w:color w:val="auto"/>
                <w:sz w:val="24"/>
                <w:highlight w:val="none"/>
              </w:rPr>
              <w:t>邮编：</w:t>
            </w:r>
          </w:p>
        </w:tc>
        <w:tc>
          <w:tcPr>
            <w:tcW w:w="4649" w:type="dxa"/>
            <w:vAlign w:val="center"/>
          </w:tcPr>
          <w:p>
            <w:pPr>
              <w:tabs>
                <w:tab w:val="left" w:pos="744"/>
              </w:tabs>
              <w:spacing w:line="400" w:lineRule="exact"/>
              <w:ind w:firstLine="352" w:firstLineChars="147"/>
              <w:jc w:val="left"/>
              <w:rPr>
                <w:rFonts w:ascii="仿宋" w:hAnsi="仿宋" w:eastAsia="仿宋" w:cs="仿宋"/>
                <w:color w:val="auto"/>
                <w:sz w:val="24"/>
                <w:highlight w:val="none"/>
              </w:rPr>
            </w:pPr>
            <w:r>
              <w:rPr>
                <w:rFonts w:hint="eastAsia" w:ascii="仿宋" w:hAnsi="仿宋" w:eastAsia="仿宋" w:cs="仿宋"/>
                <w:color w:val="auto"/>
                <w:sz w:val="24"/>
                <w:highlight w:val="none"/>
              </w:rPr>
              <w:t>邮编：</w:t>
            </w:r>
          </w:p>
        </w:tc>
      </w:tr>
      <w:tr>
        <w:tblPrEx>
          <w:tblCellMar>
            <w:top w:w="0" w:type="dxa"/>
            <w:left w:w="0" w:type="dxa"/>
            <w:bottom w:w="0" w:type="dxa"/>
            <w:right w:w="0" w:type="dxa"/>
          </w:tblCellMar>
        </w:tblPrEx>
        <w:trPr>
          <w:trHeight w:val="447" w:hRule="atLeast"/>
          <w:tblCellSpacing w:w="0" w:type="dxa"/>
        </w:trPr>
        <w:tc>
          <w:tcPr>
            <w:tcW w:w="4130" w:type="dxa"/>
            <w:vAlign w:val="center"/>
          </w:tcPr>
          <w:p>
            <w:pPr>
              <w:tabs>
                <w:tab w:val="left" w:pos="744"/>
              </w:tabs>
              <w:spacing w:line="400" w:lineRule="exact"/>
              <w:ind w:firstLine="352" w:firstLineChars="147"/>
              <w:jc w:val="left"/>
              <w:rPr>
                <w:rFonts w:ascii="仿宋" w:hAnsi="仿宋" w:eastAsia="仿宋" w:cs="仿宋"/>
                <w:color w:val="auto"/>
                <w:sz w:val="24"/>
                <w:highlight w:val="none"/>
              </w:rPr>
            </w:pPr>
            <w:r>
              <w:rPr>
                <w:rFonts w:hint="eastAsia" w:ascii="仿宋" w:hAnsi="仿宋" w:eastAsia="仿宋" w:cs="仿宋"/>
                <w:color w:val="auto"/>
                <w:sz w:val="24"/>
                <w:highlight w:val="none"/>
              </w:rPr>
              <w:t>电话：</w:t>
            </w:r>
          </w:p>
        </w:tc>
        <w:tc>
          <w:tcPr>
            <w:tcW w:w="4649" w:type="dxa"/>
            <w:vAlign w:val="center"/>
          </w:tcPr>
          <w:p>
            <w:pPr>
              <w:tabs>
                <w:tab w:val="left" w:pos="744"/>
              </w:tabs>
              <w:spacing w:line="400" w:lineRule="exact"/>
              <w:ind w:firstLine="352" w:firstLineChars="147"/>
              <w:jc w:val="left"/>
              <w:rPr>
                <w:rFonts w:ascii="仿宋" w:hAnsi="仿宋" w:eastAsia="仿宋" w:cs="仿宋"/>
                <w:color w:val="auto"/>
                <w:sz w:val="24"/>
                <w:highlight w:val="none"/>
              </w:rPr>
            </w:pPr>
            <w:r>
              <w:rPr>
                <w:rFonts w:hint="eastAsia" w:ascii="仿宋" w:hAnsi="仿宋" w:eastAsia="仿宋" w:cs="仿宋"/>
                <w:color w:val="auto"/>
                <w:sz w:val="24"/>
                <w:highlight w:val="none"/>
              </w:rPr>
              <w:t>电话：</w:t>
            </w:r>
          </w:p>
        </w:tc>
      </w:tr>
      <w:tr>
        <w:tblPrEx>
          <w:tblCellMar>
            <w:top w:w="0" w:type="dxa"/>
            <w:left w:w="0" w:type="dxa"/>
            <w:bottom w:w="0" w:type="dxa"/>
            <w:right w:w="0" w:type="dxa"/>
          </w:tblCellMar>
        </w:tblPrEx>
        <w:trPr>
          <w:trHeight w:val="447" w:hRule="atLeast"/>
          <w:tblCellSpacing w:w="0" w:type="dxa"/>
        </w:trPr>
        <w:tc>
          <w:tcPr>
            <w:tcW w:w="4130" w:type="dxa"/>
            <w:vAlign w:val="center"/>
          </w:tcPr>
          <w:p>
            <w:pPr>
              <w:tabs>
                <w:tab w:val="left" w:pos="744"/>
              </w:tabs>
              <w:spacing w:line="400" w:lineRule="exact"/>
              <w:ind w:firstLine="352" w:firstLineChars="147"/>
              <w:jc w:val="left"/>
              <w:rPr>
                <w:rFonts w:ascii="仿宋" w:hAnsi="仿宋" w:eastAsia="仿宋" w:cs="仿宋"/>
                <w:color w:val="auto"/>
                <w:sz w:val="24"/>
                <w:highlight w:val="none"/>
              </w:rPr>
            </w:pPr>
            <w:r>
              <w:rPr>
                <w:rFonts w:hint="eastAsia" w:ascii="仿宋" w:hAnsi="仿宋" w:eastAsia="仿宋" w:cs="仿宋"/>
                <w:color w:val="auto"/>
                <w:sz w:val="24"/>
                <w:highlight w:val="none"/>
              </w:rPr>
              <w:t>传真：</w:t>
            </w:r>
          </w:p>
        </w:tc>
        <w:tc>
          <w:tcPr>
            <w:tcW w:w="4649" w:type="dxa"/>
            <w:vAlign w:val="center"/>
          </w:tcPr>
          <w:p>
            <w:pPr>
              <w:tabs>
                <w:tab w:val="left" w:pos="744"/>
              </w:tabs>
              <w:spacing w:line="400" w:lineRule="exact"/>
              <w:ind w:firstLine="352" w:firstLineChars="147"/>
              <w:jc w:val="left"/>
              <w:rPr>
                <w:rFonts w:ascii="仿宋" w:hAnsi="仿宋" w:eastAsia="仿宋" w:cs="仿宋"/>
                <w:color w:val="auto"/>
                <w:sz w:val="24"/>
                <w:highlight w:val="none"/>
              </w:rPr>
            </w:pPr>
            <w:r>
              <w:rPr>
                <w:rFonts w:hint="eastAsia" w:ascii="仿宋" w:hAnsi="仿宋" w:eastAsia="仿宋" w:cs="仿宋"/>
                <w:color w:val="auto"/>
                <w:sz w:val="24"/>
                <w:highlight w:val="none"/>
              </w:rPr>
              <w:t>传真：</w:t>
            </w:r>
          </w:p>
        </w:tc>
      </w:tr>
      <w:tr>
        <w:tblPrEx>
          <w:tblCellMar>
            <w:top w:w="0" w:type="dxa"/>
            <w:left w:w="0" w:type="dxa"/>
            <w:bottom w:w="0" w:type="dxa"/>
            <w:right w:w="0" w:type="dxa"/>
          </w:tblCellMar>
        </w:tblPrEx>
        <w:trPr>
          <w:trHeight w:val="447" w:hRule="atLeast"/>
          <w:tblCellSpacing w:w="0" w:type="dxa"/>
        </w:trPr>
        <w:tc>
          <w:tcPr>
            <w:tcW w:w="4130" w:type="dxa"/>
            <w:vAlign w:val="center"/>
          </w:tcPr>
          <w:p>
            <w:pPr>
              <w:tabs>
                <w:tab w:val="left" w:pos="744"/>
              </w:tabs>
              <w:spacing w:line="400" w:lineRule="exact"/>
              <w:ind w:firstLine="352" w:firstLineChars="147"/>
              <w:jc w:val="left"/>
              <w:rPr>
                <w:rFonts w:ascii="仿宋" w:hAnsi="仿宋" w:eastAsia="仿宋" w:cs="仿宋"/>
                <w:color w:val="auto"/>
                <w:sz w:val="24"/>
                <w:highlight w:val="none"/>
              </w:rPr>
            </w:pPr>
            <w:r>
              <w:rPr>
                <w:rFonts w:hint="eastAsia" w:ascii="仿宋" w:hAnsi="仿宋" w:eastAsia="仿宋" w:cs="仿宋"/>
                <w:color w:val="auto"/>
                <w:sz w:val="24"/>
                <w:highlight w:val="none"/>
              </w:rPr>
              <w:t>开户银行：</w:t>
            </w:r>
          </w:p>
        </w:tc>
        <w:tc>
          <w:tcPr>
            <w:tcW w:w="4649" w:type="dxa"/>
            <w:vAlign w:val="center"/>
          </w:tcPr>
          <w:p>
            <w:pPr>
              <w:tabs>
                <w:tab w:val="left" w:pos="744"/>
              </w:tabs>
              <w:spacing w:line="400" w:lineRule="exact"/>
              <w:ind w:firstLine="352" w:firstLineChars="147"/>
              <w:jc w:val="left"/>
              <w:rPr>
                <w:rFonts w:ascii="仿宋" w:hAnsi="仿宋" w:eastAsia="仿宋" w:cs="仿宋"/>
                <w:color w:val="auto"/>
                <w:sz w:val="24"/>
                <w:highlight w:val="none"/>
              </w:rPr>
            </w:pPr>
            <w:r>
              <w:rPr>
                <w:rFonts w:hint="eastAsia" w:ascii="仿宋" w:hAnsi="仿宋" w:eastAsia="仿宋" w:cs="仿宋"/>
                <w:color w:val="auto"/>
                <w:sz w:val="24"/>
                <w:highlight w:val="none"/>
              </w:rPr>
              <w:t>开户银行：</w:t>
            </w:r>
          </w:p>
        </w:tc>
      </w:tr>
      <w:tr>
        <w:tblPrEx>
          <w:tblCellMar>
            <w:top w:w="0" w:type="dxa"/>
            <w:left w:w="0" w:type="dxa"/>
            <w:bottom w:w="0" w:type="dxa"/>
            <w:right w:w="0" w:type="dxa"/>
          </w:tblCellMar>
        </w:tblPrEx>
        <w:trPr>
          <w:trHeight w:val="447" w:hRule="atLeast"/>
          <w:tblCellSpacing w:w="0" w:type="dxa"/>
        </w:trPr>
        <w:tc>
          <w:tcPr>
            <w:tcW w:w="4130" w:type="dxa"/>
            <w:vAlign w:val="center"/>
          </w:tcPr>
          <w:p>
            <w:pPr>
              <w:tabs>
                <w:tab w:val="left" w:pos="744"/>
              </w:tabs>
              <w:spacing w:line="400" w:lineRule="exact"/>
              <w:ind w:firstLine="352" w:firstLineChars="147"/>
              <w:jc w:val="left"/>
              <w:rPr>
                <w:rFonts w:ascii="仿宋" w:hAnsi="仿宋" w:eastAsia="仿宋" w:cs="仿宋"/>
                <w:color w:val="auto"/>
                <w:sz w:val="24"/>
                <w:highlight w:val="none"/>
              </w:rPr>
            </w:pPr>
            <w:r>
              <w:rPr>
                <w:rFonts w:hint="eastAsia" w:ascii="仿宋" w:hAnsi="仿宋" w:eastAsia="仿宋" w:cs="仿宋"/>
                <w:color w:val="auto"/>
                <w:sz w:val="24"/>
                <w:highlight w:val="none"/>
              </w:rPr>
              <w:t>帐号：</w:t>
            </w:r>
          </w:p>
        </w:tc>
        <w:tc>
          <w:tcPr>
            <w:tcW w:w="4649" w:type="dxa"/>
            <w:vAlign w:val="center"/>
          </w:tcPr>
          <w:p>
            <w:pPr>
              <w:tabs>
                <w:tab w:val="left" w:pos="744"/>
              </w:tabs>
              <w:spacing w:line="400" w:lineRule="exact"/>
              <w:ind w:firstLine="352" w:firstLineChars="147"/>
              <w:jc w:val="left"/>
              <w:rPr>
                <w:rFonts w:ascii="仿宋" w:hAnsi="仿宋" w:eastAsia="仿宋" w:cs="仿宋"/>
                <w:color w:val="auto"/>
                <w:sz w:val="24"/>
                <w:highlight w:val="none"/>
              </w:rPr>
            </w:pPr>
            <w:r>
              <w:rPr>
                <w:rFonts w:hint="eastAsia" w:ascii="仿宋" w:hAnsi="仿宋" w:eastAsia="仿宋" w:cs="仿宋"/>
                <w:color w:val="auto"/>
                <w:sz w:val="24"/>
                <w:highlight w:val="none"/>
              </w:rPr>
              <w:t>帐号：</w:t>
            </w:r>
          </w:p>
        </w:tc>
      </w:tr>
    </w:tbl>
    <w:p>
      <w:pPr>
        <w:rPr>
          <w:rFonts w:ascii="仿宋" w:hAnsi="仿宋" w:eastAsia="仿宋" w:cs="仿宋"/>
          <w:color w:val="auto"/>
          <w:highlight w:val="none"/>
        </w:rPr>
      </w:pPr>
    </w:p>
    <w:bookmarkEnd w:id="393"/>
    <w:bookmarkEnd w:id="394"/>
    <w:bookmarkEnd w:id="395"/>
    <w:bookmarkEnd w:id="396"/>
    <w:bookmarkEnd w:id="397"/>
    <w:p>
      <w:pPr>
        <w:spacing w:line="360" w:lineRule="auto"/>
        <w:ind w:left="-420" w:leftChars="-200" w:right="-420" w:rightChars="-200" w:firstLine="480" w:firstLineChars="200"/>
        <w:rPr>
          <w:rFonts w:hint="eastAsia" w:ascii="仿宋" w:hAnsi="仿宋" w:eastAsia="仿宋" w:cs="仿宋"/>
          <w:color w:val="auto"/>
          <w:sz w:val="24"/>
          <w:highlight w:val="none"/>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highlight w:val="none"/>
        </w:rPr>
      </w:pPr>
    </w:p>
    <w:p>
      <w:pPr>
        <w:widowControl/>
        <w:adjustRightInd/>
        <w:jc w:val="left"/>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widowControl/>
        <w:adjustRightInd/>
        <w:jc w:val="center"/>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1"/>
      <w:r>
        <w:rPr>
          <w:rFonts w:hint="eastAsia" w:ascii="仿宋" w:hAnsi="仿宋" w:eastAsia="仿宋" w:cs="仿宋"/>
          <w:b/>
          <w:color w:val="auto"/>
          <w:sz w:val="36"/>
          <w:szCs w:val="20"/>
          <w:highlight w:val="none"/>
        </w:rPr>
        <w:t xml:space="preserve"> </w:t>
      </w:r>
      <w:bookmarkEnd w:id="392"/>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（2）联合协议</w:t>
      </w:r>
      <w:r>
        <w:rPr>
          <w:rFonts w:hint="eastAsia" w:ascii="仿宋" w:hAnsi="仿宋" w:eastAsia="仿宋" w:cs="仿宋"/>
          <w:color w:val="auto"/>
          <w:sz w:val="24"/>
          <w:highlight w:val="none"/>
        </w:rPr>
        <w:t>………………………………………………………………（页码）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lang w:eastAsia="zh-CN"/>
        </w:rPr>
        <w:t>杭州市拱墅区人民政府湖墅街道办事处、杭州君信工程咨询有限公司</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w:t>
      </w:r>
      <w:r>
        <w:rPr>
          <w:rFonts w:hint="eastAsia" w:ascii="仿宋" w:hAnsi="仿宋" w:eastAsia="仿宋" w:cs="仿宋"/>
          <w:i w:val="0"/>
          <w:iCs w:val="0"/>
          <w:color w:val="auto"/>
          <w:sz w:val="24"/>
          <w:highlight w:val="none"/>
          <w:u w:val="single"/>
          <w:lang w:eastAsia="zh-CN"/>
        </w:rPr>
        <w:t>仓基新村社区驻点服务项目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u w:val="single"/>
          <w:lang w:eastAsia="zh-CN"/>
        </w:rPr>
        <w:t>HSJD-202401</w:t>
      </w:r>
      <w:r>
        <w:rPr>
          <w:rFonts w:hint="eastAsia" w:ascii="仿宋" w:hAnsi="仿宋" w:eastAsia="仿宋" w:cs="仿宋"/>
          <w:color w:val="auto"/>
          <w:sz w:val="24"/>
          <w:highlight w:val="none"/>
        </w:rPr>
        <w:t>】政府采购活动，郑重承诺：</w:t>
      </w:r>
    </w:p>
    <w:p>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widowControl/>
        <w:spacing w:line="360" w:lineRule="auto"/>
        <w:ind w:firstLine="643" w:firstLineChars="20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二、联合协议（如果有）</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视同符合了资格条件，无需再向中小企业分包，无需提供分包意向协议。</w:t>
      </w: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widowControl/>
        <w:adjustRightInd/>
        <w:jc w:val="left"/>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spacing w:line="360" w:lineRule="auto"/>
        <w:ind w:right="420" w:firstLine="3614" w:firstLineChars="100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（5）评标标准相应的商务技术资料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（6）投标标的清单</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rPr>
          <w:rFonts w:hint="eastAsia" w:ascii="仿宋" w:hAnsi="仿宋" w:eastAsia="仿宋" w:cs="仿宋"/>
          <w:b/>
          <w:color w:val="auto"/>
          <w:kern w:val="0"/>
          <w:sz w:val="32"/>
          <w:szCs w:val="32"/>
          <w:highlight w:val="none"/>
          <w:lang w:val="zh-CN"/>
        </w:rPr>
      </w:pP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杭州市拱墅区人民政府湖墅街道办事处、杭州君信工程咨询有限公司</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w:t>
      </w:r>
      <w:r>
        <w:rPr>
          <w:rFonts w:hint="eastAsia" w:ascii="仿宋" w:hAnsi="仿宋" w:eastAsia="仿宋" w:cs="仿宋"/>
          <w:color w:val="auto"/>
          <w:sz w:val="24"/>
          <w:highlight w:val="none"/>
          <w:lang w:eastAsia="zh-CN"/>
        </w:rPr>
        <w:t>仓基新村社区驻点服务项目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HSJD-202401</w:t>
      </w:r>
      <w:r>
        <w:rPr>
          <w:rFonts w:hint="eastAsia" w:ascii="仿宋" w:hAnsi="仿宋" w:eastAsia="仿宋" w:cs="仿宋"/>
          <w:color w:val="auto"/>
          <w:sz w:val="24"/>
          <w:highlight w:val="none"/>
        </w:rPr>
        <w:t>】招标的有关活动，并对此项目进行投标。为此：</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w:t>
      </w:r>
      <w:r>
        <w:rPr>
          <w:rFonts w:hint="eastAsia" w:ascii="仿宋" w:hAnsi="仿宋" w:eastAsia="仿宋" w:cs="仿宋"/>
          <w:snapToGrid w:val="0"/>
          <w:color w:val="auto"/>
          <w:kern w:val="28"/>
          <w:sz w:val="24"/>
          <w:szCs w:val="20"/>
          <w:highlight w:val="none"/>
        </w:rPr>
        <w:t>联合协议</w:t>
      </w:r>
      <w:bookmarkStart w:id="398" w:name="_Hlk101257010"/>
      <w:r>
        <w:rPr>
          <w:rFonts w:hint="eastAsia" w:ascii="仿宋" w:hAnsi="仿宋" w:eastAsia="仿宋" w:cs="仿宋"/>
          <w:color w:val="auto"/>
          <w:sz w:val="24"/>
          <w:highlight w:val="none"/>
        </w:rPr>
        <w:t>（如果有)</w:t>
      </w:r>
      <w:bookmarkEnd w:id="398"/>
      <w:r>
        <w:rPr>
          <w:rFonts w:hint="eastAsia" w:ascii="仿宋" w:hAnsi="仿宋" w:eastAsia="仿宋" w:cs="仿宋"/>
          <w:snapToGrid w:val="0"/>
          <w:color w:val="auto"/>
          <w:kern w:val="28"/>
          <w:sz w:val="24"/>
          <w:szCs w:val="20"/>
          <w:highlight w:val="none"/>
        </w:rPr>
        <w:t>；</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2.1.4本项目的特定资格要求（如果有)。</w:t>
      </w:r>
    </w:p>
    <w:p>
      <w:pPr>
        <w:snapToGrid w:val="0"/>
        <w:spacing w:line="360" w:lineRule="auto"/>
        <w:ind w:left="210" w:leftChars="1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2.2.3分包意向协议（如果有)；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2.2.6投标标的清单；</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hint="eastAsia" w:ascii="仿宋" w:hAnsi="仿宋" w:eastAsia="仿宋" w:cs="仿宋"/>
          <w:color w:val="auto"/>
          <w:sz w:val="24"/>
          <w:highlight w:val="none"/>
        </w:rPr>
      </w:pPr>
    </w:p>
    <w:p>
      <w:pPr>
        <w:spacing w:line="360" w:lineRule="auto"/>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napToGrid w:val="0"/>
        <w:spacing w:line="360" w:lineRule="auto"/>
        <w:jc w:val="center"/>
        <w:rPr>
          <w:rFonts w:hint="eastAsia" w:ascii="仿宋" w:hAnsi="仿宋" w:eastAsia="仿宋" w:cs="仿宋"/>
          <w:b/>
          <w:color w:val="auto"/>
          <w:kern w:val="0"/>
          <w:sz w:val="32"/>
          <w:szCs w:val="32"/>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pStyle w:val="5"/>
        <w:rPr>
          <w:rFonts w:hint="eastAsia" w:ascii="仿宋" w:hAnsi="仿宋" w:eastAsia="仿宋" w:cs="仿宋"/>
          <w:color w:val="auto"/>
          <w:highlight w:val="none"/>
          <w:lang w:val="en-US"/>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u w:val="single"/>
          <w:lang w:eastAsia="zh-CN"/>
        </w:rPr>
        <w:t>杭州市拱墅区人民政府湖墅街道办事处、杭州君信工程咨询有限公司</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u w:val="single"/>
          <w:lang w:eastAsia="zh-CN"/>
        </w:rPr>
        <w:t>仓基新村社区驻点服务项目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u w:val="single"/>
          <w:lang w:eastAsia="zh-CN"/>
        </w:rPr>
        <w:t>HSJD-202401</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授权委托书（适用于联合体投标）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u w:val="single"/>
          <w:lang w:eastAsia="zh-CN"/>
        </w:rPr>
        <w:t>杭州市拱墅区人民政府湖墅街道办事处、杭州君信工程咨询有限公司</w:t>
      </w:r>
      <w:r>
        <w:rPr>
          <w:rFonts w:hint="eastAsia" w:ascii="仿宋" w:hAnsi="仿宋" w:eastAsia="仿宋" w:cs="仿宋"/>
          <w:color w:val="auto"/>
          <w:kern w:val="0"/>
          <w:sz w:val="24"/>
          <w:highlight w:val="none"/>
          <w:lang w:val="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u w:val="single"/>
          <w:lang w:eastAsia="zh-CN"/>
        </w:rPr>
        <w:t>仓基新村社区驻点服务项目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u w:val="single"/>
          <w:lang w:eastAsia="zh-CN"/>
        </w:rPr>
        <w:t>HSJD-202401</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政府采购投标的一切事项，其法律后果由我方承担。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zh-CN"/>
        </w:rPr>
        <w:t>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zh-CN"/>
        </w:rPr>
        <w:t>月</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zh-CN"/>
        </w:rPr>
        <w:t>日起至</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zh-CN"/>
        </w:rPr>
        <w:t>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zh-CN"/>
        </w:rPr>
        <w:t>月</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single"/>
          <w:lang w:val="zh-CN"/>
        </w:rPr>
        <w:t>日</w:t>
      </w:r>
      <w:r>
        <w:rPr>
          <w:rFonts w:hint="eastAsia" w:ascii="仿宋" w:hAnsi="仿宋" w:eastAsia="仿宋" w:cs="仿宋"/>
          <w:color w:val="auto"/>
          <w:kern w:val="0"/>
          <w:sz w:val="24"/>
          <w:highlight w:val="none"/>
          <w:lang w:val="zh-CN"/>
        </w:rPr>
        <w:t>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特此告知。</w:t>
      </w: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146"/>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146"/>
              <w:adjustRightInd w:val="0"/>
              <w:spacing w:line="360" w:lineRule="auto"/>
              <w:rPr>
                <w:rFonts w:hint="eastAsia" w:ascii="仿宋" w:hAnsi="仿宋" w:eastAsia="仿宋" w:cs="仿宋"/>
                <w:bCs/>
                <w:color w:val="auto"/>
                <w:sz w:val="24"/>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snapToGrid w:val="0"/>
        <w:spacing w:line="360" w:lineRule="auto"/>
        <w:ind w:right="480"/>
        <w:rPr>
          <w:rFonts w:hint="eastAsia" w:ascii="仿宋" w:hAnsi="仿宋" w:eastAsia="仿宋" w:cs="仿宋"/>
          <w:b/>
          <w:color w:val="auto"/>
          <w:kern w:val="0"/>
          <w:sz w:val="32"/>
          <w:szCs w:val="32"/>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三、分包意向协议（如果有）</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中标后以分包方式履行合同的，提供分包意向协议(附件6)；采购人不同意分包或者投标人中标后不以分包方式履行合同的，则不需要提供。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color w:val="auto"/>
          <w:kern w:val="0"/>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四、符合性审查资料</w:t>
      </w:r>
    </w:p>
    <w:p>
      <w:pPr>
        <w:jc w:val="center"/>
        <w:rPr>
          <w:rFonts w:hint="eastAsia" w:ascii="仿宋" w:hAnsi="仿宋" w:eastAsia="仿宋" w:cs="仿宋"/>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3033"/>
        <w:gridCol w:w="3360"/>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42"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3033"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3360"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247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42"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3033" w:type="dxa"/>
            <w:vAlign w:val="center"/>
          </w:tcPr>
          <w:p>
            <w:pPr>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3360" w:type="dxa"/>
            <w:vAlign w:val="center"/>
          </w:tcPr>
          <w:p>
            <w:pPr>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2471" w:type="dxa"/>
            <w:vAlign w:val="center"/>
          </w:tcPr>
          <w:p>
            <w:pPr>
              <w:jc w:val="both"/>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42"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3033" w:type="dxa"/>
            <w:vAlign w:val="center"/>
          </w:tcPr>
          <w:p>
            <w:pPr>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3360" w:type="dxa"/>
            <w:vAlign w:val="center"/>
          </w:tcPr>
          <w:p>
            <w:pPr>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2471" w:type="dxa"/>
            <w:vAlign w:val="center"/>
          </w:tcPr>
          <w:p>
            <w:pPr>
              <w:jc w:val="both"/>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42"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3033" w:type="dxa"/>
            <w:vAlign w:val="center"/>
          </w:tcPr>
          <w:p>
            <w:pPr>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3360" w:type="dxa"/>
            <w:vAlign w:val="center"/>
          </w:tcPr>
          <w:p>
            <w:pPr>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招标文件其它实质性要求相应的材料（“▲” 系指实质性要求条款，招标文件无其它实质性要求的，无需提供）</w:t>
            </w:r>
          </w:p>
        </w:tc>
        <w:tc>
          <w:tcPr>
            <w:tcW w:w="2471" w:type="dxa"/>
            <w:vAlign w:val="center"/>
          </w:tcPr>
          <w:p>
            <w:pPr>
              <w:jc w:val="both"/>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五、评标标准相应的商务技术资料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095"/>
        <w:gridCol w:w="1388"/>
        <w:gridCol w:w="1260"/>
        <w:gridCol w:w="1893"/>
        <w:gridCol w:w="1426"/>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38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highlight w:val="none"/>
              </w:rPr>
            </w:pP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服务要求</w:t>
            </w:r>
          </w:p>
        </w:tc>
        <w:tc>
          <w:tcPr>
            <w:tcW w:w="1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服务时间</w:t>
            </w:r>
          </w:p>
        </w:tc>
        <w:tc>
          <w:tcPr>
            <w:tcW w:w="1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服务标准</w:t>
            </w:r>
          </w:p>
        </w:tc>
        <w:tc>
          <w:tcPr>
            <w:tcW w:w="19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highlight w:val="none"/>
              </w:rPr>
            </w:pP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备注（如果有）</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360" w:lineRule="auto"/>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highlight w:val="none"/>
              </w:rPr>
            </w:pPr>
          </w:p>
        </w:tc>
        <w:tc>
          <w:tcPr>
            <w:tcW w:w="1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highlight w:val="none"/>
              </w:rPr>
            </w:pPr>
          </w:p>
        </w:tc>
        <w:tc>
          <w:tcPr>
            <w:tcW w:w="1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360" w:lineRule="auto"/>
              <w:jc w:val="center"/>
              <w:textAlignment w:val="auto"/>
              <w:rPr>
                <w:rFonts w:hint="eastAsia" w:ascii="仿宋" w:hAnsi="仿宋" w:eastAsia="仿宋" w:cs="仿宋"/>
                <w:color w:val="auto"/>
                <w:sz w:val="24"/>
                <w:highlight w:val="none"/>
              </w:rPr>
            </w:pPr>
          </w:p>
        </w:tc>
        <w:tc>
          <w:tcPr>
            <w:tcW w:w="1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360" w:lineRule="auto"/>
              <w:jc w:val="center"/>
              <w:textAlignment w:val="auto"/>
              <w:rPr>
                <w:rFonts w:hint="eastAsia" w:ascii="仿宋" w:hAnsi="仿宋" w:eastAsia="仿宋" w:cs="仿宋"/>
                <w:color w:val="auto"/>
                <w:sz w:val="24"/>
                <w:highlight w:val="none"/>
              </w:rPr>
            </w:pPr>
          </w:p>
        </w:tc>
        <w:tc>
          <w:tcPr>
            <w:tcW w:w="19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360" w:lineRule="auto"/>
              <w:jc w:val="center"/>
              <w:textAlignment w:val="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360" w:lineRule="auto"/>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highlight w:val="none"/>
              </w:rPr>
            </w:pPr>
          </w:p>
        </w:tc>
        <w:tc>
          <w:tcPr>
            <w:tcW w:w="1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highlight w:val="none"/>
              </w:rPr>
            </w:pPr>
          </w:p>
        </w:tc>
        <w:tc>
          <w:tcPr>
            <w:tcW w:w="1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360" w:lineRule="auto"/>
              <w:jc w:val="center"/>
              <w:textAlignment w:val="auto"/>
              <w:rPr>
                <w:rFonts w:hint="eastAsia" w:ascii="仿宋" w:hAnsi="仿宋" w:eastAsia="仿宋" w:cs="仿宋"/>
                <w:color w:val="auto"/>
                <w:sz w:val="24"/>
                <w:highlight w:val="none"/>
              </w:rPr>
            </w:pPr>
          </w:p>
        </w:tc>
        <w:tc>
          <w:tcPr>
            <w:tcW w:w="1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360" w:lineRule="auto"/>
              <w:jc w:val="center"/>
              <w:textAlignment w:val="auto"/>
              <w:rPr>
                <w:rFonts w:hint="eastAsia" w:ascii="仿宋" w:hAnsi="仿宋" w:eastAsia="仿宋" w:cs="仿宋"/>
                <w:color w:val="auto"/>
                <w:sz w:val="24"/>
                <w:highlight w:val="none"/>
              </w:rPr>
            </w:pPr>
          </w:p>
        </w:tc>
        <w:tc>
          <w:tcPr>
            <w:tcW w:w="19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360" w:lineRule="auto"/>
              <w:jc w:val="center"/>
              <w:textAlignment w:val="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360" w:lineRule="auto"/>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highlight w:val="none"/>
              </w:rPr>
            </w:pPr>
          </w:p>
        </w:tc>
        <w:tc>
          <w:tcPr>
            <w:tcW w:w="13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highlight w:val="none"/>
              </w:rPr>
            </w:pPr>
          </w:p>
        </w:tc>
        <w:tc>
          <w:tcPr>
            <w:tcW w:w="18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360" w:lineRule="auto"/>
              <w:jc w:val="center"/>
              <w:textAlignment w:val="auto"/>
              <w:rPr>
                <w:rFonts w:hint="eastAsia" w:ascii="仿宋" w:hAnsi="仿宋" w:eastAsia="仿宋" w:cs="仿宋"/>
                <w:color w:val="auto"/>
                <w:sz w:val="24"/>
                <w:highlight w:val="none"/>
              </w:rPr>
            </w:pPr>
          </w:p>
        </w:tc>
        <w:tc>
          <w:tcPr>
            <w:tcW w:w="1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360" w:lineRule="auto"/>
              <w:jc w:val="center"/>
              <w:textAlignment w:val="auto"/>
              <w:rPr>
                <w:rFonts w:hint="eastAsia" w:ascii="仿宋" w:hAnsi="仿宋" w:eastAsia="仿宋" w:cs="仿宋"/>
                <w:color w:val="auto"/>
                <w:sz w:val="24"/>
                <w:highlight w:val="none"/>
              </w:rPr>
            </w:pPr>
          </w:p>
        </w:tc>
        <w:tc>
          <w:tcPr>
            <w:tcW w:w="19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pacing w:line="360" w:lineRule="auto"/>
              <w:jc w:val="center"/>
              <w:textAlignment w:val="auto"/>
              <w:rPr>
                <w:rFonts w:hint="eastAsia" w:ascii="仿宋" w:hAnsi="仿宋" w:eastAsia="仿宋" w:cs="仿宋"/>
                <w:color w:val="auto"/>
                <w:sz w:val="24"/>
                <w:highlight w:val="none"/>
              </w:rPr>
            </w:pP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59"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hint="eastAsia" w:ascii="仿宋" w:hAnsi="仿宋" w:eastAsia="仿宋" w:cs="仿宋"/>
          <w:b/>
          <w:color w:val="auto"/>
          <w:kern w:val="0"/>
          <w:sz w:val="32"/>
          <w:szCs w:val="32"/>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ind w:firstLine="1911" w:firstLineChars="595"/>
        <w:rPr>
          <w:rFonts w:hint="eastAsia" w:ascii="仿宋" w:hAnsi="仿宋" w:eastAsia="仿宋" w:cs="仿宋"/>
          <w:b/>
          <w:bCs/>
          <w:color w:val="auto"/>
          <w:sz w:val="32"/>
          <w:szCs w:val="32"/>
          <w:highlight w:val="none"/>
        </w:rPr>
      </w:pPr>
    </w:p>
    <w:p>
      <w:pPr>
        <w:ind w:firstLine="1911" w:firstLineChars="595"/>
        <w:rPr>
          <w:rFonts w:hint="eastAsia" w:ascii="仿宋" w:hAnsi="仿宋" w:eastAsia="仿宋" w:cs="仿宋"/>
          <w:b/>
          <w:bCs/>
          <w:color w:val="auto"/>
          <w:sz w:val="32"/>
          <w:szCs w:val="32"/>
          <w:highlight w:val="none"/>
        </w:rPr>
      </w:pPr>
    </w:p>
    <w:p>
      <w:pPr>
        <w:ind w:firstLine="1911" w:firstLineChars="595"/>
        <w:rPr>
          <w:rFonts w:hint="eastAsia" w:ascii="仿宋" w:hAnsi="仿宋" w:eastAsia="仿宋" w:cs="仿宋"/>
          <w:b/>
          <w:bCs/>
          <w:color w:val="auto"/>
          <w:sz w:val="32"/>
          <w:szCs w:val="32"/>
          <w:highlight w:val="none"/>
        </w:rPr>
      </w:pPr>
    </w:p>
    <w:p>
      <w:pPr>
        <w:widowControl/>
        <w:adjustRightInd/>
        <w:jc w:val="left"/>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br w:type="page"/>
      </w: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bCs/>
          <w:color w:val="auto"/>
          <w:sz w:val="32"/>
          <w:szCs w:val="32"/>
          <w:highlight w:val="none"/>
        </w:rPr>
        <w:t>八</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lang w:eastAsia="zh-CN"/>
        </w:rPr>
        <w:t>杭州市拱墅区人民政府湖墅街道办事处、杭州君信工程咨询有限公司</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jc w:val="center"/>
        <w:rPr>
          <w:rFonts w:hint="eastAsia" w:ascii="仿宋" w:hAnsi="仿宋" w:eastAsia="仿宋" w:cs="仿宋"/>
          <w:b/>
          <w:bCs/>
          <w:color w:val="auto"/>
          <w:sz w:val="24"/>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lang w:eastAsia="zh-CN"/>
        </w:rPr>
        <w:t>杭州市拱墅区人民政府湖墅街道办事处、杭州君信工程咨询有限公司</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lang w:eastAsia="zh-CN"/>
        </w:rPr>
        <w:t>仓基新村社区驻点服务项目</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lang w:eastAsia="zh-CN"/>
        </w:rPr>
        <w:t>HSJD-202401</w:t>
      </w:r>
      <w:r>
        <w:rPr>
          <w:rFonts w:hint="eastAsia" w:ascii="仿宋" w:hAnsi="仿宋" w:eastAsia="仿宋" w:cs="仿宋"/>
          <w:color w:val="auto"/>
          <w:sz w:val="24"/>
          <w:highlight w:val="none"/>
        </w:rPr>
        <w:t>】的实施</w:t>
      </w: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9"/>
        <w:gridCol w:w="1780"/>
        <w:gridCol w:w="978"/>
        <w:gridCol w:w="828"/>
        <w:gridCol w:w="1025"/>
        <w:gridCol w:w="980"/>
        <w:gridCol w:w="1734"/>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69" w:type="pct"/>
            <w:vAlign w:val="center"/>
          </w:tcPr>
          <w:p>
            <w:pPr>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959" w:type="pct"/>
            <w:vAlign w:val="center"/>
          </w:tcPr>
          <w:p>
            <w:pPr>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527" w:type="pct"/>
            <w:vAlign w:val="center"/>
          </w:tcPr>
          <w:p>
            <w:pPr>
              <w:spacing w:line="240" w:lineRule="auto"/>
              <w:jc w:val="center"/>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单位</w:t>
            </w:r>
          </w:p>
        </w:tc>
        <w:tc>
          <w:tcPr>
            <w:tcW w:w="446" w:type="pct"/>
            <w:vAlign w:val="center"/>
          </w:tcPr>
          <w:p>
            <w:pPr>
              <w:spacing w:line="240" w:lineRule="auto"/>
              <w:jc w:val="center"/>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数量</w:t>
            </w:r>
          </w:p>
        </w:tc>
        <w:tc>
          <w:tcPr>
            <w:tcW w:w="552" w:type="pct"/>
          </w:tcPr>
          <w:p>
            <w:pPr>
              <w:spacing w:line="240" w:lineRule="auto"/>
              <w:jc w:val="center"/>
              <w:rPr>
                <w:rFonts w:hint="default"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单价（元）</w:t>
            </w:r>
          </w:p>
        </w:tc>
        <w:tc>
          <w:tcPr>
            <w:tcW w:w="525" w:type="pct"/>
            <w:vAlign w:val="center"/>
          </w:tcPr>
          <w:p>
            <w:pPr>
              <w:spacing w:line="240" w:lineRule="auto"/>
              <w:jc w:val="center"/>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合价（元）</w:t>
            </w:r>
          </w:p>
        </w:tc>
        <w:tc>
          <w:tcPr>
            <w:tcW w:w="934" w:type="pct"/>
            <w:vAlign w:val="center"/>
          </w:tcPr>
          <w:p>
            <w:pPr>
              <w:spacing w:line="24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项目负责人</w:t>
            </w:r>
          </w:p>
        </w:tc>
        <w:tc>
          <w:tcPr>
            <w:tcW w:w="783" w:type="pct"/>
            <w:vAlign w:val="center"/>
          </w:tcPr>
          <w:p>
            <w:pPr>
              <w:spacing w:line="240" w:lineRule="auto"/>
              <w:jc w:val="center"/>
              <w:rPr>
                <w:rFonts w:hint="default"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69" w:type="pct"/>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959" w:type="pct"/>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XX</w:t>
            </w:r>
          </w:p>
        </w:tc>
        <w:tc>
          <w:tcPr>
            <w:tcW w:w="527" w:type="pct"/>
            <w:vAlign w:val="center"/>
          </w:tcPr>
          <w:p>
            <w:pPr>
              <w:snapToGrid w:val="0"/>
              <w:spacing w:line="240" w:lineRule="auto"/>
              <w:jc w:val="center"/>
              <w:rPr>
                <w:rFonts w:hint="eastAsia" w:ascii="仿宋" w:hAnsi="仿宋" w:eastAsia="仿宋" w:cs="仿宋"/>
                <w:color w:val="auto"/>
                <w:sz w:val="24"/>
                <w:highlight w:val="none"/>
              </w:rPr>
            </w:pPr>
          </w:p>
        </w:tc>
        <w:tc>
          <w:tcPr>
            <w:tcW w:w="446" w:type="pct"/>
            <w:vAlign w:val="center"/>
          </w:tcPr>
          <w:p>
            <w:pPr>
              <w:snapToGrid w:val="0"/>
              <w:spacing w:line="240" w:lineRule="auto"/>
              <w:jc w:val="center"/>
              <w:rPr>
                <w:rFonts w:hint="eastAsia" w:ascii="仿宋" w:hAnsi="仿宋" w:eastAsia="仿宋" w:cs="仿宋"/>
                <w:color w:val="auto"/>
                <w:sz w:val="24"/>
                <w:highlight w:val="none"/>
              </w:rPr>
            </w:pPr>
          </w:p>
        </w:tc>
        <w:tc>
          <w:tcPr>
            <w:tcW w:w="552" w:type="pct"/>
            <w:vAlign w:val="center"/>
          </w:tcPr>
          <w:p>
            <w:pPr>
              <w:snapToGrid w:val="0"/>
              <w:spacing w:line="240" w:lineRule="auto"/>
              <w:jc w:val="center"/>
              <w:rPr>
                <w:rFonts w:hint="eastAsia" w:ascii="仿宋" w:hAnsi="仿宋" w:eastAsia="仿宋" w:cs="仿宋"/>
                <w:color w:val="auto"/>
                <w:sz w:val="24"/>
                <w:highlight w:val="none"/>
              </w:rPr>
            </w:pPr>
          </w:p>
        </w:tc>
        <w:tc>
          <w:tcPr>
            <w:tcW w:w="525" w:type="pct"/>
            <w:vAlign w:val="center"/>
          </w:tcPr>
          <w:p>
            <w:pPr>
              <w:snapToGrid w:val="0"/>
              <w:spacing w:line="240" w:lineRule="auto"/>
              <w:jc w:val="center"/>
              <w:rPr>
                <w:rFonts w:hint="eastAsia" w:ascii="仿宋" w:hAnsi="仿宋" w:eastAsia="仿宋" w:cs="仿宋"/>
                <w:color w:val="auto"/>
                <w:sz w:val="24"/>
                <w:highlight w:val="none"/>
              </w:rPr>
            </w:pPr>
          </w:p>
        </w:tc>
        <w:tc>
          <w:tcPr>
            <w:tcW w:w="934" w:type="pct"/>
            <w:vMerge w:val="restart"/>
            <w:vAlign w:val="center"/>
          </w:tcPr>
          <w:p>
            <w:pPr>
              <w:spacing w:line="240" w:lineRule="auto"/>
              <w:jc w:val="center"/>
              <w:rPr>
                <w:rFonts w:hint="eastAsia" w:ascii="仿宋" w:hAnsi="仿宋" w:eastAsia="仿宋" w:cs="仿宋"/>
                <w:color w:val="auto"/>
                <w:sz w:val="24"/>
                <w:highlight w:val="none"/>
              </w:rPr>
            </w:pPr>
          </w:p>
        </w:tc>
        <w:tc>
          <w:tcPr>
            <w:tcW w:w="783" w:type="pct"/>
            <w:vMerge w:val="restart"/>
            <w:vAlign w:val="center"/>
          </w:tcPr>
          <w:p>
            <w:pPr>
              <w:spacing w:line="24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69" w:type="pct"/>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959" w:type="pct"/>
            <w:vAlign w:val="center"/>
          </w:tcPr>
          <w:p>
            <w:pPr>
              <w:snapToGrid w:val="0"/>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XX</w:t>
            </w:r>
          </w:p>
        </w:tc>
        <w:tc>
          <w:tcPr>
            <w:tcW w:w="527" w:type="pct"/>
            <w:vAlign w:val="center"/>
          </w:tcPr>
          <w:p>
            <w:pPr>
              <w:snapToGrid w:val="0"/>
              <w:spacing w:line="240" w:lineRule="auto"/>
              <w:jc w:val="center"/>
              <w:rPr>
                <w:rFonts w:hint="eastAsia" w:ascii="仿宋" w:hAnsi="仿宋" w:eastAsia="仿宋" w:cs="仿宋"/>
                <w:color w:val="auto"/>
                <w:sz w:val="24"/>
                <w:highlight w:val="none"/>
              </w:rPr>
            </w:pPr>
          </w:p>
        </w:tc>
        <w:tc>
          <w:tcPr>
            <w:tcW w:w="446" w:type="pct"/>
            <w:vAlign w:val="center"/>
          </w:tcPr>
          <w:p>
            <w:pPr>
              <w:snapToGrid w:val="0"/>
              <w:spacing w:line="240" w:lineRule="auto"/>
              <w:jc w:val="center"/>
              <w:rPr>
                <w:rFonts w:hint="eastAsia" w:ascii="仿宋" w:hAnsi="仿宋" w:eastAsia="仿宋" w:cs="仿宋"/>
                <w:color w:val="auto"/>
                <w:sz w:val="24"/>
                <w:highlight w:val="none"/>
              </w:rPr>
            </w:pPr>
          </w:p>
        </w:tc>
        <w:tc>
          <w:tcPr>
            <w:tcW w:w="552" w:type="pct"/>
            <w:vAlign w:val="center"/>
          </w:tcPr>
          <w:p>
            <w:pPr>
              <w:snapToGrid w:val="0"/>
              <w:spacing w:line="240" w:lineRule="auto"/>
              <w:jc w:val="center"/>
              <w:rPr>
                <w:rFonts w:hint="eastAsia" w:ascii="仿宋" w:hAnsi="仿宋" w:eastAsia="仿宋" w:cs="仿宋"/>
                <w:color w:val="auto"/>
                <w:sz w:val="24"/>
                <w:highlight w:val="none"/>
              </w:rPr>
            </w:pPr>
          </w:p>
        </w:tc>
        <w:tc>
          <w:tcPr>
            <w:tcW w:w="525" w:type="pct"/>
            <w:vAlign w:val="center"/>
          </w:tcPr>
          <w:p>
            <w:pPr>
              <w:snapToGrid w:val="0"/>
              <w:spacing w:line="240" w:lineRule="auto"/>
              <w:jc w:val="center"/>
              <w:rPr>
                <w:rFonts w:hint="eastAsia" w:ascii="仿宋" w:hAnsi="仿宋" w:eastAsia="仿宋" w:cs="仿宋"/>
                <w:color w:val="auto"/>
                <w:sz w:val="24"/>
                <w:highlight w:val="none"/>
              </w:rPr>
            </w:pPr>
          </w:p>
        </w:tc>
        <w:tc>
          <w:tcPr>
            <w:tcW w:w="934" w:type="pct"/>
            <w:vMerge w:val="continue"/>
            <w:vAlign w:val="center"/>
          </w:tcPr>
          <w:p>
            <w:pPr>
              <w:spacing w:line="240" w:lineRule="auto"/>
              <w:jc w:val="center"/>
              <w:rPr>
                <w:rFonts w:hint="eastAsia" w:ascii="仿宋" w:hAnsi="仿宋" w:eastAsia="仿宋" w:cs="仿宋"/>
                <w:color w:val="auto"/>
                <w:sz w:val="24"/>
                <w:highlight w:val="none"/>
              </w:rPr>
            </w:pPr>
          </w:p>
        </w:tc>
        <w:tc>
          <w:tcPr>
            <w:tcW w:w="783" w:type="pct"/>
            <w:vMerge w:val="continue"/>
            <w:vAlign w:val="center"/>
          </w:tcPr>
          <w:p>
            <w:pPr>
              <w:spacing w:line="24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69" w:type="pct"/>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959" w:type="pct"/>
            <w:vAlign w:val="center"/>
          </w:tcPr>
          <w:p>
            <w:pPr>
              <w:snapToGrid w:val="0"/>
              <w:spacing w:line="240" w:lineRule="auto"/>
              <w:jc w:val="center"/>
              <w:rPr>
                <w:rFonts w:hint="eastAsia" w:ascii="仿宋" w:hAnsi="仿宋" w:eastAsia="仿宋" w:cs="仿宋"/>
                <w:color w:val="auto"/>
                <w:sz w:val="24"/>
                <w:highlight w:val="none"/>
              </w:rPr>
            </w:pPr>
          </w:p>
        </w:tc>
        <w:tc>
          <w:tcPr>
            <w:tcW w:w="527" w:type="pct"/>
            <w:vAlign w:val="center"/>
          </w:tcPr>
          <w:p>
            <w:pPr>
              <w:snapToGrid w:val="0"/>
              <w:spacing w:line="240" w:lineRule="auto"/>
              <w:jc w:val="center"/>
              <w:rPr>
                <w:rFonts w:hint="eastAsia" w:ascii="仿宋" w:hAnsi="仿宋" w:eastAsia="仿宋" w:cs="仿宋"/>
                <w:color w:val="auto"/>
                <w:sz w:val="24"/>
                <w:highlight w:val="none"/>
              </w:rPr>
            </w:pPr>
          </w:p>
        </w:tc>
        <w:tc>
          <w:tcPr>
            <w:tcW w:w="446" w:type="pct"/>
            <w:vAlign w:val="center"/>
          </w:tcPr>
          <w:p>
            <w:pPr>
              <w:snapToGrid w:val="0"/>
              <w:spacing w:line="240" w:lineRule="auto"/>
              <w:jc w:val="center"/>
              <w:rPr>
                <w:rFonts w:hint="eastAsia" w:ascii="仿宋" w:hAnsi="仿宋" w:eastAsia="仿宋" w:cs="仿宋"/>
                <w:color w:val="auto"/>
                <w:sz w:val="24"/>
                <w:highlight w:val="none"/>
              </w:rPr>
            </w:pPr>
          </w:p>
        </w:tc>
        <w:tc>
          <w:tcPr>
            <w:tcW w:w="552" w:type="pct"/>
            <w:vAlign w:val="center"/>
          </w:tcPr>
          <w:p>
            <w:pPr>
              <w:snapToGrid w:val="0"/>
              <w:spacing w:line="240" w:lineRule="auto"/>
              <w:jc w:val="center"/>
              <w:rPr>
                <w:rFonts w:hint="eastAsia" w:ascii="仿宋" w:hAnsi="仿宋" w:eastAsia="仿宋" w:cs="仿宋"/>
                <w:color w:val="auto"/>
                <w:sz w:val="24"/>
                <w:highlight w:val="none"/>
              </w:rPr>
            </w:pPr>
          </w:p>
        </w:tc>
        <w:tc>
          <w:tcPr>
            <w:tcW w:w="525" w:type="pct"/>
            <w:vAlign w:val="center"/>
          </w:tcPr>
          <w:p>
            <w:pPr>
              <w:snapToGrid w:val="0"/>
              <w:spacing w:line="240" w:lineRule="auto"/>
              <w:jc w:val="center"/>
              <w:rPr>
                <w:rFonts w:hint="eastAsia" w:ascii="仿宋" w:hAnsi="仿宋" w:eastAsia="仿宋" w:cs="仿宋"/>
                <w:color w:val="auto"/>
                <w:sz w:val="24"/>
                <w:highlight w:val="none"/>
              </w:rPr>
            </w:pPr>
          </w:p>
        </w:tc>
        <w:tc>
          <w:tcPr>
            <w:tcW w:w="934" w:type="pct"/>
            <w:vMerge w:val="continue"/>
            <w:vAlign w:val="center"/>
          </w:tcPr>
          <w:p>
            <w:pPr>
              <w:spacing w:line="240" w:lineRule="auto"/>
              <w:jc w:val="center"/>
              <w:rPr>
                <w:rFonts w:hint="eastAsia" w:ascii="仿宋" w:hAnsi="仿宋" w:eastAsia="仿宋" w:cs="仿宋"/>
                <w:color w:val="auto"/>
                <w:sz w:val="24"/>
                <w:highlight w:val="none"/>
              </w:rPr>
            </w:pPr>
          </w:p>
        </w:tc>
        <w:tc>
          <w:tcPr>
            <w:tcW w:w="783" w:type="pct"/>
            <w:vMerge w:val="continue"/>
            <w:vAlign w:val="center"/>
          </w:tcPr>
          <w:p>
            <w:pPr>
              <w:spacing w:line="24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81" w:type="pct"/>
            <w:gridSpan w:val="6"/>
            <w:vAlign w:val="center"/>
          </w:tcPr>
          <w:p>
            <w:pPr>
              <w:snapToGrid w:val="0"/>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合价汇总=单年报价</w:t>
            </w:r>
          </w:p>
        </w:tc>
        <w:tc>
          <w:tcPr>
            <w:tcW w:w="1718" w:type="pct"/>
            <w:gridSpan w:val="2"/>
            <w:vAlign w:val="center"/>
          </w:tcPr>
          <w:p>
            <w:pPr>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81" w:type="pct"/>
            <w:gridSpan w:val="6"/>
            <w:vMerge w:val="restart"/>
            <w:vAlign w:val="center"/>
          </w:tcPr>
          <w:p>
            <w:pPr>
              <w:spacing w:line="240" w:lineRule="auto"/>
              <w:jc w:val="center"/>
              <w:rPr>
                <w:rFonts w:hint="default" w:ascii="仿宋" w:hAnsi="仿宋" w:eastAsia="仿宋" w:cs="仿宋"/>
                <w:b/>
                <w:color w:val="auto"/>
                <w:sz w:val="24"/>
                <w:highlight w:val="none"/>
                <w:lang w:val="en-US"/>
              </w:rPr>
            </w:pPr>
            <w:r>
              <w:rPr>
                <w:rFonts w:hint="eastAsia" w:ascii="仿宋" w:hAnsi="仿宋" w:eastAsia="仿宋" w:cs="仿宋"/>
                <w:b/>
                <w:color w:val="auto"/>
                <w:sz w:val="24"/>
                <w:highlight w:val="none"/>
              </w:rPr>
              <w:t>投标</w:t>
            </w:r>
            <w:r>
              <w:rPr>
                <w:rFonts w:hint="eastAsia" w:ascii="仿宋" w:hAnsi="仿宋" w:eastAsia="仿宋" w:cs="仿宋"/>
                <w:b/>
                <w:color w:val="auto"/>
                <w:sz w:val="24"/>
                <w:highlight w:val="none"/>
                <w:lang w:val="en-US" w:eastAsia="zh-CN"/>
              </w:rPr>
              <w:t>总价（元）=单年报价*3年</w:t>
            </w:r>
          </w:p>
        </w:tc>
        <w:tc>
          <w:tcPr>
            <w:tcW w:w="1718" w:type="pct"/>
            <w:gridSpan w:val="2"/>
          </w:tcPr>
          <w:p>
            <w:pPr>
              <w:spacing w:line="240" w:lineRule="auto"/>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281" w:type="pct"/>
            <w:gridSpan w:val="6"/>
            <w:vMerge w:val="continue"/>
            <w:vAlign w:val="center"/>
          </w:tcPr>
          <w:p>
            <w:pPr>
              <w:spacing w:line="240" w:lineRule="auto"/>
              <w:jc w:val="center"/>
              <w:rPr>
                <w:rFonts w:hint="default" w:ascii="仿宋" w:hAnsi="仿宋" w:eastAsia="仿宋" w:cs="仿宋"/>
                <w:b/>
                <w:color w:val="auto"/>
                <w:sz w:val="24"/>
                <w:highlight w:val="none"/>
                <w:lang w:val="en-US"/>
              </w:rPr>
            </w:pPr>
          </w:p>
        </w:tc>
        <w:tc>
          <w:tcPr>
            <w:tcW w:w="1718" w:type="pct"/>
            <w:gridSpan w:val="2"/>
          </w:tcPr>
          <w:p>
            <w:pPr>
              <w:spacing w:line="240" w:lineRule="auto"/>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大写</w:t>
            </w:r>
          </w:p>
        </w:tc>
      </w:tr>
    </w:tbl>
    <w:p>
      <w:pPr>
        <w:snapToGrid w:val="0"/>
        <w:spacing w:line="360" w:lineRule="auto"/>
        <w:ind w:left="480" w:leftChars="0" w:firstLine="0" w:firstLineChars="0"/>
        <w:rPr>
          <w:rFonts w:hint="eastAsia"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注：</w:t>
      </w:r>
      <w:r>
        <w:rPr>
          <w:rFonts w:hint="eastAsia" w:ascii="仿宋" w:hAnsi="仿宋" w:eastAsia="仿宋" w:cs="仿宋"/>
          <w:color w:val="auto"/>
          <w:kern w:val="0"/>
          <w:sz w:val="24"/>
          <w:highlight w:val="none"/>
          <w:lang w:val="zh-CN"/>
        </w:rPr>
        <w:t>1、投标人需按本表格式填写</w:t>
      </w: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投标文件含有采购人不能接受的附加条件，投标无效</w:t>
      </w:r>
      <w:r>
        <w:rPr>
          <w:rFonts w:hint="eastAsia" w:ascii="仿宋" w:hAnsi="仿宋" w:eastAsia="仿宋" w:cs="仿宋"/>
          <w:color w:val="auto"/>
          <w:kern w:val="0"/>
          <w:sz w:val="24"/>
          <w:highlight w:val="none"/>
          <w:lang w:val="zh-CN"/>
        </w:rPr>
        <w:t>。</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不得出现“0元”“免费赠送”等形式的无偿报价，</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投标文件含有采购人不能接受的附加条件，投标无效</w:t>
      </w:r>
      <w:r>
        <w:rPr>
          <w:rFonts w:hint="eastAsia" w:ascii="仿宋" w:hAnsi="仿宋" w:eastAsia="仿宋" w:cs="仿宋"/>
          <w:b/>
          <w:color w:val="auto"/>
          <w:kern w:val="0"/>
          <w:sz w:val="24"/>
          <w:highlight w:val="none"/>
          <w:lang w:val="zh-CN"/>
        </w:rPr>
        <w:t>；采购内容未包含在《开标一览表（报价表）》名称栏中，投标人不能作出合理解释的，</w:t>
      </w:r>
      <w:r>
        <w:rPr>
          <w:rFonts w:hint="eastAsia" w:ascii="仿宋" w:hAnsi="仿宋" w:eastAsia="仿宋" w:cs="仿宋"/>
          <w:b/>
          <w:color w:val="auto"/>
          <w:kern w:val="0"/>
          <w:sz w:val="24"/>
          <w:highlight w:val="none"/>
        </w:rPr>
        <w:t>视为</w:t>
      </w:r>
      <w:r>
        <w:rPr>
          <w:rFonts w:hint="eastAsia" w:ascii="仿宋" w:hAnsi="仿宋" w:eastAsia="仿宋" w:cs="仿宋"/>
          <w:b/>
          <w:color w:val="auto"/>
          <w:sz w:val="24"/>
          <w:highlight w:val="none"/>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4、</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br w:type="page"/>
      </w:r>
    </w:p>
    <w:p>
      <w:pPr>
        <w:pStyle w:val="690"/>
        <w:keepNext w:val="0"/>
        <w:pageBreakBefore w:val="0"/>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中小企业声明函（如果有）</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4"/>
        <w:keepNext w:val="0"/>
        <w:keepLines w:val="0"/>
        <w:pageBreakBefore/>
        <w:widowControl/>
        <w:spacing w:before="100" w:beforeAutospacing="1" w:after="100" w:afterAutospacing="1" w:line="360" w:lineRule="auto"/>
        <w:rPr>
          <w:rFonts w:hint="eastAsia" w:ascii="仿宋" w:hAnsi="仿宋" w:eastAsia="仿宋" w:cs="仿宋"/>
          <w:color w:val="auto"/>
          <w:highlight w:val="none"/>
        </w:rPr>
      </w:pPr>
      <w:r>
        <w:rPr>
          <w:rFonts w:hint="eastAsia" w:ascii="仿宋" w:hAnsi="仿宋" w:eastAsia="仿宋" w:cs="仿宋"/>
          <w:color w:val="auto"/>
          <w:highlight w:val="none"/>
        </w:rPr>
        <w:t>附件</w:t>
      </w:r>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399" w:name="OLE_LINK14"/>
      <w:bookmarkStart w:id="400" w:name="OLE_LINK13"/>
      <w:r>
        <w:rPr>
          <w:rFonts w:hint="eastAsia" w:ascii="仿宋" w:hAnsi="仿宋" w:eastAsia="仿宋" w:cs="仿宋"/>
          <w:b/>
          <w:color w:val="auto"/>
          <w:spacing w:val="6"/>
          <w:sz w:val="32"/>
          <w:szCs w:val="32"/>
          <w:highlight w:val="none"/>
        </w:rPr>
        <w:t>残疾人福利性单位声明函</w:t>
      </w:r>
    </w:p>
    <w:bookmarkEnd w:id="399"/>
    <w:bookmarkEnd w:id="400"/>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rPr>
        <w:t>_单位的_</w:t>
      </w:r>
      <w:r>
        <w:rPr>
          <w:rFonts w:hint="eastAsia" w:ascii="仿宋" w:hAnsi="仿宋" w:eastAsia="仿宋" w:cs="仿宋"/>
          <w:color w:val="auto"/>
          <w:sz w:val="24"/>
          <w:highlight w:val="none"/>
          <w:u w:val="single"/>
          <w:lang w:eastAsia="zh-CN"/>
        </w:rPr>
        <w:t>仓基新村社区驻点服务项目</w:t>
      </w:r>
      <w:r>
        <w:rPr>
          <w:rFonts w:hint="eastAsia" w:ascii="仿宋" w:hAnsi="仿宋" w:eastAsia="仿宋" w:cs="仿宋"/>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both"/>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autoSpaceDE w:val="0"/>
        <w:autoSpaceDN w:val="0"/>
        <w:jc w:val="both"/>
        <w:rPr>
          <w:rFonts w:hint="eastAsia" w:ascii="仿宋" w:hAnsi="仿宋" w:eastAsia="仿宋" w:cs="仿宋"/>
          <w:b/>
          <w:bCs/>
          <w:color w:val="auto"/>
          <w:sz w:val="32"/>
          <w:szCs w:val="32"/>
          <w:highlight w:val="none"/>
        </w:rPr>
      </w:pPr>
    </w:p>
    <w:p>
      <w:pPr>
        <w:spacing w:line="360" w:lineRule="auto"/>
        <w:jc w:val="center"/>
        <w:rPr>
          <w:rFonts w:hint="eastAsia" w:ascii="仿宋" w:hAnsi="仿宋" w:eastAsia="仿宋" w:cs="仿宋"/>
          <w:color w:val="auto"/>
          <w:sz w:val="24"/>
          <w:highlight w:val="none"/>
          <w:u w:val="single"/>
        </w:rPr>
      </w:pP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lang w:eastAsia="zh-CN"/>
        </w:rPr>
        <w:t xml:space="preserve">杭州市拱墅区人民政府湖墅街道办事处 </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杭州君信工程咨询有限公司</w:t>
      </w:r>
      <w:r>
        <w:rPr>
          <w:rFonts w:hint="eastAsia" w:ascii="仿宋" w:hAnsi="仿宋" w:eastAsia="仿宋" w:cs="仿宋"/>
          <w:color w:val="auto"/>
          <w:sz w:val="24"/>
          <w:highlight w:val="none"/>
          <w:u w:val="singl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w:t>
      </w:r>
      <w:r>
        <w:rPr>
          <w:rFonts w:hint="eastAsia" w:ascii="仿宋" w:hAnsi="仿宋" w:eastAsia="仿宋" w:cs="仿宋"/>
          <w:color w:val="auto"/>
          <w:sz w:val="24"/>
          <w:highlight w:val="none"/>
          <w:lang w:eastAsia="zh-CN"/>
        </w:rPr>
        <w:t>仓基新村社区驻点服务项目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HSJD-202401</w:t>
      </w: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both"/>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kern w:val="0"/>
          <w:sz w:val="32"/>
          <w:szCs w:val="32"/>
          <w:highlight w:val="none"/>
          <w:lang w:val="zh-CN"/>
        </w:rPr>
        <w:t>联合协议</w:t>
      </w:r>
    </w:p>
    <w:p>
      <w:pPr>
        <w:autoSpaceDE w:val="0"/>
        <w:autoSpaceDN w:val="0"/>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lang w:eastAsia="zh-CN"/>
        </w:rPr>
        <w:t>仓基新村社区驻点服务项目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HSJD-202401</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（联合体成员1）</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（联合体成员2）</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四、联合体成员中小企业合同份额。</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u w:val="single"/>
        </w:rPr>
        <w:t>（</w:t>
      </w:r>
      <w:bookmarkStart w:id="401" w:name="_Hlk101131882"/>
      <w:r>
        <w:rPr>
          <w:rFonts w:hint="eastAsia" w:ascii="仿宋" w:hAnsi="仿宋" w:eastAsia="仿宋" w:cs="仿宋"/>
          <w:color w:val="auto"/>
          <w:kern w:val="0"/>
          <w:sz w:val="24"/>
          <w:highlight w:val="none"/>
          <w:u w:val="single"/>
        </w:rPr>
        <w:t>联合体成员X,……</w:t>
      </w:r>
      <w:bookmarkEnd w:id="401"/>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rPr>
        <w:t>提供的服务由小微企业承接，其合同份额占到合同总金额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w:t>
      </w:r>
      <w:bookmarkStart w:id="402" w:name="_Hlk101133598"/>
      <w:r>
        <w:rPr>
          <w:rFonts w:hint="eastAsia" w:ascii="仿宋" w:hAnsi="仿宋" w:eastAsia="仿宋" w:cs="仿宋"/>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highlight w:val="none"/>
        </w:rPr>
        <w:t>拟享受以上价格扣除政策的，填写有关内容。</w:t>
      </w:r>
      <w:bookmarkEnd w:id="402"/>
      <w:r>
        <w:rPr>
          <w:rFonts w:hint="eastAsia" w:ascii="仿宋" w:hAnsi="仿宋" w:eastAsia="仿宋" w:cs="仿宋"/>
          <w:b/>
          <w:color w:val="auto"/>
          <w:kern w:val="0"/>
          <w:sz w:val="24"/>
          <w:highlight w:val="none"/>
          <w:lang w:val="zh-CN"/>
        </w:rPr>
        <w:t>）</w:t>
      </w:r>
    </w:p>
    <w:p>
      <w:pPr>
        <w:spacing w:line="360" w:lineRule="auto"/>
        <w:ind w:firstLine="480" w:firstLineChars="200"/>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w:t>
      </w:r>
      <w:bookmarkStart w:id="403" w:name="_Hlk101133173"/>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highlight w:val="none"/>
          <w:lang w:val="zh-CN"/>
        </w:rPr>
        <w:t>）</w:t>
      </w:r>
      <w:bookmarkEnd w:id="403"/>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right="960"/>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snapToGrid w:val="0"/>
        <w:spacing w:line="360" w:lineRule="auto"/>
        <w:ind w:firstLine="3666" w:firstLineChars="1100"/>
        <w:rPr>
          <w:rFonts w:hint="eastAsia" w:ascii="仿宋" w:hAnsi="仿宋" w:eastAsia="仿宋" w:cs="仿宋"/>
          <w:b/>
          <w:color w:val="auto"/>
          <w:spacing w:val="6"/>
          <w:sz w:val="32"/>
          <w:szCs w:val="32"/>
          <w:highlight w:val="none"/>
        </w:rPr>
      </w:pPr>
    </w:p>
    <w:p>
      <w:pPr>
        <w:widowControl/>
        <w:adjustRightInd/>
        <w:snapToGrid/>
        <w:spacing w:line="240" w:lineRule="auto"/>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spacing w:val="6"/>
          <w:sz w:val="32"/>
          <w:szCs w:val="32"/>
          <w:highlight w:val="none"/>
        </w:rPr>
        <w:br w:type="page"/>
      </w:r>
      <w:r>
        <w:rPr>
          <w:rFonts w:hint="eastAsia" w:ascii="仿宋" w:hAnsi="仿宋" w:eastAsia="仿宋" w:cs="仿宋"/>
          <w:b/>
          <w:color w:val="auto"/>
          <w:spacing w:val="6"/>
          <w:sz w:val="32"/>
          <w:szCs w:val="32"/>
          <w:highlight w:val="none"/>
        </w:rPr>
        <w:t>附件6：</w:t>
      </w:r>
      <w:r>
        <w:rPr>
          <w:rFonts w:hint="eastAsia" w:ascii="仿宋" w:hAnsi="仿宋" w:eastAsia="仿宋" w:cs="仿宋"/>
          <w:b/>
          <w:color w:val="auto"/>
          <w:kern w:val="0"/>
          <w:sz w:val="32"/>
          <w:szCs w:val="32"/>
          <w:highlight w:val="none"/>
        </w:rPr>
        <w:t>分包意向协议</w:t>
      </w:r>
    </w:p>
    <w:p>
      <w:pPr>
        <w:snapToGrid w:val="0"/>
        <w:spacing w:line="360" w:lineRule="auto"/>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lang w:eastAsia="zh-CN"/>
        </w:rPr>
        <w:t>仓基新村社区驻点服务项目</w:t>
      </w:r>
      <w:r>
        <w:rPr>
          <w:rFonts w:hint="eastAsia" w:ascii="仿宋" w:hAnsi="仿宋" w:eastAsia="仿宋" w:cs="仿宋"/>
          <w:color w:val="auto"/>
          <w:sz w:val="24"/>
          <w:highlight w:val="none"/>
        </w:rPr>
        <w:t>【招标编号：</w:t>
      </w:r>
      <w:r>
        <w:rPr>
          <w:rFonts w:hint="eastAsia" w:ascii="仿宋" w:hAnsi="仿宋" w:eastAsia="仿宋" w:cs="仿宋"/>
          <w:color w:val="auto"/>
          <w:sz w:val="24"/>
          <w:highlight w:val="none"/>
          <w:lang w:eastAsia="zh-CN"/>
        </w:rPr>
        <w:t>HSJD-202401</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（分包供应商2名称），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5"/>
        <w:ind w:left="664" w:leftChars="316" w:firstLine="229" w:firstLineChars="9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p>
      <w:pPr>
        <w:snapToGrid/>
        <w:spacing w:line="240" w:lineRule="auto"/>
        <w:ind w:firstLine="0"/>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lang w:val="zh-CN"/>
        </w:rPr>
        <w:t xml:space="preserve"> </w:t>
      </w:r>
      <w:r>
        <w:rPr>
          <w:rFonts w:hint="eastAsia" w:ascii="仿宋" w:hAnsi="仿宋" w:eastAsia="仿宋" w:cs="仿宋"/>
          <w:color w:val="auto"/>
          <w:kern w:val="0"/>
          <w:sz w:val="24"/>
          <w:highlight w:val="none"/>
          <w:lang w:val="zh-CN"/>
        </w:rPr>
        <w:t>二、分包供应商中小企业合同份额</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u w:val="single"/>
        </w:rPr>
        <w:t>（分包供应商X,……）提供的服务全部由小微企业承接，</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spacing w:line="360" w:lineRule="auto"/>
        <w:ind w:firstLine="480" w:firstLineChars="200"/>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要求合同分包形式参加的项目或采购包，供应商按招标文件第一部分招标公告申请人的资格要求中规定的</w:t>
      </w:r>
      <w:r>
        <w:rPr>
          <w:rFonts w:hint="eastAsia" w:ascii="仿宋" w:hAnsi="仿宋" w:eastAsia="仿宋" w:cs="仿宋"/>
          <w:b/>
          <w:color w:val="auto"/>
          <w:kern w:val="0"/>
          <w:sz w:val="24"/>
          <w:highlight w:val="none"/>
          <w:lang w:val="zh-CN"/>
        </w:rPr>
        <w:t>分包意向协议</w:t>
      </w:r>
      <w:r>
        <w:rPr>
          <w:rFonts w:hint="eastAsia" w:ascii="仿宋" w:hAnsi="仿宋" w:eastAsia="仿宋" w:cs="仿宋"/>
          <w:b/>
          <w:bCs/>
          <w:color w:val="auto"/>
          <w:sz w:val="24"/>
          <w:highlight w:val="none"/>
        </w:rPr>
        <w:t>中中小企业、小微企业合同金额应当达到的比例要求填写。</w:t>
      </w:r>
      <w:r>
        <w:rPr>
          <w:rFonts w:hint="eastAsia" w:ascii="仿宋" w:hAnsi="仿宋" w:eastAsia="仿宋" w:cs="仿宋"/>
          <w:b/>
          <w:bCs/>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八、其他</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spacing w:line="360" w:lineRule="auto"/>
        <w:jc w:val="left"/>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附件7：中小企业声明函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中小企业声明函（服务）</w:t>
      </w: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highlight w:val="none"/>
          <w:u w:val="single"/>
          <w:lang w:eastAsia="zh-CN"/>
        </w:rPr>
        <w:t xml:space="preserve">杭州市拱墅区人民政府湖墅街道办事处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仓基新村社区驻点服务项目</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 xml:space="preserve"> （标的名称），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 xml:space="preserve">（采购文件中明确的所属行业） </w:t>
      </w:r>
      <w:r>
        <w:rPr>
          <w:rFonts w:hint="eastAsia" w:ascii="仿宋" w:hAnsi="仿宋" w:eastAsia="仿宋" w:cs="仿宋"/>
          <w:color w:val="auto"/>
          <w:sz w:val="24"/>
          <w:highlight w:val="none"/>
        </w:rPr>
        <w:t xml:space="preserve">；承建（承接）企业为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hint="eastAsia" w:ascii="仿宋" w:hAnsi="仿宋" w:eastAsia="仿宋" w:cs="仿宋"/>
          <w:color w:val="auto"/>
          <w:highlight w:val="none"/>
          <w:lang w:val="en-US"/>
        </w:rPr>
      </w:pPr>
    </w:p>
    <w:p>
      <w:pPr>
        <w:spacing w:line="360" w:lineRule="auto"/>
        <w:ind w:right="420"/>
        <w:rPr>
          <w:rFonts w:hint="eastAsia" w:ascii="仿宋" w:hAnsi="仿宋" w:eastAsia="仿宋" w:cs="仿宋"/>
          <w:color w:val="auto"/>
          <w:highlight w:val="none"/>
        </w:rPr>
      </w:pPr>
    </w:p>
    <w:p>
      <w:pPr>
        <w:spacing w:line="360" w:lineRule="auto"/>
        <w:rPr>
          <w:rFonts w:hint="eastAsia" w:ascii="仿宋" w:hAnsi="仿宋" w:eastAsia="仿宋" w:cs="仿宋"/>
          <w:bCs/>
          <w:color w:val="auto"/>
          <w:sz w:val="24"/>
          <w:highlight w:val="none"/>
        </w:rPr>
      </w:pPr>
    </w:p>
    <w:bookmarkEnd w:id="408"/>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UI Symbo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404" w:name="_Toc36110187"/>
    <w:bookmarkStart w:id="405" w:name="_Toc131845147"/>
    <w:bookmarkStart w:id="406" w:name="_Toc91899912"/>
    <w:bookmarkStart w:id="407" w:name="_Toc164085800"/>
    <w:r>
      <w:rPr>
        <w:rFonts w:hint="eastAsia" w:ascii="仿宋_GB2312" w:eastAsia="仿宋_GB2312"/>
        <w:kern w:val="0"/>
        <w:szCs w:val="21"/>
      </w:rPr>
      <w:t xml:space="preserve"> 页</w:t>
    </w:r>
    <w:bookmarkEnd w:id="404"/>
    <w:bookmarkEnd w:id="405"/>
    <w:bookmarkEnd w:id="406"/>
    <w:bookmarkEnd w:id="40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BC7F0"/>
    <w:multiLevelType w:val="singleLevel"/>
    <w:tmpl w:val="0CABC7F0"/>
    <w:lvl w:ilvl="0" w:tentative="0">
      <w:start w:val="2"/>
      <w:numFmt w:val="chineseCounting"/>
      <w:suff w:val="nothing"/>
      <w:lvlText w:val="（%1）"/>
      <w:lvlJc w:val="left"/>
      <w:rPr>
        <w:rFonts w:hint="eastAsia"/>
      </w:rPr>
    </w:lvl>
  </w:abstractNum>
  <w:abstractNum w:abstractNumId="1">
    <w:nsid w:val="157EABE1"/>
    <w:multiLevelType w:val="singleLevel"/>
    <w:tmpl w:val="157EABE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ZTE0NTAxNTRmZDk4ZmI2ZWQ2N2ExZWYyZDA1Zm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02A9E"/>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7C15AC"/>
    <w:rsid w:val="048F763B"/>
    <w:rsid w:val="049F330E"/>
    <w:rsid w:val="04AA775C"/>
    <w:rsid w:val="04AF1889"/>
    <w:rsid w:val="04F66F48"/>
    <w:rsid w:val="05251E14"/>
    <w:rsid w:val="05A16594"/>
    <w:rsid w:val="05A7762D"/>
    <w:rsid w:val="05CC3F1A"/>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137B2"/>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8B6E0F"/>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7D5AE0"/>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247C45"/>
    <w:rsid w:val="16A8729C"/>
    <w:rsid w:val="16B33777"/>
    <w:rsid w:val="16BC70A7"/>
    <w:rsid w:val="16C6339E"/>
    <w:rsid w:val="16CF2961"/>
    <w:rsid w:val="172F2D79"/>
    <w:rsid w:val="17557BEF"/>
    <w:rsid w:val="17D349C1"/>
    <w:rsid w:val="1830729E"/>
    <w:rsid w:val="1870062C"/>
    <w:rsid w:val="18817102"/>
    <w:rsid w:val="18830A15"/>
    <w:rsid w:val="18852B28"/>
    <w:rsid w:val="188B5321"/>
    <w:rsid w:val="19650358"/>
    <w:rsid w:val="19932372"/>
    <w:rsid w:val="19A20DD5"/>
    <w:rsid w:val="19AE03F1"/>
    <w:rsid w:val="1A071A03"/>
    <w:rsid w:val="1A1F16AE"/>
    <w:rsid w:val="1A3B5C77"/>
    <w:rsid w:val="1A984BAD"/>
    <w:rsid w:val="1AB8220E"/>
    <w:rsid w:val="1AE4166C"/>
    <w:rsid w:val="1AF06CFB"/>
    <w:rsid w:val="1AF11B8D"/>
    <w:rsid w:val="1AFB244F"/>
    <w:rsid w:val="1B11359C"/>
    <w:rsid w:val="1B2A271F"/>
    <w:rsid w:val="1B530544"/>
    <w:rsid w:val="1B713184"/>
    <w:rsid w:val="1BA209CF"/>
    <w:rsid w:val="1BB4777D"/>
    <w:rsid w:val="1BD75AB8"/>
    <w:rsid w:val="1C0459C2"/>
    <w:rsid w:val="1C1B3B4A"/>
    <w:rsid w:val="1C88086E"/>
    <w:rsid w:val="1D0E260F"/>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EBA370D"/>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79D06C9"/>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175BFE"/>
    <w:rsid w:val="2E4B082A"/>
    <w:rsid w:val="2E5D4E86"/>
    <w:rsid w:val="2E5D790B"/>
    <w:rsid w:val="2E9A3C18"/>
    <w:rsid w:val="2EBB0FEE"/>
    <w:rsid w:val="2EC63002"/>
    <w:rsid w:val="2F0A6B38"/>
    <w:rsid w:val="2F2D19B9"/>
    <w:rsid w:val="2F946CCB"/>
    <w:rsid w:val="2FD25781"/>
    <w:rsid w:val="2FDC745C"/>
    <w:rsid w:val="2FFD7934"/>
    <w:rsid w:val="30733ACD"/>
    <w:rsid w:val="30834888"/>
    <w:rsid w:val="308C3862"/>
    <w:rsid w:val="309379D8"/>
    <w:rsid w:val="30A270F7"/>
    <w:rsid w:val="30DF1478"/>
    <w:rsid w:val="30EC586F"/>
    <w:rsid w:val="314550B7"/>
    <w:rsid w:val="319C6071"/>
    <w:rsid w:val="31AC537E"/>
    <w:rsid w:val="31E3679B"/>
    <w:rsid w:val="31E732FD"/>
    <w:rsid w:val="32333292"/>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422C08"/>
    <w:rsid w:val="365302AE"/>
    <w:rsid w:val="36607A0A"/>
    <w:rsid w:val="366E227C"/>
    <w:rsid w:val="366F2E0D"/>
    <w:rsid w:val="367B6A5C"/>
    <w:rsid w:val="36A74ADA"/>
    <w:rsid w:val="36AD60D5"/>
    <w:rsid w:val="36B224F9"/>
    <w:rsid w:val="36EC0CC9"/>
    <w:rsid w:val="37230970"/>
    <w:rsid w:val="373F410B"/>
    <w:rsid w:val="37EE7094"/>
    <w:rsid w:val="38296C89"/>
    <w:rsid w:val="383002EB"/>
    <w:rsid w:val="38586797"/>
    <w:rsid w:val="38BC0149"/>
    <w:rsid w:val="38D87D1C"/>
    <w:rsid w:val="39636459"/>
    <w:rsid w:val="396B7F6C"/>
    <w:rsid w:val="396D65DF"/>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4A5D6E"/>
    <w:rsid w:val="3D8734BB"/>
    <w:rsid w:val="3D9A11D4"/>
    <w:rsid w:val="3DA16D89"/>
    <w:rsid w:val="3DA364BE"/>
    <w:rsid w:val="3DE041CB"/>
    <w:rsid w:val="3E0D48F6"/>
    <w:rsid w:val="3E1868B4"/>
    <w:rsid w:val="3E377251"/>
    <w:rsid w:val="3E416D36"/>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5D72DC"/>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9C500D"/>
    <w:rsid w:val="48B94FF3"/>
    <w:rsid w:val="48E37AAB"/>
    <w:rsid w:val="48FD4B4C"/>
    <w:rsid w:val="490A68E0"/>
    <w:rsid w:val="491055FE"/>
    <w:rsid w:val="493A2D00"/>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6F7337"/>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813143"/>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E96273"/>
    <w:rsid w:val="5E006862"/>
    <w:rsid w:val="5E0207B9"/>
    <w:rsid w:val="5E1834A1"/>
    <w:rsid w:val="5E261785"/>
    <w:rsid w:val="5E4A7017"/>
    <w:rsid w:val="5E552BBA"/>
    <w:rsid w:val="5E611C10"/>
    <w:rsid w:val="5E7A0F3F"/>
    <w:rsid w:val="5EFC7377"/>
    <w:rsid w:val="5F013092"/>
    <w:rsid w:val="5F06174D"/>
    <w:rsid w:val="5F3A3602"/>
    <w:rsid w:val="5F45733B"/>
    <w:rsid w:val="5F6277C6"/>
    <w:rsid w:val="5F6D0B1D"/>
    <w:rsid w:val="5F8D0B82"/>
    <w:rsid w:val="5FCC5339"/>
    <w:rsid w:val="5FDB26EF"/>
    <w:rsid w:val="5FE34A5B"/>
    <w:rsid w:val="5FFE1E36"/>
    <w:rsid w:val="60232584"/>
    <w:rsid w:val="6039376E"/>
    <w:rsid w:val="607330CE"/>
    <w:rsid w:val="60825176"/>
    <w:rsid w:val="609F2AC4"/>
    <w:rsid w:val="60FA2EE8"/>
    <w:rsid w:val="61054A27"/>
    <w:rsid w:val="610A52BC"/>
    <w:rsid w:val="611D2366"/>
    <w:rsid w:val="61421856"/>
    <w:rsid w:val="615227C4"/>
    <w:rsid w:val="61654E3F"/>
    <w:rsid w:val="6182292A"/>
    <w:rsid w:val="619F7F92"/>
    <w:rsid w:val="61C63D80"/>
    <w:rsid w:val="61F94C26"/>
    <w:rsid w:val="62000E56"/>
    <w:rsid w:val="624F3E49"/>
    <w:rsid w:val="62632286"/>
    <w:rsid w:val="62885958"/>
    <w:rsid w:val="62BD2C75"/>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083B12"/>
    <w:rsid w:val="66195831"/>
    <w:rsid w:val="662E75B1"/>
    <w:rsid w:val="66342C2E"/>
    <w:rsid w:val="66396BF3"/>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B37D2"/>
    <w:rsid w:val="687C10C9"/>
    <w:rsid w:val="68840C16"/>
    <w:rsid w:val="68872541"/>
    <w:rsid w:val="68876EFB"/>
    <w:rsid w:val="68884654"/>
    <w:rsid w:val="689F444F"/>
    <w:rsid w:val="68B96DBB"/>
    <w:rsid w:val="68CA2805"/>
    <w:rsid w:val="68E937A3"/>
    <w:rsid w:val="691664E5"/>
    <w:rsid w:val="693E15D3"/>
    <w:rsid w:val="69627681"/>
    <w:rsid w:val="6977531D"/>
    <w:rsid w:val="698A0CE2"/>
    <w:rsid w:val="69CC2BFF"/>
    <w:rsid w:val="69FD55B8"/>
    <w:rsid w:val="6A0B1C62"/>
    <w:rsid w:val="6A2406C8"/>
    <w:rsid w:val="6ADE0BD1"/>
    <w:rsid w:val="6AE96859"/>
    <w:rsid w:val="6B147746"/>
    <w:rsid w:val="6B24787C"/>
    <w:rsid w:val="6B573233"/>
    <w:rsid w:val="6B5B6274"/>
    <w:rsid w:val="6B935D53"/>
    <w:rsid w:val="6C061355"/>
    <w:rsid w:val="6C196F71"/>
    <w:rsid w:val="6C226FCB"/>
    <w:rsid w:val="6C31226F"/>
    <w:rsid w:val="6C552F0B"/>
    <w:rsid w:val="6C8C67B7"/>
    <w:rsid w:val="6C9D744C"/>
    <w:rsid w:val="6D167928"/>
    <w:rsid w:val="6D26299B"/>
    <w:rsid w:val="6D4772EC"/>
    <w:rsid w:val="6D610D41"/>
    <w:rsid w:val="6D9078AF"/>
    <w:rsid w:val="6DAA3FEF"/>
    <w:rsid w:val="6DC0172B"/>
    <w:rsid w:val="6DCB690C"/>
    <w:rsid w:val="6DD41A5B"/>
    <w:rsid w:val="6DF43C2E"/>
    <w:rsid w:val="6DF51CA3"/>
    <w:rsid w:val="6E8335BD"/>
    <w:rsid w:val="6E8E12EF"/>
    <w:rsid w:val="6E972936"/>
    <w:rsid w:val="6EC569D1"/>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4D7008"/>
    <w:rsid w:val="73C0646E"/>
    <w:rsid w:val="742222F5"/>
    <w:rsid w:val="742801EE"/>
    <w:rsid w:val="74476126"/>
    <w:rsid w:val="74706664"/>
    <w:rsid w:val="747F3682"/>
    <w:rsid w:val="749C4185"/>
    <w:rsid w:val="74C4154C"/>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8F6E0E"/>
    <w:rsid w:val="77D1700D"/>
    <w:rsid w:val="77EC04CC"/>
    <w:rsid w:val="78775729"/>
    <w:rsid w:val="78A42DB0"/>
    <w:rsid w:val="78A656AB"/>
    <w:rsid w:val="78B2245C"/>
    <w:rsid w:val="78C6021F"/>
    <w:rsid w:val="78E172CC"/>
    <w:rsid w:val="78EA1D1F"/>
    <w:rsid w:val="7904172F"/>
    <w:rsid w:val="790F7E27"/>
    <w:rsid w:val="79113CA4"/>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AE0FEB"/>
    <w:rsid w:val="7DB57A34"/>
    <w:rsid w:val="7DE60973"/>
    <w:rsid w:val="7DEF0916"/>
    <w:rsid w:val="7E1E5218"/>
    <w:rsid w:val="7E3144D9"/>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3"/>
    <w:qFormat/>
    <w:uiPriority w:val="0"/>
    <w:pPr>
      <w:keepNext/>
      <w:keepLines/>
      <w:tabs>
        <w:tab w:val="left" w:pos="900"/>
      </w:tabs>
      <w:spacing w:before="260" w:after="260" w:line="416" w:lineRule="auto"/>
      <w:ind w:left="900" w:hanging="720"/>
      <w:outlineLvl w:val="2"/>
    </w:pPr>
    <w:rPr>
      <w:b/>
      <w:bCs/>
      <w:sz w:val="32"/>
      <w:szCs w:val="32"/>
    </w:rPr>
  </w:style>
  <w:style w:type="paragraph" w:styleId="2">
    <w:name w:val="heading 4"/>
    <w:basedOn w:val="1"/>
    <w:next w:val="3"/>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2"/>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3"/>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qFormat/>
    <w:uiPriority w:val="0"/>
    <w:rPr>
      <w:b/>
      <w:bCs/>
    </w:rPr>
  </w:style>
  <w:style w:type="paragraph" w:styleId="60">
    <w:name w:val="Body Text First Indent"/>
    <w:basedOn w:val="23"/>
    <w:link w:val="318"/>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character" w:customStyle="1" w:styleId="79">
    <w:name w:val="表格非标题文字 Char"/>
    <w:link w:val="80"/>
    <w:autoRedefine/>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autoRedefine/>
    <w:qFormat/>
    <w:locked/>
    <w:uiPriority w:val="0"/>
    <w:rPr>
      <w:rFonts w:ascii="宋体" w:hAnsi="宋体"/>
      <w:sz w:val="24"/>
    </w:rPr>
  </w:style>
  <w:style w:type="paragraph" w:customStyle="1" w:styleId="82">
    <w:name w:val="*正文"/>
    <w:basedOn w:val="1"/>
    <w:link w:val="81"/>
    <w:autoRedefine/>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autoRedefine/>
    <w:qFormat/>
    <w:uiPriority w:val="0"/>
    <w:rPr>
      <w:rFonts w:eastAsia="宋体"/>
      <w:kern w:val="2"/>
      <w:sz w:val="21"/>
      <w:szCs w:val="24"/>
      <w:lang w:val="en-US" w:eastAsia="zh-CN" w:bidi="ar-SA"/>
    </w:rPr>
  </w:style>
  <w:style w:type="character" w:customStyle="1" w:styleId="85">
    <w:name w:val="正文缩进 Char"/>
    <w:autoRedefine/>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autoRedefine/>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autoRedefine/>
    <w:qFormat/>
    <w:uiPriority w:val="6"/>
    <w:rPr>
      <w:rFonts w:ascii="Times New Roman" w:hAnsi="Times New Roman" w:eastAsia="黑体" w:cs="Times New Roman"/>
      <w:b/>
      <w:kern w:val="0"/>
      <w:sz w:val="24"/>
      <w:szCs w:val="24"/>
    </w:rPr>
  </w:style>
  <w:style w:type="character" w:customStyle="1" w:styleId="90">
    <w:name w:val="U_正文 Char"/>
    <w:link w:val="91"/>
    <w:autoRedefine/>
    <w:qFormat/>
    <w:uiPriority w:val="0"/>
    <w:rPr>
      <w:sz w:val="24"/>
      <w:szCs w:val="24"/>
    </w:rPr>
  </w:style>
  <w:style w:type="paragraph" w:customStyle="1" w:styleId="91">
    <w:name w:val="U_正文"/>
    <w:basedOn w:val="1"/>
    <w:link w:val="90"/>
    <w:autoRedefine/>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autoRedefine/>
    <w:qFormat/>
    <w:uiPriority w:val="0"/>
    <w:rPr>
      <w:b/>
      <w:bCs/>
      <w:kern w:val="2"/>
      <w:sz w:val="21"/>
      <w:szCs w:val="24"/>
    </w:rPr>
  </w:style>
  <w:style w:type="character" w:customStyle="1" w:styleId="94">
    <w:name w:val="Char Char51"/>
    <w:autoRedefine/>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autoRedefine/>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autoRedefine/>
    <w:qFormat/>
    <w:uiPriority w:val="0"/>
    <w:rPr>
      <w:color w:val="808080"/>
      <w:shd w:val="clear" w:color="auto" w:fill="E6E6E6"/>
    </w:rPr>
  </w:style>
  <w:style w:type="character" w:customStyle="1" w:styleId="101">
    <w:name w:val="txt"/>
    <w:autoRedefine/>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autoRedefine/>
    <w:qFormat/>
    <w:uiPriority w:val="6"/>
    <w:rPr>
      <w:b/>
      <w:kern w:val="1"/>
      <w:sz w:val="24"/>
      <w:szCs w:val="24"/>
    </w:rPr>
  </w:style>
  <w:style w:type="character" w:customStyle="1" w:styleId="104">
    <w:name w:val="PI Char1"/>
    <w:autoRedefine/>
    <w:qFormat/>
    <w:uiPriority w:val="0"/>
    <w:rPr>
      <w:rFonts w:ascii="宋体" w:hAnsi="宋体"/>
      <w:kern w:val="2"/>
      <w:sz w:val="24"/>
      <w:szCs w:val="24"/>
    </w:rPr>
  </w:style>
  <w:style w:type="character" w:customStyle="1" w:styleId="105">
    <w:name w:val="tw4winTerm"/>
    <w:autoRedefine/>
    <w:qFormat/>
    <w:uiPriority w:val="0"/>
    <w:rPr>
      <w:color w:val="0000FF"/>
    </w:rPr>
  </w:style>
  <w:style w:type="character" w:customStyle="1" w:styleId="106">
    <w:name w:val="Footer Char"/>
    <w:autoRedefine/>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autoRedefine/>
    <w:qFormat/>
    <w:uiPriority w:val="6"/>
    <w:rPr>
      <w:rFonts w:ascii="宋体" w:hAnsi="宋体"/>
      <w:kern w:val="2"/>
      <w:sz w:val="21"/>
      <w:szCs w:val="24"/>
      <w:lang w:val="en-US" w:eastAsia="zh-CN"/>
    </w:rPr>
  </w:style>
  <w:style w:type="character" w:customStyle="1" w:styleId="109">
    <w:name w:val="标题 4 Char"/>
    <w:autoRedefine/>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autoRedefine/>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autoRedefine/>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autoRedefine/>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autoRedefine/>
    <w:qFormat/>
    <w:uiPriority w:val="0"/>
    <w:rPr>
      <w:rFonts w:hint="default" w:ascii="Times New Roman" w:hAnsi="Times New Roman" w:cs="Times New Roman"/>
      <w:color w:val="000000"/>
      <w:sz w:val="22"/>
      <w:szCs w:val="22"/>
      <w:u w:val="none"/>
    </w:rPr>
  </w:style>
  <w:style w:type="character" w:customStyle="1" w:styleId="120">
    <w:name w:val="表正文 Char1"/>
    <w:autoRedefine/>
    <w:qFormat/>
    <w:uiPriority w:val="0"/>
    <w:rPr>
      <w:rFonts w:ascii="宋体" w:eastAsia="宋体"/>
      <w:snapToGrid w:val="0"/>
      <w:color w:val="000000"/>
      <w:kern w:val="28"/>
      <w:sz w:val="28"/>
    </w:rPr>
  </w:style>
  <w:style w:type="character" w:customStyle="1" w:styleId="121">
    <w:name w:val="blue1"/>
    <w:basedOn w:val="69"/>
    <w:autoRedefine/>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autoRedefine/>
    <w:qFormat/>
    <w:uiPriority w:val="0"/>
    <w:rPr>
      <w:rFonts w:eastAsia="宋体"/>
      <w:b/>
      <w:bCs/>
      <w:kern w:val="44"/>
      <w:sz w:val="44"/>
      <w:szCs w:val="44"/>
      <w:lang w:val="en-US" w:eastAsia="zh-CN" w:bidi="ar-SA"/>
    </w:rPr>
  </w:style>
  <w:style w:type="character" w:customStyle="1" w:styleId="124">
    <w:name w:val="样式5 Char"/>
    <w:autoRedefine/>
    <w:qFormat/>
    <w:uiPriority w:val="0"/>
    <w:rPr>
      <w:rFonts w:ascii="仿宋_GB2312" w:hAnsi="仿宋" w:eastAsia="仿宋_GB2312"/>
      <w:kern w:val="2"/>
      <w:sz w:val="24"/>
      <w:szCs w:val="24"/>
    </w:rPr>
  </w:style>
  <w:style w:type="character" w:customStyle="1" w:styleId="125">
    <w:name w:val="样式4 Char"/>
    <w:autoRedefine/>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autoRedefine/>
    <w:qFormat/>
    <w:uiPriority w:val="0"/>
    <w:pPr>
      <w:spacing w:before="156" w:line="360" w:lineRule="auto"/>
      <w:ind w:firstLine="510" w:firstLineChars="200"/>
    </w:pPr>
    <w:rPr>
      <w:sz w:val="24"/>
      <w:szCs w:val="20"/>
    </w:rPr>
  </w:style>
  <w:style w:type="character" w:customStyle="1" w:styleId="129">
    <w:name w:val="Char Char24"/>
    <w:autoRedefine/>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autoRedefine/>
    <w:qFormat/>
    <w:uiPriority w:val="0"/>
    <w:rPr>
      <w:rFonts w:ascii="宋体" w:hAnsi="Courier New" w:eastAsia="宋体"/>
      <w:kern w:val="2"/>
      <w:sz w:val="21"/>
      <w:szCs w:val="24"/>
      <w:lang w:val="en-US" w:eastAsia="zh-CN" w:bidi="ar-SA"/>
    </w:rPr>
  </w:style>
  <w:style w:type="character" w:customStyle="1" w:styleId="132">
    <w:name w:val="h3 Char1"/>
    <w:autoRedefine/>
    <w:qFormat/>
    <w:uiPriority w:val="0"/>
    <w:rPr>
      <w:rFonts w:eastAsia="宋体"/>
      <w:b/>
      <w:bCs/>
      <w:kern w:val="2"/>
      <w:sz w:val="32"/>
      <w:szCs w:val="32"/>
      <w:lang w:bidi="ar-SA"/>
    </w:rPr>
  </w:style>
  <w:style w:type="character" w:customStyle="1" w:styleId="133">
    <w:name w:val="标题 Char1"/>
    <w:autoRedefine/>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autoRedefine/>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autoRedefine/>
    <w:qFormat/>
    <w:uiPriority w:val="1"/>
    <w:rPr>
      <w:rFonts w:ascii="Times New Roman" w:hAnsi="Times New Roman" w:eastAsia="宋体" w:cs="Times New Roman"/>
      <w:sz w:val="22"/>
      <w:szCs w:val="22"/>
      <w:lang w:val="en-US" w:eastAsia="zh-CN" w:bidi="ar-SA"/>
    </w:rPr>
  </w:style>
  <w:style w:type="character" w:customStyle="1" w:styleId="138">
    <w:name w:val="样式7 Char"/>
    <w:autoRedefine/>
    <w:qFormat/>
    <w:uiPriority w:val="0"/>
    <w:rPr>
      <w:rFonts w:ascii="仿宋_GB2312" w:hAnsi="仿宋" w:eastAsia="仿宋_GB2312"/>
      <w:b/>
      <w:kern w:val="2"/>
      <w:sz w:val="24"/>
      <w:szCs w:val="24"/>
    </w:rPr>
  </w:style>
  <w:style w:type="character" w:customStyle="1" w:styleId="139">
    <w:name w:val="font12gray1"/>
    <w:autoRedefine/>
    <w:qFormat/>
    <w:uiPriority w:val="0"/>
    <w:rPr>
      <w:rFonts w:ascii="仿宋_GB2312" w:eastAsia="微软雅黑"/>
      <w:b/>
      <w:spacing w:val="300"/>
      <w:kern w:val="2"/>
      <w:sz w:val="18"/>
      <w:szCs w:val="18"/>
      <w:lang w:val="en-US" w:eastAsia="zh-CN" w:bidi="ar-SA"/>
    </w:rPr>
  </w:style>
  <w:style w:type="character" w:customStyle="1" w:styleId="140">
    <w:name w:val="Char Char7"/>
    <w:autoRedefine/>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autoRedefine/>
    <w:qFormat/>
    <w:uiPriority w:val="0"/>
    <w:rPr>
      <w:rFonts w:ascii="宋体" w:hAnsi="Courier New"/>
      <w:kern w:val="2"/>
      <w:sz w:val="21"/>
      <w:szCs w:val="21"/>
      <w:lang w:val="en-US" w:eastAsia="zh-CN"/>
    </w:rPr>
  </w:style>
  <w:style w:type="paragraph" w:customStyle="1" w:styleId="146">
    <w:name w:val="纯文本_0_0"/>
    <w:basedOn w:val="147"/>
    <w:link w:val="145"/>
    <w:autoRedefine/>
    <w:qFormat/>
    <w:uiPriority w:val="0"/>
    <w:rPr>
      <w:rFonts w:ascii="宋体" w:hAnsi="Courier New"/>
      <w:szCs w:val="21"/>
    </w:rPr>
  </w:style>
  <w:style w:type="paragraph" w:customStyle="1" w:styleId="14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autoRedefine/>
    <w:qFormat/>
    <w:uiPriority w:val="0"/>
    <w:rPr>
      <w:rFonts w:ascii="仿宋_GB2312" w:hAnsi="仿宋_GB2312" w:eastAsia="仿宋_GB2312"/>
      <w:kern w:val="2"/>
      <w:sz w:val="24"/>
      <w:lang w:bidi="ar-SA"/>
    </w:rPr>
  </w:style>
  <w:style w:type="character" w:customStyle="1" w:styleId="150">
    <w:name w:val="正文 项目 Char"/>
    <w:autoRedefine/>
    <w:qFormat/>
    <w:uiPriority w:val="0"/>
    <w:rPr>
      <w:rFonts w:ascii="仿宋_GB2312" w:hAnsi="仿宋_GB2312" w:eastAsia="仿宋_GB2312"/>
      <w:kern w:val="2"/>
      <w:sz w:val="24"/>
      <w:lang w:bidi="ar-SA"/>
    </w:rPr>
  </w:style>
  <w:style w:type="character" w:customStyle="1" w:styleId="151">
    <w:name w:val="h Char Char1"/>
    <w:autoRedefine/>
    <w:qFormat/>
    <w:uiPriority w:val="0"/>
    <w:rPr>
      <w:rFonts w:eastAsia="宋体"/>
      <w:kern w:val="2"/>
      <w:sz w:val="18"/>
      <w:szCs w:val="18"/>
      <w:lang w:val="en-US" w:eastAsia="zh-CN" w:bidi="ar-SA"/>
    </w:rPr>
  </w:style>
  <w:style w:type="character" w:customStyle="1" w:styleId="152">
    <w:name w:val="Char Char27"/>
    <w:autoRedefine/>
    <w:qFormat/>
    <w:uiPriority w:val="6"/>
    <w:rPr>
      <w:rFonts w:ascii="宋体" w:hAnsi="宋体" w:eastAsia="宋体"/>
      <w:color w:val="000000"/>
      <w:kern w:val="1"/>
      <w:sz w:val="28"/>
      <w:lang w:val="en-US" w:eastAsia="zh-CN" w:bidi="ar-SA"/>
    </w:rPr>
  </w:style>
  <w:style w:type="character" w:customStyle="1" w:styleId="153">
    <w:name w:val="px14"/>
    <w:autoRedefine/>
    <w:qFormat/>
    <w:uiPriority w:val="0"/>
    <w:rPr>
      <w:rFonts w:ascii="仿宋_GB2312" w:eastAsia="微软雅黑" w:cs="Times New Roman"/>
      <w:b/>
      <w:kern w:val="2"/>
      <w:sz w:val="32"/>
      <w:szCs w:val="32"/>
      <w:lang w:val="en-US" w:eastAsia="zh-CN" w:bidi="ar-SA"/>
    </w:rPr>
  </w:style>
  <w:style w:type="character" w:customStyle="1" w:styleId="154">
    <w:name w:val="HTML 预设格式 Char1"/>
    <w:autoRedefine/>
    <w:qFormat/>
    <w:uiPriority w:val="0"/>
    <w:rPr>
      <w:rFonts w:ascii="Courier New" w:hAnsi="Courier New" w:eastAsia="宋体" w:cs="Courier New"/>
      <w:sz w:val="20"/>
      <w:szCs w:val="20"/>
    </w:rPr>
  </w:style>
  <w:style w:type="character" w:customStyle="1" w:styleId="155">
    <w:name w:val="普通文字 Char1"/>
    <w:autoRedefine/>
    <w:qFormat/>
    <w:uiPriority w:val="0"/>
    <w:rPr>
      <w:rFonts w:ascii="宋体" w:hAnsi="Courier New" w:eastAsia="宋体"/>
      <w:kern w:val="2"/>
      <w:sz w:val="21"/>
      <w:lang w:val="en-US" w:eastAsia="zh-CN"/>
    </w:rPr>
  </w:style>
  <w:style w:type="character" w:customStyle="1" w:styleId="156">
    <w:name w:val="hei16b1"/>
    <w:autoRedefine/>
    <w:qFormat/>
    <w:uiPriority w:val="0"/>
    <w:rPr>
      <w:rFonts w:hint="default" w:ascii="Arial" w:hAnsi="Arial" w:cs="Arial"/>
      <w:b/>
      <w:bCs/>
      <w:color w:val="000000"/>
      <w:sz w:val="24"/>
      <w:szCs w:val="24"/>
    </w:rPr>
  </w:style>
  <w:style w:type="character" w:customStyle="1" w:styleId="157">
    <w:name w:val="正文（绿盟科技） Char"/>
    <w:link w:val="158"/>
    <w:autoRedefine/>
    <w:qFormat/>
    <w:uiPriority w:val="0"/>
    <w:rPr>
      <w:rFonts w:ascii="Arial" w:hAnsi="Arial"/>
      <w:sz w:val="21"/>
      <w:szCs w:val="21"/>
    </w:rPr>
  </w:style>
  <w:style w:type="paragraph" w:customStyle="1" w:styleId="158">
    <w:name w:val="正文（绿盟科技）"/>
    <w:link w:val="157"/>
    <w:autoRedefine/>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autoRedefine/>
    <w:qFormat/>
    <w:uiPriority w:val="6"/>
    <w:rPr>
      <w:rFonts w:ascii="宋体" w:hAnsi="宋体"/>
      <w:i/>
      <w:sz w:val="24"/>
      <w:szCs w:val="24"/>
    </w:rPr>
  </w:style>
  <w:style w:type="character" w:customStyle="1" w:styleId="160">
    <w:name w:val="页脚 Char"/>
    <w:autoRedefine/>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autoRedefine/>
    <w:qFormat/>
    <w:uiPriority w:val="1"/>
    <w:rPr>
      <w:rFonts w:ascii="仿宋_GB2312" w:hAnsi="Times New Roman" w:eastAsia="仿宋_GB2312" w:cs="Times New Roman"/>
      <w:b/>
      <w:kern w:val="2"/>
      <w:sz w:val="24"/>
      <w:lang w:val="zh-CN"/>
    </w:rPr>
  </w:style>
  <w:style w:type="character" w:customStyle="1" w:styleId="164">
    <w:name w:val="Char Char72"/>
    <w:autoRedefine/>
    <w:qFormat/>
    <w:uiPriority w:val="0"/>
    <w:rPr>
      <w:rFonts w:eastAsia="宋体"/>
      <w:kern w:val="2"/>
      <w:sz w:val="21"/>
      <w:szCs w:val="24"/>
      <w:lang w:val="en-US" w:eastAsia="zh-CN" w:bidi="ar-SA"/>
    </w:rPr>
  </w:style>
  <w:style w:type="character" w:customStyle="1" w:styleId="165">
    <w:name w:val="正文文本缩进 Char2"/>
    <w:autoRedefine/>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5"/>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autoRedefine/>
    <w:qFormat/>
    <w:uiPriority w:val="0"/>
    <w:rPr>
      <w:rFonts w:eastAsia="宋体"/>
      <w:b/>
      <w:sz w:val="24"/>
      <w:lang w:val="en-GB" w:eastAsia="zh-CN" w:bidi="ar-SA"/>
    </w:rPr>
  </w:style>
  <w:style w:type="character" w:customStyle="1" w:styleId="170">
    <w:name w:val="c7 style3"/>
    <w:autoRedefine/>
    <w:qFormat/>
    <w:uiPriority w:val="0"/>
  </w:style>
  <w:style w:type="character" w:customStyle="1" w:styleId="171">
    <w:name w:val="正文文本 3 Char1"/>
    <w:autoRedefine/>
    <w:semiHidden/>
    <w:qFormat/>
    <w:uiPriority w:val="99"/>
    <w:rPr>
      <w:rFonts w:ascii="Times New Roman" w:hAnsi="Times New Roman" w:eastAsia="宋体" w:cs="Times New Roman"/>
      <w:sz w:val="16"/>
      <w:szCs w:val="16"/>
    </w:rPr>
  </w:style>
  <w:style w:type="character" w:customStyle="1" w:styleId="172">
    <w:name w:val="tw4winInternal"/>
    <w:autoRedefine/>
    <w:qFormat/>
    <w:uiPriority w:val="0"/>
    <w:rPr>
      <w:rFonts w:ascii="Courier New" w:hAnsi="Courier New" w:cs="Courier New"/>
      <w:color w:val="FF0000"/>
      <w:lang w:val="en-US" w:eastAsia="zh-CN"/>
    </w:rPr>
  </w:style>
  <w:style w:type="character" w:customStyle="1" w:styleId="173">
    <w:name w:val="Char Char10"/>
    <w:autoRedefine/>
    <w:semiHidden/>
    <w:qFormat/>
    <w:uiPriority w:val="0"/>
    <w:rPr>
      <w:rFonts w:ascii="宋体" w:hAnsi="宋体"/>
      <w:kern w:val="2"/>
      <w:sz w:val="21"/>
      <w:szCs w:val="24"/>
      <w:lang w:val="en-US" w:eastAsia="zh-CN"/>
    </w:rPr>
  </w:style>
  <w:style w:type="character" w:customStyle="1" w:styleId="174">
    <w:name w:val="shadow11"/>
    <w:autoRedefine/>
    <w:qFormat/>
    <w:uiPriority w:val="0"/>
    <w:rPr>
      <w:color w:val="000000"/>
      <w:sz w:val="21"/>
    </w:rPr>
  </w:style>
  <w:style w:type="character" w:customStyle="1" w:styleId="175">
    <w:name w:val="正文非缩进 Char3"/>
    <w:autoRedefine/>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1"/>
    <w:autoRedefine/>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autoRedefine/>
    <w:qFormat/>
    <w:uiPriority w:val="99"/>
    <w:rPr>
      <w:kern w:val="2"/>
      <w:sz w:val="21"/>
      <w:szCs w:val="24"/>
    </w:rPr>
  </w:style>
  <w:style w:type="character" w:customStyle="1" w:styleId="182">
    <w:name w:val="Char Char22"/>
    <w:autoRedefine/>
    <w:qFormat/>
    <w:uiPriority w:val="6"/>
    <w:rPr>
      <w:rFonts w:ascii="宋体" w:hAnsi="宋体"/>
      <w:kern w:val="1"/>
      <w:sz w:val="24"/>
      <w:szCs w:val="24"/>
    </w:rPr>
  </w:style>
  <w:style w:type="character" w:customStyle="1" w:styleId="183">
    <w:name w:val="pt141"/>
    <w:autoRedefine/>
    <w:qFormat/>
    <w:uiPriority w:val="0"/>
    <w:rPr>
      <w:color w:val="330066"/>
      <w:sz w:val="22"/>
      <w:szCs w:val="22"/>
    </w:rPr>
  </w:style>
  <w:style w:type="character" w:customStyle="1" w:styleId="184">
    <w:name w:val="正文文本缩进 2 Char1"/>
    <w:autoRedefine/>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autoRedefine/>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autoRedefine/>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3"/>
    <w:autoRedefine/>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autoRedefine/>
    <w:qFormat/>
    <w:uiPriority w:val="0"/>
    <w:rPr>
      <w:color w:val="0000FF"/>
      <w:sz w:val="21"/>
    </w:rPr>
  </w:style>
  <w:style w:type="character" w:customStyle="1" w:styleId="192">
    <w:name w:val="页眉 Char"/>
    <w:autoRedefine/>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autoRedefine/>
    <w:qFormat/>
    <w:uiPriority w:val="0"/>
    <w:pPr>
      <w:ind w:left="0" w:right="466" w:firstLine="288"/>
    </w:pPr>
    <w:rPr>
      <w:rFonts w:hAnsi="宋体"/>
      <w:snapToGrid/>
    </w:rPr>
  </w:style>
  <w:style w:type="paragraph" w:customStyle="1" w:styleId="197">
    <w:name w:val="样式 标题 3h33rd level3BOD 0H3l3CTHeading 3 - oldLevel 3 He..."/>
    <w:basedOn w:val="6"/>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autoRedefine/>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autoRedefine/>
    <w:qFormat/>
    <w:uiPriority w:val="0"/>
    <w:rPr>
      <w:rFonts w:eastAsia="宋体"/>
      <w:kern w:val="2"/>
      <w:sz w:val="18"/>
      <w:szCs w:val="18"/>
      <w:lang w:val="en-US" w:eastAsia="zh-CN" w:bidi="ar-SA"/>
    </w:rPr>
  </w:style>
  <w:style w:type="character" w:customStyle="1" w:styleId="202">
    <w:name w:val="副标题 Char1"/>
    <w:autoRedefine/>
    <w:qFormat/>
    <w:uiPriority w:val="0"/>
    <w:rPr>
      <w:rFonts w:ascii="Cambria" w:hAnsi="Cambria" w:eastAsia="宋体" w:cs="Times New Roman"/>
      <w:b/>
      <w:bCs/>
      <w:snapToGrid w:val="0"/>
      <w:kern w:val="28"/>
      <w:sz w:val="32"/>
      <w:szCs w:val="32"/>
    </w:rPr>
  </w:style>
  <w:style w:type="character" w:customStyle="1" w:styleId="203">
    <w:name w:val="font61"/>
    <w:autoRedefine/>
    <w:qFormat/>
    <w:uiPriority w:val="0"/>
    <w:rPr>
      <w:rFonts w:hint="eastAsia" w:ascii="仿宋" w:hAnsi="仿宋" w:eastAsia="仿宋" w:cs="仿宋"/>
      <w:color w:val="000000"/>
      <w:sz w:val="20"/>
      <w:szCs w:val="20"/>
      <w:u w:val="none"/>
    </w:rPr>
  </w:style>
  <w:style w:type="character" w:customStyle="1" w:styleId="204">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autoRedefine/>
    <w:qFormat/>
    <w:uiPriority w:val="0"/>
    <w:rPr>
      <w:rFonts w:eastAsia="宋体"/>
      <w:b/>
      <w:bCs/>
      <w:kern w:val="2"/>
      <w:sz w:val="21"/>
      <w:szCs w:val="24"/>
      <w:lang w:val="en-US" w:eastAsia="zh-CN" w:bidi="ar-SA"/>
    </w:rPr>
  </w:style>
  <w:style w:type="character" w:customStyle="1" w:styleId="206">
    <w:name w:val="标题 2 Char"/>
    <w:autoRedefine/>
    <w:qFormat/>
    <w:uiPriority w:val="0"/>
    <w:rPr>
      <w:rFonts w:ascii="Arial" w:hAnsi="Arial" w:eastAsia="黑体"/>
      <w:b/>
      <w:kern w:val="2"/>
      <w:sz w:val="32"/>
      <w:lang w:val="en-US" w:eastAsia="zh-CN"/>
    </w:rPr>
  </w:style>
  <w:style w:type="character" w:customStyle="1" w:styleId="207">
    <w:name w:val="maywed421"/>
    <w:autoRedefine/>
    <w:qFormat/>
    <w:uiPriority w:val="0"/>
    <w:rPr>
      <w:color w:val="366FB6"/>
      <w:u w:val="none"/>
    </w:rPr>
  </w:style>
  <w:style w:type="character" w:customStyle="1" w:styleId="208">
    <w:name w:val="正文文本缩进 Char"/>
    <w:autoRedefine/>
    <w:qFormat/>
    <w:uiPriority w:val="0"/>
    <w:rPr>
      <w:rFonts w:ascii="宋体" w:hAnsi="宋体"/>
      <w:kern w:val="2"/>
      <w:sz w:val="24"/>
      <w:szCs w:val="24"/>
    </w:rPr>
  </w:style>
  <w:style w:type="character" w:customStyle="1" w:styleId="209">
    <w:name w:val="Char Char102"/>
    <w:autoRedefine/>
    <w:semiHidden/>
    <w:qFormat/>
    <w:uiPriority w:val="0"/>
    <w:rPr>
      <w:rFonts w:ascii="宋体" w:hAnsi="宋体"/>
      <w:kern w:val="2"/>
      <w:sz w:val="21"/>
      <w:szCs w:val="24"/>
      <w:lang w:val="en-US" w:eastAsia="zh-CN"/>
    </w:rPr>
  </w:style>
  <w:style w:type="character" w:customStyle="1" w:styleId="210">
    <w:name w:val="页眉 Char1"/>
    <w:autoRedefine/>
    <w:qFormat/>
    <w:uiPriority w:val="0"/>
    <w:rPr>
      <w:rFonts w:eastAsia="宋体"/>
      <w:kern w:val="2"/>
      <w:sz w:val="18"/>
      <w:szCs w:val="18"/>
      <w:lang w:val="en-US" w:eastAsia="zh-CN" w:bidi="ar-SA"/>
    </w:rPr>
  </w:style>
  <w:style w:type="character" w:customStyle="1" w:styleId="211">
    <w:name w:val="md"/>
    <w:basedOn w:val="69"/>
    <w:autoRedefine/>
    <w:qFormat/>
    <w:uiPriority w:val="0"/>
    <w:rPr>
      <w:rFonts w:ascii="Arial" w:hAnsi="Arial" w:eastAsia="黑体" w:cs="Arial"/>
      <w:snapToGrid w:val="0"/>
      <w:kern w:val="0"/>
      <w:szCs w:val="21"/>
    </w:rPr>
  </w:style>
  <w:style w:type="character" w:customStyle="1" w:styleId="212">
    <w:name w:val="big1"/>
    <w:autoRedefine/>
    <w:qFormat/>
    <w:uiPriority w:val="0"/>
    <w:rPr>
      <w:rFonts w:hint="eastAsia" w:ascii="宋体" w:hAnsi="宋体" w:eastAsia="宋体"/>
      <w:color w:val="333333"/>
      <w:sz w:val="22"/>
      <w:szCs w:val="22"/>
    </w:rPr>
  </w:style>
  <w:style w:type="character" w:customStyle="1" w:styleId="213">
    <w:name w:val="Char Char311"/>
    <w:autoRedefine/>
    <w:qFormat/>
    <w:uiPriority w:val="0"/>
    <w:rPr>
      <w:rFonts w:eastAsia="宋体"/>
      <w:kern w:val="2"/>
      <w:sz w:val="21"/>
      <w:szCs w:val="24"/>
      <w:lang w:val="en-US" w:eastAsia="zh-CN" w:bidi="ar-SA"/>
    </w:rPr>
  </w:style>
  <w:style w:type="character" w:customStyle="1" w:styleId="214">
    <w:name w:val="Char Char81"/>
    <w:autoRedefine/>
    <w:qFormat/>
    <w:uiPriority w:val="6"/>
    <w:rPr>
      <w:rFonts w:eastAsia="宋体"/>
      <w:b/>
      <w:sz w:val="24"/>
      <w:lang w:val="en-GB" w:eastAsia="zh-CN"/>
    </w:rPr>
  </w:style>
  <w:style w:type="character" w:customStyle="1" w:styleId="215">
    <w:name w:val="样式3 Char"/>
    <w:basedOn w:val="166"/>
    <w:autoRedefine/>
    <w:qFormat/>
    <w:uiPriority w:val="0"/>
    <w:rPr>
      <w:rFonts w:ascii="仿宋_GB2312" w:hAnsi="仿宋" w:eastAsia="仿宋_GB2312" w:cs="仿宋_GB2312"/>
      <w:sz w:val="32"/>
      <w:szCs w:val="30"/>
      <w:lang w:val="zh-CN"/>
    </w:rPr>
  </w:style>
  <w:style w:type="character" w:customStyle="1" w:styleId="216">
    <w:name w:val="HTML 地址 Char"/>
    <w:link w:val="29"/>
    <w:autoRedefine/>
    <w:qFormat/>
    <w:uiPriority w:val="0"/>
    <w:rPr>
      <w:rFonts w:ascii="宋体" w:hAnsi="宋体"/>
      <w:i/>
      <w:iCs/>
      <w:sz w:val="24"/>
      <w:szCs w:val="24"/>
    </w:rPr>
  </w:style>
  <w:style w:type="character" w:customStyle="1" w:styleId="217">
    <w:name w:val="正文首行缩进 2 Char1"/>
    <w:autoRedefine/>
    <w:qFormat/>
    <w:uiPriority w:val="0"/>
    <w:rPr>
      <w:rFonts w:ascii="Times New Roman" w:hAnsi="Times New Roman" w:eastAsia="宋体" w:cs="Times New Roman"/>
      <w:kern w:val="2"/>
      <w:sz w:val="24"/>
      <w:szCs w:val="24"/>
    </w:rPr>
  </w:style>
  <w:style w:type="character" w:customStyle="1" w:styleId="218">
    <w:name w:val="副标题 Char2"/>
    <w:autoRedefine/>
    <w:qFormat/>
    <w:uiPriority w:val="0"/>
    <w:rPr>
      <w:rFonts w:ascii="Cambria" w:hAnsi="Cambria" w:eastAsia="宋体" w:cs="Times New Roman"/>
      <w:b/>
      <w:bCs/>
      <w:snapToGrid w:val="0"/>
      <w:kern w:val="28"/>
      <w:sz w:val="32"/>
      <w:szCs w:val="32"/>
    </w:rPr>
  </w:style>
  <w:style w:type="character" w:customStyle="1" w:styleId="219">
    <w:name w:val="标题4-dyf Char"/>
    <w:link w:val="220"/>
    <w:autoRedefine/>
    <w:qFormat/>
    <w:uiPriority w:val="0"/>
    <w:rPr>
      <w:rFonts w:ascii="Cambria" w:hAnsi="Cambria"/>
      <w:b/>
      <w:bCs/>
      <w:color w:val="000000"/>
      <w:kern w:val="2"/>
      <w:sz w:val="21"/>
      <w:szCs w:val="21"/>
    </w:rPr>
  </w:style>
  <w:style w:type="paragraph" w:customStyle="1" w:styleId="220">
    <w:name w:val="标题4-dyf"/>
    <w:basedOn w:val="2"/>
    <w:link w:val="219"/>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autoRedefine/>
    <w:qFormat/>
    <w:uiPriority w:val="0"/>
    <w:rPr>
      <w:rFonts w:ascii="宋体" w:hAnsi="宋体" w:eastAsia="宋体"/>
      <w:color w:val="333333"/>
      <w:sz w:val="21"/>
      <w:szCs w:val="21"/>
      <w:u w:val="none"/>
    </w:rPr>
  </w:style>
  <w:style w:type="character" w:customStyle="1" w:styleId="222">
    <w:name w:val="冯 Char"/>
    <w:link w:val="223"/>
    <w:autoRedefine/>
    <w:qFormat/>
    <w:uiPriority w:val="0"/>
    <w:rPr>
      <w:rFonts w:ascii="宋体" w:hAnsi="宋体"/>
      <w:color w:val="000000"/>
      <w:sz w:val="24"/>
      <w:szCs w:val="24"/>
    </w:rPr>
  </w:style>
  <w:style w:type="paragraph" w:customStyle="1" w:styleId="223">
    <w:name w:val="冯"/>
    <w:basedOn w:val="1"/>
    <w:link w:val="222"/>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autoRedefine/>
    <w:qFormat/>
    <w:locked/>
    <w:uiPriority w:val="0"/>
    <w:rPr>
      <w:rFonts w:eastAsia="宋体"/>
      <w:kern w:val="2"/>
      <w:sz w:val="18"/>
      <w:szCs w:val="18"/>
      <w:lang w:val="en-US" w:eastAsia="zh-CN" w:bidi="ar-SA"/>
    </w:rPr>
  </w:style>
  <w:style w:type="character" w:customStyle="1" w:styleId="225">
    <w:name w:val="Char Char12"/>
    <w:autoRedefine/>
    <w:qFormat/>
    <w:uiPriority w:val="0"/>
    <w:rPr>
      <w:rFonts w:ascii="仿宋_GB2312" w:eastAsia="仿宋_GB2312"/>
      <w:b/>
      <w:bCs/>
      <w:kern w:val="2"/>
      <w:sz w:val="24"/>
      <w:szCs w:val="24"/>
      <w:lang w:val="zh-CN" w:eastAsia="zh-CN" w:bidi="ar-SA"/>
    </w:rPr>
  </w:style>
  <w:style w:type="character" w:customStyle="1" w:styleId="226">
    <w:name w:val="题注 Char"/>
    <w:link w:val="16"/>
    <w:autoRedefine/>
    <w:qFormat/>
    <w:uiPriority w:val="0"/>
    <w:rPr>
      <w:b/>
      <w:kern w:val="2"/>
      <w:sz w:val="28"/>
    </w:rPr>
  </w:style>
  <w:style w:type="character" w:customStyle="1" w:styleId="227">
    <w:name w:val="普通文字 Char3"/>
    <w:autoRedefine/>
    <w:qFormat/>
    <w:uiPriority w:val="0"/>
    <w:rPr>
      <w:rFonts w:ascii="宋体" w:hAnsi="Courier New" w:eastAsia="宋体"/>
      <w:kern w:val="2"/>
      <w:sz w:val="21"/>
      <w:lang w:val="en-US" w:eastAsia="zh-CN" w:bidi="ar-SA"/>
    </w:rPr>
  </w:style>
  <w:style w:type="character" w:customStyle="1" w:styleId="228">
    <w:name w:val="公文正文 Char"/>
    <w:autoRedefine/>
    <w:qFormat/>
    <w:uiPriority w:val="0"/>
    <w:rPr>
      <w:rFonts w:ascii="仿宋_GB2312" w:eastAsia="仿宋_GB2312"/>
      <w:kern w:val="2"/>
      <w:sz w:val="24"/>
      <w:szCs w:val="24"/>
      <w:lang w:val="en-US" w:eastAsia="zh-CN" w:bidi="ar-SA"/>
    </w:rPr>
  </w:style>
  <w:style w:type="character" w:customStyle="1" w:styleId="229">
    <w:name w:val="正文首行缩进 Char Char Char Char Char"/>
    <w:autoRedefine/>
    <w:qFormat/>
    <w:uiPriority w:val="0"/>
    <w:rPr>
      <w:rFonts w:ascii="宋体"/>
      <w:kern w:val="2"/>
      <w:sz w:val="24"/>
      <w:lang w:val="zh-CN"/>
    </w:rPr>
  </w:style>
  <w:style w:type="character" w:customStyle="1" w:styleId="230">
    <w:name w:val="PI Char"/>
    <w:autoRedefine/>
    <w:qFormat/>
    <w:uiPriority w:val="0"/>
    <w:rPr>
      <w:rFonts w:ascii="宋体" w:hAnsi="宋体" w:eastAsia="宋体"/>
      <w:kern w:val="2"/>
      <w:sz w:val="24"/>
      <w:szCs w:val="24"/>
      <w:lang w:val="en-US" w:eastAsia="zh-CN" w:bidi="ar-SA"/>
    </w:rPr>
  </w:style>
  <w:style w:type="character" w:customStyle="1" w:styleId="231">
    <w:name w:val="Default Char"/>
    <w:link w:val="232"/>
    <w:autoRedefine/>
    <w:qFormat/>
    <w:uiPriority w:val="0"/>
    <w:rPr>
      <w:rFonts w:ascii="仿宋_GB2312" w:eastAsia="仿宋_GB2312" w:cs="仿宋_GB2312"/>
      <w:color w:val="000000"/>
      <w:sz w:val="24"/>
      <w:szCs w:val="24"/>
      <w:lang w:val="en-US" w:eastAsia="zh-CN" w:bidi="ar-SA"/>
    </w:rPr>
  </w:style>
  <w:style w:type="paragraph" w:customStyle="1" w:styleId="232">
    <w:name w:val="Default"/>
    <w:link w:val="23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autoRedefine/>
    <w:qFormat/>
    <w:uiPriority w:val="0"/>
    <w:rPr>
      <w:color w:val="333333"/>
    </w:rPr>
  </w:style>
  <w:style w:type="character" w:customStyle="1" w:styleId="234">
    <w:name w:val="列出段落 Char2"/>
    <w:autoRedefine/>
    <w:qFormat/>
    <w:uiPriority w:val="34"/>
    <w:rPr>
      <w:rFonts w:ascii="Calibri" w:hAnsi="Calibri"/>
      <w:kern w:val="2"/>
      <w:sz w:val="28"/>
    </w:rPr>
  </w:style>
  <w:style w:type="character" w:customStyle="1" w:styleId="235">
    <w:name w:val="mdeck"/>
    <w:autoRedefine/>
    <w:qFormat/>
    <w:uiPriority w:val="0"/>
    <w:rPr>
      <w:rFonts w:ascii="仿宋_GB2312" w:eastAsia="微软雅黑"/>
      <w:b/>
      <w:kern w:val="2"/>
      <w:sz w:val="32"/>
      <w:szCs w:val="32"/>
      <w:lang w:val="en-US" w:eastAsia="zh-CN" w:bidi="ar-SA"/>
    </w:rPr>
  </w:style>
  <w:style w:type="character" w:customStyle="1" w:styleId="236">
    <w:name w:val="unnamed11"/>
    <w:autoRedefine/>
    <w:qFormat/>
    <w:uiPriority w:val="0"/>
    <w:rPr>
      <w:sz w:val="20"/>
      <w:szCs w:val="20"/>
    </w:rPr>
  </w:style>
  <w:style w:type="character" w:customStyle="1" w:styleId="237">
    <w:name w:val="正文文本 Char2"/>
    <w:autoRedefine/>
    <w:semiHidden/>
    <w:qFormat/>
    <w:uiPriority w:val="99"/>
    <w:rPr>
      <w:rFonts w:ascii="Times New Roman" w:hAnsi="Times New Roman" w:eastAsia="宋体" w:cs="Times New Roman"/>
      <w:snapToGrid w:val="0"/>
      <w:kern w:val="0"/>
      <w:szCs w:val="24"/>
    </w:rPr>
  </w:style>
  <w:style w:type="character" w:customStyle="1" w:styleId="238">
    <w:name w:val="标书正文格式 Char"/>
    <w:autoRedefine/>
    <w:qFormat/>
    <w:uiPriority w:val="0"/>
    <w:rPr>
      <w:rFonts w:eastAsia="楷体_GB2312"/>
      <w:kern w:val="2"/>
      <w:sz w:val="24"/>
      <w:szCs w:val="24"/>
      <w:lang w:bidi="ar-SA"/>
    </w:rPr>
  </w:style>
  <w:style w:type="character" w:customStyle="1" w:styleId="239">
    <w:name w:val="Char Char11"/>
    <w:autoRedefine/>
    <w:qFormat/>
    <w:locked/>
    <w:uiPriority w:val="0"/>
    <w:rPr>
      <w:rFonts w:ascii="宋体" w:hAnsi="宋体" w:eastAsia="宋体"/>
      <w:b/>
      <w:kern w:val="2"/>
      <w:sz w:val="24"/>
      <w:szCs w:val="24"/>
      <w:lang w:val="en-US" w:eastAsia="zh-CN" w:bidi="ar-SA"/>
    </w:rPr>
  </w:style>
  <w:style w:type="character" w:customStyle="1" w:styleId="240">
    <w:name w:val="ca-131"/>
    <w:autoRedefine/>
    <w:qFormat/>
    <w:uiPriority w:val="0"/>
    <w:rPr>
      <w:rFonts w:hint="eastAsia" w:ascii="仿宋_GB2312" w:eastAsia="仿宋_GB2312"/>
      <w:b/>
      <w:bCs/>
      <w:color w:val="000000"/>
      <w:spacing w:val="-20"/>
      <w:sz w:val="24"/>
      <w:szCs w:val="24"/>
    </w:rPr>
  </w:style>
  <w:style w:type="character" w:customStyle="1" w:styleId="241">
    <w:name w:val="tw4winMark"/>
    <w:autoRedefine/>
    <w:qFormat/>
    <w:uiPriority w:val="0"/>
    <w:rPr>
      <w:rFonts w:ascii="Courier New" w:hAnsi="Courier New" w:cs="Courier New"/>
      <w:vanish/>
      <w:color w:val="800080"/>
      <w:sz w:val="24"/>
      <w:szCs w:val="24"/>
      <w:vertAlign w:val="subscript"/>
    </w:rPr>
  </w:style>
  <w:style w:type="character" w:customStyle="1" w:styleId="242">
    <w:name w:val="正文样式 Char"/>
    <w:link w:val="243"/>
    <w:autoRedefine/>
    <w:qFormat/>
    <w:uiPriority w:val="0"/>
    <w:rPr>
      <w:rFonts w:ascii="Calibri" w:hAnsi="Calibri"/>
      <w:sz w:val="24"/>
      <w:szCs w:val="24"/>
    </w:rPr>
  </w:style>
  <w:style w:type="paragraph" w:customStyle="1" w:styleId="243">
    <w:name w:val="正文样式"/>
    <w:basedOn w:val="1"/>
    <w:link w:val="242"/>
    <w:autoRedefine/>
    <w:qFormat/>
    <w:uiPriority w:val="0"/>
    <w:pPr>
      <w:adjustRightInd/>
      <w:spacing w:line="360" w:lineRule="auto"/>
      <w:ind w:firstLine="480" w:firstLineChars="200"/>
    </w:pPr>
    <w:rPr>
      <w:kern w:val="0"/>
      <w:sz w:val="24"/>
    </w:rPr>
  </w:style>
  <w:style w:type="character" w:customStyle="1" w:styleId="244">
    <w:name w:val="表正文 Char3"/>
    <w:autoRedefine/>
    <w:qFormat/>
    <w:uiPriority w:val="0"/>
    <w:rPr>
      <w:rFonts w:eastAsia="宋体"/>
    </w:rPr>
  </w:style>
  <w:style w:type="character" w:customStyle="1" w:styleId="245">
    <w:name w:val="H5 Char"/>
    <w:autoRedefine/>
    <w:qFormat/>
    <w:uiPriority w:val="0"/>
    <w:rPr>
      <w:b/>
      <w:bCs/>
      <w:kern w:val="2"/>
      <w:sz w:val="28"/>
      <w:szCs w:val="28"/>
    </w:rPr>
  </w:style>
  <w:style w:type="character" w:customStyle="1" w:styleId="246">
    <w:name w:val="Char Char3"/>
    <w:autoRedefine/>
    <w:qFormat/>
    <w:uiPriority w:val="0"/>
    <w:rPr>
      <w:rFonts w:eastAsia="宋体"/>
      <w:kern w:val="2"/>
      <w:sz w:val="21"/>
      <w:szCs w:val="24"/>
      <w:lang w:val="en-US" w:eastAsia="zh-CN" w:bidi="ar-SA"/>
    </w:rPr>
  </w:style>
  <w:style w:type="character" w:customStyle="1" w:styleId="247">
    <w:name w:val="正文 编号 Char"/>
    <w:autoRedefine/>
    <w:qFormat/>
    <w:uiPriority w:val="0"/>
    <w:rPr>
      <w:rFonts w:ascii="仿宋_GB2312" w:hAnsi="仿宋_GB2312" w:eastAsia="仿宋_GB2312"/>
      <w:kern w:val="2"/>
      <w:sz w:val="24"/>
      <w:lang w:bidi="ar-SA"/>
    </w:rPr>
  </w:style>
  <w:style w:type="character" w:customStyle="1" w:styleId="248">
    <w:name w:val="question-title2"/>
    <w:autoRedefine/>
    <w:qFormat/>
    <w:uiPriority w:val="6"/>
    <w:rPr>
      <w:rFonts w:ascii="Arial" w:hAnsi="Arial" w:eastAsia="黑体" w:cs="Arial"/>
      <w:snapToGrid w:val="0"/>
      <w:kern w:val="0"/>
      <w:szCs w:val="21"/>
    </w:rPr>
  </w:style>
  <w:style w:type="character" w:customStyle="1" w:styleId="249">
    <w:name w:val="gf正文1 Char Char"/>
    <w:link w:val="250"/>
    <w:autoRedefine/>
    <w:qFormat/>
    <w:uiPriority w:val="0"/>
    <w:rPr>
      <w:rFonts w:ascii="宋体" w:hAnsi="宋体" w:cs="宋体"/>
      <w:kern w:val="2"/>
      <w:sz w:val="24"/>
      <w:szCs w:val="24"/>
    </w:rPr>
  </w:style>
  <w:style w:type="paragraph" w:customStyle="1" w:styleId="250">
    <w:name w:val="gf正文1"/>
    <w:basedOn w:val="1"/>
    <w:link w:val="249"/>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autoRedefine/>
    <w:qFormat/>
    <w:uiPriority w:val="6"/>
    <w:rPr>
      <w:rFonts w:ascii="宋体" w:hAnsi="宋体"/>
      <w:kern w:val="1"/>
      <w:sz w:val="21"/>
    </w:rPr>
  </w:style>
  <w:style w:type="character" w:customStyle="1" w:styleId="252">
    <w:name w:val="正文缩进 Char3"/>
    <w:autoRedefine/>
    <w:qFormat/>
    <w:uiPriority w:val="0"/>
    <w:rPr>
      <w:rFonts w:ascii="宋体" w:eastAsia="宋体"/>
      <w:snapToGrid w:val="0"/>
      <w:color w:val="000000"/>
      <w:kern w:val="28"/>
      <w:sz w:val="28"/>
      <w:lang w:val="en-US" w:eastAsia="zh-CN" w:bidi="ar-SA"/>
    </w:rPr>
  </w:style>
  <w:style w:type="character" w:customStyle="1" w:styleId="253">
    <w:name w:val="列出段落 Char1"/>
    <w:link w:val="254"/>
    <w:autoRedefine/>
    <w:qFormat/>
    <w:uiPriority w:val="0"/>
    <w:rPr>
      <w:rFonts w:ascii="Calibri" w:hAnsi="Calibri"/>
      <w:sz w:val="24"/>
      <w:lang w:eastAsia="en-US"/>
    </w:rPr>
  </w:style>
  <w:style w:type="paragraph" w:customStyle="1" w:styleId="254">
    <w:name w:val="列表1"/>
    <w:basedOn w:val="1"/>
    <w:next w:val="255"/>
    <w:link w:val="253"/>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6">
    <w:name w:val="Char Char8"/>
    <w:autoRedefine/>
    <w:qFormat/>
    <w:uiPriority w:val="0"/>
    <w:rPr>
      <w:rFonts w:eastAsia="宋体"/>
      <w:b/>
      <w:sz w:val="24"/>
      <w:lang w:val="en-GB" w:eastAsia="zh-CN"/>
    </w:rPr>
  </w:style>
  <w:style w:type="character" w:customStyle="1" w:styleId="257">
    <w:name w:val="Normal Indent Char Char"/>
    <w:autoRedefine/>
    <w:qFormat/>
    <w:uiPriority w:val="0"/>
    <w:rPr>
      <w:rFonts w:eastAsia="宋体"/>
      <w:kern w:val="2"/>
      <w:sz w:val="21"/>
      <w:lang w:val="en-US" w:eastAsia="zh-CN" w:bidi="ar-SA"/>
    </w:rPr>
  </w:style>
  <w:style w:type="character" w:customStyle="1" w:styleId="258">
    <w:name w:val="列表段落 字符"/>
    <w:autoRedefine/>
    <w:qFormat/>
    <w:uiPriority w:val="99"/>
  </w:style>
  <w:style w:type="character" w:customStyle="1" w:styleId="259">
    <w:name w:val="Ò³Ã¼ Char Char1"/>
    <w:autoRedefine/>
    <w:qFormat/>
    <w:uiPriority w:val="0"/>
    <w:rPr>
      <w:rFonts w:eastAsia="宋体"/>
      <w:kern w:val="2"/>
      <w:sz w:val="18"/>
      <w:szCs w:val="18"/>
      <w:lang w:val="en-US" w:eastAsia="zh-CN" w:bidi="ar-SA"/>
    </w:rPr>
  </w:style>
  <w:style w:type="character" w:customStyle="1" w:styleId="260">
    <w:name w:val="方案正文 Char"/>
    <w:autoRedefine/>
    <w:qFormat/>
    <w:uiPriority w:val="0"/>
    <w:rPr>
      <w:rFonts w:ascii="仿宋_GB2312" w:eastAsia="仿宋_GB2312"/>
      <w:b/>
      <w:color w:val="000000"/>
      <w:kern w:val="2"/>
      <w:sz w:val="24"/>
      <w:lang w:val="en-US" w:eastAsia="zh-CN" w:bidi="ar-SA"/>
    </w:rPr>
  </w:style>
  <w:style w:type="character" w:customStyle="1" w:styleId="261">
    <w:name w:val="Char Char30"/>
    <w:autoRedefine/>
    <w:qFormat/>
    <w:uiPriority w:val="6"/>
    <w:rPr>
      <w:rFonts w:ascii="Arial" w:hAnsi="Arial" w:eastAsia="黑体"/>
      <w:kern w:val="1"/>
      <w:sz w:val="21"/>
      <w:szCs w:val="21"/>
    </w:rPr>
  </w:style>
  <w:style w:type="character" w:customStyle="1" w:styleId="262">
    <w:name w:val="正文文本缩进 Char3"/>
    <w:link w:val="24"/>
    <w:autoRedefine/>
    <w:qFormat/>
    <w:uiPriority w:val="0"/>
    <w:rPr>
      <w:rFonts w:ascii="宋体" w:hAnsi="宋体"/>
      <w:kern w:val="2"/>
      <w:sz w:val="24"/>
      <w:szCs w:val="24"/>
    </w:rPr>
  </w:style>
  <w:style w:type="character" w:customStyle="1" w:styleId="263">
    <w:name w:val="font01"/>
    <w:autoRedefine/>
    <w:qFormat/>
    <w:uiPriority w:val="0"/>
    <w:rPr>
      <w:rFonts w:hint="eastAsia" w:ascii="微软雅黑" w:hAnsi="微软雅黑" w:eastAsia="微软雅黑" w:cs="微软雅黑"/>
      <w:color w:val="000000"/>
      <w:sz w:val="20"/>
      <w:szCs w:val="20"/>
      <w:u w:val="none"/>
    </w:rPr>
  </w:style>
  <w:style w:type="character" w:customStyle="1" w:styleId="264">
    <w:name w:val="Char Char20"/>
    <w:autoRedefine/>
    <w:qFormat/>
    <w:uiPriority w:val="6"/>
    <w:rPr>
      <w:kern w:val="1"/>
      <w:sz w:val="24"/>
    </w:rPr>
  </w:style>
  <w:style w:type="character" w:customStyle="1" w:styleId="265">
    <w:name w:val="tw4winExternal"/>
    <w:autoRedefine/>
    <w:qFormat/>
    <w:uiPriority w:val="0"/>
    <w:rPr>
      <w:rFonts w:ascii="Courier New" w:hAnsi="Courier New" w:cs="Courier New"/>
      <w:color w:val="808080"/>
      <w:lang w:val="en-US" w:eastAsia="zh-CN"/>
    </w:rPr>
  </w:style>
  <w:style w:type="character" w:customStyle="1" w:styleId="266">
    <w:name w:val="标题 4 Char1"/>
    <w:autoRedefine/>
    <w:qFormat/>
    <w:uiPriority w:val="9"/>
    <w:rPr>
      <w:rFonts w:ascii="Cambria" w:hAnsi="Cambria" w:eastAsia="宋体" w:cs="Times New Roman"/>
      <w:b/>
      <w:bCs/>
      <w:kern w:val="2"/>
      <w:sz w:val="28"/>
      <w:szCs w:val="28"/>
    </w:rPr>
  </w:style>
  <w:style w:type="character" w:customStyle="1" w:styleId="267">
    <w:name w:val="批注文字 Char2"/>
    <w:autoRedefine/>
    <w:qFormat/>
    <w:uiPriority w:val="99"/>
    <w:rPr>
      <w:rFonts w:ascii="Times New Roman" w:hAnsi="Times New Roman" w:eastAsia="宋体" w:cs="Times New Roman"/>
      <w:snapToGrid w:val="0"/>
      <w:kern w:val="0"/>
      <w:szCs w:val="24"/>
    </w:rPr>
  </w:style>
  <w:style w:type="character" w:customStyle="1" w:styleId="268">
    <w:name w:val="正文文本 2 Char"/>
    <w:autoRedefine/>
    <w:qFormat/>
    <w:uiPriority w:val="0"/>
    <w:rPr>
      <w:rFonts w:eastAsia="宋体"/>
      <w:kern w:val="2"/>
      <w:sz w:val="21"/>
      <w:szCs w:val="24"/>
      <w:lang w:val="en-US" w:eastAsia="zh-CN" w:bidi="ar-SA"/>
    </w:rPr>
  </w:style>
  <w:style w:type="character" w:customStyle="1" w:styleId="269">
    <w:name w:val="Ò³Ã¼ Char Char"/>
    <w:autoRedefine/>
    <w:qFormat/>
    <w:uiPriority w:val="0"/>
    <w:rPr>
      <w:rFonts w:eastAsia="宋体"/>
      <w:kern w:val="2"/>
      <w:sz w:val="18"/>
      <w:lang w:val="en-US" w:eastAsia="zh-CN" w:bidi="ar-SA"/>
    </w:rPr>
  </w:style>
  <w:style w:type="character" w:customStyle="1" w:styleId="270">
    <w:name w:val="message1"/>
    <w:autoRedefine/>
    <w:qFormat/>
    <w:uiPriority w:val="0"/>
    <w:rPr>
      <w:rFonts w:hint="default" w:ascii="Tahoma" w:hAnsi="Tahoma" w:cs="Tahoma"/>
      <w:sz w:val="18"/>
      <w:szCs w:val="18"/>
    </w:rPr>
  </w:style>
  <w:style w:type="character" w:customStyle="1" w:styleId="271">
    <w:name w:val="Char Char23"/>
    <w:autoRedefine/>
    <w:qFormat/>
    <w:uiPriority w:val="6"/>
    <w:rPr>
      <w:color w:val="0000FF"/>
      <w:sz w:val="21"/>
    </w:rPr>
  </w:style>
  <w:style w:type="character" w:customStyle="1" w:styleId="272">
    <w:name w:val="批注框文本 字符"/>
    <w:autoRedefine/>
    <w:qFormat/>
    <w:uiPriority w:val="0"/>
    <w:rPr>
      <w:rFonts w:ascii="Arial" w:hAnsi="Arial" w:eastAsia="黑体" w:cs="Arial"/>
      <w:snapToGrid w:val="0"/>
      <w:kern w:val="0"/>
      <w:sz w:val="18"/>
      <w:szCs w:val="18"/>
    </w:rPr>
  </w:style>
  <w:style w:type="character" w:customStyle="1" w:styleId="273">
    <w:name w:val="纯文本 Char2"/>
    <w:autoRedefine/>
    <w:semiHidden/>
    <w:qFormat/>
    <w:uiPriority w:val="99"/>
    <w:rPr>
      <w:rFonts w:ascii="宋体" w:hAnsi="Courier New" w:eastAsia="宋体" w:cs="Courier New"/>
    </w:rPr>
  </w:style>
  <w:style w:type="character" w:customStyle="1" w:styleId="274">
    <w:name w:val="Char Char25"/>
    <w:autoRedefine/>
    <w:qFormat/>
    <w:uiPriority w:val="6"/>
    <w:rPr>
      <w:rFonts w:ascii="宋体" w:hAnsi="宋体"/>
      <w:kern w:val="1"/>
      <w:sz w:val="24"/>
      <w:lang w:val="zh-CN"/>
    </w:rPr>
  </w:style>
  <w:style w:type="character" w:customStyle="1" w:styleId="275">
    <w:name w:val="Char Char411"/>
    <w:autoRedefine/>
    <w:qFormat/>
    <w:uiPriority w:val="0"/>
    <w:rPr>
      <w:rFonts w:eastAsia="宋体"/>
      <w:b/>
      <w:sz w:val="24"/>
      <w:lang w:val="en-GB" w:eastAsia="zh-CN" w:bidi="ar-SA"/>
    </w:rPr>
  </w:style>
  <w:style w:type="character" w:customStyle="1" w:styleId="276">
    <w:name w:val="Heading 7 Char"/>
    <w:autoRedefine/>
    <w:qFormat/>
    <w:locked/>
    <w:uiPriority w:val="0"/>
    <w:rPr>
      <w:rFonts w:ascii="宋体" w:hAnsi="宋体" w:eastAsia="宋体"/>
      <w:b/>
      <w:bCs/>
      <w:kern w:val="2"/>
      <w:sz w:val="24"/>
      <w:szCs w:val="24"/>
      <w:lang w:val="en-US" w:eastAsia="zh-CN" w:bidi="ar-SA"/>
    </w:rPr>
  </w:style>
  <w:style w:type="character" w:customStyle="1" w:styleId="277">
    <w:name w:val="此正文 Char"/>
    <w:link w:val="278"/>
    <w:autoRedefine/>
    <w:qFormat/>
    <w:uiPriority w:val="0"/>
    <w:rPr>
      <w:kern w:val="2"/>
      <w:sz w:val="24"/>
      <w:szCs w:val="24"/>
    </w:rPr>
  </w:style>
  <w:style w:type="paragraph" w:customStyle="1" w:styleId="278">
    <w:name w:val="此正文"/>
    <w:basedOn w:val="1"/>
    <w:link w:val="277"/>
    <w:autoRedefine/>
    <w:qFormat/>
    <w:uiPriority w:val="0"/>
    <w:pPr>
      <w:adjustRightInd/>
      <w:spacing w:line="360" w:lineRule="auto"/>
      <w:ind w:firstLine="200" w:firstLineChars="200"/>
    </w:pPr>
    <w:rPr>
      <w:sz w:val="24"/>
    </w:rPr>
  </w:style>
  <w:style w:type="character" w:customStyle="1" w:styleId="279">
    <w:name w:val="Char Char2"/>
    <w:autoRedefine/>
    <w:qFormat/>
    <w:uiPriority w:val="0"/>
    <w:rPr>
      <w:rFonts w:eastAsia="宋体"/>
      <w:b/>
      <w:bCs/>
      <w:kern w:val="2"/>
      <w:sz w:val="21"/>
      <w:szCs w:val="24"/>
      <w:lang w:val="en-US" w:eastAsia="zh-CN" w:bidi="ar-SA"/>
    </w:rPr>
  </w:style>
  <w:style w:type="character" w:customStyle="1" w:styleId="280">
    <w:name w:val="标题 1 Char"/>
    <w:link w:val="4"/>
    <w:autoRedefine/>
    <w:qFormat/>
    <w:uiPriority w:val="9"/>
    <w:rPr>
      <w:b/>
      <w:bCs/>
      <w:kern w:val="44"/>
      <w:sz w:val="44"/>
      <w:szCs w:val="44"/>
    </w:rPr>
  </w:style>
  <w:style w:type="character" w:customStyle="1" w:styleId="281">
    <w:name w:val="Footer-Even Char1"/>
    <w:autoRedefine/>
    <w:qFormat/>
    <w:uiPriority w:val="0"/>
    <w:rPr>
      <w:rFonts w:eastAsia="宋体"/>
      <w:kern w:val="2"/>
      <w:sz w:val="18"/>
      <w:szCs w:val="18"/>
      <w:lang w:val="en-US" w:eastAsia="zh-CN" w:bidi="ar-SA"/>
    </w:rPr>
  </w:style>
  <w:style w:type="character" w:customStyle="1" w:styleId="282">
    <w:name w:val="Char Char29"/>
    <w:autoRedefine/>
    <w:qFormat/>
    <w:uiPriority w:val="6"/>
    <w:rPr>
      <w:rFonts w:ascii="Arial" w:hAnsi="Arial" w:eastAsia="微软雅黑"/>
      <w:b/>
      <w:kern w:val="1"/>
      <w:sz w:val="44"/>
      <w:szCs w:val="32"/>
      <w:lang w:val="en-US" w:eastAsia="zh-CN" w:bidi="ar-SA"/>
    </w:rPr>
  </w:style>
  <w:style w:type="character" w:customStyle="1" w:styleId="283">
    <w:name w:val="标题 Char2"/>
    <w:link w:val="58"/>
    <w:autoRedefine/>
    <w:qFormat/>
    <w:uiPriority w:val="10"/>
    <w:rPr>
      <w:b/>
      <w:sz w:val="24"/>
      <w:lang w:val="en-GB"/>
    </w:rPr>
  </w:style>
  <w:style w:type="character" w:customStyle="1" w:styleId="284">
    <w:name w:val="font81"/>
    <w:autoRedefine/>
    <w:qFormat/>
    <w:uiPriority w:val="0"/>
    <w:rPr>
      <w:rFonts w:ascii="微软雅黑" w:hAnsi="微软雅黑" w:eastAsia="微软雅黑" w:cs="微软雅黑"/>
      <w:color w:val="000000"/>
      <w:sz w:val="20"/>
      <w:szCs w:val="20"/>
      <w:u w:val="none"/>
    </w:rPr>
  </w:style>
  <w:style w:type="character" w:customStyle="1" w:styleId="285">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6">
    <w:name w:val="t21"/>
    <w:autoRedefine/>
    <w:qFormat/>
    <w:uiPriority w:val="0"/>
    <w:rPr>
      <w:rFonts w:ascii="仿宋_GB2312" w:eastAsia="微软雅黑"/>
      <w:b/>
      <w:kern w:val="2"/>
      <w:sz w:val="23"/>
      <w:szCs w:val="23"/>
      <w:lang w:val="en-US" w:eastAsia="zh-CN" w:bidi="ar-SA"/>
    </w:rPr>
  </w:style>
  <w:style w:type="character" w:customStyle="1" w:styleId="287">
    <w:name w:val="样式8 Char"/>
    <w:autoRedefine/>
    <w:qFormat/>
    <w:uiPriority w:val="0"/>
    <w:rPr>
      <w:rFonts w:ascii="仿宋_GB2312" w:hAnsi="宋体" w:eastAsia="仿宋_GB2312"/>
      <w:b/>
      <w:bCs/>
      <w:kern w:val="2"/>
      <w:sz w:val="24"/>
      <w:szCs w:val="24"/>
    </w:rPr>
  </w:style>
  <w:style w:type="character" w:customStyle="1" w:styleId="288">
    <w:name w:val="表格 Char Char"/>
    <w:autoRedefine/>
    <w:qFormat/>
    <w:uiPriority w:val="0"/>
    <w:rPr>
      <w:rFonts w:ascii="宋体" w:hAnsi="宋体" w:eastAsia="宋体"/>
      <w:lang w:bidi="ar-SA"/>
    </w:rPr>
  </w:style>
  <w:style w:type="character" w:customStyle="1" w:styleId="289">
    <w:name w:val="正文文本 字符1"/>
    <w:autoRedefine/>
    <w:qFormat/>
    <w:uiPriority w:val="0"/>
    <w:rPr>
      <w:rFonts w:ascii="Calibri" w:hAnsi="Calibri" w:eastAsia="黑体" w:cs="Arial"/>
      <w:snapToGrid w:val="0"/>
      <w:kern w:val="2"/>
      <w:sz w:val="28"/>
      <w:szCs w:val="21"/>
    </w:rPr>
  </w:style>
  <w:style w:type="character" w:customStyle="1" w:styleId="290">
    <w:name w:val="标题 5 Char"/>
    <w:link w:val="7"/>
    <w:autoRedefine/>
    <w:qFormat/>
    <w:uiPriority w:val="9"/>
    <w:rPr>
      <w:b/>
      <w:bCs/>
      <w:kern w:val="2"/>
      <w:sz w:val="28"/>
      <w:szCs w:val="28"/>
    </w:rPr>
  </w:style>
  <w:style w:type="character" w:customStyle="1" w:styleId="291">
    <w:name w:val="标题 6 Char1"/>
    <w:autoRedefine/>
    <w:qFormat/>
    <w:uiPriority w:val="0"/>
    <w:rPr>
      <w:rFonts w:ascii="Arial" w:hAnsi="Arial" w:eastAsia="黑体" w:cs="Times New Roman"/>
      <w:b/>
      <w:sz w:val="24"/>
      <w:szCs w:val="20"/>
      <w:lang w:bidi="ar-SA"/>
    </w:rPr>
  </w:style>
  <w:style w:type="character" w:customStyle="1" w:styleId="292">
    <w:name w:val="带编号样式 Char"/>
    <w:autoRedefine/>
    <w:qFormat/>
    <w:uiPriority w:val="0"/>
    <w:rPr>
      <w:rFonts w:ascii="仿宋_GB2312" w:eastAsia="仿宋_GB2312"/>
      <w:color w:val="000000"/>
      <w:sz w:val="24"/>
      <w:lang w:bidi="ar-SA"/>
    </w:rPr>
  </w:style>
  <w:style w:type="character" w:customStyle="1" w:styleId="293">
    <w:name w:val="unnamed31"/>
    <w:autoRedefine/>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autoRedefine/>
    <w:qFormat/>
    <w:uiPriority w:val="0"/>
    <w:rPr>
      <w:rFonts w:ascii="宋体" w:eastAsia="宋体"/>
      <w:kern w:val="2"/>
      <w:sz w:val="24"/>
      <w:szCs w:val="24"/>
      <w:lang w:val="zh-CN" w:bidi="ar-SA"/>
    </w:rPr>
  </w:style>
  <w:style w:type="character" w:customStyle="1" w:styleId="295">
    <w:name w:val="称呼 Char"/>
    <w:link w:val="20"/>
    <w:autoRedefine/>
    <w:qFormat/>
    <w:uiPriority w:val="0"/>
    <w:rPr>
      <w:rFonts w:ascii="仿宋_GB2312" w:eastAsia="仿宋_GB2312"/>
      <w:kern w:val="2"/>
      <w:sz w:val="28"/>
    </w:rPr>
  </w:style>
  <w:style w:type="character" w:customStyle="1" w:styleId="296">
    <w:name w:val="文本正文 Char Char"/>
    <w:autoRedefine/>
    <w:qFormat/>
    <w:locked/>
    <w:uiPriority w:val="0"/>
    <w:rPr>
      <w:sz w:val="24"/>
      <w:lang w:bidi="ar-SA"/>
    </w:rPr>
  </w:style>
  <w:style w:type="character" w:customStyle="1" w:styleId="297">
    <w:name w:val="正文缩进 字符"/>
    <w:autoRedefine/>
    <w:qFormat/>
    <w:uiPriority w:val="0"/>
    <w:rPr>
      <w:rFonts w:ascii="宋体" w:eastAsia="宋体"/>
      <w:snapToGrid w:val="0"/>
      <w:color w:val="000000"/>
      <w:kern w:val="28"/>
      <w:sz w:val="28"/>
      <w:lang w:val="en-US" w:eastAsia="zh-CN" w:bidi="ar-SA"/>
    </w:rPr>
  </w:style>
  <w:style w:type="character" w:customStyle="1" w:styleId="298">
    <w:name w:val="HTML 预设格式 Char"/>
    <w:link w:val="56"/>
    <w:autoRedefine/>
    <w:qFormat/>
    <w:uiPriority w:val="0"/>
    <w:rPr>
      <w:rFonts w:ascii="黑体" w:hAnsi="Courier New" w:eastAsia="黑体"/>
    </w:rPr>
  </w:style>
  <w:style w:type="character" w:customStyle="1" w:styleId="299">
    <w:name w:val="正文文本 2 Char1"/>
    <w:link w:val="55"/>
    <w:autoRedefine/>
    <w:qFormat/>
    <w:uiPriority w:val="0"/>
    <w:rPr>
      <w:kern w:val="2"/>
      <w:sz w:val="21"/>
      <w:szCs w:val="24"/>
    </w:rPr>
  </w:style>
  <w:style w:type="character" w:customStyle="1" w:styleId="300">
    <w:name w:val="样式 样式 标题 4h4H4Fab-4T5Ref Heading 1rh1Heading sqlsect 1.2.3.... +... Char"/>
    <w:link w:val="301"/>
    <w:autoRedefine/>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autoRedefine/>
    <w:qFormat/>
    <w:uiPriority w:val="0"/>
    <w:pPr>
      <w:tabs>
        <w:tab w:val="left" w:pos="2356"/>
      </w:tabs>
    </w:pPr>
  </w:style>
  <w:style w:type="paragraph" w:customStyle="1" w:styleId="302">
    <w:name w:val="样式 标题 4h4H4Fab-4T5Ref Heading 1rh1Heading sqlsect 1.2.3...."/>
    <w:basedOn w:val="2"/>
    <w:link w:val="410"/>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autoRedefine/>
    <w:qFormat/>
    <w:uiPriority w:val="0"/>
    <w:rPr>
      <w:rFonts w:ascii="宋体" w:eastAsia="宋体"/>
      <w:snapToGrid w:val="0"/>
      <w:color w:val="000000"/>
      <w:kern w:val="28"/>
      <w:sz w:val="28"/>
      <w:lang w:val="en-US" w:eastAsia="zh-CN" w:bidi="ar-SA"/>
    </w:rPr>
  </w:style>
  <w:style w:type="character" w:customStyle="1" w:styleId="304">
    <w:name w:val="标题 7 Char"/>
    <w:link w:val="9"/>
    <w:autoRedefine/>
    <w:qFormat/>
    <w:uiPriority w:val="0"/>
    <w:rPr>
      <w:b/>
      <w:bCs/>
      <w:kern w:val="2"/>
      <w:sz w:val="24"/>
      <w:szCs w:val="24"/>
    </w:rPr>
  </w:style>
  <w:style w:type="character" w:customStyle="1" w:styleId="305">
    <w:name w:val="正文文本缩进 2 Char"/>
    <w:link w:val="36"/>
    <w:autoRedefine/>
    <w:qFormat/>
    <w:uiPriority w:val="0"/>
    <w:rPr>
      <w:rFonts w:ascii="宋体"/>
      <w:sz w:val="28"/>
    </w:rPr>
  </w:style>
  <w:style w:type="character" w:customStyle="1" w:styleId="306">
    <w:name w:val="Char Char5"/>
    <w:autoRedefine/>
    <w:qFormat/>
    <w:uiPriority w:val="0"/>
    <w:rPr>
      <w:rFonts w:ascii="宋体" w:hAnsi="Courier New" w:eastAsia="宋体"/>
      <w:kern w:val="2"/>
      <w:sz w:val="21"/>
      <w:lang w:val="en-US" w:eastAsia="zh-CN"/>
    </w:rPr>
  </w:style>
  <w:style w:type="character" w:customStyle="1" w:styleId="307">
    <w:name w:val="脚注文本 Char"/>
    <w:link w:val="49"/>
    <w:autoRedefine/>
    <w:qFormat/>
    <w:uiPriority w:val="0"/>
    <w:rPr>
      <w:color w:val="0000FF"/>
      <w:sz w:val="21"/>
    </w:rPr>
  </w:style>
  <w:style w:type="character" w:customStyle="1" w:styleId="308">
    <w:name w:val="称呼 Char1"/>
    <w:autoRedefine/>
    <w:qFormat/>
    <w:uiPriority w:val="0"/>
    <w:rPr>
      <w:rFonts w:ascii="Times New Roman" w:hAnsi="Times New Roman" w:eastAsia="宋体" w:cs="Times New Roman"/>
      <w:szCs w:val="24"/>
    </w:rPr>
  </w:style>
  <w:style w:type="character" w:customStyle="1" w:styleId="309">
    <w:name w:val="正文1 Char"/>
    <w:autoRedefine/>
    <w:qFormat/>
    <w:uiPriority w:val="0"/>
    <w:rPr>
      <w:rFonts w:ascii="宋体" w:eastAsia="宋体"/>
      <w:snapToGrid w:val="0"/>
      <w:color w:val="000000"/>
      <w:kern w:val="28"/>
      <w:sz w:val="28"/>
      <w:lang w:val="en-US" w:eastAsia="zh-CN" w:bidi="ar-SA"/>
    </w:rPr>
  </w:style>
  <w:style w:type="character" w:customStyle="1" w:styleId="310">
    <w:name w:val="正文缩进 Char1"/>
    <w:autoRedefine/>
    <w:qFormat/>
    <w:uiPriority w:val="0"/>
    <w:rPr>
      <w:rFonts w:ascii="宋体" w:eastAsia="宋体"/>
      <w:snapToGrid w:val="0"/>
      <w:color w:val="000000"/>
      <w:kern w:val="28"/>
      <w:sz w:val="28"/>
      <w:lang w:val="en-US" w:eastAsia="zh-CN" w:bidi="ar-SA"/>
    </w:rPr>
  </w:style>
  <w:style w:type="character" w:customStyle="1" w:styleId="311">
    <w:name w:val="font21"/>
    <w:autoRedefine/>
    <w:qFormat/>
    <w:uiPriority w:val="0"/>
    <w:rPr>
      <w:rFonts w:hint="eastAsia" w:ascii="宋体" w:hAnsi="宋体" w:eastAsia="宋体"/>
      <w:kern w:val="2"/>
      <w:sz w:val="28"/>
      <w:szCs w:val="28"/>
      <w:lang w:val="en-US" w:eastAsia="zh-CN" w:bidi="ar-SA"/>
    </w:rPr>
  </w:style>
  <w:style w:type="character" w:customStyle="1" w:styleId="312">
    <w:name w:val="Char Char26"/>
    <w:autoRedefine/>
    <w:qFormat/>
    <w:uiPriority w:val="6"/>
    <w:rPr>
      <w:kern w:val="1"/>
      <w:sz w:val="21"/>
      <w:szCs w:val="24"/>
    </w:rPr>
  </w:style>
  <w:style w:type="character" w:customStyle="1" w:styleId="313">
    <w:name w:val="Item List Char"/>
    <w:link w:val="314"/>
    <w:autoRedefine/>
    <w:qFormat/>
    <w:uiPriority w:val="0"/>
    <w:rPr>
      <w:rFonts w:ascii="Arial"/>
      <w:bCs/>
      <w:sz w:val="21"/>
      <w:szCs w:val="21"/>
      <w:lang w:val="en-US" w:eastAsia="zh-CN" w:bidi="ar-SA"/>
    </w:rPr>
  </w:style>
  <w:style w:type="paragraph" w:customStyle="1" w:styleId="314">
    <w:name w:val="Item List"/>
    <w:link w:val="313"/>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autoRedefine/>
    <w:qFormat/>
    <w:uiPriority w:val="0"/>
    <w:rPr>
      <w:rFonts w:ascii="Times New Roman" w:hAnsi="Times New Roman" w:eastAsia="宋体" w:cs="Times New Roman"/>
      <w:sz w:val="18"/>
      <w:szCs w:val="18"/>
    </w:rPr>
  </w:style>
  <w:style w:type="character" w:customStyle="1" w:styleId="316">
    <w:name w:val="纯文本 Char1"/>
    <w:link w:val="317"/>
    <w:autoRedefine/>
    <w:qFormat/>
    <w:uiPriority w:val="0"/>
    <w:rPr>
      <w:rFonts w:ascii="宋体" w:hAnsi="Courier New"/>
    </w:rPr>
  </w:style>
  <w:style w:type="paragraph" w:customStyle="1" w:styleId="317">
    <w:name w:val="纯文本1"/>
    <w:basedOn w:val="1"/>
    <w:link w:val="316"/>
    <w:autoRedefine/>
    <w:qFormat/>
    <w:uiPriority w:val="0"/>
    <w:pPr>
      <w:adjustRightInd/>
    </w:pPr>
    <w:rPr>
      <w:rFonts w:ascii="宋体" w:hAnsi="Courier New"/>
      <w:kern w:val="0"/>
      <w:sz w:val="20"/>
      <w:szCs w:val="20"/>
    </w:rPr>
  </w:style>
  <w:style w:type="character" w:customStyle="1" w:styleId="318">
    <w:name w:val="正文首行缩进 Char"/>
    <w:link w:val="60"/>
    <w:autoRedefine/>
    <w:qFormat/>
    <w:uiPriority w:val="0"/>
    <w:rPr>
      <w:rFonts w:ascii="宋体"/>
      <w:kern w:val="2"/>
      <w:sz w:val="24"/>
      <w:lang w:val="zh-CN"/>
    </w:rPr>
  </w:style>
  <w:style w:type="character" w:customStyle="1" w:styleId="319">
    <w:name w:val="h3 Char"/>
    <w:autoRedefine/>
    <w:qFormat/>
    <w:uiPriority w:val="0"/>
    <w:rPr>
      <w:rFonts w:eastAsia="宋体"/>
      <w:b/>
      <w:kern w:val="2"/>
      <w:sz w:val="32"/>
      <w:lang w:val="en-US" w:eastAsia="zh-CN" w:bidi="ar-SA"/>
    </w:rPr>
  </w:style>
  <w:style w:type="character" w:customStyle="1" w:styleId="320">
    <w:name w:val="dandyren_title1"/>
    <w:autoRedefine/>
    <w:qFormat/>
    <w:uiPriority w:val="0"/>
    <w:rPr>
      <w:b/>
      <w:bCs/>
      <w:color w:val="FF6633"/>
      <w:sz w:val="18"/>
      <w:szCs w:val="18"/>
    </w:rPr>
  </w:style>
  <w:style w:type="character" w:customStyle="1" w:styleId="321">
    <w:name w:val="Char Char31"/>
    <w:autoRedefine/>
    <w:qFormat/>
    <w:uiPriority w:val="6"/>
    <w:rPr>
      <w:rFonts w:ascii="Arial" w:hAnsi="Arial" w:eastAsia="黑体"/>
      <w:kern w:val="1"/>
      <w:sz w:val="24"/>
      <w:szCs w:val="24"/>
    </w:rPr>
  </w:style>
  <w:style w:type="character" w:customStyle="1" w:styleId="322">
    <w:name w:val="h Char1"/>
    <w:autoRedefine/>
    <w:qFormat/>
    <w:uiPriority w:val="0"/>
    <w:rPr>
      <w:sz w:val="18"/>
      <w:szCs w:val="18"/>
    </w:rPr>
  </w:style>
  <w:style w:type="character" w:customStyle="1" w:styleId="323">
    <w:name w:val="solutionfonts"/>
    <w:autoRedefine/>
    <w:qFormat/>
    <w:uiPriority w:val="0"/>
  </w:style>
  <w:style w:type="character" w:customStyle="1" w:styleId="324">
    <w:name w:val="标题 4 Char2"/>
    <w:link w:val="2"/>
    <w:autoRedefine/>
    <w:qFormat/>
    <w:uiPriority w:val="9"/>
    <w:rPr>
      <w:rFonts w:ascii="Arial" w:hAnsi="Arial" w:eastAsia="黑体"/>
      <w:b/>
      <w:bCs/>
      <w:kern w:val="2"/>
      <w:sz w:val="28"/>
      <w:szCs w:val="28"/>
      <w:lang w:val="zh-CN"/>
    </w:rPr>
  </w:style>
  <w:style w:type="character" w:customStyle="1" w:styleId="325">
    <w:name w:val="首行缩进 Char"/>
    <w:autoRedefine/>
    <w:qFormat/>
    <w:uiPriority w:val="0"/>
    <w:rPr>
      <w:rFonts w:ascii="宋体" w:eastAsia="宋体"/>
      <w:kern w:val="2"/>
      <w:sz w:val="24"/>
      <w:lang w:val="en-US" w:eastAsia="zh-CN" w:bidi="ar-SA"/>
    </w:rPr>
  </w:style>
  <w:style w:type="character" w:customStyle="1" w:styleId="326">
    <w:name w:val="Char Char52"/>
    <w:autoRedefine/>
    <w:qFormat/>
    <w:uiPriority w:val="0"/>
    <w:rPr>
      <w:rFonts w:ascii="宋体" w:hAnsi="Courier New" w:eastAsia="宋体"/>
      <w:kern w:val="2"/>
      <w:sz w:val="21"/>
      <w:lang w:val="en-US" w:eastAsia="zh-CN"/>
    </w:rPr>
  </w:style>
  <w:style w:type="character" w:customStyle="1" w:styleId="327">
    <w:name w:val="正文文本 3 Char"/>
    <w:link w:val="21"/>
    <w:autoRedefine/>
    <w:qFormat/>
    <w:uiPriority w:val="0"/>
    <w:rPr>
      <w:kern w:val="2"/>
      <w:sz w:val="21"/>
    </w:rPr>
  </w:style>
  <w:style w:type="character" w:customStyle="1" w:styleId="328">
    <w:name w:val="font31"/>
    <w:autoRedefine/>
    <w:qFormat/>
    <w:uiPriority w:val="0"/>
    <w:rPr>
      <w:rFonts w:hint="eastAsia" w:ascii="仿宋" w:hAnsi="仿宋" w:eastAsia="仿宋" w:cs="仿宋"/>
      <w:color w:val="000000"/>
      <w:sz w:val="20"/>
      <w:szCs w:val="20"/>
      <w:u w:val="none"/>
    </w:rPr>
  </w:style>
  <w:style w:type="character" w:customStyle="1" w:styleId="329">
    <w:name w:val="正文说明 Char"/>
    <w:link w:val="330"/>
    <w:autoRedefine/>
    <w:qFormat/>
    <w:uiPriority w:val="0"/>
    <w:rPr>
      <w:sz w:val="24"/>
      <w:szCs w:val="24"/>
    </w:rPr>
  </w:style>
  <w:style w:type="paragraph" w:customStyle="1" w:styleId="330">
    <w:name w:val="正文说明"/>
    <w:basedOn w:val="1"/>
    <w:link w:val="329"/>
    <w:autoRedefine/>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99"/>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3"/>
    <w:link w:val="425"/>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2"/>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5"/>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6"/>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6"/>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3"/>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2"/>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3"/>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2"/>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2"/>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3"/>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2"/>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18"/>
    <w:next w:val="1"/>
    <w:qFormat/>
    <w:uiPriority w:val="0"/>
    <w:pPr>
      <w:tabs>
        <w:tab w:val="right" w:leader="dot" w:pos="8268"/>
      </w:tabs>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table" w:customStyle="1" w:styleId="96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66</Pages>
  <Words>34197</Words>
  <Characters>35955</Characters>
  <Lines>281</Lines>
  <Paragraphs>79</Paragraphs>
  <TotalTime>22</TotalTime>
  <ScaleCrop>false</ScaleCrop>
  <LinksUpToDate>false</LinksUpToDate>
  <CharactersWithSpaces>40333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liulu</cp:lastModifiedBy>
  <cp:lastPrinted>2021-12-27T11:06:00Z</cp:lastPrinted>
  <dcterms:modified xsi:type="dcterms:W3CDTF">2024-04-19T08:37:56Z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795551CBC3274360AEC6492BA7C8CB35_13</vt:lpwstr>
  </property>
</Properties>
</file>