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C3AA8">
      <w:pPr>
        <w:spacing w:line="360" w:lineRule="auto"/>
        <w:jc w:val="center"/>
        <w:rPr>
          <w:rFonts w:ascii="宋体" w:hAnsi="宋体" w:cs="宋体"/>
          <w:b/>
          <w:color w:val="auto"/>
          <w:sz w:val="24"/>
          <w:highlight w:val="none"/>
        </w:rPr>
      </w:pPr>
    </w:p>
    <w:p w14:paraId="184199C1">
      <w:pPr>
        <w:spacing w:line="360" w:lineRule="auto"/>
        <w:jc w:val="center"/>
        <w:rPr>
          <w:rFonts w:ascii="宋体" w:hAnsi="宋体" w:cs="宋体"/>
          <w:b/>
          <w:color w:val="auto"/>
          <w:sz w:val="24"/>
          <w:highlight w:val="none"/>
        </w:rPr>
      </w:pPr>
    </w:p>
    <w:p w14:paraId="47D590D7">
      <w:pPr>
        <w:adjustRightInd/>
        <w:spacing w:line="360" w:lineRule="auto"/>
        <w:jc w:val="center"/>
        <w:rPr>
          <w:rFonts w:ascii="宋体" w:hAnsi="宋体" w:cs="宋体"/>
          <w:b/>
          <w:color w:val="auto"/>
          <w:sz w:val="44"/>
          <w:szCs w:val="44"/>
          <w:highlight w:val="none"/>
        </w:rPr>
      </w:pPr>
    </w:p>
    <w:p w14:paraId="199C35CA">
      <w:pPr>
        <w:spacing w:line="360" w:lineRule="auto"/>
        <w:jc w:val="center"/>
        <w:rPr>
          <w:rFonts w:ascii="宋体" w:hAnsi="宋体" w:cs="宋体"/>
          <w:b/>
          <w:color w:val="auto"/>
          <w:sz w:val="44"/>
          <w:szCs w:val="44"/>
          <w:highlight w:val="none"/>
        </w:rPr>
      </w:pPr>
    </w:p>
    <w:p w14:paraId="34A67221">
      <w:pPr>
        <w:adjustRightInd/>
        <w:spacing w:line="360" w:lineRule="auto"/>
        <w:jc w:val="center"/>
        <w:rPr>
          <w:rFonts w:ascii="宋体" w:hAnsi="宋体" w:cs="宋体"/>
          <w:b/>
          <w:color w:val="auto"/>
          <w:sz w:val="48"/>
          <w:szCs w:val="48"/>
          <w:highlight w:val="none"/>
        </w:rPr>
      </w:pPr>
    </w:p>
    <w:p w14:paraId="5B84ACC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市发改委2025年深化信创项目</w:t>
      </w:r>
    </w:p>
    <w:p w14:paraId="179BD1A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-标项一（“数智发改”主平台、OA系统迁移及六统一集成）</w:t>
      </w:r>
    </w:p>
    <w:p w14:paraId="0BC13E8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1D84F8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8927A3B">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编号:TCZX-ZFCG(F)-2025009</w:t>
      </w:r>
    </w:p>
    <w:p w14:paraId="20D33287">
      <w:pPr>
        <w:adjustRightInd/>
        <w:spacing w:line="360" w:lineRule="auto"/>
        <w:rPr>
          <w:rFonts w:ascii="宋体" w:hAnsi="宋体" w:cs="宋体"/>
          <w:color w:val="auto"/>
          <w:sz w:val="28"/>
          <w:szCs w:val="20"/>
          <w:highlight w:val="none"/>
        </w:rPr>
      </w:pPr>
    </w:p>
    <w:p w14:paraId="5D3D004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DC964B7">
      <w:pPr>
        <w:spacing w:line="360" w:lineRule="auto"/>
        <w:jc w:val="center"/>
        <w:rPr>
          <w:rFonts w:ascii="宋体" w:hAnsi="宋体" w:cs="宋体"/>
          <w:b/>
          <w:color w:val="auto"/>
          <w:sz w:val="44"/>
          <w:szCs w:val="44"/>
          <w:highlight w:val="none"/>
        </w:rPr>
      </w:pPr>
    </w:p>
    <w:p w14:paraId="7D5C17D1">
      <w:pPr>
        <w:spacing w:line="360" w:lineRule="auto"/>
        <w:jc w:val="center"/>
        <w:rPr>
          <w:rFonts w:ascii="宋体" w:hAnsi="宋体" w:cs="宋体"/>
          <w:color w:val="auto"/>
          <w:sz w:val="24"/>
          <w:highlight w:val="none"/>
        </w:rPr>
      </w:pPr>
    </w:p>
    <w:p w14:paraId="25634D5B">
      <w:pPr>
        <w:spacing w:line="360" w:lineRule="auto"/>
        <w:jc w:val="center"/>
        <w:rPr>
          <w:rFonts w:ascii="宋体" w:hAnsi="宋体" w:cs="宋体"/>
          <w:color w:val="auto"/>
          <w:sz w:val="24"/>
          <w:highlight w:val="none"/>
        </w:rPr>
      </w:pPr>
    </w:p>
    <w:p w14:paraId="0CA5B9AE">
      <w:pPr>
        <w:spacing w:line="360" w:lineRule="auto"/>
        <w:rPr>
          <w:rFonts w:ascii="宋体" w:hAnsi="宋体" w:cs="宋体"/>
          <w:color w:val="auto"/>
          <w:sz w:val="32"/>
          <w:szCs w:val="32"/>
          <w:highlight w:val="none"/>
        </w:rPr>
      </w:pPr>
    </w:p>
    <w:p w14:paraId="54FCCB6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杭州市发展和改革委员会（杭州市对口支援和区域合作局）</w:t>
      </w:r>
    </w:p>
    <w:p w14:paraId="0974A01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浙江天辰工程咨询有限公司</w:t>
      </w:r>
    </w:p>
    <w:p w14:paraId="4D1E4ED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二〇二五年七月九日</w:t>
      </w:r>
    </w:p>
    <w:p w14:paraId="3E616E9C">
      <w:pPr>
        <w:spacing w:line="360" w:lineRule="auto"/>
        <w:rPr>
          <w:color w:val="auto"/>
          <w:highlight w:val="none"/>
        </w:rPr>
      </w:pPr>
      <w:bookmarkStart w:id="0" w:name="_Hlt67893495"/>
      <w:bookmarkEnd w:id="0"/>
    </w:p>
    <w:p w14:paraId="064FBBA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749D175">
      <w:pPr>
        <w:spacing w:line="360" w:lineRule="auto"/>
        <w:rPr>
          <w:rFonts w:ascii="宋体" w:hAnsi="宋体" w:cs="宋体"/>
          <w:color w:val="auto"/>
          <w:sz w:val="32"/>
          <w:szCs w:val="32"/>
          <w:highlight w:val="none"/>
        </w:rPr>
      </w:pPr>
    </w:p>
    <w:p w14:paraId="3E3213F4">
      <w:pPr>
        <w:spacing w:line="360" w:lineRule="auto"/>
        <w:rPr>
          <w:rFonts w:ascii="宋体" w:hAnsi="宋体" w:cs="宋体"/>
          <w:color w:val="auto"/>
          <w:sz w:val="32"/>
          <w:szCs w:val="32"/>
          <w:highlight w:val="none"/>
        </w:rPr>
      </w:pPr>
    </w:p>
    <w:p w14:paraId="1E142E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3DF8ED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1C48F9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4E68A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AAD03F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D8F41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815E90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8D1F2BD">
      <w:pPr>
        <w:spacing w:line="360" w:lineRule="auto"/>
        <w:ind w:firstLine="549" w:firstLineChars="229"/>
        <w:rPr>
          <w:rFonts w:ascii="宋体" w:hAnsi="宋体" w:cs="宋体"/>
          <w:color w:val="auto"/>
          <w:sz w:val="24"/>
          <w:highlight w:val="none"/>
        </w:rPr>
      </w:pPr>
    </w:p>
    <w:p w14:paraId="48CBFC1E">
      <w:pPr>
        <w:spacing w:line="360" w:lineRule="auto"/>
        <w:ind w:firstLine="549" w:firstLineChars="229"/>
        <w:rPr>
          <w:rFonts w:ascii="宋体" w:hAnsi="宋体" w:cs="宋体"/>
          <w:color w:val="auto"/>
          <w:sz w:val="24"/>
          <w:highlight w:val="none"/>
        </w:rPr>
      </w:pPr>
    </w:p>
    <w:p w14:paraId="13AC493D">
      <w:pPr>
        <w:spacing w:line="360" w:lineRule="auto"/>
        <w:ind w:firstLine="549" w:firstLineChars="229"/>
        <w:rPr>
          <w:rFonts w:ascii="宋体" w:hAnsi="宋体" w:cs="宋体"/>
          <w:color w:val="auto"/>
          <w:sz w:val="24"/>
          <w:highlight w:val="none"/>
        </w:rPr>
      </w:pPr>
    </w:p>
    <w:p w14:paraId="1DB254C6">
      <w:pPr>
        <w:spacing w:line="360" w:lineRule="auto"/>
        <w:ind w:firstLine="549" w:firstLineChars="229"/>
        <w:rPr>
          <w:rFonts w:ascii="宋体" w:hAnsi="宋体" w:cs="宋体"/>
          <w:color w:val="auto"/>
          <w:sz w:val="24"/>
          <w:highlight w:val="none"/>
        </w:rPr>
      </w:pPr>
    </w:p>
    <w:p w14:paraId="4760F89E">
      <w:pPr>
        <w:spacing w:line="360" w:lineRule="auto"/>
        <w:ind w:firstLine="549" w:firstLineChars="229"/>
        <w:rPr>
          <w:rFonts w:ascii="宋体" w:hAnsi="宋体" w:cs="宋体"/>
          <w:color w:val="auto"/>
          <w:sz w:val="24"/>
          <w:highlight w:val="none"/>
        </w:rPr>
      </w:pPr>
    </w:p>
    <w:p w14:paraId="399D8D7D">
      <w:pPr>
        <w:spacing w:line="360" w:lineRule="auto"/>
        <w:ind w:firstLine="549" w:firstLineChars="229"/>
        <w:rPr>
          <w:rFonts w:ascii="宋体" w:hAnsi="宋体" w:cs="宋体"/>
          <w:color w:val="auto"/>
          <w:sz w:val="24"/>
          <w:highlight w:val="none"/>
        </w:rPr>
      </w:pPr>
    </w:p>
    <w:p w14:paraId="5086AACF">
      <w:pPr>
        <w:spacing w:line="360" w:lineRule="auto"/>
        <w:ind w:firstLine="549" w:firstLineChars="229"/>
        <w:rPr>
          <w:rFonts w:ascii="宋体" w:hAnsi="宋体" w:cs="宋体"/>
          <w:color w:val="auto"/>
          <w:sz w:val="24"/>
          <w:highlight w:val="none"/>
        </w:rPr>
      </w:pPr>
    </w:p>
    <w:p w14:paraId="56F1F869">
      <w:pPr>
        <w:spacing w:line="360" w:lineRule="auto"/>
        <w:ind w:firstLine="549" w:firstLineChars="229"/>
        <w:rPr>
          <w:rFonts w:ascii="宋体" w:hAnsi="宋体" w:cs="宋体"/>
          <w:color w:val="auto"/>
          <w:sz w:val="24"/>
          <w:highlight w:val="none"/>
        </w:rPr>
      </w:pPr>
    </w:p>
    <w:p w14:paraId="1A923F44">
      <w:pPr>
        <w:spacing w:line="360" w:lineRule="auto"/>
        <w:ind w:firstLine="549" w:firstLineChars="229"/>
        <w:rPr>
          <w:rFonts w:ascii="宋体" w:hAnsi="宋体" w:cs="宋体"/>
          <w:color w:val="auto"/>
          <w:sz w:val="24"/>
          <w:highlight w:val="none"/>
        </w:rPr>
      </w:pPr>
    </w:p>
    <w:p w14:paraId="0E83B523">
      <w:pPr>
        <w:spacing w:line="360" w:lineRule="auto"/>
        <w:ind w:firstLine="549" w:firstLineChars="229"/>
        <w:rPr>
          <w:rFonts w:ascii="宋体" w:hAnsi="宋体" w:cs="宋体"/>
          <w:color w:val="auto"/>
          <w:sz w:val="24"/>
          <w:highlight w:val="none"/>
        </w:rPr>
      </w:pPr>
    </w:p>
    <w:p w14:paraId="36BF3A91">
      <w:pPr>
        <w:spacing w:line="360" w:lineRule="auto"/>
        <w:ind w:firstLine="549" w:firstLineChars="229"/>
        <w:rPr>
          <w:rFonts w:ascii="宋体" w:hAnsi="宋体" w:cs="宋体"/>
          <w:color w:val="auto"/>
          <w:sz w:val="24"/>
          <w:highlight w:val="none"/>
        </w:rPr>
      </w:pPr>
    </w:p>
    <w:p w14:paraId="07E5DE7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F7FA72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35C4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市发改委2025年深化信创项目-标项一（“数智发改”主平台、OA系统迁移及六统一集成）</w:t>
      </w:r>
      <w:r>
        <w:rPr>
          <w:rFonts w:hint="eastAsia" w:ascii="宋体" w:hAnsi="宋体" w:cs="宋体"/>
          <w:color w:val="auto"/>
          <w:sz w:val="24"/>
          <w:highlight w:val="none"/>
        </w:rPr>
        <w:t>招标项目的潜在投标人应在政采云平台（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rPr>
        <w:t>30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A9FB0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F5AEE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TCZX-ZFCG(F)-2025009</w:t>
      </w:r>
    </w:p>
    <w:p w14:paraId="7541DA93">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市发改委2025年深化信创项目-标项一（“数智发改”主平台、OA系统迁移及六统一集成）   </w:t>
      </w:r>
      <w:r>
        <w:rPr>
          <w:rFonts w:hint="eastAsia" w:ascii="宋体" w:hAnsi="宋体" w:cs="宋体"/>
          <w:b/>
          <w:color w:val="auto"/>
          <w:sz w:val="24"/>
          <w:highlight w:val="none"/>
        </w:rPr>
        <w:t xml:space="preserve"> </w:t>
      </w:r>
    </w:p>
    <w:p w14:paraId="2C45FAA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3330000.00</w:t>
      </w:r>
      <w:r>
        <w:rPr>
          <w:rFonts w:ascii="宋体" w:hAnsi="宋体" w:cs="宋体"/>
          <w:color w:val="auto"/>
          <w:sz w:val="24"/>
          <w:highlight w:val="none"/>
        </w:rPr>
        <w:t xml:space="preserve"> </w:t>
      </w:r>
    </w:p>
    <w:p w14:paraId="040A310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3330000.00</w:t>
      </w:r>
      <w:r>
        <w:rPr>
          <w:rFonts w:ascii="宋体" w:hAnsi="宋体" w:cs="宋体"/>
          <w:color w:val="auto"/>
          <w:sz w:val="24"/>
          <w:highlight w:val="none"/>
        </w:rPr>
        <w:t xml:space="preserve"> </w:t>
      </w:r>
    </w:p>
    <w:p w14:paraId="11E8D237">
      <w:pPr>
        <w:pStyle w:val="10"/>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市发改委2025年深化信创项目-标项一（“数智发改”主平台、OA系统迁移及六统一集成）主要内容：包括“数智发改”主平台迁移和协同办公（OA）系统的迁移，按照六统一的要求完成统一数据资源集成、统一系统管理子系统改造和经济监测平台、价格监测预警协同办公（OA）系统综合集成。通过对杭州市发改委内的政务信息化系统进行国产化迁移改造和功能升级，推动政务信息资源的整合、共享和开放，落实党政机关信创应用和相关管理制度体系、标准体系要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395899">
      <w:pPr>
        <w:pStyle w:val="132"/>
        <w:ind w:firstLine="489"/>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2025年10月底前完成各子系统的开发迁移工作并通过项目初验。初验通过后，系统进行1个月试运行。试运行结束后，完成项目终验。</w:t>
      </w:r>
    </w:p>
    <w:p w14:paraId="06B166F1">
      <w:pPr>
        <w:pStyle w:val="10"/>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FCAE03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4E6FE6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6B0EE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09C894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FCFA5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6A4A8B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F5684F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14:paraId="3D2762D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00AF79E">
      <w:pPr>
        <w:rPr>
          <w:rFonts w:ascii="宋体" w:hAnsi="宋体" w:cs="宋体"/>
          <w:color w:val="auto"/>
          <w:highlight w:val="none"/>
        </w:rPr>
      </w:pPr>
    </w:p>
    <w:p w14:paraId="1DAC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33DB8D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1C52A6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F2074B5">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p>
    <w:p w14:paraId="122AABE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6854A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23416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F0ACB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2025年07月30日</w:t>
      </w:r>
      <w:r>
        <w:rPr>
          <w:rFonts w:hint="eastAsia" w:ascii="宋体" w:hAnsi="宋体" w:cs="宋体"/>
          <w:color w:val="auto"/>
          <w:sz w:val="24"/>
          <w:highlight w:val="none"/>
        </w:rPr>
        <w:t>，每天上午00:00至12:00 ，下午12:00至23:59（北京时间，线上获取法定节假日均可，线下获取文件法定节假日除外）</w:t>
      </w:r>
    </w:p>
    <w:p w14:paraId="5F1458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DE975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22EF3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243AB4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38E0BA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2025年07月30日09点30分00秒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A4E090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CD1163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2025年07月30日09点30分00秒</w:t>
      </w:r>
      <w:r>
        <w:rPr>
          <w:rFonts w:hint="eastAsia" w:ascii="宋体" w:hAnsi="宋体" w:cs="宋体"/>
          <w:bCs/>
          <w:color w:val="auto"/>
          <w:sz w:val="24"/>
          <w:highlight w:val="none"/>
          <w:u w:val="single"/>
        </w:rPr>
        <w:t xml:space="preserve">  </w:t>
      </w:r>
    </w:p>
    <w:p w14:paraId="554469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52E395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6DCA5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4A95EA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EA962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F5CF4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010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EAAE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1302C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CA0B2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A6BAD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称：杭州市发展和改革委员会（杭州市对口支援和区域合作局） </w:t>
      </w:r>
    </w:p>
    <w:p w14:paraId="3D97A0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址：杭州市市民中心B座      </w:t>
      </w:r>
    </w:p>
    <w:p w14:paraId="1E95349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F30242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项目联系人（询问）：沈子行        </w:t>
      </w:r>
    </w:p>
    <w:p w14:paraId="71945C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项目联系方式（询问）：0571-85250024        </w:t>
      </w:r>
    </w:p>
    <w:p w14:paraId="6AD5672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质疑联系人：何海平        </w:t>
      </w:r>
    </w:p>
    <w:p w14:paraId="68193C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质疑联系方式：0571-85252317  </w:t>
      </w:r>
    </w:p>
    <w:p w14:paraId="3E2976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C061F8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称：浙江天辰工程咨询有限公司</w:t>
      </w:r>
    </w:p>
    <w:p w14:paraId="14CDDC2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址：杭州市拱墅区杭行路688号星运大厦1幢1006室</w:t>
      </w:r>
    </w:p>
    <w:p w14:paraId="1FAE87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ascii="宋体" w:hAnsi="宋体" w:cs="宋体"/>
          <w:color w:val="auto"/>
          <w:sz w:val="24"/>
          <w:highlight w:val="none"/>
        </w:rPr>
        <w:t>0571-86771198</w:t>
      </w:r>
    </w:p>
    <w:p w14:paraId="3A55F3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项目联系人（询问）：李喜林、龚梦雪</w:t>
      </w:r>
    </w:p>
    <w:p w14:paraId="5F7975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项目联系方式（询问）：0571-86771198、13665768754</w:t>
      </w:r>
    </w:p>
    <w:p w14:paraId="35204B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质疑联系人：沈佳雪</w:t>
      </w:r>
    </w:p>
    <w:p w14:paraId="788841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0571-86771198</w:t>
      </w:r>
    </w:p>
    <w:p w14:paraId="26AEFD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1A702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7D16C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190EE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ED3B7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w:t>
      </w:r>
    </w:p>
    <w:p w14:paraId="3DDF265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监督投诉电话：0571-87800218</w:t>
      </w:r>
    </w:p>
    <w:p w14:paraId="599B5F7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BBD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417572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36E9F5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71FAF0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1F92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30D99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0D7E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33A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5ED1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3B26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B908A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51A1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41D5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78BB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D9CB9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1A0F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“数智发改”主平台、0A系统迁移及六统一集成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软件和信息技术服务业</w:t>
            </w:r>
            <w:r>
              <w:rPr>
                <w:rFonts w:hint="eastAsia" w:ascii="宋体" w:hAnsi="宋体" w:cs="宋体"/>
                <w:color w:val="auto"/>
                <w:kern w:val="0"/>
                <w:sz w:val="24"/>
                <w:highlight w:val="none"/>
              </w:rPr>
              <w:t>行业；</w:t>
            </w:r>
          </w:p>
          <w:p w14:paraId="0DEEB324">
            <w:pPr>
              <w:spacing w:line="360" w:lineRule="auto"/>
              <w:rPr>
                <w:rFonts w:ascii="宋体" w:hAnsi="宋体" w:cs="宋体"/>
                <w:color w:val="auto"/>
                <w:sz w:val="24"/>
                <w:highlight w:val="none"/>
              </w:rPr>
            </w:pPr>
            <w:r>
              <w:rPr>
                <w:rFonts w:hint="eastAsia" w:ascii="宋体" w:hAnsi="宋体" w:cs="宋体"/>
                <w:color w:val="auto"/>
                <w:sz w:val="24"/>
                <w:highlight w:val="none"/>
              </w:rPr>
              <w:t>说明：《关于印发中小企业划型标准规定的通知》（工信部联企业〔2011〕300号）中关于软件和信息技术服务行业划型标准如下：</w:t>
            </w:r>
          </w:p>
          <w:p w14:paraId="50FD2D19">
            <w:pPr>
              <w:snapToGrid w:val="0"/>
              <w:spacing w:line="360" w:lineRule="auto"/>
              <w:rPr>
                <w:rFonts w:ascii="宋体" w:hAnsi="宋体" w:cs="宋体"/>
                <w:color w:val="auto"/>
                <w:highlight w:val="none"/>
              </w:rPr>
            </w:pPr>
            <w:r>
              <w:rPr>
                <w:rFonts w:hint="eastAsia" w:ascii="宋体" w:hAnsi="宋体" w:cs="宋体"/>
                <w:b/>
                <w:bCs/>
                <w:color w:val="auto"/>
                <w:sz w:val="24"/>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DD0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44FF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0EDC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A864A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B94559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39B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1A3D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5AE4AE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540ED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培训、测试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A0C670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99D6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A19C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0543D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B6CF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DD33F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0845712">
            <w:pPr>
              <w:pStyle w:val="80"/>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p w14:paraId="60077167">
            <w:pPr>
              <w:pStyle w:val="80"/>
              <w:ind w:firstLine="0" w:firstLineChars="0"/>
              <w:rPr>
                <w:color w:val="auto"/>
                <w:highlight w:val="none"/>
              </w:rPr>
            </w:pPr>
          </w:p>
        </w:tc>
      </w:tr>
      <w:tr w14:paraId="1A0CD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7339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3F9E7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7AC30E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5481E4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C382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D9273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8DB75F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131537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FE09E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A9B59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00938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AC0E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C74D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483C0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095021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27E33D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B组织。</w:t>
            </w:r>
          </w:p>
          <w:p w14:paraId="008945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（1）在评标时安排每个投标人进行方案讲解演示。视频演示。每个投标人提供时间不超过15分钟的演示视频，由采购代理机构组织人员现场播放，播放次序以投标文件解密时间先后次序为准。</w:t>
            </w:r>
          </w:p>
          <w:p w14:paraId="742BF0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w:t>
            </w:r>
          </w:p>
          <w:p w14:paraId="56AB48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3921210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56B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88DA1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91CDE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2E4EE7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7BD781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198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07DF51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7B2E00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A270F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B765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6D6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E77B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17BB6">
            <w:pPr>
              <w:pStyle w:val="80"/>
              <w:snapToGri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7205CA3">
            <w:pPr>
              <w:pStyle w:val="80"/>
              <w:ind w:firstLine="480"/>
              <w:jc w:val="both"/>
              <w:rPr>
                <w:rFonts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1DD0E53C">
            <w:pPr>
              <w:pStyle w:val="80"/>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52EFF65B">
            <w:pPr>
              <w:pStyle w:val="80"/>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563EFFDB">
            <w:pPr>
              <w:pStyle w:val="80"/>
              <w:ind w:firstLine="480"/>
              <w:jc w:val="both"/>
              <w:rPr>
                <w:color w:val="auto"/>
                <w:highlight w:val="none"/>
              </w:rPr>
            </w:pPr>
            <w:r>
              <w:rPr>
                <w:rFonts w:hint="eastAsia" w:ascii="宋体" w:hAnsi="宋体" w:eastAsia="宋体" w:cs="宋体"/>
                <w:color w:val="auto"/>
                <w:kern w:val="2"/>
                <w:sz w:val="24"/>
                <w:szCs w:val="24"/>
                <w:highlight w:val="none"/>
              </w:rPr>
              <w:t>☑无</w:t>
            </w:r>
          </w:p>
        </w:tc>
      </w:tr>
      <w:tr w14:paraId="392B6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D9EB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284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4A904">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986A63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EB6F13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9CECA7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CBE638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A50EC6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92EB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F5BF7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214C9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C7017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E07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94BC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34BF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46E3F5E">
            <w:pPr>
              <w:pStyle w:val="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杭州市拱墅区杭行路688号星运大厦1幢1006室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龚梦雪0571-86771198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49E64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14786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581228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83DED3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1481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99EBF1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8F3AE1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47DC7E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2930CB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6A49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0C53E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CAB5B56">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0C3150E0">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r w14:paraId="0C347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ADAB1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0D471C1">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742D733">
            <w:pPr>
              <w:pStyle w:val="6"/>
              <w:spacing w:line="360" w:lineRule="auto"/>
              <w:ind w:firstLine="480" w:firstLineChars="200"/>
              <w:rPr>
                <w:rFonts w:hAnsi="宋体"/>
                <w:color w:val="auto"/>
                <w:sz w:val="24"/>
                <w:szCs w:val="24"/>
                <w:highlight w:val="none"/>
              </w:rPr>
            </w:pPr>
            <w:r>
              <w:rPr>
                <w:rFonts w:hint="eastAsia"/>
                <w:color w:val="auto"/>
                <w:sz w:val="24"/>
                <w:szCs w:val="24"/>
                <w:highlight w:val="none"/>
              </w:rPr>
              <w:t>本项目的采购代理服务费由中标人支付，服务费按计价格【2002】1980号文件收费标准计取。在接到中标通知书</w:t>
            </w:r>
            <w:r>
              <w:rPr>
                <w:rFonts w:hint="eastAsia" w:hAnsi="宋体"/>
                <w:color w:val="auto"/>
                <w:sz w:val="24"/>
                <w:szCs w:val="24"/>
                <w:highlight w:val="none"/>
              </w:rPr>
              <w:t>后两个工作日内</w:t>
            </w:r>
            <w:r>
              <w:rPr>
                <w:rFonts w:hint="eastAsia"/>
                <w:color w:val="auto"/>
                <w:sz w:val="24"/>
                <w:szCs w:val="24"/>
                <w:highlight w:val="none"/>
              </w:rPr>
              <w:t>由中标人一次性向采购代理机构付清。</w:t>
            </w:r>
            <w:r>
              <w:rPr>
                <w:rFonts w:hint="eastAsia" w:hAnsi="宋体"/>
                <w:color w:val="auto"/>
                <w:sz w:val="24"/>
                <w:szCs w:val="24"/>
                <w:highlight w:val="none"/>
              </w:rPr>
              <w:t>采购代理服务费须包含在投标报价中，并以人民币方式支付。服务费汇入以下账号：</w:t>
            </w:r>
          </w:p>
          <w:p w14:paraId="4CF185EE">
            <w:pPr>
              <w:pStyle w:val="6"/>
              <w:spacing w:line="360" w:lineRule="auto"/>
              <w:ind w:firstLine="480" w:firstLineChars="200"/>
              <w:rPr>
                <w:rFonts w:cs="Times New Roman" w:asciiTheme="minorEastAsia" w:hAnsiTheme="minorEastAsia"/>
                <w:color w:val="auto"/>
                <w:kern w:val="28"/>
                <w:sz w:val="24"/>
                <w:szCs w:val="24"/>
                <w:highlight w:val="none"/>
              </w:rPr>
            </w:pPr>
            <w:r>
              <w:rPr>
                <w:rFonts w:hint="eastAsia" w:cs="Times New Roman" w:asciiTheme="minorEastAsia" w:hAnsiTheme="minorEastAsia"/>
                <w:color w:val="auto"/>
                <w:kern w:val="28"/>
                <w:sz w:val="24"/>
                <w:szCs w:val="24"/>
                <w:highlight w:val="none"/>
              </w:rPr>
              <w:t>户</w:t>
            </w:r>
            <w:r>
              <w:rPr>
                <w:rFonts w:cs="Times New Roman" w:asciiTheme="minorEastAsia" w:hAnsiTheme="minorEastAsia"/>
                <w:color w:val="auto"/>
                <w:kern w:val="28"/>
                <w:sz w:val="24"/>
                <w:szCs w:val="24"/>
                <w:highlight w:val="none"/>
              </w:rPr>
              <w:t xml:space="preserve"> </w:t>
            </w:r>
            <w:r>
              <w:rPr>
                <w:rFonts w:hint="eastAsia" w:cs="Times New Roman" w:asciiTheme="minorEastAsia" w:hAnsiTheme="minorEastAsia"/>
                <w:color w:val="auto"/>
                <w:kern w:val="28"/>
                <w:sz w:val="24"/>
                <w:szCs w:val="24"/>
                <w:highlight w:val="none"/>
              </w:rPr>
              <w:t>名：</w:t>
            </w:r>
            <w:r>
              <w:rPr>
                <w:rFonts w:hint="eastAsia"/>
                <w:color w:val="auto"/>
                <w:sz w:val="24"/>
                <w:szCs w:val="24"/>
                <w:highlight w:val="none"/>
              </w:rPr>
              <w:t>浙江天辰工程咨询有限公司</w:t>
            </w:r>
          </w:p>
          <w:p w14:paraId="3A2C8704">
            <w:pPr>
              <w:pStyle w:val="6"/>
              <w:spacing w:line="360" w:lineRule="auto"/>
              <w:ind w:firstLine="480" w:firstLineChars="200"/>
              <w:rPr>
                <w:rFonts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8"/>
                <w:sz w:val="24"/>
                <w:szCs w:val="24"/>
                <w:highlight w:val="none"/>
              </w:rPr>
              <w:t>开</w:t>
            </w:r>
            <w:r>
              <w:rPr>
                <w:rFonts w:cs="Times New Roman" w:asciiTheme="minorEastAsia" w:hAnsiTheme="minorEastAsia" w:eastAsiaTheme="minorEastAsia"/>
                <w:color w:val="auto"/>
                <w:kern w:val="28"/>
                <w:sz w:val="24"/>
                <w:szCs w:val="24"/>
                <w:highlight w:val="none"/>
              </w:rPr>
              <w:t xml:space="preserve"> </w:t>
            </w:r>
            <w:r>
              <w:rPr>
                <w:rFonts w:hint="eastAsia" w:cs="Times New Roman" w:asciiTheme="minorEastAsia" w:hAnsiTheme="minorEastAsia" w:eastAsiaTheme="minorEastAsia"/>
                <w:color w:val="auto"/>
                <w:kern w:val="28"/>
                <w:sz w:val="24"/>
                <w:szCs w:val="24"/>
                <w:highlight w:val="none"/>
              </w:rPr>
              <w:t>户：</w:t>
            </w:r>
            <w:r>
              <w:rPr>
                <w:rFonts w:hint="eastAsia" w:asciiTheme="minorEastAsia" w:hAnsiTheme="minorEastAsia" w:eastAsiaTheme="minorEastAsia"/>
                <w:color w:val="auto"/>
                <w:sz w:val="24"/>
                <w:szCs w:val="24"/>
                <w:highlight w:val="none"/>
              </w:rPr>
              <w:t>杭州银行丰潭支行</w:t>
            </w:r>
          </w:p>
          <w:p w14:paraId="3F0819DB">
            <w:pPr>
              <w:pStyle w:val="6"/>
              <w:spacing w:line="360" w:lineRule="auto"/>
              <w:ind w:firstLine="480" w:firstLineChars="200"/>
              <w:rPr>
                <w:rFonts w:hAnsi="宋体" w:cs="宋体"/>
                <w:color w:val="auto"/>
                <w:kern w:val="0"/>
                <w:sz w:val="24"/>
                <w:highlight w:val="none"/>
                <w:lang w:val="en"/>
              </w:rPr>
            </w:pPr>
            <w:r>
              <w:rPr>
                <w:rFonts w:hint="eastAsia" w:cs="Times New Roman" w:asciiTheme="minorEastAsia" w:hAnsiTheme="minorEastAsia" w:eastAsiaTheme="minorEastAsia"/>
                <w:color w:val="auto"/>
                <w:kern w:val="28"/>
                <w:sz w:val="24"/>
                <w:szCs w:val="24"/>
                <w:highlight w:val="none"/>
              </w:rPr>
              <w:t>账</w:t>
            </w:r>
            <w:r>
              <w:rPr>
                <w:rFonts w:cs="Times New Roman" w:asciiTheme="minorEastAsia" w:hAnsiTheme="minorEastAsia" w:eastAsiaTheme="minorEastAsia"/>
                <w:color w:val="auto"/>
                <w:kern w:val="28"/>
                <w:sz w:val="24"/>
                <w:szCs w:val="24"/>
                <w:highlight w:val="none"/>
              </w:rPr>
              <w:t xml:space="preserve"> </w:t>
            </w:r>
            <w:r>
              <w:rPr>
                <w:rFonts w:hint="eastAsia" w:cs="Times New Roman" w:asciiTheme="minorEastAsia" w:hAnsiTheme="minorEastAsia" w:eastAsiaTheme="minorEastAsia"/>
                <w:color w:val="auto"/>
                <w:kern w:val="28"/>
                <w:sz w:val="24"/>
                <w:szCs w:val="24"/>
                <w:highlight w:val="none"/>
              </w:rPr>
              <w:t>号：</w:t>
            </w:r>
            <w:r>
              <w:rPr>
                <w:rFonts w:cs="Times New Roman" w:asciiTheme="minorEastAsia" w:hAnsiTheme="minorEastAsia" w:eastAsiaTheme="minorEastAsia"/>
                <w:color w:val="auto"/>
                <w:kern w:val="28"/>
                <w:sz w:val="24"/>
                <w:szCs w:val="24"/>
                <w:highlight w:val="none"/>
              </w:rPr>
              <w:t>3301040160017413256</w:t>
            </w:r>
          </w:p>
        </w:tc>
      </w:tr>
    </w:tbl>
    <w:p w14:paraId="10BF5BF2">
      <w:pPr>
        <w:snapToGrid w:val="0"/>
        <w:spacing w:line="360" w:lineRule="auto"/>
        <w:jc w:val="center"/>
        <w:rPr>
          <w:rFonts w:ascii="宋体" w:hAnsi="宋体" w:cs="宋体"/>
          <w:b/>
          <w:color w:val="auto"/>
          <w:sz w:val="32"/>
          <w:szCs w:val="20"/>
          <w:highlight w:val="none"/>
        </w:rPr>
      </w:pPr>
    </w:p>
    <w:bookmarkEnd w:id="10"/>
    <w:p w14:paraId="12363ECA">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5F7705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7DE370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66B22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621F6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84BE1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CB02A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55202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2EA03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F188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8FD71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D04C04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BBB54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F73532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50510A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443D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479FB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9854E1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43B44D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72F38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52FA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6AAEA4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EE3B6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CE482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88F0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56706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7FD3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033D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8B491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29775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9D9C6BB">
      <w:pPr>
        <w:pStyle w:val="8"/>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3.4.2 采购人应当贯彻落实知识产权保护相关法律法规，应当采购使用正版软件。</w:t>
      </w:r>
    </w:p>
    <w:p w14:paraId="3D65EF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BDB9B8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6B2DADD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03CBE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CC4392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7CFDF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87313BD">
      <w:pPr>
        <w:pStyle w:val="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24A3661">
      <w:pPr>
        <w:pStyle w:val="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83BB38">
      <w:pPr>
        <w:pStyle w:val="1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62B2C51">
      <w:pPr>
        <w:pStyle w:val="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E65B903">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686DEA7">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FCB7146">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822D0AC">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DD52360">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0439D57">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F8BAE44">
      <w:pPr>
        <w:pStyle w:val="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553FA3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18F436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8F8F9E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597202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DB2075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5A838A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655FE8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80CB97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F7B61B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2C515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E35775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EB31537">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0922F7E1">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5886B4C">
      <w:pPr>
        <w:pStyle w:val="889"/>
        <w:shd w:val="clear" w:color="auto" w:fill="FFFFFF"/>
        <w:snapToGrid w:val="0"/>
        <w:spacing w:after="240" w:afterAutospacing="0" w:line="360" w:lineRule="auto"/>
        <w:ind w:firstLine="400"/>
        <w:contextualSpacing/>
        <w:rPr>
          <w:color w:val="auto"/>
          <w:highlight w:val="none"/>
        </w:rPr>
      </w:pPr>
    </w:p>
    <w:p w14:paraId="19D0684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0C558A9">
      <w:pPr>
        <w:pStyle w:val="132"/>
        <w:snapToGrid w:val="0"/>
        <w:spacing w:before="0"/>
        <w:ind w:firstLine="360"/>
        <w:rPr>
          <w:rFonts w:ascii="宋体" w:hAnsi="宋体" w:cs="宋体"/>
          <w:color w:val="auto"/>
          <w:sz w:val="18"/>
          <w:szCs w:val="18"/>
          <w:highlight w:val="none"/>
        </w:rPr>
      </w:pPr>
    </w:p>
    <w:p w14:paraId="44DFEF8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BD2F3D6">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8BE570C">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AAB81E0">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0CEC920">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ABC3399">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57302EB">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B4693FA">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9BAEEF3">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0CE2F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3ACE745">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53257B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FDC4C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99BE86">
      <w:pPr>
        <w:pStyle w:val="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E6685D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F4F22A0">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BFDF6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3C2152D">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38DB571">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7B7722">
      <w:pPr>
        <w:pStyle w:val="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188FDE5">
      <w:pPr>
        <w:pStyle w:val="1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D8B1C71">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181887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38ACA8F">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F8CA2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E60B5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E52D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1B7FB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DE34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E2D3A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DB37B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A4407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975D1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7CEA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3B889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50D57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BE021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3629C7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1520B6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CDA11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43121C7">
      <w:pPr>
        <w:pStyle w:val="8"/>
        <w:snapToGrid w:val="0"/>
        <w:ind w:left="0" w:firstLine="960" w:firstLineChars="400"/>
        <w:rPr>
          <w:rFonts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 xml:space="preserve">11.3.2 </w:t>
      </w:r>
      <w:r>
        <w:rPr>
          <w:rFonts w:hint="eastAsia" w:ascii="宋体" w:hAnsi="宋体" w:eastAsia="宋体" w:cs="宋体"/>
          <w:b w:val="0"/>
          <w:bCs w:val="0"/>
          <w:color w:val="auto"/>
          <w:sz w:val="24"/>
          <w:highlight w:val="none"/>
        </w:rPr>
        <w:t>中小企业声明函。</w:t>
      </w:r>
    </w:p>
    <w:p w14:paraId="2D3A2EB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CDC4FE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95D752F">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6B95A2B6">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7C962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BBDF5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B3E1BD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9BD582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F85C29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1B3B8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C4384A1">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992BB3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5A061C7">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253D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FA963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F90DEA">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29BC21B">
      <w:pPr>
        <w:pStyle w:val="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5E5DDEB">
      <w:pPr>
        <w:pStyle w:val="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0DA116F">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2660BF3">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5DC60A2">
      <w:pPr>
        <w:pStyle w:val="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A46470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4B320CB">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047BEBF">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567EEB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3CD473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77A2FE2">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612153">
      <w:pPr>
        <w:pStyle w:val="132"/>
        <w:spacing w:before="0"/>
        <w:ind w:firstLine="653"/>
        <w:rPr>
          <w:rFonts w:ascii="宋体" w:hAnsi="宋体" w:cs="宋体"/>
          <w:b/>
          <w:color w:val="auto"/>
          <w:sz w:val="32"/>
          <w:highlight w:val="none"/>
        </w:rPr>
      </w:pPr>
    </w:p>
    <w:p w14:paraId="047DC5A3">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C4D33C2">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C3D71A7">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945FC2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003F4A7">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0E71FA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50BF1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5CB5DF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4AFEEA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16FEBB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1DB703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48143D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3742CAC">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C6F4B9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BE1810B">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D08D60">
      <w:pPr>
        <w:pStyle w:val="132"/>
        <w:spacing w:before="0"/>
        <w:ind w:firstLine="0" w:firstLineChars="0"/>
        <w:rPr>
          <w:rFonts w:ascii="宋体" w:hAnsi="宋体" w:cs="宋体"/>
          <w:color w:val="auto"/>
          <w:kern w:val="0"/>
          <w:szCs w:val="24"/>
          <w:highlight w:val="none"/>
        </w:rPr>
      </w:pPr>
    </w:p>
    <w:p w14:paraId="368178E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33155E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F1E57B2">
      <w:pPr>
        <w:spacing w:line="360" w:lineRule="auto"/>
        <w:rPr>
          <w:rFonts w:ascii="宋体" w:hAnsi="宋体" w:cs="宋体"/>
          <w:b/>
          <w:color w:val="auto"/>
          <w:sz w:val="24"/>
          <w:highlight w:val="none"/>
        </w:rPr>
      </w:pPr>
    </w:p>
    <w:p w14:paraId="4F9A41D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6AE2557">
      <w:pPr>
        <w:pStyle w:val="3"/>
        <w:spacing w:line="360" w:lineRule="auto"/>
        <w:ind w:left="487" w:hanging="479" w:hangingChars="199"/>
        <w:rPr>
          <w:rFonts w:cs="宋体"/>
          <w:b/>
          <w:color w:val="auto"/>
          <w:highlight w:val="none"/>
        </w:rPr>
      </w:pPr>
      <w:r>
        <w:rPr>
          <w:rFonts w:hint="eastAsia" w:cs="宋体"/>
          <w:b/>
          <w:color w:val="auto"/>
          <w:highlight w:val="none"/>
        </w:rPr>
        <w:t>22. 确定中标供应商</w:t>
      </w:r>
    </w:p>
    <w:p w14:paraId="1E46FB42">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3471C89">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0CA040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E47045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0EAEC9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7D38ADB">
      <w:pPr>
        <w:pStyle w:val="132"/>
        <w:snapToGrid w:val="0"/>
        <w:spacing w:before="0"/>
        <w:ind w:firstLine="489"/>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7ED51F79">
      <w:pPr>
        <w:pStyle w:val="81"/>
        <w:rPr>
          <w:color w:val="auto"/>
          <w:highlight w:val="none"/>
        </w:rPr>
      </w:pPr>
    </w:p>
    <w:p w14:paraId="242E88A5">
      <w:pPr>
        <w:snapToGrid w:val="0"/>
        <w:spacing w:line="360" w:lineRule="auto"/>
        <w:ind w:left="120" w:leftChars="57" w:firstLine="482" w:firstLineChars="150"/>
        <w:jc w:val="center"/>
        <w:rPr>
          <w:rFonts w:ascii="宋体" w:hAnsi="宋体" w:cs="宋体"/>
          <w:b/>
          <w:color w:val="auto"/>
          <w:sz w:val="32"/>
          <w:highlight w:val="none"/>
        </w:rPr>
      </w:pPr>
    </w:p>
    <w:p w14:paraId="2003C24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E3B07FC">
      <w:pPr>
        <w:pStyle w:val="3"/>
        <w:spacing w:line="360" w:lineRule="auto"/>
        <w:ind w:left="48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24639A3">
      <w:pPr>
        <w:pStyle w:val="3"/>
        <w:spacing w:line="360" w:lineRule="auto"/>
        <w:ind w:left="487" w:hanging="479" w:hangingChars="199"/>
        <w:rPr>
          <w:rFonts w:cs="宋体"/>
          <w:b/>
          <w:color w:val="auto"/>
          <w:highlight w:val="none"/>
        </w:rPr>
      </w:pPr>
      <w:r>
        <w:rPr>
          <w:rFonts w:hint="eastAsia" w:cs="宋体"/>
          <w:b/>
          <w:color w:val="auto"/>
          <w:highlight w:val="none"/>
        </w:rPr>
        <w:t>25. 合同的签订</w:t>
      </w:r>
    </w:p>
    <w:p w14:paraId="18646B7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441E461">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B32F59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98FBD9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A57C51D">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55D4839">
      <w:pPr>
        <w:pStyle w:val="3"/>
        <w:spacing w:line="360" w:lineRule="auto"/>
        <w:ind w:left="487" w:hanging="479" w:hangingChars="199"/>
        <w:rPr>
          <w:rFonts w:cs="宋体"/>
          <w:b/>
          <w:color w:val="auto"/>
          <w:highlight w:val="none"/>
        </w:rPr>
      </w:pPr>
      <w:r>
        <w:rPr>
          <w:rFonts w:hint="eastAsia" w:cs="宋体"/>
          <w:b/>
          <w:color w:val="auto"/>
          <w:highlight w:val="none"/>
        </w:rPr>
        <w:t>26. 履约保证金</w:t>
      </w:r>
    </w:p>
    <w:p w14:paraId="4AC88F2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F899BE7">
      <w:pPr>
        <w:pStyle w:val="8"/>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512302C">
      <w:pPr>
        <w:pStyle w:val="8"/>
        <w:rPr>
          <w:color w:val="auto"/>
          <w:highlight w:val="none"/>
        </w:rPr>
      </w:pPr>
      <w:r>
        <w:rPr>
          <w:rFonts w:ascii="宋体" w:hAnsi="宋体" w:eastAsia="宋体"/>
          <w:color w:val="auto"/>
          <w:sz w:val="24"/>
          <w:highlight w:val="none"/>
          <w:lang w:val="en-US"/>
        </w:rPr>
        <w:t>27.预付款</w:t>
      </w:r>
    </w:p>
    <w:p w14:paraId="4F630A91">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49160D99">
      <w:pPr>
        <w:rPr>
          <w:color w:val="auto"/>
          <w:highlight w:val="none"/>
        </w:rPr>
      </w:pPr>
    </w:p>
    <w:p w14:paraId="7A068BF6">
      <w:pPr>
        <w:snapToGrid w:val="0"/>
        <w:spacing w:line="360" w:lineRule="auto"/>
        <w:ind w:firstLine="3357" w:firstLineChars="1045"/>
        <w:rPr>
          <w:rFonts w:ascii="宋体" w:hAnsi="宋体" w:cs="宋体"/>
          <w:b/>
          <w:color w:val="auto"/>
          <w:sz w:val="32"/>
          <w:highlight w:val="none"/>
        </w:rPr>
      </w:pPr>
    </w:p>
    <w:p w14:paraId="14F89DA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19451AA">
      <w:pPr>
        <w:pStyle w:val="132"/>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37791B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ACEF4A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145E8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7A3BA4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C79983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3938475">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3E9320F">
      <w:pPr>
        <w:tabs>
          <w:tab w:val="left" w:pos="0"/>
        </w:tabs>
        <w:spacing w:line="360" w:lineRule="auto"/>
        <w:ind w:firstLine="480"/>
        <w:rPr>
          <w:rFonts w:ascii="宋体" w:hAnsi="宋体" w:cs="宋体"/>
          <w:color w:val="auto"/>
          <w:sz w:val="24"/>
          <w:highlight w:val="none"/>
        </w:rPr>
      </w:pPr>
    </w:p>
    <w:p w14:paraId="7DE1542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610DD34">
      <w:pPr>
        <w:pStyle w:val="3"/>
        <w:spacing w:line="360" w:lineRule="auto"/>
        <w:ind w:firstLine="0" w:firstLineChars="0"/>
        <w:rPr>
          <w:rFonts w:cs="宋体"/>
          <w:b/>
          <w:color w:val="auto"/>
          <w:highlight w:val="none"/>
        </w:rPr>
      </w:pPr>
      <w:r>
        <w:rPr>
          <w:rFonts w:hint="eastAsia" w:cs="宋体"/>
          <w:b/>
          <w:color w:val="auto"/>
          <w:highlight w:val="none"/>
        </w:rPr>
        <w:t>30.验收</w:t>
      </w:r>
    </w:p>
    <w:p w14:paraId="5959F05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BF865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65335B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CA543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B6032A">
      <w:pPr>
        <w:pStyle w:val="8"/>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9ACEA95">
      <w:pPr>
        <w:pStyle w:val="81"/>
        <w:rPr>
          <w:color w:val="auto"/>
          <w:highlight w:val="none"/>
        </w:rPr>
      </w:pPr>
    </w:p>
    <w:bookmarkEnd w:id="13"/>
    <w:p w14:paraId="03251C5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057669"/>
      <w:bookmarkEnd w:id="16"/>
      <w:bookmarkStart w:id="17" w:name="_Hlt68072998"/>
      <w:bookmarkEnd w:id="17"/>
      <w:bookmarkStart w:id="18" w:name="_Hlt68073093"/>
      <w:bookmarkEnd w:id="18"/>
      <w:bookmarkStart w:id="19" w:name="_Hlt68072990"/>
      <w:bookmarkEnd w:id="19"/>
      <w:bookmarkStart w:id="20" w:name="_Hlt74729768"/>
      <w:bookmarkEnd w:id="20"/>
      <w:bookmarkStart w:id="21" w:name="_Hlt74707468"/>
      <w:bookmarkEnd w:id="21"/>
      <w:bookmarkStart w:id="22" w:name="_Hlt68403820"/>
      <w:bookmarkEnd w:id="22"/>
      <w:bookmarkStart w:id="23" w:name="_Hlt75236011"/>
      <w:bookmarkEnd w:id="23"/>
      <w:bookmarkStart w:id="24" w:name="_Hlt74714665"/>
      <w:bookmarkEnd w:id="24"/>
      <w:bookmarkStart w:id="25" w:name="_Hlt74730295"/>
      <w:bookmarkEnd w:id="25"/>
      <w:bookmarkStart w:id="26" w:name="_Hlt75236101"/>
      <w:bookmarkEnd w:id="26"/>
    </w:p>
    <w:bookmarkEnd w:id="11"/>
    <w:bookmarkEnd w:id="12"/>
    <w:p w14:paraId="3F861EF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4B00860">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建设背景</w:t>
      </w:r>
    </w:p>
    <w:p w14:paraId="13417AF3">
      <w:pPr>
        <w:pStyle w:val="259"/>
        <w:ind w:firstLine="480"/>
        <w:outlineLvl w:val="1"/>
        <w:rPr>
          <w:rFonts w:ascii="宋体" w:hAnsi="宋体" w:eastAsia="宋体" w:cs="宋体"/>
          <w:color w:val="auto"/>
          <w:highlight w:val="none"/>
        </w:rPr>
      </w:pPr>
      <w:r>
        <w:rPr>
          <w:rFonts w:hint="eastAsia" w:ascii="宋体" w:hAnsi="宋体" w:eastAsia="宋体" w:cs="宋体"/>
          <w:color w:val="auto"/>
          <w:highlight w:val="none"/>
        </w:rPr>
        <w:t>按照杭州市发展和改革委员会深化信创（2025年）替代计划和目标，本项目主要包括“数智发改”主平台迁移和协同办公（OA）系统的迁移，按照六统一的要求完成统一数据资源集成、统一系统管理子系统改造和经济监测平台、价格监测预警协同办公（OA）系统综合集成。通过对杭州市发改委内的政务信息化系统进行国产化迁移改造和功能升级，推动政务信息资源的整合、共享和开放，落实党政机关信创应用和相关管理制度体系、标准体系要求。</w:t>
      </w:r>
    </w:p>
    <w:p w14:paraId="3E9EB74D">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建设原则</w:t>
      </w:r>
    </w:p>
    <w:p w14:paraId="36F40865">
      <w:pPr>
        <w:numPr>
          <w:ilvl w:val="0"/>
          <w:numId w:val="2"/>
        </w:num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实用性原则</w:t>
      </w:r>
    </w:p>
    <w:p w14:paraId="645D499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立足于当下较为突出的综合决策需求为突破口，实现自动监测、研判，转变政府职能工作方式，提高工作效率。</w:t>
      </w:r>
    </w:p>
    <w:p w14:paraId="023C6B88">
      <w:pPr>
        <w:numPr>
          <w:ilvl w:val="0"/>
          <w:numId w:val="2"/>
        </w:num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扩展性原则</w:t>
      </w:r>
    </w:p>
    <w:p w14:paraId="77BCB63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为适应系统业务自身发展的需要，系统的设计要充分考虑业务变化对系统应用产生的动态变化因素，通过应用现代信息技术，充分保障系统的可扩展性，以适应系统应用需求的变化，支持迭代开发。</w:t>
      </w:r>
    </w:p>
    <w:p w14:paraId="2E7EC049">
      <w:pPr>
        <w:numPr>
          <w:ilvl w:val="0"/>
          <w:numId w:val="2"/>
        </w:num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标准和规范化原则</w:t>
      </w:r>
    </w:p>
    <w:p w14:paraId="112F4BB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严格遵循国家、省电子政务有关法律法规和技术规范的要求，从业务、技术、运行管理等方面对项目的整体建设和实施进行设计，充分体现标准化和规范化。</w:t>
      </w:r>
    </w:p>
    <w:p w14:paraId="3883CF3C">
      <w:pPr>
        <w:numPr>
          <w:ilvl w:val="0"/>
          <w:numId w:val="2"/>
        </w:num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兼容性原则</w:t>
      </w:r>
    </w:p>
    <w:p w14:paraId="6BF8E7D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信创</w:t>
      </w:r>
      <w:r>
        <w:rPr>
          <w:rFonts w:hint="eastAsia" w:asciiTheme="minorEastAsia" w:hAnsiTheme="minorEastAsia" w:cstheme="minorEastAsia"/>
          <w:color w:val="auto"/>
          <w:sz w:val="24"/>
          <w:highlight w:val="none"/>
        </w:rPr>
        <w:t>迁移</w:t>
      </w:r>
      <w:r>
        <w:rPr>
          <w:rFonts w:hint="eastAsia" w:asciiTheme="minorEastAsia" w:hAnsiTheme="minorEastAsia" w:eastAsiaTheme="minorEastAsia" w:cstheme="minorEastAsia"/>
          <w:color w:val="auto"/>
          <w:sz w:val="24"/>
          <w:highlight w:val="none"/>
        </w:rPr>
        <w:t>改造后的系统需兼顾多种信创操作系统。</w:t>
      </w:r>
    </w:p>
    <w:p w14:paraId="28ACF34E">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采购标的需执行的国家相关标准、行业标准、地方标准或者其他标准、规范等</w:t>
      </w:r>
    </w:p>
    <w:p w14:paraId="6D248B7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《中华人民共和国网络安全法》</w:t>
      </w:r>
    </w:p>
    <w:p w14:paraId="4E23B6B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《计算机软件测试规范》</w:t>
      </w:r>
    </w:p>
    <w:p w14:paraId="3B06EEC9">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《国务院关于印发政务信息资源共享管理暂行办法的通知》（国发〔2016〕51号）</w:t>
      </w:r>
    </w:p>
    <w:p w14:paraId="53B14520">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信息技术软件工程术语</w:t>
      </w: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（GB/T 11457-2006）</w:t>
      </w:r>
    </w:p>
    <w:p w14:paraId="0D88CD00">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政务信息资源交换体系</w:t>
      </w: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（GB/T 21062-2007）</w:t>
      </w:r>
    </w:p>
    <w:p w14:paraId="18E4291D">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计算机软件文档编制规范</w:t>
      </w: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（GB/T 8567-2006）</w:t>
      </w:r>
    </w:p>
    <w:p w14:paraId="6766E0D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计算机软件可靠性和可维护性管理</w:t>
      </w: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（GB/T 14394-2008）</w:t>
      </w:r>
    </w:p>
    <w:p w14:paraId="6E3CB759">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信息技术 安全技术 信息及安全性评估准则</w:t>
      </w: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（计算机信息系统安全保护等级划分标准）（GB 17859-1999）</w:t>
      </w:r>
    </w:p>
    <w:p w14:paraId="459F5A1F">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信息安全技术网络安全等级保护基本要求</w:t>
      </w: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（GB/T 22239-2019）</w:t>
      </w:r>
    </w:p>
    <w:p w14:paraId="22A227B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信息安全技术网络安全等级保护评测要求</w:t>
      </w:r>
      <w:r>
        <w:rPr>
          <w:rFonts w:hint="eastAsia" w:cs="仿宋" w:asciiTheme="minorEastAsia" w:hAnsiTheme="minorEastAsia"/>
          <w:color w:val="auto"/>
          <w:sz w:val="24"/>
          <w:highlight w:val="none"/>
        </w:rPr>
        <w:t>》</w:t>
      </w:r>
      <w:r>
        <w:rPr>
          <w:rFonts w:cs="仿宋" w:asciiTheme="minorEastAsia" w:hAnsiTheme="minorEastAsia"/>
          <w:color w:val="auto"/>
          <w:sz w:val="24"/>
          <w:highlight w:val="none"/>
        </w:rPr>
        <w:t>（GB/T 28448-2019）</w:t>
      </w:r>
    </w:p>
    <w:p w14:paraId="0F8E3B39">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《计算机软件开发规范》（GB8566-88）</w:t>
      </w:r>
    </w:p>
    <w:p w14:paraId="0A92B420">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《计算机软件产品开发文件编制指南》（GB 8567-88）</w:t>
      </w:r>
    </w:p>
    <w:p w14:paraId="79FC212D">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《软件工程术语》（GB/T 11457—89）</w:t>
      </w:r>
    </w:p>
    <w:p w14:paraId="488AAA41">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《计算机软件配置管理计划规范》（GB/T 12260-90）</w:t>
      </w:r>
    </w:p>
    <w:p w14:paraId="46F6119D">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《计算机软件质量保证计划规范》（GB/T 12504-90）</w:t>
      </w:r>
    </w:p>
    <w:p w14:paraId="14E9BC6B">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《软件维护指南》（GB/T 14079-93）</w:t>
      </w:r>
    </w:p>
    <w:p w14:paraId="1D061C79">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《计算机软件可靠性和可维护性管理》（GB/T 14394-93）</w:t>
      </w:r>
    </w:p>
    <w:p w14:paraId="7C8CC436">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《政务信息资源交换体系》（GB/T 21062-2007）</w:t>
      </w:r>
    </w:p>
    <w:p w14:paraId="0F8314FC">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《电子政务系统总体设计要求》（GB/T 21064-2007）</w:t>
      </w:r>
    </w:p>
    <w:p w14:paraId="4DC74473">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如有新的标准及规范，按最新的标准及规范执行。</w:t>
      </w:r>
    </w:p>
    <w:p w14:paraId="6D13F12C">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建设内容</w:t>
      </w:r>
    </w:p>
    <w:p w14:paraId="340D5725">
      <w:pPr>
        <w:pStyle w:val="10"/>
        <w:ind w:left="480" w:firstLine="0"/>
        <w:rPr>
          <w:rFonts w:hAnsi="宋体" w:cs="宋体"/>
          <w:snapToGrid/>
          <w:color w:val="auto"/>
          <w:kern w:val="2"/>
          <w:sz w:val="24"/>
          <w:szCs w:val="24"/>
          <w:highlight w:val="none"/>
        </w:rPr>
      </w:pPr>
      <w:r>
        <w:rPr>
          <w:rFonts w:hint="eastAsia" w:hAnsi="宋体" w:cs="宋体"/>
          <w:b/>
          <w:bCs/>
          <w:snapToGrid/>
          <w:color w:val="auto"/>
          <w:kern w:val="2"/>
          <w:sz w:val="24"/>
          <w:szCs w:val="24"/>
          <w:highlight w:val="none"/>
        </w:rPr>
        <w:t>1、“数智发改”主平台迁移</w:t>
      </w:r>
    </w:p>
    <w:p w14:paraId="2C62D301">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根据市信创办和数管局一单位一平台和六统一的相关要求，需要业务子系统在算力信创云的政务云区，从而实现统一管控。</w:t>
      </w:r>
    </w:p>
    <w:p w14:paraId="51CF6566">
      <w:pPr>
        <w:pStyle w:val="10"/>
        <w:ind w:firstLine="480"/>
        <w:rPr>
          <w:rFonts w:hint="eastAsia" w:hAnsi="宋体" w:cs="宋体"/>
          <w:snapToGrid/>
          <w:color w:val="auto"/>
          <w:kern w:val="2"/>
          <w:sz w:val="24"/>
          <w:szCs w:val="24"/>
          <w:highlight w:val="none"/>
        </w:rPr>
      </w:pPr>
      <w:r>
        <w:rPr>
          <w:rFonts w:hint="eastAsia" w:hAnsi="宋体" w:cs="宋体"/>
          <w:snapToGrid/>
          <w:color w:val="auto"/>
          <w:kern w:val="2"/>
          <w:sz w:val="24"/>
          <w:szCs w:val="24"/>
          <w:highlight w:val="none"/>
        </w:rPr>
        <w:t>迁移一体化管理平台、数智发改综合门户、杭州市开发区（园区）高质量发展统计系统、杭州市高技术产业项目管理系统、规划课题管理系统、数据资源管理、人事管理一件事系统、政策文件管理系统、夜间经济监测、企业态势感知系统、组件工具管理、指标工具管理系统、小发工具、杭州市重点项目融资贷款管理系统、杭州市国家营商环境创新试点系统和营商环境门户（数字政府门户）、城市大脑2.0“数智营商”主场景等业务系统迁移至统一的信创资源中，</w:t>
      </w:r>
      <w:r>
        <w:rPr>
          <w:rFonts w:hint="eastAsia" w:ascii="宋体" w:hAnsi="宋体" w:eastAsia="宋体" w:cs="宋体"/>
          <w:kern w:val="2"/>
          <w:sz w:val="24"/>
          <w:szCs w:val="24"/>
          <w:lang w:val="en-US" w:eastAsia="zh-CN" w:bidi="ar"/>
        </w:rPr>
        <w:t>具体适配改造的内容包括：</w:t>
      </w:r>
    </w:p>
    <w:p w14:paraId="21EFC2A0">
      <w:pPr>
        <w:pStyle w:val="10"/>
        <w:numPr>
          <w:ilvl w:val="0"/>
          <w:numId w:val="3"/>
        </w:numPr>
        <w:ind w:firstLine="480"/>
        <w:rPr>
          <w:rFonts w:hint="eastAsia" w:ascii="宋体" w:hAnsi="宋体" w:eastAsia="宋体" w:cs="宋体"/>
          <w:kern w:val="2"/>
          <w:sz w:val="24"/>
          <w:szCs w:val="24"/>
          <w:lang w:val="en-US" w:eastAsia="zh-CN" w:bidi="ar"/>
        </w:rPr>
      </w:pPr>
      <w:r>
        <w:rPr>
          <w:rFonts w:hint="eastAsia" w:hAnsi="宋体" w:cs="宋体"/>
          <w:color w:val="auto"/>
          <w:kern w:val="0"/>
          <w:sz w:val="24"/>
          <w:highlight w:val="none"/>
          <w:lang w:bidi="ar"/>
        </w:rPr>
        <w:t>后端程序适配</w:t>
      </w:r>
      <w:r>
        <w:rPr>
          <w:rFonts w:hint="eastAsia" w:ascii="宋体" w:hAnsi="宋体" w:eastAsia="宋体" w:cs="宋体"/>
          <w:kern w:val="2"/>
          <w:sz w:val="24"/>
          <w:szCs w:val="24"/>
          <w:lang w:val="en-US" w:eastAsia="zh-CN" w:bidi="ar"/>
        </w:rPr>
        <w:t>。实现“数智发改”主平台系统后端程序适配改造。针对系统的所有功能点，以及直接访问数据库的应用，配合进行应用改造和迁移。</w:t>
      </w:r>
    </w:p>
    <w:p w14:paraId="4230FD18">
      <w:pPr>
        <w:pStyle w:val="10"/>
        <w:numPr>
          <w:ilvl w:val="0"/>
          <w:numId w:val="3"/>
        </w:numPr>
        <w:ind w:left="0" w:leftChars="0" w:firstLine="480" w:firstLineChars="0"/>
        <w:rPr>
          <w:rFonts w:hint="eastAsia" w:hAnsi="宋体" w:cs="宋体"/>
          <w:color w:val="auto"/>
          <w:kern w:val="0"/>
          <w:sz w:val="24"/>
          <w:highlight w:val="none"/>
          <w:lang w:bidi="ar"/>
        </w:rPr>
      </w:pPr>
      <w:r>
        <w:rPr>
          <w:rFonts w:hint="eastAsia" w:hAnsi="宋体" w:cs="宋体"/>
          <w:color w:val="auto"/>
          <w:kern w:val="0"/>
          <w:sz w:val="24"/>
          <w:highlight w:val="none"/>
          <w:lang w:bidi="ar"/>
        </w:rPr>
        <w:t>接口服务改造</w:t>
      </w:r>
      <w:r>
        <w:rPr>
          <w:rFonts w:hint="eastAsia" w:hAnsi="宋体" w:cs="宋体"/>
          <w:color w:val="auto"/>
          <w:kern w:val="0"/>
          <w:sz w:val="24"/>
          <w:highlight w:val="none"/>
          <w:lang w:eastAsia="zh-CN" w:bidi="ar"/>
        </w:rPr>
        <w:t>。完成“数智发改”主平台系统数据流发生变化导致的接口适配改造。</w:t>
      </w:r>
    </w:p>
    <w:p w14:paraId="2EC87185">
      <w:pPr>
        <w:pStyle w:val="10"/>
        <w:numPr>
          <w:ilvl w:val="0"/>
          <w:numId w:val="3"/>
        </w:numPr>
        <w:ind w:left="0" w:leftChars="0" w:firstLine="480" w:firstLineChars="0"/>
        <w:rPr>
          <w:rFonts w:hint="eastAsia" w:hAnsi="宋体" w:cs="宋体"/>
          <w:color w:val="auto"/>
          <w:kern w:val="0"/>
          <w:sz w:val="24"/>
          <w:highlight w:val="none"/>
          <w:lang w:bidi="ar"/>
        </w:rPr>
      </w:pPr>
      <w:r>
        <w:rPr>
          <w:rFonts w:hint="eastAsia" w:hAnsi="宋体" w:cs="宋体"/>
          <w:color w:val="auto"/>
          <w:kern w:val="0"/>
          <w:sz w:val="24"/>
          <w:highlight w:val="none"/>
          <w:lang w:bidi="ar"/>
        </w:rPr>
        <w:t>数据库服务改造</w:t>
      </w:r>
      <w:r>
        <w:rPr>
          <w:rFonts w:hint="eastAsia" w:hAnsi="宋体" w:cs="宋体"/>
          <w:color w:val="auto"/>
          <w:kern w:val="0"/>
          <w:sz w:val="24"/>
          <w:highlight w:val="none"/>
          <w:lang w:eastAsia="zh-CN" w:bidi="ar"/>
        </w:rPr>
        <w:t>。</w:t>
      </w:r>
      <w:r>
        <w:rPr>
          <w:rFonts w:hint="eastAsia" w:ascii="宋体" w:hAnsi="宋体" w:eastAsia="宋体" w:cs="宋体"/>
          <w:kern w:val="2"/>
          <w:sz w:val="24"/>
          <w:szCs w:val="24"/>
          <w:lang w:val="en-US" w:eastAsia="zh-CN" w:bidi="ar"/>
        </w:rPr>
        <w:t>根据国产数据库的特点，对软件的核心存储过程、视图、程序中所使用的SQL语句进行适配性设计。</w:t>
      </w:r>
    </w:p>
    <w:p w14:paraId="26FADDAB">
      <w:pPr>
        <w:pStyle w:val="10"/>
        <w:numPr>
          <w:ilvl w:val="0"/>
          <w:numId w:val="3"/>
        </w:numPr>
        <w:ind w:left="0" w:leftChars="0" w:firstLine="480" w:firstLineChars="0"/>
        <w:rPr>
          <w:rFonts w:hint="eastAsia" w:hAnsi="宋体" w:cs="宋体"/>
          <w:color w:val="auto"/>
          <w:kern w:val="0"/>
          <w:sz w:val="24"/>
          <w:highlight w:val="none"/>
          <w:lang w:bidi="ar"/>
        </w:rPr>
      </w:pPr>
      <w:r>
        <w:rPr>
          <w:rFonts w:hint="eastAsia" w:hAnsi="宋体" w:cs="宋体"/>
          <w:color w:val="auto"/>
          <w:kern w:val="0"/>
          <w:sz w:val="24"/>
          <w:highlight w:val="none"/>
          <w:lang w:bidi="ar"/>
        </w:rPr>
        <w:t>中间件适配改造</w:t>
      </w:r>
      <w:r>
        <w:rPr>
          <w:rFonts w:hint="eastAsia" w:ascii="宋体" w:hAnsi="宋体" w:eastAsia="宋体" w:cs="宋体"/>
          <w:kern w:val="2"/>
          <w:sz w:val="24"/>
          <w:szCs w:val="24"/>
          <w:lang w:val="en-US" w:eastAsia="zh-CN" w:bidi="ar"/>
        </w:rPr>
        <w:t>。完成“数智发改”主平台系统的中间件适配改造。</w:t>
      </w:r>
    </w:p>
    <w:p w14:paraId="6D941C37">
      <w:pPr>
        <w:pStyle w:val="10"/>
        <w:numPr>
          <w:ilvl w:val="0"/>
          <w:numId w:val="3"/>
        </w:numPr>
        <w:ind w:left="0" w:leftChars="0" w:firstLine="480" w:firstLineChars="0"/>
        <w:rPr>
          <w:rFonts w:hint="eastAsia" w:hAnsi="宋体" w:cs="宋体"/>
          <w:color w:val="auto"/>
          <w:kern w:val="0"/>
          <w:sz w:val="24"/>
          <w:highlight w:val="none"/>
          <w:lang w:bidi="ar"/>
        </w:rPr>
      </w:pPr>
      <w:r>
        <w:rPr>
          <w:rFonts w:hint="eastAsia" w:hAnsi="宋体" w:cs="宋体"/>
          <w:color w:val="auto"/>
          <w:kern w:val="0"/>
          <w:sz w:val="24"/>
          <w:highlight w:val="none"/>
          <w:lang w:bidi="ar"/>
        </w:rPr>
        <w:t>历史数据迁移</w:t>
      </w:r>
      <w:r>
        <w:rPr>
          <w:rFonts w:hint="eastAsia" w:hAnsi="宋体" w:cs="宋体"/>
          <w:color w:val="auto"/>
          <w:kern w:val="0"/>
          <w:sz w:val="24"/>
          <w:highlight w:val="none"/>
          <w:lang w:eastAsia="zh-CN" w:bidi="ar"/>
        </w:rPr>
        <w:t>。</w:t>
      </w:r>
      <w:r>
        <w:rPr>
          <w:rFonts w:hint="eastAsia" w:ascii="宋体" w:hAnsi="宋体" w:eastAsia="宋体" w:cs="宋体"/>
          <w:kern w:val="2"/>
          <w:sz w:val="24"/>
          <w:szCs w:val="24"/>
          <w:lang w:val="en-US" w:eastAsia="zh-CN" w:bidi="ar"/>
        </w:rPr>
        <w:t>完成“数智发改”主平台系统存量历史数据的迁移工作。</w:t>
      </w:r>
    </w:p>
    <w:p w14:paraId="24C5C48F">
      <w:pPr>
        <w:pStyle w:val="10"/>
        <w:numPr>
          <w:ilvl w:val="0"/>
          <w:numId w:val="3"/>
        </w:numPr>
        <w:ind w:left="0" w:leftChars="0" w:firstLine="480" w:firstLineChars="0"/>
        <w:rPr>
          <w:rFonts w:hAnsi="宋体" w:cs="宋体"/>
          <w:snapToGrid/>
          <w:color w:val="auto"/>
          <w:kern w:val="2"/>
          <w:sz w:val="24"/>
          <w:szCs w:val="24"/>
          <w:highlight w:val="none"/>
        </w:rPr>
      </w:pPr>
      <w:r>
        <w:rPr>
          <w:rFonts w:hint="eastAsia" w:hAnsi="宋体" w:cs="宋体"/>
          <w:color w:val="auto"/>
          <w:kern w:val="0"/>
          <w:sz w:val="24"/>
          <w:highlight w:val="none"/>
          <w:lang w:bidi="ar"/>
        </w:rPr>
        <w:t>云服务器迁移</w:t>
      </w:r>
      <w:r>
        <w:rPr>
          <w:rFonts w:hint="eastAsia" w:hAnsi="宋体" w:cs="宋体"/>
          <w:color w:val="auto"/>
          <w:kern w:val="0"/>
          <w:sz w:val="24"/>
          <w:highlight w:val="none"/>
          <w:lang w:eastAsia="zh-CN" w:bidi="ar"/>
        </w:rPr>
        <w:t>。</w:t>
      </w:r>
      <w:r>
        <w:rPr>
          <w:rFonts w:hint="eastAsia" w:ascii="宋体" w:hAnsi="宋体" w:eastAsia="宋体" w:cs="宋体"/>
          <w:kern w:val="2"/>
          <w:sz w:val="24"/>
          <w:szCs w:val="24"/>
          <w:lang w:val="en-US" w:eastAsia="zh-CN" w:bidi="ar"/>
        </w:rPr>
        <w:t>完成“数智发改”主平台系统的云服务器迁移。</w:t>
      </w:r>
    </w:p>
    <w:p w14:paraId="426513BB">
      <w:pPr>
        <w:pStyle w:val="10"/>
        <w:numPr>
          <w:numId w:val="0"/>
        </w:numPr>
        <w:ind w:firstLine="480" w:firstLineChars="200"/>
        <w:rPr>
          <w:rFonts w:hAnsi="宋体" w:cs="宋体"/>
          <w:snapToGrid/>
          <w:color w:val="auto"/>
          <w:kern w:val="2"/>
          <w:sz w:val="24"/>
          <w:szCs w:val="24"/>
          <w:highlight w:val="none"/>
        </w:rPr>
      </w:pPr>
      <w:r>
        <w:rPr>
          <w:rFonts w:hint="eastAsia" w:hAnsi="宋体" w:cs="宋体"/>
          <w:snapToGrid/>
          <w:color w:val="auto"/>
          <w:kern w:val="2"/>
          <w:sz w:val="24"/>
          <w:szCs w:val="24"/>
          <w:highlight w:val="none"/>
        </w:rPr>
        <w:t>满足一单位一平台“六统一”技术规范要求，保证系统功能应用完整，兼容国产电脑端和国产浏览器，持续为市区两级部门以及企业提供服务。</w:t>
      </w:r>
    </w:p>
    <w:p w14:paraId="2DDD297F">
      <w:pPr>
        <w:pStyle w:val="10"/>
        <w:ind w:left="480" w:firstLine="0"/>
        <w:rPr>
          <w:rFonts w:hAnsi="宋体" w:cs="宋体"/>
          <w:snapToGrid/>
          <w:color w:val="auto"/>
          <w:kern w:val="2"/>
          <w:sz w:val="24"/>
          <w:szCs w:val="24"/>
          <w:highlight w:val="none"/>
        </w:rPr>
      </w:pPr>
      <w:r>
        <w:rPr>
          <w:rFonts w:hint="eastAsia" w:hAnsi="宋体" w:cs="宋体"/>
          <w:b/>
          <w:bCs/>
          <w:snapToGrid/>
          <w:color w:val="auto"/>
          <w:kern w:val="2"/>
          <w:sz w:val="24"/>
          <w:szCs w:val="24"/>
          <w:highlight w:val="none"/>
        </w:rPr>
        <w:t>2、协同办公（OA）系统迁移</w:t>
      </w:r>
    </w:p>
    <w:p w14:paraId="75EA1702">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根据市信创办和数管局一单位一平台和六统一的相关要求，本次需要将OA系统迁移至算力信创云的政务云专区，从而实现统一管控。</w:t>
      </w:r>
    </w:p>
    <w:p w14:paraId="45D93D38">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包括迁移办公助理、公文管理、信息资源、会议管理、内部管理、督察督办、任务管理、浙政钉移动端等模块，保证系统功能应用能正常使用，持续为杭州市发展和改革委员会（含下属单位）工作人员提供高效的内部办公服务。</w:t>
      </w:r>
    </w:p>
    <w:p w14:paraId="65922493">
      <w:pPr>
        <w:pStyle w:val="10"/>
        <w:ind w:left="480" w:firstLine="0"/>
        <w:rPr>
          <w:rFonts w:hAnsi="宋体" w:cs="宋体"/>
          <w:b/>
          <w:bCs/>
          <w:snapToGrid/>
          <w:color w:val="auto"/>
          <w:kern w:val="2"/>
          <w:sz w:val="24"/>
          <w:szCs w:val="24"/>
          <w:highlight w:val="none"/>
        </w:rPr>
      </w:pPr>
      <w:r>
        <w:rPr>
          <w:rFonts w:hint="eastAsia" w:hAnsi="宋体" w:cs="宋体"/>
          <w:b/>
          <w:bCs/>
          <w:snapToGrid/>
          <w:color w:val="auto"/>
          <w:kern w:val="2"/>
          <w:sz w:val="24"/>
          <w:szCs w:val="24"/>
          <w:highlight w:val="none"/>
        </w:rPr>
        <w:t>3、统一数据资源集成体系改造</w:t>
      </w:r>
    </w:p>
    <w:p w14:paraId="74E8AC3E">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基于已有的业务系统构建数据资源集成体系。汇聚发改委已有的业务子系统数据，统一接入一体化数字资源系统IRS中外单位数据，形成统一的数据资源集中调度体系，制定数据标准，形成统一的接口调用规范，监控数据质量。将数据、政策、报告等标签化治理后，提供人性化的一窗集成查询能力。</w:t>
      </w:r>
    </w:p>
    <w:p w14:paraId="7F78CA85">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（1）数据资源集成，结合统一管理子系统中的数据资源管理模块，形成完善的数据调用机制，统一接入IRS中外单位数据，提供委内其他子应用使用。</w:t>
      </w:r>
    </w:p>
    <w:p w14:paraId="12509B5D">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（2）数据集中调度，对集成的数据资源提供调度注册、调度申请、调度审批等功能。</w:t>
      </w:r>
    </w:p>
    <w:p w14:paraId="05D33F57">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（3）数据标准管理，数据标准定义、词根管理、标准值管理。</w:t>
      </w:r>
    </w:p>
    <w:p w14:paraId="6C422627">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（4）数据资源治理优化，政策治理、报告文件治理、数据资源治理。</w:t>
      </w:r>
    </w:p>
    <w:p w14:paraId="262C4E02">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（5）统一数据质量管理，质量规则管理、质量任务建立及执行。</w:t>
      </w:r>
    </w:p>
    <w:p w14:paraId="76D0C3F7">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（6）数据定时任务管理，离线任务管理、任务定时调度、任务实例管理。</w:t>
      </w:r>
    </w:p>
    <w:p w14:paraId="378545CA">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（7）一窗查询，数据一窗查询、政策一窗查询、报告一窗查询</w:t>
      </w:r>
    </w:p>
    <w:p w14:paraId="27A32EB4">
      <w:pPr>
        <w:pStyle w:val="10"/>
        <w:ind w:left="480" w:firstLine="0"/>
        <w:rPr>
          <w:rFonts w:hAnsi="宋体" w:cs="宋体"/>
          <w:b/>
          <w:bCs/>
          <w:snapToGrid/>
          <w:color w:val="auto"/>
          <w:kern w:val="2"/>
          <w:sz w:val="24"/>
          <w:szCs w:val="24"/>
          <w:highlight w:val="none"/>
        </w:rPr>
      </w:pPr>
      <w:r>
        <w:rPr>
          <w:rFonts w:hint="eastAsia" w:hAnsi="宋体" w:cs="宋体"/>
          <w:b/>
          <w:bCs/>
          <w:snapToGrid/>
          <w:color w:val="auto"/>
          <w:kern w:val="2"/>
          <w:sz w:val="24"/>
          <w:szCs w:val="24"/>
          <w:highlight w:val="none"/>
        </w:rPr>
        <w:t>4、统一系统管理子系统改造</w:t>
      </w:r>
    </w:p>
    <w:p w14:paraId="53821CB0">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根据市信创办和数管局一单位一平台和六统一的相关要求，通过对任务、需求、资源和安全台账统一管理，以实现数智发改六统一任务要求。</w:t>
      </w:r>
    </w:p>
    <w:p w14:paraId="0CD3C518">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（1）统一任务管理，任务下发、任务进度监控、任务执行反馈、任务统计。</w:t>
      </w:r>
    </w:p>
    <w:p w14:paraId="6333AD5D">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（2）统一需求管理拓展，容灾安全备份、安全账号开通申请。</w:t>
      </w:r>
    </w:p>
    <w:p w14:paraId="58DC3410">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（3）统一资源台账，云资源管理、技术应用组件管理、数据资源台账管理。</w:t>
      </w:r>
    </w:p>
    <w:p w14:paraId="1836CE74">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（4）统一安全台账，安全台账登记、安全到期预警、安全台账统计。</w:t>
      </w:r>
    </w:p>
    <w:p w14:paraId="00295756">
      <w:pPr>
        <w:pStyle w:val="10"/>
        <w:ind w:left="480" w:firstLine="0"/>
        <w:rPr>
          <w:rFonts w:hAnsi="宋体" w:cs="宋体"/>
          <w:b/>
          <w:bCs/>
          <w:snapToGrid/>
          <w:color w:val="auto"/>
          <w:kern w:val="2"/>
          <w:sz w:val="24"/>
          <w:szCs w:val="24"/>
          <w:highlight w:val="none"/>
        </w:rPr>
      </w:pPr>
      <w:r>
        <w:rPr>
          <w:rFonts w:hint="eastAsia" w:hAnsi="宋体" w:cs="宋体"/>
          <w:b/>
          <w:bCs/>
          <w:snapToGrid/>
          <w:color w:val="auto"/>
          <w:kern w:val="2"/>
          <w:sz w:val="24"/>
          <w:szCs w:val="24"/>
          <w:highlight w:val="none"/>
        </w:rPr>
        <w:t>5、综合集成</w:t>
      </w:r>
    </w:p>
    <w:p w14:paraId="215480CF">
      <w:pPr>
        <w:pStyle w:val="10"/>
        <w:ind w:firstLine="480"/>
        <w:rPr>
          <w:rFonts w:hAnsi="宋体" w:cs="宋体"/>
          <w:snapToGrid/>
          <w:color w:val="auto"/>
          <w:kern w:val="2"/>
          <w:sz w:val="24"/>
          <w:szCs w:val="24"/>
          <w:highlight w:val="none"/>
        </w:rPr>
      </w:pPr>
      <w:r>
        <w:rPr>
          <w:rFonts w:hint="eastAsia" w:hAnsi="宋体" w:cs="宋体"/>
          <w:snapToGrid/>
          <w:color w:val="auto"/>
          <w:kern w:val="2"/>
          <w:sz w:val="24"/>
          <w:szCs w:val="24"/>
          <w:highlight w:val="none"/>
        </w:rPr>
        <w:t>根据市信创办和数管局一单位一平台和六统一的相关要求，将价格监测预警系统、经济监测平台、协同办公（OA）系统（以下简称子应用）统一集成到杭州市“数智发改”综合系统中去。并对子应用按照统一门户集成、统一用户管理、统一授权管理、统一接入管理、统一资源管理的相关要求进行集成。</w:t>
      </w:r>
    </w:p>
    <w:p w14:paraId="54700C52">
      <w:pPr>
        <w:pStyle w:val="259"/>
        <w:numPr>
          <w:ilvl w:val="0"/>
          <w:numId w:val="1"/>
        </w:numPr>
        <w:snapToGrid w:val="0"/>
        <w:spacing w:before="240" w:beforeLines="100"/>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建设要求</w:t>
      </w:r>
    </w:p>
    <w:p w14:paraId="0F14EA0A">
      <w:pPr>
        <w:pStyle w:val="10"/>
        <w:spacing w:line="360" w:lineRule="auto"/>
        <w:ind w:firstLine="482"/>
        <w:rPr>
          <w:rFonts w:hAnsi="宋体" w:cs="宋体"/>
          <w:snapToGrid/>
          <w:color w:val="auto"/>
          <w:kern w:val="2"/>
          <w:sz w:val="24"/>
          <w:szCs w:val="24"/>
          <w:highlight w:val="none"/>
        </w:rPr>
      </w:pPr>
      <w:r>
        <w:rPr>
          <w:rFonts w:hint="eastAsia" w:hAnsi="宋体" w:cs="宋体"/>
          <w:snapToGrid/>
          <w:color w:val="auto"/>
          <w:kern w:val="2"/>
          <w:sz w:val="24"/>
          <w:szCs w:val="24"/>
          <w:highlight w:val="none"/>
        </w:rPr>
        <w:t>1.技术要求</w:t>
      </w:r>
    </w:p>
    <w:p w14:paraId="1EC070B6">
      <w:pPr>
        <w:pStyle w:val="10"/>
        <w:spacing w:line="360" w:lineRule="auto"/>
        <w:ind w:firstLine="482"/>
        <w:rPr>
          <w:rFonts w:hAnsi="宋体" w:cs="宋体"/>
          <w:snapToGrid/>
          <w:color w:val="auto"/>
          <w:kern w:val="2"/>
          <w:sz w:val="24"/>
          <w:szCs w:val="24"/>
          <w:highlight w:val="none"/>
        </w:rPr>
      </w:pPr>
      <w:r>
        <w:rPr>
          <w:rFonts w:hint="eastAsia" w:hAnsi="宋体" w:cs="宋体"/>
          <w:snapToGrid/>
          <w:color w:val="auto"/>
          <w:kern w:val="2"/>
          <w:sz w:val="24"/>
          <w:szCs w:val="24"/>
          <w:highlight w:val="none"/>
        </w:rPr>
        <w:t>系统应统一使用市数据资源局“组织架构和用户体系”强制组件，实现用户“浙政钉”扫码登录，投标人需提供承诺函；</w:t>
      </w:r>
    </w:p>
    <w:p w14:paraId="6197F12A">
      <w:pPr>
        <w:pStyle w:val="10"/>
        <w:spacing w:line="360"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▲2.国产化适配要求</w:t>
      </w:r>
    </w:p>
    <w:p w14:paraId="1217BAA4">
      <w:pPr>
        <w:pStyle w:val="10"/>
        <w:spacing w:line="360"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涉及的所有模块全部按信创标准进行适配改造，包括原系统功能改造、适配信创数据库、服务器及操作系统等，系统部署在信创云平台，实现在信创软硬件环境下平稳运行。项目整体要符合信创要求，采用安全可靠的技术路线，投标人需提供承诺函。</w:t>
      </w:r>
    </w:p>
    <w:p w14:paraId="43DEBFE1">
      <w:pPr>
        <w:pStyle w:val="10"/>
        <w:spacing w:line="360" w:lineRule="auto"/>
        <w:ind w:firstLine="482"/>
        <w:rPr>
          <w:rFonts w:hAnsi="宋体" w:cs="宋体"/>
          <w:snapToGrid/>
          <w:color w:val="auto"/>
          <w:kern w:val="2"/>
          <w:sz w:val="24"/>
          <w:szCs w:val="24"/>
          <w:highlight w:val="none"/>
        </w:rPr>
      </w:pPr>
      <w:r>
        <w:rPr>
          <w:rFonts w:hint="eastAsia" w:hAnsi="宋体" w:cs="宋体"/>
          <w:snapToGrid/>
          <w:color w:val="auto"/>
          <w:kern w:val="2"/>
          <w:sz w:val="24"/>
          <w:szCs w:val="24"/>
          <w:highlight w:val="none"/>
        </w:rPr>
        <w:t>3.数据归集要求</w:t>
      </w:r>
    </w:p>
    <w:p w14:paraId="178C667A">
      <w:pPr>
        <w:pStyle w:val="10"/>
        <w:spacing w:line="360" w:lineRule="auto"/>
        <w:ind w:firstLine="482"/>
        <w:rPr>
          <w:rFonts w:hAnsi="宋体" w:cs="宋体"/>
          <w:snapToGrid/>
          <w:color w:val="auto"/>
          <w:kern w:val="2"/>
          <w:sz w:val="24"/>
          <w:szCs w:val="24"/>
          <w:highlight w:val="none"/>
        </w:rPr>
      </w:pPr>
      <w:r>
        <w:rPr>
          <w:rFonts w:hint="eastAsia" w:hAnsi="宋体" w:cs="宋体"/>
          <w:snapToGrid/>
          <w:color w:val="auto"/>
          <w:kern w:val="2"/>
          <w:sz w:val="24"/>
          <w:szCs w:val="24"/>
          <w:highlight w:val="none"/>
        </w:rPr>
        <w:t>按照省、市的相关标准要求，系统产生的数据应统一编目归集，投标人需提供承诺函。</w:t>
      </w:r>
    </w:p>
    <w:p w14:paraId="27858B97">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质量需求</w:t>
      </w:r>
    </w:p>
    <w:p w14:paraId="04E13A4F">
      <w:pPr>
        <w:pStyle w:val="259"/>
        <w:ind w:firstLine="480"/>
        <w:outlineLvl w:val="1"/>
        <w:rPr>
          <w:rFonts w:ascii="宋体" w:hAnsi="宋体" w:eastAsia="宋体" w:cs="宋体"/>
          <w:color w:val="auto"/>
          <w:highlight w:val="none"/>
        </w:rPr>
      </w:pPr>
      <w:r>
        <w:rPr>
          <w:rFonts w:hint="eastAsia" w:ascii="宋体" w:hAnsi="宋体" w:cs="仿宋"/>
          <w:color w:val="auto"/>
          <w:highlight w:val="none"/>
        </w:rPr>
        <w:t>▲</w:t>
      </w:r>
      <w:r>
        <w:rPr>
          <w:rFonts w:hint="eastAsia" w:ascii="宋体" w:hAnsi="宋体" w:eastAsia="宋体" w:cs="宋体"/>
          <w:color w:val="auto"/>
          <w:highlight w:val="none"/>
        </w:rPr>
        <w:t>系统上线前需通过有资质的第三方软件功能、性能测评，整体通过信创符合性测评。由此产生的第三方测评费用由中标单位承担，投标人需提供承诺函。</w:t>
      </w:r>
    </w:p>
    <w:p w14:paraId="23B84C3F">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安全需求</w:t>
      </w:r>
    </w:p>
    <w:p w14:paraId="36008302">
      <w:pPr>
        <w:pStyle w:val="4"/>
        <w:ind w:firstLine="482" w:firstLineChars="200"/>
        <w:rPr>
          <w:b/>
          <w:bCs/>
          <w:color w:val="auto"/>
          <w:highlight w:val="none"/>
        </w:rPr>
      </w:pPr>
      <w:r>
        <w:rPr>
          <w:rFonts w:hint="eastAsia"/>
          <w:b/>
          <w:bCs/>
          <w:color w:val="auto"/>
          <w:highlight w:val="none"/>
        </w:rPr>
        <w:t>1.数据安全保障</w:t>
      </w:r>
    </w:p>
    <w:p w14:paraId="09F95FAD">
      <w:pPr>
        <w:pStyle w:val="4"/>
        <w:ind w:firstLine="480" w:firstLineChars="200"/>
        <w:rPr>
          <w:rFonts w:hAnsi="宋体" w:cs="宋体"/>
          <w:color w:val="auto"/>
          <w:szCs w:val="24"/>
          <w:highlight w:val="none"/>
        </w:rPr>
      </w:pPr>
      <w:r>
        <w:rPr>
          <w:rFonts w:hint="eastAsia" w:hAnsi="宋体" w:cs="宋体"/>
          <w:color w:val="auto"/>
          <w:szCs w:val="24"/>
          <w:highlight w:val="none"/>
        </w:rPr>
        <w:t>依据GB/T22240《信息系统安全等级保护定级指南》，本系统的安全保护级别自定级为等保三级。数据交换共享过程中安全和保障，有关部门按照《浙江省公共数据和电子政务管理办法》（省政府令354号）执行。</w:t>
      </w:r>
    </w:p>
    <w:p w14:paraId="7AF53E66">
      <w:pPr>
        <w:pStyle w:val="4"/>
        <w:ind w:firstLine="482" w:firstLineChars="200"/>
        <w:rPr>
          <w:b/>
          <w:bCs/>
          <w:color w:val="auto"/>
          <w:highlight w:val="none"/>
        </w:rPr>
      </w:pPr>
      <w:r>
        <w:rPr>
          <w:b/>
          <w:bCs/>
          <w:color w:val="auto"/>
          <w:highlight w:val="none"/>
        </w:rPr>
        <w:t>2</w:t>
      </w:r>
      <w:r>
        <w:rPr>
          <w:rFonts w:hint="eastAsia"/>
          <w:b/>
          <w:bCs/>
          <w:color w:val="auto"/>
          <w:highlight w:val="none"/>
        </w:rPr>
        <w:t>.网络安全要求</w:t>
      </w:r>
    </w:p>
    <w:p w14:paraId="5DDD6A48">
      <w:pPr>
        <w:pStyle w:val="4"/>
        <w:ind w:firstLine="480" w:firstLineChars="200"/>
        <w:rPr>
          <w:rFonts w:hAnsi="宋体" w:cs="宋体"/>
          <w:color w:val="auto"/>
          <w:szCs w:val="24"/>
          <w:highlight w:val="none"/>
        </w:rPr>
      </w:pPr>
      <w:r>
        <w:rPr>
          <w:rFonts w:hint="eastAsia" w:hAnsi="宋体" w:cs="宋体"/>
          <w:color w:val="auto"/>
          <w:szCs w:val="24"/>
          <w:highlight w:val="none"/>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w:t>
      </w:r>
    </w:p>
    <w:p w14:paraId="2725FFD5">
      <w:pPr>
        <w:pStyle w:val="4"/>
        <w:ind w:firstLine="480" w:firstLineChars="200"/>
        <w:rPr>
          <w:rFonts w:hAnsi="宋体" w:cs="宋体"/>
          <w:color w:val="auto"/>
          <w:szCs w:val="24"/>
          <w:highlight w:val="none"/>
        </w:rPr>
      </w:pPr>
      <w:r>
        <w:rPr>
          <w:rFonts w:hint="eastAsia" w:hAnsi="宋体" w:cs="宋体"/>
          <w:color w:val="auto"/>
          <w:szCs w:val="24"/>
          <w:highlight w:val="none"/>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05241089">
      <w:pPr>
        <w:pStyle w:val="4"/>
        <w:ind w:firstLine="480" w:firstLineChars="200"/>
        <w:rPr>
          <w:rFonts w:hAnsi="宋体" w:cs="宋体"/>
          <w:color w:val="auto"/>
          <w:szCs w:val="24"/>
          <w:highlight w:val="none"/>
        </w:rPr>
      </w:pPr>
      <w:r>
        <w:rPr>
          <w:rFonts w:hint="eastAsia" w:hAnsi="宋体" w:cs="宋体"/>
          <w:color w:val="auto"/>
          <w:szCs w:val="24"/>
          <w:highlight w:val="none"/>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3D4C8328">
      <w:pPr>
        <w:pStyle w:val="4"/>
        <w:ind w:firstLine="480" w:firstLineChars="200"/>
        <w:rPr>
          <w:rFonts w:hAnsi="宋体" w:cs="宋体"/>
          <w:color w:val="auto"/>
          <w:szCs w:val="24"/>
          <w:highlight w:val="none"/>
        </w:rPr>
      </w:pPr>
      <w:r>
        <w:rPr>
          <w:rFonts w:hint="eastAsia" w:hAnsi="宋体" w:cs="宋体"/>
          <w:color w:val="auto"/>
          <w:szCs w:val="24"/>
          <w:highlight w:val="none"/>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3C0FCBFF">
      <w:pPr>
        <w:pStyle w:val="4"/>
        <w:ind w:firstLine="482" w:firstLineChars="200"/>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商用密码应用安全要求</w:t>
      </w:r>
    </w:p>
    <w:p w14:paraId="0DCA035E">
      <w:pPr>
        <w:pStyle w:val="4"/>
        <w:ind w:firstLine="480" w:firstLineChars="200"/>
        <w:rPr>
          <w:color w:val="auto"/>
          <w:highlight w:val="none"/>
        </w:rPr>
      </w:pPr>
      <w:r>
        <w:rPr>
          <w:rFonts w:hint="eastAsia"/>
          <w:color w:val="auto"/>
          <w:highlight w:val="none"/>
        </w:rPr>
        <w:t>项目遵循商用密码应用安全体系框架建设，所有应用系统应能满足商用密码应用安全评估要求，</w:t>
      </w:r>
      <w:r>
        <w:rPr>
          <w:rFonts w:hint="eastAsia" w:hAnsi="宋体" w:cs="宋体"/>
          <w:color w:val="auto"/>
          <w:szCs w:val="24"/>
          <w:highlight w:val="none"/>
        </w:rPr>
        <w:t>投标人需提供承诺函。</w:t>
      </w:r>
    </w:p>
    <w:p w14:paraId="486C54E5">
      <w:pPr>
        <w:pStyle w:val="4"/>
        <w:ind w:firstLine="482" w:firstLineChars="200"/>
        <w:rPr>
          <w:color w:val="auto"/>
          <w:highlight w:val="none"/>
        </w:rPr>
      </w:pPr>
      <w:r>
        <w:rPr>
          <w:b/>
          <w:bCs/>
          <w:color w:val="auto"/>
          <w:highlight w:val="none"/>
        </w:rPr>
        <w:t>4.</w:t>
      </w:r>
      <w:r>
        <w:rPr>
          <w:rFonts w:hint="eastAsia"/>
          <w:b/>
          <w:bCs/>
          <w:color w:val="auto"/>
          <w:highlight w:val="none"/>
        </w:rPr>
        <w:t>系统上线前</w:t>
      </w:r>
      <w:r>
        <w:rPr>
          <w:rFonts w:hint="eastAsia"/>
          <w:b/>
          <w:bCs/>
          <w:color w:val="auto"/>
          <w:highlight w:val="none"/>
          <w:lang w:val="en-US"/>
        </w:rPr>
        <w:t>配合</w:t>
      </w:r>
      <w:r>
        <w:rPr>
          <w:rFonts w:hint="eastAsia"/>
          <w:b/>
          <w:bCs/>
          <w:color w:val="auto"/>
          <w:highlight w:val="none"/>
        </w:rPr>
        <w:t>第三方</w:t>
      </w:r>
      <w:r>
        <w:rPr>
          <w:rFonts w:hint="eastAsia"/>
          <w:b/>
          <w:bCs/>
          <w:color w:val="auto"/>
          <w:highlight w:val="none"/>
          <w:lang w:val="en-US"/>
        </w:rPr>
        <w:t>完成</w:t>
      </w:r>
      <w:r>
        <w:rPr>
          <w:rFonts w:hint="eastAsia"/>
          <w:b/>
          <w:bCs/>
          <w:color w:val="auto"/>
          <w:highlight w:val="none"/>
        </w:rPr>
        <w:t>密评、等保等测评（</w:t>
      </w:r>
      <w:r>
        <w:rPr>
          <w:rFonts w:hint="eastAsia"/>
          <w:b/>
          <w:bCs/>
          <w:color w:val="auto"/>
          <w:highlight w:val="none"/>
          <w:lang w:val="en-US"/>
        </w:rPr>
        <w:t>密评、等保测评费用不包含在本项目中</w:t>
      </w:r>
      <w:r>
        <w:rPr>
          <w:rFonts w:hint="eastAsia"/>
          <w:b/>
          <w:bCs/>
          <w:color w:val="auto"/>
          <w:highlight w:val="none"/>
        </w:rPr>
        <w:t>）</w:t>
      </w:r>
      <w:r>
        <w:rPr>
          <w:rFonts w:hint="eastAsia"/>
          <w:color w:val="auto"/>
          <w:highlight w:val="none"/>
        </w:rPr>
        <w:t>。</w:t>
      </w:r>
    </w:p>
    <w:p w14:paraId="3FA487E3">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商务要求</w:t>
      </w:r>
    </w:p>
    <w:p w14:paraId="7B9F9E49">
      <w:pPr>
        <w:pStyle w:val="259"/>
        <w:tabs>
          <w:tab w:val="left" w:pos="567"/>
        </w:tabs>
        <w:snapToGrid w:val="0"/>
        <w:ind w:firstLine="489"/>
        <w:outlineLvl w:val="2"/>
        <w:rPr>
          <w:rFonts w:ascii="宋体" w:hAnsi="宋体" w:eastAsia="宋体" w:cs="宋体"/>
          <w:b/>
          <w:bCs/>
          <w:color w:val="auto"/>
          <w:highlight w:val="none"/>
        </w:rPr>
      </w:pPr>
      <w:r>
        <w:rPr>
          <w:rFonts w:hint="eastAsia" w:ascii="宋体" w:hAnsi="宋体" w:eastAsia="宋体" w:cs="宋体"/>
          <w:b/>
          <w:bCs/>
          <w:color w:val="auto"/>
          <w:highlight w:val="none"/>
        </w:rPr>
        <w:t>1</w:t>
      </w:r>
      <w:r>
        <w:rPr>
          <w:rFonts w:ascii="宋体" w:hAnsi="宋体" w:eastAsia="宋体" w:cs="宋体"/>
          <w:b/>
          <w:bCs/>
          <w:color w:val="auto"/>
          <w:highlight w:val="none"/>
        </w:rPr>
        <w:t>.</w:t>
      </w:r>
      <w:r>
        <w:rPr>
          <w:rFonts w:hint="eastAsia" w:ascii="宋体" w:hAnsi="宋体" w:eastAsia="宋体" w:cs="宋体"/>
          <w:b/>
          <w:bCs/>
          <w:color w:val="auto"/>
          <w:highlight w:val="none"/>
        </w:rPr>
        <w:t>建设工期和地点</w:t>
      </w:r>
    </w:p>
    <w:p w14:paraId="2AB84368">
      <w:pPr>
        <w:pStyle w:val="10"/>
        <w:spacing w:line="360" w:lineRule="auto"/>
        <w:ind w:firstLine="480"/>
        <w:rPr>
          <w:rFonts w:hAnsi="宋体" w:cs="宋体"/>
          <w:snapToGrid/>
          <w:color w:val="auto"/>
          <w:kern w:val="0"/>
          <w:sz w:val="24"/>
          <w:szCs w:val="24"/>
          <w:highlight w:val="none"/>
        </w:rPr>
      </w:pPr>
      <w:r>
        <w:rPr>
          <w:rFonts w:hint="eastAsia" w:hAnsi="宋体" w:cs="宋体"/>
          <w:color w:val="auto"/>
          <w:sz w:val="24"/>
          <w:highlight w:val="none"/>
        </w:rPr>
        <w:t>▲</w:t>
      </w:r>
      <w:r>
        <w:rPr>
          <w:rFonts w:hint="eastAsia" w:hAnsi="宋体" w:cs="宋体"/>
          <w:snapToGrid/>
          <w:color w:val="auto"/>
          <w:kern w:val="0"/>
          <w:sz w:val="24"/>
          <w:szCs w:val="24"/>
          <w:highlight w:val="none"/>
        </w:rPr>
        <w:t>（1）交付（实施）的时间（期限）：2025年10月底前完成各子系统的开发迁移工作并通过项目初验。初验通过后，系统进行1个月试运行。试运行结束后，完成项目终验。</w:t>
      </w:r>
    </w:p>
    <w:p w14:paraId="6626066D">
      <w:pPr>
        <w:pStyle w:val="10"/>
        <w:spacing w:line="360" w:lineRule="auto"/>
        <w:ind w:firstLine="480"/>
        <w:rPr>
          <w:rFonts w:hAnsi="宋体" w:cs="宋体"/>
          <w:snapToGrid/>
          <w:color w:val="auto"/>
          <w:kern w:val="0"/>
          <w:sz w:val="24"/>
          <w:szCs w:val="24"/>
          <w:highlight w:val="none"/>
        </w:rPr>
      </w:pPr>
      <w:r>
        <w:rPr>
          <w:rFonts w:hint="eastAsia" w:hAnsi="宋体" w:cs="宋体"/>
          <w:snapToGrid/>
          <w:color w:val="auto"/>
          <w:kern w:val="0"/>
          <w:sz w:val="24"/>
          <w:szCs w:val="24"/>
          <w:highlight w:val="none"/>
        </w:rPr>
        <w:t xml:space="preserve">（2）交付（实施）的地点（范围）：采购人指定地点。  </w:t>
      </w:r>
    </w:p>
    <w:p w14:paraId="078DC012">
      <w:pPr>
        <w:pStyle w:val="259"/>
        <w:tabs>
          <w:tab w:val="left" w:pos="567"/>
        </w:tabs>
        <w:snapToGrid w:val="0"/>
        <w:ind w:firstLine="489"/>
        <w:outlineLvl w:val="2"/>
        <w:rPr>
          <w:rFonts w:ascii="宋体" w:hAnsi="宋体" w:eastAsia="宋体" w:cs="宋体"/>
          <w:b/>
          <w:bCs/>
          <w:color w:val="auto"/>
          <w:highlight w:val="none"/>
        </w:rPr>
      </w:pPr>
      <w:r>
        <w:rPr>
          <w:rFonts w:hint="eastAsia" w:ascii="宋体" w:hAnsi="宋体" w:eastAsia="宋体" w:cs="宋体"/>
          <w:b/>
          <w:bCs/>
          <w:color w:val="auto"/>
          <w:highlight w:val="none"/>
        </w:rPr>
        <w:t>2</w:t>
      </w:r>
      <w:r>
        <w:rPr>
          <w:rFonts w:ascii="宋体" w:hAnsi="宋体" w:eastAsia="宋体" w:cs="宋体"/>
          <w:b/>
          <w:bCs/>
          <w:color w:val="auto"/>
          <w:highlight w:val="none"/>
        </w:rPr>
        <w:t>.</w:t>
      </w:r>
      <w:r>
        <w:rPr>
          <w:rFonts w:hint="eastAsia" w:ascii="宋体" w:hAnsi="宋体" w:eastAsia="宋体" w:cs="宋体"/>
          <w:b/>
          <w:bCs/>
          <w:color w:val="auto"/>
          <w:highlight w:val="none"/>
        </w:rPr>
        <w:t>付款要求</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485"/>
        <w:gridCol w:w="1393"/>
      </w:tblGrid>
      <w:tr w14:paraId="4249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95A5C03">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6485" w:type="dxa"/>
            <w:tcBorders>
              <w:top w:val="single" w:color="auto" w:sz="4" w:space="0"/>
              <w:left w:val="single" w:color="auto" w:sz="4" w:space="0"/>
              <w:bottom w:val="single" w:color="auto" w:sz="4" w:space="0"/>
              <w:right w:val="single" w:color="auto" w:sz="4" w:space="0"/>
            </w:tcBorders>
            <w:vAlign w:val="center"/>
          </w:tcPr>
          <w:p w14:paraId="7F01900A">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付款比例（%）</w:t>
            </w:r>
          </w:p>
        </w:tc>
        <w:tc>
          <w:tcPr>
            <w:tcW w:w="1393" w:type="dxa"/>
            <w:tcBorders>
              <w:top w:val="single" w:color="auto" w:sz="4" w:space="0"/>
              <w:left w:val="single" w:color="auto" w:sz="4" w:space="0"/>
              <w:bottom w:val="single" w:color="auto" w:sz="4" w:space="0"/>
              <w:right w:val="single" w:color="auto" w:sz="4" w:space="0"/>
            </w:tcBorders>
            <w:vAlign w:val="center"/>
          </w:tcPr>
          <w:p w14:paraId="3987D84F">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w:t>
            </w:r>
          </w:p>
        </w:tc>
      </w:tr>
      <w:tr w14:paraId="1F5B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361B8710">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485" w:type="dxa"/>
            <w:tcBorders>
              <w:top w:val="single" w:color="auto" w:sz="4" w:space="0"/>
              <w:left w:val="single" w:color="auto" w:sz="4" w:space="0"/>
              <w:bottom w:val="single" w:color="auto" w:sz="4" w:space="0"/>
              <w:right w:val="single" w:color="auto" w:sz="4" w:space="0"/>
            </w:tcBorders>
            <w:vAlign w:val="center"/>
          </w:tcPr>
          <w:p w14:paraId="639BA6C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第一次付款：</w:t>
            </w:r>
            <w:r>
              <w:rPr>
                <w:rFonts w:hint="eastAsia" w:cs="仿宋_GB2312" w:asciiTheme="minorEastAsia" w:hAnsiTheme="minorEastAsia" w:eastAsiaTheme="minorEastAsia"/>
                <w:color w:val="auto"/>
                <w:sz w:val="24"/>
                <w:highlight w:val="none"/>
              </w:rPr>
              <w:t>采购合同签订生效并具备实施条件，供应商向采购人提供正式发票后7个工作日内，采购人支付合同总价的40%；</w:t>
            </w:r>
          </w:p>
        </w:tc>
        <w:tc>
          <w:tcPr>
            <w:tcW w:w="1393" w:type="dxa"/>
            <w:tcBorders>
              <w:top w:val="single" w:color="auto" w:sz="4" w:space="0"/>
              <w:left w:val="single" w:color="auto" w:sz="4" w:space="0"/>
              <w:bottom w:val="single" w:color="auto" w:sz="4" w:space="0"/>
              <w:right w:val="single" w:color="auto" w:sz="4" w:space="0"/>
            </w:tcBorders>
            <w:vAlign w:val="center"/>
          </w:tcPr>
          <w:p w14:paraId="26F5F98C">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转账支付</w:t>
            </w:r>
          </w:p>
        </w:tc>
      </w:tr>
      <w:tr w14:paraId="648D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62A17F81">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6485" w:type="dxa"/>
            <w:tcBorders>
              <w:top w:val="single" w:color="auto" w:sz="4" w:space="0"/>
              <w:left w:val="single" w:color="auto" w:sz="4" w:space="0"/>
              <w:bottom w:val="single" w:color="auto" w:sz="4" w:space="0"/>
              <w:right w:val="single" w:color="auto" w:sz="4" w:space="0"/>
            </w:tcBorders>
            <w:vAlign w:val="center"/>
          </w:tcPr>
          <w:p w14:paraId="7C92704D">
            <w:pPr>
              <w:spacing w:line="360" w:lineRule="auto"/>
              <w:rPr>
                <w:rFonts w:asciiTheme="minorEastAsia" w:hAnsiTheme="minorEastAsia"/>
                <w:b/>
                <w:bCs/>
                <w:color w:val="auto"/>
                <w:sz w:val="24"/>
                <w:highlight w:val="none"/>
              </w:rPr>
            </w:pPr>
            <w:r>
              <w:rPr>
                <w:rFonts w:hint="eastAsia" w:asciiTheme="minorEastAsia" w:hAnsiTheme="minorEastAsia" w:eastAsiaTheme="minorEastAsia"/>
                <w:b/>
                <w:bCs/>
                <w:color w:val="auto"/>
                <w:sz w:val="24"/>
                <w:highlight w:val="none"/>
              </w:rPr>
              <w:t>第二次付款：</w:t>
            </w:r>
            <w:r>
              <w:rPr>
                <w:rFonts w:hint="eastAsia" w:asciiTheme="minorEastAsia" w:hAnsiTheme="minorEastAsia"/>
                <w:bCs/>
                <w:color w:val="auto"/>
                <w:sz w:val="24"/>
                <w:highlight w:val="none"/>
                <w:lang w:eastAsia="zh-Hans"/>
              </w:rPr>
              <w:t>项目通过初验后，供应商可向采购人申请支付合同总价款的</w:t>
            </w:r>
            <w:r>
              <w:rPr>
                <w:rFonts w:hint="eastAsia" w:asciiTheme="minorEastAsia" w:hAnsiTheme="minorEastAsia"/>
                <w:bCs/>
                <w:color w:val="auto"/>
                <w:sz w:val="24"/>
                <w:highlight w:val="none"/>
              </w:rPr>
              <w:t>4</w:t>
            </w:r>
            <w:r>
              <w:rPr>
                <w:rFonts w:hint="eastAsia" w:asciiTheme="minorEastAsia" w:hAnsiTheme="minorEastAsia"/>
                <w:bCs/>
                <w:color w:val="auto"/>
                <w:sz w:val="24"/>
                <w:highlight w:val="none"/>
                <w:lang w:eastAsia="zh-Hans"/>
              </w:rPr>
              <w:t>0%，采购人收到供应商开具的发票后7个工作日内支付款项；</w:t>
            </w:r>
          </w:p>
        </w:tc>
        <w:tc>
          <w:tcPr>
            <w:tcW w:w="1393" w:type="dxa"/>
            <w:tcBorders>
              <w:top w:val="single" w:color="auto" w:sz="4" w:space="0"/>
              <w:left w:val="single" w:color="auto" w:sz="4" w:space="0"/>
              <w:bottom w:val="single" w:color="auto" w:sz="4" w:space="0"/>
              <w:right w:val="single" w:color="auto" w:sz="4" w:space="0"/>
            </w:tcBorders>
            <w:vAlign w:val="center"/>
          </w:tcPr>
          <w:p w14:paraId="32C9EC17">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转账支付</w:t>
            </w:r>
          </w:p>
        </w:tc>
      </w:tr>
      <w:tr w14:paraId="1BB2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50E65774">
            <w:pPr>
              <w:spacing w:line="360"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6485" w:type="dxa"/>
            <w:tcBorders>
              <w:top w:val="single" w:color="auto" w:sz="4" w:space="0"/>
              <w:left w:val="single" w:color="auto" w:sz="4" w:space="0"/>
              <w:bottom w:val="single" w:color="auto" w:sz="4" w:space="0"/>
              <w:right w:val="single" w:color="auto" w:sz="4" w:space="0"/>
            </w:tcBorders>
            <w:vAlign w:val="center"/>
          </w:tcPr>
          <w:p w14:paraId="5BCD1287">
            <w:pPr>
              <w:spacing w:line="360" w:lineRule="auto"/>
              <w:rPr>
                <w:rFonts w:asciiTheme="minorEastAsia" w:hAnsiTheme="minorEastAsia"/>
                <w:bCs/>
                <w:color w:val="auto"/>
                <w:sz w:val="24"/>
                <w:highlight w:val="none"/>
              </w:rPr>
            </w:pPr>
            <w:r>
              <w:rPr>
                <w:rFonts w:hint="eastAsia" w:asciiTheme="minorEastAsia" w:hAnsiTheme="minorEastAsia" w:eastAsiaTheme="minorEastAsia"/>
                <w:b/>
                <w:bCs/>
                <w:color w:val="auto"/>
                <w:sz w:val="24"/>
                <w:highlight w:val="none"/>
              </w:rPr>
              <w:t>第三次付款：</w:t>
            </w:r>
            <w:r>
              <w:rPr>
                <w:rFonts w:hint="eastAsia" w:asciiTheme="minorEastAsia" w:hAnsiTheme="minorEastAsia"/>
                <w:bCs/>
                <w:color w:val="auto"/>
                <w:sz w:val="24"/>
                <w:highlight w:val="none"/>
                <w:lang w:eastAsia="zh-Hans"/>
              </w:rPr>
              <w:t>项目通过终验后，供应商可向采购人申请支付合同总价款的</w:t>
            </w:r>
            <w:r>
              <w:rPr>
                <w:rFonts w:hint="eastAsia" w:asciiTheme="minorEastAsia" w:hAnsiTheme="minorEastAsia"/>
                <w:bCs/>
                <w:color w:val="auto"/>
                <w:sz w:val="24"/>
                <w:highlight w:val="none"/>
              </w:rPr>
              <w:t>2</w:t>
            </w:r>
            <w:r>
              <w:rPr>
                <w:rFonts w:hint="eastAsia" w:asciiTheme="minorEastAsia" w:hAnsiTheme="minorEastAsia"/>
                <w:bCs/>
                <w:color w:val="auto"/>
                <w:sz w:val="24"/>
                <w:highlight w:val="none"/>
                <w:lang w:eastAsia="zh-Hans"/>
              </w:rPr>
              <w:t>0%，采购人收到供应商开具的发票后7个工作日内支付款项；</w:t>
            </w:r>
          </w:p>
        </w:tc>
        <w:tc>
          <w:tcPr>
            <w:tcW w:w="1393" w:type="dxa"/>
            <w:tcBorders>
              <w:top w:val="single" w:color="auto" w:sz="4" w:space="0"/>
              <w:left w:val="single" w:color="auto" w:sz="4" w:space="0"/>
              <w:bottom w:val="single" w:color="auto" w:sz="4" w:space="0"/>
              <w:right w:val="single" w:color="auto" w:sz="4" w:space="0"/>
            </w:tcBorders>
            <w:vAlign w:val="center"/>
          </w:tcPr>
          <w:p w14:paraId="52DFB823">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转账支付</w:t>
            </w:r>
          </w:p>
        </w:tc>
      </w:tr>
    </w:tbl>
    <w:p w14:paraId="02D0AB04">
      <w:pPr>
        <w:pStyle w:val="889"/>
        <w:shd w:val="clear" w:color="auto" w:fill="FFFFFF"/>
        <w:adjustRightInd w:val="0"/>
        <w:snapToGrid w:val="0"/>
        <w:spacing w:before="0" w:beforeAutospacing="0" w:after="0" w:afterAutospacing="0" w:line="360" w:lineRule="auto"/>
        <w:ind w:firstLine="482"/>
        <w:contextualSpacing/>
        <w:jc w:val="both"/>
        <w:outlineLvl w:val="2"/>
        <w:rPr>
          <w:b/>
          <w:bCs/>
          <w:color w:val="auto"/>
          <w:highlight w:val="none"/>
        </w:rPr>
      </w:pPr>
    </w:p>
    <w:p w14:paraId="6FD01904">
      <w:pPr>
        <w:pStyle w:val="889"/>
        <w:shd w:val="clear" w:color="auto" w:fill="FFFFFF"/>
        <w:adjustRightInd w:val="0"/>
        <w:snapToGrid w:val="0"/>
        <w:spacing w:before="0" w:beforeAutospacing="0" w:after="0" w:afterAutospacing="0" w:line="360" w:lineRule="auto"/>
        <w:ind w:firstLine="482" w:firstLineChars="200"/>
        <w:contextualSpacing/>
        <w:jc w:val="both"/>
        <w:outlineLvl w:val="2"/>
        <w:rPr>
          <w:color w:val="auto"/>
          <w:highlight w:val="none"/>
        </w:rPr>
      </w:pPr>
      <w:r>
        <w:rPr>
          <w:b/>
          <w:bCs/>
          <w:color w:val="auto"/>
          <w:highlight w:val="none"/>
        </w:rPr>
        <w:t>3.</w:t>
      </w:r>
      <w:r>
        <w:rPr>
          <w:rFonts w:hint="eastAsia"/>
          <w:b/>
          <w:bCs/>
          <w:color w:val="auto"/>
          <w:highlight w:val="none"/>
        </w:rPr>
        <w:t>售后服务要求</w:t>
      </w:r>
    </w:p>
    <w:p w14:paraId="1A195327">
      <w:pPr>
        <w:snapToGrid w:val="0"/>
        <w:spacing w:line="360" w:lineRule="auto"/>
        <w:ind w:firstLine="482" w:firstLineChars="200"/>
        <w:rPr>
          <w:rFonts w:ascii="宋体" w:hAnsi="宋体" w:cs="宋体"/>
          <w:color w:val="auto"/>
          <w:sz w:val="24"/>
          <w:highlight w:val="none"/>
        </w:rPr>
      </w:pPr>
      <w:r>
        <w:rPr>
          <w:rFonts w:hint="eastAsia"/>
          <w:b/>
          <w:bCs/>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.1质量保证期：自验收之日起，提供2年的免费服务质保期。</w:t>
      </w:r>
    </w:p>
    <w:p w14:paraId="4DEAC16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.2售后服务内容</w:t>
      </w:r>
    </w:p>
    <w:p w14:paraId="69939B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（1）质保运维期内，采购人可要求采购人的一名工程师常驻现场，服从工作安排，采购人对于工程师不满意的，采购人应无条件更换。</w:t>
      </w:r>
    </w:p>
    <w:p w14:paraId="661931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（2）2年的质保运维期间需及时响应并满足用户对于系统的问题故障处理和缺陷修正。</w:t>
      </w:r>
    </w:p>
    <w:p w14:paraId="14DC93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（3）质保运维期内所有的服务涉及的费用均包含在合同总价中，质保运维期内提供7×24小时电话服务，驻场运维工程师应在30分钟内做出明确响应和安排，</w:t>
      </w:r>
      <w:r>
        <w:rPr>
          <w:rFonts w:hint="eastAsia" w:cs="微软雅黑" w:asciiTheme="minorEastAsia" w:hAnsiTheme="minorEastAsia" w:eastAsiaTheme="minorEastAsia"/>
          <w:color w:val="auto"/>
          <w:kern w:val="0"/>
          <w:sz w:val="24"/>
          <w:highlight w:val="none"/>
          <w:lang w:val="zh-TW" w:eastAsia="zh-TW"/>
        </w:rPr>
        <w:t>故障原因在4小时内无法排除的，投标人24小时内提交解决软件系统</w:t>
      </w:r>
      <w:r>
        <w:rPr>
          <w:rFonts w:hint="eastAsia" w:ascii="宋体" w:hAnsi="宋体" w:cs="宋体"/>
          <w:color w:val="auto"/>
          <w:sz w:val="24"/>
          <w:highlight w:val="none"/>
        </w:rPr>
        <w:t>问题解决或缺陷修正方案。</w:t>
      </w:r>
    </w:p>
    <w:p w14:paraId="7AB3F003">
      <w:pPr>
        <w:snapToGrid w:val="0"/>
        <w:spacing w:line="360" w:lineRule="auto"/>
        <w:ind w:firstLine="482" w:firstLineChars="200"/>
        <w:contextualSpacing/>
        <w:rPr>
          <w:rFonts w:ascii="宋体" w:hAns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项目培训要求</w:t>
      </w:r>
    </w:p>
    <w:p w14:paraId="3B4C9182">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对象、培训方式、培训地点、培训内容等。</w:t>
      </w:r>
    </w:p>
    <w:p w14:paraId="5AFD8A0D">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培训对象：培训对象包括但不限于以下人员：系统使用人员、系统运行维护管理人员等。</w:t>
      </w:r>
    </w:p>
    <w:p w14:paraId="5B223780">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培训方式：集中授课和现场操作应用指导培训，不少于1次，培训天数不少于1天。</w:t>
      </w:r>
    </w:p>
    <w:p w14:paraId="7B1FB1BB">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培训场地：由采购人提供。</w:t>
      </w:r>
    </w:p>
    <w:p w14:paraId="73373C21">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培训内容：内容包含但不限于系统总体情况进行介绍、业务操作、系统功能、简单的系统故障诊断和排除等（所有培训以中文进行）。</w:t>
      </w:r>
    </w:p>
    <w:p w14:paraId="78063920">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（2）培训费用计入投标总价。</w:t>
      </w:r>
    </w:p>
    <w:p w14:paraId="00C535FA">
      <w:pPr>
        <w:spacing w:line="360" w:lineRule="auto"/>
        <w:ind w:firstLine="482" w:firstLineChars="200"/>
        <w:contextualSpacing/>
        <w:rPr>
          <w:rFonts w:ascii="宋体" w:hAns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.知识产权要求</w:t>
      </w:r>
    </w:p>
    <w:p w14:paraId="49728681">
      <w:pPr>
        <w:autoSpaceDE w:val="0"/>
        <w:autoSpaceDN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（1）本项目的最终用户为杭州市发展和改革委员会（杭州市对口支援和区域合作局）。</w:t>
      </w:r>
    </w:p>
    <w:p w14:paraId="2CA79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（2）中标方应保证所提供的系统或其任何一部分均不会侵犯任何第三方的知识产权。</w:t>
      </w:r>
    </w:p>
    <w:p w14:paraId="62E95B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机构不承担责任。</w:t>
      </w:r>
    </w:p>
    <w:p w14:paraId="4CDCB60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本项目所涉系统中的包含文字、声音、图像等所有的数据信息的所有权、使用权和知识产权等权益都属于甲方。未经采购人书面允许，中标人无权使用、转让或处理系统中所有数据信息。中标人须妥善保存和备份系统中的所有数据信息，使之不被破坏、删除。中标人应该提供合适的技术手段，确保采购人及最终用户能阅读、使用、传送、处理和备份系统中的声音、图像和数据信息。由于采购人原因而导致前述系统数据信息丢失或损坏的，中标人不承担赔偿责任，但中标人应及时进行修复处理。</w:t>
      </w:r>
    </w:p>
    <w:p w14:paraId="4D1E2602">
      <w:pPr>
        <w:pStyle w:val="4"/>
        <w:ind w:firstLine="482"/>
        <w:rPr>
          <w:rFonts w:hAnsi="宋体" w:cs="宋体"/>
          <w:color w:val="auto"/>
          <w:kern w:val="36"/>
          <w:szCs w:val="24"/>
          <w:highlight w:val="none"/>
        </w:rPr>
      </w:pPr>
      <w:r>
        <w:rPr>
          <w:rFonts w:hAnsi="宋体" w:cs="宋体"/>
          <w:b/>
          <w:color w:val="auto"/>
          <w:szCs w:val="24"/>
          <w:highlight w:val="none"/>
          <w:lang w:val="en-US"/>
        </w:rPr>
        <w:t>6</w:t>
      </w:r>
      <w:r>
        <w:rPr>
          <w:rFonts w:hint="eastAsia" w:hAnsi="宋体" w:cs="宋体"/>
          <w:b/>
          <w:color w:val="auto"/>
          <w:szCs w:val="24"/>
          <w:highlight w:val="none"/>
          <w:lang w:val="en-US"/>
        </w:rPr>
        <w:t>.</w:t>
      </w:r>
      <w:r>
        <w:rPr>
          <w:rFonts w:hint="eastAsia" w:hAnsi="宋体" w:cs="宋体"/>
          <w:b/>
          <w:color w:val="auto"/>
          <w:kern w:val="36"/>
          <w:szCs w:val="24"/>
          <w:highlight w:val="none"/>
        </w:rPr>
        <w:t>服务保密要求</w:t>
      </w:r>
    </w:p>
    <w:p w14:paraId="2A89F4C7">
      <w:pPr>
        <w:pStyle w:val="4"/>
        <w:ind w:firstLine="480"/>
        <w:rPr>
          <w:rFonts w:hAnsi="宋体" w:cs="宋体"/>
          <w:color w:val="auto"/>
          <w:szCs w:val="24"/>
          <w:highlight w:val="none"/>
        </w:rPr>
      </w:pPr>
      <w:r>
        <w:rPr>
          <w:rFonts w:hint="eastAsia" w:hAnsi="宋体" w:cs="宋体"/>
          <w:color w:val="auto"/>
          <w:szCs w:val="24"/>
          <w:highlight w:val="none"/>
        </w:rPr>
        <w:t>（1）中标方应按照《网络安全法》《数据安全法》的要求，履行网络和数据安全保护义务；</w:t>
      </w:r>
    </w:p>
    <w:p w14:paraId="34057E0F">
      <w:pPr>
        <w:pStyle w:val="4"/>
        <w:ind w:firstLine="480"/>
        <w:rPr>
          <w:rFonts w:hAnsi="宋体" w:cs="宋体"/>
          <w:color w:val="auto"/>
          <w:highlight w:val="none"/>
          <w:lang w:val="en-US"/>
        </w:rPr>
      </w:pPr>
      <w:r>
        <w:rPr>
          <w:rFonts w:hint="eastAsia" w:hAnsi="宋体" w:cs="宋体"/>
          <w:color w:val="auto"/>
          <w:szCs w:val="24"/>
          <w:highlight w:val="none"/>
        </w:rPr>
        <w:t>（2）中标方及项目涉及乙方工作人员均须在签订合同时，与业主单位签订保密协议。</w:t>
      </w:r>
    </w:p>
    <w:p w14:paraId="37F86C22">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人员要求</w:t>
      </w:r>
    </w:p>
    <w:p w14:paraId="10409E09">
      <w:pPr>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1</w:t>
      </w:r>
      <w:r>
        <w:rPr>
          <w:rFonts w:ascii="宋体" w:hAnsi="宋体" w:cs="仿宋"/>
          <w:b/>
          <w:bCs/>
          <w:color w:val="auto"/>
          <w:sz w:val="24"/>
          <w:highlight w:val="none"/>
        </w:rPr>
        <w:t>.</w:t>
      </w:r>
      <w:r>
        <w:rPr>
          <w:rFonts w:hint="eastAsia" w:ascii="宋体" w:hAnsi="宋体" w:cs="仿宋"/>
          <w:b/>
          <w:bCs/>
          <w:color w:val="auto"/>
          <w:sz w:val="24"/>
          <w:highlight w:val="none"/>
        </w:rPr>
        <w:t>人员配备数量</w:t>
      </w:r>
    </w:p>
    <w:p w14:paraId="332BAAA6">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（1）项目负责人（项目经理）1名，具备信息系统项目管理师（高级）证书，具有类似项目管理实施经验； </w:t>
      </w:r>
    </w:p>
    <w:p w14:paraId="6DDBCA53">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（2）项目技术负责人1名，</w:t>
      </w:r>
      <w:r>
        <w:rPr>
          <w:rFonts w:hint="eastAsia" w:ascii="宋体" w:hAnsi="宋体" w:cs="宋体"/>
          <w:color w:val="auto"/>
          <w:kern w:val="0"/>
          <w:sz w:val="24"/>
          <w:highlight w:val="none"/>
          <w:lang w:bidi="ar"/>
        </w:rPr>
        <w:t>具备系统分析师或系统架构设计师或软件设计师证书</w:t>
      </w:r>
      <w:r>
        <w:rPr>
          <w:rFonts w:hint="eastAsia" w:ascii="宋体" w:hAnsi="宋体" w:cs="仿宋"/>
          <w:color w:val="auto"/>
          <w:sz w:val="24"/>
          <w:highlight w:val="none"/>
        </w:rPr>
        <w:t>，具有类似项目管理实施经验；</w:t>
      </w:r>
    </w:p>
    <w:p w14:paraId="0C1C4D3E">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▲（3）拟派本项目实施团队（含项目负责人、技术负责人、驻点人员）人员至少10人；</w:t>
      </w:r>
    </w:p>
    <w:p w14:paraId="3C9865EF">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（4）拟派本项目实施团队人员（除项目负责人和技术负责人外），</w:t>
      </w:r>
      <w:r>
        <w:rPr>
          <w:rFonts w:hint="eastAsia" w:ascii="宋体" w:hAnsi="宋体" w:cs="宋体"/>
          <w:color w:val="auto"/>
          <w:kern w:val="0"/>
          <w:sz w:val="24"/>
          <w:highlight w:val="none"/>
        </w:rPr>
        <w:t>具有信息化类中级及以上职称证书</w:t>
      </w:r>
      <w:r>
        <w:rPr>
          <w:rFonts w:hint="eastAsia" w:ascii="宋体" w:hAnsi="宋体" w:cs="仿宋"/>
          <w:color w:val="auto"/>
          <w:sz w:val="24"/>
          <w:highlight w:val="none"/>
        </w:rPr>
        <w:t>；</w:t>
      </w:r>
    </w:p>
    <w:p w14:paraId="1AB7A267">
      <w:pPr>
        <w:snapToGrid w:val="0"/>
        <w:spacing w:line="360" w:lineRule="auto"/>
        <w:ind w:firstLine="480" w:firstLineChars="200"/>
        <w:jc w:val="left"/>
        <w:rPr>
          <w:rFonts w:cs="Calibri" w:asciiTheme="minorEastAsia" w:hAnsiTheme="minorEastAsia"/>
          <w:color w:val="auto"/>
          <w:highlight w:val="none"/>
        </w:rPr>
      </w:pPr>
      <w:r>
        <w:rPr>
          <w:rFonts w:hint="eastAsia" w:ascii="宋体" w:hAnsi="宋体" w:cs="仿宋"/>
          <w:color w:val="auto"/>
          <w:sz w:val="24"/>
          <w:highlight w:val="none"/>
        </w:rPr>
        <w:t>（5）</w:t>
      </w:r>
      <w:r>
        <w:rPr>
          <w:rFonts w:hint="eastAsia" w:ascii="宋体" w:hAnsi="宋体" w:cs="华文仿宋"/>
          <w:color w:val="auto"/>
          <w:sz w:val="24"/>
          <w:highlight w:val="none"/>
        </w:rPr>
        <w:t>驻场人员：提供</w:t>
      </w:r>
      <w:r>
        <w:rPr>
          <w:rFonts w:ascii="宋体" w:hAnsi="宋体" w:cs="华文仿宋"/>
          <w:color w:val="auto"/>
          <w:sz w:val="24"/>
          <w:highlight w:val="none"/>
        </w:rPr>
        <w:t>1</w:t>
      </w:r>
      <w:r>
        <w:rPr>
          <w:rFonts w:hint="eastAsia" w:ascii="宋体" w:hAnsi="宋体" w:cs="华文仿宋"/>
          <w:color w:val="auto"/>
          <w:sz w:val="24"/>
          <w:highlight w:val="none"/>
        </w:rPr>
        <w:t>名或以上开发人员驻场开发，</w:t>
      </w:r>
      <w:r>
        <w:rPr>
          <w:rFonts w:ascii="宋体" w:hAnsi="宋体" w:cs="华文仿宋"/>
          <w:color w:val="auto"/>
          <w:sz w:val="24"/>
          <w:highlight w:val="none"/>
        </w:rPr>
        <w:t>1</w:t>
      </w:r>
      <w:r>
        <w:rPr>
          <w:rFonts w:hint="eastAsia" w:ascii="宋体" w:hAnsi="宋体" w:cs="华文仿宋"/>
          <w:color w:val="auto"/>
          <w:sz w:val="24"/>
          <w:highlight w:val="none"/>
        </w:rPr>
        <w:t>名或以上驻场运维服务人员，且中标方提供的现场常驻技术人员必须得到招标单位事先认可。</w:t>
      </w:r>
    </w:p>
    <w:p w14:paraId="76CEB71F">
      <w:pPr>
        <w:tabs>
          <w:tab w:val="left" w:pos="432"/>
        </w:tabs>
        <w:snapToGrid w:val="0"/>
        <w:spacing w:line="360" w:lineRule="auto"/>
        <w:ind w:firstLine="482" w:firstLineChars="200"/>
        <w:jc w:val="left"/>
        <w:rPr>
          <w:rFonts w:ascii="宋体" w:hAnsi="宋体" w:cs="宋体"/>
          <w:b/>
          <w:bCs/>
          <w:color w:val="auto"/>
          <w:sz w:val="24"/>
          <w:szCs w:val="22"/>
          <w:highlight w:val="none"/>
        </w:rPr>
      </w:pPr>
      <w:r>
        <w:rPr>
          <w:rFonts w:ascii="宋体" w:hAnsi="宋体" w:cs="宋体"/>
          <w:b/>
          <w:bCs/>
          <w:color w:val="auto"/>
          <w:sz w:val="24"/>
          <w:szCs w:val="22"/>
          <w:highlight w:val="none"/>
        </w:rPr>
        <w:t>2.</w:t>
      </w:r>
      <w:r>
        <w:rPr>
          <w:rFonts w:hint="eastAsia" w:ascii="宋体" w:hAnsi="宋体" w:cs="宋体"/>
          <w:b/>
          <w:bCs/>
          <w:color w:val="auto"/>
          <w:sz w:val="24"/>
          <w:szCs w:val="22"/>
          <w:highlight w:val="none"/>
        </w:rPr>
        <w:t>人员服务时间</w:t>
      </w:r>
    </w:p>
    <w:p w14:paraId="2E982114">
      <w:pPr>
        <w:tabs>
          <w:tab w:val="left" w:pos="432"/>
        </w:tabs>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（1）驻点运维人员服务时间：提供5*8小时（除法定节假日）驻点服务；</w:t>
      </w:r>
    </w:p>
    <w:p w14:paraId="251F3EA1">
      <w:pPr>
        <w:tabs>
          <w:tab w:val="left" w:pos="432"/>
        </w:tabs>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（2）开发团队人员服务时间：项目验收之前提供5*8小时（除法定节假日）开发服务，项目验收之后提供技术服务热线（7*24小时）服务；</w:t>
      </w:r>
    </w:p>
    <w:p w14:paraId="7A2EAE6E">
      <w:pPr>
        <w:tabs>
          <w:tab w:val="left" w:pos="432"/>
        </w:tabs>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（3）项目负责人服务时间：项目服务期内提供7*24小时协调服务。</w:t>
      </w:r>
    </w:p>
    <w:p w14:paraId="59A429D8">
      <w:pPr>
        <w:tabs>
          <w:tab w:val="left" w:pos="432"/>
        </w:tabs>
        <w:snapToGrid w:val="0"/>
        <w:spacing w:line="360" w:lineRule="auto"/>
        <w:ind w:firstLine="482" w:firstLineChars="200"/>
        <w:rPr>
          <w:rFonts w:ascii="宋体" w:hAnsi="宋体" w:cs="宋体"/>
          <w:b/>
          <w:bCs/>
          <w:color w:val="auto"/>
          <w:sz w:val="24"/>
          <w:szCs w:val="22"/>
          <w:highlight w:val="none"/>
        </w:rPr>
      </w:pPr>
      <w:r>
        <w:rPr>
          <w:rFonts w:ascii="宋体" w:hAnsi="宋体" w:cs="宋体"/>
          <w:b/>
          <w:bCs/>
          <w:color w:val="auto"/>
          <w:sz w:val="24"/>
          <w:szCs w:val="22"/>
          <w:highlight w:val="none"/>
        </w:rPr>
        <w:t>3.</w:t>
      </w:r>
      <w:r>
        <w:rPr>
          <w:rFonts w:hint="eastAsia" w:ascii="宋体" w:hAnsi="宋体" w:cs="宋体"/>
          <w:b/>
          <w:bCs/>
          <w:color w:val="auto"/>
          <w:sz w:val="24"/>
          <w:szCs w:val="22"/>
          <w:highlight w:val="none"/>
        </w:rPr>
        <w:t>人</w:t>
      </w:r>
      <w:r>
        <w:rPr>
          <w:rFonts w:hint="eastAsia" w:ascii="宋体" w:hAnsi="宋体" w:cs="宋体"/>
          <w:b/>
          <w:bCs/>
          <w:color w:val="auto"/>
          <w:sz w:val="24"/>
          <w:szCs w:val="22"/>
          <w:highlight w:val="none"/>
          <w:lang w:val="zh-CN"/>
        </w:rPr>
        <w:t>员工作内容及职责</w:t>
      </w:r>
    </w:p>
    <w:p w14:paraId="05996339">
      <w:pPr>
        <w:tabs>
          <w:tab w:val="left" w:pos="432"/>
        </w:tabs>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（1）驻点人员及项目负责人工作内容及职责</w:t>
      </w:r>
    </w:p>
    <w:p w14:paraId="2D5DAECB">
      <w:pPr>
        <w:snapToGrid w:val="0"/>
        <w:spacing w:line="360" w:lineRule="auto"/>
        <w:ind w:left="199" w:leftChars="95" w:firstLine="240" w:firstLineChars="1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①驻场开发，对系统运行情况每月巡检，故障排查，保障系统稳定运行。</w:t>
      </w:r>
    </w:p>
    <w:p w14:paraId="51A3D5F9">
      <w:pPr>
        <w:tabs>
          <w:tab w:val="left" w:pos="432"/>
        </w:tabs>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（2）项目管理团队人员（项目负责人）工作内容及职责</w:t>
      </w:r>
    </w:p>
    <w:p w14:paraId="211E95A9">
      <w:pPr>
        <w:tabs>
          <w:tab w:val="left" w:pos="432"/>
        </w:tabs>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①协调各种资源，对项目整体负责。</w:t>
      </w:r>
    </w:p>
    <w:p w14:paraId="2BFBBD3F">
      <w:pPr>
        <w:tabs>
          <w:tab w:val="left" w:pos="432"/>
        </w:tabs>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②项目负责人负责制定项目计划、项目的管理、开发、质量保证过程，确保客户的成本、进度、绩效和质量目标。</w:t>
      </w:r>
    </w:p>
    <w:p w14:paraId="6F511B75">
      <w:pPr>
        <w:tabs>
          <w:tab w:val="left" w:pos="432"/>
        </w:tabs>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（3）项目实施团队人员工作内容及职责</w:t>
      </w:r>
    </w:p>
    <w:p w14:paraId="56842BB7">
      <w:pPr>
        <w:tabs>
          <w:tab w:val="left" w:pos="432"/>
        </w:tabs>
        <w:snapToGrid w:val="0"/>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val="zh-CN"/>
        </w:rPr>
        <w:t>项目实施团队人员负责系统的方案设计</w:t>
      </w:r>
      <w:r>
        <w:rPr>
          <w:rFonts w:hint="eastAsia" w:ascii="宋体" w:hAnsi="宋体" w:cs="宋体"/>
          <w:color w:val="auto"/>
          <w:sz w:val="24"/>
          <w:szCs w:val="22"/>
          <w:highlight w:val="none"/>
        </w:rPr>
        <w:t>、设备安装调试、系统软件开发、系统集成、系统测试、培训、试运行、系统验收等。</w:t>
      </w:r>
    </w:p>
    <w:p w14:paraId="450D5882">
      <w:pPr>
        <w:tabs>
          <w:tab w:val="left" w:pos="432"/>
        </w:tabs>
        <w:snapToGrid w:val="0"/>
        <w:spacing w:line="360" w:lineRule="auto"/>
        <w:ind w:firstLine="482" w:firstLineChars="200"/>
        <w:rPr>
          <w:rFonts w:ascii="宋体" w:hAnsi="宋体" w:cs="宋体"/>
          <w:b/>
          <w:bCs/>
          <w:color w:val="auto"/>
          <w:sz w:val="24"/>
          <w:szCs w:val="22"/>
          <w:highlight w:val="none"/>
        </w:rPr>
      </w:pPr>
      <w:r>
        <w:rPr>
          <w:rFonts w:ascii="宋体" w:hAnsi="宋体" w:cs="宋体"/>
          <w:b/>
          <w:bCs/>
          <w:color w:val="auto"/>
          <w:sz w:val="24"/>
          <w:szCs w:val="22"/>
          <w:highlight w:val="none"/>
        </w:rPr>
        <w:t>4.</w:t>
      </w:r>
      <w:r>
        <w:rPr>
          <w:rFonts w:hint="eastAsia" w:ascii="宋体" w:hAnsi="宋体" w:cs="宋体"/>
          <w:b/>
          <w:bCs/>
          <w:color w:val="auto"/>
          <w:sz w:val="24"/>
          <w:szCs w:val="22"/>
          <w:highlight w:val="none"/>
        </w:rPr>
        <w:t>人员其他要求</w:t>
      </w:r>
    </w:p>
    <w:p w14:paraId="0B5BB797">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w:t>
      </w:r>
      <w:r>
        <w:rPr>
          <w:rFonts w:hint="eastAsia" w:ascii="宋体" w:hAnsi="宋体" w:cs="仿宋"/>
          <w:color w:val="auto"/>
          <w:sz w:val="24"/>
          <w:highlight w:val="none"/>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14:paraId="0453866E">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2</w:t>
      </w:r>
      <w:r>
        <w:rPr>
          <w:rFonts w:hint="eastAsia" w:ascii="宋体" w:hAnsi="宋体" w:cs="仿宋"/>
          <w:color w:val="auto"/>
          <w:sz w:val="24"/>
          <w:highlight w:val="none"/>
        </w:rPr>
        <w:t>）合同期间，工作时间发生的所有人员的意外伤害、车辆事故等所有安全事故，由中标单位自行负责。</w:t>
      </w:r>
    </w:p>
    <w:p w14:paraId="6918651B">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3</w:t>
      </w:r>
      <w:r>
        <w:rPr>
          <w:rFonts w:hint="eastAsia" w:ascii="宋体" w:hAnsi="宋体" w:cs="仿宋"/>
          <w:color w:val="auto"/>
          <w:sz w:val="24"/>
          <w:highlight w:val="none"/>
        </w:rPr>
        <w:t>）中标人对服务人员必须按有关规定签订劳动合同并办理基本养老保险、基本医疗保险、生育保险、失业保险、工伤保险、意外人身伤害险等手续；工资待遇按《劳动法》有关规定执行，如不按规定办理，将扣除履约保证金。</w:t>
      </w:r>
    </w:p>
    <w:p w14:paraId="7068B87F">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验收要求</w:t>
      </w:r>
    </w:p>
    <w:p w14:paraId="6DD0BE1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1.根据采购文件确定的技术指标或者服务要求确定验收指标和标准。未进行相应约定的，应当符合国家强制性规定、政策要求、安全标准、行业或企业有关标准等。</w:t>
      </w:r>
    </w:p>
    <w:p w14:paraId="56DC25C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3347C70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.履约验收时间：</w:t>
      </w:r>
    </w:p>
    <w:p w14:paraId="04314A3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（1）初验时间：2025年10月底前且完成各子系统的开发工作后。</w:t>
      </w:r>
    </w:p>
    <w:p w14:paraId="1B2D2FA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（2）终验时间：系统完成1个月试运行后完成项目终验。</w:t>
      </w:r>
    </w:p>
    <w:p w14:paraId="2F795D2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验收时需提供的文档包括但不仅限于：项目投标文件电子稿、实施方案与实施计划、需求规格说明书、概要设计说明书、详细设计说明书、数据库设计说明书、培训方案、测试方案、测试记录及测试报告、配置和维护手册、系统试运行报告、项目总结报告、项目用户报告等相关材料。</w:t>
      </w:r>
    </w:p>
    <w:p w14:paraId="29DBC857">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系统</w:t>
      </w:r>
      <w:r>
        <w:rPr>
          <w:rFonts w:ascii="宋体" w:hAnsi="宋体" w:eastAsia="宋体" w:cs="宋体"/>
          <w:b/>
          <w:bCs/>
          <w:color w:val="auto"/>
          <w:sz w:val="32"/>
          <w:szCs w:val="32"/>
          <w:highlight w:val="none"/>
        </w:rPr>
        <w:t>演示要求</w:t>
      </w:r>
    </w:p>
    <w:p w14:paraId="30CD1389">
      <w:pPr>
        <w:autoSpaceDE w:val="0"/>
        <w:autoSpaceDN w:val="0"/>
        <w:spacing w:line="360" w:lineRule="auto"/>
        <w:ind w:firstLine="480" w:firstLineChars="200"/>
        <w:rPr>
          <w:rFonts w:ascii="宋体" w:hAnsi="宋体"/>
          <w:bCs/>
          <w:color w:val="auto"/>
          <w:sz w:val="24"/>
          <w:highlight w:val="none"/>
        </w:rPr>
      </w:pPr>
      <w:r>
        <w:rPr>
          <w:rFonts w:ascii="宋体" w:hAnsi="宋体"/>
          <w:bCs/>
          <w:color w:val="auto"/>
          <w:sz w:val="24"/>
          <w:highlight w:val="none"/>
        </w:rPr>
        <w:t>1.本项目安排</w:t>
      </w:r>
      <w:r>
        <w:rPr>
          <w:rFonts w:hint="eastAsia" w:ascii="宋体" w:hAnsi="宋体"/>
          <w:bCs/>
          <w:color w:val="auto"/>
          <w:sz w:val="24"/>
          <w:highlight w:val="none"/>
        </w:rPr>
        <w:t>系统</w:t>
      </w:r>
      <w:r>
        <w:rPr>
          <w:rFonts w:ascii="宋体" w:hAnsi="宋体"/>
          <w:bCs/>
          <w:color w:val="auto"/>
          <w:sz w:val="24"/>
          <w:highlight w:val="none"/>
        </w:rPr>
        <w:t>演示介绍环节，投标人需根据设计方案进行演示，</w:t>
      </w:r>
      <w:r>
        <w:rPr>
          <w:rFonts w:hint="eastAsia" w:ascii="宋体" w:hAnsi="宋体" w:cs="宋体"/>
          <w:color w:val="auto"/>
          <w:kern w:val="0"/>
          <w:sz w:val="24"/>
          <w:highlight w:val="none"/>
        </w:rPr>
        <w:t>每个投标人提供时间不超过</w:t>
      </w:r>
      <w:r>
        <w:rPr>
          <w:rFonts w:ascii="宋体" w:hAnsi="宋体" w:cs="宋体"/>
          <w:color w:val="auto"/>
          <w:kern w:val="0"/>
          <w:sz w:val="24"/>
          <w:highlight w:val="none"/>
          <w:u w:val="single"/>
        </w:rPr>
        <w:t>1</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分钟的演示视频，</w:t>
      </w:r>
      <w:r>
        <w:rPr>
          <w:rFonts w:hint="eastAsia" w:asciiTheme="minorEastAsia" w:hAnsiTheme="minorEastAsia"/>
          <w:color w:val="auto"/>
          <w:kern w:val="0"/>
          <w:sz w:val="24"/>
          <w:highlight w:val="none"/>
        </w:rPr>
        <w:t>由采购代理机构组织人员现场播放，</w:t>
      </w:r>
      <w:r>
        <w:rPr>
          <w:rFonts w:hint="eastAsia" w:ascii="宋体" w:hAnsi="宋体" w:cs="宋体"/>
          <w:color w:val="auto"/>
          <w:kern w:val="0"/>
          <w:sz w:val="24"/>
          <w:highlight w:val="none"/>
        </w:rPr>
        <w:t>播放次序以投标文件解密时间先后次序为准。</w:t>
      </w:r>
    </w:p>
    <w:p w14:paraId="12E0638D">
      <w:pPr>
        <w:autoSpaceDE w:val="0"/>
        <w:autoSpaceDN w:val="0"/>
        <w:spacing w:line="360" w:lineRule="auto"/>
        <w:ind w:firstLine="480" w:firstLineChars="200"/>
        <w:rPr>
          <w:color w:val="auto"/>
          <w:sz w:val="24"/>
          <w:highlight w:val="none"/>
        </w:rPr>
      </w:pPr>
      <w:r>
        <w:rPr>
          <w:rFonts w:ascii="宋体" w:hAnsi="宋体"/>
          <w:bCs/>
          <w:color w:val="auto"/>
          <w:sz w:val="24"/>
          <w:highlight w:val="none"/>
        </w:rPr>
        <w:t>2.演示内容：</w:t>
      </w:r>
      <w:r>
        <w:rPr>
          <w:rFonts w:hint="eastAsia" w:ascii="宋体" w:hAnsi="宋体"/>
          <w:bCs/>
          <w:color w:val="auto"/>
          <w:sz w:val="24"/>
          <w:highlight w:val="none"/>
        </w:rPr>
        <w:t>见评分标准。</w:t>
      </w:r>
    </w:p>
    <w:p w14:paraId="176A90E5">
      <w:pPr>
        <w:spacing w:line="360" w:lineRule="auto"/>
        <w:ind w:firstLine="181" w:firstLineChars="50"/>
        <w:rPr>
          <w:rFonts w:ascii="宋体" w:hAnsi="宋体" w:cs="宋体"/>
          <w:b/>
          <w:color w:val="auto"/>
          <w:sz w:val="36"/>
          <w:szCs w:val="36"/>
          <w:highlight w:val="none"/>
        </w:rPr>
      </w:pPr>
    </w:p>
    <w:p w14:paraId="76748E9F">
      <w:pPr>
        <w:spacing w:line="360" w:lineRule="auto"/>
        <w:rPr>
          <w:rFonts w:ascii="宋体" w:hAnsi="宋体" w:cs="宋体"/>
          <w:color w:val="auto"/>
          <w:sz w:val="24"/>
          <w:highlight w:val="none"/>
        </w:rPr>
      </w:pPr>
    </w:p>
    <w:p w14:paraId="02CCE14F">
      <w:pPr>
        <w:widowControl/>
        <w:ind w:firstLine="720" w:firstLineChars="300"/>
        <w:jc w:val="left"/>
        <w:rPr>
          <w:rFonts w:ascii="宋体" w:hAnsi="宋体" w:cs="宋体"/>
          <w:bCs/>
          <w:color w:val="auto"/>
          <w:sz w:val="24"/>
          <w:highlight w:val="none"/>
        </w:rPr>
      </w:pPr>
    </w:p>
    <w:p w14:paraId="649F92ED">
      <w:pPr>
        <w:rPr>
          <w:rFonts w:ascii="宋体" w:hAnsi="宋体" w:cs="宋体"/>
          <w:snapToGrid w:val="0"/>
          <w:color w:val="auto"/>
          <w:kern w:val="0"/>
          <w:sz w:val="24"/>
          <w:highlight w:val="none"/>
        </w:rPr>
      </w:pPr>
    </w:p>
    <w:p w14:paraId="7D5BAF3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11"/>
      <w:bookmarkEnd w:id="28"/>
      <w:bookmarkStart w:id="29" w:name="_Toc184314480"/>
      <w:bookmarkEnd w:id="29"/>
      <w:bookmarkStart w:id="30" w:name="_Toc184310322"/>
      <w:bookmarkEnd w:id="30"/>
      <w:bookmarkStart w:id="31" w:name="_Toc184313256"/>
      <w:bookmarkEnd w:id="31"/>
      <w:bookmarkStart w:id="32" w:name="_Toc184310295"/>
      <w:bookmarkEnd w:id="32"/>
      <w:bookmarkStart w:id="33" w:name="_Toc184308072"/>
      <w:bookmarkEnd w:id="33"/>
      <w:bookmarkStart w:id="34" w:name="_Toc184310334"/>
      <w:bookmarkEnd w:id="34"/>
      <w:bookmarkStart w:id="35" w:name="_Toc184310320"/>
      <w:bookmarkEnd w:id="35"/>
      <w:bookmarkStart w:id="36" w:name="_Toc184312095"/>
      <w:bookmarkEnd w:id="36"/>
      <w:bookmarkStart w:id="37" w:name="_Toc184312077"/>
      <w:bookmarkEnd w:id="37"/>
      <w:bookmarkStart w:id="38" w:name="_Toc184314430"/>
      <w:bookmarkEnd w:id="38"/>
      <w:bookmarkStart w:id="39" w:name="_Toc184310335"/>
      <w:bookmarkEnd w:id="39"/>
      <w:bookmarkStart w:id="40" w:name="_Toc184308061"/>
      <w:bookmarkEnd w:id="40"/>
      <w:bookmarkStart w:id="41" w:name="_Toc184308065"/>
      <w:bookmarkEnd w:id="41"/>
      <w:bookmarkStart w:id="42" w:name="_Toc184312091"/>
      <w:bookmarkEnd w:id="42"/>
      <w:bookmarkStart w:id="43" w:name="_Toc184308088"/>
      <w:bookmarkEnd w:id="43"/>
      <w:bookmarkStart w:id="44" w:name="_Toc184310296"/>
      <w:bookmarkEnd w:id="44"/>
      <w:bookmarkStart w:id="45" w:name="_Toc184312098"/>
      <w:bookmarkEnd w:id="45"/>
      <w:bookmarkStart w:id="46" w:name="_Toc184312136"/>
      <w:bookmarkEnd w:id="46"/>
      <w:bookmarkStart w:id="47" w:name="_Toc184314412"/>
      <w:bookmarkEnd w:id="47"/>
      <w:bookmarkStart w:id="48" w:name="_Toc184313273"/>
      <w:bookmarkEnd w:id="48"/>
      <w:bookmarkStart w:id="49" w:name="_Toc184313246"/>
      <w:bookmarkEnd w:id="49"/>
      <w:bookmarkStart w:id="50" w:name="_Toc184310314"/>
      <w:bookmarkEnd w:id="50"/>
      <w:bookmarkStart w:id="51" w:name="_Toc184313270"/>
      <w:bookmarkEnd w:id="51"/>
      <w:bookmarkStart w:id="52" w:name="_Toc184312131"/>
      <w:bookmarkEnd w:id="52"/>
      <w:bookmarkStart w:id="53" w:name="_Toc184312129"/>
      <w:bookmarkEnd w:id="53"/>
      <w:bookmarkStart w:id="54" w:name="_Toc184310308"/>
      <w:bookmarkEnd w:id="54"/>
      <w:bookmarkStart w:id="55" w:name="_Toc184313249"/>
      <w:bookmarkEnd w:id="55"/>
      <w:bookmarkStart w:id="56" w:name="_Toc184314422"/>
      <w:bookmarkEnd w:id="56"/>
      <w:bookmarkStart w:id="57" w:name="_Toc184312133"/>
      <w:bookmarkEnd w:id="57"/>
      <w:bookmarkStart w:id="58" w:name="_Toc184314425"/>
      <w:bookmarkEnd w:id="58"/>
      <w:bookmarkStart w:id="59" w:name="_Toc184313305"/>
      <w:bookmarkEnd w:id="59"/>
      <w:bookmarkStart w:id="60" w:name="_Toc184308084"/>
      <w:bookmarkEnd w:id="60"/>
      <w:bookmarkStart w:id="61" w:name="_Toc184308096"/>
      <w:bookmarkEnd w:id="61"/>
      <w:bookmarkStart w:id="62" w:name="_Toc184312107"/>
      <w:bookmarkEnd w:id="62"/>
      <w:bookmarkStart w:id="63" w:name="_Toc184313290"/>
      <w:bookmarkEnd w:id="63"/>
      <w:bookmarkStart w:id="64" w:name="_Toc184314469"/>
      <w:bookmarkEnd w:id="64"/>
      <w:bookmarkStart w:id="65" w:name="_Toc184312096"/>
      <w:bookmarkEnd w:id="65"/>
      <w:bookmarkStart w:id="66" w:name="_Toc184314452"/>
      <w:bookmarkEnd w:id="66"/>
      <w:bookmarkStart w:id="67" w:name="_Toc184308087"/>
      <w:bookmarkEnd w:id="67"/>
      <w:bookmarkStart w:id="68" w:name="_Toc184313306"/>
      <w:bookmarkEnd w:id="68"/>
      <w:bookmarkStart w:id="69" w:name="_Toc184310301"/>
      <w:bookmarkEnd w:id="69"/>
      <w:bookmarkStart w:id="70" w:name="_Toc184314436"/>
      <w:bookmarkEnd w:id="70"/>
      <w:bookmarkStart w:id="71" w:name="_Toc184308060"/>
      <w:bookmarkEnd w:id="71"/>
      <w:bookmarkStart w:id="72" w:name="_Toc184313266"/>
      <w:bookmarkEnd w:id="72"/>
      <w:bookmarkStart w:id="73" w:name="_Toc184314429"/>
      <w:bookmarkEnd w:id="73"/>
      <w:bookmarkStart w:id="74" w:name="_Toc184313264"/>
      <w:bookmarkEnd w:id="74"/>
      <w:bookmarkStart w:id="75" w:name="_Toc184314456"/>
      <w:bookmarkEnd w:id="75"/>
      <w:bookmarkStart w:id="76" w:name="_Toc184310303"/>
      <w:bookmarkEnd w:id="76"/>
      <w:bookmarkStart w:id="77" w:name="_Toc184313299"/>
      <w:bookmarkEnd w:id="77"/>
      <w:bookmarkStart w:id="78" w:name="_Toc184312105"/>
      <w:bookmarkEnd w:id="78"/>
      <w:bookmarkStart w:id="79" w:name="_Toc184310283"/>
      <w:bookmarkEnd w:id="79"/>
      <w:bookmarkStart w:id="80" w:name="_Toc184313310"/>
      <w:bookmarkEnd w:id="80"/>
      <w:bookmarkStart w:id="81" w:name="_Toc184312070"/>
      <w:bookmarkEnd w:id="81"/>
      <w:bookmarkStart w:id="82" w:name="_Toc184312122"/>
      <w:bookmarkEnd w:id="82"/>
      <w:bookmarkStart w:id="83" w:name="_Toc184313269"/>
      <w:bookmarkEnd w:id="83"/>
      <w:bookmarkStart w:id="84" w:name="_Toc184313294"/>
      <w:bookmarkEnd w:id="84"/>
      <w:bookmarkStart w:id="85" w:name="_Toc184313292"/>
      <w:bookmarkEnd w:id="85"/>
      <w:bookmarkStart w:id="86" w:name="_Toc184314413"/>
      <w:bookmarkEnd w:id="86"/>
      <w:bookmarkStart w:id="87" w:name="_Toc184312125"/>
      <w:bookmarkEnd w:id="87"/>
      <w:bookmarkStart w:id="88" w:name="_Toc184313243"/>
      <w:bookmarkEnd w:id="88"/>
      <w:bookmarkStart w:id="89" w:name="_Toc184313255"/>
      <w:bookmarkEnd w:id="89"/>
      <w:bookmarkStart w:id="90" w:name="_Toc184312069"/>
      <w:bookmarkEnd w:id="90"/>
      <w:bookmarkStart w:id="91" w:name="_Toc184314471"/>
      <w:bookmarkEnd w:id="91"/>
      <w:bookmarkStart w:id="92" w:name="_Toc184308058"/>
      <w:bookmarkEnd w:id="92"/>
      <w:bookmarkStart w:id="93" w:name="_Toc184308038"/>
      <w:bookmarkEnd w:id="93"/>
      <w:bookmarkStart w:id="94" w:name="_Toc184310282"/>
      <w:bookmarkEnd w:id="94"/>
      <w:bookmarkStart w:id="95" w:name="_Toc184310341"/>
      <w:bookmarkEnd w:id="95"/>
      <w:bookmarkStart w:id="96" w:name="_Toc184310316"/>
      <w:bookmarkEnd w:id="96"/>
      <w:bookmarkStart w:id="97" w:name="_Toc184310272"/>
      <w:bookmarkEnd w:id="97"/>
      <w:bookmarkStart w:id="98" w:name="_Toc184308093"/>
      <w:bookmarkEnd w:id="98"/>
      <w:bookmarkStart w:id="99" w:name="_Toc184308100"/>
      <w:bookmarkEnd w:id="99"/>
      <w:bookmarkStart w:id="100" w:name="_Toc184314444"/>
      <w:bookmarkEnd w:id="100"/>
      <w:bookmarkStart w:id="101" w:name="_Toc184313253"/>
      <w:bookmarkEnd w:id="101"/>
      <w:bookmarkStart w:id="102" w:name="_Toc184310275"/>
      <w:bookmarkEnd w:id="102"/>
      <w:bookmarkStart w:id="103" w:name="_Toc184314442"/>
      <w:bookmarkEnd w:id="103"/>
      <w:bookmarkStart w:id="104" w:name="_Toc184308099"/>
      <w:bookmarkEnd w:id="104"/>
      <w:bookmarkStart w:id="105" w:name="_Toc184313263"/>
      <w:bookmarkEnd w:id="105"/>
      <w:bookmarkStart w:id="106" w:name="_Toc184310330"/>
      <w:bookmarkEnd w:id="106"/>
      <w:bookmarkStart w:id="107" w:name="_Toc184313250"/>
      <w:bookmarkEnd w:id="107"/>
      <w:bookmarkStart w:id="108" w:name="_Toc184314458"/>
      <w:bookmarkEnd w:id="108"/>
      <w:bookmarkStart w:id="109" w:name="_Toc184310309"/>
      <w:bookmarkEnd w:id="109"/>
      <w:bookmarkStart w:id="110" w:name="_Toc184312081"/>
      <w:bookmarkEnd w:id="110"/>
      <w:bookmarkStart w:id="111" w:name="_Toc184313275"/>
      <w:bookmarkEnd w:id="111"/>
      <w:bookmarkStart w:id="112" w:name="_Toc184313301"/>
      <w:bookmarkEnd w:id="112"/>
      <w:bookmarkStart w:id="113" w:name="_Toc184308053"/>
      <w:bookmarkEnd w:id="113"/>
      <w:bookmarkStart w:id="114" w:name="_Toc184308103"/>
      <w:bookmarkEnd w:id="114"/>
      <w:bookmarkStart w:id="115" w:name="_Toc184308036"/>
      <w:bookmarkEnd w:id="115"/>
      <w:bookmarkStart w:id="116" w:name="_Toc184310321"/>
      <w:bookmarkEnd w:id="116"/>
      <w:bookmarkStart w:id="117" w:name="_Toc184314481"/>
      <w:bookmarkEnd w:id="117"/>
      <w:bookmarkStart w:id="118" w:name="_Toc184312084"/>
      <w:bookmarkEnd w:id="118"/>
      <w:bookmarkStart w:id="119" w:name="_Toc184312127"/>
      <w:bookmarkEnd w:id="119"/>
      <w:bookmarkStart w:id="120" w:name="_Toc184314468"/>
      <w:bookmarkEnd w:id="120"/>
      <w:bookmarkStart w:id="121" w:name="_Toc184313261"/>
      <w:bookmarkEnd w:id="121"/>
      <w:bookmarkStart w:id="122" w:name="_Toc184312108"/>
      <w:bookmarkEnd w:id="122"/>
      <w:bookmarkStart w:id="123" w:name="_Toc184308067"/>
      <w:bookmarkEnd w:id="123"/>
      <w:bookmarkStart w:id="124" w:name="_Toc184312087"/>
      <w:bookmarkEnd w:id="124"/>
      <w:bookmarkStart w:id="125" w:name="_Toc184313254"/>
      <w:bookmarkEnd w:id="125"/>
      <w:bookmarkStart w:id="126" w:name="_Toc184310340"/>
      <w:bookmarkEnd w:id="126"/>
      <w:bookmarkStart w:id="127" w:name="_Toc184314460"/>
      <w:bookmarkEnd w:id="127"/>
      <w:bookmarkStart w:id="128" w:name="_Toc184313244"/>
      <w:bookmarkEnd w:id="128"/>
      <w:bookmarkStart w:id="129" w:name="_Toc184310278"/>
      <w:bookmarkEnd w:id="129"/>
      <w:bookmarkStart w:id="130" w:name="_Toc184310325"/>
      <w:bookmarkEnd w:id="130"/>
      <w:bookmarkStart w:id="131" w:name="_Toc184310284"/>
      <w:bookmarkEnd w:id="131"/>
      <w:bookmarkStart w:id="132" w:name="_Toc184312078"/>
      <w:bookmarkEnd w:id="132"/>
      <w:bookmarkStart w:id="133" w:name="_Toc184313272"/>
      <w:bookmarkEnd w:id="133"/>
      <w:bookmarkStart w:id="134" w:name="_Toc184314464"/>
      <w:bookmarkEnd w:id="134"/>
      <w:bookmarkStart w:id="135" w:name="_Toc184312094"/>
      <w:bookmarkEnd w:id="135"/>
      <w:bookmarkStart w:id="136" w:name="_Toc184310344"/>
      <w:bookmarkEnd w:id="136"/>
      <w:bookmarkStart w:id="137" w:name="_Toc184310299"/>
      <w:bookmarkEnd w:id="137"/>
      <w:bookmarkStart w:id="138" w:name="_Toc184308082"/>
      <w:bookmarkEnd w:id="138"/>
      <w:bookmarkStart w:id="139" w:name="_Toc184310339"/>
      <w:bookmarkEnd w:id="139"/>
      <w:bookmarkStart w:id="140" w:name="_Toc184314414"/>
      <w:bookmarkEnd w:id="140"/>
      <w:bookmarkStart w:id="141" w:name="_Toc184312080"/>
      <w:bookmarkEnd w:id="141"/>
      <w:bookmarkStart w:id="142" w:name="_Toc184314443"/>
      <w:bookmarkEnd w:id="142"/>
      <w:bookmarkStart w:id="143" w:name="_Toc184312068"/>
      <w:bookmarkEnd w:id="143"/>
      <w:bookmarkStart w:id="144" w:name="_Toc184312132"/>
      <w:bookmarkEnd w:id="144"/>
      <w:bookmarkStart w:id="145" w:name="_Toc184312124"/>
      <w:bookmarkEnd w:id="145"/>
      <w:bookmarkStart w:id="146" w:name="_Toc184313302"/>
      <w:bookmarkEnd w:id="146"/>
      <w:bookmarkStart w:id="147" w:name="_Toc184310318"/>
      <w:bookmarkEnd w:id="147"/>
      <w:bookmarkStart w:id="148" w:name="_Toc184308079"/>
      <w:bookmarkEnd w:id="148"/>
      <w:bookmarkStart w:id="149" w:name="_Toc184308091"/>
      <w:bookmarkEnd w:id="149"/>
      <w:bookmarkStart w:id="150" w:name="_Toc184313288"/>
      <w:bookmarkEnd w:id="150"/>
      <w:bookmarkStart w:id="151" w:name="_Toc184313289"/>
      <w:bookmarkEnd w:id="151"/>
      <w:bookmarkStart w:id="152" w:name="_Toc184314423"/>
      <w:bookmarkEnd w:id="152"/>
      <w:bookmarkStart w:id="153" w:name="_Toc184308083"/>
      <w:bookmarkEnd w:id="153"/>
      <w:bookmarkStart w:id="154" w:name="_Toc184310285"/>
      <w:bookmarkEnd w:id="154"/>
      <w:bookmarkStart w:id="155" w:name="_Toc184312071"/>
      <w:bookmarkEnd w:id="155"/>
      <w:bookmarkStart w:id="156" w:name="_Toc184308059"/>
      <w:bookmarkEnd w:id="156"/>
      <w:bookmarkStart w:id="157" w:name="_Toc184314453"/>
      <w:bookmarkEnd w:id="157"/>
      <w:bookmarkStart w:id="158" w:name="_Toc184312076"/>
      <w:bookmarkEnd w:id="158"/>
      <w:bookmarkStart w:id="159" w:name="_Toc184308064"/>
      <w:bookmarkEnd w:id="159"/>
      <w:bookmarkStart w:id="160" w:name="_Toc184310290"/>
      <w:bookmarkEnd w:id="160"/>
      <w:bookmarkStart w:id="161" w:name="_Toc184313245"/>
      <w:bookmarkEnd w:id="161"/>
      <w:bookmarkStart w:id="162" w:name="_Toc184308051"/>
      <w:bookmarkEnd w:id="162"/>
      <w:bookmarkStart w:id="163" w:name="_Toc184314418"/>
      <w:bookmarkEnd w:id="163"/>
      <w:bookmarkStart w:id="164" w:name="_Toc184308050"/>
      <w:bookmarkEnd w:id="164"/>
      <w:bookmarkStart w:id="165" w:name="_Toc184312123"/>
      <w:bookmarkEnd w:id="165"/>
      <w:bookmarkStart w:id="166" w:name="_Toc184312102"/>
      <w:bookmarkEnd w:id="166"/>
      <w:bookmarkStart w:id="167" w:name="_Toc184314476"/>
      <w:bookmarkEnd w:id="167"/>
      <w:bookmarkStart w:id="168" w:name="_Toc184310288"/>
      <w:bookmarkEnd w:id="168"/>
      <w:bookmarkStart w:id="169" w:name="_Toc184313258"/>
      <w:bookmarkEnd w:id="169"/>
      <w:bookmarkStart w:id="170" w:name="_Toc184313295"/>
      <w:bookmarkEnd w:id="170"/>
      <w:bookmarkStart w:id="171" w:name="_Toc184310298"/>
      <w:bookmarkEnd w:id="171"/>
      <w:bookmarkStart w:id="172" w:name="_Toc184308085"/>
      <w:bookmarkEnd w:id="172"/>
      <w:bookmarkStart w:id="173" w:name="_Toc184312104"/>
      <w:bookmarkEnd w:id="173"/>
      <w:bookmarkStart w:id="174" w:name="_Toc184310338"/>
      <w:bookmarkEnd w:id="174"/>
      <w:bookmarkStart w:id="175" w:name="_Toc184312116"/>
      <w:bookmarkEnd w:id="175"/>
      <w:bookmarkStart w:id="176" w:name="_Toc184312074"/>
      <w:bookmarkEnd w:id="176"/>
      <w:bookmarkStart w:id="177" w:name="_Toc184314462"/>
      <w:bookmarkEnd w:id="177"/>
      <w:bookmarkStart w:id="178" w:name="_Toc184312073"/>
      <w:bookmarkEnd w:id="178"/>
      <w:bookmarkStart w:id="179" w:name="_Toc184314415"/>
      <w:bookmarkEnd w:id="179"/>
      <w:bookmarkStart w:id="180" w:name="_Toc184313304"/>
      <w:bookmarkEnd w:id="180"/>
      <w:bookmarkStart w:id="181" w:name="_Toc184312089"/>
      <w:bookmarkEnd w:id="181"/>
      <w:bookmarkStart w:id="182" w:name="_Toc184314472"/>
      <w:bookmarkEnd w:id="182"/>
      <w:bookmarkStart w:id="183" w:name="_Toc184308043"/>
      <w:bookmarkEnd w:id="183"/>
      <w:bookmarkStart w:id="184" w:name="_Toc184310332"/>
      <w:bookmarkEnd w:id="184"/>
      <w:bookmarkStart w:id="185" w:name="_Toc184312115"/>
      <w:bookmarkEnd w:id="185"/>
      <w:bookmarkStart w:id="186" w:name="_Toc184310307"/>
      <w:bookmarkEnd w:id="186"/>
      <w:bookmarkStart w:id="187" w:name="_Toc184314450"/>
      <w:bookmarkEnd w:id="187"/>
      <w:bookmarkStart w:id="188" w:name="_Toc184313267"/>
      <w:bookmarkEnd w:id="188"/>
      <w:bookmarkStart w:id="189" w:name="_Toc184310300"/>
      <w:bookmarkEnd w:id="189"/>
      <w:bookmarkStart w:id="190" w:name="_Toc184308071"/>
      <w:bookmarkEnd w:id="190"/>
      <w:bookmarkStart w:id="191" w:name="_Toc184313279"/>
      <w:bookmarkEnd w:id="191"/>
      <w:bookmarkStart w:id="192" w:name="_Toc184308062"/>
      <w:bookmarkEnd w:id="192"/>
      <w:bookmarkStart w:id="193" w:name="_Toc184313259"/>
      <w:bookmarkEnd w:id="193"/>
      <w:bookmarkStart w:id="194" w:name="_Toc184314435"/>
      <w:bookmarkEnd w:id="194"/>
      <w:bookmarkStart w:id="195" w:name="_Toc184313281"/>
      <w:bookmarkEnd w:id="195"/>
      <w:bookmarkStart w:id="196" w:name="_Toc184314459"/>
      <w:bookmarkEnd w:id="196"/>
      <w:bookmarkStart w:id="197" w:name="_Toc184312083"/>
      <w:bookmarkEnd w:id="197"/>
      <w:bookmarkStart w:id="198" w:name="_Toc184308042"/>
      <w:bookmarkEnd w:id="198"/>
      <w:bookmarkStart w:id="199" w:name="_Toc184312097"/>
      <w:bookmarkEnd w:id="199"/>
      <w:bookmarkStart w:id="200" w:name="_Toc184312126"/>
      <w:bookmarkEnd w:id="200"/>
      <w:bookmarkStart w:id="201" w:name="_Toc184312121"/>
      <w:bookmarkEnd w:id="201"/>
      <w:bookmarkStart w:id="202" w:name="_Toc184308057"/>
      <w:bookmarkEnd w:id="202"/>
      <w:bookmarkStart w:id="203" w:name="_Toc184313248"/>
      <w:bookmarkEnd w:id="203"/>
      <w:bookmarkStart w:id="204" w:name="_Toc184308086"/>
      <w:bookmarkEnd w:id="204"/>
      <w:bookmarkStart w:id="205" w:name="_Toc184312101"/>
      <w:bookmarkEnd w:id="205"/>
      <w:bookmarkStart w:id="206" w:name="_Toc184310293"/>
      <w:bookmarkEnd w:id="206"/>
      <w:bookmarkStart w:id="207" w:name="_Toc184310292"/>
      <w:bookmarkEnd w:id="207"/>
      <w:bookmarkStart w:id="208" w:name="_Toc184308074"/>
      <w:bookmarkEnd w:id="208"/>
      <w:bookmarkStart w:id="209" w:name="_Toc184310326"/>
      <w:bookmarkEnd w:id="209"/>
      <w:bookmarkStart w:id="210" w:name="_Toc184314445"/>
      <w:bookmarkEnd w:id="210"/>
      <w:bookmarkStart w:id="211" w:name="_Toc184313247"/>
      <w:bookmarkEnd w:id="211"/>
      <w:bookmarkStart w:id="212" w:name="_Toc184314441"/>
      <w:bookmarkEnd w:id="212"/>
      <w:bookmarkStart w:id="213" w:name="_Toc184308089"/>
      <w:bookmarkEnd w:id="213"/>
      <w:bookmarkStart w:id="214" w:name="_Toc184314410"/>
      <w:bookmarkEnd w:id="214"/>
      <w:bookmarkStart w:id="215" w:name="_Toc184308063"/>
      <w:bookmarkEnd w:id="215"/>
      <w:bookmarkStart w:id="216" w:name="_Toc184312090"/>
      <w:bookmarkEnd w:id="216"/>
      <w:bookmarkStart w:id="217" w:name="_Toc184313257"/>
      <w:bookmarkEnd w:id="217"/>
      <w:bookmarkStart w:id="218" w:name="_Toc184313240"/>
      <w:bookmarkEnd w:id="218"/>
      <w:bookmarkStart w:id="219" w:name="_Toc184308047"/>
      <w:bookmarkEnd w:id="219"/>
      <w:bookmarkStart w:id="220" w:name="_Toc184308045"/>
      <w:bookmarkEnd w:id="220"/>
      <w:bookmarkStart w:id="221" w:name="_Toc184314457"/>
      <w:bookmarkEnd w:id="221"/>
      <w:bookmarkStart w:id="222" w:name="_Toc184314432"/>
      <w:bookmarkEnd w:id="222"/>
      <w:bookmarkStart w:id="223" w:name="_Toc184310274"/>
      <w:bookmarkEnd w:id="223"/>
      <w:bookmarkStart w:id="224" w:name="_Toc184314438"/>
      <w:bookmarkEnd w:id="224"/>
      <w:bookmarkStart w:id="225" w:name="_Toc184310327"/>
      <w:bookmarkEnd w:id="225"/>
      <w:bookmarkStart w:id="226" w:name="_Toc184308066"/>
      <w:bookmarkEnd w:id="226"/>
      <w:bookmarkStart w:id="227" w:name="_Toc184310336"/>
      <w:bookmarkEnd w:id="227"/>
      <w:bookmarkStart w:id="228" w:name="_Toc184313277"/>
      <w:bookmarkEnd w:id="228"/>
      <w:bookmarkStart w:id="229" w:name="_Toc184310317"/>
      <w:bookmarkEnd w:id="229"/>
      <w:bookmarkStart w:id="230" w:name="_Toc184308090"/>
      <w:bookmarkEnd w:id="230"/>
      <w:bookmarkStart w:id="231" w:name="_Toc184308049"/>
      <w:bookmarkEnd w:id="231"/>
      <w:bookmarkStart w:id="232" w:name="_Toc184314416"/>
      <w:bookmarkEnd w:id="232"/>
      <w:bookmarkStart w:id="233" w:name="_Toc184312085"/>
      <w:bookmarkEnd w:id="233"/>
      <w:bookmarkStart w:id="234" w:name="_Toc184308105"/>
      <w:bookmarkEnd w:id="234"/>
      <w:bookmarkStart w:id="235" w:name="_Toc184310333"/>
      <w:bookmarkEnd w:id="235"/>
      <w:bookmarkStart w:id="236" w:name="_Toc184310280"/>
      <w:bookmarkEnd w:id="236"/>
      <w:bookmarkStart w:id="237" w:name="_Toc184310305"/>
      <w:bookmarkEnd w:id="237"/>
      <w:bookmarkStart w:id="238" w:name="_Toc184314466"/>
      <w:bookmarkEnd w:id="238"/>
      <w:bookmarkStart w:id="239" w:name="_Toc184313260"/>
      <w:bookmarkEnd w:id="239"/>
      <w:bookmarkStart w:id="240" w:name="_Toc184308073"/>
      <w:bookmarkEnd w:id="240"/>
      <w:bookmarkStart w:id="241" w:name="_Toc184308039"/>
      <w:bookmarkEnd w:id="241"/>
      <w:bookmarkStart w:id="242" w:name="_Toc184312118"/>
      <w:bookmarkEnd w:id="242"/>
      <w:bookmarkStart w:id="243" w:name="_Toc184310276"/>
      <w:bookmarkEnd w:id="243"/>
      <w:bookmarkStart w:id="244" w:name="_Toc184312103"/>
      <w:bookmarkEnd w:id="244"/>
      <w:bookmarkStart w:id="245" w:name="_Toc184314463"/>
      <w:bookmarkEnd w:id="245"/>
      <w:bookmarkStart w:id="246" w:name="_Toc184310304"/>
      <w:bookmarkEnd w:id="246"/>
      <w:bookmarkStart w:id="247" w:name="_Toc184313262"/>
      <w:bookmarkEnd w:id="247"/>
      <w:bookmarkStart w:id="248" w:name="_Toc184312113"/>
      <w:bookmarkEnd w:id="248"/>
      <w:bookmarkStart w:id="249" w:name="_Toc184313242"/>
      <w:bookmarkEnd w:id="249"/>
      <w:bookmarkStart w:id="250" w:name="_Toc184308106"/>
      <w:bookmarkEnd w:id="250"/>
      <w:bookmarkStart w:id="251" w:name="_Toc184314474"/>
      <w:bookmarkEnd w:id="251"/>
      <w:bookmarkStart w:id="252" w:name="_Toc184308040"/>
      <w:bookmarkEnd w:id="252"/>
      <w:bookmarkStart w:id="253" w:name="_Toc184308081"/>
      <w:bookmarkEnd w:id="253"/>
      <w:bookmarkStart w:id="254" w:name="_Toc184310277"/>
      <w:bookmarkEnd w:id="254"/>
      <w:bookmarkStart w:id="255" w:name="_Toc184314440"/>
      <w:bookmarkEnd w:id="255"/>
      <w:bookmarkStart w:id="256" w:name="_Toc184313297"/>
      <w:bookmarkEnd w:id="256"/>
      <w:bookmarkStart w:id="257" w:name="_Toc184310281"/>
      <w:bookmarkEnd w:id="257"/>
      <w:bookmarkStart w:id="258" w:name="_Toc184308052"/>
      <w:bookmarkEnd w:id="258"/>
      <w:bookmarkStart w:id="259" w:name="_Toc184310313"/>
      <w:bookmarkEnd w:id="259"/>
      <w:bookmarkStart w:id="260" w:name="_Toc184314420"/>
      <w:bookmarkEnd w:id="260"/>
      <w:bookmarkStart w:id="261" w:name="_Toc184313252"/>
      <w:bookmarkEnd w:id="261"/>
      <w:bookmarkStart w:id="262" w:name="_Toc184313276"/>
      <w:bookmarkEnd w:id="262"/>
      <w:bookmarkStart w:id="263" w:name="_Toc184314421"/>
      <w:bookmarkEnd w:id="263"/>
      <w:bookmarkStart w:id="264" w:name="_Toc184310331"/>
      <w:bookmarkEnd w:id="264"/>
      <w:bookmarkStart w:id="265" w:name="_Toc184308056"/>
      <w:bookmarkEnd w:id="265"/>
      <w:bookmarkStart w:id="266" w:name="_Toc184310328"/>
      <w:bookmarkEnd w:id="266"/>
      <w:bookmarkStart w:id="267" w:name="_Toc184310343"/>
      <w:bookmarkEnd w:id="267"/>
      <w:bookmarkStart w:id="268" w:name="_Toc184314477"/>
      <w:bookmarkEnd w:id="268"/>
      <w:bookmarkStart w:id="269" w:name="_Toc184314448"/>
      <w:bookmarkEnd w:id="269"/>
      <w:bookmarkStart w:id="270" w:name="_Toc184314446"/>
      <w:bookmarkEnd w:id="270"/>
      <w:bookmarkStart w:id="271" w:name="_Toc184313238"/>
      <w:bookmarkEnd w:id="271"/>
      <w:bookmarkStart w:id="272" w:name="_Toc184314449"/>
      <w:bookmarkEnd w:id="272"/>
      <w:bookmarkStart w:id="273" w:name="_Toc184313303"/>
      <w:bookmarkEnd w:id="273"/>
      <w:bookmarkStart w:id="274" w:name="_Toc184314437"/>
      <w:bookmarkEnd w:id="274"/>
      <w:bookmarkStart w:id="275" w:name="_Toc184313284"/>
      <w:bookmarkEnd w:id="275"/>
      <w:bookmarkStart w:id="276" w:name="_Toc184313268"/>
      <w:bookmarkEnd w:id="276"/>
      <w:bookmarkStart w:id="277" w:name="_Toc184312120"/>
      <w:bookmarkEnd w:id="277"/>
      <w:bookmarkStart w:id="278" w:name="_Toc184312128"/>
      <w:bookmarkEnd w:id="278"/>
      <w:bookmarkStart w:id="279" w:name="_Toc184312135"/>
      <w:bookmarkEnd w:id="279"/>
      <w:bookmarkStart w:id="280" w:name="_Toc184312092"/>
      <w:bookmarkEnd w:id="280"/>
      <w:bookmarkStart w:id="281" w:name="_Toc184310312"/>
      <w:bookmarkEnd w:id="281"/>
      <w:bookmarkStart w:id="282" w:name="_Toc184313308"/>
      <w:bookmarkEnd w:id="282"/>
      <w:bookmarkStart w:id="283" w:name="_Toc184308094"/>
      <w:bookmarkEnd w:id="283"/>
      <w:bookmarkStart w:id="284" w:name="_Toc184314461"/>
      <w:bookmarkEnd w:id="284"/>
      <w:bookmarkStart w:id="285" w:name="_Toc184312139"/>
      <w:bookmarkEnd w:id="285"/>
      <w:bookmarkStart w:id="286" w:name="_Toc184314431"/>
      <w:bookmarkEnd w:id="286"/>
      <w:bookmarkStart w:id="287" w:name="_Toc184308107"/>
      <w:bookmarkEnd w:id="287"/>
      <w:bookmarkStart w:id="288" w:name="_Toc184312111"/>
      <w:bookmarkEnd w:id="288"/>
      <w:bookmarkStart w:id="289" w:name="_Toc184308101"/>
      <w:bookmarkEnd w:id="289"/>
      <w:bookmarkStart w:id="290" w:name="_Toc184312112"/>
      <w:bookmarkEnd w:id="290"/>
      <w:bookmarkStart w:id="291" w:name="_Toc184310337"/>
      <w:bookmarkEnd w:id="291"/>
      <w:bookmarkStart w:id="292" w:name="_Toc184313298"/>
      <w:bookmarkEnd w:id="292"/>
      <w:bookmarkStart w:id="293" w:name="_Toc184308097"/>
      <w:bookmarkEnd w:id="293"/>
      <w:bookmarkStart w:id="294" w:name="_Toc184312075"/>
      <w:bookmarkEnd w:id="294"/>
      <w:bookmarkStart w:id="295" w:name="_Toc184312072"/>
      <w:bookmarkEnd w:id="295"/>
      <w:bookmarkStart w:id="296" w:name="_Toc184313282"/>
      <w:bookmarkEnd w:id="296"/>
      <w:bookmarkStart w:id="297" w:name="_Toc184308055"/>
      <w:bookmarkEnd w:id="297"/>
      <w:bookmarkStart w:id="298" w:name="_Toc184314419"/>
      <w:bookmarkEnd w:id="298"/>
      <w:bookmarkStart w:id="299" w:name="_Toc184308070"/>
      <w:bookmarkEnd w:id="299"/>
      <w:bookmarkStart w:id="300" w:name="_Toc184314478"/>
      <w:bookmarkEnd w:id="300"/>
      <w:bookmarkStart w:id="301" w:name="_Toc184314411"/>
      <w:bookmarkEnd w:id="301"/>
      <w:bookmarkStart w:id="302" w:name="_Toc184314475"/>
      <w:bookmarkEnd w:id="302"/>
      <w:bookmarkStart w:id="303" w:name="_Toc184314434"/>
      <w:bookmarkEnd w:id="303"/>
      <w:bookmarkStart w:id="304" w:name="_Toc184313309"/>
      <w:bookmarkEnd w:id="304"/>
      <w:bookmarkStart w:id="305" w:name="_Toc184310306"/>
      <w:bookmarkEnd w:id="305"/>
      <w:bookmarkStart w:id="306" w:name="_Toc184314482"/>
      <w:bookmarkEnd w:id="306"/>
      <w:bookmarkStart w:id="307" w:name="_Toc184310329"/>
      <w:bookmarkEnd w:id="307"/>
      <w:bookmarkStart w:id="308" w:name="_Toc184312134"/>
      <w:bookmarkEnd w:id="308"/>
      <w:bookmarkStart w:id="309" w:name="_Toc184314428"/>
      <w:bookmarkEnd w:id="309"/>
      <w:bookmarkStart w:id="310" w:name="_Toc184313271"/>
      <w:bookmarkEnd w:id="310"/>
      <w:bookmarkStart w:id="311" w:name="_Toc184312079"/>
      <w:bookmarkEnd w:id="311"/>
      <w:bookmarkStart w:id="312" w:name="_Toc184314417"/>
      <w:bookmarkEnd w:id="312"/>
      <w:bookmarkStart w:id="313" w:name="_Toc184308046"/>
      <w:bookmarkEnd w:id="313"/>
      <w:bookmarkStart w:id="314" w:name="_Toc184310315"/>
      <w:bookmarkEnd w:id="314"/>
      <w:bookmarkStart w:id="315" w:name="_Toc184313274"/>
      <w:bookmarkEnd w:id="315"/>
      <w:bookmarkStart w:id="316" w:name="_Toc184308078"/>
      <w:bookmarkEnd w:id="316"/>
      <w:bookmarkStart w:id="317" w:name="_Toc184310323"/>
      <w:bookmarkEnd w:id="317"/>
      <w:bookmarkStart w:id="318" w:name="_Toc184310310"/>
      <w:bookmarkEnd w:id="318"/>
      <w:bookmarkStart w:id="319" w:name="_Toc184310319"/>
      <w:bookmarkEnd w:id="319"/>
      <w:bookmarkStart w:id="320" w:name="_Toc184308076"/>
      <w:bookmarkEnd w:id="320"/>
      <w:bookmarkStart w:id="321" w:name="_Toc184314465"/>
      <w:bookmarkEnd w:id="321"/>
      <w:bookmarkStart w:id="322" w:name="_Toc184310287"/>
      <w:bookmarkEnd w:id="322"/>
      <w:bookmarkStart w:id="323" w:name="_Toc184314470"/>
      <w:bookmarkEnd w:id="323"/>
      <w:bookmarkStart w:id="324" w:name="_Toc184308037"/>
      <w:bookmarkEnd w:id="324"/>
      <w:bookmarkStart w:id="325" w:name="_Toc184313241"/>
      <w:bookmarkEnd w:id="325"/>
      <w:bookmarkStart w:id="326" w:name="_Toc184314433"/>
      <w:bookmarkEnd w:id="326"/>
      <w:bookmarkStart w:id="327" w:name="_Toc184308080"/>
      <w:bookmarkEnd w:id="327"/>
      <w:bookmarkStart w:id="328" w:name="_Toc184310289"/>
      <w:bookmarkEnd w:id="328"/>
      <w:bookmarkStart w:id="329" w:name="_Toc184313278"/>
      <w:bookmarkEnd w:id="329"/>
      <w:bookmarkStart w:id="330" w:name="_Toc184312109"/>
      <w:bookmarkEnd w:id="330"/>
      <w:bookmarkStart w:id="331" w:name="_Toc184312106"/>
      <w:bookmarkEnd w:id="331"/>
      <w:bookmarkStart w:id="332" w:name="_Toc184308104"/>
      <w:bookmarkEnd w:id="332"/>
      <w:bookmarkStart w:id="333" w:name="_Toc184308108"/>
      <w:bookmarkEnd w:id="333"/>
      <w:bookmarkStart w:id="334" w:name="_Toc184313283"/>
      <w:bookmarkEnd w:id="334"/>
      <w:bookmarkStart w:id="335" w:name="_Toc184314473"/>
      <w:bookmarkEnd w:id="335"/>
      <w:bookmarkStart w:id="336" w:name="_Toc184313293"/>
      <w:bookmarkEnd w:id="336"/>
      <w:bookmarkStart w:id="337" w:name="_Toc184313251"/>
      <w:bookmarkEnd w:id="337"/>
      <w:bookmarkStart w:id="338" w:name="_Toc184312099"/>
      <w:bookmarkEnd w:id="338"/>
      <w:bookmarkStart w:id="339" w:name="_Toc184308098"/>
      <w:bookmarkEnd w:id="339"/>
      <w:bookmarkStart w:id="340" w:name="_Toc184314427"/>
      <w:bookmarkEnd w:id="340"/>
      <w:bookmarkStart w:id="341" w:name="_Toc184308048"/>
      <w:bookmarkEnd w:id="341"/>
      <w:bookmarkStart w:id="342" w:name="_Toc184310286"/>
      <w:bookmarkEnd w:id="342"/>
      <w:bookmarkStart w:id="343" w:name="_Toc184312067"/>
      <w:bookmarkEnd w:id="343"/>
      <w:bookmarkStart w:id="344" w:name="_Toc184312130"/>
      <w:bookmarkEnd w:id="344"/>
      <w:bookmarkStart w:id="345" w:name="_Toc184314467"/>
      <w:bookmarkEnd w:id="345"/>
      <w:bookmarkStart w:id="346" w:name="_Toc184308095"/>
      <w:bookmarkEnd w:id="346"/>
      <w:bookmarkStart w:id="347" w:name="_Toc184314447"/>
      <w:bookmarkEnd w:id="347"/>
      <w:bookmarkStart w:id="348" w:name="_Toc184314426"/>
      <w:bookmarkEnd w:id="348"/>
      <w:bookmarkStart w:id="349" w:name="_Toc184312114"/>
      <w:bookmarkEnd w:id="349"/>
      <w:bookmarkStart w:id="350" w:name="_Toc184314451"/>
      <w:bookmarkEnd w:id="350"/>
      <w:bookmarkStart w:id="351" w:name="_Toc184313280"/>
      <w:bookmarkEnd w:id="351"/>
      <w:bookmarkStart w:id="352" w:name="_Toc184312086"/>
      <w:bookmarkEnd w:id="352"/>
      <w:bookmarkStart w:id="353" w:name="_Toc184313291"/>
      <w:bookmarkEnd w:id="353"/>
      <w:bookmarkStart w:id="354" w:name="_Toc184313285"/>
      <w:bookmarkEnd w:id="354"/>
      <w:bookmarkStart w:id="355" w:name="_Toc184314455"/>
      <w:bookmarkEnd w:id="355"/>
      <w:bookmarkStart w:id="356" w:name="_Toc184308041"/>
      <w:bookmarkEnd w:id="356"/>
      <w:bookmarkStart w:id="357" w:name="_Toc184314424"/>
      <w:bookmarkEnd w:id="357"/>
      <w:bookmarkStart w:id="358" w:name="_Toc184312119"/>
      <w:bookmarkEnd w:id="358"/>
      <w:bookmarkStart w:id="359" w:name="_Toc184313287"/>
      <w:bookmarkEnd w:id="359"/>
      <w:bookmarkStart w:id="360" w:name="_Toc184308092"/>
      <w:bookmarkEnd w:id="360"/>
      <w:bookmarkStart w:id="361" w:name="_Toc184310297"/>
      <w:bookmarkEnd w:id="361"/>
      <w:bookmarkStart w:id="362" w:name="_Toc184308102"/>
      <w:bookmarkEnd w:id="362"/>
      <w:bookmarkStart w:id="363" w:name="_Toc184313296"/>
      <w:bookmarkEnd w:id="363"/>
      <w:bookmarkStart w:id="364" w:name="_Toc184312093"/>
      <w:bookmarkEnd w:id="364"/>
      <w:bookmarkStart w:id="365" w:name="_Toc184310273"/>
      <w:bookmarkEnd w:id="365"/>
      <w:bookmarkStart w:id="366" w:name="_Toc184308054"/>
      <w:bookmarkEnd w:id="366"/>
      <w:bookmarkStart w:id="367" w:name="_Toc184314454"/>
      <w:bookmarkEnd w:id="367"/>
      <w:bookmarkStart w:id="368" w:name="_Toc184308077"/>
      <w:bookmarkEnd w:id="368"/>
      <w:bookmarkStart w:id="369" w:name="_Toc184312137"/>
      <w:bookmarkEnd w:id="369"/>
      <w:bookmarkStart w:id="370" w:name="_Toc184308069"/>
      <w:bookmarkEnd w:id="370"/>
      <w:bookmarkStart w:id="371" w:name="_Toc184314479"/>
      <w:bookmarkEnd w:id="371"/>
      <w:bookmarkStart w:id="372" w:name="_Toc184312100"/>
      <w:bookmarkEnd w:id="372"/>
      <w:bookmarkStart w:id="373" w:name="_Toc184313307"/>
      <w:bookmarkEnd w:id="373"/>
      <w:bookmarkStart w:id="374" w:name="_Toc184313286"/>
      <w:bookmarkEnd w:id="374"/>
      <w:bookmarkStart w:id="375" w:name="_Toc184310294"/>
      <w:bookmarkEnd w:id="375"/>
      <w:bookmarkStart w:id="376" w:name="_Toc184310324"/>
      <w:bookmarkEnd w:id="376"/>
      <w:bookmarkStart w:id="377" w:name="_Toc184312117"/>
      <w:bookmarkEnd w:id="377"/>
      <w:bookmarkStart w:id="378" w:name="_Toc184312088"/>
      <w:bookmarkEnd w:id="378"/>
      <w:bookmarkStart w:id="379" w:name="_Toc184314439"/>
      <w:bookmarkEnd w:id="379"/>
      <w:bookmarkStart w:id="380" w:name="_Toc184310302"/>
      <w:bookmarkEnd w:id="380"/>
      <w:bookmarkStart w:id="381" w:name="_Toc184308044"/>
      <w:bookmarkEnd w:id="381"/>
      <w:bookmarkStart w:id="382" w:name="_Toc184310342"/>
      <w:bookmarkEnd w:id="382"/>
      <w:bookmarkStart w:id="383" w:name="_Toc184310279"/>
      <w:bookmarkEnd w:id="383"/>
      <w:bookmarkStart w:id="384" w:name="_Toc184310291"/>
      <w:bookmarkEnd w:id="384"/>
      <w:bookmarkStart w:id="385" w:name="_Toc184313300"/>
      <w:bookmarkEnd w:id="385"/>
      <w:bookmarkStart w:id="386" w:name="_Toc184312082"/>
      <w:bookmarkEnd w:id="386"/>
      <w:bookmarkStart w:id="387" w:name="_Toc184308075"/>
      <w:bookmarkEnd w:id="387"/>
      <w:bookmarkStart w:id="388" w:name="_Toc184312138"/>
      <w:bookmarkEnd w:id="388"/>
      <w:bookmarkStart w:id="389" w:name="_Toc184308068"/>
      <w:bookmarkEnd w:id="389"/>
      <w:bookmarkStart w:id="390" w:name="_Toc184313239"/>
      <w:bookmarkEnd w:id="390"/>
      <w:bookmarkStart w:id="391" w:name="_Toc184313265"/>
      <w:bookmarkEnd w:id="391"/>
      <w:bookmarkStart w:id="392" w:name="_Toc184312110"/>
      <w:bookmarkEnd w:id="392"/>
      <w:r>
        <w:rPr>
          <w:rFonts w:hint="eastAsia" w:ascii="宋体" w:hAnsi="宋体" w:cs="宋体"/>
          <w:b/>
          <w:color w:val="auto"/>
          <w:sz w:val="36"/>
          <w:szCs w:val="36"/>
          <w:highlight w:val="none"/>
        </w:rPr>
        <w:t>评标办法</w:t>
      </w:r>
    </w:p>
    <w:p w14:paraId="248FB9D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828" w:type="pct"/>
        <w:tblInd w:w="-397" w:type="dxa"/>
        <w:tblLayout w:type="autofit"/>
        <w:tblCellMar>
          <w:top w:w="0" w:type="dxa"/>
          <w:left w:w="108" w:type="dxa"/>
          <w:bottom w:w="0" w:type="dxa"/>
          <w:right w:w="108" w:type="dxa"/>
        </w:tblCellMar>
      </w:tblPr>
      <w:tblGrid>
        <w:gridCol w:w="1022"/>
        <w:gridCol w:w="6216"/>
        <w:gridCol w:w="646"/>
        <w:gridCol w:w="943"/>
        <w:gridCol w:w="1075"/>
      </w:tblGrid>
      <w:tr w14:paraId="62D3AA17">
        <w:tblPrEx>
          <w:tblCellMar>
            <w:top w:w="0" w:type="dxa"/>
            <w:left w:w="108" w:type="dxa"/>
            <w:bottom w:w="0" w:type="dxa"/>
            <w:right w:w="108" w:type="dxa"/>
          </w:tblCellMar>
        </w:tblPrEx>
        <w:trPr>
          <w:trHeight w:val="864"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F316">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4DC7">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评标标准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1F5E">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权重</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23EF">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主观分/客观分属性</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0137B9E0">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投标文件中评标标准相应的商务技术资料目录*</w:t>
            </w:r>
          </w:p>
        </w:tc>
      </w:tr>
      <w:tr w14:paraId="6A96EFDD">
        <w:tblPrEx>
          <w:tblCellMar>
            <w:top w:w="0" w:type="dxa"/>
            <w:left w:w="108" w:type="dxa"/>
            <w:bottom w:w="0" w:type="dxa"/>
            <w:right w:w="108" w:type="dxa"/>
          </w:tblCellMar>
        </w:tblPrEx>
        <w:trPr>
          <w:trHeight w:val="576"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6692">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1、投标人类似项目建设的案例</w:t>
            </w:r>
          </w:p>
        </w:tc>
        <w:tc>
          <w:tcPr>
            <w:tcW w:w="2751" w:type="pct"/>
            <w:tcBorders>
              <w:top w:val="single" w:color="000000" w:sz="4" w:space="0"/>
              <w:left w:val="single" w:color="000000" w:sz="4" w:space="0"/>
              <w:bottom w:val="single" w:color="000000" w:sz="4" w:space="0"/>
              <w:right w:val="single" w:color="000000" w:sz="4" w:space="0"/>
            </w:tcBorders>
            <w:shd w:val="clear" w:color="auto" w:fill="auto"/>
          </w:tcPr>
          <w:p w14:paraId="1038939F">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截止投标时间前三年，投标人具有本项目类似项目（类似软件平台开发）的成功经验情况。结合已完成的项目案例和用户反应情况，依照投标人提供的合同和用户验收报告。每个案例（以用户验收报告时间为准）得0.5分,最高得1分。</w:t>
            </w:r>
          </w:p>
          <w:p w14:paraId="62ABDF95">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说明：</w:t>
            </w:r>
            <w:r>
              <w:rPr>
                <w:rFonts w:hint="eastAsia" w:ascii="宋体" w:hAnsi="宋体" w:cs="宋体"/>
                <w:color w:val="auto"/>
                <w:kern w:val="0"/>
                <w:sz w:val="24"/>
                <w:highlight w:val="none"/>
                <w:lang w:val="en-US" w:eastAsia="zh-CN" w:bidi="ar"/>
              </w:rPr>
              <w:t>根据</w:t>
            </w:r>
            <w:r>
              <w:rPr>
                <w:rFonts w:hint="eastAsia" w:ascii="宋体" w:hAnsi="宋体" w:cs="宋体"/>
                <w:color w:val="auto"/>
                <w:kern w:val="0"/>
                <w:sz w:val="24"/>
                <w:highlight w:val="none"/>
                <w:lang w:bidi="ar"/>
              </w:rPr>
              <w:t>投标文件中提供业绩项目的合同及用户验收报告复印件进行评分，未提供或不符合以上条件不得分。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24ED">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BCA8">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08D498BE">
            <w:pPr>
              <w:spacing w:line="360" w:lineRule="auto"/>
              <w:jc w:val="center"/>
              <w:rPr>
                <w:rFonts w:ascii="宋体" w:hAnsi="宋体" w:cs="宋体"/>
                <w:color w:val="auto"/>
                <w:sz w:val="24"/>
                <w:highlight w:val="none"/>
              </w:rPr>
            </w:pPr>
          </w:p>
        </w:tc>
      </w:tr>
      <w:tr w14:paraId="63B59C04">
        <w:tblPrEx>
          <w:tblCellMar>
            <w:top w:w="0" w:type="dxa"/>
            <w:left w:w="108" w:type="dxa"/>
            <w:bottom w:w="0" w:type="dxa"/>
            <w:right w:w="108" w:type="dxa"/>
          </w:tblCellMar>
        </w:tblPrEx>
        <w:trPr>
          <w:trHeight w:val="4052"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36A8">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2、投标人管理体系</w:t>
            </w:r>
          </w:p>
        </w:tc>
        <w:tc>
          <w:tcPr>
            <w:tcW w:w="2751" w:type="pct"/>
            <w:tcBorders>
              <w:top w:val="single" w:color="000000" w:sz="4" w:space="0"/>
              <w:left w:val="single" w:color="000000" w:sz="4" w:space="0"/>
              <w:bottom w:val="single" w:color="000000" w:sz="4" w:space="0"/>
              <w:right w:val="single" w:color="000000" w:sz="4" w:space="0"/>
            </w:tcBorders>
            <w:shd w:val="clear" w:color="auto" w:fill="auto"/>
          </w:tcPr>
          <w:p w14:paraId="02C030AF">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投标人具有有效的</w:t>
            </w:r>
            <w:r>
              <w:rPr>
                <w:rFonts w:hint="eastAsia" w:asciiTheme="minorEastAsia" w:hAnsiTheme="minorEastAsia" w:eastAsiaTheme="minorEastAsia"/>
                <w:color w:val="auto"/>
                <w:sz w:val="24"/>
                <w:highlight w:val="none"/>
              </w:rPr>
              <w:t>ISO</w:t>
            </w:r>
            <w:r>
              <w:rPr>
                <w:rFonts w:asciiTheme="minorEastAsia" w:hAnsiTheme="minorEastAsia" w:eastAsiaTheme="minorEastAsia"/>
                <w:color w:val="auto"/>
                <w:sz w:val="24"/>
                <w:highlight w:val="none"/>
              </w:rPr>
              <w:t>9001</w:t>
            </w:r>
            <w:r>
              <w:rPr>
                <w:rFonts w:hint="eastAsia" w:ascii="宋体" w:hAnsi="宋体" w:cs="宋体"/>
                <w:color w:val="auto"/>
                <w:kern w:val="0"/>
                <w:sz w:val="24"/>
                <w:highlight w:val="none"/>
                <w:lang w:bidi="ar"/>
              </w:rPr>
              <w:t>质量管理体系认证证书、</w:t>
            </w:r>
            <w:r>
              <w:rPr>
                <w:rFonts w:hint="eastAsia" w:cs="宋体" w:asciiTheme="minorEastAsia" w:hAnsiTheme="minorEastAsia"/>
                <w:color w:val="auto"/>
                <w:kern w:val="0"/>
                <w:sz w:val="24"/>
                <w:highlight w:val="none"/>
              </w:rPr>
              <w:t>ISO27001</w:t>
            </w:r>
            <w:r>
              <w:rPr>
                <w:rFonts w:hint="eastAsia" w:ascii="宋体" w:hAnsi="宋体" w:cs="宋体"/>
                <w:color w:val="auto"/>
                <w:kern w:val="0"/>
                <w:sz w:val="24"/>
                <w:highlight w:val="none"/>
                <w:lang w:bidi="ar"/>
              </w:rPr>
              <w:t>信息安全管理体系认证证书、</w:t>
            </w:r>
            <w:r>
              <w:rPr>
                <w:rFonts w:hint="eastAsia" w:cs="宋体" w:asciiTheme="minorEastAsia" w:hAnsiTheme="minorEastAsia"/>
                <w:color w:val="auto"/>
                <w:kern w:val="0"/>
                <w:sz w:val="24"/>
                <w:highlight w:val="none"/>
              </w:rPr>
              <w:t>ISO20000</w:t>
            </w:r>
            <w:r>
              <w:rPr>
                <w:rFonts w:hint="eastAsia" w:ascii="宋体" w:hAnsi="宋体" w:cs="宋体"/>
                <w:color w:val="auto"/>
                <w:kern w:val="0"/>
                <w:sz w:val="24"/>
                <w:highlight w:val="none"/>
                <w:lang w:bidi="ar"/>
              </w:rPr>
              <w:t>信息技术服务管理体系认证证书，每项证书得1分，最高得3分。</w:t>
            </w:r>
          </w:p>
          <w:p w14:paraId="2E092AD0">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6FE0">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12A3">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0890B4E5">
            <w:pPr>
              <w:spacing w:line="360" w:lineRule="auto"/>
              <w:jc w:val="left"/>
              <w:rPr>
                <w:rFonts w:ascii="宋体" w:hAnsi="宋体" w:cs="宋体"/>
                <w:color w:val="auto"/>
                <w:sz w:val="24"/>
                <w:highlight w:val="none"/>
              </w:rPr>
            </w:pPr>
          </w:p>
        </w:tc>
      </w:tr>
      <w:tr w14:paraId="64E94F53">
        <w:tblPrEx>
          <w:tblCellMar>
            <w:top w:w="0" w:type="dxa"/>
            <w:left w:w="108" w:type="dxa"/>
            <w:bottom w:w="0" w:type="dxa"/>
            <w:right w:w="108" w:type="dxa"/>
          </w:tblCellMar>
        </w:tblPrEx>
        <w:trPr>
          <w:trHeight w:val="32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7CFA">
            <w:pPr>
              <w:widowControl/>
              <w:spacing w:line="360" w:lineRule="auto"/>
              <w:jc w:val="center"/>
              <w:textAlignment w:val="center"/>
              <w:rPr>
                <w:rFonts w:ascii="宋体" w:hAnsi="宋体" w:cs="宋体"/>
                <w:strike/>
                <w:color w:val="auto"/>
                <w:sz w:val="24"/>
                <w:highlight w:val="none"/>
              </w:rPr>
            </w:pPr>
            <w:r>
              <w:rPr>
                <w:rFonts w:ascii="宋体" w:hAnsi="宋体" w:cs="宋体"/>
                <w:color w:val="auto"/>
                <w:kern w:val="0"/>
                <w:sz w:val="24"/>
                <w:highlight w:val="none"/>
                <w:lang w:bidi="ar"/>
              </w:rPr>
              <w:t>3</w:t>
            </w:r>
            <w:r>
              <w:rPr>
                <w:rFonts w:hint="eastAsia" w:ascii="宋体" w:hAnsi="宋体" w:cs="宋体"/>
                <w:color w:val="auto"/>
                <w:kern w:val="0"/>
                <w:sz w:val="24"/>
                <w:highlight w:val="none"/>
                <w:lang w:bidi="ar"/>
              </w:rPr>
              <w:t>、投标人技术能力要求</w:t>
            </w:r>
          </w:p>
        </w:tc>
        <w:tc>
          <w:tcPr>
            <w:tcW w:w="2751" w:type="pct"/>
            <w:tcBorders>
              <w:top w:val="single" w:color="000000" w:sz="4" w:space="0"/>
              <w:left w:val="single" w:color="000000" w:sz="4" w:space="0"/>
              <w:bottom w:val="single" w:color="000000" w:sz="4" w:space="0"/>
              <w:right w:val="single" w:color="000000" w:sz="4" w:space="0"/>
            </w:tcBorders>
            <w:shd w:val="clear" w:color="auto" w:fill="auto"/>
          </w:tcPr>
          <w:p w14:paraId="501B0F1D">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投标人具有数据治理、数据标准、数据服务、数据质量、数据安全等与本项目实施相关的软件著作权证书，每个得1分，最高得3分。</w:t>
            </w:r>
          </w:p>
          <w:p w14:paraId="36B1DC9B">
            <w:pPr>
              <w:pStyle w:val="2"/>
              <w:widowControl/>
              <w:ind w:left="0" w:leftChars="0" w:firstLine="0" w:firstLineChars="0"/>
              <w:textAlignment w:val="top"/>
              <w:rPr>
                <w:rFonts w:hint="eastAsia" w:ascii="宋体" w:hAnsi="宋体" w:cs="宋体"/>
                <w:color w:val="auto"/>
                <w:sz w:val="24"/>
                <w:highlight w:val="none"/>
                <w:lang w:bidi="ar"/>
              </w:rPr>
            </w:pPr>
            <w:r>
              <w:rPr>
                <w:rFonts w:hint="eastAsia" w:cs="宋体"/>
                <w:color w:val="auto"/>
                <w:kern w:val="0"/>
                <w:sz w:val="24"/>
                <w:highlight w:val="none"/>
                <w:lang w:bidi="ar"/>
              </w:rPr>
              <w:t>说明：提供软件著作权证书复印件进行评分，未提供或不符合以上条件不得分。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ED4B">
            <w:pPr>
              <w:widowControl/>
              <w:spacing w:line="360" w:lineRule="auto"/>
              <w:jc w:val="center"/>
              <w:textAlignment w:val="center"/>
              <w:rPr>
                <w:rFonts w:ascii="宋体" w:hAnsi="宋体" w:cs="宋体"/>
                <w:strike/>
                <w:color w:val="auto"/>
                <w:sz w:val="24"/>
                <w:highlight w:val="none"/>
              </w:rPr>
            </w:pPr>
            <w:r>
              <w:rPr>
                <w:rFonts w:hint="eastAsia" w:ascii="宋体" w:hAnsi="宋体" w:cs="宋体"/>
                <w:color w:val="auto"/>
                <w:kern w:val="0"/>
                <w:sz w:val="24"/>
                <w:highlight w:val="none"/>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4B5B">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7A210B76">
            <w:pPr>
              <w:spacing w:line="360" w:lineRule="auto"/>
              <w:jc w:val="center"/>
              <w:rPr>
                <w:rFonts w:ascii="宋体" w:hAnsi="宋体" w:cs="宋体"/>
                <w:color w:val="auto"/>
                <w:sz w:val="24"/>
                <w:highlight w:val="none"/>
              </w:rPr>
            </w:pPr>
          </w:p>
        </w:tc>
      </w:tr>
      <w:tr w14:paraId="7DE425BB">
        <w:tblPrEx>
          <w:tblCellMar>
            <w:top w:w="0" w:type="dxa"/>
            <w:left w:w="108" w:type="dxa"/>
            <w:bottom w:w="0" w:type="dxa"/>
            <w:right w:w="108" w:type="dxa"/>
          </w:tblCellMar>
        </w:tblPrEx>
        <w:trPr>
          <w:trHeight w:val="32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039B">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4、项目负责人情况</w:t>
            </w:r>
          </w:p>
        </w:tc>
        <w:tc>
          <w:tcPr>
            <w:tcW w:w="2751" w:type="pct"/>
            <w:tcBorders>
              <w:top w:val="single" w:color="000000" w:sz="4" w:space="0"/>
              <w:left w:val="single" w:color="000000" w:sz="4" w:space="0"/>
              <w:bottom w:val="single" w:color="000000" w:sz="4" w:space="0"/>
              <w:right w:val="single" w:color="000000" w:sz="4" w:space="0"/>
            </w:tcBorders>
            <w:shd w:val="clear" w:color="auto" w:fill="auto"/>
          </w:tcPr>
          <w:p w14:paraId="18829A90">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拟派本项目负责人（项目经理）具备信息系统项目管理师（高级）证书的得1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分，</w:t>
            </w:r>
            <w:r>
              <w:rPr>
                <w:rFonts w:hint="eastAsia" w:cs="仿宋" w:asciiTheme="minorEastAsia" w:hAnsiTheme="minorEastAsia" w:eastAsiaTheme="minorEastAsia"/>
                <w:color w:val="auto"/>
                <w:sz w:val="24"/>
                <w:highlight w:val="none"/>
              </w:rPr>
              <w:t>具有类似项目管理实施经验得</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分</w:t>
            </w:r>
            <w:r>
              <w:rPr>
                <w:rFonts w:hint="eastAsia" w:ascii="宋体" w:hAnsi="宋体" w:cs="宋体"/>
                <w:color w:val="auto"/>
                <w:kern w:val="0"/>
                <w:sz w:val="24"/>
                <w:highlight w:val="none"/>
                <w:lang w:bidi="ar"/>
              </w:rPr>
              <w:t>。</w:t>
            </w:r>
          </w:p>
          <w:p w14:paraId="5AB02AF6">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说明：提供相关证书复印件及投标人为其缴纳的近3个月内任意一个月社保缴纳记录或劳动合同；类似项目实施经验证明</w:t>
            </w:r>
            <w:r>
              <w:rPr>
                <w:rFonts w:hint="eastAsia" w:cs="仿宋" w:asciiTheme="minorEastAsia" w:hAnsiTheme="minorEastAsia" w:eastAsiaTheme="minorEastAsia"/>
                <w:b/>
                <w:bCs/>
                <w:color w:val="auto"/>
                <w:sz w:val="24"/>
                <w:highlight w:val="none"/>
              </w:rPr>
              <w:t>提供业绩合同，</w:t>
            </w:r>
            <w:r>
              <w:rPr>
                <w:rStyle w:val="965"/>
                <w:rFonts w:asciiTheme="minorEastAsia" w:hAnsiTheme="minorEastAsia" w:eastAsiaTheme="minorEastAsia"/>
                <w:b/>
                <w:bCs/>
                <w:color w:val="auto"/>
                <w:spacing w:val="-12"/>
                <w:sz w:val="24"/>
                <w:highlight w:val="none"/>
              </w:rPr>
              <w:t>若合同不能完全体现</w:t>
            </w:r>
            <w:r>
              <w:rPr>
                <w:rStyle w:val="965"/>
                <w:rFonts w:hint="eastAsia" w:asciiTheme="minorEastAsia" w:hAnsiTheme="minorEastAsia" w:eastAsiaTheme="minorEastAsia"/>
                <w:b/>
                <w:bCs/>
                <w:color w:val="auto"/>
                <w:spacing w:val="-12"/>
                <w:sz w:val="24"/>
                <w:highlight w:val="none"/>
              </w:rPr>
              <w:t>得分条件</w:t>
            </w:r>
            <w:r>
              <w:rPr>
                <w:rStyle w:val="965"/>
                <w:rFonts w:asciiTheme="minorEastAsia" w:hAnsiTheme="minorEastAsia" w:eastAsiaTheme="minorEastAsia"/>
                <w:b/>
                <w:bCs/>
                <w:color w:val="auto"/>
                <w:spacing w:val="-12"/>
                <w:sz w:val="24"/>
                <w:highlight w:val="none"/>
              </w:rPr>
              <w:t>的，另提供中标通知书、或</w:t>
            </w:r>
            <w:r>
              <w:rPr>
                <w:rStyle w:val="965"/>
                <w:rFonts w:hint="eastAsia" w:asciiTheme="minorEastAsia" w:hAnsiTheme="minorEastAsia" w:eastAsiaTheme="minorEastAsia"/>
                <w:b/>
                <w:bCs/>
                <w:color w:val="auto"/>
                <w:spacing w:val="-12"/>
                <w:sz w:val="24"/>
                <w:highlight w:val="none"/>
              </w:rPr>
              <w:t>竣工资料</w:t>
            </w:r>
            <w:r>
              <w:rPr>
                <w:rStyle w:val="965"/>
                <w:rFonts w:asciiTheme="minorEastAsia" w:hAnsiTheme="minorEastAsia" w:eastAsiaTheme="minorEastAsia"/>
                <w:b/>
                <w:bCs/>
                <w:color w:val="auto"/>
                <w:spacing w:val="-12"/>
                <w:sz w:val="24"/>
                <w:highlight w:val="none"/>
              </w:rPr>
              <w:t>、 或</w:t>
            </w:r>
            <w:r>
              <w:rPr>
                <w:rStyle w:val="965"/>
                <w:rFonts w:hint="eastAsia" w:asciiTheme="minorEastAsia" w:hAnsiTheme="minorEastAsia" w:eastAsiaTheme="minorEastAsia"/>
                <w:b/>
                <w:bCs/>
                <w:color w:val="auto"/>
                <w:spacing w:val="-12"/>
                <w:sz w:val="24"/>
                <w:highlight w:val="none"/>
              </w:rPr>
              <w:t>业主证明资料，</w:t>
            </w:r>
            <w:r>
              <w:rPr>
                <w:rFonts w:hint="eastAsia" w:ascii="宋体" w:hAnsi="宋体" w:cs="宋体"/>
                <w:color w:val="auto"/>
                <w:kern w:val="0"/>
                <w:sz w:val="24"/>
                <w:highlight w:val="none"/>
                <w:lang w:bidi="ar"/>
              </w:rPr>
              <w:t>否则不得分。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0D90">
            <w:pPr>
              <w:widowControl/>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4709">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2C523BDA">
            <w:pPr>
              <w:spacing w:line="360" w:lineRule="auto"/>
              <w:jc w:val="center"/>
              <w:rPr>
                <w:rFonts w:ascii="宋体" w:hAnsi="宋体" w:cs="宋体"/>
                <w:color w:val="auto"/>
                <w:sz w:val="24"/>
                <w:highlight w:val="none"/>
              </w:rPr>
            </w:pPr>
          </w:p>
        </w:tc>
      </w:tr>
      <w:tr w14:paraId="3C69D3F7">
        <w:tblPrEx>
          <w:tblCellMar>
            <w:top w:w="0" w:type="dxa"/>
            <w:left w:w="108" w:type="dxa"/>
            <w:bottom w:w="0" w:type="dxa"/>
            <w:right w:w="108" w:type="dxa"/>
          </w:tblCellMar>
        </w:tblPrEx>
        <w:trPr>
          <w:trHeight w:val="576"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22E6">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5、项目技术负责人情况</w:t>
            </w:r>
          </w:p>
        </w:tc>
        <w:tc>
          <w:tcPr>
            <w:tcW w:w="2751" w:type="pct"/>
            <w:tcBorders>
              <w:top w:val="single" w:color="000000" w:sz="4" w:space="0"/>
              <w:left w:val="single" w:color="000000" w:sz="4" w:space="0"/>
              <w:bottom w:val="single" w:color="000000" w:sz="4" w:space="0"/>
              <w:right w:val="single" w:color="000000" w:sz="4" w:space="0"/>
            </w:tcBorders>
            <w:shd w:val="clear" w:color="auto" w:fill="auto"/>
          </w:tcPr>
          <w:p w14:paraId="51A7221D">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拟派本项目技术负责人具备系统分析师或系统架构设计师或软件设计师证书的得</w:t>
            </w:r>
            <w:r>
              <w:rPr>
                <w:rFonts w:hint="eastAsia" w:ascii="宋体" w:hAnsi="宋体" w:cs="宋体"/>
                <w:color w:val="auto"/>
                <w:kern w:val="0"/>
                <w:sz w:val="24"/>
                <w:highlight w:val="none"/>
                <w:lang w:val="en-US" w:eastAsia="zh-CN" w:bidi="ar"/>
              </w:rPr>
              <w:t>1.5</w:t>
            </w:r>
            <w:r>
              <w:rPr>
                <w:rFonts w:hint="eastAsia" w:ascii="宋体" w:hAnsi="宋体" w:cs="宋体"/>
                <w:color w:val="auto"/>
                <w:kern w:val="0"/>
                <w:sz w:val="24"/>
                <w:highlight w:val="none"/>
                <w:lang w:bidi="ar"/>
              </w:rPr>
              <w:t>分，</w:t>
            </w:r>
            <w:r>
              <w:rPr>
                <w:rFonts w:hint="eastAsia" w:cs="仿宋" w:asciiTheme="minorEastAsia" w:hAnsiTheme="minorEastAsia" w:eastAsiaTheme="minorEastAsia"/>
                <w:color w:val="auto"/>
                <w:sz w:val="24"/>
                <w:highlight w:val="none"/>
              </w:rPr>
              <w:t>具有类似项目管理实施经验得</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分</w:t>
            </w:r>
            <w:r>
              <w:rPr>
                <w:rFonts w:hint="eastAsia" w:ascii="宋体" w:hAnsi="宋体" w:cs="宋体"/>
                <w:color w:val="auto"/>
                <w:kern w:val="0"/>
                <w:sz w:val="24"/>
                <w:highlight w:val="none"/>
                <w:lang w:bidi="ar"/>
              </w:rPr>
              <w:t>。</w:t>
            </w:r>
          </w:p>
          <w:p w14:paraId="0F848E7B">
            <w:pPr>
              <w:widowControl/>
              <w:spacing w:line="360" w:lineRule="auto"/>
              <w:textAlignment w:val="top"/>
              <w:rPr>
                <w:rFonts w:ascii="宋体" w:hAnsi="宋体" w:cs="宋体"/>
                <w:color w:val="auto"/>
                <w:sz w:val="24"/>
                <w:highlight w:val="none"/>
              </w:rPr>
            </w:pPr>
            <w:r>
              <w:rPr>
                <w:rFonts w:hint="eastAsia" w:ascii="宋体" w:hAnsi="宋体" w:cs="宋体"/>
                <w:color w:val="auto"/>
                <w:kern w:val="0"/>
                <w:sz w:val="24"/>
                <w:highlight w:val="none"/>
                <w:lang w:bidi="ar"/>
              </w:rPr>
              <w:t>说明：提供相关证书复印件及投标人为其缴纳的近3个月内任意一个月社保缴纳记录或劳动合同；类似项目实施经验证明</w:t>
            </w:r>
            <w:r>
              <w:rPr>
                <w:rFonts w:hint="eastAsia" w:cs="仿宋" w:asciiTheme="minorEastAsia" w:hAnsiTheme="minorEastAsia" w:eastAsiaTheme="minorEastAsia"/>
                <w:b/>
                <w:bCs/>
                <w:color w:val="auto"/>
                <w:sz w:val="24"/>
                <w:highlight w:val="none"/>
              </w:rPr>
              <w:t>提供业绩合同，</w:t>
            </w:r>
            <w:r>
              <w:rPr>
                <w:rStyle w:val="965"/>
                <w:rFonts w:asciiTheme="minorEastAsia" w:hAnsiTheme="minorEastAsia" w:eastAsiaTheme="minorEastAsia"/>
                <w:b/>
                <w:bCs/>
                <w:color w:val="auto"/>
                <w:spacing w:val="-12"/>
                <w:sz w:val="24"/>
                <w:highlight w:val="none"/>
              </w:rPr>
              <w:t>若合同不能完全体现</w:t>
            </w:r>
            <w:r>
              <w:rPr>
                <w:rStyle w:val="965"/>
                <w:rFonts w:hint="eastAsia" w:asciiTheme="minorEastAsia" w:hAnsiTheme="minorEastAsia" w:eastAsiaTheme="minorEastAsia"/>
                <w:b/>
                <w:bCs/>
                <w:color w:val="auto"/>
                <w:spacing w:val="-12"/>
                <w:sz w:val="24"/>
                <w:highlight w:val="none"/>
              </w:rPr>
              <w:t>得分条件</w:t>
            </w:r>
            <w:r>
              <w:rPr>
                <w:rStyle w:val="965"/>
                <w:rFonts w:asciiTheme="minorEastAsia" w:hAnsiTheme="minorEastAsia" w:eastAsiaTheme="minorEastAsia"/>
                <w:b/>
                <w:bCs/>
                <w:color w:val="auto"/>
                <w:spacing w:val="-12"/>
                <w:sz w:val="24"/>
                <w:highlight w:val="none"/>
              </w:rPr>
              <w:t>的，另提供中标通知书、或</w:t>
            </w:r>
            <w:r>
              <w:rPr>
                <w:rStyle w:val="965"/>
                <w:rFonts w:hint="eastAsia" w:asciiTheme="minorEastAsia" w:hAnsiTheme="minorEastAsia" w:eastAsiaTheme="minorEastAsia"/>
                <w:b/>
                <w:bCs/>
                <w:color w:val="auto"/>
                <w:spacing w:val="-12"/>
                <w:sz w:val="24"/>
                <w:highlight w:val="none"/>
              </w:rPr>
              <w:t>竣工资料</w:t>
            </w:r>
            <w:r>
              <w:rPr>
                <w:rStyle w:val="965"/>
                <w:rFonts w:asciiTheme="minorEastAsia" w:hAnsiTheme="minorEastAsia" w:eastAsiaTheme="minorEastAsia"/>
                <w:b/>
                <w:bCs/>
                <w:color w:val="auto"/>
                <w:spacing w:val="-12"/>
                <w:sz w:val="24"/>
                <w:highlight w:val="none"/>
              </w:rPr>
              <w:t>、 或</w:t>
            </w:r>
            <w:r>
              <w:rPr>
                <w:rStyle w:val="965"/>
                <w:rFonts w:hint="eastAsia" w:asciiTheme="minorEastAsia" w:hAnsiTheme="minorEastAsia" w:eastAsiaTheme="minorEastAsia"/>
                <w:b/>
                <w:bCs/>
                <w:color w:val="auto"/>
                <w:spacing w:val="-12"/>
                <w:sz w:val="24"/>
                <w:highlight w:val="none"/>
              </w:rPr>
              <w:t>业主证明资料，</w:t>
            </w:r>
            <w:r>
              <w:rPr>
                <w:rFonts w:hint="eastAsia" w:ascii="宋体" w:hAnsi="宋体" w:cs="宋体"/>
                <w:color w:val="auto"/>
                <w:kern w:val="0"/>
                <w:sz w:val="24"/>
                <w:highlight w:val="none"/>
                <w:lang w:bidi="ar"/>
              </w:rPr>
              <w:t>否则不得分。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C379">
            <w:pPr>
              <w:widowControl/>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029F">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58D5949E">
            <w:pPr>
              <w:spacing w:line="360" w:lineRule="auto"/>
              <w:jc w:val="center"/>
              <w:rPr>
                <w:rFonts w:ascii="宋体" w:hAnsi="宋体" w:cs="宋体"/>
                <w:color w:val="auto"/>
                <w:sz w:val="24"/>
                <w:highlight w:val="none"/>
              </w:rPr>
            </w:pPr>
          </w:p>
        </w:tc>
      </w:tr>
      <w:tr w14:paraId="55429CEF">
        <w:tblPrEx>
          <w:tblCellMar>
            <w:top w:w="0" w:type="dxa"/>
            <w:left w:w="108" w:type="dxa"/>
            <w:bottom w:w="0" w:type="dxa"/>
            <w:right w:w="108" w:type="dxa"/>
          </w:tblCellMar>
        </w:tblPrEx>
        <w:trPr>
          <w:trHeight w:val="864"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7423">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6、项目团队人员情况</w:t>
            </w:r>
          </w:p>
        </w:tc>
        <w:tc>
          <w:tcPr>
            <w:tcW w:w="2751" w:type="pct"/>
            <w:tcBorders>
              <w:top w:val="single" w:color="000000" w:sz="4" w:space="0"/>
              <w:left w:val="single" w:color="000000" w:sz="4" w:space="0"/>
              <w:bottom w:val="single" w:color="000000" w:sz="4" w:space="0"/>
              <w:right w:val="single" w:color="000000" w:sz="4" w:space="0"/>
            </w:tcBorders>
            <w:shd w:val="clear" w:color="auto" w:fill="auto"/>
          </w:tcPr>
          <w:p w14:paraId="1850A7D9">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（1）拟派本项目实施团队人员（除项目负责人和技术负责人外），</w:t>
            </w:r>
            <w:r>
              <w:rPr>
                <w:rFonts w:hint="eastAsia" w:ascii="宋体" w:hAnsi="宋体" w:cs="宋体"/>
                <w:color w:val="auto"/>
                <w:kern w:val="0"/>
                <w:sz w:val="24"/>
                <w:highlight w:val="none"/>
              </w:rPr>
              <w:t>具有信息化类中级及以上职称证书的，每人得0.5分，最高得2分；</w:t>
            </w:r>
          </w:p>
          <w:p w14:paraId="062E6C2B">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（2）承诺在项目开发期间，根据采购方需要提供</w:t>
            </w:r>
            <w:r>
              <w:rPr>
                <w:rFonts w:ascii="宋体" w:hAnsi="宋体" w:cs="华文仿宋"/>
                <w:color w:val="auto"/>
                <w:sz w:val="24"/>
                <w:highlight w:val="none"/>
              </w:rPr>
              <w:t>1</w:t>
            </w:r>
            <w:r>
              <w:rPr>
                <w:rFonts w:hint="eastAsia" w:ascii="宋体" w:hAnsi="宋体" w:cs="华文仿宋"/>
                <w:color w:val="auto"/>
                <w:sz w:val="24"/>
                <w:highlight w:val="none"/>
              </w:rPr>
              <w:t>名或以上开发人员</w:t>
            </w:r>
            <w:r>
              <w:rPr>
                <w:rFonts w:hint="eastAsia" w:ascii="宋体" w:hAnsi="宋体" w:cs="宋体"/>
                <w:color w:val="auto"/>
                <w:kern w:val="0"/>
                <w:sz w:val="24"/>
                <w:highlight w:val="none"/>
                <w:lang w:bidi="ar"/>
              </w:rPr>
              <w:t>驻场开发的，得</w:t>
            </w: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分。</w:t>
            </w:r>
          </w:p>
          <w:p w14:paraId="758ACBDE">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说明：提供相关证书复印件及投标人为其缴纳的近</w:t>
            </w:r>
            <w:r>
              <w:rPr>
                <w:rFonts w:ascii="宋体" w:hAnsi="宋体" w:cs="宋体"/>
                <w:color w:val="auto"/>
                <w:kern w:val="0"/>
                <w:sz w:val="24"/>
                <w:highlight w:val="none"/>
                <w:lang w:bidi="ar"/>
              </w:rPr>
              <w:t>3</w:t>
            </w:r>
            <w:r>
              <w:rPr>
                <w:rFonts w:hint="eastAsia" w:ascii="宋体" w:hAnsi="宋体" w:cs="宋体"/>
                <w:color w:val="auto"/>
                <w:kern w:val="0"/>
                <w:sz w:val="24"/>
                <w:highlight w:val="none"/>
                <w:lang w:bidi="ar"/>
              </w:rPr>
              <w:t>个月内任意一个月社保缴纳记录或劳动合同</w:t>
            </w:r>
            <w:r>
              <w:rPr>
                <w:rStyle w:val="965"/>
                <w:rFonts w:hint="eastAsia" w:asciiTheme="minorEastAsia" w:hAnsiTheme="minorEastAsia" w:eastAsiaTheme="minorEastAsia"/>
                <w:b/>
                <w:bCs/>
                <w:color w:val="auto"/>
                <w:spacing w:val="-12"/>
                <w:sz w:val="24"/>
                <w:highlight w:val="none"/>
              </w:rPr>
              <w:t>，</w:t>
            </w:r>
            <w:r>
              <w:rPr>
                <w:rFonts w:hint="eastAsia" w:ascii="宋体" w:hAnsi="宋体" w:cs="宋体"/>
                <w:color w:val="auto"/>
                <w:kern w:val="0"/>
                <w:sz w:val="24"/>
                <w:highlight w:val="none"/>
                <w:lang w:bidi="ar"/>
              </w:rPr>
              <w:t>否则不得分。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C1F4">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46C1">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268B625F">
            <w:pPr>
              <w:spacing w:line="360" w:lineRule="auto"/>
              <w:jc w:val="center"/>
              <w:rPr>
                <w:rFonts w:ascii="宋体" w:hAnsi="宋体" w:cs="宋体"/>
                <w:color w:val="auto"/>
                <w:sz w:val="24"/>
                <w:highlight w:val="none"/>
              </w:rPr>
            </w:pPr>
          </w:p>
        </w:tc>
      </w:tr>
      <w:tr w14:paraId="721EAC6E">
        <w:tblPrEx>
          <w:tblCellMar>
            <w:top w:w="0" w:type="dxa"/>
            <w:left w:w="108" w:type="dxa"/>
            <w:bottom w:w="0" w:type="dxa"/>
            <w:right w:w="108" w:type="dxa"/>
          </w:tblCellMar>
        </w:tblPrEx>
        <w:trPr>
          <w:trHeight w:val="864"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E363">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7、对本项目需求的理解</w:t>
            </w:r>
          </w:p>
        </w:tc>
        <w:tc>
          <w:tcPr>
            <w:tcW w:w="2751" w:type="pct"/>
            <w:tcBorders>
              <w:top w:val="single" w:color="000000" w:sz="4" w:space="0"/>
              <w:left w:val="single" w:color="000000" w:sz="4" w:space="0"/>
              <w:bottom w:val="single" w:color="000000" w:sz="4" w:space="0"/>
              <w:right w:val="single" w:color="000000" w:sz="4" w:space="0"/>
            </w:tcBorders>
            <w:shd w:val="clear" w:color="auto" w:fill="auto"/>
          </w:tcPr>
          <w:p w14:paraId="67C88C76">
            <w:pPr>
              <w:widowControl/>
              <w:spacing w:line="360" w:lineRule="auto"/>
              <w:textAlignment w:val="top"/>
              <w:rPr>
                <w:rFonts w:ascii="宋体" w:hAnsi="宋体" w:cs="宋体"/>
                <w:color w:val="auto"/>
                <w:sz w:val="24"/>
                <w:highlight w:val="none"/>
              </w:rPr>
            </w:pPr>
            <w:r>
              <w:rPr>
                <w:rFonts w:hint="eastAsia" w:ascii="宋体" w:hAnsi="宋体" w:cs="宋体"/>
                <w:color w:val="auto"/>
                <w:kern w:val="0"/>
                <w:sz w:val="24"/>
                <w:highlight w:val="none"/>
                <w:lang w:bidi="ar"/>
              </w:rPr>
              <w:t>对本项目需求的理解，对采购人信创建设总体思路和建设原则的理解，提供详细描述。提出完整、先进、合理、经济、安全、切实可行的措施方案，措施全面完善可行得</w:t>
            </w:r>
            <w:r>
              <w:rPr>
                <w:rFonts w:ascii="宋体" w:hAnsi="宋体" w:cs="宋体"/>
                <w:color w:val="auto"/>
                <w:kern w:val="0"/>
                <w:sz w:val="24"/>
                <w:highlight w:val="none"/>
                <w:lang w:bidi="ar"/>
              </w:rPr>
              <w:t>5</w:t>
            </w:r>
            <w:r>
              <w:rPr>
                <w:rFonts w:hint="eastAsia" w:ascii="宋体" w:hAnsi="宋体" w:cs="宋体"/>
                <w:color w:val="auto"/>
                <w:kern w:val="0"/>
                <w:sz w:val="24"/>
                <w:highlight w:val="none"/>
                <w:lang w:bidi="ar"/>
              </w:rPr>
              <w:t>分，基本完善可实施得</w:t>
            </w:r>
            <w:r>
              <w:rPr>
                <w:rFonts w:ascii="宋体" w:hAnsi="宋体" w:cs="宋体"/>
                <w:color w:val="auto"/>
                <w:kern w:val="0"/>
                <w:sz w:val="24"/>
                <w:highlight w:val="none"/>
                <w:lang w:bidi="ar"/>
              </w:rPr>
              <w:t>3</w:t>
            </w:r>
            <w:r>
              <w:rPr>
                <w:rFonts w:hint="eastAsia" w:ascii="宋体" w:hAnsi="宋体" w:cs="宋体"/>
                <w:color w:val="auto"/>
                <w:kern w:val="0"/>
                <w:sz w:val="24"/>
                <w:highlight w:val="none"/>
                <w:lang w:bidi="ar"/>
              </w:rPr>
              <w:t>分，略有欠缺基本可行得</w:t>
            </w: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分，不可行不得分。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C349">
            <w:pPr>
              <w:widowControl/>
              <w:spacing w:line="360" w:lineRule="auto"/>
              <w:jc w:val="center"/>
              <w:textAlignment w:val="center"/>
              <w:rPr>
                <w:rFonts w:ascii="宋体" w:hAnsi="宋体" w:cs="宋体"/>
                <w:color w:val="auto"/>
                <w:sz w:val="24"/>
                <w:highlight w:val="none"/>
              </w:rPr>
            </w:pPr>
            <w:r>
              <w:rPr>
                <w:rFonts w:ascii="宋体" w:hAnsi="宋体" w:cs="宋体"/>
                <w:color w:val="auto"/>
                <w:kern w:val="0"/>
                <w:sz w:val="24"/>
                <w:highlight w:val="none"/>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3C37">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675785D2">
            <w:pPr>
              <w:spacing w:line="360" w:lineRule="auto"/>
              <w:jc w:val="center"/>
              <w:rPr>
                <w:rFonts w:ascii="宋体" w:hAnsi="宋体" w:cs="宋体"/>
                <w:color w:val="auto"/>
                <w:sz w:val="24"/>
                <w:highlight w:val="none"/>
              </w:rPr>
            </w:pPr>
          </w:p>
        </w:tc>
      </w:tr>
      <w:tr w14:paraId="5CD77357">
        <w:tblPrEx>
          <w:tblCellMar>
            <w:top w:w="0" w:type="dxa"/>
            <w:left w:w="108" w:type="dxa"/>
            <w:bottom w:w="0" w:type="dxa"/>
            <w:right w:w="108" w:type="dxa"/>
          </w:tblCellMar>
        </w:tblPrEx>
        <w:trPr>
          <w:trHeight w:val="416"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5A02">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8、系统软件总体方案</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B018">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需对本项目涉及的系统软件总体方案进行详细描述。本次项目深化信创（2025年）替代计划和目标，将杭州市发改委内的政务信息化系统进行国产化平台迁移和功能升级，需要在原有“数智发改”综合系统的基础上实施，根据本次项目建设内容的总体架构、平台架构、设计思路、技术路线、原有平台理解等方面，提出具体可行的方案。</w:t>
            </w:r>
          </w:p>
          <w:p w14:paraId="641CD1A9">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说明：根据投标人提供方案的完整程度、详细程度、与招标文件要求的满足程度、可操作性进行评分，提供完整详细可行的技术方案且完全满足采购人要求得</w:t>
            </w:r>
            <w:r>
              <w:rPr>
                <w:rFonts w:ascii="宋体" w:hAnsi="宋体" w:cs="宋体"/>
                <w:color w:val="auto"/>
                <w:kern w:val="0"/>
                <w:sz w:val="24"/>
                <w:highlight w:val="none"/>
                <w:lang w:bidi="ar"/>
              </w:rPr>
              <w:t>5</w:t>
            </w:r>
            <w:r>
              <w:rPr>
                <w:rFonts w:hint="eastAsia" w:ascii="宋体" w:hAnsi="宋体" w:cs="宋体"/>
                <w:color w:val="auto"/>
                <w:kern w:val="0"/>
                <w:sz w:val="24"/>
                <w:highlight w:val="none"/>
                <w:lang w:bidi="ar"/>
              </w:rPr>
              <w:t>分，方案内容存在缺项或部分满足得3分，未提供方案或不满足不得分，本项最高</w:t>
            </w:r>
            <w:r>
              <w:rPr>
                <w:rFonts w:ascii="宋体" w:hAnsi="宋体" w:cs="宋体"/>
                <w:color w:val="auto"/>
                <w:kern w:val="0"/>
                <w:sz w:val="24"/>
                <w:highlight w:val="none"/>
                <w:lang w:bidi="ar"/>
              </w:rPr>
              <w:t>5</w:t>
            </w:r>
            <w:r>
              <w:rPr>
                <w:rFonts w:hint="eastAsia" w:ascii="宋体" w:hAnsi="宋体" w:cs="宋体"/>
                <w:color w:val="auto"/>
                <w:kern w:val="0"/>
                <w:sz w:val="24"/>
                <w:highlight w:val="none"/>
                <w:lang w:bidi="ar"/>
              </w:rPr>
              <w:t>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35AE">
            <w:pPr>
              <w:widowControl/>
              <w:spacing w:line="360" w:lineRule="auto"/>
              <w:jc w:val="center"/>
              <w:textAlignment w:val="center"/>
              <w:rPr>
                <w:rFonts w:ascii="宋体" w:hAnsi="宋体" w:cs="宋体"/>
                <w:color w:val="auto"/>
                <w:sz w:val="24"/>
                <w:highlight w:val="none"/>
              </w:rPr>
            </w:pPr>
            <w:r>
              <w:rPr>
                <w:rFonts w:ascii="宋体" w:hAnsi="宋体" w:cs="宋体"/>
                <w:color w:val="auto"/>
                <w:kern w:val="0"/>
                <w:sz w:val="24"/>
                <w:highlight w:val="none"/>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E47E">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47C26FDA">
            <w:pPr>
              <w:spacing w:line="360" w:lineRule="auto"/>
              <w:jc w:val="center"/>
              <w:rPr>
                <w:rFonts w:ascii="宋体" w:hAnsi="宋体" w:cs="宋体"/>
                <w:color w:val="auto"/>
                <w:sz w:val="24"/>
                <w:highlight w:val="none"/>
              </w:rPr>
            </w:pPr>
          </w:p>
        </w:tc>
      </w:tr>
      <w:tr w14:paraId="395B8E23">
        <w:tblPrEx>
          <w:tblCellMar>
            <w:top w:w="0" w:type="dxa"/>
            <w:left w:w="108" w:type="dxa"/>
            <w:bottom w:w="0" w:type="dxa"/>
            <w:right w:w="108" w:type="dxa"/>
          </w:tblCellMar>
        </w:tblPrEx>
        <w:trPr>
          <w:trHeight w:val="416"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30CA">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9、“数智发改”主平台迁移方案</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A881">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投标人提供</w:t>
            </w:r>
            <w:r>
              <w:rPr>
                <w:rFonts w:hint="eastAsia" w:ascii="宋体" w:hAnsi="宋体" w:cs="宋体"/>
                <w:color w:val="auto"/>
                <w:sz w:val="24"/>
                <w:highlight w:val="none"/>
              </w:rPr>
              <w:t>迁移一体化管理平台、数智发改综合门户、杭州市开发区（园区）高质量发展统计系统、杭州市高技术产业项目管理系统、规划课题管理系统、数据资源管理、人事管理一件事系统、政策文件管理系统、夜间经济监测、企业态势感知系统、组件工具管理、指标工具管理系统、小发工具、杭州市重点项目融资贷款管理系统、杭州市国家营商环境创新试点系统和营商环境门户（数字政府门户）、城市大脑2.0“数智营商”主场景等业务系统迁移至统一的信创资源中</w:t>
            </w:r>
            <w:r>
              <w:rPr>
                <w:rFonts w:hint="eastAsia" w:ascii="宋体" w:hAnsi="宋体" w:cs="宋体"/>
                <w:color w:val="auto"/>
                <w:kern w:val="0"/>
                <w:sz w:val="24"/>
                <w:highlight w:val="none"/>
                <w:lang w:bidi="ar"/>
              </w:rPr>
              <w:t>的详细技术方案，方案内容包括：①后端程序适配、②接口服务改造和数据库服务改造、③中间件适配改造、④历史数据迁移和云服务器迁移等方面。根据投标人提供方案的完整程度、详细程度、与招标文件要求的满足程度、可操作性等进行逐条评分，每项方案完整详细可行且完全满足采购人要求得2分，方案内容存在缺项或部分满足得1分，未提供方案或不满足不得分，本项最高8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852E">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9124">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01CF0678">
            <w:pPr>
              <w:spacing w:line="360" w:lineRule="auto"/>
              <w:jc w:val="center"/>
              <w:rPr>
                <w:rFonts w:ascii="宋体" w:hAnsi="宋体" w:cs="宋体"/>
                <w:color w:val="auto"/>
                <w:sz w:val="24"/>
                <w:highlight w:val="none"/>
              </w:rPr>
            </w:pPr>
          </w:p>
        </w:tc>
      </w:tr>
      <w:tr w14:paraId="1C0B2B32">
        <w:tblPrEx>
          <w:tblCellMar>
            <w:top w:w="0" w:type="dxa"/>
            <w:left w:w="108" w:type="dxa"/>
            <w:bottom w:w="0" w:type="dxa"/>
            <w:right w:w="108" w:type="dxa"/>
          </w:tblCellMar>
        </w:tblPrEx>
        <w:trPr>
          <w:trHeight w:val="416"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23C4">
            <w:pPr>
              <w:widowControl/>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10、</w:t>
            </w:r>
            <w:r>
              <w:rPr>
                <w:rFonts w:hint="eastAsia" w:ascii="宋体" w:hAnsi="宋体" w:cs="宋体"/>
                <w:b w:val="0"/>
                <w:bCs w:val="0"/>
                <w:color w:val="auto"/>
                <w:kern w:val="0"/>
                <w:sz w:val="24"/>
                <w:highlight w:val="none"/>
                <w:lang w:bidi="ar"/>
              </w:rPr>
              <w:t>协同办公（OA）系统迁移</w:t>
            </w:r>
            <w:r>
              <w:rPr>
                <w:rFonts w:hint="eastAsia" w:ascii="宋体" w:hAnsi="宋体" w:cs="宋体"/>
                <w:b w:val="0"/>
                <w:bCs w:val="0"/>
                <w:color w:val="auto"/>
                <w:kern w:val="0"/>
                <w:sz w:val="24"/>
                <w:highlight w:val="none"/>
                <w:lang w:val="en-US" w:eastAsia="zh-CN" w:bidi="ar"/>
              </w:rPr>
              <w:t>方案</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50D9">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投标人提供“数智发改”主平台迁移的详细技术方案，方案内容包括：</w:t>
            </w:r>
            <w:r>
              <w:rPr>
                <w:rFonts w:hint="eastAsia" w:ascii="宋体" w:hAnsi="宋体" w:cs="宋体"/>
                <w:color w:val="auto"/>
                <w:sz w:val="24"/>
                <w:highlight w:val="none"/>
              </w:rPr>
              <w:t>包括</w:t>
            </w:r>
            <w:r>
              <w:rPr>
                <w:rFonts w:hint="eastAsia" w:ascii="宋体" w:hAnsi="宋体" w:cs="宋体"/>
                <w:color w:val="auto"/>
                <w:kern w:val="0"/>
                <w:sz w:val="24"/>
                <w:highlight w:val="none"/>
                <w:lang w:bidi="ar"/>
              </w:rPr>
              <w:t>①</w:t>
            </w:r>
            <w:r>
              <w:rPr>
                <w:rFonts w:hint="eastAsia" w:ascii="宋体" w:hAnsi="宋体" w:cs="宋体"/>
                <w:color w:val="auto"/>
                <w:sz w:val="24"/>
                <w:highlight w:val="none"/>
              </w:rPr>
              <w:t>迁移办公助理、</w:t>
            </w:r>
            <w:r>
              <w:rPr>
                <w:rFonts w:hint="eastAsia" w:ascii="宋体" w:hAnsi="宋体" w:cs="宋体"/>
                <w:color w:val="auto"/>
                <w:kern w:val="0"/>
                <w:sz w:val="24"/>
                <w:highlight w:val="none"/>
                <w:lang w:bidi="ar"/>
              </w:rPr>
              <w:t>②</w:t>
            </w:r>
            <w:r>
              <w:rPr>
                <w:rFonts w:hint="eastAsia" w:ascii="宋体" w:hAnsi="宋体" w:cs="宋体"/>
                <w:color w:val="auto"/>
                <w:sz w:val="24"/>
                <w:highlight w:val="none"/>
              </w:rPr>
              <w:t>公文管理、</w:t>
            </w:r>
            <w:r>
              <w:rPr>
                <w:rFonts w:hint="eastAsia" w:ascii="宋体" w:hAnsi="宋体" w:cs="宋体"/>
                <w:color w:val="auto"/>
                <w:kern w:val="0"/>
                <w:sz w:val="24"/>
                <w:highlight w:val="none"/>
                <w:lang w:bidi="ar"/>
              </w:rPr>
              <w:t>③</w:t>
            </w:r>
            <w:r>
              <w:rPr>
                <w:rFonts w:hint="eastAsia" w:ascii="宋体" w:hAnsi="宋体" w:cs="宋体"/>
                <w:color w:val="auto"/>
                <w:sz w:val="24"/>
                <w:highlight w:val="none"/>
              </w:rPr>
              <w:t>信息资源、</w:t>
            </w:r>
            <w:r>
              <w:rPr>
                <w:rFonts w:hint="eastAsia" w:ascii="宋体" w:hAnsi="宋体" w:cs="宋体"/>
                <w:color w:val="auto"/>
                <w:kern w:val="0"/>
                <w:sz w:val="24"/>
                <w:highlight w:val="none"/>
                <w:lang w:bidi="ar"/>
              </w:rPr>
              <w:t>④</w:t>
            </w:r>
            <w:r>
              <w:rPr>
                <w:rFonts w:hint="eastAsia" w:ascii="宋体" w:hAnsi="宋体" w:cs="宋体"/>
                <w:color w:val="auto"/>
                <w:sz w:val="24"/>
                <w:highlight w:val="none"/>
              </w:rPr>
              <w:t>会议管理、</w:t>
            </w:r>
            <w:r>
              <w:rPr>
                <w:rFonts w:hint="eastAsia" w:ascii="宋体" w:hAnsi="宋体" w:cs="宋体"/>
                <w:color w:val="auto"/>
                <w:kern w:val="0"/>
                <w:sz w:val="24"/>
                <w:highlight w:val="none"/>
                <w:lang w:bidi="ar"/>
              </w:rPr>
              <w:t>⑤</w:t>
            </w:r>
            <w:r>
              <w:rPr>
                <w:rFonts w:hint="eastAsia" w:ascii="宋体" w:hAnsi="宋体" w:cs="宋体"/>
                <w:color w:val="auto"/>
                <w:sz w:val="24"/>
                <w:highlight w:val="none"/>
              </w:rPr>
              <w:t>内部管理、</w:t>
            </w:r>
            <w:r>
              <w:rPr>
                <w:rFonts w:hint="eastAsia" w:asciiTheme="majorEastAsia" w:hAnsiTheme="majorEastAsia" w:eastAsiaTheme="majorEastAsia"/>
                <w:color w:val="auto"/>
                <w:sz w:val="24"/>
                <w:highlight w:val="none"/>
              </w:rPr>
              <w:t>⑥</w:t>
            </w:r>
            <w:r>
              <w:rPr>
                <w:rFonts w:hint="eastAsia" w:ascii="宋体" w:hAnsi="宋体" w:cs="宋体"/>
                <w:color w:val="auto"/>
                <w:sz w:val="24"/>
                <w:highlight w:val="none"/>
              </w:rPr>
              <w:t>督察督办、</w:t>
            </w:r>
            <w:r>
              <w:rPr>
                <w:rFonts w:hint="eastAsia" w:asciiTheme="majorEastAsia" w:hAnsiTheme="majorEastAsia" w:eastAsiaTheme="majorEastAsia"/>
                <w:color w:val="auto"/>
                <w:sz w:val="24"/>
                <w:highlight w:val="none"/>
              </w:rPr>
              <w:t>⑦</w:t>
            </w:r>
            <w:r>
              <w:rPr>
                <w:rFonts w:hint="eastAsia" w:ascii="宋体" w:hAnsi="宋体" w:cs="宋体"/>
                <w:color w:val="auto"/>
                <w:sz w:val="24"/>
                <w:highlight w:val="none"/>
              </w:rPr>
              <w:t>任务管理、</w:t>
            </w:r>
            <w:r>
              <w:rPr>
                <w:rFonts w:hint="eastAsia" w:asciiTheme="majorEastAsia" w:hAnsiTheme="majorEastAsia" w:eastAsiaTheme="majorEastAsia"/>
                <w:color w:val="auto"/>
                <w:sz w:val="24"/>
                <w:highlight w:val="none"/>
              </w:rPr>
              <w:t>⑧</w:t>
            </w:r>
            <w:r>
              <w:rPr>
                <w:rFonts w:hint="eastAsia" w:ascii="宋体" w:hAnsi="宋体" w:cs="宋体"/>
                <w:color w:val="auto"/>
                <w:sz w:val="24"/>
                <w:highlight w:val="none"/>
              </w:rPr>
              <w:t>浙政钉移动端等模块</w:t>
            </w:r>
            <w:r>
              <w:rPr>
                <w:rFonts w:hint="eastAsia" w:ascii="宋体" w:hAnsi="宋体" w:cs="宋体"/>
                <w:color w:val="auto"/>
                <w:kern w:val="0"/>
                <w:sz w:val="24"/>
                <w:highlight w:val="none"/>
                <w:lang w:bidi="ar"/>
              </w:rPr>
              <w:t>。根据投标人提供方案的完整程度、详细程度、与招标文件要求的满足程度、可操作性等进行逐条评分，每项方案完整详细可行且完全满足采购人要求得1分，方案内容存在缺项或部分满足得0.5分，未提供方案或不满足不得分，本项最高8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FCC9">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3955">
            <w:pPr>
              <w:widowControl/>
              <w:spacing w:line="360" w:lineRule="auto"/>
              <w:jc w:val="center"/>
              <w:textAlignment w:val="center"/>
              <w:rPr>
                <w:rFonts w:hint="eastAsia" w:ascii="宋体" w:hAnsi="宋体" w:cs="宋体"/>
                <w:color w:val="auto"/>
                <w:kern w:val="0"/>
                <w:sz w:val="24"/>
                <w:highlight w:val="none"/>
                <w:lang w:bidi="ar"/>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13DA5432">
            <w:pPr>
              <w:spacing w:line="360" w:lineRule="auto"/>
              <w:jc w:val="center"/>
              <w:rPr>
                <w:rFonts w:ascii="宋体" w:hAnsi="宋体" w:cs="宋体"/>
                <w:color w:val="auto"/>
                <w:sz w:val="24"/>
                <w:highlight w:val="none"/>
              </w:rPr>
            </w:pPr>
          </w:p>
        </w:tc>
      </w:tr>
      <w:tr w14:paraId="49D943AC">
        <w:tblPrEx>
          <w:tblCellMar>
            <w:top w:w="0" w:type="dxa"/>
            <w:left w:w="108" w:type="dxa"/>
            <w:bottom w:w="0" w:type="dxa"/>
            <w:right w:w="108" w:type="dxa"/>
          </w:tblCellMar>
        </w:tblPrEx>
        <w:trPr>
          <w:trHeight w:val="416"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3F28">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11、统一数据资源体系改造方案</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4695">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投标人提供统一数据资源体系改造的详细技术方案，方案内容包括：①数据资源集成、②数据集中调度、③数据标准管理、④</w:t>
            </w:r>
            <w:r>
              <w:rPr>
                <w:rFonts w:hint="eastAsia" w:hAnsi="宋体" w:cs="宋体"/>
                <w:color w:val="auto"/>
                <w:sz w:val="24"/>
                <w:highlight w:val="none"/>
              </w:rPr>
              <w:t>数据资源治理优化、</w:t>
            </w:r>
            <w:r>
              <w:rPr>
                <w:rFonts w:hint="eastAsia" w:ascii="宋体" w:hAnsi="宋体" w:cs="宋体"/>
                <w:color w:val="auto"/>
                <w:kern w:val="0"/>
                <w:sz w:val="24"/>
                <w:highlight w:val="none"/>
                <w:lang w:bidi="ar"/>
              </w:rPr>
              <w:t>⑤统一数据质量管理、</w:t>
            </w:r>
            <w:r>
              <w:rPr>
                <w:rFonts w:hint="eastAsia" w:asciiTheme="majorEastAsia" w:hAnsiTheme="majorEastAsia" w:eastAsiaTheme="majorEastAsia"/>
                <w:color w:val="auto"/>
                <w:sz w:val="24"/>
                <w:highlight w:val="none"/>
              </w:rPr>
              <w:t>⑥</w:t>
            </w:r>
            <w:r>
              <w:rPr>
                <w:rFonts w:hint="eastAsia" w:hAnsi="宋体" w:cs="宋体"/>
                <w:color w:val="auto"/>
                <w:sz w:val="24"/>
                <w:highlight w:val="none"/>
              </w:rPr>
              <w:t>数据定时任务管理、</w:t>
            </w:r>
            <w:r>
              <w:rPr>
                <w:rFonts w:hint="eastAsia" w:asciiTheme="majorEastAsia" w:hAnsiTheme="majorEastAsia" w:eastAsiaTheme="majorEastAsia"/>
                <w:color w:val="auto"/>
                <w:sz w:val="24"/>
                <w:highlight w:val="none"/>
              </w:rPr>
              <w:t>⑦</w:t>
            </w:r>
            <w:r>
              <w:rPr>
                <w:rFonts w:hint="eastAsia" w:ascii="宋体" w:hAnsi="宋体" w:cs="宋体"/>
                <w:color w:val="auto"/>
                <w:kern w:val="0"/>
                <w:sz w:val="24"/>
                <w:highlight w:val="none"/>
                <w:lang w:bidi="ar"/>
              </w:rPr>
              <w:t>一窗查询。根据投标人提供方案的完整程度、详细程度、与招标文件要求的满足程度、可操作性等进行逐条评分，每项方案完整详细可行且完全满足采购人要求得1分，方案内容存在缺项或部分满足得0.5分，未提供方案或不满足不得分，本项最高7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D368">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F125">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4950CFBE">
            <w:pPr>
              <w:spacing w:line="360" w:lineRule="auto"/>
              <w:jc w:val="center"/>
              <w:rPr>
                <w:rFonts w:ascii="宋体" w:hAnsi="宋体" w:cs="宋体"/>
                <w:color w:val="auto"/>
                <w:sz w:val="24"/>
                <w:highlight w:val="none"/>
              </w:rPr>
            </w:pPr>
          </w:p>
        </w:tc>
      </w:tr>
      <w:tr w14:paraId="1C665527">
        <w:tblPrEx>
          <w:tblCellMar>
            <w:top w:w="0" w:type="dxa"/>
            <w:left w:w="108" w:type="dxa"/>
            <w:bottom w:w="0" w:type="dxa"/>
            <w:right w:w="108" w:type="dxa"/>
          </w:tblCellMar>
        </w:tblPrEx>
        <w:trPr>
          <w:trHeight w:val="416"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C550">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12、统一系统管理子系统改造方案</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B6C9">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提供统一系统管理子系统改造的详细技术方案，方案内容包括：①统一任务管理、②统一需求管理拓展、③统一资源台账、④统一安全台账。根据投标人提供方案的完整程度、详细程度、与招标文件要求的满足程度、可操作性等进行逐条评分，每项方案完整详细可行且完全满足采购人要求得2分，方案内容存在缺项或部分满足得1分，未提供方案或不满足不得分，本项最高8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E4DA">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0497">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7FAAE37D">
            <w:pPr>
              <w:spacing w:line="360" w:lineRule="auto"/>
              <w:jc w:val="center"/>
              <w:rPr>
                <w:rFonts w:ascii="宋体" w:hAnsi="宋体" w:cs="宋体"/>
                <w:color w:val="auto"/>
                <w:sz w:val="24"/>
                <w:highlight w:val="none"/>
              </w:rPr>
            </w:pPr>
          </w:p>
        </w:tc>
      </w:tr>
      <w:tr w14:paraId="0194F247">
        <w:tblPrEx>
          <w:tblCellMar>
            <w:top w:w="0" w:type="dxa"/>
            <w:left w:w="108" w:type="dxa"/>
            <w:bottom w:w="0" w:type="dxa"/>
            <w:right w:w="108" w:type="dxa"/>
          </w:tblCellMar>
        </w:tblPrEx>
        <w:trPr>
          <w:trHeight w:val="416"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5300">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13、综合集成方案</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8188">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投标人提供综合集成（经济监测平台、价格监测系统、协同办公OA统一集成）</w:t>
            </w:r>
            <w:r>
              <w:rPr>
                <w:rFonts w:hint="eastAsia" w:hAnsi="宋体" w:cs="宋体"/>
                <w:color w:val="auto"/>
                <w:sz w:val="24"/>
                <w:highlight w:val="none"/>
              </w:rPr>
              <w:t>集成到杭州市“数智发改”综合系统</w:t>
            </w:r>
            <w:r>
              <w:rPr>
                <w:rFonts w:hint="eastAsia" w:ascii="宋体" w:hAnsi="宋体" w:cs="宋体"/>
                <w:color w:val="auto"/>
                <w:kern w:val="0"/>
                <w:sz w:val="24"/>
                <w:highlight w:val="none"/>
                <w:lang w:bidi="ar"/>
              </w:rPr>
              <w:t>的详细技术方案，方案内容包括：①统一门户集成、②统一用户管理、③</w:t>
            </w:r>
            <w:r>
              <w:rPr>
                <w:rFonts w:hint="eastAsia" w:hAnsi="宋体" w:cs="宋体"/>
                <w:color w:val="auto"/>
                <w:sz w:val="24"/>
                <w:highlight w:val="none"/>
              </w:rPr>
              <w:t>统一授权管理、</w:t>
            </w:r>
            <w:r>
              <w:rPr>
                <w:rFonts w:hint="eastAsia" w:ascii="宋体" w:hAnsi="宋体" w:cs="宋体"/>
                <w:color w:val="auto"/>
                <w:kern w:val="0"/>
                <w:sz w:val="24"/>
                <w:highlight w:val="none"/>
                <w:lang w:bidi="ar"/>
              </w:rPr>
              <w:t>④</w:t>
            </w:r>
            <w:r>
              <w:rPr>
                <w:rFonts w:hint="eastAsia" w:hAnsi="宋体" w:cs="宋体"/>
                <w:color w:val="auto"/>
                <w:sz w:val="24"/>
                <w:highlight w:val="none"/>
              </w:rPr>
              <w:t>统一接入管理、</w:t>
            </w:r>
            <w:r>
              <w:rPr>
                <w:rFonts w:hint="eastAsia" w:asciiTheme="majorEastAsia" w:hAnsiTheme="majorEastAsia" w:eastAsiaTheme="majorEastAsia"/>
                <w:color w:val="auto"/>
                <w:sz w:val="24"/>
                <w:highlight w:val="none"/>
              </w:rPr>
              <w:t>⑤</w:t>
            </w:r>
            <w:r>
              <w:rPr>
                <w:rFonts w:hint="eastAsia" w:ascii="宋体" w:hAnsi="宋体" w:cs="宋体"/>
                <w:color w:val="auto"/>
                <w:kern w:val="0"/>
                <w:sz w:val="24"/>
                <w:highlight w:val="none"/>
                <w:lang w:bidi="ar"/>
              </w:rPr>
              <w:t>统一资源管理。根据投标人提供方案的完整程度、详细程度、与招标文件要求的满足程度、可操作性等进行逐条评分，每项方案完整详细可行且完全满足采购人要求得1分，方案内容存在缺项或部分满足得0.5分，未提供方案或不满足不得分，本项最高5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657F">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58D8">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5DABFF66">
            <w:pPr>
              <w:spacing w:line="360" w:lineRule="auto"/>
              <w:jc w:val="center"/>
              <w:rPr>
                <w:rFonts w:ascii="宋体" w:hAnsi="宋体" w:cs="宋体"/>
                <w:color w:val="auto"/>
                <w:sz w:val="24"/>
                <w:highlight w:val="none"/>
              </w:rPr>
            </w:pPr>
          </w:p>
        </w:tc>
      </w:tr>
      <w:tr w14:paraId="0142F5C1">
        <w:tblPrEx>
          <w:tblCellMar>
            <w:top w:w="0" w:type="dxa"/>
            <w:left w:w="108" w:type="dxa"/>
            <w:bottom w:w="0" w:type="dxa"/>
            <w:right w:w="108" w:type="dxa"/>
          </w:tblCellMar>
        </w:tblPrEx>
        <w:trPr>
          <w:trHeight w:val="1152"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70A8">
            <w:pPr>
              <w:widowControl/>
              <w:spacing w:line="360" w:lineRule="auto"/>
              <w:jc w:val="center"/>
              <w:textAlignment w:val="center"/>
              <w:rPr>
                <w:rFonts w:ascii="宋体" w:hAnsi="宋体" w:cs="宋体"/>
                <w:color w:val="auto"/>
                <w:sz w:val="24"/>
                <w:highlight w:val="none"/>
              </w:rPr>
            </w:pPr>
            <w:r>
              <w:rPr>
                <w:rFonts w:hint="eastAsia" w:asciiTheme="majorEastAsia" w:hAnsiTheme="majorEastAsia" w:eastAsiaTheme="majorEastAsia"/>
                <w:color w:val="auto"/>
                <w:sz w:val="24"/>
                <w:highlight w:val="none"/>
              </w:rPr>
              <w:t>14、组织实施方案</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D628">
            <w:pPr>
              <w:widowControl/>
              <w:spacing w:line="360" w:lineRule="auto"/>
              <w:textAlignment w:val="center"/>
              <w:rPr>
                <w:rFonts w:ascii="宋体" w:hAnsi="宋体" w:cs="宋体"/>
                <w:color w:val="auto"/>
                <w:sz w:val="24"/>
                <w:highlight w:val="none"/>
              </w:rPr>
            </w:pPr>
            <w:r>
              <w:rPr>
                <w:rFonts w:hint="eastAsia" w:asciiTheme="majorEastAsia" w:hAnsiTheme="majorEastAsia" w:eastAsiaTheme="majorEastAsia"/>
                <w:color w:val="auto"/>
                <w:sz w:val="24"/>
                <w:highlight w:val="none"/>
              </w:rPr>
              <w:t>投标人项目组织实施方案的科学性、合理性、规范性和可操作性，包括①系统设计、②软件开发、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3D4A">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F740">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447DAACE">
            <w:pPr>
              <w:spacing w:line="360" w:lineRule="auto"/>
              <w:jc w:val="center"/>
              <w:rPr>
                <w:rFonts w:ascii="宋体" w:hAnsi="宋体" w:cs="宋体"/>
                <w:color w:val="auto"/>
                <w:sz w:val="24"/>
                <w:highlight w:val="none"/>
              </w:rPr>
            </w:pPr>
          </w:p>
        </w:tc>
      </w:tr>
      <w:tr w14:paraId="332EE8A3">
        <w:tblPrEx>
          <w:tblCellMar>
            <w:top w:w="0" w:type="dxa"/>
            <w:left w:w="108" w:type="dxa"/>
            <w:bottom w:w="0" w:type="dxa"/>
            <w:right w:w="108" w:type="dxa"/>
          </w:tblCellMar>
        </w:tblPrEx>
        <w:trPr>
          <w:trHeight w:val="120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19BE">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w:t>
            </w:r>
            <w:r>
              <w:rPr>
                <w:rFonts w:hint="eastAsia" w:asciiTheme="majorEastAsia" w:hAnsiTheme="majorEastAsia" w:eastAsiaTheme="majorEastAsia"/>
                <w:color w:val="auto"/>
                <w:sz w:val="24"/>
                <w:highlight w:val="none"/>
              </w:rPr>
              <w:t>质量保证措施和建设工期情况</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247F">
            <w:pPr>
              <w:widowControl/>
              <w:spacing w:line="360" w:lineRule="auto"/>
              <w:textAlignment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投标人按采购人要求①是否明确的建设质量目标，②是否有质量保证措施，③是否具有详细可行的实施内容，④工期保证措施等。根据提供的方案内容进行评分，每一项内容完整、措施有效、符合采购人实际得</w:t>
            </w:r>
            <w:r>
              <w:rPr>
                <w:rFonts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rPr>
              <w:t>分，</w:t>
            </w:r>
            <w:r>
              <w:rPr>
                <w:rFonts w:asciiTheme="majorEastAsia" w:hAnsiTheme="majorEastAsia" w:eastAsiaTheme="majorEastAsia"/>
                <w:color w:val="auto"/>
                <w:sz w:val="24"/>
                <w:highlight w:val="none"/>
              </w:rPr>
              <w:t>内容虽然进行了阐述但并未完全贴合项目需求理解情况，或理解的内容未包括细节或</w:t>
            </w:r>
            <w:r>
              <w:rPr>
                <w:rFonts w:hint="eastAsia" w:asciiTheme="majorEastAsia" w:hAnsiTheme="majorEastAsia" w:eastAsiaTheme="majorEastAsia"/>
                <w:color w:val="auto"/>
                <w:sz w:val="24"/>
                <w:highlight w:val="none"/>
              </w:rPr>
              <w:t>有有效措</w:t>
            </w:r>
            <w:r>
              <w:rPr>
                <w:rFonts w:asciiTheme="majorEastAsia" w:hAnsiTheme="majorEastAsia" w:eastAsiaTheme="majorEastAsia"/>
                <w:color w:val="auto"/>
                <w:sz w:val="24"/>
                <w:highlight w:val="none"/>
              </w:rPr>
              <w:t>施，得</w:t>
            </w:r>
            <w:r>
              <w:rPr>
                <w:rFonts w:hint="eastAsia" w:asciiTheme="majorEastAsia" w:hAnsiTheme="majorEastAsia" w:eastAsiaTheme="majorEastAsia"/>
                <w:color w:val="auto"/>
                <w:sz w:val="24"/>
                <w:highlight w:val="none"/>
              </w:rPr>
              <w:t>0.</w:t>
            </w:r>
            <w:r>
              <w:rPr>
                <w:rFonts w:asciiTheme="majorEastAsia" w:hAnsiTheme="majorEastAsia" w:eastAsiaTheme="majorEastAsia"/>
                <w:color w:val="auto"/>
                <w:sz w:val="24"/>
                <w:highlight w:val="none"/>
              </w:rPr>
              <w:t>5分；未进行阐述或阐述内容无法满足项目需求的，得0分。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76AD">
            <w:pPr>
              <w:widowControl/>
              <w:spacing w:line="360" w:lineRule="auto"/>
              <w:jc w:val="center"/>
              <w:textAlignment w:val="center"/>
              <w:rPr>
                <w:rFonts w:ascii="宋体" w:hAnsi="宋体" w:cs="宋体"/>
                <w:color w:val="auto"/>
                <w:kern w:val="0"/>
                <w:sz w:val="24"/>
                <w:highlight w:val="none"/>
                <w:lang w:bidi="ar"/>
              </w:rPr>
            </w:pPr>
            <w:r>
              <w:rPr>
                <w:rFonts w:ascii="宋体" w:hAnsi="宋体" w:cs="宋体"/>
                <w:color w:val="auto"/>
                <w:kern w:val="0"/>
                <w:sz w:val="24"/>
                <w:highlight w:val="none"/>
                <w:lang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3D1E">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54783A00">
            <w:pPr>
              <w:spacing w:line="360" w:lineRule="auto"/>
              <w:jc w:val="center"/>
              <w:rPr>
                <w:rFonts w:ascii="宋体" w:hAnsi="宋体" w:cs="宋体"/>
                <w:color w:val="auto"/>
                <w:sz w:val="24"/>
                <w:highlight w:val="none"/>
              </w:rPr>
            </w:pPr>
          </w:p>
        </w:tc>
      </w:tr>
      <w:tr w14:paraId="59F58287">
        <w:tblPrEx>
          <w:tblCellMar>
            <w:top w:w="0" w:type="dxa"/>
            <w:left w:w="108" w:type="dxa"/>
            <w:bottom w:w="0" w:type="dxa"/>
            <w:right w:w="108" w:type="dxa"/>
          </w:tblCellMar>
        </w:tblPrEx>
        <w:trPr>
          <w:trHeight w:val="120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72E28">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w:t>
            </w:r>
            <w:r>
              <w:rPr>
                <w:rFonts w:hint="eastAsia" w:asciiTheme="majorEastAsia" w:hAnsiTheme="majorEastAsia" w:eastAsiaTheme="majorEastAsia"/>
                <w:color w:val="auto"/>
                <w:sz w:val="24"/>
                <w:highlight w:val="none"/>
              </w:rPr>
              <w:t>培训</w:t>
            </w:r>
            <w:r>
              <w:rPr>
                <w:rFonts w:asciiTheme="majorEastAsia" w:hAnsiTheme="majorEastAsia" w:eastAsiaTheme="majorEastAsia"/>
                <w:color w:val="auto"/>
                <w:sz w:val="24"/>
                <w:highlight w:val="none"/>
              </w:rPr>
              <w:t>、测试、试运行、验收</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CBEF">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（1）投标人是否提出合理性、可行性的①功能测试及②验收方案。每项全部满足得</w:t>
            </w:r>
            <w:r>
              <w:rPr>
                <w:rFonts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rPr>
              <w:t>分，部分满足得</w:t>
            </w:r>
            <w:r>
              <w:rPr>
                <w:rFonts w:asciiTheme="majorEastAsia" w:hAnsiTheme="majorEastAsia" w:eastAsiaTheme="majorEastAsia"/>
                <w:color w:val="auto"/>
                <w:sz w:val="24"/>
                <w:highlight w:val="none"/>
              </w:rPr>
              <w:t>0.5</w:t>
            </w:r>
            <w:r>
              <w:rPr>
                <w:rFonts w:hint="eastAsia" w:asciiTheme="majorEastAsia" w:hAnsiTheme="majorEastAsia" w:eastAsiaTheme="majorEastAsia"/>
                <w:color w:val="auto"/>
                <w:sz w:val="24"/>
                <w:highlight w:val="none"/>
              </w:rPr>
              <w:t>分，不满足得0分。本项最高得</w:t>
            </w:r>
            <w:r>
              <w:rPr>
                <w:rFonts w:asciiTheme="majorEastAsia" w:hAnsiTheme="majorEastAsia" w:eastAsiaTheme="majorEastAsia"/>
                <w:color w:val="auto"/>
                <w:sz w:val="24"/>
                <w:highlight w:val="none"/>
              </w:rPr>
              <w:t>2</w:t>
            </w:r>
            <w:r>
              <w:rPr>
                <w:rFonts w:hint="eastAsia" w:asciiTheme="majorEastAsia" w:hAnsiTheme="majorEastAsia" w:eastAsiaTheme="majorEastAsia"/>
                <w:color w:val="auto"/>
                <w:sz w:val="24"/>
                <w:highlight w:val="none"/>
              </w:rPr>
              <w:t>分。</w:t>
            </w:r>
          </w:p>
          <w:p w14:paraId="52C02872">
            <w:pPr>
              <w:widowControl/>
              <w:spacing w:line="360" w:lineRule="auto"/>
              <w:textAlignment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（2）提供可行性、合理性的培训方案、计划，</w:t>
            </w:r>
            <w:r>
              <w:rPr>
                <w:rFonts w:asciiTheme="majorEastAsia" w:hAnsiTheme="majorEastAsia" w:eastAsiaTheme="majorEastAsia"/>
                <w:color w:val="auto"/>
                <w:sz w:val="24"/>
                <w:highlight w:val="none"/>
              </w:rPr>
              <w:t>包括①培训内容、②培训时间地点、③培训对象，④培训师资力量等</w:t>
            </w:r>
            <w:r>
              <w:rPr>
                <w:rFonts w:hint="eastAsia" w:asciiTheme="majorEastAsia" w:hAnsiTheme="majorEastAsia" w:eastAsiaTheme="majorEastAsia"/>
                <w:color w:val="auto"/>
                <w:sz w:val="24"/>
                <w:highlight w:val="none"/>
              </w:rPr>
              <w:t>；根据投标方案内容进行评分，每项全部满足得1分，部分满足得0.</w:t>
            </w:r>
            <w:r>
              <w:rPr>
                <w:rFonts w:asciiTheme="majorEastAsia" w:hAnsiTheme="majorEastAsia" w:eastAsiaTheme="majorEastAsia"/>
                <w:color w:val="auto"/>
                <w:sz w:val="24"/>
                <w:highlight w:val="none"/>
              </w:rPr>
              <w:t>5</w:t>
            </w:r>
            <w:r>
              <w:rPr>
                <w:rFonts w:hint="eastAsia" w:asciiTheme="majorEastAsia" w:hAnsiTheme="majorEastAsia" w:eastAsiaTheme="majorEastAsia"/>
                <w:color w:val="auto"/>
                <w:sz w:val="24"/>
                <w:highlight w:val="none"/>
              </w:rPr>
              <w:t>分，不满足得0分。本项最高得4分。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D43A">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5182">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28772473">
            <w:pPr>
              <w:spacing w:line="360" w:lineRule="auto"/>
              <w:jc w:val="center"/>
              <w:rPr>
                <w:rFonts w:ascii="宋体" w:hAnsi="宋体" w:cs="宋体"/>
                <w:color w:val="auto"/>
                <w:sz w:val="24"/>
                <w:highlight w:val="none"/>
              </w:rPr>
            </w:pPr>
          </w:p>
        </w:tc>
      </w:tr>
      <w:tr w14:paraId="4722979C">
        <w:tblPrEx>
          <w:tblCellMar>
            <w:top w:w="0" w:type="dxa"/>
            <w:left w:w="108" w:type="dxa"/>
            <w:bottom w:w="0" w:type="dxa"/>
            <w:right w:w="108" w:type="dxa"/>
          </w:tblCellMar>
        </w:tblPrEx>
        <w:trPr>
          <w:trHeight w:val="120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6614">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17、驻点服务承诺</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D084">
            <w:pPr>
              <w:widowControl/>
              <w:spacing w:line="360" w:lineRule="auto"/>
              <w:textAlignment w:val="center"/>
              <w:rPr>
                <w:rFonts w:asciiTheme="majorEastAsia" w:hAnsiTheme="majorEastAsia" w:eastAsiaTheme="majorEastAsia"/>
                <w:color w:val="auto"/>
                <w:sz w:val="24"/>
                <w:highlight w:val="none"/>
              </w:rPr>
            </w:pPr>
            <w:r>
              <w:rPr>
                <w:rFonts w:hint="eastAsia" w:ascii="宋体" w:hAnsi="宋体" w:cs="宋体"/>
                <w:color w:val="auto"/>
                <w:kern w:val="0"/>
                <w:sz w:val="24"/>
                <w:highlight w:val="none"/>
                <w:lang w:bidi="ar"/>
              </w:rPr>
              <w:t>投标人需在本项目质保（运维）服务期内提供不少于1人的现场驻点运维服务。说明：提供相关承诺书（承诺书格式自拟），不提供不得分。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13E4">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6C17">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6F769259">
            <w:pPr>
              <w:spacing w:line="360" w:lineRule="auto"/>
              <w:jc w:val="center"/>
              <w:rPr>
                <w:rFonts w:ascii="宋体" w:hAnsi="宋体" w:cs="宋体"/>
                <w:color w:val="auto"/>
                <w:sz w:val="24"/>
                <w:highlight w:val="none"/>
              </w:rPr>
            </w:pPr>
          </w:p>
        </w:tc>
      </w:tr>
      <w:tr w14:paraId="15B1CE93">
        <w:tblPrEx>
          <w:tblCellMar>
            <w:top w:w="0" w:type="dxa"/>
            <w:left w:w="108" w:type="dxa"/>
            <w:bottom w:w="0" w:type="dxa"/>
            <w:right w:w="108" w:type="dxa"/>
          </w:tblCellMar>
        </w:tblPrEx>
        <w:trPr>
          <w:trHeight w:val="864"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4391">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18、售后服务保障方案</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5360">
            <w:pPr>
              <w:widowControl/>
              <w:spacing w:line="360" w:lineRule="auto"/>
              <w:textAlignment w:val="center"/>
              <w:rPr>
                <w:rFonts w:ascii="宋体" w:hAnsi="宋体" w:cs="宋体"/>
                <w:color w:val="auto"/>
                <w:kern w:val="0"/>
                <w:sz w:val="24"/>
                <w:highlight w:val="none"/>
                <w:lang w:bidi="ar"/>
              </w:rPr>
            </w:pPr>
            <w:bookmarkStart w:id="405" w:name="_GoBack"/>
            <w:r>
              <w:rPr>
                <w:rFonts w:hint="eastAsia" w:ascii="宋体" w:hAnsi="宋体" w:cs="宋体"/>
                <w:color w:val="auto"/>
                <w:kern w:val="0"/>
                <w:sz w:val="24"/>
                <w:highlight w:val="none"/>
                <w:lang w:bidi="ar"/>
              </w:rPr>
              <w:t>投标人须提供详细的售后服务保障方案，应具有完整具体的保障措施，包括售后服务内容、服务保障、服务承诺等，具备科学性、可操作性。包括：</w:t>
            </w:r>
          </w:p>
          <w:p w14:paraId="69C54227">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（1）2年的质保运维期间需及时响应并满足用户对于系统的问题故障处理和缺陷修正；</w:t>
            </w:r>
          </w:p>
          <w:p w14:paraId="5ADB8977">
            <w:pPr>
              <w:snapToGrid w:val="0"/>
              <w:spacing w:line="360" w:lineRule="auto"/>
              <w:ind w:firstLine="0" w:firstLineChars="0"/>
              <w:rPr>
                <w:rFonts w:hint="eastAsia" w:ascii="宋体" w:hAnsi="宋体" w:cs="宋体"/>
                <w:color w:val="auto"/>
                <w:sz w:val="24"/>
                <w:highlight w:val="none"/>
              </w:rPr>
            </w:pPr>
            <w:r>
              <w:rPr>
                <w:rFonts w:hint="eastAsia" w:ascii="宋体" w:hAnsi="宋体" w:cs="宋体"/>
                <w:color w:val="auto"/>
                <w:kern w:val="0"/>
                <w:sz w:val="24"/>
                <w:highlight w:val="none"/>
                <w:lang w:bidi="ar"/>
              </w:rPr>
              <w:t>（2）质保运维期内所有的服务涉及的费用均包含在合同总价中,质保运维期内提供7×24小时电话服务，驻场运维工程师应在30分钟内做出明确响应和安排，</w:t>
            </w:r>
            <w:r>
              <w:rPr>
                <w:rFonts w:hint="eastAsia" w:cs="微软雅黑" w:asciiTheme="minorEastAsia" w:hAnsiTheme="minorEastAsia" w:eastAsiaTheme="minorEastAsia"/>
                <w:color w:val="auto"/>
                <w:kern w:val="0"/>
                <w:sz w:val="24"/>
                <w:highlight w:val="none"/>
                <w:lang w:val="zh-TW" w:eastAsia="zh-TW"/>
              </w:rPr>
              <w:t>故障原因在4小时内无法排除的，投标人24小时内提交解决软件系统</w:t>
            </w:r>
            <w:r>
              <w:rPr>
                <w:rFonts w:hint="eastAsia" w:ascii="宋体" w:hAnsi="宋体" w:cs="宋体"/>
                <w:color w:val="auto"/>
                <w:sz w:val="24"/>
                <w:highlight w:val="none"/>
              </w:rPr>
              <w:t>问题解决或缺陷修正方案。</w:t>
            </w:r>
          </w:p>
          <w:p w14:paraId="38E4BCD4">
            <w:pPr>
              <w:widowControl/>
              <w:spacing w:line="360" w:lineRule="auto"/>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说明：根据投标人提供方案的完整程度、详细程度、与招标文件要求的满足程度、可操作性进行评分，每项内容完全满足采购人要求得1分，部分满足得0.5分，不满足的0分，本项最高得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bookmarkEnd w:id="405"/>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D25D">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BC49">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0D50A55B">
            <w:pPr>
              <w:spacing w:line="360" w:lineRule="auto"/>
              <w:jc w:val="center"/>
              <w:rPr>
                <w:rFonts w:ascii="宋体" w:hAnsi="宋体" w:cs="宋体"/>
                <w:color w:val="auto"/>
                <w:sz w:val="24"/>
                <w:highlight w:val="none"/>
              </w:rPr>
            </w:pPr>
          </w:p>
        </w:tc>
      </w:tr>
      <w:tr w14:paraId="73313099">
        <w:tblPrEx>
          <w:tblCellMar>
            <w:top w:w="0" w:type="dxa"/>
            <w:left w:w="108" w:type="dxa"/>
            <w:bottom w:w="0" w:type="dxa"/>
            <w:right w:w="108" w:type="dxa"/>
          </w:tblCellMar>
        </w:tblPrEx>
        <w:trPr>
          <w:trHeight w:val="112"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63705">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19、视频演示（不超过15分钟）</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B347">
            <w:pPr>
              <w:snapToGrid w:val="0"/>
              <w:spacing w:line="360" w:lineRule="auto"/>
              <w:rPr>
                <w:rFonts w:ascii="宋体" w:hAnsi="宋体" w:cs="宋体"/>
                <w:color w:val="auto"/>
                <w:kern w:val="0"/>
                <w:sz w:val="24"/>
                <w:highlight w:val="none"/>
                <w:lang w:bidi="ar"/>
              </w:rPr>
            </w:pPr>
            <w:r>
              <w:rPr>
                <w:rFonts w:hint="eastAsia" w:asciiTheme="majorEastAsia" w:hAnsiTheme="majorEastAsia" w:eastAsiaTheme="majorEastAsia"/>
                <w:color w:val="auto"/>
                <w:sz w:val="24"/>
                <w:highlight w:val="none"/>
              </w:rPr>
              <w:t>投标人需自备平台录屏演示，演示时长不超过15分钟。PPT演示、静态页面演示的不得分，不演示不得分。本项最高得11分。</w:t>
            </w:r>
          </w:p>
          <w:p w14:paraId="013AADBF">
            <w:pPr>
              <w:widowControl/>
              <w:numPr>
                <w:ilvl w:val="0"/>
                <w:numId w:val="4"/>
              </w:numPr>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统一数据资源集成体系：演示包含数据资源集成、数据集中调度、数据标准管理、统一数据质量管理、一窗查询。根据投标人上述功能系统演示情况打分，演示内容完全并满足要求得5分，部分演示或部分满足得3分，未提供演示或不满足不得分。</w:t>
            </w:r>
          </w:p>
          <w:p w14:paraId="59E0D4F1">
            <w:pPr>
              <w:widowControl/>
              <w:numPr>
                <w:ilvl w:val="0"/>
                <w:numId w:val="4"/>
              </w:numPr>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统一系统管理子系统：演示包含统一任务管理、统一需求管理拓展、统一资源台账、统一安全台账。根据投标人上述功能系统演示情况打分，演示内容完全并满足要求得3分，部分演示或部分满足得1分，未提供演示或不满足不得分。</w:t>
            </w:r>
          </w:p>
          <w:p w14:paraId="4A937A12">
            <w:pPr>
              <w:widowControl/>
              <w:numPr>
                <w:ilvl w:val="0"/>
                <w:numId w:val="4"/>
              </w:numPr>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综合集成：演示包含集成（经济监测平台、价格监测系统、协同办公OA统一集成）的统一门户集成和统一用户管理。根据投标人上述功能系统演示情况打分，演示内容完全并满足要求得3分，部分演示或部分满足得1分，未提供演示或不满足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D71C">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20D20">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21E89B1B">
            <w:pPr>
              <w:spacing w:line="360" w:lineRule="auto"/>
              <w:jc w:val="center"/>
              <w:rPr>
                <w:rFonts w:ascii="宋体" w:hAnsi="宋体" w:cs="宋体"/>
                <w:color w:val="auto"/>
                <w:sz w:val="24"/>
                <w:highlight w:val="none"/>
              </w:rPr>
            </w:pPr>
          </w:p>
        </w:tc>
      </w:tr>
      <w:tr w14:paraId="6A393F71">
        <w:tblPrEx>
          <w:tblCellMar>
            <w:top w:w="0" w:type="dxa"/>
            <w:left w:w="108" w:type="dxa"/>
            <w:bottom w:w="0" w:type="dxa"/>
            <w:right w:w="108" w:type="dxa"/>
          </w:tblCellMar>
        </w:tblPrEx>
        <w:trPr>
          <w:trHeight w:val="1728"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F989">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20、投标报价</w:t>
            </w:r>
          </w:p>
        </w:tc>
        <w:tc>
          <w:tcPr>
            <w:tcW w:w="2751" w:type="pct"/>
            <w:tcBorders>
              <w:top w:val="single" w:color="000000" w:sz="4" w:space="0"/>
              <w:left w:val="single" w:color="000000" w:sz="4" w:space="0"/>
              <w:bottom w:val="single" w:color="000000" w:sz="4" w:space="0"/>
              <w:right w:val="single" w:color="000000" w:sz="4" w:space="0"/>
            </w:tcBorders>
            <w:shd w:val="clear" w:color="auto" w:fill="auto"/>
          </w:tcPr>
          <w:p w14:paraId="6CE8817E">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有效投标报价的最低价作为评标基准价，其最低报价为满分；按［投标报价得分=（评标基准价/投标报价）*权重］的计算公式计算。</w:t>
            </w:r>
          </w:p>
          <w:p w14:paraId="5798B619">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评标过程中，不得去掉报价中的最高报价和最低报价。</w:t>
            </w:r>
          </w:p>
          <w:p w14:paraId="37BBFFA9">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3790">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26D7">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FC41">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r>
    </w:tbl>
    <w:p w14:paraId="270144D0">
      <w:pPr>
        <w:rPr>
          <w:color w:val="auto"/>
          <w:highlight w:val="none"/>
        </w:rPr>
      </w:pPr>
    </w:p>
    <w:p w14:paraId="0458347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D7F58C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A192A8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C860E1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287487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8F6D90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FDA17D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03C0F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831B66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608517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6A22C67">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E93C1C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8E57B5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9567FB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A63582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F10F3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3155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E10331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0C322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E4735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D2B576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07D89E0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0DD4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E085D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B5316F9">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A40188">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B8C0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9E6C3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BA0F9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8368F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75FE5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54BAA6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7B3AB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4DA1D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73506317">
      <w:pP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14:paraId="53C90CD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2C82EA24">
      <w:pP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890E5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66F0E97">
      <w:pPr>
        <w:spacing w:line="360" w:lineRule="auto"/>
        <w:ind w:left="430" w:leftChars="205"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570A91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A07DFB9">
      <w:pPr>
        <w:pStyle w:val="3"/>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BCCD8A1">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EF702DC">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0BFD42D3">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FCB2371">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3B0A70A2">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201143F">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FD9C50">
      <w:pPr>
        <w:pStyle w:val="3"/>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72914EA">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493AFE6">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6D28366">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1E7D55B">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677F3C1">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C115B29">
      <w:pPr>
        <w:pStyle w:val="3"/>
        <w:snapToGrid w:val="0"/>
        <w:spacing w:line="360" w:lineRule="auto"/>
        <w:ind w:firstLine="0" w:firstLineChars="0"/>
        <w:rPr>
          <w:rFonts w:cs="宋体"/>
          <w:color w:val="auto"/>
          <w:highlight w:val="none"/>
        </w:rPr>
      </w:pPr>
    </w:p>
    <w:bookmarkEnd w:id="27"/>
    <w:p w14:paraId="08CCAB48">
      <w:pPr>
        <w:spacing w:line="240" w:lineRule="auto"/>
        <w:ind w:left="0" w:leftChars="0" w:firstLine="0" w:firstLineChars="0"/>
        <w:outlineLvl w:val="9"/>
        <w:rPr>
          <w:rFonts w:ascii="Times New Roman" w:hAnsi="Times New Roman" w:cs="Times New Roman"/>
          <w:b w:val="0"/>
          <w:color w:val="auto"/>
          <w:sz w:val="21"/>
          <w:szCs w:val="24"/>
          <w:highlight w:val="none"/>
        </w:rPr>
      </w:pPr>
      <w:bookmarkStart w:id="393" w:name="第五部分"/>
      <w:bookmarkStart w:id="394" w:name="_Toc86217003"/>
    </w:p>
    <w:p w14:paraId="0A1FF56F">
      <w:pPr>
        <w:spacing w:line="240" w:lineRule="auto"/>
        <w:ind w:left="0" w:leftChars="0" w:firstLine="0" w:firstLineChars="0"/>
        <w:outlineLvl w:val="9"/>
        <w:rPr>
          <w:rFonts w:ascii="Times New Roman" w:hAnsi="Times New Roman" w:cs="Times New Roman"/>
          <w:b w:val="0"/>
          <w:color w:val="auto"/>
          <w:sz w:val="21"/>
          <w:szCs w:val="24"/>
          <w:highlight w:val="none"/>
        </w:rPr>
      </w:pPr>
      <w:r>
        <w:rPr>
          <w:rFonts w:hint="eastAsia" w:ascii="Times New Roman" w:hAnsi="Times New Roman" w:cs="Times New Roman"/>
          <w:b w:val="0"/>
          <w:color w:val="auto"/>
          <w:sz w:val="21"/>
          <w:szCs w:val="24"/>
          <w:highlight w:val="none"/>
        </w:rPr>
        <w:t xml:space="preserve">    </w:t>
      </w:r>
    </w:p>
    <w:p w14:paraId="2467FCAF">
      <w:pPr>
        <w:spacing w:line="240" w:lineRule="auto"/>
        <w:ind w:left="0" w:leftChars="0" w:firstLine="0" w:firstLineChars="0"/>
        <w:outlineLvl w:val="9"/>
        <w:rPr>
          <w:rFonts w:ascii="Times New Roman" w:hAnsi="Times New Roman" w:cs="Times New Roman"/>
          <w:b w:val="0"/>
          <w:color w:val="auto"/>
          <w:sz w:val="21"/>
          <w:szCs w:val="24"/>
          <w:highlight w:val="none"/>
        </w:rPr>
      </w:pPr>
    </w:p>
    <w:p w14:paraId="7E99A870">
      <w:pPr>
        <w:spacing w:line="240" w:lineRule="auto"/>
        <w:ind w:left="0" w:leftChars="0" w:firstLine="0" w:firstLineChars="0"/>
        <w:outlineLvl w:val="9"/>
        <w:rPr>
          <w:rFonts w:ascii="Times New Roman" w:hAnsi="Times New Roman" w:cs="Times New Roman"/>
          <w:b w:val="0"/>
          <w:color w:val="auto"/>
          <w:sz w:val="21"/>
          <w:szCs w:val="24"/>
          <w:highlight w:val="none"/>
        </w:rPr>
      </w:pPr>
    </w:p>
    <w:p w14:paraId="11A69D72">
      <w:pPr>
        <w:spacing w:line="240" w:lineRule="auto"/>
        <w:ind w:left="0" w:leftChars="0" w:firstLine="0" w:firstLineChars="0"/>
        <w:outlineLvl w:val="9"/>
        <w:rPr>
          <w:rFonts w:ascii="Times New Roman" w:hAnsi="Times New Roman" w:cs="Times New Roman"/>
          <w:b w:val="0"/>
          <w:color w:val="auto"/>
          <w:sz w:val="21"/>
          <w:szCs w:val="24"/>
          <w:highlight w:val="none"/>
        </w:rPr>
      </w:pPr>
    </w:p>
    <w:p w14:paraId="74707A07">
      <w:pPr>
        <w:spacing w:line="240" w:lineRule="auto"/>
        <w:ind w:left="0" w:leftChars="0" w:firstLine="0" w:firstLineChars="0"/>
        <w:outlineLvl w:val="9"/>
        <w:rPr>
          <w:rFonts w:ascii="Times New Roman" w:hAnsi="Times New Roman" w:cs="Times New Roman"/>
          <w:b w:val="0"/>
          <w:color w:val="auto"/>
          <w:sz w:val="21"/>
          <w:szCs w:val="24"/>
          <w:highlight w:val="none"/>
        </w:rPr>
      </w:pPr>
    </w:p>
    <w:p w14:paraId="0143725A">
      <w:pPr>
        <w:spacing w:line="240" w:lineRule="auto"/>
        <w:ind w:left="0" w:leftChars="0" w:firstLine="0" w:firstLineChars="0"/>
        <w:outlineLvl w:val="9"/>
        <w:rPr>
          <w:rFonts w:ascii="Times New Roman" w:hAnsi="Times New Roman" w:cs="Times New Roman"/>
          <w:b w:val="0"/>
          <w:color w:val="auto"/>
          <w:sz w:val="21"/>
          <w:szCs w:val="24"/>
          <w:highlight w:val="none"/>
        </w:rPr>
      </w:pPr>
    </w:p>
    <w:p w14:paraId="6CA1D711">
      <w:pPr>
        <w:widowControl w:val="0"/>
        <w:adjustRightInd w:val="0"/>
        <w:jc w:val="both"/>
        <w:rPr>
          <w:rFonts w:ascii="Times New Roman" w:hAnsi="Times New Roman" w:cs="Times New Roman"/>
          <w:b w:val="0"/>
          <w:color w:val="auto"/>
          <w:sz w:val="21"/>
          <w:szCs w:val="24"/>
          <w:highlight w:val="none"/>
        </w:rPr>
      </w:pPr>
      <w:r>
        <w:rPr>
          <w:rFonts w:ascii="Times New Roman" w:hAnsi="Times New Roman" w:cs="Times New Roman"/>
          <w:b w:val="0"/>
          <w:color w:val="auto"/>
          <w:sz w:val="21"/>
          <w:szCs w:val="24"/>
          <w:highlight w:val="none"/>
        </w:rPr>
        <w:br w:type="page"/>
      </w:r>
    </w:p>
    <w:p w14:paraId="5D2F5FC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14A58E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BC58D9B">
      <w:pPr>
        <w:spacing w:line="480" w:lineRule="auto"/>
        <w:jc w:val="center"/>
        <w:rPr>
          <w:rFonts w:ascii="宋体" w:hAnsi="宋体" w:cs="宋体"/>
          <w:b/>
          <w:color w:val="auto"/>
          <w:sz w:val="28"/>
          <w:szCs w:val="28"/>
          <w:highlight w:val="none"/>
        </w:rPr>
      </w:pPr>
    </w:p>
    <w:p w14:paraId="57270DF7">
      <w:pPr>
        <w:spacing w:line="480" w:lineRule="auto"/>
        <w:jc w:val="center"/>
        <w:rPr>
          <w:rFonts w:ascii="宋体" w:hAnsi="宋体" w:cs="宋体"/>
          <w:b/>
          <w:color w:val="auto"/>
          <w:sz w:val="24"/>
          <w:highlight w:val="none"/>
        </w:rPr>
      </w:pPr>
    </w:p>
    <w:p w14:paraId="67C36CFC">
      <w:pPr>
        <w:spacing w:line="480" w:lineRule="auto"/>
        <w:jc w:val="center"/>
        <w:rPr>
          <w:rFonts w:ascii="宋体" w:hAnsi="宋体" w:cs="宋体"/>
          <w:b/>
          <w:color w:val="auto"/>
          <w:sz w:val="24"/>
          <w:highlight w:val="none"/>
        </w:rPr>
      </w:pPr>
    </w:p>
    <w:p w14:paraId="6650D14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5A25F0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89C0034">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557D0DE">
      <w:pPr>
        <w:spacing w:before="120" w:line="22" w:lineRule="atLeast"/>
        <w:rPr>
          <w:rFonts w:ascii="宋体" w:hAnsi="宋体" w:cs="宋体"/>
          <w:color w:val="auto"/>
          <w:sz w:val="24"/>
          <w:highlight w:val="none"/>
        </w:rPr>
      </w:pPr>
    </w:p>
    <w:p w14:paraId="78FAB3BD">
      <w:pPr>
        <w:pStyle w:val="8"/>
        <w:rPr>
          <w:color w:val="auto"/>
          <w:highlight w:val="none"/>
        </w:rPr>
      </w:pPr>
    </w:p>
    <w:p w14:paraId="4D444DF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715EA0C">
      <w:pPr>
        <w:pStyle w:val="600"/>
        <w:spacing w:before="120" w:line="22" w:lineRule="atLeast"/>
        <w:rPr>
          <w:rFonts w:ascii="宋体" w:hAnsi="宋体" w:eastAsia="宋体" w:cs="宋体"/>
          <w:color w:val="auto"/>
          <w:szCs w:val="24"/>
          <w:highlight w:val="none"/>
        </w:rPr>
      </w:pPr>
    </w:p>
    <w:p w14:paraId="213908CD">
      <w:pPr>
        <w:pStyle w:val="600"/>
        <w:spacing w:before="120" w:line="22" w:lineRule="atLeast"/>
        <w:rPr>
          <w:rFonts w:ascii="宋体" w:hAnsi="宋体" w:eastAsia="宋体" w:cs="宋体"/>
          <w:color w:val="auto"/>
          <w:szCs w:val="24"/>
          <w:highlight w:val="none"/>
        </w:rPr>
      </w:pPr>
    </w:p>
    <w:p w14:paraId="72586220">
      <w:pPr>
        <w:rPr>
          <w:rFonts w:ascii="宋体" w:hAnsi="宋体" w:cs="宋体"/>
          <w:color w:val="auto"/>
          <w:sz w:val="24"/>
          <w:highlight w:val="none"/>
        </w:rPr>
      </w:pPr>
    </w:p>
    <w:p w14:paraId="506F80D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7BA710C">
      <w:pPr>
        <w:spacing w:before="120" w:line="22" w:lineRule="atLeast"/>
        <w:rPr>
          <w:rFonts w:ascii="宋体" w:hAnsi="宋体" w:cs="宋体"/>
          <w:color w:val="auto"/>
          <w:sz w:val="24"/>
          <w:highlight w:val="none"/>
        </w:rPr>
      </w:pPr>
    </w:p>
    <w:p w14:paraId="5A55F23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53D6858">
      <w:pPr>
        <w:spacing w:before="120" w:line="22" w:lineRule="atLeast"/>
        <w:rPr>
          <w:rFonts w:ascii="宋体" w:hAnsi="宋体" w:cs="宋体"/>
          <w:color w:val="auto"/>
          <w:sz w:val="24"/>
          <w:highlight w:val="none"/>
        </w:rPr>
      </w:pPr>
    </w:p>
    <w:p w14:paraId="19A5EA8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444E3CB">
      <w:pPr>
        <w:spacing w:before="120" w:line="22" w:lineRule="atLeast"/>
        <w:rPr>
          <w:rFonts w:ascii="宋体" w:hAnsi="宋体" w:cs="宋体"/>
          <w:color w:val="auto"/>
          <w:sz w:val="24"/>
          <w:highlight w:val="none"/>
        </w:rPr>
      </w:pPr>
    </w:p>
    <w:p w14:paraId="22FBBDF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958722">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0DDEFC7">
      <w:pPr>
        <w:rPr>
          <w:rFonts w:ascii="宋体" w:hAnsi="宋体" w:cs="宋体"/>
          <w:b/>
          <w:color w:val="auto"/>
          <w:sz w:val="24"/>
          <w:highlight w:val="none"/>
        </w:rPr>
      </w:pPr>
    </w:p>
    <w:p w14:paraId="1448F276">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杭州市发展和改革委员会（杭州市对口支援和区域合作局）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市发改委2025年深化信创项目-标项一（“数智发改”主平台、OA系统迁移及六统一集成）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D1BA87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杭州市发展和改革委员会（杭州市对口支援和区域合作局）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6FC2B38">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1.</w:t>
      </w:r>
      <w:r>
        <w:rPr>
          <w:rFonts w:ascii="宋体" w:hAnsi="宋体" w:cs="宋体"/>
          <w:b/>
          <w:color w:val="auto"/>
          <w:sz w:val="24"/>
          <w:highlight w:val="none"/>
        </w:rPr>
        <w:t xml:space="preserve"> </w:t>
      </w:r>
      <w:r>
        <w:rPr>
          <w:rFonts w:hint="eastAsia" w:ascii="宋体" w:hAnsi="宋体" w:cs="宋体"/>
          <w:b/>
          <w:color w:val="auto"/>
          <w:sz w:val="24"/>
          <w:highlight w:val="none"/>
        </w:rPr>
        <w:t>定义</w:t>
      </w:r>
    </w:p>
    <w:p w14:paraId="58892E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w:t>
      </w:r>
      <w:r>
        <w:rPr>
          <w:rFonts w:hint="eastAsia" w:ascii="宋体" w:hAnsi="宋体" w:cs="宋体"/>
          <w:color w:val="auto"/>
          <w:kern w:val="0"/>
          <w:sz w:val="24"/>
          <w:highlight w:val="none"/>
          <w:lang w:val="zh-CN"/>
        </w:rPr>
        <w:t>合同”</w:t>
      </w:r>
      <w:r>
        <w:rPr>
          <w:rFonts w:hint="eastAsia" w:ascii="宋体" w:hAnsi="宋体" w:cs="宋体"/>
          <w:color w:val="auto"/>
          <w:sz w:val="24"/>
          <w:highlight w:val="none"/>
        </w:rPr>
        <w:t>即由</w:t>
      </w:r>
      <w:r>
        <w:rPr>
          <w:rFonts w:hint="eastAsia" w:ascii="宋体" w:hAnsi="宋体" w:cs="宋体"/>
          <w:color w:val="auto"/>
          <w:kern w:val="0"/>
          <w:sz w:val="24"/>
          <w:highlight w:val="none"/>
          <w:lang w:val="zh-CN"/>
        </w:rPr>
        <w:t>甲、乙方</w:t>
      </w:r>
      <w:r>
        <w:rPr>
          <w:rFonts w:hint="eastAsia" w:ascii="宋体" w:hAnsi="宋体" w:cs="宋体"/>
          <w:color w:val="auto"/>
          <w:sz w:val="24"/>
          <w:highlight w:val="none"/>
        </w:rPr>
        <w:t>双方签订的合同格式中的文件，包括所有的附件、附录和组成合同部分的所有其他文件。</w:t>
      </w:r>
    </w:p>
    <w:p w14:paraId="355531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“合同价格”系指根据合同规定，在乙方全面正确地履行合同义务时，甲方应支付给乙方的款项。</w:t>
      </w:r>
    </w:p>
    <w:p w14:paraId="249E71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1．3“服务”系指招标文件规定乙方须承担的软件开发、调试、维保、培训以及其它完成合同需要的义务。</w:t>
      </w:r>
    </w:p>
    <w:p w14:paraId="4F1F9B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1．4“甲方”系指通过采购接受合同及服务的杭州市发展和改革委员会（杭州市对口支援和区域合作局）。</w:t>
      </w:r>
    </w:p>
    <w:p w14:paraId="372900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1．5“乙方”系指</w:t>
      </w:r>
      <w:r>
        <w:rPr>
          <w:rFonts w:hint="eastAsia" w:ascii="宋体" w:hAnsi="宋体" w:cs="宋体"/>
          <w:color w:val="auto"/>
          <w:kern w:val="0"/>
          <w:sz w:val="24"/>
          <w:highlight w:val="none"/>
          <w:lang w:val="zh-CN"/>
        </w:rPr>
        <w:t>经采购最终确定的</w:t>
      </w:r>
      <w:r>
        <w:rPr>
          <w:rFonts w:hint="eastAsia" w:ascii="宋体" w:hAnsi="宋体" w:cs="宋体"/>
          <w:color w:val="auto"/>
          <w:sz w:val="24"/>
          <w:highlight w:val="none"/>
        </w:rPr>
        <w:t>中标单位。</w:t>
      </w:r>
    </w:p>
    <w:p w14:paraId="00435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1．6“现场”系指将要进行系统开发和培训的地点即杭州市发展和改革委员会（杭州市对口支援和区域合作局）。</w:t>
      </w:r>
    </w:p>
    <w:p w14:paraId="2C3518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1．7“验收”系指甲方依据技术规格规定接受合同所依据的程序和条件。</w:t>
      </w:r>
    </w:p>
    <w:p w14:paraId="215B3514">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2．适用范围</w:t>
      </w:r>
    </w:p>
    <w:p w14:paraId="39F7154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本合同条款适用于本次采购活动。项目实施范围详见附件—招标文件和投标文件及补充文件、承诺书等。</w:t>
      </w:r>
    </w:p>
    <w:p w14:paraId="224BBF9C">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3.项目完成时间及地点</w:t>
      </w:r>
    </w:p>
    <w:p w14:paraId="648856C0">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3.1履约时间：2025年10月底前完成各子系统的开发迁移工作并通过项目初验。初验通过后，系统进行1个月试运行。试运行结束后，完成项目终验。</w:t>
      </w:r>
    </w:p>
    <w:p w14:paraId="3E0477EF">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3.2履约地点：杭州市发展和改革委员会（杭州市对口支援和区域合作局）指定地点</w:t>
      </w:r>
    </w:p>
    <w:p w14:paraId="6221CFAF">
      <w:pPr>
        <w:widowControl/>
        <w:snapToGrid w:val="0"/>
        <w:spacing w:line="360" w:lineRule="auto"/>
        <w:ind w:firstLine="482" w:firstLineChars="200"/>
        <w:outlineLvl w:val="2"/>
        <w:rPr>
          <w:rFonts w:ascii="宋体" w:hAnsi="宋体" w:cs="宋体"/>
          <w:b/>
          <w:color w:val="auto"/>
          <w:sz w:val="24"/>
          <w:highlight w:val="none"/>
          <w:lang w:val="en"/>
        </w:rPr>
      </w:pPr>
      <w:r>
        <w:rPr>
          <w:rFonts w:hint="eastAsia" w:ascii="宋体" w:hAnsi="宋体" w:cs="宋体"/>
          <w:b/>
          <w:color w:val="auto"/>
          <w:sz w:val="24"/>
          <w:highlight w:val="none"/>
          <w:lang w:val="en"/>
        </w:rPr>
        <w:t>4</w:t>
      </w:r>
      <w:r>
        <w:rPr>
          <w:rFonts w:hint="eastAsia" w:ascii="宋体" w:hAnsi="宋体" w:cs="宋体"/>
          <w:b/>
          <w:color w:val="auto"/>
          <w:sz w:val="24"/>
          <w:highlight w:val="none"/>
        </w:rPr>
        <w:t>.建设内容</w:t>
      </w:r>
    </w:p>
    <w:p w14:paraId="4D592E60">
      <w:pPr>
        <w:pStyle w:val="4"/>
        <w:ind w:firstLine="480"/>
        <w:rPr>
          <w:rFonts w:hAnsi="宋体" w:cs="宋体"/>
          <w:color w:val="auto"/>
          <w:szCs w:val="24"/>
          <w:highlight w:val="none"/>
          <w:lang w:val="en-US"/>
        </w:rPr>
      </w:pPr>
      <w:r>
        <w:rPr>
          <w:rFonts w:hint="eastAsia" w:hAnsi="宋体" w:cs="宋体"/>
          <w:color w:val="auto"/>
          <w:szCs w:val="24"/>
          <w:highlight w:val="none"/>
          <w:lang w:val="en-US"/>
        </w:rPr>
        <w:t>按照杭州市发展和改革委员会深化信创（2025年）替代计划和目标，本项目主要包括“数智发改”主平台迁移和协同办公（OA）系统的迁移，按照六统一的要求完成统一数据资源集成、统一系统管理子系统改造和经济监测平台、价格监测预警协同办公（OA）系统综合集成。通过对杭州市发改委内的政务信息化系统进行国产化迁移改造和功能升级，推动政务信息资源的整合、共享和开放，落实党政机关信创应用和相关管理制度体系、标准体系要求。</w:t>
      </w:r>
    </w:p>
    <w:p w14:paraId="007E791D">
      <w:p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5</w:t>
      </w:r>
      <w:r>
        <w:rPr>
          <w:rFonts w:ascii="宋体" w:hAnsi="宋体" w:cs="宋体"/>
          <w:b/>
          <w:bCs/>
          <w:color w:val="auto"/>
          <w:sz w:val="24"/>
          <w:highlight w:val="none"/>
        </w:rPr>
        <w:t xml:space="preserve">. </w:t>
      </w:r>
      <w:r>
        <w:rPr>
          <w:rFonts w:hint="eastAsia" w:ascii="宋体" w:hAnsi="宋体" w:cs="宋体"/>
          <w:b/>
          <w:bCs/>
          <w:color w:val="auto"/>
          <w:sz w:val="24"/>
          <w:highlight w:val="none"/>
        </w:rPr>
        <w:t>项目实施</w:t>
      </w:r>
    </w:p>
    <w:p w14:paraId="3910B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 乙方项目实施人员须服从甲方管理人员管理。乙方项目实施人员必须遵守现场的各项规章制度。</w:t>
      </w:r>
    </w:p>
    <w:p w14:paraId="4DFA88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 乙方应根据项目情况提供软件开发计划，项目实施进度计划，经甲、乙双方共同确定后作为双方共同执行的合同条款，乙方应按计划完工交付验收。</w:t>
      </w:r>
    </w:p>
    <w:p w14:paraId="3A7BE841">
      <w:p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rPr>
        <w:t>6</w:t>
      </w:r>
      <w:r>
        <w:rPr>
          <w:rFonts w:hint="eastAsia" w:ascii="宋体" w:hAnsi="宋体" w:cs="宋体"/>
          <w:b/>
          <w:bCs/>
          <w:color w:val="auto"/>
          <w:sz w:val="24"/>
          <w:highlight w:val="none"/>
          <w:lang w:val="en"/>
        </w:rPr>
        <w:t>．</w:t>
      </w:r>
      <w:r>
        <w:rPr>
          <w:rFonts w:hint="eastAsia" w:ascii="宋体" w:hAnsi="宋体" w:cs="宋体"/>
          <w:b/>
          <w:bCs/>
          <w:color w:val="auto"/>
          <w:sz w:val="24"/>
          <w:highlight w:val="none"/>
          <w:lang w:val="zh-CN"/>
        </w:rPr>
        <w:t>系统</w:t>
      </w:r>
      <w:r>
        <w:rPr>
          <w:rFonts w:hint="eastAsia" w:ascii="宋体" w:hAnsi="宋体" w:cs="宋体"/>
          <w:b/>
          <w:bCs/>
          <w:color w:val="auto"/>
          <w:sz w:val="24"/>
          <w:highlight w:val="none"/>
        </w:rPr>
        <w:t>质保运维</w:t>
      </w:r>
    </w:p>
    <w:p w14:paraId="7A56B015">
      <w:pPr>
        <w:snapToGrid w:val="0"/>
        <w:spacing w:line="360" w:lineRule="auto"/>
        <w:ind w:firstLine="480" w:firstLineChars="200"/>
        <w:rPr>
          <w:rFonts w:ascii="宋体" w:hAnsi="宋体" w:cs="宋体"/>
          <w:color w:val="auto"/>
          <w:sz w:val="24"/>
          <w:highlight w:val="none"/>
          <w:lang w:val="en-US"/>
        </w:rPr>
      </w:pPr>
      <w:r>
        <w:rPr>
          <w:rFonts w:hint="eastAsia" w:ascii="宋体" w:hAnsi="宋体" w:cs="宋体"/>
          <w:color w:val="auto"/>
          <w:sz w:val="24"/>
          <w:highlight w:val="none"/>
        </w:rPr>
        <w:t>提供</w:t>
      </w:r>
      <w:r>
        <w:rPr>
          <w:rFonts w:ascii="宋体" w:hAnsi="宋体" w:cs="宋体"/>
          <w:color w:val="auto"/>
          <w:sz w:val="24"/>
          <w:highlight w:val="none"/>
        </w:rPr>
        <w:t>2</w:t>
      </w:r>
      <w:r>
        <w:rPr>
          <w:rFonts w:hint="eastAsia" w:ascii="宋体" w:hAnsi="宋体" w:cs="宋体"/>
          <w:color w:val="auto"/>
          <w:sz w:val="24"/>
          <w:highlight w:val="none"/>
        </w:rPr>
        <w:t>年的免费质保期，</w:t>
      </w:r>
      <w:r>
        <w:rPr>
          <w:rFonts w:hint="eastAsia" w:ascii="宋体" w:hAnsi="宋体" w:cs="宋体"/>
          <w:color w:val="auto"/>
          <w:sz w:val="24"/>
          <w:highlight w:val="none"/>
          <w:lang w:val="en"/>
        </w:rPr>
        <w:t>质保运维期从终验合格之日开始计算。质保运维期内，提供一名工程师常驻现场，服从工作安排，</w:t>
      </w:r>
      <w:r>
        <w:rPr>
          <w:rFonts w:hint="eastAsia" w:ascii="宋体" w:hAnsi="宋体" w:cs="宋体"/>
          <w:color w:val="auto"/>
          <w:sz w:val="24"/>
          <w:highlight w:val="none"/>
        </w:rPr>
        <w:t>甲方对于工程师不满意的，乙方应无条件更换</w:t>
      </w:r>
      <w:r>
        <w:rPr>
          <w:rFonts w:hint="eastAsia" w:ascii="宋体" w:hAnsi="宋体" w:cs="宋体"/>
          <w:color w:val="auto"/>
          <w:sz w:val="24"/>
          <w:highlight w:val="none"/>
          <w:lang w:val="en"/>
        </w:rPr>
        <w:t>。</w:t>
      </w:r>
      <w:r>
        <w:rPr>
          <w:rFonts w:hint="eastAsia" w:ascii="宋体" w:hAnsi="宋体" w:cs="宋体"/>
          <w:color w:val="auto"/>
          <w:sz w:val="24"/>
          <w:highlight w:val="none"/>
        </w:rPr>
        <w:t>3</w:t>
      </w:r>
      <w:r>
        <w:rPr>
          <w:rFonts w:hint="eastAsia" w:ascii="宋体" w:hAnsi="宋体" w:cs="宋体"/>
          <w:color w:val="auto"/>
          <w:sz w:val="24"/>
          <w:highlight w:val="none"/>
          <w:lang w:val="en"/>
        </w:rPr>
        <w:t>年的质保运维期间需及时响应并满足用户对于系统的问题故障处理和缺陷修正。质保运维期内所有的服务</w:t>
      </w:r>
      <w:r>
        <w:rPr>
          <w:rFonts w:hint="eastAsia" w:ascii="宋体" w:hAnsi="宋体" w:cs="宋体"/>
          <w:color w:val="auto"/>
          <w:sz w:val="24"/>
          <w:highlight w:val="none"/>
        </w:rPr>
        <w:t>涉及的费用</w:t>
      </w:r>
      <w:r>
        <w:rPr>
          <w:rFonts w:hint="eastAsia" w:ascii="宋体" w:hAnsi="宋体" w:cs="宋体"/>
          <w:color w:val="auto"/>
          <w:sz w:val="24"/>
          <w:highlight w:val="none"/>
          <w:lang w:val="en"/>
        </w:rPr>
        <w:t>均</w:t>
      </w:r>
      <w:r>
        <w:rPr>
          <w:rFonts w:hint="eastAsia" w:ascii="宋体" w:hAnsi="宋体" w:cs="宋体"/>
          <w:color w:val="auto"/>
          <w:sz w:val="24"/>
          <w:highlight w:val="none"/>
        </w:rPr>
        <w:t>包含在合同总价中，</w:t>
      </w:r>
      <w:r>
        <w:rPr>
          <w:rFonts w:hint="eastAsia" w:ascii="宋体" w:hAnsi="宋体" w:cs="宋体"/>
          <w:color w:val="auto"/>
          <w:sz w:val="24"/>
          <w:highlight w:val="none"/>
          <w:lang w:val="en"/>
        </w:rPr>
        <w:t>质保运维期内提供7×24小时电话服务，驻场运维工程师应在</w:t>
      </w:r>
      <w:r>
        <w:rPr>
          <w:rFonts w:hint="eastAsia" w:ascii="宋体" w:hAnsi="宋体" w:cs="宋体"/>
          <w:color w:val="auto"/>
          <w:sz w:val="24"/>
          <w:highlight w:val="none"/>
        </w:rPr>
        <w:t>30分钟内做出明确响应和安排，</w:t>
      </w:r>
      <w:r>
        <w:rPr>
          <w:rFonts w:hint="eastAsia" w:cs="微软雅黑" w:asciiTheme="minorEastAsia" w:hAnsiTheme="minorEastAsia" w:eastAsiaTheme="minorEastAsia"/>
          <w:color w:val="auto"/>
          <w:kern w:val="0"/>
          <w:sz w:val="24"/>
          <w:highlight w:val="none"/>
          <w:lang w:val="zh-TW" w:eastAsia="zh-TW"/>
        </w:rPr>
        <w:t>故障原因在4小时内无法排除的，乙方24小时内提交解决软件系统</w:t>
      </w:r>
      <w:r>
        <w:rPr>
          <w:rFonts w:hint="eastAsia" w:ascii="宋体" w:hAnsi="宋体" w:cs="宋体"/>
          <w:color w:val="auto"/>
          <w:sz w:val="24"/>
          <w:highlight w:val="none"/>
        </w:rPr>
        <w:t>问题解决或缺陷修正方案</w:t>
      </w:r>
      <w:r>
        <w:rPr>
          <w:rFonts w:hint="eastAsia" w:ascii="宋体" w:hAnsi="宋体" w:cs="宋体"/>
          <w:color w:val="auto"/>
          <w:sz w:val="24"/>
          <w:highlight w:val="none"/>
          <w:lang w:val="en"/>
        </w:rPr>
        <w:t>。</w:t>
      </w:r>
    </w:p>
    <w:p w14:paraId="78713986">
      <w:p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rPr>
        <w:t>7</w:t>
      </w:r>
      <w:r>
        <w:rPr>
          <w:rFonts w:hint="eastAsia" w:ascii="宋体" w:hAnsi="宋体" w:cs="宋体"/>
          <w:b/>
          <w:bCs/>
          <w:color w:val="auto"/>
          <w:sz w:val="24"/>
          <w:highlight w:val="none"/>
          <w:lang w:val="en"/>
        </w:rPr>
        <w:t>．验收</w:t>
      </w:r>
    </w:p>
    <w:p w14:paraId="2EE78939">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甲方按照招投标文件和合同要求进行验收。根据《杭州市政府采购履约验收暂行办法》杭财采监〔2019〕10 号规定，进行履约验收，验收合格报告作为项目支付的依据。</w:t>
      </w:r>
    </w:p>
    <w:p w14:paraId="1AF6036E">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7</w:t>
      </w:r>
      <w:r>
        <w:rPr>
          <w:rFonts w:hint="eastAsia" w:ascii="宋体" w:hAnsi="宋体" w:cs="宋体"/>
          <w:color w:val="auto"/>
          <w:sz w:val="24"/>
          <w:highlight w:val="none"/>
          <w:lang w:val="en"/>
        </w:rPr>
        <w:t xml:space="preserve">.1 </w:t>
      </w:r>
      <w:r>
        <w:rPr>
          <w:rFonts w:hint="eastAsia" w:ascii="宋体" w:hAnsi="宋体" w:cs="宋体"/>
          <w:color w:val="auto"/>
          <w:sz w:val="24"/>
          <w:highlight w:val="none"/>
          <w:lang w:val="zh-CN"/>
        </w:rPr>
        <w:t>完成全部系统建设任务，投入试运行前，</w:t>
      </w:r>
      <w:r>
        <w:rPr>
          <w:rFonts w:hint="eastAsia" w:ascii="宋体" w:hAnsi="宋体" w:cs="宋体"/>
          <w:color w:val="auto"/>
          <w:sz w:val="24"/>
          <w:highlight w:val="none"/>
          <w:lang w:val="en"/>
        </w:rPr>
        <w:t>由甲方组织对项目进行初步验收，</w:t>
      </w:r>
      <w:r>
        <w:rPr>
          <w:rFonts w:hint="eastAsia" w:ascii="宋体" w:hAnsi="宋体" w:cs="宋体"/>
          <w:color w:val="auto"/>
          <w:sz w:val="24"/>
          <w:highlight w:val="none"/>
          <w:lang w:val="zh-CN"/>
        </w:rPr>
        <w:t>通过初验后进行试运行。投入试运行后正常运行</w:t>
      </w:r>
      <w:r>
        <w:rPr>
          <w:rFonts w:hint="eastAsia" w:ascii="宋体" w:hAnsi="宋体" w:cs="宋体"/>
          <w:color w:val="auto"/>
          <w:sz w:val="24"/>
          <w:highlight w:val="none"/>
        </w:rPr>
        <w:t>1</w:t>
      </w:r>
      <w:r>
        <w:rPr>
          <w:rFonts w:hint="eastAsia" w:ascii="宋体" w:hAnsi="宋体" w:cs="宋体"/>
          <w:color w:val="auto"/>
          <w:sz w:val="24"/>
          <w:highlight w:val="none"/>
          <w:lang w:val="zh-CN"/>
        </w:rPr>
        <w:t>个月，</w:t>
      </w:r>
      <w:r>
        <w:rPr>
          <w:rFonts w:hint="eastAsia" w:ascii="宋体" w:hAnsi="宋体" w:cs="宋体"/>
          <w:color w:val="auto"/>
          <w:sz w:val="24"/>
          <w:highlight w:val="none"/>
          <w:lang w:val="en"/>
        </w:rPr>
        <w:t>由甲方对项目进行最终验收。</w:t>
      </w:r>
    </w:p>
    <w:p w14:paraId="42FF646F">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7</w:t>
      </w:r>
      <w:r>
        <w:rPr>
          <w:rFonts w:hint="eastAsia" w:ascii="宋体" w:hAnsi="宋体" w:cs="宋体"/>
          <w:color w:val="auto"/>
          <w:sz w:val="24"/>
          <w:highlight w:val="none"/>
          <w:lang w:val="en"/>
        </w:rPr>
        <w:t>.2 如果发现与合同中要求不符，乙方须承担由此发生的一切损失和费用，并承担相应的违约责任。</w:t>
      </w:r>
    </w:p>
    <w:p w14:paraId="6B51D91B">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7</w:t>
      </w:r>
      <w:r>
        <w:rPr>
          <w:rFonts w:hint="eastAsia" w:ascii="宋体" w:hAnsi="宋体" w:cs="宋体"/>
          <w:color w:val="auto"/>
          <w:sz w:val="24"/>
          <w:highlight w:val="none"/>
          <w:lang w:val="en"/>
        </w:rPr>
        <w:t>.3 验收时乙方必须提供完整的竣工验收资料，验收时需提供的文档包括但不仅限于：</w:t>
      </w:r>
      <w:r>
        <w:rPr>
          <w:rFonts w:hint="eastAsia" w:ascii="宋体" w:hAnsi="宋体" w:cs="宋体"/>
          <w:color w:val="auto"/>
          <w:sz w:val="24"/>
          <w:highlight w:val="none"/>
        </w:rPr>
        <w:t>项目投标文件电子稿、</w:t>
      </w:r>
      <w:r>
        <w:rPr>
          <w:rFonts w:hint="eastAsia" w:ascii="宋体" w:hAnsi="宋体" w:cs="仿宋"/>
          <w:color w:val="auto"/>
          <w:sz w:val="24"/>
          <w:highlight w:val="none"/>
        </w:rPr>
        <w:t>实施方案与实施计划</w:t>
      </w:r>
      <w:r>
        <w:rPr>
          <w:rFonts w:hint="eastAsia" w:ascii="宋体" w:hAnsi="宋体" w:cs="宋体"/>
          <w:color w:val="auto"/>
          <w:sz w:val="24"/>
          <w:highlight w:val="none"/>
        </w:rPr>
        <w:t>、</w:t>
      </w:r>
      <w:r>
        <w:rPr>
          <w:rFonts w:hint="eastAsia" w:ascii="宋体" w:hAnsi="宋体" w:cs="仿宋"/>
          <w:color w:val="auto"/>
          <w:sz w:val="24"/>
          <w:highlight w:val="none"/>
        </w:rPr>
        <w:t>需求规格说明书、概要设计说明书、详细设计说明书、数据库设计说明书、培训方案、</w:t>
      </w:r>
      <w:r>
        <w:rPr>
          <w:rFonts w:hint="eastAsia" w:ascii="宋体" w:hAnsi="宋体" w:cs="宋体"/>
          <w:color w:val="auto"/>
          <w:sz w:val="24"/>
          <w:highlight w:val="none"/>
        </w:rPr>
        <w:t>测试方案、</w:t>
      </w:r>
      <w:r>
        <w:rPr>
          <w:rFonts w:hint="eastAsia" w:ascii="宋体" w:hAnsi="宋体" w:cs="仿宋"/>
          <w:color w:val="auto"/>
          <w:sz w:val="24"/>
          <w:highlight w:val="none"/>
        </w:rPr>
        <w:t>测试记录及</w:t>
      </w:r>
      <w:r>
        <w:rPr>
          <w:rFonts w:hint="eastAsia" w:ascii="宋体" w:hAnsi="宋体" w:cs="宋体"/>
          <w:color w:val="auto"/>
          <w:sz w:val="24"/>
          <w:highlight w:val="none"/>
        </w:rPr>
        <w:t>测试报告、</w:t>
      </w:r>
      <w:r>
        <w:rPr>
          <w:rFonts w:hint="eastAsia" w:ascii="宋体" w:hAnsi="宋体" w:cs="仿宋"/>
          <w:color w:val="auto"/>
          <w:sz w:val="24"/>
          <w:highlight w:val="none"/>
        </w:rPr>
        <w:t>配置和维护手册、</w:t>
      </w:r>
      <w:r>
        <w:rPr>
          <w:rFonts w:hint="eastAsia" w:ascii="宋体" w:hAnsi="宋体" w:cs="宋体"/>
          <w:color w:val="auto"/>
          <w:sz w:val="24"/>
          <w:highlight w:val="none"/>
        </w:rPr>
        <w:t>系统试运行报告、项目总结报告、项目用户报告等相关材料。</w:t>
      </w:r>
    </w:p>
    <w:p w14:paraId="601BDF56">
      <w:p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rPr>
        <w:t>8</w:t>
      </w:r>
      <w:r>
        <w:rPr>
          <w:rFonts w:hint="eastAsia" w:ascii="宋体" w:hAnsi="宋体" w:cs="宋体"/>
          <w:b/>
          <w:bCs/>
          <w:color w:val="auto"/>
          <w:sz w:val="24"/>
          <w:highlight w:val="none"/>
          <w:lang w:val="en"/>
        </w:rPr>
        <w:t>．履约保证金</w:t>
      </w:r>
    </w:p>
    <w:p w14:paraId="062F33DD">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8.1</w:t>
      </w:r>
      <w:r>
        <w:rPr>
          <w:rFonts w:hint="eastAsia" w:ascii="宋体" w:hAnsi="宋体" w:cs="宋体"/>
          <w:color w:val="auto"/>
          <w:sz w:val="24"/>
          <w:highlight w:val="none"/>
          <w:lang w:val="en"/>
        </w:rPr>
        <w:t>在合同签订后5个工作日内，乙方向甲方提交合同金额</w:t>
      </w:r>
      <w:r>
        <w:rPr>
          <w:rFonts w:hint="eastAsia" w:ascii="宋体" w:hAnsi="宋体" w:cs="宋体"/>
          <w:color w:val="auto"/>
          <w:sz w:val="24"/>
          <w:highlight w:val="none"/>
        </w:rPr>
        <w:t>1</w:t>
      </w:r>
      <w:r>
        <w:rPr>
          <w:rFonts w:hint="eastAsia" w:ascii="宋体" w:hAnsi="宋体" w:cs="宋体"/>
          <w:color w:val="auto"/>
          <w:sz w:val="24"/>
          <w:highlight w:val="none"/>
          <w:lang w:val="en"/>
        </w:rPr>
        <w:t>%的履约保证金。项目总体实施完毕并经终验通过后，该履约保证金由甲方无息退还给乙方。</w:t>
      </w:r>
    </w:p>
    <w:p w14:paraId="06E4903E">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8.2</w:t>
      </w:r>
      <w:r>
        <w:rPr>
          <w:rFonts w:hint="eastAsia" w:ascii="宋体" w:hAnsi="宋体" w:cs="宋体"/>
          <w:color w:val="auto"/>
          <w:sz w:val="24"/>
          <w:highlight w:val="none"/>
          <w:lang w:val="en"/>
        </w:rPr>
        <w:t>履约保证金</w:t>
      </w:r>
      <w:r>
        <w:rPr>
          <w:rFonts w:hint="eastAsia" w:ascii="宋体" w:hAnsi="宋体" w:cs="宋体"/>
          <w:color w:val="auto"/>
          <w:kern w:val="0"/>
          <w:sz w:val="24"/>
          <w:highlight w:val="none"/>
        </w:rPr>
        <w:t>以金融机构、担保机构出具的保函形式提交</w:t>
      </w:r>
      <w:r>
        <w:rPr>
          <w:rFonts w:hint="eastAsia" w:ascii="宋体" w:hAnsi="宋体" w:cs="宋体"/>
          <w:color w:val="auto"/>
          <w:sz w:val="24"/>
          <w:highlight w:val="none"/>
          <w:lang w:val="en"/>
        </w:rPr>
        <w:t>。</w:t>
      </w:r>
    </w:p>
    <w:p w14:paraId="08BC3A58">
      <w:pPr>
        <w:tabs>
          <w:tab w:val="left" w:pos="0"/>
        </w:tabs>
        <w:adjustRightInd/>
        <w:spacing w:line="360" w:lineRule="auto"/>
        <w:ind w:firstLine="480"/>
        <w:rPr>
          <w:rFonts w:ascii="宋体" w:hAnsi="宋体" w:cs="宋体"/>
          <w:color w:val="auto"/>
          <w:sz w:val="24"/>
          <w:highlight w:val="none"/>
          <w:lang w:val="en"/>
        </w:rPr>
      </w:pPr>
      <w:r>
        <w:rPr>
          <w:rFonts w:hint="eastAsia" w:ascii="宋体" w:hAnsi="宋体" w:cs="宋体"/>
          <w:color w:val="auto"/>
          <w:sz w:val="24"/>
          <w:highlight w:val="none"/>
        </w:rPr>
        <w:t>8.3</w:t>
      </w:r>
      <w:r>
        <w:rPr>
          <w:rFonts w:hint="eastAsia" w:ascii="宋体" w:hAnsi="宋体" w:cs="宋体"/>
          <w:color w:val="auto"/>
          <w:sz w:val="24"/>
          <w:highlight w:val="none"/>
          <w:lang w:val="en"/>
        </w:rPr>
        <w:t>根据《政府采购促进中小企业发展管理办法》要求，允许中小企业引入信用担保手段。</w:t>
      </w:r>
    </w:p>
    <w:p w14:paraId="678677AD">
      <w:pPr>
        <w:numPr>
          <w:ilvl w:val="0"/>
          <w:numId w:val="5"/>
        </w:num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lang w:val="en"/>
        </w:rPr>
        <w:t>合同价格及付款方式</w:t>
      </w:r>
    </w:p>
    <w:p w14:paraId="5E9816F0">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 xml:space="preserve">9.1 </w:t>
      </w:r>
      <w:r>
        <w:rPr>
          <w:rFonts w:hint="eastAsia" w:ascii="宋体" w:hAnsi="宋体" w:cs="宋体"/>
          <w:color w:val="auto"/>
          <w:sz w:val="24"/>
          <w:highlight w:val="none"/>
          <w:lang w:val="en"/>
        </w:rPr>
        <w:t>付款方式：</w:t>
      </w:r>
      <w:r>
        <w:rPr>
          <w:rFonts w:hint="eastAsia" w:ascii="宋体" w:hAnsi="宋体" w:cs="宋体"/>
          <w:color w:val="auto"/>
          <w:sz w:val="24"/>
          <w:highlight w:val="none"/>
          <w:lang w:val="zh-CN"/>
        </w:rPr>
        <w:t>本次项目合同总价为人民币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元），采用分期验收、分期付款方式</w:t>
      </w:r>
      <w:r>
        <w:rPr>
          <w:rFonts w:hint="eastAsia" w:ascii="宋体" w:hAnsi="宋体" w:cs="宋体"/>
          <w:color w:val="auto"/>
          <w:sz w:val="24"/>
          <w:highlight w:val="none"/>
          <w:lang w:val="en"/>
        </w:rPr>
        <w:t>：</w:t>
      </w:r>
    </w:p>
    <w:p w14:paraId="7C7E3634">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 xml:space="preserve">9.2 </w:t>
      </w:r>
      <w:r>
        <w:rPr>
          <w:rFonts w:hint="eastAsia" w:ascii="宋体" w:hAnsi="宋体" w:cs="宋体"/>
          <w:color w:val="auto"/>
          <w:sz w:val="24"/>
          <w:highlight w:val="none"/>
          <w:lang w:val="en"/>
        </w:rPr>
        <w:t>合同签订后，甲方收到乙方开具的发票后</w:t>
      </w:r>
      <w:r>
        <w:rPr>
          <w:rFonts w:hint="eastAsia" w:ascii="宋体" w:hAnsi="宋体" w:cs="宋体"/>
          <w:color w:val="auto"/>
          <w:sz w:val="24"/>
          <w:highlight w:val="none"/>
        </w:rPr>
        <w:t>7</w:t>
      </w:r>
      <w:r>
        <w:rPr>
          <w:rFonts w:hint="eastAsia" w:ascii="宋体" w:hAnsi="宋体" w:cs="宋体"/>
          <w:color w:val="auto"/>
          <w:sz w:val="24"/>
          <w:highlight w:val="none"/>
          <w:lang w:val="en"/>
        </w:rPr>
        <w:t>个工作日内，向乙方支付合同总价款的</w:t>
      </w:r>
      <w:r>
        <w:rPr>
          <w:rFonts w:hint="eastAsia" w:ascii="宋体" w:hAnsi="宋体" w:cs="宋体"/>
          <w:color w:val="auto"/>
          <w:sz w:val="24"/>
          <w:highlight w:val="none"/>
        </w:rPr>
        <w:t>4</w:t>
      </w:r>
      <w:r>
        <w:rPr>
          <w:rFonts w:hint="eastAsia" w:ascii="宋体" w:hAnsi="宋体" w:cs="宋体"/>
          <w:color w:val="auto"/>
          <w:sz w:val="24"/>
          <w:highlight w:val="none"/>
          <w:lang w:val="en"/>
        </w:rPr>
        <w:t>0%款项作为项目启动资金，计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万元整（￥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w:t>
      </w:r>
    </w:p>
    <w:p w14:paraId="06BFF60E">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 xml:space="preserve">9.3 </w:t>
      </w:r>
      <w:r>
        <w:rPr>
          <w:rFonts w:hint="eastAsia" w:ascii="宋体" w:hAnsi="宋体" w:cs="宋体"/>
          <w:color w:val="auto"/>
          <w:sz w:val="24"/>
          <w:highlight w:val="none"/>
          <w:lang w:val="en"/>
        </w:rPr>
        <w:t>项目通过</w:t>
      </w:r>
      <w:r>
        <w:rPr>
          <w:rFonts w:hint="eastAsia" w:ascii="宋体" w:hAnsi="宋体" w:cs="宋体"/>
          <w:color w:val="auto"/>
          <w:sz w:val="24"/>
          <w:highlight w:val="none"/>
        </w:rPr>
        <w:t>初验</w:t>
      </w:r>
      <w:r>
        <w:rPr>
          <w:rFonts w:hint="eastAsia" w:ascii="宋体" w:hAnsi="宋体" w:cs="宋体"/>
          <w:color w:val="auto"/>
          <w:sz w:val="24"/>
          <w:highlight w:val="none"/>
          <w:lang w:val="en"/>
        </w:rPr>
        <w:t>后，乙方可向甲方申请支付合同总价款的</w:t>
      </w:r>
      <w:r>
        <w:rPr>
          <w:rFonts w:hint="eastAsia" w:ascii="宋体" w:hAnsi="宋体" w:cs="宋体"/>
          <w:color w:val="auto"/>
          <w:sz w:val="24"/>
          <w:highlight w:val="none"/>
        </w:rPr>
        <w:t>40</w:t>
      </w:r>
      <w:r>
        <w:rPr>
          <w:rFonts w:hint="eastAsia" w:ascii="宋体" w:hAnsi="宋体" w:cs="宋体"/>
          <w:color w:val="auto"/>
          <w:sz w:val="24"/>
          <w:highlight w:val="none"/>
          <w:lang w:val="en"/>
        </w:rPr>
        <w:t>%，甲方收到乙方开具的发票后</w:t>
      </w:r>
      <w:r>
        <w:rPr>
          <w:rFonts w:hint="eastAsia" w:ascii="宋体" w:hAnsi="宋体" w:cs="宋体"/>
          <w:color w:val="auto"/>
          <w:sz w:val="24"/>
          <w:highlight w:val="none"/>
        </w:rPr>
        <w:t>7</w:t>
      </w:r>
      <w:r>
        <w:rPr>
          <w:rFonts w:hint="eastAsia" w:ascii="宋体" w:hAnsi="宋体" w:cs="宋体"/>
          <w:color w:val="auto"/>
          <w:sz w:val="24"/>
          <w:highlight w:val="none"/>
          <w:lang w:val="en"/>
        </w:rPr>
        <w:t>个工作日内支付款项，计人民币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w:t>
      </w:r>
    </w:p>
    <w:p w14:paraId="6C22CA2F">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9.4</w:t>
      </w:r>
      <w:r>
        <w:rPr>
          <w:rFonts w:hint="eastAsia" w:ascii="宋体" w:hAnsi="宋体" w:cs="宋体"/>
          <w:color w:val="auto"/>
          <w:sz w:val="24"/>
          <w:highlight w:val="none"/>
          <w:lang w:val="en"/>
        </w:rPr>
        <w:t>项目通过</w:t>
      </w:r>
      <w:r>
        <w:rPr>
          <w:rFonts w:hint="eastAsia" w:ascii="宋体" w:hAnsi="宋体" w:cs="宋体"/>
          <w:color w:val="auto"/>
          <w:sz w:val="24"/>
          <w:highlight w:val="none"/>
        </w:rPr>
        <w:t>终验</w:t>
      </w:r>
      <w:r>
        <w:rPr>
          <w:rFonts w:hint="eastAsia" w:ascii="宋体" w:hAnsi="宋体" w:cs="宋体"/>
          <w:color w:val="auto"/>
          <w:sz w:val="24"/>
          <w:highlight w:val="none"/>
          <w:lang w:val="en"/>
        </w:rPr>
        <w:t>后，乙方可向甲方申请支付合同总价款的</w:t>
      </w:r>
      <w:r>
        <w:rPr>
          <w:rFonts w:hint="eastAsia" w:ascii="宋体" w:hAnsi="宋体" w:cs="宋体"/>
          <w:color w:val="auto"/>
          <w:sz w:val="24"/>
          <w:highlight w:val="none"/>
        </w:rPr>
        <w:t>20</w:t>
      </w:r>
      <w:r>
        <w:rPr>
          <w:rFonts w:hint="eastAsia" w:ascii="宋体" w:hAnsi="宋体" w:cs="宋体"/>
          <w:color w:val="auto"/>
          <w:sz w:val="24"/>
          <w:highlight w:val="none"/>
          <w:lang w:val="en"/>
        </w:rPr>
        <w:t>%，甲方收到乙方开具的发票后</w:t>
      </w:r>
      <w:r>
        <w:rPr>
          <w:rFonts w:hint="eastAsia" w:ascii="宋体" w:hAnsi="宋体" w:cs="宋体"/>
          <w:color w:val="auto"/>
          <w:sz w:val="24"/>
          <w:highlight w:val="none"/>
        </w:rPr>
        <w:t>7</w:t>
      </w:r>
      <w:r>
        <w:rPr>
          <w:rFonts w:hint="eastAsia" w:ascii="宋体" w:hAnsi="宋体" w:cs="宋体"/>
          <w:color w:val="auto"/>
          <w:sz w:val="24"/>
          <w:highlight w:val="none"/>
          <w:lang w:val="en"/>
        </w:rPr>
        <w:t>个工作日内支付款项，计人民币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w:t>
      </w:r>
    </w:p>
    <w:p w14:paraId="2E4F9617">
      <w:pPr>
        <w:pStyle w:val="4"/>
        <w:ind w:firstLine="480"/>
        <w:rPr>
          <w:rFonts w:hAnsi="宋体" w:cs="宋体"/>
          <w:color w:val="auto"/>
          <w:szCs w:val="24"/>
          <w:highlight w:val="none"/>
          <w:lang w:val="en"/>
        </w:rPr>
      </w:pPr>
      <w:r>
        <w:rPr>
          <w:rFonts w:hint="eastAsia" w:hAnsi="宋体" w:cs="宋体"/>
          <w:color w:val="auto"/>
          <w:szCs w:val="24"/>
          <w:highlight w:val="none"/>
          <w:lang w:val="en-US"/>
        </w:rPr>
        <w:t xml:space="preserve">9.5 </w:t>
      </w:r>
      <w:r>
        <w:rPr>
          <w:rFonts w:hint="eastAsia" w:hAnsi="宋体" w:cs="宋体"/>
          <w:color w:val="auto"/>
          <w:szCs w:val="24"/>
          <w:highlight w:val="none"/>
          <w:lang w:val="en"/>
        </w:rPr>
        <w:t>上述款项的支付时间以财政下达资金为前提，且支付前乙方应提供符合甲方要求的等额发票，否则甲方可顺延付款，所造成的延迟风险由乙方承担。</w:t>
      </w:r>
      <w:r>
        <w:rPr>
          <w:rFonts w:hint="eastAsia" w:hAnsi="宋体" w:cs="宋体"/>
          <w:color w:val="auto"/>
          <w:szCs w:val="24"/>
          <w:highlight w:val="none"/>
          <w:lang w:val="en-US"/>
        </w:rPr>
        <w:t>乙方不得以此为由怠于履行合同义务</w:t>
      </w:r>
      <w:r>
        <w:rPr>
          <w:rFonts w:hint="eastAsia" w:hAnsi="宋体" w:cs="宋体"/>
          <w:color w:val="auto"/>
          <w:szCs w:val="24"/>
          <w:highlight w:val="none"/>
          <w:lang w:val="en"/>
        </w:rPr>
        <w:t>。</w:t>
      </w:r>
    </w:p>
    <w:p w14:paraId="1A1A8A67">
      <w:p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lang w:val="en"/>
        </w:rPr>
        <w:t>10</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
        </w:rPr>
        <w:t>不可抗力</w:t>
      </w:r>
    </w:p>
    <w:p w14:paraId="4B356E02">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0</w:t>
      </w:r>
      <w:r>
        <w:rPr>
          <w:rFonts w:hint="eastAsia" w:ascii="宋体" w:hAnsi="宋体" w:cs="宋体"/>
          <w:color w:val="auto"/>
          <w:sz w:val="24"/>
          <w:highlight w:val="none"/>
          <w:lang w:val="en"/>
        </w:rPr>
        <w:t>.1 在合同有效期内，任何一方因不可抗力事件导致不能履行合同，则合同履行期可延长，其延长期与不可抗力影响期相同。</w:t>
      </w:r>
    </w:p>
    <w:p w14:paraId="3184382B">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0</w:t>
      </w:r>
      <w:r>
        <w:rPr>
          <w:rFonts w:hint="eastAsia" w:ascii="宋体" w:hAnsi="宋体" w:cs="宋体"/>
          <w:color w:val="auto"/>
          <w:sz w:val="24"/>
          <w:highlight w:val="none"/>
          <w:lang w:val="en"/>
        </w:rPr>
        <w:t>.2 不可抗力事件发生后，应在不可抗力事件发生后3个工作日内通知对方，并在14个工作日内出具</w:t>
      </w:r>
      <w:r>
        <w:rPr>
          <w:rFonts w:hint="eastAsia" w:ascii="宋体" w:hAnsi="宋体" w:cs="宋体"/>
          <w:color w:val="auto"/>
          <w:sz w:val="24"/>
          <w:highlight w:val="none"/>
        </w:rPr>
        <w:t>权威机构</w:t>
      </w:r>
      <w:r>
        <w:rPr>
          <w:rFonts w:hint="eastAsia" w:ascii="宋体" w:hAnsi="宋体" w:cs="宋体"/>
          <w:color w:val="auto"/>
          <w:sz w:val="24"/>
          <w:highlight w:val="none"/>
          <w:lang w:val="en"/>
        </w:rPr>
        <w:t>证明文件。</w:t>
      </w:r>
    </w:p>
    <w:p w14:paraId="05D014D1">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0</w:t>
      </w:r>
      <w:r>
        <w:rPr>
          <w:rFonts w:hint="eastAsia" w:ascii="宋体" w:hAnsi="宋体" w:cs="宋体"/>
          <w:color w:val="auto"/>
          <w:sz w:val="24"/>
          <w:highlight w:val="none"/>
          <w:lang w:val="en"/>
        </w:rPr>
        <w:t>.3不可抗力事件延续120天以上，双方应通过友好协商，确定是否继续履行合同。</w:t>
      </w:r>
    </w:p>
    <w:p w14:paraId="18E4F013">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 乙方的责任与义务</w:t>
      </w:r>
    </w:p>
    <w:p w14:paraId="3882E8B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1 根据投标文件的承诺向甲方委派</w:t>
      </w:r>
      <w:r>
        <w:rPr>
          <w:rFonts w:hint="eastAsia" w:ascii="宋体" w:hAnsi="宋体" w:cs="宋体"/>
          <w:color w:val="auto"/>
          <w:sz w:val="24"/>
          <w:highlight w:val="none"/>
          <w:lang w:val="en"/>
        </w:rPr>
        <w:t>项目负责人、技术负责人</w:t>
      </w:r>
      <w:r>
        <w:rPr>
          <w:rFonts w:hint="eastAsia" w:ascii="宋体" w:hAnsi="宋体" w:cs="宋体"/>
          <w:color w:val="auto"/>
          <w:sz w:val="24"/>
          <w:highlight w:val="none"/>
          <w:lang w:val="zh-CN"/>
        </w:rPr>
        <w:t>和专业技术人员，并</w:t>
      </w:r>
      <w:r>
        <w:rPr>
          <w:rFonts w:hint="eastAsia" w:ascii="宋体" w:hAnsi="宋体" w:cs="宋体"/>
          <w:color w:val="auto"/>
          <w:sz w:val="24"/>
          <w:highlight w:val="none"/>
          <w:lang w:val="en"/>
        </w:rPr>
        <w:t>根据甲方需要安排开发团队驻场开发。</w:t>
      </w:r>
    </w:p>
    <w:p w14:paraId="613158C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1.2</w:t>
      </w:r>
      <w:r>
        <w:rPr>
          <w:rFonts w:hint="eastAsia" w:ascii="宋体" w:hAnsi="宋体" w:cs="宋体"/>
          <w:color w:val="auto"/>
          <w:sz w:val="24"/>
          <w:highlight w:val="none"/>
          <w:lang w:val="zh-CN"/>
        </w:rPr>
        <w:t xml:space="preserve"> 在本合同期内或合同终止后，未征得有关方同意，不得泄露与本项目、本合同有关的技术、资料等，不得以任何形式侵害甲方的知识产权。</w:t>
      </w:r>
    </w:p>
    <w:p w14:paraId="1D31674E">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zh-CN"/>
        </w:rPr>
        <w:t>1</w:t>
      </w:r>
      <w:r>
        <w:rPr>
          <w:rFonts w:hint="eastAsia" w:ascii="宋体" w:hAnsi="宋体" w:cs="宋体"/>
          <w:color w:val="auto"/>
          <w:sz w:val="24"/>
          <w:highlight w:val="none"/>
        </w:rPr>
        <w:t>1.3</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
        </w:rPr>
        <w:t>负责本系统项目建设及整体联动，负责处理好与其他项目实施单位的协调。</w:t>
      </w:r>
    </w:p>
    <w:p w14:paraId="2A1A40A1">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甲方的责任与义务</w:t>
      </w:r>
    </w:p>
    <w:p w14:paraId="76A316B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2.1</w:t>
      </w:r>
      <w:r>
        <w:rPr>
          <w:rFonts w:hint="eastAsia" w:ascii="宋体" w:hAnsi="宋体" w:cs="宋体"/>
          <w:color w:val="auto"/>
          <w:sz w:val="24"/>
          <w:highlight w:val="none"/>
          <w:lang w:val="zh-CN"/>
        </w:rPr>
        <w:t>甲方应当负责与项目建设有关的外部关系联系与协调，为乙方工作提供良好的外部条件。</w:t>
      </w:r>
    </w:p>
    <w:p w14:paraId="212BCA9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w:t>
      </w:r>
      <w:r>
        <w:rPr>
          <w:rFonts w:hint="eastAsia" w:ascii="宋体" w:hAnsi="宋体" w:cs="宋体"/>
          <w:color w:val="auto"/>
          <w:sz w:val="24"/>
          <w:highlight w:val="none"/>
          <w:lang w:val="zh-CN"/>
        </w:rPr>
        <w:t>2 甲方应当按双方约定的内容和时间，向乙方提供与项目建设有关的资料。</w:t>
      </w:r>
    </w:p>
    <w:p w14:paraId="4B2D6E7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2.3</w:t>
      </w:r>
      <w:r>
        <w:rPr>
          <w:rFonts w:hint="eastAsia" w:ascii="宋体" w:hAnsi="宋体" w:cs="宋体"/>
          <w:color w:val="auto"/>
          <w:sz w:val="24"/>
          <w:highlight w:val="none"/>
          <w:lang w:val="zh-CN"/>
        </w:rPr>
        <w:t xml:space="preserve"> 甲方应授权一名熟悉本项目情况、能迅速做出决定的项目代表，负责与乙方联系。</w:t>
      </w:r>
    </w:p>
    <w:p w14:paraId="549D9A0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2.4</w:t>
      </w:r>
      <w:r>
        <w:rPr>
          <w:rFonts w:hint="eastAsia" w:ascii="宋体" w:hAnsi="宋体" w:cs="宋体"/>
          <w:color w:val="auto"/>
          <w:sz w:val="24"/>
          <w:highlight w:val="none"/>
          <w:lang w:val="zh-CN"/>
        </w:rPr>
        <w:t xml:space="preserve"> 甲方有对项目规模、设计标准、规范和设计使用功能要求的认定权，以及对项目建设、设计变更的审批权。</w:t>
      </w:r>
    </w:p>
    <w:p w14:paraId="3A4A216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2.5</w:t>
      </w:r>
      <w:r>
        <w:rPr>
          <w:rFonts w:hint="eastAsia" w:ascii="宋体" w:hAnsi="宋体" w:cs="宋体"/>
          <w:color w:val="auto"/>
          <w:sz w:val="24"/>
          <w:highlight w:val="none"/>
          <w:lang w:val="zh-CN"/>
        </w:rPr>
        <w:t xml:space="preserve"> 甲方有权要求乙方提交工作月度报告及专项报告等。</w:t>
      </w:r>
    </w:p>
    <w:p w14:paraId="6111C0B8">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3</w:t>
      </w:r>
      <w:r>
        <w:rPr>
          <w:rFonts w:hint="eastAsia" w:ascii="宋体" w:hAnsi="宋体" w:cs="宋体"/>
          <w:b/>
          <w:bCs/>
          <w:color w:val="auto"/>
          <w:sz w:val="24"/>
          <w:highlight w:val="none"/>
          <w:lang w:val="zh-CN"/>
        </w:rPr>
        <w:t>. 合同生效、变更和终止</w:t>
      </w:r>
    </w:p>
    <w:p w14:paraId="0E39F0C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3.1</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
        </w:rPr>
        <w:t>本合同经甲乙双方盖章，</w:t>
      </w:r>
      <w:r>
        <w:rPr>
          <w:rFonts w:hint="eastAsia" w:ascii="宋体" w:hAnsi="宋体" w:cs="宋体"/>
          <w:color w:val="auto"/>
          <w:sz w:val="24"/>
          <w:highlight w:val="none"/>
          <w:lang w:val="zh-CN"/>
        </w:rPr>
        <w:t>至合同约定的双方义务</w:t>
      </w:r>
      <w:r>
        <w:rPr>
          <w:rFonts w:hint="eastAsia" w:ascii="宋体" w:hAnsi="宋体" w:cs="宋体"/>
          <w:color w:val="auto"/>
          <w:sz w:val="24"/>
          <w:highlight w:val="none"/>
          <w:lang w:val="en"/>
        </w:rPr>
        <w:t>履行完毕后终止。</w:t>
      </w:r>
    </w:p>
    <w:p w14:paraId="1AC8BE2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3.2</w:t>
      </w:r>
      <w:r>
        <w:rPr>
          <w:rFonts w:hint="eastAsia" w:ascii="宋体" w:hAnsi="宋体" w:cs="宋体"/>
          <w:color w:val="auto"/>
          <w:sz w:val="24"/>
          <w:highlight w:val="none"/>
          <w:lang w:val="zh-CN"/>
        </w:rPr>
        <w:t xml:space="preserve"> 在合同签订后，实际情况发生变化，使得乙方不能全部或部分执行项目时，乙方应当立即通知甲方。甲方有权决定该项目的完成时间是否相应延长。</w:t>
      </w:r>
    </w:p>
    <w:p w14:paraId="069E23B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3.3</w:t>
      </w:r>
      <w:r>
        <w:rPr>
          <w:rFonts w:hint="eastAsia" w:ascii="宋体" w:hAnsi="宋体" w:cs="宋体"/>
          <w:color w:val="auto"/>
          <w:sz w:val="24"/>
          <w:highlight w:val="none"/>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159ECFAC">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4</w:t>
      </w:r>
      <w:r>
        <w:rPr>
          <w:rFonts w:hint="eastAsia" w:ascii="宋体" w:hAnsi="宋体" w:cs="宋体"/>
          <w:b/>
          <w:bCs/>
          <w:color w:val="auto"/>
          <w:sz w:val="24"/>
          <w:highlight w:val="none"/>
          <w:lang w:val="zh-CN"/>
        </w:rPr>
        <w:t>. 违约责任</w:t>
      </w:r>
    </w:p>
    <w:p w14:paraId="717994A7">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zh-CN"/>
        </w:rPr>
        <w:t>1</w:t>
      </w:r>
      <w:r>
        <w:rPr>
          <w:rFonts w:hint="eastAsia" w:ascii="宋体" w:hAnsi="宋体" w:cs="宋体"/>
          <w:color w:val="auto"/>
          <w:sz w:val="24"/>
          <w:highlight w:val="none"/>
        </w:rPr>
        <w:t xml:space="preserve">4.1 </w:t>
      </w:r>
      <w:r>
        <w:rPr>
          <w:rFonts w:hint="eastAsia" w:ascii="宋体" w:hAnsi="宋体" w:cs="宋体"/>
          <w:color w:val="auto"/>
          <w:sz w:val="24"/>
          <w:highlight w:val="none"/>
          <w:lang w:val="en"/>
        </w:rPr>
        <w:t>如因项目实施质量问题，</w:t>
      </w:r>
      <w:r>
        <w:rPr>
          <w:rFonts w:hint="eastAsia" w:ascii="宋体" w:hAnsi="宋体" w:cs="宋体"/>
          <w:color w:val="auto"/>
          <w:sz w:val="24"/>
          <w:highlight w:val="none"/>
        </w:rPr>
        <w:t>未在2025年10月底前完成初验或者初验不合格</w:t>
      </w:r>
      <w:r>
        <w:rPr>
          <w:rFonts w:hint="eastAsia" w:ascii="宋体" w:hAnsi="宋体" w:cs="宋体"/>
          <w:color w:val="auto"/>
          <w:sz w:val="24"/>
          <w:highlight w:val="none"/>
          <w:lang w:val="en"/>
        </w:rPr>
        <w:t>，乙方应负责返工所造成的经济损失，且</w:t>
      </w:r>
      <w:r>
        <w:rPr>
          <w:rFonts w:hint="eastAsia" w:ascii="宋体" w:hAnsi="宋体" w:cs="宋体"/>
          <w:color w:val="auto"/>
          <w:sz w:val="24"/>
          <w:highlight w:val="none"/>
          <w:lang w:val="zh-CN"/>
        </w:rPr>
        <w:t>必须无条件返工至项目合格</w:t>
      </w:r>
      <w:r>
        <w:rPr>
          <w:rFonts w:hint="eastAsia" w:ascii="宋体" w:hAnsi="宋体" w:cs="宋体"/>
          <w:color w:val="auto"/>
          <w:sz w:val="24"/>
          <w:highlight w:val="none"/>
          <w:lang w:val="en"/>
        </w:rPr>
        <w:t>。由此而造成推迟交付的时间按超期天数计算，每超过一天乙方按本项目总价款的2‰赔偿甲方的经济损失，</w:t>
      </w:r>
      <w:r>
        <w:rPr>
          <w:rFonts w:hint="eastAsia" w:ascii="宋体" w:hAnsi="宋体" w:cs="宋体"/>
          <w:color w:val="auto"/>
          <w:sz w:val="24"/>
          <w:highlight w:val="none"/>
          <w:lang w:val="zh-CN"/>
        </w:rPr>
        <w:t>累计超期20天，甲方有权终止合同，并没收履约保证金，</w:t>
      </w:r>
      <w:r>
        <w:rPr>
          <w:rFonts w:hint="eastAsia" w:ascii="宋体" w:hAnsi="宋体" w:cs="宋体"/>
          <w:color w:val="auto"/>
          <w:sz w:val="24"/>
          <w:highlight w:val="none"/>
          <w:lang w:val="en"/>
        </w:rPr>
        <w:t>及要求乙方返还已付款项</w:t>
      </w:r>
      <w:r>
        <w:rPr>
          <w:rFonts w:hint="eastAsia" w:ascii="宋体" w:hAnsi="宋体" w:cs="宋体"/>
          <w:color w:val="auto"/>
          <w:sz w:val="24"/>
          <w:highlight w:val="none"/>
          <w:lang w:val="zh-CN"/>
        </w:rPr>
        <w:t>。</w:t>
      </w:r>
      <w:r>
        <w:rPr>
          <w:rFonts w:hint="eastAsia" w:ascii="宋体" w:hAnsi="宋体" w:cs="宋体"/>
          <w:color w:val="auto"/>
          <w:sz w:val="24"/>
          <w:highlight w:val="none"/>
          <w:lang w:val="en"/>
        </w:rPr>
        <w:t>如因甲方原因造成不能按期完工，工期相应顺延。</w:t>
      </w:r>
    </w:p>
    <w:p w14:paraId="08C21281">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4</w:t>
      </w:r>
      <w:r>
        <w:rPr>
          <w:rFonts w:hint="eastAsia" w:ascii="宋体" w:hAnsi="宋体" w:cs="宋体"/>
          <w:color w:val="auto"/>
          <w:sz w:val="24"/>
          <w:highlight w:val="none"/>
          <w:lang w:val="en"/>
        </w:rPr>
        <w:t>.2未经甲方同意，乙方不得在任何时期擅自更换投标文件中规定的项目负责人和技术负责人，同时必须确保项目技术人员与投标文件一致，否则甲方有权单方终止合同，要求</w:t>
      </w:r>
      <w:r>
        <w:rPr>
          <w:rFonts w:hint="eastAsia" w:ascii="宋体" w:hAnsi="宋体" w:cs="宋体"/>
          <w:color w:val="auto"/>
          <w:sz w:val="24"/>
          <w:highlight w:val="none"/>
          <w:lang w:val="zh-CN"/>
        </w:rPr>
        <w:t>退还所有已支付的款项，</w:t>
      </w:r>
      <w:r>
        <w:rPr>
          <w:rFonts w:hint="eastAsia" w:ascii="宋体" w:hAnsi="宋体" w:cs="宋体"/>
          <w:color w:val="auto"/>
          <w:sz w:val="24"/>
          <w:highlight w:val="none"/>
          <w:lang w:val="en"/>
        </w:rPr>
        <w:t>并没收履约保证金。</w:t>
      </w:r>
    </w:p>
    <w:p w14:paraId="5DBEBBED">
      <w:pPr>
        <w:spacing w:line="360" w:lineRule="auto"/>
        <w:ind w:firstLine="480" w:firstLineChars="200"/>
        <w:rPr>
          <w:rFonts w:ascii="宋体" w:hAnsi="宋体"/>
          <w:color w:val="auto"/>
          <w:sz w:val="24"/>
          <w:highlight w:val="none"/>
        </w:rPr>
      </w:pPr>
      <w:r>
        <w:rPr>
          <w:rFonts w:ascii="宋体" w:hAnsi="宋体" w:cs="宋体"/>
          <w:color w:val="auto"/>
          <w:sz w:val="24"/>
          <w:highlight w:val="none"/>
        </w:rPr>
        <w:t>14.3.</w:t>
      </w:r>
      <w:r>
        <w:rPr>
          <w:rFonts w:hint="eastAsia" w:ascii="宋体" w:hAnsi="宋体"/>
          <w:color w:val="auto"/>
          <w:sz w:val="24"/>
          <w:highlight w:val="none"/>
        </w:rPr>
        <w:t>乙方应按招标文件要求派出工作需要的驻场人员。驻场人员不能按承诺时间到位，或因故退出或无法直接参与项目工作时，乙方应承担违约责任，并向甲方支付每人每天1000元的违约金。</w:t>
      </w:r>
    </w:p>
    <w:p w14:paraId="4F9CD039">
      <w:pPr>
        <w:snapToGrid w:val="0"/>
        <w:spacing w:line="360" w:lineRule="auto"/>
        <w:ind w:firstLine="480" w:firstLineChars="200"/>
        <w:rPr>
          <w:rFonts w:asciiTheme="minorEastAsia" w:hAnsiTheme="minorEastAsia"/>
          <w:color w:val="auto"/>
          <w:sz w:val="24"/>
          <w:highlight w:val="none"/>
        </w:rPr>
      </w:pPr>
      <w:r>
        <w:rPr>
          <w:rFonts w:asciiTheme="minorEastAsia" w:hAnsiTheme="minorEastAsia"/>
          <w:color w:val="auto"/>
          <w:sz w:val="24"/>
          <w:highlight w:val="none"/>
        </w:rPr>
        <w:t>14.4</w:t>
      </w:r>
      <w:r>
        <w:rPr>
          <w:rFonts w:hint="eastAsia" w:asciiTheme="minorEastAsia" w:hAnsiTheme="minorEastAsia"/>
          <w:color w:val="auto"/>
          <w:sz w:val="24"/>
          <w:highlight w:val="none"/>
        </w:rPr>
        <w:t>乙方转包或者未经甲方书面同意采取分包方式履行合同的，甲方有权解除合同，乙方应向甲方支付合同总金额5%的违约金，违约金不足以补偿甲方损失的，超出部分由乙方继续承担赔偿责任。</w:t>
      </w:r>
    </w:p>
    <w:p w14:paraId="750B8F2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14.5.</w:t>
      </w:r>
      <w:r>
        <w:rPr>
          <w:rFonts w:hint="eastAsia" w:ascii="宋体" w:hAnsi="宋体" w:cs="宋体"/>
          <w:color w:val="auto"/>
          <w:sz w:val="24"/>
          <w:highlight w:val="none"/>
        </w:rPr>
        <w:t>乙方对监理工程师提出的整改意见不能按时按要求完成整改超过1次，并有可能导致项目延期的，自第2次起，每次按5000元支付违约金。</w:t>
      </w:r>
    </w:p>
    <w:p w14:paraId="3CC6CD97">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4</w:t>
      </w:r>
      <w:r>
        <w:rPr>
          <w:rFonts w:hint="eastAsia" w:ascii="宋体" w:hAnsi="宋体" w:cs="宋体"/>
          <w:color w:val="auto"/>
          <w:sz w:val="24"/>
          <w:highlight w:val="none"/>
          <w:lang w:val="en"/>
        </w:rPr>
        <w:t>.</w:t>
      </w:r>
      <w:r>
        <w:rPr>
          <w:rFonts w:ascii="宋体" w:hAnsi="宋体" w:cs="宋体"/>
          <w:color w:val="auto"/>
          <w:sz w:val="24"/>
          <w:highlight w:val="none"/>
          <w:lang w:val="en"/>
        </w:rPr>
        <w:t>6</w:t>
      </w:r>
      <w:r>
        <w:rPr>
          <w:rFonts w:hint="eastAsia" w:ascii="宋体" w:hAnsi="宋体" w:cs="宋体"/>
          <w:color w:val="auto"/>
          <w:sz w:val="24"/>
          <w:highlight w:val="none"/>
          <w:lang w:val="en"/>
        </w:rPr>
        <w:t>因乙方</w:t>
      </w:r>
      <w:r>
        <w:rPr>
          <w:rFonts w:hint="eastAsia" w:ascii="宋体" w:hAnsi="宋体" w:cs="宋体"/>
          <w:color w:val="auto"/>
          <w:sz w:val="24"/>
          <w:highlight w:val="none"/>
          <w:lang w:val="zh-CN"/>
        </w:rPr>
        <w:t>实施本项目</w:t>
      </w:r>
      <w:r>
        <w:rPr>
          <w:rFonts w:hint="eastAsia" w:ascii="宋体" w:hAnsi="宋体" w:cs="宋体"/>
          <w:color w:val="auto"/>
          <w:sz w:val="24"/>
          <w:highlight w:val="none"/>
          <w:lang w:val="en"/>
        </w:rPr>
        <w:t>原因造成甲方其他系统不能正常运行，酿成重大事故（正常工作日系统中断一天或一天以上）的，应承担全部法律责任，并赔偿经济损失，赔偿金额为项目总价的20%，</w:t>
      </w:r>
      <w:r>
        <w:rPr>
          <w:rFonts w:hint="eastAsia" w:ascii="宋体" w:hAnsi="宋体" w:cs="宋体"/>
          <w:color w:val="auto"/>
          <w:sz w:val="24"/>
          <w:highlight w:val="none"/>
        </w:rPr>
        <w:t>如该金额不能弥补甲方损失的，甲方仍有权要求乙方赔偿</w:t>
      </w:r>
      <w:r>
        <w:rPr>
          <w:rFonts w:hint="eastAsia" w:ascii="宋体" w:hAnsi="宋体" w:cs="宋体"/>
          <w:color w:val="auto"/>
          <w:sz w:val="24"/>
          <w:highlight w:val="none"/>
          <w:lang w:val="en"/>
        </w:rPr>
        <w:t>。</w:t>
      </w:r>
    </w:p>
    <w:p w14:paraId="4E992B1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w:t>
      </w:r>
      <w:r>
        <w:rPr>
          <w:rFonts w:ascii="宋体" w:hAnsi="宋体" w:cs="宋体"/>
          <w:color w:val="auto"/>
          <w:sz w:val="24"/>
          <w:highlight w:val="none"/>
        </w:rPr>
        <w:t>7</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履行本合同的过程中，确因在现有水平和条件下难以克服的技术困难，导致部分或全部失败所造成的损失，风险责任由乙方全部承担。</w:t>
      </w:r>
    </w:p>
    <w:p w14:paraId="562B5F4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
        </w:rPr>
        <w:t>1</w:t>
      </w:r>
      <w:r>
        <w:rPr>
          <w:rFonts w:hint="eastAsia" w:ascii="宋体" w:hAnsi="宋体" w:cs="宋体"/>
          <w:color w:val="auto"/>
          <w:sz w:val="24"/>
          <w:highlight w:val="none"/>
        </w:rPr>
        <w:t>4</w:t>
      </w:r>
      <w:r>
        <w:rPr>
          <w:rFonts w:hint="eastAsia" w:ascii="宋体" w:hAnsi="宋体" w:cs="宋体"/>
          <w:color w:val="auto"/>
          <w:sz w:val="24"/>
          <w:highlight w:val="none"/>
          <w:lang w:val="en"/>
        </w:rPr>
        <w:t>.</w:t>
      </w:r>
      <w:r>
        <w:rPr>
          <w:rFonts w:ascii="宋体" w:hAnsi="宋体" w:cs="宋体"/>
          <w:color w:val="auto"/>
          <w:sz w:val="24"/>
          <w:highlight w:val="none"/>
        </w:rPr>
        <w:t>8</w:t>
      </w:r>
      <w:r>
        <w:rPr>
          <w:rFonts w:hint="eastAsia" w:ascii="宋体" w:hAnsi="宋体" w:cs="宋体"/>
          <w:color w:val="auto"/>
          <w:sz w:val="24"/>
          <w:highlight w:val="none"/>
          <w:lang w:val="en"/>
        </w:rPr>
        <w:t xml:space="preserve"> </w:t>
      </w:r>
      <w:r>
        <w:rPr>
          <w:rFonts w:hint="eastAsia" w:ascii="宋体" w:hAnsi="宋体" w:cs="宋体"/>
          <w:color w:val="auto"/>
          <w:sz w:val="24"/>
          <w:highlight w:val="none"/>
          <w:lang w:val="zh-CN"/>
        </w:rPr>
        <w:t>因不可抗力导致合同不能全部或部分履行，</w:t>
      </w:r>
      <w:r>
        <w:rPr>
          <w:rFonts w:hint="eastAsia" w:ascii="宋体" w:hAnsi="宋体" w:cs="宋体"/>
          <w:color w:val="auto"/>
          <w:sz w:val="24"/>
          <w:highlight w:val="none"/>
          <w:lang w:val="en"/>
        </w:rPr>
        <w:t>甲、</w:t>
      </w:r>
      <w:r>
        <w:rPr>
          <w:rFonts w:hint="eastAsia" w:ascii="宋体" w:hAnsi="宋体" w:cs="宋体"/>
          <w:color w:val="auto"/>
          <w:sz w:val="24"/>
          <w:highlight w:val="none"/>
          <w:lang w:val="zh-CN"/>
        </w:rPr>
        <w:t>乙双方协商解决。</w:t>
      </w:r>
    </w:p>
    <w:p w14:paraId="4FE6593D">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5</w:t>
      </w:r>
      <w:r>
        <w:rPr>
          <w:rFonts w:hint="eastAsia" w:ascii="宋体" w:hAnsi="宋体" w:cs="宋体"/>
          <w:b/>
          <w:bCs/>
          <w:color w:val="auto"/>
          <w:sz w:val="24"/>
          <w:highlight w:val="none"/>
          <w:lang w:val="zh-CN"/>
        </w:rPr>
        <w:t>．项目质量</w:t>
      </w:r>
    </w:p>
    <w:p w14:paraId="1C11601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5</w:t>
      </w:r>
      <w:r>
        <w:rPr>
          <w:rFonts w:hint="eastAsia" w:ascii="宋体" w:hAnsi="宋体" w:cs="宋体"/>
          <w:color w:val="auto"/>
          <w:sz w:val="24"/>
          <w:highlight w:val="none"/>
          <w:lang w:val="zh-CN"/>
        </w:rPr>
        <w:t>.1 乙方应建立和完善履行合同的内部质量保证体系，并提供相关内部规章制度给甲方，以便甲方进行监督检查。</w:t>
      </w:r>
    </w:p>
    <w:p w14:paraId="093580ED">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5</w:t>
      </w:r>
      <w:r>
        <w:rPr>
          <w:rFonts w:hint="eastAsia" w:ascii="宋体" w:hAnsi="宋体" w:cs="宋体"/>
          <w:color w:val="auto"/>
          <w:sz w:val="24"/>
          <w:highlight w:val="none"/>
          <w:lang w:val="zh-CN"/>
        </w:rPr>
        <w:t>.2乙方应保证履行合同的人员数量和素质、软件和硬件设备的配置、场地、环境和设施等满足全面履行合同的要求，并应接受甲方的监督检查。</w:t>
      </w:r>
    </w:p>
    <w:p w14:paraId="2017B972">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6</w:t>
      </w:r>
      <w:r>
        <w:rPr>
          <w:rFonts w:hint="eastAsia" w:ascii="宋体" w:hAnsi="宋体" w:cs="宋体"/>
          <w:b/>
          <w:bCs/>
          <w:color w:val="auto"/>
          <w:sz w:val="24"/>
          <w:highlight w:val="none"/>
          <w:lang w:val="zh-CN"/>
        </w:rPr>
        <w:t>.技术资料</w:t>
      </w:r>
    </w:p>
    <w:p w14:paraId="584055A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.1 乙方应按采购文件规定的时间向甲方提供有关技术资料。</w:t>
      </w:r>
    </w:p>
    <w:p w14:paraId="08884F3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10411B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.3 无论本合同是否履行完毕、提前解除或者终止，乙方对合同履行期间内所获悉的甲方保密信息均需承担保密义务，若因乙方过错违反本条约定而给甲方带来损失的，乙方应当承担全部赔偿责任。</w:t>
      </w:r>
    </w:p>
    <w:p w14:paraId="13BFECE2">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7</w:t>
      </w:r>
      <w:r>
        <w:rPr>
          <w:rFonts w:hint="eastAsia" w:ascii="宋体" w:hAnsi="宋体" w:cs="宋体"/>
          <w:b/>
          <w:bCs/>
          <w:color w:val="auto"/>
          <w:sz w:val="24"/>
          <w:highlight w:val="none"/>
          <w:lang w:val="zh-CN"/>
        </w:rPr>
        <w:t>.知识产权</w:t>
      </w:r>
    </w:p>
    <w:p w14:paraId="72F9127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.1乙方在本合同项下完成的所有形式的工作成果所有权和版权归属于甲方，产生的组件全市共用。</w:t>
      </w:r>
    </w:p>
    <w:p w14:paraId="2B536C1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.2乙方应保证所提供的系统或其任何一部分均不会侵犯任何第三方的知识产权；</w:t>
      </w:r>
      <w:r>
        <w:rPr>
          <w:rFonts w:hint="eastAsia" w:ascii="宋体" w:hAnsi="宋体" w:cs="宋体"/>
          <w:color w:val="auto"/>
          <w:sz w:val="24"/>
          <w:highlight w:val="none"/>
        </w:rPr>
        <w:t>保证所提供的产品包括相关附件为相应厂家原装正品，软件产品为相关厂家正版软件，符合国家有关规定；保证所提供产品具有合法的版权或使用权。本项目采购的产品，</w:t>
      </w:r>
      <w:r>
        <w:rPr>
          <w:rFonts w:hint="eastAsia" w:ascii="宋体" w:hAnsi="宋体" w:cs="宋体"/>
          <w:color w:val="auto"/>
          <w:sz w:val="24"/>
          <w:highlight w:val="none"/>
          <w:lang w:val="zh-CN"/>
        </w:rPr>
        <w:t>如发生侵权产生的相应法律责任（包括但不限于赔偿责任等）均由乙方承担。若因此给甲方造成损失的，应赔偿包括但不限于直接损失和维权产生的律师费、诉讼费等各项费用。</w:t>
      </w:r>
    </w:p>
    <w:p w14:paraId="163B9EA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.3本项目的知识产权归甲方所有，乙方必须提供本项目的所有源代码和开发文档。未经甲方</w:t>
      </w:r>
      <w:r>
        <w:rPr>
          <w:rFonts w:hint="eastAsia" w:ascii="宋体" w:hAnsi="宋体" w:cs="宋体"/>
          <w:color w:val="auto"/>
          <w:sz w:val="24"/>
          <w:highlight w:val="none"/>
        </w:rPr>
        <w:t>书面</w:t>
      </w:r>
      <w:r>
        <w:rPr>
          <w:rFonts w:hint="eastAsia" w:ascii="宋体" w:hAnsi="宋体" w:cs="宋体"/>
          <w:color w:val="auto"/>
          <w:sz w:val="24"/>
          <w:highlight w:val="none"/>
          <w:lang w:val="zh-CN"/>
        </w:rPr>
        <w:t>同意，乙方不得擅自扩散或提供给第三方使用。本合同约定的知识产权条款不受本合同届满、解除、终止、或本合同中其他条款的无效或履行完毕等情形的影响。</w:t>
      </w:r>
    </w:p>
    <w:p w14:paraId="48B136FC">
      <w:pPr>
        <w:pStyle w:val="4"/>
        <w:ind w:firstLine="482" w:firstLineChars="200"/>
        <w:rPr>
          <w:rFonts w:hAnsi="宋体" w:cs="宋体"/>
          <w:b/>
          <w:bCs/>
          <w:color w:val="auto"/>
          <w:szCs w:val="24"/>
          <w:highlight w:val="none"/>
          <w:lang w:val="en-US"/>
        </w:rPr>
      </w:pPr>
      <w:r>
        <w:rPr>
          <w:rFonts w:hint="eastAsia" w:hAnsi="宋体" w:cs="宋体"/>
          <w:b/>
          <w:bCs/>
          <w:color w:val="auto"/>
          <w:szCs w:val="24"/>
          <w:highlight w:val="none"/>
          <w:lang w:val="en-US"/>
        </w:rPr>
        <w:t>18.网络安全</w:t>
      </w:r>
    </w:p>
    <w:p w14:paraId="27DA0512">
      <w:pPr>
        <w:pStyle w:val="10"/>
        <w:spacing w:line="360" w:lineRule="auto"/>
        <w:ind w:firstLine="480" w:firstLineChars="200"/>
        <w:rPr>
          <w:rFonts w:hAnsi="宋体" w:cs="宋体"/>
          <w:snapToGrid/>
          <w:color w:val="auto"/>
          <w:kern w:val="0"/>
          <w:sz w:val="24"/>
          <w:szCs w:val="24"/>
          <w:highlight w:val="none"/>
        </w:rPr>
      </w:pPr>
      <w:r>
        <w:rPr>
          <w:rFonts w:hint="eastAsia" w:hAnsi="宋体" w:cs="宋体"/>
          <w:snapToGrid/>
          <w:color w:val="auto"/>
          <w:kern w:val="0"/>
          <w:sz w:val="24"/>
          <w:szCs w:val="24"/>
          <w:highlight w:val="none"/>
          <w:lang w:val="en"/>
        </w:rPr>
        <w:t>18.1</w:t>
      </w:r>
      <w:r>
        <w:rPr>
          <w:rFonts w:hint="eastAsia" w:hAnsi="宋体" w:cs="宋体"/>
          <w:snapToGrid/>
          <w:color w:val="auto"/>
          <w:kern w:val="0"/>
          <w:sz w:val="24"/>
          <w:szCs w:val="24"/>
          <w:highlight w:val="none"/>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595B2090">
      <w:pPr>
        <w:pStyle w:val="10"/>
        <w:spacing w:line="360" w:lineRule="auto"/>
        <w:ind w:firstLine="480"/>
        <w:rPr>
          <w:rFonts w:hAnsi="宋体" w:cs="宋体"/>
          <w:snapToGrid/>
          <w:color w:val="auto"/>
          <w:kern w:val="0"/>
          <w:sz w:val="24"/>
          <w:szCs w:val="24"/>
          <w:highlight w:val="none"/>
        </w:rPr>
      </w:pPr>
      <w:r>
        <w:rPr>
          <w:rFonts w:hint="eastAsia" w:hAnsi="宋体" w:cs="宋体"/>
          <w:snapToGrid/>
          <w:color w:val="auto"/>
          <w:kern w:val="0"/>
          <w:sz w:val="24"/>
          <w:szCs w:val="24"/>
          <w:highlight w:val="none"/>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4D47B4BF">
      <w:pPr>
        <w:pStyle w:val="10"/>
        <w:spacing w:line="360" w:lineRule="auto"/>
        <w:ind w:firstLine="480"/>
        <w:rPr>
          <w:rFonts w:hAnsi="宋体" w:cs="宋体"/>
          <w:snapToGrid/>
          <w:color w:val="auto"/>
          <w:kern w:val="0"/>
          <w:sz w:val="24"/>
          <w:szCs w:val="24"/>
          <w:highlight w:val="none"/>
        </w:rPr>
      </w:pPr>
      <w:r>
        <w:rPr>
          <w:rFonts w:hint="eastAsia" w:hAnsi="宋体" w:cs="宋体"/>
          <w:snapToGrid/>
          <w:color w:val="auto"/>
          <w:kern w:val="0"/>
          <w:sz w:val="24"/>
          <w:szCs w:val="24"/>
          <w:highlight w:val="none"/>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0E5E7A0B">
      <w:pPr>
        <w:pStyle w:val="10"/>
        <w:spacing w:line="360" w:lineRule="auto"/>
        <w:ind w:firstLine="480"/>
        <w:rPr>
          <w:rFonts w:hAnsi="宋体" w:cs="宋体"/>
          <w:snapToGrid/>
          <w:color w:val="auto"/>
          <w:kern w:val="0"/>
          <w:sz w:val="24"/>
          <w:szCs w:val="24"/>
          <w:highlight w:val="none"/>
        </w:rPr>
      </w:pPr>
      <w:r>
        <w:rPr>
          <w:rFonts w:hint="eastAsia" w:hAnsi="宋体" w:cs="宋体"/>
          <w:snapToGrid/>
          <w:color w:val="auto"/>
          <w:kern w:val="0"/>
          <w:sz w:val="24"/>
          <w:szCs w:val="24"/>
          <w:highlight w:val="none"/>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40D31DBD">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9</w:t>
      </w:r>
      <w:r>
        <w:rPr>
          <w:rFonts w:hint="eastAsia" w:ascii="宋体" w:hAnsi="宋体" w:cs="宋体"/>
          <w:b/>
          <w:bCs/>
          <w:color w:val="auto"/>
          <w:sz w:val="24"/>
          <w:highlight w:val="none"/>
          <w:lang w:val="zh-CN"/>
        </w:rPr>
        <w:t>. 争议处理</w:t>
      </w:r>
    </w:p>
    <w:p w14:paraId="398577D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14:paraId="35080733">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rPr>
        <w:t>20</w:t>
      </w:r>
      <w:r>
        <w:rPr>
          <w:rFonts w:hint="eastAsia" w:ascii="宋体" w:hAnsi="宋体" w:cs="宋体"/>
          <w:b/>
          <w:bCs/>
          <w:color w:val="auto"/>
          <w:sz w:val="24"/>
          <w:highlight w:val="none"/>
          <w:lang w:val="zh-CN"/>
        </w:rPr>
        <w:t>. 其他</w:t>
      </w:r>
    </w:p>
    <w:p w14:paraId="1EBAAAC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20.</w:t>
      </w:r>
      <w:r>
        <w:rPr>
          <w:rFonts w:hint="eastAsia" w:ascii="宋体" w:hAnsi="宋体" w:cs="宋体"/>
          <w:color w:val="auto"/>
          <w:sz w:val="24"/>
          <w:highlight w:val="none"/>
          <w:lang w:val="zh-CN"/>
        </w:rPr>
        <w:t>1 未经过甲方的书面同意，乙方不得转让其应履行的合同项下的义务，和将部分合同项下的义务分包给其他单位完成，</w:t>
      </w:r>
      <w:r>
        <w:rPr>
          <w:rFonts w:hint="eastAsia" w:ascii="宋体" w:hAnsi="宋体" w:cs="宋体"/>
          <w:color w:val="auto"/>
          <w:sz w:val="24"/>
          <w:highlight w:val="none"/>
          <w:lang w:val="en"/>
        </w:rPr>
        <w:t>否则甲方有权单方解除合同并</w:t>
      </w:r>
      <w:r>
        <w:rPr>
          <w:rFonts w:hint="eastAsia" w:ascii="宋体" w:hAnsi="宋体" w:cs="宋体"/>
          <w:color w:val="auto"/>
          <w:sz w:val="24"/>
          <w:highlight w:val="none"/>
        </w:rPr>
        <w:t>没收履约保证金，同时有权</w:t>
      </w:r>
      <w:r>
        <w:rPr>
          <w:rFonts w:hint="eastAsia" w:ascii="宋体" w:hAnsi="宋体" w:cs="宋体"/>
          <w:color w:val="auto"/>
          <w:sz w:val="24"/>
          <w:highlight w:val="none"/>
          <w:lang w:val="en"/>
        </w:rPr>
        <w:t>要求乙方退还所收取的全部款项</w:t>
      </w:r>
      <w:r>
        <w:rPr>
          <w:rFonts w:hint="eastAsia" w:ascii="宋体" w:hAnsi="宋体" w:cs="宋体"/>
          <w:color w:val="auto"/>
          <w:sz w:val="24"/>
          <w:highlight w:val="none"/>
          <w:lang w:val="zh-CN"/>
        </w:rPr>
        <w:t>。</w:t>
      </w:r>
    </w:p>
    <w:p w14:paraId="2A59B073">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20.2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
        </w:rPr>
        <w:t>本合同任何一方给另一方的通知，都应以书面或传真的形式发送，而另一方应以书面形式确认并发送到对方明确的地址。</w:t>
      </w:r>
    </w:p>
    <w:p w14:paraId="28376175">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20.3</w:t>
      </w:r>
      <w:r>
        <w:rPr>
          <w:rFonts w:hint="eastAsia" w:ascii="宋体" w:hAnsi="宋体" w:cs="宋体"/>
          <w:color w:val="auto"/>
          <w:sz w:val="24"/>
          <w:highlight w:val="none"/>
          <w:lang w:val="en"/>
        </w:rPr>
        <w:t xml:space="preserve"> 招标文件（编号：</w:t>
      </w:r>
      <w:r>
        <w:rPr>
          <w:rFonts w:ascii="宋体" w:hAnsi="宋体" w:cs="宋体"/>
          <w:color w:val="auto"/>
          <w:sz w:val="24"/>
          <w:highlight w:val="none"/>
        </w:rPr>
        <w:t xml:space="preserve"> </w:t>
      </w:r>
      <w:r>
        <w:rPr>
          <w:rFonts w:hint="eastAsia" w:ascii="宋体" w:hAnsi="宋体" w:cs="宋体"/>
          <w:color w:val="auto"/>
          <w:sz w:val="24"/>
          <w:highlight w:val="none"/>
          <w:lang w:val="en"/>
        </w:rPr>
        <w:t>）、投标文件及评标过程中形成的文字资料、询标纪要、附件一报价表、附件二报价明细清单均作为本合同的组成部分，具有同等效力。本合同未尽事宜，遵照《</w:t>
      </w:r>
      <w:r>
        <w:rPr>
          <w:rFonts w:hint="eastAsia" w:ascii="宋体" w:hAnsi="宋体" w:cs="宋体"/>
          <w:color w:val="auto"/>
          <w:sz w:val="24"/>
          <w:highlight w:val="none"/>
        </w:rPr>
        <w:t>中华人民共和国民法典</w:t>
      </w:r>
      <w:r>
        <w:rPr>
          <w:rFonts w:hint="eastAsia" w:ascii="宋体" w:hAnsi="宋体" w:cs="宋体"/>
          <w:color w:val="auto"/>
          <w:sz w:val="24"/>
          <w:highlight w:val="none"/>
          <w:lang w:val="en"/>
        </w:rPr>
        <w:t>》有关条文执行。</w:t>
      </w:r>
    </w:p>
    <w:p w14:paraId="0FC53789">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20</w:t>
      </w:r>
      <w:r>
        <w:rPr>
          <w:rFonts w:hint="eastAsia" w:ascii="宋体" w:hAnsi="宋体" w:cs="宋体"/>
          <w:color w:val="auto"/>
          <w:sz w:val="24"/>
          <w:highlight w:val="none"/>
          <w:lang w:val="en"/>
        </w:rPr>
        <w:t>.</w:t>
      </w:r>
      <w:r>
        <w:rPr>
          <w:rFonts w:hint="eastAsia" w:ascii="宋体" w:hAnsi="宋体" w:cs="宋体"/>
          <w:color w:val="auto"/>
          <w:sz w:val="24"/>
          <w:highlight w:val="none"/>
        </w:rPr>
        <w:t>4</w:t>
      </w:r>
      <w:r>
        <w:rPr>
          <w:rFonts w:hint="eastAsia" w:ascii="宋体" w:hAnsi="宋体" w:cs="宋体"/>
          <w:color w:val="auto"/>
          <w:sz w:val="24"/>
          <w:highlight w:val="none"/>
          <w:lang w:val="en"/>
        </w:rPr>
        <w:t xml:space="preserve"> 本合同执行中相关的一切税费均由乙方负担。</w:t>
      </w:r>
    </w:p>
    <w:p w14:paraId="0089F132">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 xml:space="preserve">20.5 </w:t>
      </w:r>
      <w:r>
        <w:rPr>
          <w:rFonts w:hint="eastAsia" w:ascii="宋体" w:hAnsi="宋体" w:cs="宋体"/>
          <w:color w:val="auto"/>
          <w:sz w:val="24"/>
          <w:highlight w:val="none"/>
          <w:lang w:val="zh-CN"/>
        </w:rPr>
        <w:t>甲乙双方签订保密协议。保密协议为本合同的组成部分，</w:t>
      </w:r>
      <w:r>
        <w:rPr>
          <w:rFonts w:hint="eastAsia" w:ascii="宋体" w:hAnsi="宋体" w:cs="宋体"/>
          <w:color w:val="auto"/>
          <w:sz w:val="24"/>
          <w:highlight w:val="none"/>
        </w:rPr>
        <w:t>长期有效，</w:t>
      </w:r>
      <w:r>
        <w:rPr>
          <w:rFonts w:hint="eastAsia" w:ascii="宋体" w:hAnsi="宋体" w:cs="宋体"/>
          <w:color w:val="auto"/>
          <w:sz w:val="24"/>
          <w:highlight w:val="none"/>
          <w:lang w:val="zh-CN"/>
        </w:rPr>
        <w:t>不受本合同届满、解除、终止、或本合同中其他条款的无效或履行完毕等情形的影响。</w:t>
      </w:r>
    </w:p>
    <w:p w14:paraId="0EDEAE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
        </w:rPr>
        <w:t>.</w:t>
      </w:r>
      <w:r>
        <w:rPr>
          <w:rFonts w:hint="eastAsia" w:ascii="宋体" w:hAnsi="宋体" w:cs="宋体"/>
          <w:color w:val="auto"/>
          <w:sz w:val="24"/>
          <w:highlight w:val="none"/>
        </w:rPr>
        <w:t>6</w:t>
      </w:r>
      <w:r>
        <w:rPr>
          <w:rFonts w:hint="eastAsia" w:ascii="宋体" w:hAnsi="宋体" w:cs="宋体"/>
          <w:color w:val="auto"/>
          <w:sz w:val="24"/>
          <w:highlight w:val="none"/>
          <w:lang w:val="en"/>
        </w:rPr>
        <w:t>本合同壹式陆份，甲方、乙方各执叁份。经双方法定代表人或授权代表签字并加盖单位公章，且乙方向甲方缴纳履约保证金后生效。</w:t>
      </w:r>
    </w:p>
    <w:p w14:paraId="2BA419C9">
      <w:pPr>
        <w:spacing w:line="360" w:lineRule="auto"/>
        <w:jc w:val="left"/>
        <w:rPr>
          <w:rFonts w:ascii="宋体" w:hAnsi="宋体" w:cs="宋体"/>
          <w:color w:val="auto"/>
          <w:sz w:val="24"/>
          <w:highlight w:val="none"/>
        </w:rPr>
      </w:pPr>
    </w:p>
    <w:p w14:paraId="1A9AD73A">
      <w:pPr>
        <w:spacing w:line="360" w:lineRule="auto"/>
        <w:jc w:val="left"/>
        <w:rPr>
          <w:rFonts w:hint="eastAsia"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5901952">
      <w:pPr>
        <w:spacing w:line="360" w:lineRule="auto"/>
        <w:jc w:val="left"/>
        <w:rPr>
          <w:rFonts w:ascii="宋体" w:hAnsi="宋体" w:cs="宋体"/>
          <w:color w:val="auto"/>
          <w:sz w:val="24"/>
          <w:highlight w:val="none"/>
        </w:rPr>
      </w:pPr>
      <w:r>
        <w:rPr>
          <w:rFonts w:hint="eastAsia" w:ascii="宋体" w:hAnsi="宋体" w:cs="宋体"/>
          <w:color w:val="auto"/>
          <w:sz w:val="24"/>
          <w:highlight w:val="none"/>
        </w:rPr>
        <w:t>（本页为《市发改委2025年深化信创项目-标项一（“数智发改”主平台、OA系统迁移及六统一集成）合同》之签字盖章页）</w:t>
      </w:r>
    </w:p>
    <w:p w14:paraId="2CE43D03">
      <w:pPr>
        <w:spacing w:line="360" w:lineRule="auto"/>
        <w:ind w:left="6480" w:hanging="6480" w:hangingChars="2700"/>
        <w:jc w:val="left"/>
        <w:rPr>
          <w:rFonts w:ascii="宋体" w:hAnsi="宋体" w:cs="宋体"/>
          <w:color w:val="auto"/>
          <w:sz w:val="24"/>
          <w:highlight w:val="none"/>
        </w:rPr>
      </w:pPr>
      <w:r>
        <w:rPr>
          <w:rFonts w:hint="eastAsia" w:ascii="宋体" w:hAnsi="宋体" w:cs="宋体"/>
          <w:color w:val="auto"/>
          <w:sz w:val="24"/>
          <w:highlight w:val="none"/>
        </w:rPr>
        <w:t xml:space="preserve">甲方（盖章）：杭州市发展和改革委员会     乙方（盖章）： </w:t>
      </w:r>
    </w:p>
    <w:p w14:paraId="6767B587">
      <w:pPr>
        <w:spacing w:line="360" w:lineRule="auto"/>
        <w:jc w:val="left"/>
        <w:rPr>
          <w:rFonts w:ascii="宋体" w:hAnsi="宋体" w:cs="宋体"/>
          <w:color w:val="auto"/>
          <w:sz w:val="24"/>
          <w:highlight w:val="none"/>
        </w:rPr>
      </w:pPr>
      <w:r>
        <w:rPr>
          <w:rFonts w:hint="eastAsia" w:ascii="宋体" w:hAnsi="宋体" w:cs="宋体"/>
          <w:color w:val="auto"/>
          <w:sz w:val="24"/>
          <w:highlight w:val="none"/>
        </w:rPr>
        <w:t>（杭州市对口支援和区域合作局）</w:t>
      </w:r>
    </w:p>
    <w:p w14:paraId="02AB6057">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441E9DA2">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或受委托人（签字）：                     或受委托人（签字）： </w:t>
      </w:r>
    </w:p>
    <w:p w14:paraId="2D926C47">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联系人：                                 联系人：</w:t>
      </w:r>
    </w:p>
    <w:p w14:paraId="081CD432">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地址：                    </w:t>
      </w:r>
    </w:p>
    <w:p w14:paraId="304F4D70">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电话：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电话：</w:t>
      </w:r>
    </w:p>
    <w:p w14:paraId="3C420435">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传真：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传真：          </w:t>
      </w:r>
    </w:p>
    <w:p w14:paraId="3053B093">
      <w:pPr>
        <w:spacing w:line="360" w:lineRule="auto"/>
        <w:ind w:left="25" w:leftChars="12"/>
        <w:jc w:val="left"/>
        <w:rPr>
          <w:rFonts w:ascii="宋体" w:hAnsi="宋体" w:cs="宋体"/>
          <w:color w:val="auto"/>
          <w:sz w:val="24"/>
          <w:highlight w:val="none"/>
        </w:rPr>
      </w:pPr>
      <w:r>
        <w:rPr>
          <w:rFonts w:hint="eastAsia" w:ascii="宋体" w:hAnsi="宋体" w:cs="宋体"/>
          <w:color w:val="auto"/>
          <w:sz w:val="24"/>
          <w:highlight w:val="none"/>
        </w:rPr>
        <w:t xml:space="preserve">开户银行：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开户银行：</w:t>
      </w:r>
    </w:p>
    <w:p w14:paraId="773A4925">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账号：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账号：            </w:t>
      </w:r>
    </w:p>
    <w:p w14:paraId="7192074C">
      <w:pPr>
        <w:spacing w:line="360" w:lineRule="auto"/>
        <w:jc w:val="left"/>
        <w:rPr>
          <w:rFonts w:ascii="宋体" w:hAnsi="宋体" w:cs="宋体"/>
          <w:color w:val="auto"/>
          <w:sz w:val="24"/>
          <w:highlight w:val="none"/>
        </w:rPr>
      </w:pPr>
    </w:p>
    <w:p w14:paraId="2116486C">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签订时间：</w:t>
      </w:r>
    </w:p>
    <w:p w14:paraId="1682A587">
      <w:pPr>
        <w:spacing w:line="360" w:lineRule="auto"/>
        <w:ind w:left="-420" w:leftChars="-200" w:right="-420" w:rightChars="-200" w:firstLine="480" w:firstLineChars="200"/>
        <w:jc w:val="center"/>
        <w:outlineLvl w:val="0"/>
        <w:rPr>
          <w:rFonts w:ascii="宋体" w:hAnsi="宋体" w:cs="宋体"/>
          <w:color w:val="auto"/>
          <w:sz w:val="24"/>
          <w:highlight w:val="none"/>
        </w:rPr>
      </w:pPr>
    </w:p>
    <w:p w14:paraId="771C9456">
      <w:pPr>
        <w:rPr>
          <w:color w:val="auto"/>
          <w:highlight w:val="none"/>
        </w:rPr>
      </w:pPr>
    </w:p>
    <w:p w14:paraId="7AC39D72">
      <w:pPr>
        <w:rPr>
          <w:color w:val="auto"/>
          <w:highlight w:val="none"/>
        </w:rPr>
      </w:pPr>
    </w:p>
    <w:p w14:paraId="32E80285">
      <w:pPr>
        <w:rPr>
          <w:color w:val="auto"/>
          <w:highlight w:val="none"/>
        </w:rPr>
      </w:pPr>
    </w:p>
    <w:p w14:paraId="181BDF49">
      <w:pPr>
        <w:rPr>
          <w:color w:val="auto"/>
          <w:highlight w:val="none"/>
        </w:rPr>
      </w:pPr>
    </w:p>
    <w:p w14:paraId="58F74DAF">
      <w:pPr>
        <w:rPr>
          <w:color w:val="auto"/>
          <w:highlight w:val="none"/>
        </w:rPr>
      </w:pPr>
    </w:p>
    <w:p w14:paraId="3EC72965">
      <w:pPr>
        <w:rPr>
          <w:color w:val="auto"/>
          <w:highlight w:val="none"/>
        </w:rPr>
      </w:pPr>
    </w:p>
    <w:p w14:paraId="222B98CC">
      <w:pPr>
        <w:rPr>
          <w:color w:val="auto"/>
          <w:highlight w:val="none"/>
        </w:rPr>
      </w:pPr>
    </w:p>
    <w:p w14:paraId="51370449">
      <w:pPr>
        <w:rPr>
          <w:color w:val="auto"/>
          <w:highlight w:val="none"/>
        </w:rPr>
      </w:pPr>
    </w:p>
    <w:p w14:paraId="0C00249A">
      <w:pPr>
        <w:rPr>
          <w:color w:val="auto"/>
          <w:highlight w:val="none"/>
        </w:rPr>
      </w:pPr>
    </w:p>
    <w:p w14:paraId="6D166D90">
      <w:pPr>
        <w:rPr>
          <w:color w:val="auto"/>
          <w:highlight w:val="none"/>
        </w:rPr>
      </w:pPr>
    </w:p>
    <w:p w14:paraId="0A0512C0">
      <w:pPr>
        <w:rPr>
          <w:color w:val="auto"/>
          <w:highlight w:val="none"/>
        </w:rPr>
      </w:pPr>
    </w:p>
    <w:p w14:paraId="545AD233">
      <w:pPr>
        <w:rPr>
          <w:color w:val="auto"/>
          <w:highlight w:val="none"/>
        </w:rPr>
      </w:pPr>
    </w:p>
    <w:p w14:paraId="4D8F028A">
      <w:pPr>
        <w:rPr>
          <w:color w:val="auto"/>
          <w:highlight w:val="none"/>
        </w:rPr>
      </w:pPr>
    </w:p>
    <w:p w14:paraId="15378E22">
      <w:pPr>
        <w:rPr>
          <w:color w:val="auto"/>
          <w:highlight w:val="none"/>
        </w:rPr>
      </w:pPr>
    </w:p>
    <w:p w14:paraId="75BA9A2C">
      <w:pPr>
        <w:rPr>
          <w:color w:val="auto"/>
          <w:highlight w:val="none"/>
        </w:rPr>
      </w:pPr>
    </w:p>
    <w:p w14:paraId="3B837AF7">
      <w:pPr>
        <w:rPr>
          <w:color w:val="auto"/>
          <w:highlight w:val="none"/>
        </w:rPr>
      </w:pPr>
    </w:p>
    <w:p w14:paraId="4C342935">
      <w:pPr>
        <w:rPr>
          <w:color w:val="auto"/>
          <w:highlight w:val="none"/>
        </w:rPr>
      </w:pPr>
    </w:p>
    <w:p w14:paraId="5436F48E">
      <w:pPr>
        <w:rPr>
          <w:color w:val="auto"/>
          <w:highlight w:val="none"/>
        </w:rPr>
      </w:pPr>
    </w:p>
    <w:p w14:paraId="1AE17F3F">
      <w:pPr>
        <w:rPr>
          <w:color w:val="auto"/>
          <w:highlight w:val="none"/>
        </w:rPr>
      </w:pPr>
    </w:p>
    <w:p w14:paraId="6FC0414D">
      <w:pPr>
        <w:rPr>
          <w:color w:val="auto"/>
          <w:highlight w:val="none"/>
        </w:rPr>
      </w:pPr>
    </w:p>
    <w:p w14:paraId="122D7175">
      <w:pPr>
        <w:rPr>
          <w:color w:val="auto"/>
          <w:highlight w:val="none"/>
        </w:rPr>
      </w:pPr>
    </w:p>
    <w:p w14:paraId="595DACC4">
      <w:pPr>
        <w:rPr>
          <w:color w:val="auto"/>
          <w:highlight w:val="none"/>
        </w:rPr>
      </w:pPr>
    </w:p>
    <w:p w14:paraId="32C9FE09">
      <w:pPr>
        <w:rPr>
          <w:color w:val="auto"/>
          <w:highlight w:val="none"/>
        </w:rPr>
      </w:pPr>
    </w:p>
    <w:p w14:paraId="69F2E6BB">
      <w:pPr>
        <w:rPr>
          <w:color w:val="auto"/>
          <w:highlight w:val="none"/>
        </w:rPr>
      </w:pPr>
    </w:p>
    <w:p w14:paraId="782C2CF7">
      <w:pPr>
        <w:rPr>
          <w:color w:val="auto"/>
          <w:highlight w:val="none"/>
        </w:rPr>
      </w:pPr>
    </w:p>
    <w:p w14:paraId="48C96B7C">
      <w:pPr>
        <w:rPr>
          <w:color w:val="auto"/>
          <w:highlight w:val="none"/>
        </w:rPr>
      </w:pPr>
    </w:p>
    <w:p w14:paraId="68CF6C2B">
      <w:pPr>
        <w:widowControl/>
        <w:adjustRightInd/>
        <w:jc w:val="left"/>
        <w:rPr>
          <w:rFonts w:ascii="宋体" w:hAnsi="宋体" w:cs="宋体"/>
          <w:b/>
          <w:color w:val="auto"/>
          <w:sz w:val="24"/>
          <w:highlight w:val="none"/>
        </w:rPr>
      </w:pPr>
      <w:r>
        <w:rPr>
          <w:rFonts w:ascii="宋体" w:hAnsi="宋体" w:cs="宋体"/>
          <w:b/>
          <w:color w:val="auto"/>
          <w:sz w:val="24"/>
          <w:highlight w:val="none"/>
        </w:rPr>
        <w:br w:type="page"/>
      </w:r>
    </w:p>
    <w:p w14:paraId="305E43FD">
      <w:pPr>
        <w:spacing w:line="360" w:lineRule="auto"/>
        <w:jc w:val="left"/>
        <w:outlineLvl w:val="0"/>
        <w:rPr>
          <w:rFonts w:ascii="宋体" w:hAnsi="宋体" w:cs="宋体"/>
          <w:b/>
          <w:color w:val="auto"/>
          <w:sz w:val="24"/>
          <w:highlight w:val="none"/>
        </w:rPr>
      </w:pPr>
      <w:r>
        <w:rPr>
          <w:rFonts w:hint="eastAsia" w:ascii="宋体" w:hAnsi="宋体" w:cs="宋体"/>
          <w:b/>
          <w:color w:val="auto"/>
          <w:sz w:val="24"/>
          <w:highlight w:val="none"/>
        </w:rPr>
        <w:t>附件1：网络与数据安全保密承诺书</w:t>
      </w:r>
    </w:p>
    <w:p w14:paraId="32351179">
      <w:pPr>
        <w:spacing w:line="360" w:lineRule="auto"/>
        <w:jc w:val="left"/>
        <w:outlineLvl w:val="0"/>
        <w:rPr>
          <w:rFonts w:cs="仿宋_GB2312" w:asciiTheme="minorEastAsia" w:hAnsiTheme="minorEastAsia"/>
          <w:b/>
          <w:bCs/>
          <w:color w:val="auto"/>
          <w:sz w:val="28"/>
          <w:szCs w:val="28"/>
          <w:highlight w:val="none"/>
        </w:rPr>
      </w:pPr>
      <w:r>
        <w:rPr>
          <w:rFonts w:hint="eastAsia" w:ascii="宋体" w:hAnsi="宋体" w:cs="宋体"/>
          <w:b/>
          <w:color w:val="auto"/>
          <w:sz w:val="24"/>
          <w:highlight w:val="none"/>
        </w:rPr>
        <w:t>附件2：外包服务机构的网络、数据安全责任及相关处罚条款</w:t>
      </w:r>
    </w:p>
    <w:p w14:paraId="413AF3E1">
      <w:pPr>
        <w:spacing w:line="360" w:lineRule="auto"/>
        <w:jc w:val="left"/>
        <w:outlineLvl w:val="0"/>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附件1：</w:t>
      </w:r>
    </w:p>
    <w:p w14:paraId="443A1B48">
      <w:pPr>
        <w:spacing w:line="360" w:lineRule="auto"/>
        <w:jc w:val="left"/>
        <w:outlineLvl w:val="0"/>
        <w:rPr>
          <w:rFonts w:cs="宋体" w:asciiTheme="minorEastAsia" w:hAnsiTheme="minorEastAsia"/>
          <w:b/>
          <w:color w:val="auto"/>
          <w:sz w:val="24"/>
          <w:highlight w:val="none"/>
        </w:rPr>
      </w:pPr>
    </w:p>
    <w:p w14:paraId="323DAC07">
      <w:pPr>
        <w:spacing w:line="360" w:lineRule="auto"/>
        <w:jc w:val="left"/>
        <w:outlineLvl w:val="0"/>
        <w:rPr>
          <w:color w:val="auto"/>
          <w:sz w:val="28"/>
          <w:szCs w:val="28"/>
          <w:highlight w:val="none"/>
        </w:rPr>
      </w:pPr>
      <w:r>
        <w:rPr>
          <w:rFonts w:hint="eastAsia"/>
          <w:color w:val="auto"/>
          <w:sz w:val="28"/>
          <w:szCs w:val="28"/>
          <w:highlight w:val="none"/>
        </w:rPr>
        <w:t xml:space="preserve">编号：            </w:t>
      </w:r>
    </w:p>
    <w:p w14:paraId="595B0DAB">
      <w:pPr>
        <w:ind w:firstLine="560"/>
        <w:jc w:val="right"/>
        <w:rPr>
          <w:color w:val="auto"/>
          <w:sz w:val="28"/>
          <w:szCs w:val="28"/>
          <w:highlight w:val="none"/>
        </w:rPr>
      </w:pPr>
    </w:p>
    <w:p w14:paraId="62C44693">
      <w:pPr>
        <w:ind w:firstLine="1440"/>
        <w:jc w:val="center"/>
        <w:rPr>
          <w:rFonts w:ascii="小标宋" w:eastAsia="小标宋"/>
          <w:color w:val="auto"/>
          <w:sz w:val="72"/>
          <w:szCs w:val="72"/>
          <w:highlight w:val="none"/>
        </w:rPr>
      </w:pPr>
    </w:p>
    <w:p w14:paraId="02A68FC6">
      <w:pPr>
        <w:jc w:val="center"/>
        <w:rPr>
          <w:rFonts w:asciiTheme="minorEastAsia" w:hAnsiTheme="minorEastAsia"/>
          <w:color w:val="auto"/>
          <w:sz w:val="72"/>
          <w:szCs w:val="72"/>
          <w:highlight w:val="none"/>
        </w:rPr>
      </w:pPr>
      <w:r>
        <w:rPr>
          <w:rFonts w:hint="eastAsia" w:asciiTheme="minorEastAsia" w:hAnsiTheme="minorEastAsia"/>
          <w:color w:val="auto"/>
          <w:sz w:val="72"/>
          <w:szCs w:val="72"/>
          <w:highlight w:val="none"/>
        </w:rPr>
        <w:t>网络与数据安全保密承诺书</w:t>
      </w:r>
    </w:p>
    <w:p w14:paraId="5AC3FAB3">
      <w:pPr>
        <w:ind w:firstLine="480"/>
        <w:rPr>
          <w:color w:val="auto"/>
          <w:highlight w:val="none"/>
        </w:rPr>
      </w:pPr>
    </w:p>
    <w:p w14:paraId="3D84F993">
      <w:pPr>
        <w:ind w:firstLine="480"/>
        <w:rPr>
          <w:color w:val="auto"/>
          <w:highlight w:val="none"/>
        </w:rPr>
      </w:pPr>
    </w:p>
    <w:p w14:paraId="49FF04FA">
      <w:pPr>
        <w:ind w:firstLine="480"/>
        <w:rPr>
          <w:color w:val="auto"/>
          <w:highlight w:val="none"/>
        </w:rPr>
      </w:pPr>
    </w:p>
    <w:p w14:paraId="7D0D5212">
      <w:pPr>
        <w:ind w:firstLine="480"/>
        <w:rPr>
          <w:color w:val="auto"/>
          <w:highlight w:val="none"/>
        </w:rPr>
      </w:pPr>
    </w:p>
    <w:p w14:paraId="0B97F668">
      <w:pPr>
        <w:ind w:firstLine="480"/>
        <w:rPr>
          <w:color w:val="auto"/>
          <w:highlight w:val="none"/>
        </w:rPr>
      </w:pPr>
    </w:p>
    <w:p w14:paraId="18697FF2">
      <w:pPr>
        <w:ind w:firstLine="480"/>
        <w:rPr>
          <w:color w:val="auto"/>
          <w:highlight w:val="none"/>
        </w:rPr>
      </w:pPr>
    </w:p>
    <w:p w14:paraId="50A1676E">
      <w:pPr>
        <w:snapToGrid w:val="0"/>
        <w:spacing w:line="360" w:lineRule="auto"/>
        <w:ind w:firstLine="640"/>
        <w:jc w:val="center"/>
        <w:rPr>
          <w:color w:val="auto"/>
          <w:sz w:val="32"/>
          <w:szCs w:val="32"/>
          <w:highlight w:val="none"/>
        </w:rPr>
      </w:pPr>
    </w:p>
    <w:p w14:paraId="7460C504">
      <w:pPr>
        <w:snapToGrid w:val="0"/>
        <w:spacing w:line="360" w:lineRule="auto"/>
        <w:ind w:firstLine="1280" w:firstLineChars="400"/>
        <w:rPr>
          <w:rFonts w:ascii="宋体" w:hAnsi="宋体" w:cs="宋体"/>
          <w:color w:val="auto"/>
          <w:spacing w:val="-40"/>
          <w:kern w:val="0"/>
          <w:sz w:val="32"/>
          <w:szCs w:val="32"/>
          <w:highlight w:val="none"/>
        </w:rPr>
      </w:pPr>
      <w:r>
        <w:rPr>
          <w:rFonts w:hint="eastAsia"/>
          <w:color w:val="auto"/>
          <w:sz w:val="32"/>
          <w:szCs w:val="32"/>
          <w:highlight w:val="none"/>
        </w:rPr>
        <w:t>公司名称（盖章）：</w:t>
      </w:r>
      <w:r>
        <w:rPr>
          <w:rFonts w:ascii="宋体" w:hAnsi="宋体" w:cs="宋体"/>
          <w:color w:val="auto"/>
          <w:spacing w:val="-40"/>
          <w:kern w:val="0"/>
          <w:sz w:val="32"/>
          <w:szCs w:val="32"/>
          <w:highlight w:val="none"/>
        </w:rPr>
        <w:t>＿＿＿＿＿＿＿＿＿＿＿＿＿＿＿＿＿</w:t>
      </w:r>
    </w:p>
    <w:p w14:paraId="55EAEE97">
      <w:pPr>
        <w:snapToGrid w:val="0"/>
        <w:spacing w:line="360" w:lineRule="auto"/>
        <w:ind w:firstLine="640"/>
        <w:jc w:val="center"/>
        <w:rPr>
          <w:rFonts w:ascii="宋体" w:hAnsi="宋体" w:cs="宋体"/>
          <w:color w:val="auto"/>
          <w:kern w:val="0"/>
          <w:sz w:val="32"/>
          <w:szCs w:val="32"/>
          <w:highlight w:val="none"/>
        </w:rPr>
      </w:pPr>
    </w:p>
    <w:p w14:paraId="013AB530">
      <w:pPr>
        <w:snapToGrid w:val="0"/>
        <w:spacing w:line="360" w:lineRule="auto"/>
        <w:ind w:firstLine="640"/>
        <w:rPr>
          <w:rFonts w:ascii="宋体" w:cs="宋体"/>
          <w:color w:val="auto"/>
          <w:kern w:val="0"/>
          <w:sz w:val="32"/>
          <w:szCs w:val="32"/>
          <w:highlight w:val="none"/>
          <w:lang w:val="en-GB"/>
        </w:rPr>
      </w:pPr>
    </w:p>
    <w:p w14:paraId="17CF8AFE">
      <w:pPr>
        <w:spacing w:line="360" w:lineRule="auto"/>
        <w:ind w:firstLine="1280" w:firstLineChars="400"/>
        <w:rPr>
          <w:rFonts w:ascii="宋体" w:hAnsi="宋体" w:cs="宋体"/>
          <w:color w:val="auto"/>
          <w:spacing w:val="-40"/>
          <w:kern w:val="0"/>
          <w:sz w:val="32"/>
          <w:szCs w:val="32"/>
          <w:highlight w:val="none"/>
        </w:rPr>
      </w:pPr>
      <w:r>
        <w:rPr>
          <w:rFonts w:hint="eastAsia"/>
          <w:color w:val="auto"/>
          <w:sz w:val="32"/>
          <w:szCs w:val="32"/>
          <w:highlight w:val="none"/>
        </w:rPr>
        <w:t>项目（应用）名称：</w:t>
      </w:r>
      <w:r>
        <w:rPr>
          <w:rFonts w:ascii="宋体" w:hAnsi="宋体" w:cs="宋体"/>
          <w:color w:val="auto"/>
          <w:spacing w:val="-40"/>
          <w:kern w:val="0"/>
          <w:sz w:val="32"/>
          <w:szCs w:val="32"/>
          <w:highlight w:val="none"/>
        </w:rPr>
        <w:t>＿＿＿＿＿＿＿＿＿＿＿＿＿＿＿＿＿</w:t>
      </w:r>
    </w:p>
    <w:p w14:paraId="5E039DC4">
      <w:pPr>
        <w:spacing w:line="360" w:lineRule="auto"/>
        <w:ind w:firstLine="640"/>
        <w:rPr>
          <w:color w:val="auto"/>
          <w:sz w:val="32"/>
          <w:szCs w:val="32"/>
          <w:highlight w:val="none"/>
        </w:rPr>
      </w:pPr>
    </w:p>
    <w:p w14:paraId="6C9FBDEF">
      <w:pPr>
        <w:spacing w:line="360" w:lineRule="auto"/>
        <w:ind w:firstLine="640"/>
        <w:jc w:val="center"/>
        <w:rPr>
          <w:color w:val="auto"/>
          <w:sz w:val="32"/>
          <w:szCs w:val="32"/>
          <w:highlight w:val="none"/>
        </w:rPr>
      </w:pPr>
    </w:p>
    <w:p w14:paraId="695E0317">
      <w:pPr>
        <w:spacing w:line="360" w:lineRule="auto"/>
        <w:ind w:firstLine="640"/>
        <w:jc w:val="center"/>
        <w:rPr>
          <w:color w:val="auto"/>
          <w:sz w:val="32"/>
          <w:szCs w:val="32"/>
          <w:highlight w:val="none"/>
          <w:u w:val="single"/>
        </w:rPr>
      </w:pPr>
    </w:p>
    <w:p w14:paraId="168C77B4">
      <w:pPr>
        <w:spacing w:line="360" w:lineRule="auto"/>
        <w:ind w:firstLine="640"/>
        <w:jc w:val="center"/>
        <w:rPr>
          <w:color w:val="auto"/>
          <w:sz w:val="32"/>
          <w:szCs w:val="32"/>
          <w:highlight w:val="none"/>
        </w:rPr>
      </w:pPr>
      <w:r>
        <w:rPr>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30790361">
      <w:pPr>
        <w:spacing w:line="360" w:lineRule="auto"/>
        <w:ind w:left="-420" w:leftChars="-200" w:right="-420" w:rightChars="-200" w:firstLine="480" w:firstLineChars="200"/>
        <w:jc w:val="center"/>
        <w:outlineLvl w:val="0"/>
        <w:rPr>
          <w:rFonts w:ascii="宋体" w:hAnsi="宋体" w:cs="宋体"/>
          <w:color w:val="auto"/>
          <w:sz w:val="24"/>
          <w:highlight w:val="none"/>
        </w:rPr>
        <w:sectPr>
          <w:pgSz w:w="11906" w:h="16838"/>
          <w:pgMar w:top="1276" w:right="1418" w:bottom="1247" w:left="1418" w:header="851" w:footer="992" w:gutter="0"/>
          <w:cols w:space="720" w:num="1"/>
          <w:titlePg/>
          <w:docGrid w:linePitch="312" w:charSpace="0"/>
        </w:sectPr>
      </w:pPr>
    </w:p>
    <w:p w14:paraId="6CE28657">
      <w:pPr>
        <w:spacing w:line="540" w:lineRule="exact"/>
        <w:ind w:firstLine="880"/>
        <w:jc w:val="center"/>
        <w:rPr>
          <w:rFonts w:asciiTheme="minorEastAsia" w:hAnsiTheme="minorEastAsia"/>
          <w:color w:val="auto"/>
          <w:sz w:val="40"/>
          <w:highlight w:val="none"/>
        </w:rPr>
      </w:pPr>
      <w:r>
        <w:rPr>
          <w:rFonts w:hint="eastAsia" w:asciiTheme="minorEastAsia" w:hAnsiTheme="minorEastAsia"/>
          <w:color w:val="auto"/>
          <w:sz w:val="44"/>
          <w:szCs w:val="44"/>
          <w:highlight w:val="none"/>
        </w:rPr>
        <w:t>网络与数据安全保密承诺书</w:t>
      </w:r>
    </w:p>
    <w:p w14:paraId="37DB3189">
      <w:pPr>
        <w:spacing w:line="540" w:lineRule="exact"/>
        <w:rPr>
          <w:rFonts w:asciiTheme="minorEastAsia" w:hAnsiTheme="minorEastAsia"/>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w:t>
      </w:r>
    </w:p>
    <w:p w14:paraId="5B55F385">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为保障贵单位网络数据安全及保密工作，为确保我单位开发/运维的_</w:t>
      </w:r>
      <w:r>
        <w:rPr>
          <w:rFonts w:asciiTheme="minorEastAsia" w:hAnsiTheme="minorEastAsia"/>
          <w:color w:val="auto"/>
          <w:sz w:val="24"/>
          <w:highlight w:val="none"/>
        </w:rPr>
        <w:t>_______________</w:t>
      </w:r>
      <w:r>
        <w:rPr>
          <w:rFonts w:hint="eastAsia" w:asciiTheme="minorEastAsia" w:hAnsiTheme="minorEastAsia"/>
          <w:color w:val="auto"/>
          <w:sz w:val="24"/>
          <w:highlight w:val="none"/>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4FBFF2D2">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一、严格遵守《中华人民共和国网络安全法》《中华人民共和国数据安全法》</w:t>
      </w:r>
      <w:r>
        <w:rPr>
          <w:rFonts w:hint="eastAsia" w:cs="仿宋_GB2312" w:asciiTheme="minorEastAsia" w:hAnsiTheme="minorEastAsia"/>
          <w:color w:val="auto"/>
          <w:sz w:val="24"/>
          <w:highlight w:val="none"/>
        </w:rPr>
        <w:t>《中华人民共和国个人信息保护法》</w:t>
      </w:r>
      <w:r>
        <w:rPr>
          <w:rFonts w:hint="eastAsia" w:asciiTheme="minorEastAsia" w:hAnsiTheme="minorEastAsia"/>
          <w:color w:val="auto"/>
          <w:sz w:val="24"/>
          <w:highlight w:val="none"/>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4DC037FC">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二、健全网络数据安全管理制度和落实安全保护技术措施，保证派遣符合网络数据安全与保密要求的人员参加我公司承担的项目，并承担法律上的担保责任。</w:t>
      </w:r>
    </w:p>
    <w:p w14:paraId="7530C0C8">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三、不从事任何危害网络安全的活动，包括但不限于：</w:t>
      </w:r>
    </w:p>
    <w:p w14:paraId="5025AD42">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1、未经允许，进入信息系统或者使用网络资源的；</w:t>
      </w:r>
    </w:p>
    <w:p w14:paraId="64728440">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2、未经允许，对信息系统进行删除、修改或者增加的；</w:t>
      </w:r>
    </w:p>
    <w:p w14:paraId="1ABC8E84">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3、未经允许，对信息系统中存储或者传输的数据进行删除、修改、增加或者复制的；</w:t>
      </w:r>
    </w:p>
    <w:p w14:paraId="49B70D72">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4、未经允许，将有关数据、资料提供泄露给第三方或用于其他商业目的；</w:t>
      </w:r>
    </w:p>
    <w:p w14:paraId="51FA205D">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5、故意制作、传播计算机病毒等破坏性程序的；</w:t>
      </w:r>
    </w:p>
    <w:p w14:paraId="66EBCB4A">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6、法律法规禁止的其他危害网络数据安全的。</w:t>
      </w:r>
    </w:p>
    <w:p w14:paraId="2984B22F">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四、当发生重大网络数据安全事故时，立即报告贵单位，保留原始记录，积极配合贵单位做好安全事件的处置及调查工作，并采取相应措施，及时排除信息安全隐患，修复漏洞。</w:t>
      </w:r>
    </w:p>
    <w:p w14:paraId="45F2AB54">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五、严格按照要求，不对项目中的云资源私开端口，不利用项目资源、硬件资源等进行与项目无关的工作，不得将政务网和互联网私自打通。</w:t>
      </w:r>
    </w:p>
    <w:p w14:paraId="28C49631">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六、严格按照要求使用、处理、交换、共享数据资源。做好数据落地相应的数据保护工作，严格执行数据安全技术标准和安全管理措施，避免相关数据出现泄露、窃取、篡改的风险。</w:t>
      </w:r>
    </w:p>
    <w:p w14:paraId="457C624A">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七、认真组织开展各项数据处理活动，查找项目中涉及的数据安全隐患和漏洞，对薄弱环节和潜在威胁采取有力措施进行整改，避免和消除数据安全风险，履行数据安全保护义务。</w:t>
      </w:r>
    </w:p>
    <w:p w14:paraId="4C983E3B">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八、未经允许，不得将设备、存储介质等带出工作场所，不得擅自将个人、驻场单位或者其他单位的计算机、信息设备、存储介质等带入杭州市发展和改革委员会（杭州市对口支援和区域合作局）或者接入相关系统。</w:t>
      </w:r>
    </w:p>
    <w:p w14:paraId="6B919115">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九、未经允许，不擅自将项目中涉及的数据拷贝、转移出指定数据区域外进行开发、调试等</w:t>
      </w:r>
    </w:p>
    <w:p w14:paraId="15A51C68">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十、严格按照要求对项目工作人员进行背景审查，确保人员信息的真实性、岗位的安全性。</w:t>
      </w:r>
    </w:p>
    <w:p w14:paraId="25880EC8">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十一、项目工作人员发生变更或离岗（职）的，须向其提示信息的保密性和应承担的义务，确保上述人员承担保密责任的程度不低于本承诺书规定的程度。</w:t>
      </w:r>
    </w:p>
    <w:p w14:paraId="2D40E789">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十二、本单位已对该项目暴露在互联网上的系统测试账号、配置文件、系统数据、测试环境、试运行环境、密码记录、源代码（包括 github、gitlab 等）、弱口令、技术方案等与项目安全运行无关的信息进行了清理。后续也将对上述信息进行有效管理。</w:t>
      </w:r>
    </w:p>
    <w:p w14:paraId="7B600421">
      <w:pPr>
        <w:spacing w:line="54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54F31B5B">
      <w:pPr>
        <w:spacing w:line="54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43495D88">
      <w:pPr>
        <w:spacing w:line="540" w:lineRule="exact"/>
        <w:ind w:firstLine="480" w:firstLineChars="200"/>
        <w:rPr>
          <w:rFonts w:asciiTheme="minorEastAsia" w:hAnsiTheme="minorEastAsia"/>
          <w:color w:val="auto"/>
          <w:sz w:val="24"/>
          <w:highlight w:val="none"/>
        </w:rPr>
      </w:pPr>
      <w:r>
        <w:rPr>
          <w:rFonts w:hint="eastAsia" w:cs="仿宋_GB2312" w:asciiTheme="minorEastAsia" w:hAnsiTheme="minorEastAsia"/>
          <w:color w:val="auto"/>
          <w:sz w:val="24"/>
          <w:highlight w:val="none"/>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5558DF24">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72694745">
      <w:pPr>
        <w:spacing w:line="540" w:lineRule="exact"/>
        <w:rPr>
          <w:rFonts w:asciiTheme="minorEastAsia" w:hAnsiTheme="minorEastAsia"/>
          <w:color w:val="auto"/>
          <w:sz w:val="24"/>
          <w:highlight w:val="none"/>
        </w:rPr>
      </w:pPr>
    </w:p>
    <w:p w14:paraId="2B450F6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公司名称（盖章）：                统一社会信用代码：</w:t>
      </w:r>
    </w:p>
    <w:p w14:paraId="372409EB">
      <w:pPr>
        <w:spacing w:line="360" w:lineRule="auto"/>
        <w:ind w:firstLine="480" w:firstLineChars="200"/>
        <w:rPr>
          <w:rFonts w:asciiTheme="minorEastAsia" w:hAnsiTheme="minorEastAsia"/>
          <w:color w:val="auto"/>
          <w:sz w:val="24"/>
          <w:highlight w:val="none"/>
        </w:rPr>
      </w:pPr>
    </w:p>
    <w:p w14:paraId="1924E6DE">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 xml:space="preserve">法定（授权）代表人签字：          日 期：            </w:t>
      </w:r>
    </w:p>
    <w:p w14:paraId="366B10D2">
      <w:pPr>
        <w:spacing w:line="360" w:lineRule="auto"/>
        <w:ind w:left="-420" w:leftChars="-200" w:right="-420" w:rightChars="-200" w:firstLine="480" w:firstLineChars="200"/>
        <w:jc w:val="center"/>
        <w:outlineLvl w:val="0"/>
        <w:rPr>
          <w:rFonts w:asciiTheme="minorEastAsia" w:hAnsiTheme="minorEastAsia"/>
          <w:color w:val="auto"/>
          <w:sz w:val="24"/>
          <w:highlight w:val="none"/>
        </w:rPr>
      </w:pPr>
      <w:r>
        <w:rPr>
          <w:rFonts w:hint="eastAsia" w:asciiTheme="minorEastAsia" w:hAnsiTheme="minorEastAsia"/>
          <w:color w:val="auto"/>
          <w:sz w:val="24"/>
          <w:highlight w:val="none"/>
        </w:rPr>
        <w:t>（本承诺书一式两份，由建设单位和承诺公司各执一份）</w:t>
      </w:r>
    </w:p>
    <w:p w14:paraId="47667700">
      <w:pPr>
        <w:wordWrap w:val="0"/>
        <w:ind w:firstLine="560"/>
        <w:jc w:val="right"/>
        <w:rPr>
          <w:color w:val="auto"/>
          <w:sz w:val="28"/>
          <w:szCs w:val="28"/>
          <w:highlight w:val="none"/>
        </w:rPr>
      </w:pPr>
    </w:p>
    <w:p w14:paraId="7C702D66">
      <w:pPr>
        <w:rPr>
          <w:color w:val="auto"/>
          <w:sz w:val="24"/>
          <w:highlight w:val="none"/>
        </w:rPr>
      </w:pPr>
    </w:p>
    <w:p w14:paraId="085104E0">
      <w:pPr>
        <w:rPr>
          <w:color w:val="auto"/>
          <w:sz w:val="24"/>
          <w:highlight w:val="none"/>
        </w:rPr>
      </w:pPr>
    </w:p>
    <w:p w14:paraId="32EC0FF1">
      <w:pPr>
        <w:rPr>
          <w:color w:val="auto"/>
          <w:sz w:val="24"/>
          <w:highlight w:val="none"/>
        </w:rPr>
      </w:pPr>
      <w:r>
        <w:rPr>
          <w:rFonts w:hint="eastAsia"/>
          <w:color w:val="auto"/>
          <w:sz w:val="24"/>
          <w:highlight w:val="none"/>
        </w:rPr>
        <w:t xml:space="preserve">编号：            </w:t>
      </w:r>
    </w:p>
    <w:p w14:paraId="4B44E6AB">
      <w:pPr>
        <w:ind w:firstLine="560"/>
        <w:jc w:val="right"/>
        <w:rPr>
          <w:rFonts w:asciiTheme="minorEastAsia" w:hAnsiTheme="minorEastAsia"/>
          <w:color w:val="auto"/>
          <w:sz w:val="28"/>
          <w:szCs w:val="28"/>
          <w:highlight w:val="none"/>
        </w:rPr>
      </w:pPr>
    </w:p>
    <w:p w14:paraId="18081D1A">
      <w:pPr>
        <w:ind w:firstLine="1440"/>
        <w:jc w:val="center"/>
        <w:rPr>
          <w:rFonts w:asciiTheme="minorEastAsia" w:hAnsiTheme="minorEastAsia"/>
          <w:color w:val="auto"/>
          <w:sz w:val="72"/>
          <w:szCs w:val="72"/>
          <w:highlight w:val="none"/>
        </w:rPr>
      </w:pPr>
    </w:p>
    <w:p w14:paraId="4423F5B9">
      <w:pPr>
        <w:jc w:val="center"/>
        <w:rPr>
          <w:rFonts w:asciiTheme="minorEastAsia" w:hAnsiTheme="minorEastAsia"/>
          <w:color w:val="auto"/>
          <w:sz w:val="72"/>
          <w:szCs w:val="72"/>
          <w:highlight w:val="none"/>
        </w:rPr>
      </w:pPr>
      <w:r>
        <w:rPr>
          <w:rFonts w:hint="eastAsia" w:asciiTheme="minorEastAsia" w:hAnsiTheme="minorEastAsia"/>
          <w:color w:val="auto"/>
          <w:sz w:val="72"/>
          <w:szCs w:val="72"/>
          <w:highlight w:val="none"/>
        </w:rPr>
        <w:t>网络与数据安全保密承诺书</w:t>
      </w:r>
    </w:p>
    <w:p w14:paraId="53FB606D">
      <w:pPr>
        <w:ind w:firstLine="480"/>
        <w:rPr>
          <w:rFonts w:asciiTheme="minorEastAsia" w:hAnsiTheme="minorEastAsia"/>
          <w:color w:val="auto"/>
          <w:highlight w:val="none"/>
        </w:rPr>
      </w:pPr>
    </w:p>
    <w:p w14:paraId="4F9A45C5">
      <w:pPr>
        <w:ind w:firstLine="480"/>
        <w:rPr>
          <w:rFonts w:asciiTheme="minorEastAsia" w:hAnsiTheme="minorEastAsia"/>
          <w:color w:val="auto"/>
          <w:highlight w:val="none"/>
        </w:rPr>
      </w:pPr>
    </w:p>
    <w:p w14:paraId="1A74210B">
      <w:pPr>
        <w:ind w:firstLine="480"/>
        <w:rPr>
          <w:rFonts w:asciiTheme="minorEastAsia" w:hAnsiTheme="minorEastAsia"/>
          <w:color w:val="auto"/>
          <w:highlight w:val="none"/>
        </w:rPr>
      </w:pPr>
    </w:p>
    <w:p w14:paraId="16AF894C">
      <w:pPr>
        <w:ind w:firstLine="480"/>
        <w:rPr>
          <w:rFonts w:asciiTheme="minorEastAsia" w:hAnsiTheme="minorEastAsia"/>
          <w:color w:val="auto"/>
          <w:highlight w:val="none"/>
        </w:rPr>
      </w:pPr>
    </w:p>
    <w:p w14:paraId="1AC42CA4">
      <w:pPr>
        <w:ind w:firstLine="480"/>
        <w:rPr>
          <w:rFonts w:asciiTheme="minorEastAsia" w:hAnsiTheme="minorEastAsia"/>
          <w:color w:val="auto"/>
          <w:highlight w:val="none"/>
        </w:rPr>
      </w:pPr>
    </w:p>
    <w:p w14:paraId="52898050">
      <w:pPr>
        <w:ind w:firstLine="480"/>
        <w:rPr>
          <w:rFonts w:asciiTheme="minorEastAsia" w:hAnsiTheme="minorEastAsia"/>
          <w:color w:val="auto"/>
          <w:highlight w:val="none"/>
        </w:rPr>
      </w:pPr>
    </w:p>
    <w:p w14:paraId="3E2D39CA">
      <w:pPr>
        <w:snapToGrid w:val="0"/>
        <w:spacing w:line="360" w:lineRule="auto"/>
        <w:ind w:firstLine="1920" w:firstLineChars="600"/>
        <w:rPr>
          <w:rFonts w:cs="宋体" w:asciiTheme="minorEastAsia" w:hAnsiTheme="minorEastAsia"/>
          <w:color w:val="auto"/>
          <w:spacing w:val="-40"/>
          <w:kern w:val="0"/>
          <w:sz w:val="28"/>
          <w:highlight w:val="none"/>
        </w:rPr>
      </w:pPr>
      <w:r>
        <w:rPr>
          <w:rFonts w:hint="eastAsia" w:asciiTheme="minorEastAsia" w:hAnsiTheme="minorEastAsia"/>
          <w:color w:val="auto"/>
          <w:sz w:val="32"/>
          <w:szCs w:val="28"/>
          <w:highlight w:val="none"/>
        </w:rPr>
        <w:t>公司名称（盖章）：</w:t>
      </w:r>
      <w:r>
        <w:rPr>
          <w:rFonts w:cs="宋体" w:asciiTheme="minorEastAsia" w:hAnsiTheme="minorEastAsia"/>
          <w:color w:val="auto"/>
          <w:spacing w:val="-40"/>
          <w:kern w:val="0"/>
          <w:sz w:val="28"/>
          <w:highlight w:val="none"/>
        </w:rPr>
        <w:t>＿＿＿＿＿＿＿＿＿＿＿＿＿＿＿＿＿</w:t>
      </w:r>
    </w:p>
    <w:p w14:paraId="4349C539">
      <w:pPr>
        <w:snapToGrid w:val="0"/>
        <w:spacing w:line="360" w:lineRule="auto"/>
        <w:ind w:firstLine="560"/>
        <w:jc w:val="center"/>
        <w:rPr>
          <w:rFonts w:cs="宋体" w:asciiTheme="minorEastAsia" w:hAnsiTheme="minorEastAsia"/>
          <w:color w:val="auto"/>
          <w:kern w:val="0"/>
          <w:sz w:val="28"/>
          <w:highlight w:val="none"/>
        </w:rPr>
      </w:pPr>
    </w:p>
    <w:p w14:paraId="62839485">
      <w:pPr>
        <w:snapToGrid w:val="0"/>
        <w:spacing w:line="360" w:lineRule="auto"/>
        <w:ind w:firstLine="640"/>
        <w:jc w:val="center"/>
        <w:rPr>
          <w:rFonts w:cs="宋体" w:asciiTheme="minorEastAsia" w:hAnsiTheme="minorEastAsia"/>
          <w:color w:val="auto"/>
          <w:spacing w:val="-40"/>
          <w:kern w:val="0"/>
          <w:sz w:val="28"/>
          <w:highlight w:val="none"/>
        </w:rPr>
      </w:pPr>
      <w:r>
        <w:rPr>
          <w:rFonts w:hint="eastAsia" w:asciiTheme="minorEastAsia" w:hAnsiTheme="minorEastAsia"/>
          <w:color w:val="auto"/>
          <w:sz w:val="32"/>
          <w:szCs w:val="28"/>
          <w:highlight w:val="none"/>
        </w:rPr>
        <w:t>姓          名：</w:t>
      </w:r>
      <w:r>
        <w:rPr>
          <w:rFonts w:cs="宋体" w:asciiTheme="minorEastAsia" w:hAnsiTheme="minorEastAsia"/>
          <w:color w:val="auto"/>
          <w:spacing w:val="-40"/>
          <w:kern w:val="0"/>
          <w:sz w:val="28"/>
          <w:highlight w:val="none"/>
        </w:rPr>
        <w:t>＿＿＿＿＿＿＿＿＿＿＿＿＿＿＿＿＿</w:t>
      </w:r>
    </w:p>
    <w:p w14:paraId="629AB2A2">
      <w:pPr>
        <w:snapToGrid w:val="0"/>
        <w:spacing w:line="360" w:lineRule="auto"/>
        <w:ind w:firstLine="640"/>
        <w:jc w:val="center"/>
        <w:rPr>
          <w:rFonts w:asciiTheme="minorEastAsia" w:hAnsiTheme="minorEastAsia"/>
          <w:color w:val="auto"/>
          <w:sz w:val="32"/>
          <w:szCs w:val="28"/>
          <w:highlight w:val="none"/>
        </w:rPr>
      </w:pPr>
    </w:p>
    <w:p w14:paraId="12B782D5">
      <w:pPr>
        <w:snapToGrid w:val="0"/>
        <w:spacing w:line="360" w:lineRule="auto"/>
        <w:ind w:firstLine="1929" w:firstLineChars="603"/>
        <w:rPr>
          <w:rFonts w:cs="宋体" w:asciiTheme="minorEastAsia" w:hAnsiTheme="minorEastAsia"/>
          <w:color w:val="auto"/>
          <w:spacing w:val="-40"/>
          <w:kern w:val="0"/>
          <w:sz w:val="28"/>
          <w:highlight w:val="none"/>
        </w:rPr>
      </w:pPr>
      <w:r>
        <w:rPr>
          <w:rFonts w:hint="eastAsia" w:asciiTheme="minorEastAsia" w:hAnsiTheme="minorEastAsia"/>
          <w:color w:val="auto"/>
          <w:sz w:val="32"/>
          <w:szCs w:val="28"/>
          <w:highlight w:val="none"/>
        </w:rPr>
        <w:t>职  务 （岗位）：</w:t>
      </w:r>
      <w:r>
        <w:rPr>
          <w:rFonts w:cs="宋体" w:asciiTheme="minorEastAsia" w:hAnsiTheme="minorEastAsia"/>
          <w:color w:val="auto"/>
          <w:spacing w:val="-40"/>
          <w:kern w:val="0"/>
          <w:sz w:val="28"/>
          <w:highlight w:val="none"/>
        </w:rPr>
        <w:t>＿＿＿＿＿＿＿＿＿＿＿＿＿＿＿＿＿</w:t>
      </w:r>
    </w:p>
    <w:p w14:paraId="07301FD4">
      <w:pPr>
        <w:snapToGrid w:val="0"/>
        <w:spacing w:line="360" w:lineRule="auto"/>
        <w:ind w:firstLine="560"/>
        <w:rPr>
          <w:rFonts w:cs="宋体" w:asciiTheme="minorEastAsia" w:hAnsiTheme="minorEastAsia"/>
          <w:color w:val="auto"/>
          <w:kern w:val="0"/>
          <w:sz w:val="28"/>
          <w:szCs w:val="28"/>
          <w:highlight w:val="none"/>
          <w:lang w:val="en-GB"/>
        </w:rPr>
      </w:pPr>
    </w:p>
    <w:p w14:paraId="7EBC7F3E">
      <w:pPr>
        <w:spacing w:line="360" w:lineRule="auto"/>
        <w:ind w:firstLine="1920" w:firstLineChars="600"/>
        <w:rPr>
          <w:rFonts w:cs="宋体" w:asciiTheme="minorEastAsia" w:hAnsiTheme="minorEastAsia"/>
          <w:color w:val="auto"/>
          <w:spacing w:val="-40"/>
          <w:kern w:val="0"/>
          <w:sz w:val="28"/>
          <w:highlight w:val="none"/>
        </w:rPr>
      </w:pPr>
      <w:r>
        <w:rPr>
          <w:rFonts w:hint="eastAsia" w:asciiTheme="minorEastAsia" w:hAnsiTheme="minorEastAsia"/>
          <w:color w:val="auto"/>
          <w:sz w:val="32"/>
          <w:szCs w:val="28"/>
          <w:highlight w:val="none"/>
        </w:rPr>
        <w:t>项目（应用）名称：</w:t>
      </w:r>
      <w:r>
        <w:rPr>
          <w:rFonts w:cs="宋体" w:asciiTheme="minorEastAsia" w:hAnsiTheme="minorEastAsia"/>
          <w:color w:val="auto"/>
          <w:spacing w:val="-40"/>
          <w:kern w:val="0"/>
          <w:sz w:val="28"/>
          <w:highlight w:val="none"/>
        </w:rPr>
        <w:t>＿＿＿＿＿＿＿＿＿＿＿＿＿＿＿＿＿</w:t>
      </w:r>
    </w:p>
    <w:p w14:paraId="3D83E56A">
      <w:pPr>
        <w:spacing w:line="360" w:lineRule="auto"/>
        <w:ind w:firstLine="480"/>
        <w:rPr>
          <w:rFonts w:asciiTheme="minorEastAsia" w:hAnsiTheme="minorEastAsia"/>
          <w:color w:val="auto"/>
          <w:highlight w:val="none"/>
        </w:rPr>
      </w:pPr>
    </w:p>
    <w:p w14:paraId="47FC63B4">
      <w:pPr>
        <w:spacing w:line="360" w:lineRule="auto"/>
        <w:ind w:firstLine="480"/>
        <w:jc w:val="center"/>
        <w:rPr>
          <w:rFonts w:asciiTheme="minorEastAsia" w:hAnsiTheme="minorEastAsia"/>
          <w:color w:val="auto"/>
          <w:highlight w:val="none"/>
        </w:rPr>
      </w:pPr>
    </w:p>
    <w:p w14:paraId="08AA05BB">
      <w:pPr>
        <w:spacing w:line="360" w:lineRule="auto"/>
        <w:ind w:firstLine="720"/>
        <w:jc w:val="center"/>
        <w:rPr>
          <w:rFonts w:asciiTheme="minorEastAsia" w:hAnsiTheme="minorEastAsia"/>
          <w:color w:val="auto"/>
          <w:sz w:val="36"/>
          <w:highlight w:val="none"/>
          <w:u w:val="single"/>
        </w:rPr>
      </w:pPr>
    </w:p>
    <w:p w14:paraId="7566FBD9">
      <w:pPr>
        <w:spacing w:line="360" w:lineRule="auto"/>
        <w:ind w:firstLine="720"/>
        <w:jc w:val="center"/>
        <w:rPr>
          <w:rFonts w:asciiTheme="minorEastAsia" w:hAnsiTheme="minorEastAsia"/>
          <w:color w:val="auto"/>
          <w:sz w:val="36"/>
          <w:highlight w:val="none"/>
        </w:rPr>
      </w:pPr>
      <w:r>
        <w:rPr>
          <w:rFonts w:asciiTheme="minorEastAsia" w:hAnsiTheme="minorEastAsia"/>
          <w:color w:val="auto"/>
          <w:sz w:val="36"/>
          <w:highlight w:val="none"/>
          <w:u w:val="single"/>
        </w:rPr>
        <w:t xml:space="preserve">     </w:t>
      </w:r>
      <w:r>
        <w:rPr>
          <w:rFonts w:hint="eastAsia" w:asciiTheme="minorEastAsia" w:hAnsiTheme="minorEastAsia"/>
          <w:color w:val="auto"/>
          <w:sz w:val="36"/>
          <w:highlight w:val="none"/>
        </w:rPr>
        <w:t>年</w:t>
      </w:r>
      <w:r>
        <w:rPr>
          <w:rFonts w:hint="eastAsia" w:asciiTheme="minorEastAsia" w:hAnsiTheme="minorEastAsia"/>
          <w:color w:val="auto"/>
          <w:sz w:val="36"/>
          <w:highlight w:val="none"/>
          <w:u w:val="single"/>
        </w:rPr>
        <w:t xml:space="preserve">    </w:t>
      </w:r>
      <w:r>
        <w:rPr>
          <w:rFonts w:hint="eastAsia" w:asciiTheme="minorEastAsia" w:hAnsiTheme="minorEastAsia"/>
          <w:color w:val="auto"/>
          <w:sz w:val="36"/>
          <w:highlight w:val="none"/>
        </w:rPr>
        <w:t>月</w:t>
      </w:r>
      <w:r>
        <w:rPr>
          <w:rFonts w:hint="eastAsia" w:asciiTheme="minorEastAsia" w:hAnsiTheme="minorEastAsia"/>
          <w:color w:val="auto"/>
          <w:sz w:val="36"/>
          <w:highlight w:val="none"/>
          <w:u w:val="single"/>
        </w:rPr>
        <w:t xml:space="preserve">    </w:t>
      </w:r>
      <w:r>
        <w:rPr>
          <w:rFonts w:hint="eastAsia" w:asciiTheme="minorEastAsia" w:hAnsiTheme="minorEastAsia"/>
          <w:color w:val="auto"/>
          <w:sz w:val="36"/>
          <w:highlight w:val="none"/>
        </w:rPr>
        <w:t>日</w:t>
      </w:r>
    </w:p>
    <w:p w14:paraId="2B7328FE">
      <w:pPr>
        <w:spacing w:line="360" w:lineRule="auto"/>
        <w:ind w:firstLine="720"/>
        <w:jc w:val="center"/>
        <w:rPr>
          <w:rFonts w:asciiTheme="minorEastAsia" w:hAnsiTheme="minorEastAsia"/>
          <w:color w:val="auto"/>
          <w:sz w:val="36"/>
          <w:highlight w:val="none"/>
        </w:rPr>
      </w:pPr>
    </w:p>
    <w:p w14:paraId="4212B746">
      <w:pPr>
        <w:ind w:firstLine="720"/>
        <w:jc w:val="center"/>
        <w:rPr>
          <w:rFonts w:asciiTheme="minorEastAsia" w:hAnsiTheme="minorEastAsia"/>
          <w:color w:val="auto"/>
          <w:sz w:val="36"/>
          <w:highlight w:val="none"/>
        </w:rPr>
      </w:pPr>
    </w:p>
    <w:p w14:paraId="6EE41595">
      <w:pPr>
        <w:ind w:firstLine="720"/>
        <w:jc w:val="center"/>
        <w:rPr>
          <w:rFonts w:asciiTheme="minorEastAsia" w:hAnsiTheme="minorEastAsia"/>
          <w:color w:val="auto"/>
          <w:sz w:val="36"/>
          <w:highlight w:val="none"/>
        </w:rPr>
      </w:pPr>
    </w:p>
    <w:p w14:paraId="1F75EAB9">
      <w:pPr>
        <w:rPr>
          <w:rFonts w:asciiTheme="minorEastAsia" w:hAnsiTheme="minorEastAsia"/>
          <w:color w:val="auto"/>
          <w:sz w:val="44"/>
          <w:szCs w:val="44"/>
          <w:highlight w:val="none"/>
        </w:rPr>
      </w:pPr>
    </w:p>
    <w:p w14:paraId="3AFBD147">
      <w:pPr>
        <w:pStyle w:val="8"/>
        <w:rPr>
          <w:color w:val="auto"/>
          <w:highlight w:val="none"/>
          <w:lang w:val="en-US"/>
        </w:rPr>
      </w:pPr>
    </w:p>
    <w:p w14:paraId="4881C73B">
      <w:pPr>
        <w:ind w:firstLine="880"/>
        <w:jc w:val="center"/>
        <w:rPr>
          <w:rFonts w:asciiTheme="minorEastAsia" w:hAnsiTheme="minorEastAsia"/>
          <w:color w:val="auto"/>
          <w:sz w:val="44"/>
          <w:szCs w:val="44"/>
          <w:highlight w:val="none"/>
        </w:rPr>
      </w:pPr>
      <w:r>
        <w:rPr>
          <w:rFonts w:hint="eastAsia" w:asciiTheme="minorEastAsia" w:hAnsiTheme="minorEastAsia"/>
          <w:color w:val="auto"/>
          <w:sz w:val="44"/>
          <w:szCs w:val="44"/>
          <w:highlight w:val="none"/>
        </w:rPr>
        <w:t>网络与数据安全保密承诺书</w:t>
      </w:r>
    </w:p>
    <w:p w14:paraId="519FFFF5">
      <w:pPr>
        <w:spacing w:line="500" w:lineRule="exact"/>
        <w:ind w:firstLine="560"/>
        <w:rPr>
          <w:rFonts w:cs="仿宋_GB2312" w:asciiTheme="minorEastAsia" w:hAnsiTheme="minorEastAsia"/>
          <w:color w:val="auto"/>
          <w:sz w:val="28"/>
          <w:szCs w:val="28"/>
          <w:highlight w:val="none"/>
          <w:u w:val="single"/>
        </w:rPr>
      </w:pPr>
    </w:p>
    <w:p w14:paraId="717E317C">
      <w:pPr>
        <w:spacing w:line="360" w:lineRule="auto"/>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u w:val="single"/>
        </w:rPr>
        <w:t xml:space="preserve">                     </w:t>
      </w:r>
      <w:r>
        <w:rPr>
          <w:rFonts w:hint="eastAsia" w:cs="仿宋_GB2312" w:asciiTheme="minorEastAsia" w:hAnsiTheme="minorEastAsia"/>
          <w:color w:val="auto"/>
          <w:sz w:val="24"/>
          <w:highlight w:val="none"/>
        </w:rPr>
        <w:t>：</w:t>
      </w:r>
    </w:p>
    <w:p w14:paraId="6F6323DE">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为保障贵单位网络数据安全及保密工作，本人已认真阅读并将持续学习《</w:t>
      </w:r>
      <w:r>
        <w:rPr>
          <w:rFonts w:hint="eastAsia" w:cs="仿宋_GB2312" w:asciiTheme="minorEastAsia" w:hAnsiTheme="minorEastAsia"/>
          <w:color w:val="auto"/>
          <w:sz w:val="24"/>
          <w:highlight w:val="none"/>
          <w:u w:val="single"/>
        </w:rPr>
        <w:t xml:space="preserve">                 </w:t>
      </w:r>
      <w:r>
        <w:rPr>
          <w:rFonts w:hint="eastAsia" w:cs="仿宋_GB2312" w:asciiTheme="minorEastAsia" w:hAnsiTheme="minorEastAsia"/>
          <w:color w:val="auto"/>
          <w:sz w:val="24"/>
          <w:highlight w:val="none"/>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5DF1E3D5">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5E2F97E2">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二、不从事任何危害网络数据安全的活动，包括但不限于：</w:t>
      </w:r>
    </w:p>
    <w:p w14:paraId="65E77CF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1.未经允许，进入信息系统或者使用网络资源的；</w:t>
      </w:r>
    </w:p>
    <w:p w14:paraId="658561F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2.未经允许，对信息系统进行删除、修改或者增加的；</w:t>
      </w:r>
    </w:p>
    <w:p w14:paraId="31F32DC5">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3.未经允许，对信息系统中存储或者传输的数据进行删除、修改、增加或者复制的；</w:t>
      </w:r>
    </w:p>
    <w:p w14:paraId="70B82DCE">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4.未经允许，将有关数据、资料提供泄露给第三方或用于其他商业目的；</w:t>
      </w:r>
    </w:p>
    <w:p w14:paraId="00F1090F">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5.故意制作、传播计算机病毒等破坏性程序的；</w:t>
      </w:r>
    </w:p>
    <w:p w14:paraId="74045EE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6.法律法规禁止的其他危害网络安全的。</w:t>
      </w:r>
    </w:p>
    <w:p w14:paraId="066AD626">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0F6F636D">
      <w:pPr>
        <w:spacing w:line="360" w:lineRule="auto"/>
        <w:ind w:firstLine="456" w:firstLineChars="200"/>
        <w:rPr>
          <w:rFonts w:cs="仿宋_GB2312" w:asciiTheme="minorEastAsia" w:hAnsiTheme="minorEastAsia"/>
          <w:color w:val="auto"/>
          <w:spacing w:val="-6"/>
          <w:sz w:val="24"/>
          <w:highlight w:val="none"/>
        </w:rPr>
      </w:pPr>
      <w:r>
        <w:rPr>
          <w:rFonts w:hint="eastAsia" w:cs="仿宋_GB2312" w:asciiTheme="minorEastAsia" w:hAnsiTheme="minorEastAsia"/>
          <w:color w:val="auto"/>
          <w:spacing w:val="-6"/>
          <w:sz w:val="24"/>
          <w:highlight w:val="none"/>
        </w:rPr>
        <w:t>四、严格按照要求，不对云资源私开端口，不利用项目资源、硬件资源等进行与项目无关的工作，不得将政务网和互联网私自打通。</w:t>
      </w:r>
    </w:p>
    <w:p w14:paraId="1C09736D">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五、严格按照要求使用、处理、交换、共享数据资源。做好数据落地相应的数据保护工作，严格执行数据安全技术标准和安全管理措施，避免相关数据出现泄露、窃取、篡改的风险。</w:t>
      </w:r>
    </w:p>
    <w:p w14:paraId="5D94B0F5">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六、认真组织开展各项数据处理活动，查找项目中涉及的数据安全隐患和漏洞，对薄弱环节和潜在威胁采取有力措施进行整改，避免和消除数据安全风险，履行数据安全保护义务。</w:t>
      </w:r>
    </w:p>
    <w:p w14:paraId="1E049BA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七、未经允许，不得将设备、存储介质等带出工作场所，不得擅自将个人、驻场单位或者其他单位的计算机、信息设备、存储介质等带入贵单位或者接入相关系统。</w:t>
      </w:r>
    </w:p>
    <w:p w14:paraId="21EF8D65">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八、在贵单位办公环境内，未经允许，不得使用拍照、录像、录音等设备。</w:t>
      </w:r>
    </w:p>
    <w:p w14:paraId="3E530017">
      <w:pPr>
        <w:spacing w:line="360" w:lineRule="auto"/>
        <w:ind w:firstLine="480" w:firstLineChars="200"/>
        <w:rPr>
          <w:rFonts w:cs="仿宋_GB2312" w:asciiTheme="minorEastAsia" w:hAnsiTheme="minorEastAsia"/>
          <w:color w:val="auto"/>
          <w:sz w:val="24"/>
          <w:highlight w:val="none"/>
        </w:rPr>
      </w:pPr>
      <w:r>
        <w:rPr>
          <w:rFonts w:hint="eastAsia" w:asciiTheme="minorEastAsia" w:hAnsiTheme="minorEastAsia"/>
          <w:color w:val="auto"/>
          <w:sz w:val="24"/>
          <w:highlight w:val="none"/>
        </w:rPr>
        <w:t>九、未经允许，不擅自将项目中涉及的数据拷贝、转移出指定数据区域外进行开发、调试等</w:t>
      </w:r>
    </w:p>
    <w:p w14:paraId="65F3ABC1">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5FD8E7FE">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十一、工作变更或离岗（职）前，移交所有项目信息、数据、资源及账号权限。工作变更或离岗（职）后，根据信息保密期限要求和相关合同约定，承担与在岗（职）期间相同的保密义务。</w:t>
      </w:r>
    </w:p>
    <w:p w14:paraId="0ED6A20F">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1C3745BE">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342EF54A">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62E44606">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十五、本人同意把</w:t>
      </w:r>
      <w:r>
        <w:rPr>
          <w:rFonts w:cs="仿宋_GB2312" w:asciiTheme="minorEastAsia" w:hAnsiTheme="minorEastAsia"/>
          <w:color w:val="auto"/>
          <w:sz w:val="24"/>
          <w:highlight w:val="none"/>
          <w:u w:val="single"/>
        </w:rPr>
        <w:t xml:space="preserve">                  </w:t>
      </w:r>
      <w:r>
        <w:rPr>
          <w:rFonts w:hint="eastAsia" w:cs="仿宋_GB2312" w:asciiTheme="minorEastAsia" w:hAnsiTheme="minorEastAsia"/>
          <w:color w:val="auto"/>
          <w:sz w:val="24"/>
          <w:highlight w:val="none"/>
          <w:u w:val="single"/>
        </w:rPr>
        <w:t xml:space="preserve"> </w:t>
      </w:r>
      <w:r>
        <w:rPr>
          <w:rFonts w:hint="eastAsia" w:cs="仿宋_GB2312" w:asciiTheme="minorEastAsia" w:hAnsiTheme="minorEastAsia"/>
          <w:color w:val="auto"/>
          <w:sz w:val="24"/>
          <w:highlight w:val="none"/>
        </w:rPr>
        <w:t>应用安全运行情况纳入本单位对本人的奖惩考核范围。如我单位承建信息系统发生任何网络安全事件引发任何损失，本人将采取一切可能的措施积极开展处置。</w:t>
      </w:r>
    </w:p>
    <w:p w14:paraId="2A67201D">
      <w:pPr>
        <w:spacing w:line="360" w:lineRule="auto"/>
        <w:ind w:firstLine="480" w:firstLineChars="200"/>
        <w:rPr>
          <w:rFonts w:cs="仿宋_GB2312" w:asciiTheme="minorEastAsia" w:hAnsiTheme="minorEastAsia"/>
          <w:color w:val="auto"/>
          <w:sz w:val="24"/>
          <w:highlight w:val="none"/>
        </w:rPr>
      </w:pPr>
    </w:p>
    <w:p w14:paraId="254E5BBC">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个人签名：</w:t>
      </w:r>
    </w:p>
    <w:p w14:paraId="2395184D">
      <w:pPr>
        <w:spacing w:line="360" w:lineRule="auto"/>
        <w:ind w:firstLine="480" w:firstLineChars="200"/>
        <w:rPr>
          <w:rFonts w:cs="仿宋_GB2312" w:asciiTheme="minorEastAsia" w:hAnsiTheme="minorEastAsia"/>
          <w:color w:val="auto"/>
          <w:sz w:val="24"/>
          <w:highlight w:val="none"/>
        </w:rPr>
      </w:pPr>
    </w:p>
    <w:p w14:paraId="3B5F2E81">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身份证号：</w:t>
      </w:r>
    </w:p>
    <w:p w14:paraId="7EC73628">
      <w:pPr>
        <w:spacing w:line="360" w:lineRule="auto"/>
        <w:ind w:firstLine="480" w:firstLineChars="200"/>
        <w:rPr>
          <w:rFonts w:cs="仿宋_GB2312" w:asciiTheme="minorEastAsia" w:hAnsiTheme="minorEastAsia"/>
          <w:color w:val="auto"/>
          <w:sz w:val="24"/>
          <w:highlight w:val="none"/>
        </w:rPr>
      </w:pPr>
    </w:p>
    <w:p w14:paraId="3495939A">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手机号：</w:t>
      </w:r>
    </w:p>
    <w:p w14:paraId="617559AF">
      <w:pPr>
        <w:spacing w:line="360" w:lineRule="auto"/>
        <w:ind w:firstLine="480" w:firstLineChars="200"/>
        <w:rPr>
          <w:rFonts w:cs="仿宋_GB2312" w:asciiTheme="minorEastAsia" w:hAnsiTheme="minorEastAsia"/>
          <w:color w:val="auto"/>
          <w:sz w:val="24"/>
          <w:highlight w:val="none"/>
        </w:rPr>
      </w:pPr>
    </w:p>
    <w:p w14:paraId="54EFCA74">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日期：            </w:t>
      </w:r>
    </w:p>
    <w:p w14:paraId="6E8ED46B">
      <w:pPr>
        <w:spacing w:line="360" w:lineRule="auto"/>
        <w:rPr>
          <w:rFonts w:cs="仿宋_GB2312" w:asciiTheme="minorEastAsia" w:hAnsiTheme="minorEastAsia"/>
          <w:color w:val="auto"/>
          <w:sz w:val="24"/>
          <w:highlight w:val="none"/>
        </w:rPr>
      </w:pPr>
    </w:p>
    <w:p w14:paraId="3CBAE29A">
      <w:pPr>
        <w:spacing w:line="360" w:lineRule="auto"/>
        <w:rPr>
          <w:rFonts w:cs="仿宋_GB2312" w:asciiTheme="minorEastAsia" w:hAnsiTheme="minorEastAsia"/>
          <w:bCs/>
          <w:color w:val="auto"/>
          <w:sz w:val="24"/>
          <w:highlight w:val="none"/>
        </w:rPr>
      </w:pPr>
      <w:r>
        <w:rPr>
          <w:rFonts w:hint="eastAsia" w:cs="仿宋_GB2312" w:asciiTheme="minorEastAsia" w:hAnsiTheme="minorEastAsia"/>
          <w:color w:val="auto"/>
          <w:sz w:val="24"/>
          <w:highlight w:val="none"/>
        </w:rPr>
        <w:t>（</w:t>
      </w:r>
      <w:r>
        <w:rPr>
          <w:rFonts w:hint="eastAsia" w:asciiTheme="minorEastAsia" w:hAnsiTheme="minorEastAsia"/>
          <w:color w:val="auto"/>
          <w:sz w:val="24"/>
          <w:highlight w:val="none"/>
        </w:rPr>
        <w:t>本</w:t>
      </w:r>
      <w:r>
        <w:rPr>
          <w:rFonts w:hint="eastAsia" w:cs="仿宋_GB2312" w:asciiTheme="minorEastAsia" w:hAnsiTheme="minorEastAsia"/>
          <w:color w:val="auto"/>
          <w:sz w:val="24"/>
          <w:highlight w:val="none"/>
        </w:rPr>
        <w:t>承诺书一式三份，建设单位、承诺人就职单位和承诺人各执一份）</w:t>
      </w:r>
    </w:p>
    <w:p w14:paraId="23FF3531">
      <w:pPr>
        <w:pStyle w:val="8"/>
        <w:rPr>
          <w:color w:val="auto"/>
          <w:highlight w:val="none"/>
          <w:lang w:val="en-US"/>
        </w:rPr>
        <w:sectPr>
          <w:pgSz w:w="11906" w:h="16838"/>
          <w:pgMar w:top="1276" w:right="1418" w:bottom="1247" w:left="1418" w:header="851" w:footer="992" w:gutter="0"/>
          <w:cols w:space="720" w:num="1"/>
          <w:titlePg/>
          <w:docGrid w:linePitch="312" w:charSpace="0"/>
        </w:sectPr>
      </w:pPr>
    </w:p>
    <w:p w14:paraId="1776829D">
      <w:pPr>
        <w:spacing w:line="360" w:lineRule="auto"/>
        <w:ind w:firstLine="482"/>
        <w:jc w:val="left"/>
        <w:outlineLvl w:val="0"/>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附件</w:t>
      </w:r>
      <w:r>
        <w:rPr>
          <w:rFonts w:cs="宋体" w:asciiTheme="minorEastAsia" w:hAnsiTheme="minorEastAsia"/>
          <w:b/>
          <w:color w:val="auto"/>
          <w:sz w:val="24"/>
          <w:highlight w:val="none"/>
        </w:rPr>
        <w:t>2</w:t>
      </w:r>
      <w:r>
        <w:rPr>
          <w:rFonts w:hint="eastAsia" w:cs="宋体" w:asciiTheme="minorEastAsia" w:hAnsiTheme="minorEastAsia"/>
          <w:b/>
          <w:color w:val="auto"/>
          <w:sz w:val="24"/>
          <w:highlight w:val="none"/>
        </w:rPr>
        <w:t>：</w:t>
      </w:r>
    </w:p>
    <w:p w14:paraId="0C56EDF6">
      <w:pPr>
        <w:pStyle w:val="60"/>
        <w:ind w:firstLine="482"/>
        <w:rPr>
          <w:rFonts w:asciiTheme="minorEastAsia" w:hAnsiTheme="minorEastAsia"/>
          <w:bCs/>
          <w:color w:val="auto"/>
          <w:highlight w:val="none"/>
          <w:lang w:val="en-US"/>
        </w:rPr>
      </w:pPr>
    </w:p>
    <w:p w14:paraId="729274F3">
      <w:pPr>
        <w:ind w:firstLine="643"/>
        <w:jc w:val="center"/>
        <w:rPr>
          <w:rFonts w:cs="仿宋_GB2312" w:asciiTheme="minorEastAsia" w:hAnsiTheme="minorEastAsia"/>
          <w:b/>
          <w:bCs/>
          <w:color w:val="auto"/>
          <w:sz w:val="28"/>
          <w:szCs w:val="28"/>
          <w:highlight w:val="none"/>
        </w:rPr>
      </w:pPr>
      <w:r>
        <w:rPr>
          <w:rFonts w:hint="eastAsia" w:cs="方正小标宋简体" w:asciiTheme="minorEastAsia" w:hAnsiTheme="minorEastAsia"/>
          <w:b/>
          <w:bCs/>
          <w:color w:val="auto"/>
          <w:sz w:val="32"/>
          <w:szCs w:val="32"/>
          <w:highlight w:val="none"/>
        </w:rPr>
        <w:t>外包服务机构的网络、数据安全责任及相关处罚条款</w:t>
      </w:r>
    </w:p>
    <w:p w14:paraId="0C7E1986">
      <w:pPr>
        <w:numPr>
          <w:ilvl w:val="255"/>
          <w:numId w:val="0"/>
        </w:numPr>
        <w:spacing w:line="360" w:lineRule="auto"/>
        <w:rPr>
          <w:rFonts w:cs="仿宋_GB2312" w:asciiTheme="minorEastAsia" w:hAnsiTheme="minorEastAsia"/>
          <w:color w:val="auto"/>
          <w:sz w:val="24"/>
          <w:highlight w:val="none"/>
        </w:rPr>
      </w:pPr>
    </w:p>
    <w:p w14:paraId="727F7CA1">
      <w:pPr>
        <w:numPr>
          <w:ilvl w:val="255"/>
          <w:numId w:val="0"/>
        </w:numPr>
        <w:spacing w:line="360" w:lineRule="auto"/>
        <w:ind w:firstLine="560" w:firstLineChars="200"/>
        <w:rPr>
          <w:rFonts w:cs="仿宋_GB2312" w:asciiTheme="minorEastAsia" w:hAnsiTheme="minorEastAsia"/>
          <w:color w:val="auto"/>
          <w:sz w:val="28"/>
          <w:szCs w:val="28"/>
          <w:highlight w:val="none"/>
        </w:rPr>
      </w:pPr>
      <w:r>
        <w:rPr>
          <w:rFonts w:hint="eastAsia" w:cs="仿宋_GB2312" w:asciiTheme="minorEastAsia" w:hAnsiTheme="minorEastAsia"/>
          <w:color w:val="auto"/>
          <w:sz w:val="28"/>
          <w:szCs w:val="28"/>
          <w:highlight w:val="none"/>
        </w:rPr>
        <w:t>一、安全责任（乙方义务）</w:t>
      </w:r>
    </w:p>
    <w:p w14:paraId="1E56E027">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1.</w:t>
      </w:r>
      <w:r>
        <w:rPr>
          <w:rFonts w:hint="eastAsia" w:cs="仿宋_GB2312" w:asciiTheme="minorEastAsia" w:hAnsiTheme="minorEastAsia"/>
          <w:color w:val="auto"/>
          <w:sz w:val="24"/>
          <w:highlight w:val="none"/>
        </w:rPr>
        <w:t>乙方应按照</w:t>
      </w:r>
      <w:r>
        <w:rPr>
          <w:rFonts w:cs="仿宋_GB2312" w:asciiTheme="minorEastAsia" w:hAnsiTheme="minorEastAsia"/>
          <w:color w:val="auto"/>
          <w:sz w:val="24"/>
          <w:highlight w:val="none"/>
        </w:rPr>
        <w:t>《网络安全法</w:t>
      </w:r>
      <w:r>
        <w:rPr>
          <w:rFonts w:hint="eastAsia" w:cs="仿宋_GB2312" w:asciiTheme="minorEastAsia" w:hAnsiTheme="minorEastAsia"/>
          <w:color w:val="auto"/>
          <w:sz w:val="24"/>
          <w:highlight w:val="none"/>
        </w:rPr>
        <w:t>》《数据安全法》的要求，履行网络和数据安全保护义务。</w:t>
      </w:r>
    </w:p>
    <w:p w14:paraId="129F032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2.项目涉及乙方工作人员均需签订《保密承诺书》，且乙方应对项目涉及工作人员进行背景审查。</w:t>
      </w:r>
    </w:p>
    <w:p w14:paraId="37C30880">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3.乙方应当采取技术措施和其他必要措施，确保其网络和数据安全，防止信息泄露、毁损、丢失。在发生或者可能发生信息泄露、毁损、丢失的情况时，应当立即采取补救措施，并在第一时间告知甲方。</w:t>
      </w:r>
    </w:p>
    <w:p w14:paraId="2310773A">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4</w:t>
      </w:r>
      <w:r>
        <w:rPr>
          <w:rFonts w:hint="eastAsia" w:cs="仿宋_GB2312" w:asciiTheme="minorEastAsia" w:hAnsiTheme="minorEastAsia"/>
          <w:color w:val="auto"/>
          <w:sz w:val="24"/>
          <w:highlight w:val="none"/>
        </w:rPr>
        <w:t>.项目中所包含的建设、运营、运维的信息系统、应用、数据库等，开通相关账号、权限必须经过甲方审批允许，乙方不得私开账号、擅自更改权限等。</w:t>
      </w:r>
    </w:p>
    <w:p w14:paraId="3D26C474">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5.乙方应合理使用操作账号，严禁乙方存在多名工作人员共用操作账号的情形，同时操作账号应采用高强度的密码、并定期更新账号密码。</w:t>
      </w:r>
    </w:p>
    <w:p w14:paraId="4D1C983C">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6</w:t>
      </w:r>
      <w:r>
        <w:rPr>
          <w:rFonts w:hint="eastAsia" w:cs="仿宋_GB2312" w:asciiTheme="minorEastAsia" w:hAnsiTheme="minorEastAsia"/>
          <w:color w:val="auto"/>
          <w:sz w:val="24"/>
          <w:highlight w:val="none"/>
        </w:rPr>
        <w:t>.未经甲方允许，乙方不得对项目云资源私开端口，不得利用项目资源进行与该项目无关的工作，不得将政务网和互联网私自打通。</w:t>
      </w:r>
    </w:p>
    <w:p w14:paraId="14559955">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7</w:t>
      </w:r>
      <w:r>
        <w:rPr>
          <w:rFonts w:hint="eastAsia" w:cs="仿宋_GB2312" w:asciiTheme="minorEastAsia" w:hAnsiTheme="minorEastAsia"/>
          <w:color w:val="auto"/>
          <w:sz w:val="24"/>
          <w:highlight w:val="none"/>
        </w:rPr>
        <w:t>.乙方应严格按照要求使用、处理、交换、共享数据资源。做好数据落地相应的数据保护工作，严格执行数据安全技术标准和安全管理措施，避免相关数据出现泄露、窃取、篡改的风险。</w:t>
      </w:r>
    </w:p>
    <w:p w14:paraId="24D77B0D">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8</w:t>
      </w:r>
      <w:r>
        <w:rPr>
          <w:rFonts w:hint="eastAsia" w:cs="仿宋_GB2312" w:asciiTheme="minorEastAsia" w:hAnsiTheme="minorEastAsia"/>
          <w:color w:val="auto"/>
          <w:sz w:val="24"/>
          <w:highlight w:val="none"/>
        </w:rPr>
        <w:t>.乙方应认真组织开展各项数据处理活动，查找项目数据安全隐患和漏洞，对薄弱环节和潜在威胁采取有力措施进行整改，避免和消除数据安全风险，履行数据安全保护义务。</w:t>
      </w:r>
    </w:p>
    <w:p w14:paraId="19B6FB71">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9</w:t>
      </w:r>
      <w:r>
        <w:rPr>
          <w:rFonts w:hint="eastAsia" w:cs="仿宋_GB2312" w:asciiTheme="minorEastAsia" w:hAnsiTheme="minorEastAsia"/>
          <w:color w:val="auto"/>
          <w:sz w:val="24"/>
          <w:highlight w:val="none"/>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788489C2">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w:t>
      </w:r>
      <w:r>
        <w:rPr>
          <w:rFonts w:cs="仿宋_GB2312" w:asciiTheme="minorEastAsia" w:hAnsiTheme="minorEastAsia"/>
          <w:color w:val="auto"/>
          <w:sz w:val="24"/>
          <w:highlight w:val="none"/>
        </w:rPr>
        <w:t>0</w:t>
      </w:r>
      <w:r>
        <w:rPr>
          <w:rFonts w:hint="eastAsia" w:cs="仿宋_GB2312" w:asciiTheme="minorEastAsia" w:hAnsiTheme="minorEastAsia"/>
          <w:color w:val="auto"/>
          <w:sz w:val="24"/>
          <w:highlight w:val="none"/>
        </w:rPr>
        <w:t>.乙方应及时响应、处置甲方布置的安全工作，对其主管的系统、组件、云资源等所属安全事件、隐患及时阻断、排查、处置、溯源（包括但不限于攻防演练等相关活动中发现的）。</w:t>
      </w:r>
    </w:p>
    <w:p w14:paraId="4B568720">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w:t>
      </w:r>
      <w:r>
        <w:rPr>
          <w:rFonts w:cs="仿宋_GB2312" w:asciiTheme="minorEastAsia" w:hAnsiTheme="minorEastAsia"/>
          <w:color w:val="auto"/>
          <w:sz w:val="24"/>
          <w:highlight w:val="none"/>
        </w:rPr>
        <w:t>1.</w:t>
      </w:r>
      <w:r>
        <w:rPr>
          <w:rFonts w:hint="eastAsia" w:cs="仿宋_GB2312" w:asciiTheme="minorEastAsia" w:hAnsiTheme="minorEastAsia"/>
          <w:color w:val="auto"/>
          <w:sz w:val="24"/>
          <w:highlight w:val="none"/>
        </w:rPr>
        <w:t>项目中所建设的系统、提供的基础设施服务等，乙方应无偿提供操作、告警等安全日志以及资产清单，并且按照规范要求实现与甲方审计平台实现对接，并且提供相关解析服务（如日志字典等）供甲方进行安全审计。</w:t>
      </w:r>
    </w:p>
    <w:p w14:paraId="2D721C48">
      <w:pPr>
        <w:spacing w:line="360" w:lineRule="auto"/>
        <w:ind w:firstLine="480" w:firstLineChars="200"/>
        <w:rPr>
          <w:rFonts w:cs="仿宋_GB2312" w:asciiTheme="minorEastAsia" w:hAnsiTheme="minorEastAsia"/>
          <w:color w:val="auto"/>
          <w:sz w:val="28"/>
          <w:szCs w:val="28"/>
          <w:highlight w:val="none"/>
        </w:rPr>
      </w:pPr>
      <w:r>
        <w:rPr>
          <w:rFonts w:hint="eastAsia" w:cs="仿宋_GB2312" w:asciiTheme="minorEastAsia" w:hAnsiTheme="minorEastAsia"/>
          <w:color w:val="auto"/>
          <w:sz w:val="24"/>
          <w:highlight w:val="none"/>
        </w:rPr>
        <w:t>1</w:t>
      </w:r>
      <w:r>
        <w:rPr>
          <w:rFonts w:cs="仿宋_GB2312" w:asciiTheme="minorEastAsia" w:hAnsiTheme="minorEastAsia"/>
          <w:color w:val="auto"/>
          <w:sz w:val="24"/>
          <w:highlight w:val="none"/>
        </w:rPr>
        <w:t>2</w:t>
      </w:r>
      <w:r>
        <w:rPr>
          <w:rFonts w:hint="eastAsia" w:cs="仿宋_GB2312" w:asciiTheme="minorEastAsia" w:hAnsiTheme="minorEastAsia"/>
          <w:color w:val="auto"/>
          <w:sz w:val="24"/>
          <w:highlight w:val="none"/>
        </w:rPr>
        <w:t>.乙方派驻的驻场人员应按照甲方要求进行入场、离场等手续，并且遵守甲方劳动、工作纪律，按照甲方要求的工作时间进行出勤。</w:t>
      </w:r>
    </w:p>
    <w:p w14:paraId="4D2FB1CF">
      <w:pPr>
        <w:spacing w:line="360" w:lineRule="auto"/>
        <w:ind w:firstLine="560" w:firstLineChars="200"/>
        <w:rPr>
          <w:rFonts w:asciiTheme="minorEastAsia" w:hAnsiTheme="minorEastAsia"/>
          <w:color w:val="auto"/>
          <w:highlight w:val="none"/>
        </w:rPr>
      </w:pPr>
      <w:r>
        <w:rPr>
          <w:rFonts w:hint="eastAsia" w:cs="仿宋_GB2312" w:asciiTheme="minorEastAsia" w:hAnsiTheme="minorEastAsia"/>
          <w:color w:val="auto"/>
          <w:sz w:val="28"/>
          <w:szCs w:val="28"/>
          <w:highlight w:val="none"/>
        </w:rPr>
        <w:t>二、安全部分处罚条款</w:t>
      </w:r>
    </w:p>
    <w:p w14:paraId="2E5D54DC">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1.由于乙方原因，受到国家级安全问题通报的</w:t>
      </w:r>
      <w:r>
        <w:rPr>
          <w:rFonts w:cs="仿宋_GB2312" w:asciiTheme="minorEastAsia" w:hAnsiTheme="minorEastAsia"/>
          <w:color w:val="auto"/>
          <w:sz w:val="24"/>
          <w:highlight w:val="none"/>
        </w:rPr>
        <w:t>、或造成</w:t>
      </w:r>
      <w:r>
        <w:rPr>
          <w:rFonts w:hint="eastAsia" w:cs="仿宋_GB2312" w:asciiTheme="minorEastAsia" w:hAnsiTheme="minorEastAsia"/>
          <w:color w:val="auto"/>
          <w:sz w:val="24"/>
          <w:highlight w:val="none"/>
        </w:rPr>
        <w:t>特别重大事故</w:t>
      </w:r>
      <w:r>
        <w:rPr>
          <w:rFonts w:cs="仿宋_GB2312" w:asciiTheme="minorEastAsia" w:hAnsiTheme="minorEastAsia"/>
          <w:color w:val="auto"/>
          <w:sz w:val="24"/>
          <w:highlight w:val="none"/>
        </w:rPr>
        <w:t>的</w:t>
      </w:r>
      <w:r>
        <w:rPr>
          <w:rFonts w:hint="eastAsia" w:cs="仿宋_GB2312" w:asciiTheme="minorEastAsia" w:hAnsiTheme="minorEastAsia"/>
          <w:color w:val="auto"/>
          <w:sz w:val="24"/>
          <w:highlight w:val="none"/>
        </w:rPr>
        <w:t>，出现</w:t>
      </w:r>
      <w:r>
        <w:rPr>
          <w:rFonts w:cs="仿宋_GB2312" w:asciiTheme="minorEastAsia" w:hAnsiTheme="minorEastAsia"/>
          <w:color w:val="auto"/>
          <w:sz w:val="24"/>
          <w:highlight w:val="none"/>
        </w:rPr>
        <w:t>1次，每次扣除履约保证</w:t>
      </w:r>
      <w:r>
        <w:rPr>
          <w:rFonts w:hint="eastAsia" w:cs="仿宋_GB2312" w:asciiTheme="minorEastAsia" w:hAnsiTheme="minorEastAsia"/>
          <w:color w:val="auto"/>
          <w:sz w:val="24"/>
          <w:highlight w:val="none"/>
        </w:rPr>
        <w:t>金的</w:t>
      </w:r>
      <w:r>
        <w:rPr>
          <w:rFonts w:cs="仿宋_GB2312" w:asciiTheme="minorEastAsia" w:hAnsiTheme="minorEastAsia"/>
          <w:color w:val="auto"/>
          <w:sz w:val="24"/>
          <w:highlight w:val="none"/>
        </w:rPr>
        <w:t>20%</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每次金额不超过20万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7330A00B">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2.由于乙方原因，受到省级安全问题通报的</w:t>
      </w:r>
      <w:r>
        <w:rPr>
          <w:rFonts w:cs="仿宋_GB2312" w:asciiTheme="minorEastAsia" w:hAnsiTheme="minorEastAsia"/>
          <w:color w:val="auto"/>
          <w:sz w:val="24"/>
          <w:highlight w:val="none"/>
        </w:rPr>
        <w:t>、或造成重大事故的</w:t>
      </w:r>
      <w:r>
        <w:rPr>
          <w:rFonts w:hint="eastAsia" w:cs="仿宋_GB2312" w:asciiTheme="minorEastAsia" w:hAnsiTheme="minorEastAsia"/>
          <w:color w:val="auto"/>
          <w:sz w:val="24"/>
          <w:highlight w:val="none"/>
        </w:rPr>
        <w:t>，出现</w:t>
      </w:r>
      <w:r>
        <w:rPr>
          <w:rFonts w:cs="仿宋_GB2312" w:asciiTheme="minorEastAsia" w:hAnsiTheme="minorEastAsia"/>
          <w:color w:val="auto"/>
          <w:sz w:val="24"/>
          <w:highlight w:val="none"/>
        </w:rPr>
        <w:t>1次，每次扣除履约保证</w:t>
      </w:r>
      <w:r>
        <w:rPr>
          <w:rFonts w:hint="eastAsia" w:cs="仿宋_GB2312" w:asciiTheme="minorEastAsia" w:hAnsiTheme="minorEastAsia"/>
          <w:color w:val="auto"/>
          <w:sz w:val="24"/>
          <w:highlight w:val="none"/>
        </w:rPr>
        <w:t>金的</w:t>
      </w:r>
      <w:r>
        <w:rPr>
          <w:rFonts w:cs="仿宋_GB2312" w:asciiTheme="minorEastAsia" w:hAnsiTheme="minorEastAsia"/>
          <w:color w:val="auto"/>
          <w:sz w:val="24"/>
          <w:highlight w:val="none"/>
        </w:rPr>
        <w:t>10%</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每次金额不超过10万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7CAC80F5">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3.由于乙方原因，受到市级安全问题通报的</w:t>
      </w:r>
      <w:r>
        <w:rPr>
          <w:rFonts w:cs="仿宋_GB2312" w:asciiTheme="minorEastAsia" w:hAnsiTheme="minorEastAsia"/>
          <w:color w:val="auto"/>
          <w:sz w:val="24"/>
          <w:highlight w:val="none"/>
        </w:rPr>
        <w:t>、或造成较大事故（一般事故）的</w:t>
      </w:r>
      <w:r>
        <w:rPr>
          <w:rFonts w:hint="eastAsia" w:cs="仿宋_GB2312" w:asciiTheme="minorEastAsia" w:hAnsiTheme="minorEastAsia"/>
          <w:color w:val="auto"/>
          <w:sz w:val="24"/>
          <w:highlight w:val="none"/>
        </w:rPr>
        <w:t>，出现</w:t>
      </w:r>
      <w:r>
        <w:rPr>
          <w:rFonts w:cs="仿宋_GB2312" w:asciiTheme="minorEastAsia" w:hAnsiTheme="minorEastAsia"/>
          <w:color w:val="auto"/>
          <w:sz w:val="24"/>
          <w:highlight w:val="none"/>
        </w:rPr>
        <w:t>1次，每次扣除履约保证</w:t>
      </w:r>
      <w:r>
        <w:rPr>
          <w:rFonts w:hint="eastAsia" w:cs="仿宋_GB2312" w:asciiTheme="minorEastAsia" w:hAnsiTheme="minorEastAsia"/>
          <w:color w:val="auto"/>
          <w:sz w:val="24"/>
          <w:highlight w:val="none"/>
        </w:rPr>
        <w:t>金</w:t>
      </w:r>
      <w:r>
        <w:rPr>
          <w:rFonts w:cs="仿宋_GB2312" w:asciiTheme="minorEastAsia" w:hAnsiTheme="minorEastAsia"/>
          <w:color w:val="auto"/>
          <w:sz w:val="24"/>
          <w:highlight w:val="none"/>
        </w:rPr>
        <w:t>的5%</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每次金额不超过5万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48368531">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4</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乙方不及时处置所属安全事件、隐患的，出现1次，</w:t>
      </w:r>
      <w:r>
        <w:rPr>
          <w:rFonts w:cs="仿宋_GB2312" w:asciiTheme="minorEastAsia" w:hAnsiTheme="minorEastAsia"/>
          <w:color w:val="auto"/>
          <w:sz w:val="24"/>
          <w:highlight w:val="none"/>
        </w:rPr>
        <w:t>每次扣除履约保证</w:t>
      </w:r>
      <w:r>
        <w:rPr>
          <w:rFonts w:hint="eastAsia" w:cs="仿宋_GB2312" w:asciiTheme="minorEastAsia" w:hAnsiTheme="minorEastAsia"/>
          <w:color w:val="auto"/>
          <w:sz w:val="24"/>
          <w:highlight w:val="none"/>
        </w:rPr>
        <w:t>金</w:t>
      </w:r>
      <w:r>
        <w:rPr>
          <w:rFonts w:cs="仿宋_GB2312" w:asciiTheme="minorEastAsia" w:hAnsiTheme="minorEastAsia"/>
          <w:color w:val="auto"/>
          <w:sz w:val="24"/>
          <w:highlight w:val="none"/>
        </w:rPr>
        <w:t>的5%</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每次金额不超过5万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2BBC392B">
      <w:pPr>
        <w:numPr>
          <w:ilvl w:val="255"/>
          <w:numId w:val="0"/>
        </w:num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5</w:t>
      </w:r>
      <w:r>
        <w:rPr>
          <w:rFonts w:hint="eastAsia" w:cs="仿宋_GB2312" w:asciiTheme="minorEastAsia" w:hAnsiTheme="minorEastAsia"/>
          <w:color w:val="auto"/>
          <w:sz w:val="24"/>
          <w:highlight w:val="none"/>
        </w:rPr>
        <w:t>.乙方所主管的系统、云资源等账号出现弱口令的（强口令需</w:t>
      </w:r>
      <w:r>
        <w:rPr>
          <w:rFonts w:cs="仿宋_GB2312" w:asciiTheme="minorEastAsia" w:hAnsiTheme="minorEastAsia"/>
          <w:color w:val="auto"/>
          <w:sz w:val="24"/>
          <w:highlight w:val="none"/>
        </w:rPr>
        <w:t>至少</w:t>
      </w:r>
      <w:r>
        <w:rPr>
          <w:rFonts w:hint="eastAsia" w:cs="仿宋_GB2312" w:asciiTheme="minorEastAsia" w:hAnsiTheme="minorEastAsia"/>
          <w:color w:val="auto"/>
          <w:sz w:val="24"/>
          <w:highlight w:val="none"/>
        </w:rPr>
        <w:t>包含数字、大小写字母、特殊字符等，且无明显规律），出现1次，</w:t>
      </w:r>
      <w:r>
        <w:rPr>
          <w:rFonts w:cs="仿宋_GB2312" w:asciiTheme="minorEastAsia" w:hAnsiTheme="minorEastAsia"/>
          <w:color w:val="auto"/>
          <w:sz w:val="24"/>
          <w:highlight w:val="none"/>
        </w:rPr>
        <w:t>每次扣除履约保证</w:t>
      </w:r>
      <w:r>
        <w:rPr>
          <w:rFonts w:hint="eastAsia" w:cs="仿宋_GB2312" w:asciiTheme="minorEastAsia" w:hAnsiTheme="minorEastAsia"/>
          <w:color w:val="auto"/>
          <w:sz w:val="24"/>
          <w:highlight w:val="none"/>
        </w:rPr>
        <w:t>金</w:t>
      </w:r>
      <w:r>
        <w:rPr>
          <w:rFonts w:cs="仿宋_GB2312" w:asciiTheme="minorEastAsia" w:hAnsiTheme="minorEastAsia"/>
          <w:color w:val="auto"/>
          <w:sz w:val="24"/>
          <w:highlight w:val="none"/>
        </w:rPr>
        <w:t>的2%</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每次金额不超过2万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4C901220">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6</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乙方未按照甲方相关要求办理入场、离场手续的，出现1次，</w:t>
      </w:r>
      <w:r>
        <w:rPr>
          <w:rFonts w:cs="仿宋_GB2312" w:asciiTheme="minorEastAsia" w:hAnsiTheme="minorEastAsia"/>
          <w:color w:val="auto"/>
          <w:sz w:val="24"/>
          <w:highlight w:val="none"/>
        </w:rPr>
        <w:t>每次扣除履约保证</w:t>
      </w:r>
      <w:r>
        <w:rPr>
          <w:rFonts w:hint="eastAsia" w:cs="仿宋_GB2312" w:asciiTheme="minorEastAsia" w:hAnsiTheme="minorEastAsia"/>
          <w:color w:val="auto"/>
          <w:sz w:val="24"/>
          <w:highlight w:val="none"/>
        </w:rPr>
        <w:t>金</w:t>
      </w:r>
      <w:r>
        <w:rPr>
          <w:rFonts w:cs="仿宋_GB2312" w:asciiTheme="minorEastAsia" w:hAnsiTheme="minorEastAsia"/>
          <w:color w:val="auto"/>
          <w:sz w:val="24"/>
          <w:highlight w:val="none"/>
        </w:rPr>
        <w:t>的1%</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每次金额不超过1万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715C994F">
      <w:pPr>
        <w:numPr>
          <w:ilvl w:val="255"/>
          <w:numId w:val="0"/>
        </w:num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7</w:t>
      </w:r>
      <w:r>
        <w:rPr>
          <w:rFonts w:hint="eastAsia" w:cs="仿宋_GB2312" w:asciiTheme="minorEastAsia" w:hAnsiTheme="minorEastAsia"/>
          <w:color w:val="auto"/>
          <w:sz w:val="24"/>
          <w:highlight w:val="none"/>
        </w:rPr>
        <w:t>．乙方派驻的驻场人员未按照甲方工作要求进行出勤的，每出现1人次扣除</w:t>
      </w:r>
      <w:r>
        <w:rPr>
          <w:rFonts w:cs="仿宋_GB2312" w:asciiTheme="minorEastAsia" w:hAnsiTheme="minorEastAsia"/>
          <w:color w:val="auto"/>
          <w:sz w:val="24"/>
          <w:highlight w:val="none"/>
        </w:rPr>
        <w:t>500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 xml:space="preserve"> </w:t>
      </w:r>
    </w:p>
    <w:p w14:paraId="0805B3CA">
      <w:pPr>
        <w:numPr>
          <w:ilvl w:val="255"/>
          <w:numId w:val="0"/>
        </w:num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8.</w:t>
      </w:r>
      <w:r>
        <w:rPr>
          <w:rFonts w:hint="eastAsia" w:cs="仿宋_GB2312" w:asciiTheme="minorEastAsia" w:hAnsiTheme="minorEastAsia"/>
          <w:color w:val="auto"/>
          <w:sz w:val="24"/>
          <w:highlight w:val="none"/>
        </w:rPr>
        <w:t>若乙方所提供的操作记录、安全日志等不完整、存在缺失的，每发现一次，扣除1万元。</w:t>
      </w:r>
    </w:p>
    <w:p w14:paraId="2D12CE4A">
      <w:pPr>
        <w:spacing w:line="360" w:lineRule="auto"/>
        <w:ind w:firstLine="480" w:firstLineChars="200"/>
        <w:rPr>
          <w:rFonts w:cs="宋体" w:asciiTheme="minorEastAsia" w:hAnsiTheme="minorEastAsia"/>
          <w:color w:val="auto"/>
          <w:sz w:val="24"/>
          <w:highlight w:val="none"/>
        </w:rPr>
      </w:pPr>
      <w:r>
        <w:rPr>
          <w:rFonts w:hint="eastAsia" w:cs="仿宋_GB2312" w:asciiTheme="minorEastAsia" w:hAnsiTheme="minorEastAsia"/>
          <w:color w:val="auto"/>
          <w:sz w:val="24"/>
          <w:highlight w:val="none"/>
        </w:rPr>
        <w:t>9.乙方不得擅自将项目中涉及的数据拷贝、转移出指定数据区域外进行开发、调试等，包括不限于乙方公司、第三方公司的服务器等，每出现一次，从合同金额扣除5万元。</w:t>
      </w:r>
    </w:p>
    <w:p w14:paraId="7A1BD1E7">
      <w:pPr>
        <w:spacing w:line="360" w:lineRule="auto"/>
        <w:ind w:left="-420" w:leftChars="-200" w:right="-420" w:rightChars="-200" w:firstLine="480" w:firstLineChars="200"/>
        <w:rPr>
          <w:rFonts w:ascii="宋体" w:hAnsi="宋体" w:cs="宋体"/>
          <w:color w:val="auto"/>
          <w:sz w:val="24"/>
          <w:highlight w:val="none"/>
        </w:rPr>
      </w:pPr>
    </w:p>
    <w:p w14:paraId="7B61F020">
      <w:pPr>
        <w:spacing w:line="360" w:lineRule="auto"/>
        <w:ind w:left="-420" w:leftChars="-200" w:right="-420" w:rightChars="-200" w:firstLine="480" w:firstLineChars="200"/>
        <w:jc w:val="center"/>
        <w:outlineLvl w:val="0"/>
        <w:rPr>
          <w:rFonts w:ascii="宋体" w:hAnsi="宋体" w:cs="宋体"/>
          <w:color w:val="auto"/>
          <w:sz w:val="24"/>
          <w:highlight w:val="none"/>
        </w:rPr>
      </w:pPr>
    </w:p>
    <w:p w14:paraId="4047DA30">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1C3873F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06AFBC3">
      <w:pPr>
        <w:spacing w:line="360" w:lineRule="auto"/>
        <w:jc w:val="center"/>
        <w:outlineLvl w:val="0"/>
        <w:rPr>
          <w:rFonts w:ascii="宋体" w:hAnsi="宋体" w:cs="宋体"/>
          <w:b/>
          <w:color w:val="auto"/>
          <w:kern w:val="0"/>
          <w:sz w:val="36"/>
          <w:szCs w:val="36"/>
          <w:highlight w:val="none"/>
        </w:rPr>
      </w:pPr>
    </w:p>
    <w:p w14:paraId="3BC292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7909CF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FFB087">
      <w:pPr>
        <w:spacing w:line="360" w:lineRule="auto"/>
        <w:jc w:val="center"/>
        <w:outlineLvl w:val="0"/>
        <w:rPr>
          <w:rFonts w:ascii="宋体" w:hAnsi="宋体" w:cs="宋体"/>
          <w:b/>
          <w:color w:val="auto"/>
          <w:kern w:val="0"/>
          <w:sz w:val="36"/>
          <w:szCs w:val="36"/>
          <w:highlight w:val="none"/>
        </w:rPr>
      </w:pPr>
    </w:p>
    <w:p w14:paraId="2D85FB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6FB04D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41738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C817C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0143B13">
      <w:pPr>
        <w:snapToGrid w:val="0"/>
        <w:spacing w:line="360" w:lineRule="auto"/>
        <w:ind w:firstLine="480" w:firstLineChars="200"/>
        <w:rPr>
          <w:rFonts w:ascii="宋体" w:hAnsi="宋体" w:cs="宋体"/>
          <w:color w:val="auto"/>
          <w:sz w:val="24"/>
          <w:highlight w:val="none"/>
        </w:rPr>
      </w:pPr>
    </w:p>
    <w:p w14:paraId="411F8FF8">
      <w:pPr>
        <w:spacing w:line="360" w:lineRule="auto"/>
        <w:ind w:firstLine="480" w:firstLineChars="200"/>
        <w:rPr>
          <w:rFonts w:ascii="宋体" w:hAnsi="宋体" w:cs="宋体"/>
          <w:color w:val="auto"/>
          <w:sz w:val="24"/>
          <w:highlight w:val="none"/>
        </w:rPr>
      </w:pPr>
    </w:p>
    <w:p w14:paraId="6A08070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4FC07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杭州市发展和改革委员会（杭州市对口支援和区域合作局）、浙江天辰工程咨询有限公司：</w:t>
      </w:r>
    </w:p>
    <w:p w14:paraId="69B8CE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我方参与市发改委2025年深化信创项目-标项一（“数智发改”主平台、OA系统迁移及六统一集成）【招标编号：TCZX-ZFCG(F)-2025009】政府采购活动，郑重承诺：</w:t>
      </w:r>
    </w:p>
    <w:p w14:paraId="0E13F7A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86F98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1A1DE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ADF5D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8A515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80DD8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74DF1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7545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E8FF8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76D7B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99590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451A1D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0582B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7A0C48C">
      <w:pPr>
        <w:snapToGrid w:val="0"/>
        <w:spacing w:line="360" w:lineRule="auto"/>
        <w:ind w:right="480"/>
        <w:jc w:val="center"/>
        <w:rPr>
          <w:rFonts w:ascii="宋体" w:hAnsi="宋体" w:cs="宋体"/>
          <w:b/>
          <w:color w:val="auto"/>
          <w:kern w:val="0"/>
          <w:sz w:val="32"/>
          <w:szCs w:val="32"/>
          <w:highlight w:val="none"/>
        </w:rPr>
      </w:pPr>
    </w:p>
    <w:p w14:paraId="48CEE067">
      <w:pPr>
        <w:snapToGrid w:val="0"/>
        <w:spacing w:line="360" w:lineRule="auto"/>
        <w:ind w:right="480"/>
        <w:jc w:val="center"/>
        <w:rPr>
          <w:rFonts w:ascii="宋体" w:hAnsi="宋体" w:cs="宋体"/>
          <w:b/>
          <w:color w:val="auto"/>
          <w:kern w:val="0"/>
          <w:sz w:val="32"/>
          <w:szCs w:val="32"/>
          <w:highlight w:val="none"/>
        </w:rPr>
      </w:pPr>
    </w:p>
    <w:p w14:paraId="136E3FF7">
      <w:pPr>
        <w:snapToGrid w:val="0"/>
        <w:spacing w:line="360" w:lineRule="auto"/>
        <w:ind w:right="480"/>
        <w:jc w:val="center"/>
        <w:rPr>
          <w:rFonts w:ascii="宋体" w:hAnsi="宋体" w:cs="宋体"/>
          <w:b/>
          <w:color w:val="auto"/>
          <w:kern w:val="0"/>
          <w:sz w:val="32"/>
          <w:szCs w:val="32"/>
          <w:highlight w:val="none"/>
        </w:rPr>
      </w:pPr>
    </w:p>
    <w:p w14:paraId="37389726">
      <w:pPr>
        <w:rPr>
          <w:rFonts w:ascii="宋体" w:hAnsi="宋体" w:cs="宋体"/>
          <w:color w:val="auto"/>
          <w:highlight w:val="none"/>
        </w:rPr>
      </w:pPr>
    </w:p>
    <w:p w14:paraId="702C5F8D">
      <w:pPr>
        <w:snapToGrid w:val="0"/>
        <w:spacing w:line="360" w:lineRule="auto"/>
        <w:ind w:right="480"/>
        <w:jc w:val="center"/>
        <w:rPr>
          <w:rFonts w:ascii="宋体" w:hAnsi="宋体" w:cs="宋体"/>
          <w:b/>
          <w:color w:val="auto"/>
          <w:kern w:val="0"/>
          <w:sz w:val="32"/>
          <w:szCs w:val="32"/>
          <w:highlight w:val="none"/>
        </w:rPr>
      </w:pPr>
    </w:p>
    <w:p w14:paraId="0D1CC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431BF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76A031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E1A922B">
      <w:pPr>
        <w:snapToGrid w:val="0"/>
        <w:spacing w:line="360" w:lineRule="auto"/>
        <w:ind w:right="480"/>
        <w:jc w:val="center"/>
        <w:rPr>
          <w:rFonts w:ascii="宋体" w:hAnsi="宋体" w:cs="宋体"/>
          <w:b/>
          <w:color w:val="auto"/>
          <w:kern w:val="0"/>
          <w:sz w:val="32"/>
          <w:szCs w:val="32"/>
          <w:highlight w:val="none"/>
        </w:rPr>
      </w:pPr>
    </w:p>
    <w:p w14:paraId="1AE4DECF">
      <w:pPr>
        <w:snapToGrid w:val="0"/>
        <w:spacing w:line="360" w:lineRule="auto"/>
        <w:ind w:right="480"/>
        <w:jc w:val="center"/>
        <w:rPr>
          <w:rFonts w:ascii="宋体" w:hAnsi="宋体" w:cs="宋体"/>
          <w:b/>
          <w:color w:val="auto"/>
          <w:kern w:val="0"/>
          <w:sz w:val="32"/>
          <w:szCs w:val="32"/>
          <w:highlight w:val="none"/>
        </w:rPr>
      </w:pPr>
    </w:p>
    <w:p w14:paraId="4E64D0D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61D4E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2ADAE4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AE168B2">
      <w:pPr>
        <w:widowControl/>
        <w:spacing w:line="360" w:lineRule="auto"/>
        <w:ind w:firstLine="480"/>
        <w:jc w:val="left"/>
        <w:rPr>
          <w:rFonts w:ascii="宋体" w:hAnsi="宋体" w:cs="宋体"/>
          <w:color w:val="auto"/>
          <w:sz w:val="24"/>
          <w:highlight w:val="none"/>
        </w:rPr>
      </w:pPr>
    </w:p>
    <w:p w14:paraId="682DDF6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2DE8F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1B327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B12EF2E">
      <w:pPr>
        <w:widowControl/>
        <w:spacing w:line="360" w:lineRule="auto"/>
        <w:ind w:left="150"/>
        <w:jc w:val="center"/>
        <w:rPr>
          <w:rFonts w:ascii="宋体" w:hAnsi="宋体" w:cs="宋体"/>
          <w:b/>
          <w:color w:val="auto"/>
          <w:kern w:val="0"/>
          <w:sz w:val="32"/>
          <w:szCs w:val="32"/>
          <w:highlight w:val="none"/>
        </w:rPr>
      </w:pPr>
    </w:p>
    <w:p w14:paraId="168505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17270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C55B9EA">
      <w:pPr>
        <w:rPr>
          <w:rFonts w:ascii="宋体" w:hAnsi="宋体" w:cs="宋体"/>
          <w:color w:val="auto"/>
          <w:highlight w:val="none"/>
        </w:rPr>
      </w:pPr>
    </w:p>
    <w:p w14:paraId="573F49A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076204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05FD388">
      <w:pPr>
        <w:spacing w:line="360" w:lineRule="auto"/>
        <w:jc w:val="center"/>
        <w:outlineLvl w:val="0"/>
        <w:rPr>
          <w:rFonts w:ascii="宋体" w:hAnsi="宋体" w:cs="宋体"/>
          <w:b/>
          <w:color w:val="auto"/>
          <w:kern w:val="0"/>
          <w:sz w:val="24"/>
          <w:highlight w:val="none"/>
        </w:rPr>
      </w:pPr>
    </w:p>
    <w:p w14:paraId="5C6F914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6AB42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D5A578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1C944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88A8E8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519D7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8CC3E45">
      <w:pPr>
        <w:snapToGrid w:val="0"/>
        <w:spacing w:line="360" w:lineRule="auto"/>
        <w:jc w:val="center"/>
        <w:rPr>
          <w:rFonts w:ascii="宋体" w:hAnsi="宋体" w:cs="宋体"/>
          <w:b/>
          <w:color w:val="auto"/>
          <w:kern w:val="0"/>
          <w:sz w:val="32"/>
          <w:szCs w:val="32"/>
          <w:highlight w:val="none"/>
          <w:lang w:val="zh-CN"/>
        </w:rPr>
      </w:pPr>
    </w:p>
    <w:p w14:paraId="65D7BF63">
      <w:pPr>
        <w:snapToGrid w:val="0"/>
        <w:spacing w:line="360" w:lineRule="auto"/>
        <w:jc w:val="center"/>
        <w:rPr>
          <w:rFonts w:ascii="宋体" w:hAnsi="宋体" w:cs="宋体"/>
          <w:b/>
          <w:color w:val="auto"/>
          <w:kern w:val="0"/>
          <w:sz w:val="32"/>
          <w:szCs w:val="32"/>
          <w:highlight w:val="none"/>
          <w:lang w:val="zh-CN"/>
        </w:rPr>
      </w:pPr>
    </w:p>
    <w:p w14:paraId="5F23B70F">
      <w:pPr>
        <w:snapToGrid w:val="0"/>
        <w:spacing w:line="360" w:lineRule="auto"/>
        <w:jc w:val="center"/>
        <w:rPr>
          <w:rFonts w:ascii="宋体" w:hAnsi="宋体" w:cs="宋体"/>
          <w:b/>
          <w:color w:val="auto"/>
          <w:kern w:val="0"/>
          <w:sz w:val="32"/>
          <w:szCs w:val="32"/>
          <w:highlight w:val="none"/>
          <w:lang w:val="zh-CN"/>
        </w:rPr>
      </w:pPr>
    </w:p>
    <w:p w14:paraId="019F288C">
      <w:pPr>
        <w:snapToGrid w:val="0"/>
        <w:spacing w:line="360" w:lineRule="auto"/>
        <w:jc w:val="center"/>
        <w:rPr>
          <w:rFonts w:ascii="宋体" w:hAnsi="宋体" w:cs="宋体"/>
          <w:b/>
          <w:color w:val="auto"/>
          <w:kern w:val="0"/>
          <w:sz w:val="32"/>
          <w:szCs w:val="32"/>
          <w:highlight w:val="none"/>
          <w:lang w:val="zh-CN"/>
        </w:rPr>
      </w:pPr>
    </w:p>
    <w:p w14:paraId="57D7A4E0">
      <w:pPr>
        <w:snapToGrid w:val="0"/>
        <w:spacing w:line="360" w:lineRule="auto"/>
        <w:jc w:val="center"/>
        <w:rPr>
          <w:rFonts w:ascii="宋体" w:hAnsi="宋体" w:cs="宋体"/>
          <w:b/>
          <w:color w:val="auto"/>
          <w:kern w:val="0"/>
          <w:sz w:val="32"/>
          <w:szCs w:val="32"/>
          <w:highlight w:val="none"/>
          <w:lang w:val="zh-CN"/>
        </w:rPr>
      </w:pPr>
    </w:p>
    <w:p w14:paraId="18226B36">
      <w:pPr>
        <w:snapToGrid w:val="0"/>
        <w:spacing w:line="360" w:lineRule="auto"/>
        <w:jc w:val="center"/>
        <w:rPr>
          <w:rFonts w:ascii="宋体" w:hAnsi="宋体" w:cs="宋体"/>
          <w:b/>
          <w:color w:val="auto"/>
          <w:kern w:val="0"/>
          <w:sz w:val="32"/>
          <w:szCs w:val="32"/>
          <w:highlight w:val="none"/>
          <w:lang w:val="zh-CN"/>
        </w:rPr>
      </w:pPr>
    </w:p>
    <w:p w14:paraId="501659FF">
      <w:pPr>
        <w:snapToGrid w:val="0"/>
        <w:spacing w:line="360" w:lineRule="auto"/>
        <w:jc w:val="center"/>
        <w:rPr>
          <w:rFonts w:ascii="宋体" w:hAnsi="宋体" w:cs="宋体"/>
          <w:b/>
          <w:color w:val="auto"/>
          <w:kern w:val="0"/>
          <w:sz w:val="32"/>
          <w:szCs w:val="32"/>
          <w:highlight w:val="none"/>
          <w:lang w:val="zh-CN"/>
        </w:rPr>
      </w:pPr>
    </w:p>
    <w:p w14:paraId="5F8379EC">
      <w:pPr>
        <w:snapToGrid w:val="0"/>
        <w:spacing w:line="360" w:lineRule="auto"/>
        <w:jc w:val="center"/>
        <w:rPr>
          <w:rFonts w:ascii="宋体" w:hAnsi="宋体" w:cs="宋体"/>
          <w:b/>
          <w:color w:val="auto"/>
          <w:kern w:val="0"/>
          <w:sz w:val="32"/>
          <w:szCs w:val="32"/>
          <w:highlight w:val="none"/>
          <w:lang w:val="zh-CN"/>
        </w:rPr>
      </w:pPr>
    </w:p>
    <w:p w14:paraId="494DD340">
      <w:pPr>
        <w:snapToGrid w:val="0"/>
        <w:spacing w:line="360" w:lineRule="auto"/>
        <w:jc w:val="center"/>
        <w:rPr>
          <w:rFonts w:ascii="宋体" w:hAnsi="宋体" w:cs="宋体"/>
          <w:b/>
          <w:color w:val="auto"/>
          <w:kern w:val="0"/>
          <w:sz w:val="32"/>
          <w:szCs w:val="32"/>
          <w:highlight w:val="none"/>
          <w:lang w:val="zh-CN"/>
        </w:rPr>
      </w:pPr>
    </w:p>
    <w:p w14:paraId="150E6DC5">
      <w:pPr>
        <w:snapToGrid w:val="0"/>
        <w:spacing w:line="360" w:lineRule="auto"/>
        <w:jc w:val="center"/>
        <w:rPr>
          <w:rFonts w:ascii="宋体" w:hAnsi="宋体" w:cs="宋体"/>
          <w:b/>
          <w:color w:val="auto"/>
          <w:kern w:val="0"/>
          <w:sz w:val="32"/>
          <w:szCs w:val="32"/>
          <w:highlight w:val="none"/>
          <w:lang w:val="zh-CN"/>
        </w:rPr>
      </w:pPr>
    </w:p>
    <w:p w14:paraId="4B3BCE1A">
      <w:pPr>
        <w:snapToGrid w:val="0"/>
        <w:spacing w:line="360" w:lineRule="auto"/>
        <w:jc w:val="center"/>
        <w:rPr>
          <w:rFonts w:ascii="宋体" w:hAnsi="宋体" w:cs="宋体"/>
          <w:b/>
          <w:color w:val="auto"/>
          <w:kern w:val="0"/>
          <w:sz w:val="32"/>
          <w:szCs w:val="32"/>
          <w:highlight w:val="none"/>
          <w:lang w:val="zh-CN"/>
        </w:rPr>
      </w:pPr>
    </w:p>
    <w:p w14:paraId="3AE64A5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528852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A33AC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杭州市发展和改革委员会（杭州市对口支援和区域合作局）、浙江天辰工程咨询有限公司：</w:t>
      </w:r>
    </w:p>
    <w:p w14:paraId="68B528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我方参加你方组织的市发改委2025年深化信创项目-标项一（“数智发改”主平台、OA系统迁移及六统一集成）【招标编号：TCZX-ZFCG(F)-2025009】招标的有关活动，并对此项目进行投标。为此：</w:t>
      </w:r>
    </w:p>
    <w:p w14:paraId="4E7171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3B5A4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4FA428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E33B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667FE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3ECFD4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2AD68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8AD4EB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6EF6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C25E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EE473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6CCCF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CA5AF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EDFA9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A777E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18300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873CB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C0A12F7">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E99D8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BDAF0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37424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E0009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9AC3E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0AEF6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681B33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99D2B30">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210B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8D174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9DEC7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276FA2">
      <w:pPr>
        <w:snapToGrid w:val="0"/>
        <w:spacing w:line="360" w:lineRule="auto"/>
        <w:ind w:left="420" w:leftChars="200" w:firstLine="4200" w:firstLineChars="1750"/>
        <w:rPr>
          <w:rFonts w:ascii="宋体" w:hAnsi="宋体" w:cs="宋体"/>
          <w:color w:val="auto"/>
          <w:kern w:val="0"/>
          <w:sz w:val="24"/>
          <w:highlight w:val="none"/>
          <w:u w:val="single"/>
        </w:rPr>
      </w:pPr>
    </w:p>
    <w:p w14:paraId="215E7C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BAC3AC">
      <w:pPr>
        <w:snapToGrid w:val="0"/>
        <w:spacing w:line="360" w:lineRule="auto"/>
        <w:jc w:val="center"/>
        <w:rPr>
          <w:rFonts w:ascii="宋体" w:hAnsi="宋体" w:cs="宋体"/>
          <w:b/>
          <w:color w:val="auto"/>
          <w:kern w:val="0"/>
          <w:sz w:val="32"/>
          <w:szCs w:val="32"/>
          <w:highlight w:val="none"/>
        </w:rPr>
      </w:pPr>
    </w:p>
    <w:p w14:paraId="15339592">
      <w:pPr>
        <w:snapToGrid w:val="0"/>
        <w:spacing w:line="360" w:lineRule="auto"/>
        <w:rPr>
          <w:rFonts w:ascii="宋体" w:hAnsi="宋体" w:cs="宋体"/>
          <w:color w:val="auto"/>
          <w:sz w:val="24"/>
          <w:highlight w:val="none"/>
        </w:rPr>
      </w:pPr>
    </w:p>
    <w:p w14:paraId="560A191F">
      <w:pPr>
        <w:rPr>
          <w:rFonts w:ascii="宋体" w:hAnsi="宋体" w:cs="宋体"/>
          <w:b/>
          <w:color w:val="auto"/>
          <w:kern w:val="0"/>
          <w:sz w:val="32"/>
          <w:szCs w:val="32"/>
          <w:highlight w:val="none"/>
        </w:rPr>
      </w:pPr>
    </w:p>
    <w:p w14:paraId="08475093">
      <w:pPr>
        <w:jc w:val="center"/>
        <w:rPr>
          <w:rFonts w:ascii="宋体" w:hAnsi="宋体" w:cs="宋体"/>
          <w:b/>
          <w:color w:val="auto"/>
          <w:kern w:val="0"/>
          <w:sz w:val="32"/>
          <w:szCs w:val="32"/>
          <w:highlight w:val="none"/>
        </w:rPr>
      </w:pPr>
    </w:p>
    <w:p w14:paraId="23D6C649">
      <w:pPr>
        <w:jc w:val="center"/>
        <w:rPr>
          <w:rFonts w:ascii="宋体" w:hAnsi="宋体" w:cs="宋体"/>
          <w:b/>
          <w:color w:val="auto"/>
          <w:kern w:val="0"/>
          <w:sz w:val="32"/>
          <w:szCs w:val="32"/>
          <w:highlight w:val="none"/>
        </w:rPr>
      </w:pPr>
    </w:p>
    <w:p w14:paraId="7D349097">
      <w:pPr>
        <w:jc w:val="center"/>
        <w:rPr>
          <w:rFonts w:ascii="宋体" w:hAnsi="宋体" w:cs="宋体"/>
          <w:b/>
          <w:color w:val="auto"/>
          <w:kern w:val="0"/>
          <w:sz w:val="32"/>
          <w:szCs w:val="32"/>
          <w:highlight w:val="none"/>
        </w:rPr>
      </w:pPr>
    </w:p>
    <w:p w14:paraId="6F3A6464">
      <w:pPr>
        <w:jc w:val="center"/>
        <w:rPr>
          <w:rFonts w:ascii="宋体" w:hAnsi="宋体" w:cs="宋体"/>
          <w:b/>
          <w:color w:val="auto"/>
          <w:kern w:val="0"/>
          <w:sz w:val="32"/>
          <w:szCs w:val="32"/>
          <w:highlight w:val="none"/>
        </w:rPr>
      </w:pPr>
    </w:p>
    <w:p w14:paraId="6314C903">
      <w:pPr>
        <w:jc w:val="center"/>
        <w:rPr>
          <w:rFonts w:ascii="宋体" w:hAnsi="宋体" w:cs="宋体"/>
          <w:b/>
          <w:color w:val="auto"/>
          <w:kern w:val="0"/>
          <w:sz w:val="32"/>
          <w:szCs w:val="32"/>
          <w:highlight w:val="none"/>
        </w:rPr>
      </w:pPr>
    </w:p>
    <w:p w14:paraId="31840718">
      <w:pPr>
        <w:jc w:val="center"/>
        <w:rPr>
          <w:rFonts w:ascii="宋体" w:hAnsi="宋体" w:cs="宋体"/>
          <w:b/>
          <w:color w:val="auto"/>
          <w:kern w:val="0"/>
          <w:sz w:val="32"/>
          <w:szCs w:val="32"/>
          <w:highlight w:val="none"/>
        </w:rPr>
      </w:pPr>
    </w:p>
    <w:p w14:paraId="148FC2EB">
      <w:pPr>
        <w:jc w:val="center"/>
        <w:rPr>
          <w:rFonts w:ascii="宋体" w:hAnsi="宋体" w:cs="宋体"/>
          <w:b/>
          <w:color w:val="auto"/>
          <w:kern w:val="0"/>
          <w:sz w:val="32"/>
          <w:szCs w:val="32"/>
          <w:highlight w:val="none"/>
        </w:rPr>
      </w:pPr>
    </w:p>
    <w:p w14:paraId="7BC9ACA6">
      <w:pPr>
        <w:jc w:val="center"/>
        <w:rPr>
          <w:rFonts w:ascii="宋体" w:hAnsi="宋体" w:cs="宋体"/>
          <w:b/>
          <w:color w:val="auto"/>
          <w:kern w:val="0"/>
          <w:sz w:val="32"/>
          <w:szCs w:val="32"/>
          <w:highlight w:val="none"/>
        </w:rPr>
      </w:pPr>
    </w:p>
    <w:p w14:paraId="7728894E">
      <w:pPr>
        <w:jc w:val="center"/>
        <w:rPr>
          <w:rFonts w:ascii="宋体" w:hAnsi="宋体" w:cs="宋体"/>
          <w:b/>
          <w:color w:val="auto"/>
          <w:kern w:val="0"/>
          <w:sz w:val="32"/>
          <w:szCs w:val="32"/>
          <w:highlight w:val="none"/>
        </w:rPr>
      </w:pPr>
    </w:p>
    <w:p w14:paraId="3870E739">
      <w:pPr>
        <w:jc w:val="center"/>
        <w:rPr>
          <w:rFonts w:ascii="宋体" w:hAnsi="宋体" w:cs="宋体"/>
          <w:b/>
          <w:color w:val="auto"/>
          <w:kern w:val="0"/>
          <w:sz w:val="32"/>
          <w:szCs w:val="32"/>
          <w:highlight w:val="none"/>
        </w:rPr>
      </w:pPr>
    </w:p>
    <w:p w14:paraId="794F9FC2">
      <w:pPr>
        <w:jc w:val="center"/>
        <w:rPr>
          <w:rFonts w:ascii="宋体" w:hAnsi="宋体" w:cs="宋体"/>
          <w:b/>
          <w:color w:val="auto"/>
          <w:kern w:val="0"/>
          <w:sz w:val="32"/>
          <w:szCs w:val="32"/>
          <w:highlight w:val="none"/>
        </w:rPr>
      </w:pPr>
    </w:p>
    <w:p w14:paraId="3F46CEB1">
      <w:pPr>
        <w:jc w:val="center"/>
        <w:rPr>
          <w:rFonts w:ascii="宋体" w:hAnsi="宋体" w:cs="宋体"/>
          <w:b/>
          <w:color w:val="auto"/>
          <w:kern w:val="0"/>
          <w:sz w:val="32"/>
          <w:szCs w:val="32"/>
          <w:highlight w:val="none"/>
        </w:rPr>
      </w:pPr>
    </w:p>
    <w:p w14:paraId="61D9D454">
      <w:pPr>
        <w:jc w:val="center"/>
        <w:rPr>
          <w:rFonts w:ascii="宋体" w:hAnsi="宋体" w:cs="宋体"/>
          <w:b/>
          <w:color w:val="auto"/>
          <w:kern w:val="0"/>
          <w:sz w:val="32"/>
          <w:szCs w:val="32"/>
          <w:highlight w:val="none"/>
        </w:rPr>
      </w:pPr>
    </w:p>
    <w:p w14:paraId="23932D33">
      <w:pPr>
        <w:jc w:val="center"/>
        <w:rPr>
          <w:rFonts w:ascii="宋体" w:hAnsi="宋体" w:cs="宋体"/>
          <w:b/>
          <w:color w:val="auto"/>
          <w:kern w:val="0"/>
          <w:sz w:val="32"/>
          <w:szCs w:val="32"/>
          <w:highlight w:val="none"/>
        </w:rPr>
      </w:pPr>
    </w:p>
    <w:p w14:paraId="065854EF">
      <w:pPr>
        <w:jc w:val="center"/>
        <w:rPr>
          <w:rFonts w:ascii="宋体" w:hAnsi="宋体" w:cs="宋体"/>
          <w:b/>
          <w:color w:val="auto"/>
          <w:kern w:val="0"/>
          <w:sz w:val="32"/>
          <w:szCs w:val="32"/>
          <w:highlight w:val="none"/>
        </w:rPr>
      </w:pPr>
    </w:p>
    <w:p w14:paraId="0B6EAF8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3EA33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39095E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D6A964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杭州市发展和改革委员会（杭州市对口支援和区域合作局）、浙江天辰工程咨询有限公司</w:t>
      </w:r>
      <w:r>
        <w:rPr>
          <w:rFonts w:hint="eastAsia" w:ascii="宋体" w:hAnsi="宋体" w:cs="宋体"/>
          <w:color w:val="auto"/>
          <w:kern w:val="0"/>
          <w:sz w:val="24"/>
          <w:highlight w:val="none"/>
          <w:lang w:val="zh-CN"/>
        </w:rPr>
        <w:t>：</w:t>
      </w:r>
    </w:p>
    <w:p w14:paraId="01FD1E1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市发改委2025年深化信创项目-标项一（“数智发改”主平台、OA系统迁移及六统一集成）【招标编号：TCZX-ZFCG(F)-2025009】</w:t>
      </w:r>
      <w:r>
        <w:rPr>
          <w:rFonts w:hint="eastAsia" w:ascii="宋体" w:hAnsi="宋体" w:cs="宋体"/>
          <w:color w:val="auto"/>
          <w:kern w:val="0"/>
          <w:sz w:val="24"/>
          <w:highlight w:val="none"/>
          <w:lang w:val="zh-CN"/>
        </w:rPr>
        <w:t>政府采购投标的一切事项，其法律后果由我方承担。</w:t>
      </w:r>
    </w:p>
    <w:p w14:paraId="579928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9C4A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DB1F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168801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8830EF5">
      <w:pPr>
        <w:snapToGrid w:val="0"/>
        <w:spacing w:line="360" w:lineRule="auto"/>
        <w:rPr>
          <w:rFonts w:ascii="宋体" w:hAnsi="宋体" w:cs="宋体"/>
          <w:color w:val="auto"/>
          <w:sz w:val="24"/>
          <w:highlight w:val="none"/>
        </w:rPr>
      </w:pPr>
    </w:p>
    <w:p w14:paraId="1D5D8D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E728A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杭州市发展和改革委员会（杭州市对口支援和区域合作局）、浙江天辰工程咨询有限公司</w:t>
      </w:r>
      <w:r>
        <w:rPr>
          <w:rFonts w:hint="eastAsia" w:ascii="宋体" w:hAnsi="宋体" w:cs="宋体"/>
          <w:color w:val="auto"/>
          <w:kern w:val="0"/>
          <w:sz w:val="24"/>
          <w:highlight w:val="none"/>
          <w:lang w:val="zh-CN"/>
        </w:rPr>
        <w:t>：</w:t>
      </w:r>
    </w:p>
    <w:p w14:paraId="3F3AA5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市发改委2025年深化信创项目-标项一（“数智发改”主平台、OA系统迁移及六统一集成）【招标编号：TCZX-ZFCG(F)-2025009】</w:t>
      </w:r>
      <w:r>
        <w:rPr>
          <w:rFonts w:hint="eastAsia" w:ascii="宋体" w:hAnsi="宋体" w:cs="宋体"/>
          <w:color w:val="auto"/>
          <w:kern w:val="0"/>
          <w:sz w:val="24"/>
          <w:highlight w:val="none"/>
          <w:lang w:val="zh-CN"/>
        </w:rPr>
        <w:t>政府采购投标的一切事项，其法律后果由我方承担。</w:t>
      </w:r>
    </w:p>
    <w:p w14:paraId="0FFFF0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DD8CB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71DA53">
      <w:pPr>
        <w:jc w:val="center"/>
        <w:rPr>
          <w:rFonts w:ascii="宋体" w:hAnsi="宋体" w:cs="宋体"/>
          <w:b/>
          <w:color w:val="auto"/>
          <w:kern w:val="0"/>
          <w:sz w:val="32"/>
          <w:szCs w:val="32"/>
          <w:highlight w:val="none"/>
        </w:rPr>
      </w:pPr>
    </w:p>
    <w:p w14:paraId="3A438852">
      <w:pPr>
        <w:rPr>
          <w:rFonts w:ascii="宋体" w:hAnsi="宋体" w:cs="宋体"/>
          <w:color w:val="auto"/>
          <w:highlight w:val="none"/>
        </w:rPr>
      </w:pPr>
    </w:p>
    <w:p w14:paraId="0B5ED97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3930C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E24D7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8EF2B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7BF987">
      <w:pPr>
        <w:autoSpaceDE w:val="0"/>
        <w:autoSpaceDN w:val="0"/>
        <w:spacing w:line="360" w:lineRule="auto"/>
        <w:jc w:val="center"/>
        <w:rPr>
          <w:rFonts w:ascii="宋体" w:hAnsi="宋体" w:cs="宋体"/>
          <w:b/>
          <w:color w:val="auto"/>
          <w:kern w:val="0"/>
          <w:sz w:val="32"/>
          <w:szCs w:val="32"/>
          <w:highlight w:val="none"/>
          <w:lang w:val="zh-CN"/>
        </w:rPr>
      </w:pPr>
    </w:p>
    <w:p w14:paraId="192A65D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23A525E">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E1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FA7AFA">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0FB0F6A">
            <w:pPr>
              <w:pStyle w:val="150"/>
              <w:adjustRightInd w:val="0"/>
              <w:spacing w:line="360" w:lineRule="auto"/>
              <w:rPr>
                <w:rFonts w:hAnsi="宋体" w:cs="宋体"/>
                <w:bCs/>
                <w:color w:val="auto"/>
                <w:sz w:val="24"/>
                <w:highlight w:val="none"/>
              </w:rPr>
            </w:pPr>
          </w:p>
        </w:tc>
      </w:tr>
    </w:tbl>
    <w:p w14:paraId="6EA012B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0061A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9A60DA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C942B4">
      <w:pPr>
        <w:jc w:val="center"/>
        <w:rPr>
          <w:rFonts w:ascii="宋体" w:hAnsi="宋体" w:cs="宋体"/>
          <w:b/>
          <w:color w:val="auto"/>
          <w:kern w:val="0"/>
          <w:sz w:val="32"/>
          <w:szCs w:val="32"/>
          <w:highlight w:val="none"/>
        </w:rPr>
      </w:pPr>
    </w:p>
    <w:p w14:paraId="590BB995">
      <w:pPr>
        <w:jc w:val="center"/>
        <w:rPr>
          <w:rFonts w:ascii="宋体" w:hAnsi="宋体" w:cs="宋体"/>
          <w:b/>
          <w:color w:val="auto"/>
          <w:kern w:val="0"/>
          <w:sz w:val="32"/>
          <w:szCs w:val="32"/>
          <w:highlight w:val="none"/>
        </w:rPr>
      </w:pPr>
    </w:p>
    <w:p w14:paraId="65735859">
      <w:pPr>
        <w:jc w:val="center"/>
        <w:rPr>
          <w:rFonts w:ascii="宋体" w:hAnsi="宋体" w:cs="宋体"/>
          <w:b/>
          <w:color w:val="auto"/>
          <w:kern w:val="0"/>
          <w:sz w:val="32"/>
          <w:szCs w:val="32"/>
          <w:highlight w:val="none"/>
        </w:rPr>
      </w:pPr>
    </w:p>
    <w:p w14:paraId="51AC0E9A">
      <w:pPr>
        <w:jc w:val="center"/>
        <w:rPr>
          <w:rFonts w:ascii="宋体" w:hAnsi="宋体" w:cs="宋体"/>
          <w:b/>
          <w:color w:val="auto"/>
          <w:kern w:val="0"/>
          <w:sz w:val="32"/>
          <w:szCs w:val="32"/>
          <w:highlight w:val="none"/>
        </w:rPr>
      </w:pPr>
    </w:p>
    <w:p w14:paraId="59922007">
      <w:pPr>
        <w:jc w:val="center"/>
        <w:rPr>
          <w:rFonts w:ascii="宋体" w:hAnsi="宋体" w:cs="宋体"/>
          <w:b/>
          <w:color w:val="auto"/>
          <w:kern w:val="0"/>
          <w:sz w:val="32"/>
          <w:szCs w:val="32"/>
          <w:highlight w:val="none"/>
        </w:rPr>
      </w:pPr>
    </w:p>
    <w:p w14:paraId="1997C198">
      <w:pPr>
        <w:jc w:val="center"/>
        <w:rPr>
          <w:rFonts w:ascii="宋体" w:hAnsi="宋体" w:cs="宋体"/>
          <w:b/>
          <w:color w:val="auto"/>
          <w:kern w:val="0"/>
          <w:sz w:val="32"/>
          <w:szCs w:val="32"/>
          <w:highlight w:val="none"/>
        </w:rPr>
      </w:pPr>
    </w:p>
    <w:p w14:paraId="6D54B60B">
      <w:pPr>
        <w:jc w:val="center"/>
        <w:rPr>
          <w:rFonts w:ascii="宋体" w:hAnsi="宋体" w:cs="宋体"/>
          <w:b/>
          <w:color w:val="auto"/>
          <w:kern w:val="0"/>
          <w:sz w:val="32"/>
          <w:szCs w:val="32"/>
          <w:highlight w:val="none"/>
        </w:rPr>
      </w:pPr>
    </w:p>
    <w:p w14:paraId="12916F34">
      <w:pPr>
        <w:jc w:val="center"/>
        <w:rPr>
          <w:rFonts w:ascii="宋体" w:hAnsi="宋体" w:cs="宋体"/>
          <w:b/>
          <w:color w:val="auto"/>
          <w:kern w:val="0"/>
          <w:sz w:val="32"/>
          <w:szCs w:val="32"/>
          <w:highlight w:val="none"/>
        </w:rPr>
      </w:pPr>
    </w:p>
    <w:p w14:paraId="2481A0E4">
      <w:pPr>
        <w:jc w:val="center"/>
        <w:rPr>
          <w:rFonts w:ascii="宋体" w:hAnsi="宋体" w:cs="宋体"/>
          <w:b/>
          <w:color w:val="auto"/>
          <w:kern w:val="0"/>
          <w:sz w:val="32"/>
          <w:szCs w:val="32"/>
          <w:highlight w:val="none"/>
        </w:rPr>
      </w:pPr>
    </w:p>
    <w:p w14:paraId="0D2F7E29">
      <w:pPr>
        <w:jc w:val="center"/>
        <w:rPr>
          <w:rFonts w:ascii="宋体" w:hAnsi="宋体" w:cs="宋体"/>
          <w:b/>
          <w:color w:val="auto"/>
          <w:kern w:val="0"/>
          <w:sz w:val="32"/>
          <w:szCs w:val="32"/>
          <w:highlight w:val="none"/>
        </w:rPr>
      </w:pPr>
    </w:p>
    <w:p w14:paraId="4541A145">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C625B1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497874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0D714D">
      <w:pPr>
        <w:snapToGrid w:val="0"/>
        <w:spacing w:line="360" w:lineRule="auto"/>
        <w:rPr>
          <w:rFonts w:ascii="宋体" w:hAnsi="宋体" w:cs="宋体"/>
          <w:color w:val="auto"/>
          <w:kern w:val="0"/>
          <w:sz w:val="24"/>
          <w:highlight w:val="none"/>
        </w:rPr>
      </w:pPr>
    </w:p>
    <w:p w14:paraId="17CABE2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367C058">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37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8E066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04C73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539DCA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48D83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0024D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8D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DCAA5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5D7805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068C77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9325C9E">
            <w:pPr>
              <w:rPr>
                <w:rFonts w:ascii="宋体" w:hAnsi="宋体" w:cs="宋体"/>
                <w:color w:val="auto"/>
                <w:sz w:val="24"/>
                <w:highlight w:val="none"/>
              </w:rPr>
            </w:pPr>
          </w:p>
          <w:p w14:paraId="26B8AA9A">
            <w:pPr>
              <w:rPr>
                <w:rFonts w:ascii="宋体" w:hAnsi="宋体" w:cs="宋体"/>
                <w:color w:val="auto"/>
                <w:sz w:val="24"/>
                <w:highlight w:val="none"/>
              </w:rPr>
            </w:pPr>
            <w:r>
              <w:rPr>
                <w:rFonts w:hint="eastAsia" w:ascii="宋体" w:hAnsi="宋体" w:cs="宋体"/>
                <w:color w:val="auto"/>
                <w:sz w:val="24"/>
                <w:highlight w:val="none"/>
              </w:rPr>
              <w:t>见投标文件</w:t>
            </w:r>
          </w:p>
          <w:p w14:paraId="73A400C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A4D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D35B5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D14353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5FBC5B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F4E489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0C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615DB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5BB9980">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B23A0A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15986A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08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7A925B">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45715424">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1E6BCCC5">
            <w:pPr>
              <w:rPr>
                <w:rFonts w:ascii="宋体" w:hAnsi="宋体" w:cs="宋体"/>
                <w:color w:val="auto"/>
                <w:sz w:val="24"/>
                <w:highlight w:val="none"/>
              </w:rPr>
            </w:pPr>
          </w:p>
        </w:tc>
        <w:tc>
          <w:tcPr>
            <w:tcW w:w="1418" w:type="dxa"/>
          </w:tcPr>
          <w:p w14:paraId="3685C806">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17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D3FEDE">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84A384C">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084686C5">
            <w:pPr>
              <w:rPr>
                <w:rFonts w:ascii="宋体" w:hAnsi="宋体" w:cs="宋体"/>
                <w:color w:val="auto"/>
                <w:sz w:val="24"/>
                <w:highlight w:val="none"/>
              </w:rPr>
            </w:pPr>
          </w:p>
        </w:tc>
        <w:tc>
          <w:tcPr>
            <w:tcW w:w="1418" w:type="dxa"/>
          </w:tcPr>
          <w:p w14:paraId="68ABCB1D">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660AF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794A35A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264B030C">
      <w:pPr>
        <w:jc w:val="center"/>
        <w:rPr>
          <w:rFonts w:ascii="宋体" w:hAnsi="宋体" w:cs="宋体"/>
          <w:b/>
          <w:color w:val="auto"/>
          <w:kern w:val="0"/>
          <w:sz w:val="32"/>
          <w:szCs w:val="32"/>
          <w:highlight w:val="none"/>
        </w:rPr>
      </w:pPr>
    </w:p>
    <w:p w14:paraId="21F624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4B59BFC">
      <w:pPr>
        <w:jc w:val="center"/>
        <w:rPr>
          <w:rFonts w:ascii="宋体" w:hAnsi="宋体" w:cs="宋体"/>
          <w:b/>
          <w:color w:val="auto"/>
          <w:kern w:val="0"/>
          <w:sz w:val="32"/>
          <w:szCs w:val="32"/>
          <w:highlight w:val="none"/>
        </w:rPr>
      </w:pPr>
    </w:p>
    <w:p w14:paraId="654B91A0">
      <w:pPr>
        <w:jc w:val="center"/>
        <w:rPr>
          <w:rFonts w:ascii="宋体" w:hAnsi="宋体" w:cs="宋体"/>
          <w:b/>
          <w:color w:val="auto"/>
          <w:kern w:val="0"/>
          <w:sz w:val="32"/>
          <w:szCs w:val="32"/>
          <w:highlight w:val="none"/>
        </w:rPr>
      </w:pPr>
    </w:p>
    <w:p w14:paraId="308F469D">
      <w:pPr>
        <w:jc w:val="center"/>
        <w:rPr>
          <w:rFonts w:ascii="宋体" w:hAnsi="宋体" w:cs="宋体"/>
          <w:b/>
          <w:color w:val="auto"/>
          <w:kern w:val="0"/>
          <w:sz w:val="32"/>
          <w:szCs w:val="32"/>
          <w:highlight w:val="none"/>
        </w:rPr>
      </w:pPr>
    </w:p>
    <w:p w14:paraId="4B8B11E2">
      <w:pPr>
        <w:jc w:val="center"/>
        <w:rPr>
          <w:rFonts w:ascii="宋体" w:hAnsi="宋体" w:cs="宋体"/>
          <w:b/>
          <w:color w:val="auto"/>
          <w:kern w:val="0"/>
          <w:sz w:val="32"/>
          <w:szCs w:val="32"/>
          <w:highlight w:val="none"/>
        </w:rPr>
      </w:pPr>
    </w:p>
    <w:p w14:paraId="5BFAB1E7">
      <w:pPr>
        <w:jc w:val="center"/>
        <w:rPr>
          <w:rFonts w:ascii="宋体" w:hAnsi="宋体" w:cs="宋体"/>
          <w:b/>
          <w:color w:val="auto"/>
          <w:kern w:val="0"/>
          <w:sz w:val="32"/>
          <w:szCs w:val="32"/>
          <w:highlight w:val="none"/>
        </w:rPr>
      </w:pPr>
    </w:p>
    <w:p w14:paraId="2B53F8D2">
      <w:pPr>
        <w:jc w:val="center"/>
        <w:rPr>
          <w:rFonts w:ascii="宋体" w:hAnsi="宋体" w:cs="宋体"/>
          <w:b/>
          <w:color w:val="auto"/>
          <w:kern w:val="0"/>
          <w:sz w:val="32"/>
          <w:szCs w:val="32"/>
          <w:highlight w:val="none"/>
        </w:rPr>
      </w:pPr>
    </w:p>
    <w:p w14:paraId="5004FDCD">
      <w:pPr>
        <w:jc w:val="center"/>
        <w:rPr>
          <w:rFonts w:ascii="宋体" w:hAnsi="宋体" w:cs="宋体"/>
          <w:b/>
          <w:color w:val="auto"/>
          <w:kern w:val="0"/>
          <w:sz w:val="32"/>
          <w:szCs w:val="32"/>
          <w:highlight w:val="none"/>
        </w:rPr>
      </w:pPr>
    </w:p>
    <w:p w14:paraId="52EB2A8E">
      <w:pPr>
        <w:jc w:val="center"/>
        <w:rPr>
          <w:rFonts w:ascii="宋体" w:hAnsi="宋体" w:cs="宋体"/>
          <w:b/>
          <w:color w:val="auto"/>
          <w:kern w:val="0"/>
          <w:sz w:val="32"/>
          <w:szCs w:val="32"/>
          <w:highlight w:val="none"/>
        </w:rPr>
      </w:pPr>
    </w:p>
    <w:p w14:paraId="6833DCC5">
      <w:pPr>
        <w:jc w:val="center"/>
        <w:rPr>
          <w:rFonts w:ascii="宋体" w:hAnsi="宋体" w:cs="宋体"/>
          <w:b/>
          <w:color w:val="auto"/>
          <w:kern w:val="0"/>
          <w:sz w:val="32"/>
          <w:szCs w:val="32"/>
          <w:highlight w:val="none"/>
        </w:rPr>
      </w:pPr>
    </w:p>
    <w:p w14:paraId="00A5786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B78A6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054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85C890">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2CC3242A">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1F316D43">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4C9C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872223C">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52BDD393">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25C8D957">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667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95E7F03">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78BF523B">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1DBBE569">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084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51768D">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5472CC87">
            <w:pPr>
              <w:snapToGrid w:val="0"/>
              <w:spacing w:line="360" w:lineRule="auto"/>
              <w:jc w:val="center"/>
              <w:rPr>
                <w:rFonts w:ascii="宋体" w:hAnsi="宋体" w:cs="宋体"/>
                <w:bCs/>
                <w:color w:val="auto"/>
                <w:sz w:val="24"/>
                <w:highlight w:val="none"/>
              </w:rPr>
            </w:pPr>
          </w:p>
        </w:tc>
        <w:tc>
          <w:tcPr>
            <w:tcW w:w="3046" w:type="dxa"/>
          </w:tcPr>
          <w:p w14:paraId="3D35BA57">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62838831">
      <w:pPr>
        <w:pStyle w:val="80"/>
        <w:rPr>
          <w:color w:val="auto"/>
          <w:highlight w:val="none"/>
        </w:rPr>
      </w:pPr>
    </w:p>
    <w:p w14:paraId="45CF2704">
      <w:pPr>
        <w:jc w:val="center"/>
        <w:rPr>
          <w:rFonts w:ascii="宋体" w:hAnsi="宋体" w:cs="宋体"/>
          <w:b/>
          <w:color w:val="auto"/>
          <w:kern w:val="0"/>
          <w:sz w:val="32"/>
          <w:szCs w:val="32"/>
          <w:highlight w:val="none"/>
        </w:rPr>
      </w:pPr>
    </w:p>
    <w:p w14:paraId="498A193D">
      <w:pPr>
        <w:jc w:val="center"/>
        <w:rPr>
          <w:rFonts w:ascii="宋体" w:hAnsi="宋体" w:cs="宋体"/>
          <w:b/>
          <w:color w:val="auto"/>
          <w:kern w:val="0"/>
          <w:sz w:val="32"/>
          <w:szCs w:val="32"/>
          <w:highlight w:val="none"/>
        </w:rPr>
      </w:pPr>
    </w:p>
    <w:p w14:paraId="4C5AECEE">
      <w:pPr>
        <w:jc w:val="center"/>
        <w:rPr>
          <w:rFonts w:ascii="宋体" w:hAnsi="宋体" w:cs="宋体"/>
          <w:b/>
          <w:color w:val="auto"/>
          <w:kern w:val="0"/>
          <w:sz w:val="32"/>
          <w:szCs w:val="32"/>
          <w:highlight w:val="none"/>
        </w:rPr>
      </w:pPr>
    </w:p>
    <w:p w14:paraId="56B45DB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B95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B4BF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FF3B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B774CB4">
            <w:pPr>
              <w:spacing w:line="360" w:lineRule="auto"/>
              <w:jc w:val="center"/>
              <w:rPr>
                <w:rFonts w:ascii="宋体" w:hAnsi="宋体" w:cs="宋体"/>
                <w:b/>
                <w:color w:val="auto"/>
                <w:sz w:val="24"/>
                <w:highlight w:val="none"/>
              </w:rPr>
            </w:pPr>
          </w:p>
          <w:p w14:paraId="19D2FE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0D8FD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5124D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E7B18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E36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31BE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C5C5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1631E0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13501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9A008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592D0CC">
            <w:pPr>
              <w:spacing w:line="360" w:lineRule="auto"/>
              <w:jc w:val="center"/>
              <w:rPr>
                <w:rFonts w:ascii="宋体" w:hAnsi="宋体" w:cs="宋体"/>
                <w:color w:val="auto"/>
                <w:sz w:val="24"/>
                <w:highlight w:val="none"/>
              </w:rPr>
            </w:pPr>
          </w:p>
        </w:tc>
      </w:tr>
      <w:tr w14:paraId="22D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9CC8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61ECC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50D196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6F0F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C7D89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C4439A3">
            <w:pPr>
              <w:spacing w:line="360" w:lineRule="auto"/>
              <w:jc w:val="center"/>
              <w:rPr>
                <w:rFonts w:ascii="宋体" w:hAnsi="宋体" w:cs="宋体"/>
                <w:color w:val="auto"/>
                <w:sz w:val="24"/>
                <w:highlight w:val="none"/>
              </w:rPr>
            </w:pPr>
          </w:p>
        </w:tc>
      </w:tr>
      <w:tr w14:paraId="6FB8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F22F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C349E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186063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F9ADE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1A286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6CA320">
            <w:pPr>
              <w:spacing w:line="360" w:lineRule="auto"/>
              <w:jc w:val="center"/>
              <w:rPr>
                <w:rFonts w:ascii="宋体" w:hAnsi="宋体" w:cs="宋体"/>
                <w:color w:val="auto"/>
                <w:sz w:val="24"/>
                <w:highlight w:val="none"/>
              </w:rPr>
            </w:pPr>
          </w:p>
        </w:tc>
      </w:tr>
    </w:tbl>
    <w:p w14:paraId="47932F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9EF0F1">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7F9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622975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04BDAD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227141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DC04B9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68A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80120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9B1E9B3">
            <w:pPr>
              <w:jc w:val="center"/>
              <w:rPr>
                <w:rFonts w:ascii="宋体" w:hAnsi="宋体" w:cs="宋体"/>
                <w:b/>
                <w:color w:val="auto"/>
                <w:kern w:val="0"/>
                <w:sz w:val="32"/>
                <w:szCs w:val="32"/>
                <w:highlight w:val="none"/>
              </w:rPr>
            </w:pPr>
          </w:p>
        </w:tc>
        <w:tc>
          <w:tcPr>
            <w:tcW w:w="3062" w:type="dxa"/>
          </w:tcPr>
          <w:p w14:paraId="66577827">
            <w:pPr>
              <w:jc w:val="center"/>
              <w:rPr>
                <w:rFonts w:ascii="宋体" w:hAnsi="宋体" w:cs="宋体"/>
                <w:b/>
                <w:color w:val="auto"/>
                <w:kern w:val="0"/>
                <w:sz w:val="32"/>
                <w:szCs w:val="32"/>
                <w:highlight w:val="none"/>
              </w:rPr>
            </w:pPr>
          </w:p>
        </w:tc>
        <w:tc>
          <w:tcPr>
            <w:tcW w:w="1102" w:type="dxa"/>
          </w:tcPr>
          <w:p w14:paraId="1959F818">
            <w:pPr>
              <w:jc w:val="center"/>
              <w:rPr>
                <w:rFonts w:ascii="宋体" w:hAnsi="宋体" w:cs="宋体"/>
                <w:b/>
                <w:color w:val="auto"/>
                <w:kern w:val="0"/>
                <w:sz w:val="32"/>
                <w:szCs w:val="32"/>
                <w:highlight w:val="none"/>
              </w:rPr>
            </w:pPr>
          </w:p>
        </w:tc>
      </w:tr>
      <w:tr w14:paraId="5A2C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242D61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89A8F58">
            <w:pPr>
              <w:jc w:val="center"/>
              <w:rPr>
                <w:rFonts w:ascii="宋体" w:hAnsi="宋体" w:cs="宋体"/>
                <w:b/>
                <w:color w:val="auto"/>
                <w:kern w:val="0"/>
                <w:sz w:val="32"/>
                <w:szCs w:val="32"/>
                <w:highlight w:val="none"/>
              </w:rPr>
            </w:pPr>
          </w:p>
        </w:tc>
        <w:tc>
          <w:tcPr>
            <w:tcW w:w="3062" w:type="dxa"/>
          </w:tcPr>
          <w:p w14:paraId="4200F303">
            <w:pPr>
              <w:jc w:val="center"/>
              <w:rPr>
                <w:rFonts w:ascii="宋体" w:hAnsi="宋体" w:cs="宋体"/>
                <w:b/>
                <w:color w:val="auto"/>
                <w:kern w:val="0"/>
                <w:sz w:val="32"/>
                <w:szCs w:val="32"/>
                <w:highlight w:val="none"/>
              </w:rPr>
            </w:pPr>
          </w:p>
        </w:tc>
        <w:tc>
          <w:tcPr>
            <w:tcW w:w="1102" w:type="dxa"/>
          </w:tcPr>
          <w:p w14:paraId="77A33A01">
            <w:pPr>
              <w:jc w:val="center"/>
              <w:rPr>
                <w:rFonts w:ascii="宋体" w:hAnsi="宋体" w:cs="宋体"/>
                <w:b/>
                <w:color w:val="auto"/>
                <w:kern w:val="0"/>
                <w:sz w:val="32"/>
                <w:szCs w:val="32"/>
                <w:highlight w:val="none"/>
              </w:rPr>
            </w:pPr>
          </w:p>
        </w:tc>
      </w:tr>
      <w:tr w14:paraId="3388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89792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B2A655E">
            <w:pPr>
              <w:jc w:val="center"/>
              <w:rPr>
                <w:rFonts w:ascii="宋体" w:hAnsi="宋体" w:cs="宋体"/>
                <w:b/>
                <w:color w:val="auto"/>
                <w:kern w:val="0"/>
                <w:sz w:val="32"/>
                <w:szCs w:val="32"/>
                <w:highlight w:val="none"/>
              </w:rPr>
            </w:pPr>
          </w:p>
        </w:tc>
        <w:tc>
          <w:tcPr>
            <w:tcW w:w="3062" w:type="dxa"/>
          </w:tcPr>
          <w:p w14:paraId="69ED0BE6">
            <w:pPr>
              <w:jc w:val="center"/>
              <w:rPr>
                <w:rFonts w:ascii="宋体" w:hAnsi="宋体" w:cs="宋体"/>
                <w:b/>
                <w:color w:val="auto"/>
                <w:kern w:val="0"/>
                <w:sz w:val="32"/>
                <w:szCs w:val="32"/>
                <w:highlight w:val="none"/>
              </w:rPr>
            </w:pPr>
          </w:p>
        </w:tc>
        <w:tc>
          <w:tcPr>
            <w:tcW w:w="1102" w:type="dxa"/>
          </w:tcPr>
          <w:p w14:paraId="47A449DC">
            <w:pPr>
              <w:jc w:val="center"/>
              <w:rPr>
                <w:rFonts w:ascii="宋体" w:hAnsi="宋体" w:cs="宋体"/>
                <w:b/>
                <w:color w:val="auto"/>
                <w:kern w:val="0"/>
                <w:sz w:val="32"/>
                <w:szCs w:val="32"/>
                <w:highlight w:val="none"/>
              </w:rPr>
            </w:pPr>
          </w:p>
        </w:tc>
      </w:tr>
    </w:tbl>
    <w:p w14:paraId="407784D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101AE73">
      <w:pPr>
        <w:jc w:val="center"/>
        <w:rPr>
          <w:rFonts w:ascii="宋体" w:hAnsi="宋体" w:cs="宋体"/>
          <w:b/>
          <w:color w:val="auto"/>
          <w:kern w:val="0"/>
          <w:sz w:val="32"/>
          <w:szCs w:val="32"/>
          <w:highlight w:val="none"/>
        </w:rPr>
      </w:pPr>
    </w:p>
    <w:p w14:paraId="01E9CD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01DC4A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615F6A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30BD89CD">
      <w:pPr>
        <w:ind w:firstLine="1911" w:firstLineChars="595"/>
        <w:rPr>
          <w:rFonts w:ascii="宋体" w:hAnsi="宋体" w:cs="宋体"/>
          <w:b/>
          <w:bCs/>
          <w:color w:val="auto"/>
          <w:sz w:val="32"/>
          <w:szCs w:val="32"/>
          <w:highlight w:val="none"/>
        </w:rPr>
      </w:pPr>
    </w:p>
    <w:p w14:paraId="269708B4">
      <w:pPr>
        <w:ind w:firstLine="1911" w:firstLineChars="595"/>
        <w:rPr>
          <w:rFonts w:ascii="宋体" w:hAnsi="宋体" w:cs="宋体"/>
          <w:b/>
          <w:bCs/>
          <w:color w:val="auto"/>
          <w:sz w:val="32"/>
          <w:szCs w:val="32"/>
          <w:highlight w:val="none"/>
        </w:rPr>
      </w:pPr>
    </w:p>
    <w:p w14:paraId="53161022">
      <w:pPr>
        <w:ind w:firstLine="1911" w:firstLineChars="595"/>
        <w:rPr>
          <w:rFonts w:ascii="宋体" w:hAnsi="宋体" w:cs="宋体"/>
          <w:b/>
          <w:bCs/>
          <w:color w:val="auto"/>
          <w:sz w:val="32"/>
          <w:szCs w:val="32"/>
          <w:highlight w:val="none"/>
        </w:rPr>
      </w:pPr>
    </w:p>
    <w:p w14:paraId="6D662D8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AC8CE5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EC56B8A">
      <w:pPr>
        <w:snapToGrid w:val="0"/>
        <w:spacing w:line="360" w:lineRule="auto"/>
        <w:rPr>
          <w:rFonts w:ascii="宋体" w:hAnsi="宋体" w:cs="宋体"/>
          <w:color w:val="auto"/>
          <w:sz w:val="24"/>
          <w:highlight w:val="none"/>
        </w:rPr>
      </w:pPr>
    </w:p>
    <w:p w14:paraId="36C62C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杭州市发展和改革委员会（杭州市对口支援和区域合作局）、浙江天辰工程咨询有限公司</w:t>
      </w:r>
      <w:r>
        <w:rPr>
          <w:rFonts w:hint="eastAsia" w:ascii="宋体" w:hAnsi="宋体" w:cs="宋体"/>
          <w:color w:val="auto"/>
          <w:kern w:val="0"/>
          <w:sz w:val="24"/>
          <w:highlight w:val="none"/>
          <w:lang w:val="zh-CN"/>
        </w:rPr>
        <w:t>：</w:t>
      </w:r>
    </w:p>
    <w:p w14:paraId="01E335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1CDB61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07EB2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8951A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454A6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F7A39F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B2D6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9C3160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6FD007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A9072A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3ADC060">
      <w:pPr>
        <w:autoSpaceDE w:val="0"/>
        <w:autoSpaceDN w:val="0"/>
        <w:spacing w:line="360" w:lineRule="auto"/>
        <w:ind w:left="2"/>
        <w:jc w:val="left"/>
        <w:rPr>
          <w:rFonts w:ascii="宋体" w:hAnsi="宋体" w:cs="宋体"/>
          <w:color w:val="auto"/>
          <w:kern w:val="0"/>
          <w:sz w:val="24"/>
          <w:highlight w:val="none"/>
          <w:lang w:val="zh-CN"/>
        </w:rPr>
      </w:pPr>
    </w:p>
    <w:p w14:paraId="6F813E76">
      <w:pPr>
        <w:autoSpaceDE w:val="0"/>
        <w:autoSpaceDN w:val="0"/>
        <w:spacing w:line="360" w:lineRule="auto"/>
        <w:ind w:left="2"/>
        <w:jc w:val="left"/>
        <w:rPr>
          <w:rFonts w:ascii="宋体" w:hAnsi="宋体" w:cs="宋体"/>
          <w:color w:val="auto"/>
          <w:kern w:val="0"/>
          <w:sz w:val="24"/>
          <w:highlight w:val="none"/>
          <w:lang w:val="zh-CN"/>
        </w:rPr>
      </w:pPr>
    </w:p>
    <w:p w14:paraId="30D1AFC8">
      <w:pPr>
        <w:autoSpaceDE w:val="0"/>
        <w:autoSpaceDN w:val="0"/>
        <w:spacing w:line="360" w:lineRule="auto"/>
        <w:ind w:left="2"/>
        <w:jc w:val="left"/>
        <w:rPr>
          <w:rFonts w:ascii="宋体" w:hAnsi="宋体" w:cs="宋体"/>
          <w:color w:val="auto"/>
          <w:kern w:val="0"/>
          <w:sz w:val="24"/>
          <w:highlight w:val="none"/>
          <w:lang w:val="zh-CN"/>
        </w:rPr>
      </w:pPr>
    </w:p>
    <w:p w14:paraId="0E87C93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FD46EA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18FFF6E">
      <w:pPr>
        <w:spacing w:line="360" w:lineRule="auto"/>
        <w:jc w:val="center"/>
        <w:rPr>
          <w:rFonts w:ascii="宋体" w:hAnsi="宋体" w:cs="宋体"/>
          <w:b/>
          <w:bCs/>
          <w:color w:val="auto"/>
          <w:sz w:val="24"/>
          <w:highlight w:val="none"/>
        </w:rPr>
      </w:pPr>
    </w:p>
    <w:p w14:paraId="18A185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D3A886">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0C27A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DED31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E8BE6C">
      <w:pPr>
        <w:spacing w:line="360" w:lineRule="auto"/>
        <w:jc w:val="center"/>
        <w:outlineLvl w:val="0"/>
        <w:rPr>
          <w:rFonts w:ascii="宋体" w:hAnsi="宋体" w:cs="宋体"/>
          <w:b/>
          <w:color w:val="auto"/>
          <w:kern w:val="0"/>
          <w:sz w:val="36"/>
          <w:szCs w:val="36"/>
          <w:highlight w:val="none"/>
        </w:rPr>
      </w:pPr>
    </w:p>
    <w:p w14:paraId="7CD114C7">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671900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F23AAB3">
      <w:pPr>
        <w:pStyle w:val="81"/>
        <w:rPr>
          <w:color w:val="auto"/>
          <w:highlight w:val="none"/>
        </w:rPr>
      </w:pPr>
    </w:p>
    <w:p w14:paraId="6F3452EB">
      <w:pPr>
        <w:pStyle w:val="81"/>
        <w:rPr>
          <w:color w:val="auto"/>
          <w:highlight w:val="none"/>
        </w:rPr>
      </w:pPr>
    </w:p>
    <w:p w14:paraId="3AAD5706">
      <w:pPr>
        <w:snapToGrid w:val="0"/>
        <w:spacing w:line="360" w:lineRule="auto"/>
        <w:ind w:right="480"/>
        <w:jc w:val="center"/>
        <w:rPr>
          <w:rFonts w:ascii="宋体" w:hAnsi="宋体" w:cs="宋体"/>
          <w:b/>
          <w:color w:val="auto"/>
          <w:kern w:val="0"/>
          <w:sz w:val="32"/>
          <w:szCs w:val="32"/>
          <w:highlight w:val="none"/>
        </w:rPr>
      </w:pPr>
    </w:p>
    <w:p w14:paraId="71C68563">
      <w:pPr>
        <w:snapToGrid w:val="0"/>
        <w:spacing w:line="360" w:lineRule="auto"/>
        <w:ind w:right="480"/>
        <w:jc w:val="center"/>
        <w:rPr>
          <w:rFonts w:ascii="宋体" w:hAnsi="宋体" w:cs="宋体"/>
          <w:b/>
          <w:color w:val="auto"/>
          <w:kern w:val="0"/>
          <w:sz w:val="32"/>
          <w:szCs w:val="32"/>
          <w:highlight w:val="none"/>
        </w:rPr>
      </w:pPr>
    </w:p>
    <w:p w14:paraId="3FD8AC59">
      <w:pPr>
        <w:snapToGrid w:val="0"/>
        <w:spacing w:line="360" w:lineRule="auto"/>
        <w:ind w:right="480"/>
        <w:jc w:val="center"/>
        <w:rPr>
          <w:rFonts w:ascii="宋体" w:hAnsi="宋体" w:cs="宋体"/>
          <w:b/>
          <w:color w:val="auto"/>
          <w:kern w:val="0"/>
          <w:sz w:val="32"/>
          <w:szCs w:val="32"/>
          <w:highlight w:val="none"/>
        </w:rPr>
      </w:pPr>
    </w:p>
    <w:p w14:paraId="0F19AC1C">
      <w:pPr>
        <w:snapToGrid w:val="0"/>
        <w:spacing w:line="360" w:lineRule="auto"/>
        <w:ind w:right="480"/>
        <w:jc w:val="center"/>
        <w:rPr>
          <w:rFonts w:ascii="宋体" w:hAnsi="宋体" w:cs="宋体"/>
          <w:b/>
          <w:color w:val="auto"/>
          <w:kern w:val="0"/>
          <w:sz w:val="32"/>
          <w:szCs w:val="32"/>
          <w:highlight w:val="none"/>
        </w:rPr>
      </w:pPr>
    </w:p>
    <w:p w14:paraId="11A9FA1A">
      <w:pPr>
        <w:snapToGrid w:val="0"/>
        <w:spacing w:line="360" w:lineRule="auto"/>
        <w:ind w:right="480"/>
        <w:jc w:val="center"/>
        <w:rPr>
          <w:rFonts w:ascii="宋体" w:hAnsi="宋体" w:cs="宋体"/>
          <w:b/>
          <w:color w:val="auto"/>
          <w:kern w:val="0"/>
          <w:sz w:val="32"/>
          <w:szCs w:val="32"/>
          <w:highlight w:val="none"/>
        </w:rPr>
      </w:pPr>
    </w:p>
    <w:p w14:paraId="57C2BC51">
      <w:pPr>
        <w:snapToGrid w:val="0"/>
        <w:spacing w:line="360" w:lineRule="auto"/>
        <w:ind w:right="480"/>
        <w:jc w:val="center"/>
        <w:rPr>
          <w:rFonts w:ascii="宋体" w:hAnsi="宋体" w:cs="宋体"/>
          <w:b/>
          <w:color w:val="auto"/>
          <w:kern w:val="0"/>
          <w:sz w:val="32"/>
          <w:szCs w:val="32"/>
          <w:highlight w:val="none"/>
        </w:rPr>
      </w:pPr>
    </w:p>
    <w:p w14:paraId="1CBACE1A">
      <w:pPr>
        <w:snapToGrid w:val="0"/>
        <w:spacing w:line="360" w:lineRule="auto"/>
        <w:ind w:right="480"/>
        <w:jc w:val="center"/>
        <w:rPr>
          <w:rFonts w:ascii="宋体" w:hAnsi="宋体" w:cs="宋体"/>
          <w:b/>
          <w:color w:val="auto"/>
          <w:kern w:val="0"/>
          <w:sz w:val="32"/>
          <w:szCs w:val="32"/>
          <w:highlight w:val="none"/>
        </w:rPr>
      </w:pPr>
    </w:p>
    <w:p w14:paraId="51215CDE">
      <w:pPr>
        <w:snapToGrid w:val="0"/>
        <w:spacing w:line="360" w:lineRule="auto"/>
        <w:ind w:right="480"/>
        <w:jc w:val="center"/>
        <w:rPr>
          <w:rFonts w:ascii="宋体" w:hAnsi="宋体" w:cs="宋体"/>
          <w:b/>
          <w:color w:val="auto"/>
          <w:kern w:val="0"/>
          <w:sz w:val="32"/>
          <w:szCs w:val="32"/>
          <w:highlight w:val="none"/>
        </w:rPr>
      </w:pPr>
    </w:p>
    <w:p w14:paraId="00924EDE">
      <w:pPr>
        <w:snapToGrid w:val="0"/>
        <w:spacing w:line="360" w:lineRule="auto"/>
        <w:ind w:right="480"/>
        <w:jc w:val="center"/>
        <w:rPr>
          <w:rFonts w:ascii="宋体" w:hAnsi="宋体" w:cs="宋体"/>
          <w:b/>
          <w:color w:val="auto"/>
          <w:kern w:val="0"/>
          <w:sz w:val="32"/>
          <w:szCs w:val="32"/>
          <w:highlight w:val="none"/>
        </w:rPr>
      </w:pPr>
    </w:p>
    <w:p w14:paraId="675ED174">
      <w:pPr>
        <w:snapToGrid w:val="0"/>
        <w:spacing w:line="360" w:lineRule="auto"/>
        <w:ind w:right="480"/>
        <w:jc w:val="center"/>
        <w:rPr>
          <w:rFonts w:ascii="宋体" w:hAnsi="宋体" w:cs="宋体"/>
          <w:b/>
          <w:color w:val="auto"/>
          <w:kern w:val="0"/>
          <w:sz w:val="32"/>
          <w:szCs w:val="32"/>
          <w:highlight w:val="none"/>
        </w:rPr>
      </w:pPr>
    </w:p>
    <w:p w14:paraId="6A0B67AF">
      <w:pPr>
        <w:snapToGrid w:val="0"/>
        <w:spacing w:line="360" w:lineRule="auto"/>
        <w:ind w:right="480"/>
        <w:jc w:val="center"/>
        <w:rPr>
          <w:rFonts w:ascii="宋体" w:hAnsi="宋体" w:cs="宋体"/>
          <w:b/>
          <w:color w:val="auto"/>
          <w:kern w:val="0"/>
          <w:sz w:val="32"/>
          <w:szCs w:val="32"/>
          <w:highlight w:val="none"/>
        </w:rPr>
      </w:pPr>
    </w:p>
    <w:p w14:paraId="10876D84">
      <w:pPr>
        <w:snapToGrid w:val="0"/>
        <w:spacing w:line="360" w:lineRule="auto"/>
        <w:ind w:right="480"/>
        <w:jc w:val="center"/>
        <w:rPr>
          <w:rFonts w:ascii="宋体" w:hAnsi="宋体" w:cs="宋体"/>
          <w:b/>
          <w:color w:val="auto"/>
          <w:kern w:val="0"/>
          <w:sz w:val="32"/>
          <w:szCs w:val="32"/>
          <w:highlight w:val="none"/>
        </w:rPr>
      </w:pPr>
    </w:p>
    <w:p w14:paraId="5ED325A5">
      <w:pPr>
        <w:snapToGrid w:val="0"/>
        <w:spacing w:line="360" w:lineRule="auto"/>
        <w:ind w:right="480"/>
        <w:jc w:val="center"/>
        <w:rPr>
          <w:rFonts w:ascii="宋体" w:hAnsi="宋体" w:cs="宋体"/>
          <w:b/>
          <w:color w:val="auto"/>
          <w:kern w:val="0"/>
          <w:sz w:val="32"/>
          <w:szCs w:val="32"/>
          <w:highlight w:val="none"/>
        </w:rPr>
      </w:pPr>
    </w:p>
    <w:p w14:paraId="7C93A81D">
      <w:pPr>
        <w:snapToGrid w:val="0"/>
        <w:spacing w:line="360" w:lineRule="auto"/>
        <w:ind w:right="480"/>
        <w:jc w:val="center"/>
        <w:rPr>
          <w:rFonts w:ascii="宋体" w:hAnsi="宋体" w:cs="宋体"/>
          <w:b/>
          <w:color w:val="auto"/>
          <w:kern w:val="0"/>
          <w:sz w:val="32"/>
          <w:szCs w:val="32"/>
          <w:highlight w:val="none"/>
        </w:rPr>
      </w:pPr>
    </w:p>
    <w:p w14:paraId="1F202DCD">
      <w:pPr>
        <w:snapToGrid w:val="0"/>
        <w:spacing w:line="360" w:lineRule="auto"/>
        <w:ind w:right="480"/>
        <w:jc w:val="center"/>
        <w:rPr>
          <w:rFonts w:ascii="宋体" w:hAnsi="宋体" w:cs="宋体"/>
          <w:b/>
          <w:color w:val="auto"/>
          <w:kern w:val="0"/>
          <w:sz w:val="32"/>
          <w:szCs w:val="32"/>
          <w:highlight w:val="none"/>
        </w:rPr>
      </w:pPr>
    </w:p>
    <w:p w14:paraId="5309402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C51499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168466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杭州市发展和改革委员会（杭州市对口支援和区域合作局）、浙江天辰工程咨询有限公司</w:t>
      </w:r>
      <w:r>
        <w:rPr>
          <w:rFonts w:hint="eastAsia" w:ascii="宋体" w:hAnsi="宋体" w:cs="宋体"/>
          <w:color w:val="auto"/>
          <w:kern w:val="0"/>
          <w:sz w:val="24"/>
          <w:highlight w:val="none"/>
          <w:lang w:val="zh-CN"/>
        </w:rPr>
        <w:t>：</w:t>
      </w:r>
    </w:p>
    <w:p w14:paraId="2028EAD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市发改委2025年深化信创项目-标项一（“数智发改”主平台、OA系统迁移及六统一集成）</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TCZX-ZFCG(F)-2025009】的实施</w:t>
      </w:r>
      <w:r>
        <w:rPr>
          <w:rFonts w:hint="eastAsia" w:ascii="宋体" w:hAnsi="宋体" w:cs="宋体"/>
          <w:color w:val="auto"/>
          <w:kern w:val="0"/>
          <w:sz w:val="24"/>
          <w:highlight w:val="none"/>
          <w:lang w:val="zh-CN"/>
        </w:rPr>
        <w:t>。</w:t>
      </w:r>
    </w:p>
    <w:p w14:paraId="3669AE3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89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F6EAF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697A2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6E468CA">
            <w:pPr>
              <w:spacing w:line="360" w:lineRule="auto"/>
              <w:jc w:val="center"/>
              <w:rPr>
                <w:rFonts w:ascii="宋体" w:hAnsi="宋体" w:cs="宋体"/>
                <w:b/>
                <w:color w:val="auto"/>
                <w:sz w:val="24"/>
                <w:highlight w:val="none"/>
              </w:rPr>
            </w:pPr>
          </w:p>
          <w:p w14:paraId="58023B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502C8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FA20A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28D51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334C225">
            <w:pPr>
              <w:spacing w:line="360" w:lineRule="auto"/>
              <w:jc w:val="center"/>
              <w:rPr>
                <w:rFonts w:ascii="宋体" w:hAnsi="宋体" w:cs="宋体"/>
                <w:b/>
                <w:color w:val="auto"/>
                <w:sz w:val="24"/>
                <w:highlight w:val="none"/>
              </w:rPr>
            </w:pPr>
          </w:p>
          <w:p w14:paraId="746AC6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D2E3DAC">
            <w:pPr>
              <w:spacing w:line="360" w:lineRule="auto"/>
              <w:jc w:val="center"/>
              <w:rPr>
                <w:rFonts w:ascii="宋体" w:hAnsi="宋体" w:cs="宋体"/>
                <w:b/>
                <w:color w:val="auto"/>
                <w:sz w:val="24"/>
                <w:highlight w:val="none"/>
              </w:rPr>
            </w:pPr>
          </w:p>
          <w:p w14:paraId="6B3874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3AF1B88">
            <w:pPr>
              <w:spacing w:line="360" w:lineRule="auto"/>
              <w:jc w:val="center"/>
              <w:rPr>
                <w:rFonts w:ascii="宋体" w:hAnsi="宋体" w:cs="宋体"/>
                <w:b/>
                <w:color w:val="auto"/>
                <w:sz w:val="24"/>
                <w:highlight w:val="none"/>
              </w:rPr>
            </w:pPr>
          </w:p>
        </w:tc>
      </w:tr>
      <w:tr w14:paraId="07D0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2457B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3965E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A7BA3C3">
            <w:pPr>
              <w:snapToGrid w:val="0"/>
              <w:spacing w:line="360" w:lineRule="auto"/>
              <w:jc w:val="center"/>
              <w:rPr>
                <w:rFonts w:ascii="宋体" w:hAnsi="宋体" w:cs="宋体"/>
                <w:color w:val="auto"/>
                <w:sz w:val="24"/>
                <w:highlight w:val="none"/>
              </w:rPr>
            </w:pPr>
          </w:p>
        </w:tc>
        <w:tc>
          <w:tcPr>
            <w:tcW w:w="2410" w:type="dxa"/>
            <w:vAlign w:val="center"/>
          </w:tcPr>
          <w:p w14:paraId="410C2559">
            <w:pPr>
              <w:snapToGrid w:val="0"/>
              <w:spacing w:line="360" w:lineRule="auto"/>
              <w:jc w:val="center"/>
              <w:rPr>
                <w:rFonts w:ascii="宋体" w:hAnsi="宋体" w:cs="宋体"/>
                <w:color w:val="auto"/>
                <w:sz w:val="24"/>
                <w:highlight w:val="none"/>
              </w:rPr>
            </w:pPr>
          </w:p>
        </w:tc>
        <w:tc>
          <w:tcPr>
            <w:tcW w:w="2268" w:type="dxa"/>
            <w:vAlign w:val="center"/>
          </w:tcPr>
          <w:p w14:paraId="62F3D789">
            <w:pPr>
              <w:snapToGrid w:val="0"/>
              <w:spacing w:line="360" w:lineRule="auto"/>
              <w:jc w:val="center"/>
              <w:rPr>
                <w:rFonts w:ascii="宋体" w:hAnsi="宋体" w:cs="宋体"/>
                <w:color w:val="auto"/>
                <w:sz w:val="24"/>
                <w:highlight w:val="none"/>
              </w:rPr>
            </w:pPr>
          </w:p>
        </w:tc>
        <w:tc>
          <w:tcPr>
            <w:tcW w:w="2126" w:type="dxa"/>
            <w:vAlign w:val="center"/>
          </w:tcPr>
          <w:p w14:paraId="00766BB5">
            <w:pPr>
              <w:spacing w:line="360" w:lineRule="auto"/>
              <w:jc w:val="center"/>
              <w:rPr>
                <w:rFonts w:ascii="宋体" w:hAnsi="宋体" w:cs="宋体"/>
                <w:color w:val="auto"/>
                <w:sz w:val="24"/>
                <w:highlight w:val="none"/>
              </w:rPr>
            </w:pPr>
          </w:p>
        </w:tc>
        <w:tc>
          <w:tcPr>
            <w:tcW w:w="2127" w:type="dxa"/>
          </w:tcPr>
          <w:p w14:paraId="7AC7537C">
            <w:pPr>
              <w:spacing w:line="360" w:lineRule="auto"/>
              <w:jc w:val="center"/>
              <w:rPr>
                <w:rFonts w:ascii="宋体" w:hAnsi="宋体" w:cs="宋体"/>
                <w:color w:val="auto"/>
                <w:sz w:val="24"/>
                <w:highlight w:val="none"/>
              </w:rPr>
            </w:pPr>
          </w:p>
        </w:tc>
        <w:tc>
          <w:tcPr>
            <w:tcW w:w="2126" w:type="dxa"/>
            <w:vAlign w:val="center"/>
          </w:tcPr>
          <w:p w14:paraId="6E860BAA">
            <w:pPr>
              <w:spacing w:line="360" w:lineRule="auto"/>
              <w:jc w:val="center"/>
              <w:rPr>
                <w:rFonts w:ascii="宋体" w:hAnsi="宋体" w:cs="宋体"/>
                <w:color w:val="auto"/>
                <w:sz w:val="24"/>
                <w:highlight w:val="none"/>
              </w:rPr>
            </w:pPr>
          </w:p>
        </w:tc>
      </w:tr>
      <w:tr w14:paraId="530E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8254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60525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F45DEA7">
            <w:pPr>
              <w:snapToGrid w:val="0"/>
              <w:spacing w:line="360" w:lineRule="auto"/>
              <w:jc w:val="center"/>
              <w:rPr>
                <w:rFonts w:ascii="宋体" w:hAnsi="宋体" w:cs="宋体"/>
                <w:color w:val="auto"/>
                <w:sz w:val="24"/>
                <w:highlight w:val="none"/>
              </w:rPr>
            </w:pPr>
          </w:p>
        </w:tc>
        <w:tc>
          <w:tcPr>
            <w:tcW w:w="2410" w:type="dxa"/>
            <w:vAlign w:val="center"/>
          </w:tcPr>
          <w:p w14:paraId="64A19D28">
            <w:pPr>
              <w:snapToGrid w:val="0"/>
              <w:spacing w:line="360" w:lineRule="auto"/>
              <w:jc w:val="center"/>
              <w:rPr>
                <w:rFonts w:ascii="宋体" w:hAnsi="宋体" w:cs="宋体"/>
                <w:color w:val="auto"/>
                <w:sz w:val="24"/>
                <w:highlight w:val="none"/>
              </w:rPr>
            </w:pPr>
          </w:p>
        </w:tc>
        <w:tc>
          <w:tcPr>
            <w:tcW w:w="2268" w:type="dxa"/>
            <w:vAlign w:val="center"/>
          </w:tcPr>
          <w:p w14:paraId="369E7ADA">
            <w:pPr>
              <w:snapToGrid w:val="0"/>
              <w:spacing w:line="360" w:lineRule="auto"/>
              <w:jc w:val="center"/>
              <w:rPr>
                <w:rFonts w:ascii="宋体" w:hAnsi="宋体" w:cs="宋体"/>
                <w:color w:val="auto"/>
                <w:sz w:val="24"/>
                <w:highlight w:val="none"/>
              </w:rPr>
            </w:pPr>
          </w:p>
        </w:tc>
        <w:tc>
          <w:tcPr>
            <w:tcW w:w="2126" w:type="dxa"/>
            <w:vAlign w:val="center"/>
          </w:tcPr>
          <w:p w14:paraId="65FE7761">
            <w:pPr>
              <w:spacing w:line="360" w:lineRule="auto"/>
              <w:jc w:val="center"/>
              <w:rPr>
                <w:rFonts w:ascii="宋体" w:hAnsi="宋体" w:cs="宋体"/>
                <w:color w:val="auto"/>
                <w:sz w:val="24"/>
                <w:highlight w:val="none"/>
              </w:rPr>
            </w:pPr>
          </w:p>
        </w:tc>
        <w:tc>
          <w:tcPr>
            <w:tcW w:w="2127" w:type="dxa"/>
          </w:tcPr>
          <w:p w14:paraId="400AB853">
            <w:pPr>
              <w:spacing w:line="360" w:lineRule="auto"/>
              <w:jc w:val="center"/>
              <w:rPr>
                <w:rFonts w:ascii="宋体" w:hAnsi="宋体" w:cs="宋体"/>
                <w:color w:val="auto"/>
                <w:sz w:val="24"/>
                <w:highlight w:val="none"/>
              </w:rPr>
            </w:pPr>
          </w:p>
        </w:tc>
        <w:tc>
          <w:tcPr>
            <w:tcW w:w="2126" w:type="dxa"/>
            <w:vAlign w:val="center"/>
          </w:tcPr>
          <w:p w14:paraId="59BD38C6">
            <w:pPr>
              <w:spacing w:line="360" w:lineRule="auto"/>
              <w:jc w:val="center"/>
              <w:rPr>
                <w:rFonts w:ascii="宋体" w:hAnsi="宋体" w:cs="宋体"/>
                <w:color w:val="auto"/>
                <w:sz w:val="24"/>
                <w:highlight w:val="none"/>
              </w:rPr>
            </w:pPr>
          </w:p>
        </w:tc>
      </w:tr>
      <w:tr w14:paraId="6A34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AF11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5808C28">
            <w:pPr>
              <w:snapToGrid w:val="0"/>
              <w:spacing w:line="360" w:lineRule="auto"/>
              <w:jc w:val="center"/>
              <w:rPr>
                <w:rFonts w:ascii="宋体" w:hAnsi="宋体" w:cs="宋体"/>
                <w:color w:val="auto"/>
                <w:sz w:val="24"/>
                <w:highlight w:val="none"/>
              </w:rPr>
            </w:pPr>
          </w:p>
        </w:tc>
        <w:tc>
          <w:tcPr>
            <w:tcW w:w="2268" w:type="dxa"/>
            <w:vAlign w:val="center"/>
          </w:tcPr>
          <w:p w14:paraId="72330632">
            <w:pPr>
              <w:snapToGrid w:val="0"/>
              <w:spacing w:line="360" w:lineRule="auto"/>
              <w:jc w:val="center"/>
              <w:rPr>
                <w:rFonts w:ascii="宋体" w:hAnsi="宋体" w:cs="宋体"/>
                <w:color w:val="auto"/>
                <w:sz w:val="24"/>
                <w:highlight w:val="none"/>
              </w:rPr>
            </w:pPr>
          </w:p>
        </w:tc>
        <w:tc>
          <w:tcPr>
            <w:tcW w:w="2410" w:type="dxa"/>
            <w:vAlign w:val="center"/>
          </w:tcPr>
          <w:p w14:paraId="517C91C5">
            <w:pPr>
              <w:snapToGrid w:val="0"/>
              <w:spacing w:line="360" w:lineRule="auto"/>
              <w:jc w:val="center"/>
              <w:rPr>
                <w:rFonts w:ascii="宋体" w:hAnsi="宋体" w:cs="宋体"/>
                <w:color w:val="auto"/>
                <w:sz w:val="24"/>
                <w:highlight w:val="none"/>
              </w:rPr>
            </w:pPr>
          </w:p>
        </w:tc>
        <w:tc>
          <w:tcPr>
            <w:tcW w:w="2268" w:type="dxa"/>
            <w:vAlign w:val="center"/>
          </w:tcPr>
          <w:p w14:paraId="1E99DA9C">
            <w:pPr>
              <w:snapToGrid w:val="0"/>
              <w:spacing w:line="360" w:lineRule="auto"/>
              <w:jc w:val="center"/>
              <w:rPr>
                <w:rFonts w:ascii="宋体" w:hAnsi="宋体" w:cs="宋体"/>
                <w:color w:val="auto"/>
                <w:sz w:val="24"/>
                <w:highlight w:val="none"/>
              </w:rPr>
            </w:pPr>
          </w:p>
        </w:tc>
        <w:tc>
          <w:tcPr>
            <w:tcW w:w="2126" w:type="dxa"/>
            <w:vAlign w:val="center"/>
          </w:tcPr>
          <w:p w14:paraId="317930C4">
            <w:pPr>
              <w:spacing w:line="360" w:lineRule="auto"/>
              <w:jc w:val="center"/>
              <w:rPr>
                <w:rFonts w:ascii="宋体" w:hAnsi="宋体" w:cs="宋体"/>
                <w:color w:val="auto"/>
                <w:sz w:val="24"/>
                <w:highlight w:val="none"/>
              </w:rPr>
            </w:pPr>
          </w:p>
        </w:tc>
        <w:tc>
          <w:tcPr>
            <w:tcW w:w="2127" w:type="dxa"/>
          </w:tcPr>
          <w:p w14:paraId="5113E3D0">
            <w:pPr>
              <w:spacing w:line="360" w:lineRule="auto"/>
              <w:jc w:val="center"/>
              <w:rPr>
                <w:rFonts w:ascii="宋体" w:hAnsi="宋体" w:cs="宋体"/>
                <w:color w:val="auto"/>
                <w:sz w:val="24"/>
                <w:highlight w:val="none"/>
              </w:rPr>
            </w:pPr>
          </w:p>
        </w:tc>
        <w:tc>
          <w:tcPr>
            <w:tcW w:w="2126" w:type="dxa"/>
            <w:vAlign w:val="center"/>
          </w:tcPr>
          <w:p w14:paraId="466542F4">
            <w:pPr>
              <w:spacing w:line="360" w:lineRule="auto"/>
              <w:jc w:val="center"/>
              <w:rPr>
                <w:rFonts w:ascii="宋体" w:hAnsi="宋体" w:cs="宋体"/>
                <w:color w:val="auto"/>
                <w:sz w:val="24"/>
                <w:highlight w:val="none"/>
              </w:rPr>
            </w:pPr>
          </w:p>
        </w:tc>
      </w:tr>
      <w:tr w14:paraId="5576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071050">
            <w:pPr>
              <w:spacing w:line="360" w:lineRule="auto"/>
              <w:jc w:val="center"/>
              <w:rPr>
                <w:rFonts w:ascii="宋体" w:hAnsi="宋体" w:cs="宋体"/>
                <w:color w:val="auto"/>
                <w:sz w:val="24"/>
                <w:highlight w:val="none"/>
              </w:rPr>
            </w:pPr>
          </w:p>
        </w:tc>
        <w:tc>
          <w:tcPr>
            <w:tcW w:w="992" w:type="dxa"/>
            <w:vAlign w:val="center"/>
          </w:tcPr>
          <w:p w14:paraId="5E8259EC">
            <w:pPr>
              <w:snapToGrid w:val="0"/>
              <w:spacing w:line="360" w:lineRule="auto"/>
              <w:jc w:val="center"/>
              <w:rPr>
                <w:rFonts w:ascii="宋体" w:hAnsi="宋体" w:cs="宋体"/>
                <w:color w:val="auto"/>
                <w:sz w:val="24"/>
                <w:highlight w:val="none"/>
              </w:rPr>
            </w:pPr>
          </w:p>
        </w:tc>
        <w:tc>
          <w:tcPr>
            <w:tcW w:w="2268" w:type="dxa"/>
            <w:vAlign w:val="center"/>
          </w:tcPr>
          <w:p w14:paraId="0A02100C">
            <w:pPr>
              <w:snapToGrid w:val="0"/>
              <w:spacing w:line="360" w:lineRule="auto"/>
              <w:jc w:val="center"/>
              <w:rPr>
                <w:rFonts w:ascii="宋体" w:hAnsi="宋体" w:cs="宋体"/>
                <w:color w:val="auto"/>
                <w:sz w:val="24"/>
                <w:highlight w:val="none"/>
              </w:rPr>
            </w:pPr>
          </w:p>
        </w:tc>
        <w:tc>
          <w:tcPr>
            <w:tcW w:w="2410" w:type="dxa"/>
            <w:vAlign w:val="center"/>
          </w:tcPr>
          <w:p w14:paraId="248477F7">
            <w:pPr>
              <w:snapToGrid w:val="0"/>
              <w:spacing w:line="360" w:lineRule="auto"/>
              <w:jc w:val="center"/>
              <w:rPr>
                <w:rFonts w:ascii="宋体" w:hAnsi="宋体" w:cs="宋体"/>
                <w:color w:val="auto"/>
                <w:sz w:val="24"/>
                <w:highlight w:val="none"/>
              </w:rPr>
            </w:pPr>
          </w:p>
        </w:tc>
        <w:tc>
          <w:tcPr>
            <w:tcW w:w="2268" w:type="dxa"/>
            <w:vAlign w:val="center"/>
          </w:tcPr>
          <w:p w14:paraId="1E9509B7">
            <w:pPr>
              <w:snapToGrid w:val="0"/>
              <w:spacing w:line="360" w:lineRule="auto"/>
              <w:jc w:val="center"/>
              <w:rPr>
                <w:rFonts w:ascii="宋体" w:hAnsi="宋体" w:cs="宋体"/>
                <w:color w:val="auto"/>
                <w:sz w:val="24"/>
                <w:highlight w:val="none"/>
              </w:rPr>
            </w:pPr>
          </w:p>
        </w:tc>
        <w:tc>
          <w:tcPr>
            <w:tcW w:w="2126" w:type="dxa"/>
            <w:vAlign w:val="center"/>
          </w:tcPr>
          <w:p w14:paraId="400149A0">
            <w:pPr>
              <w:spacing w:line="360" w:lineRule="auto"/>
              <w:jc w:val="center"/>
              <w:rPr>
                <w:rFonts w:ascii="宋体" w:hAnsi="宋体" w:cs="宋体"/>
                <w:color w:val="auto"/>
                <w:sz w:val="24"/>
                <w:highlight w:val="none"/>
              </w:rPr>
            </w:pPr>
          </w:p>
        </w:tc>
        <w:tc>
          <w:tcPr>
            <w:tcW w:w="2127" w:type="dxa"/>
          </w:tcPr>
          <w:p w14:paraId="52272B78">
            <w:pPr>
              <w:spacing w:line="360" w:lineRule="auto"/>
              <w:jc w:val="center"/>
              <w:rPr>
                <w:rFonts w:ascii="宋体" w:hAnsi="宋体" w:cs="宋体"/>
                <w:color w:val="auto"/>
                <w:sz w:val="24"/>
                <w:highlight w:val="none"/>
              </w:rPr>
            </w:pPr>
          </w:p>
        </w:tc>
        <w:tc>
          <w:tcPr>
            <w:tcW w:w="2126" w:type="dxa"/>
            <w:vAlign w:val="center"/>
          </w:tcPr>
          <w:p w14:paraId="1C157B0F">
            <w:pPr>
              <w:spacing w:line="360" w:lineRule="auto"/>
              <w:jc w:val="center"/>
              <w:rPr>
                <w:rFonts w:ascii="宋体" w:hAnsi="宋体" w:cs="宋体"/>
                <w:color w:val="auto"/>
                <w:sz w:val="24"/>
                <w:highlight w:val="none"/>
              </w:rPr>
            </w:pPr>
          </w:p>
        </w:tc>
      </w:tr>
      <w:tr w14:paraId="7EEA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A08BBA">
            <w:pPr>
              <w:spacing w:line="360" w:lineRule="auto"/>
              <w:jc w:val="center"/>
              <w:rPr>
                <w:rFonts w:ascii="宋体" w:hAnsi="宋体" w:cs="宋体"/>
                <w:color w:val="auto"/>
                <w:sz w:val="24"/>
                <w:highlight w:val="none"/>
              </w:rPr>
            </w:pPr>
          </w:p>
        </w:tc>
        <w:tc>
          <w:tcPr>
            <w:tcW w:w="992" w:type="dxa"/>
            <w:vAlign w:val="center"/>
          </w:tcPr>
          <w:p w14:paraId="520BB510">
            <w:pPr>
              <w:snapToGrid w:val="0"/>
              <w:spacing w:line="360" w:lineRule="auto"/>
              <w:jc w:val="center"/>
              <w:rPr>
                <w:rFonts w:ascii="宋体" w:hAnsi="宋体" w:cs="宋体"/>
                <w:color w:val="auto"/>
                <w:sz w:val="24"/>
                <w:highlight w:val="none"/>
              </w:rPr>
            </w:pPr>
          </w:p>
        </w:tc>
        <w:tc>
          <w:tcPr>
            <w:tcW w:w="2268" w:type="dxa"/>
            <w:vAlign w:val="center"/>
          </w:tcPr>
          <w:p w14:paraId="73E24245">
            <w:pPr>
              <w:snapToGrid w:val="0"/>
              <w:spacing w:line="360" w:lineRule="auto"/>
              <w:jc w:val="center"/>
              <w:rPr>
                <w:rFonts w:ascii="宋体" w:hAnsi="宋体" w:cs="宋体"/>
                <w:color w:val="auto"/>
                <w:sz w:val="24"/>
                <w:highlight w:val="none"/>
              </w:rPr>
            </w:pPr>
          </w:p>
        </w:tc>
        <w:tc>
          <w:tcPr>
            <w:tcW w:w="2410" w:type="dxa"/>
            <w:vAlign w:val="center"/>
          </w:tcPr>
          <w:p w14:paraId="7F9C6A52">
            <w:pPr>
              <w:snapToGrid w:val="0"/>
              <w:spacing w:line="360" w:lineRule="auto"/>
              <w:jc w:val="center"/>
              <w:rPr>
                <w:rFonts w:ascii="宋体" w:hAnsi="宋体" w:cs="宋体"/>
                <w:color w:val="auto"/>
                <w:sz w:val="24"/>
                <w:highlight w:val="none"/>
              </w:rPr>
            </w:pPr>
          </w:p>
        </w:tc>
        <w:tc>
          <w:tcPr>
            <w:tcW w:w="2268" w:type="dxa"/>
            <w:vAlign w:val="center"/>
          </w:tcPr>
          <w:p w14:paraId="65889229">
            <w:pPr>
              <w:snapToGrid w:val="0"/>
              <w:spacing w:line="360" w:lineRule="auto"/>
              <w:jc w:val="center"/>
              <w:rPr>
                <w:rFonts w:ascii="宋体" w:hAnsi="宋体" w:cs="宋体"/>
                <w:color w:val="auto"/>
                <w:sz w:val="24"/>
                <w:highlight w:val="none"/>
              </w:rPr>
            </w:pPr>
          </w:p>
        </w:tc>
        <w:tc>
          <w:tcPr>
            <w:tcW w:w="2126" w:type="dxa"/>
            <w:vAlign w:val="center"/>
          </w:tcPr>
          <w:p w14:paraId="2BE5296D">
            <w:pPr>
              <w:spacing w:line="360" w:lineRule="auto"/>
              <w:jc w:val="center"/>
              <w:rPr>
                <w:rFonts w:ascii="宋体" w:hAnsi="宋体" w:cs="宋体"/>
                <w:color w:val="auto"/>
                <w:sz w:val="24"/>
                <w:highlight w:val="none"/>
              </w:rPr>
            </w:pPr>
          </w:p>
        </w:tc>
        <w:tc>
          <w:tcPr>
            <w:tcW w:w="2127" w:type="dxa"/>
          </w:tcPr>
          <w:p w14:paraId="1251A7BA">
            <w:pPr>
              <w:spacing w:line="360" w:lineRule="auto"/>
              <w:jc w:val="center"/>
              <w:rPr>
                <w:rFonts w:ascii="宋体" w:hAnsi="宋体" w:cs="宋体"/>
                <w:color w:val="auto"/>
                <w:sz w:val="24"/>
                <w:highlight w:val="none"/>
              </w:rPr>
            </w:pPr>
          </w:p>
        </w:tc>
        <w:tc>
          <w:tcPr>
            <w:tcW w:w="2126" w:type="dxa"/>
            <w:vAlign w:val="center"/>
          </w:tcPr>
          <w:p w14:paraId="13F95A5E">
            <w:pPr>
              <w:spacing w:line="360" w:lineRule="auto"/>
              <w:jc w:val="center"/>
              <w:rPr>
                <w:rFonts w:ascii="宋体" w:hAnsi="宋体" w:cs="宋体"/>
                <w:color w:val="auto"/>
                <w:sz w:val="24"/>
                <w:highlight w:val="none"/>
              </w:rPr>
            </w:pPr>
          </w:p>
        </w:tc>
      </w:tr>
      <w:tr w14:paraId="25B1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C988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0BD7177">
            <w:pPr>
              <w:spacing w:line="360" w:lineRule="auto"/>
              <w:jc w:val="center"/>
              <w:rPr>
                <w:rFonts w:ascii="宋体" w:hAnsi="宋体" w:cs="宋体"/>
                <w:color w:val="auto"/>
                <w:sz w:val="24"/>
                <w:highlight w:val="none"/>
              </w:rPr>
            </w:pPr>
          </w:p>
        </w:tc>
      </w:tr>
      <w:tr w14:paraId="6B72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EFB3B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29D05A9">
            <w:pPr>
              <w:spacing w:line="360" w:lineRule="auto"/>
              <w:jc w:val="center"/>
              <w:rPr>
                <w:rFonts w:ascii="宋体" w:hAnsi="宋体" w:cs="宋体"/>
                <w:color w:val="auto"/>
                <w:sz w:val="24"/>
                <w:highlight w:val="none"/>
              </w:rPr>
            </w:pPr>
          </w:p>
        </w:tc>
      </w:tr>
    </w:tbl>
    <w:p w14:paraId="21C52A9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C7E6BF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0B928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45A8E1D">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FBD46E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CBBDA0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0AE4CF">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B94BD8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8B2DA4B">
      <w:pPr>
        <w:pStyle w:val="81"/>
        <w:ind w:firstLine="480"/>
        <w:rPr>
          <w:rFonts w:ascii="宋体" w:hAnsi="宋体" w:cs="宋体"/>
          <w:b/>
          <w:color w:val="auto"/>
          <w:sz w:val="24"/>
          <w:highlight w:val="none"/>
        </w:rPr>
      </w:pPr>
    </w:p>
    <w:p w14:paraId="39CA4A79">
      <w:pPr>
        <w:pStyle w:val="81"/>
        <w:ind w:firstLine="480"/>
        <w:rPr>
          <w:rFonts w:ascii="宋体" w:hAnsi="宋体" w:cs="宋体"/>
          <w:b/>
          <w:color w:val="auto"/>
          <w:sz w:val="24"/>
          <w:highlight w:val="none"/>
        </w:rPr>
      </w:pPr>
    </w:p>
    <w:p w14:paraId="63505ED7">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D82B36F">
      <w:pPr>
        <w:spacing w:line="360" w:lineRule="auto"/>
        <w:ind w:right="420" w:firstLine="3614" w:firstLineChars="1000"/>
        <w:rPr>
          <w:rFonts w:ascii="宋体" w:hAnsi="宋体" w:cs="宋体"/>
          <w:b/>
          <w:color w:val="auto"/>
          <w:kern w:val="0"/>
          <w:sz w:val="36"/>
          <w:szCs w:val="36"/>
          <w:highlight w:val="none"/>
        </w:rPr>
      </w:pPr>
    </w:p>
    <w:p w14:paraId="3CF456D4">
      <w:pPr>
        <w:spacing w:line="360" w:lineRule="auto"/>
        <w:ind w:right="420" w:firstLine="3614" w:firstLineChars="1000"/>
        <w:rPr>
          <w:rFonts w:ascii="宋体" w:hAnsi="宋体" w:cs="宋体"/>
          <w:b/>
          <w:color w:val="auto"/>
          <w:kern w:val="0"/>
          <w:sz w:val="36"/>
          <w:szCs w:val="36"/>
          <w:highlight w:val="none"/>
        </w:rPr>
      </w:pPr>
    </w:p>
    <w:p w14:paraId="402F9820">
      <w:pPr>
        <w:spacing w:line="360" w:lineRule="auto"/>
        <w:ind w:right="420" w:firstLine="3614" w:firstLineChars="1000"/>
        <w:rPr>
          <w:rFonts w:ascii="宋体" w:hAnsi="宋体" w:cs="宋体"/>
          <w:b/>
          <w:color w:val="auto"/>
          <w:kern w:val="0"/>
          <w:sz w:val="36"/>
          <w:szCs w:val="36"/>
          <w:highlight w:val="none"/>
        </w:rPr>
      </w:pPr>
    </w:p>
    <w:p w14:paraId="422FD2AA">
      <w:pPr>
        <w:spacing w:line="360" w:lineRule="auto"/>
        <w:ind w:right="420" w:firstLine="3614" w:firstLineChars="1000"/>
        <w:rPr>
          <w:rFonts w:ascii="宋体" w:hAnsi="宋体" w:cs="宋体"/>
          <w:b/>
          <w:color w:val="auto"/>
          <w:kern w:val="0"/>
          <w:sz w:val="36"/>
          <w:szCs w:val="36"/>
          <w:highlight w:val="none"/>
        </w:rPr>
      </w:pPr>
    </w:p>
    <w:p w14:paraId="2AB57760">
      <w:pPr>
        <w:spacing w:line="360" w:lineRule="auto"/>
        <w:ind w:right="420" w:firstLine="3614" w:firstLineChars="1000"/>
        <w:rPr>
          <w:rFonts w:ascii="宋体" w:hAnsi="宋体" w:cs="宋体"/>
          <w:b/>
          <w:color w:val="auto"/>
          <w:kern w:val="0"/>
          <w:sz w:val="36"/>
          <w:szCs w:val="36"/>
          <w:highlight w:val="none"/>
        </w:rPr>
      </w:pPr>
    </w:p>
    <w:p w14:paraId="52B17DCF">
      <w:pPr>
        <w:spacing w:line="360" w:lineRule="auto"/>
        <w:ind w:right="420" w:firstLine="3614" w:firstLineChars="1000"/>
        <w:rPr>
          <w:rFonts w:ascii="宋体" w:hAnsi="宋体" w:cs="宋体"/>
          <w:b/>
          <w:color w:val="auto"/>
          <w:kern w:val="0"/>
          <w:sz w:val="36"/>
          <w:szCs w:val="36"/>
          <w:highlight w:val="none"/>
        </w:rPr>
      </w:pPr>
    </w:p>
    <w:p w14:paraId="357CE3C0">
      <w:pPr>
        <w:spacing w:line="360" w:lineRule="auto"/>
        <w:ind w:right="420" w:firstLine="3614" w:firstLineChars="1000"/>
        <w:rPr>
          <w:rFonts w:ascii="宋体" w:hAnsi="宋体" w:cs="宋体"/>
          <w:b/>
          <w:color w:val="auto"/>
          <w:kern w:val="0"/>
          <w:sz w:val="36"/>
          <w:szCs w:val="36"/>
          <w:highlight w:val="none"/>
        </w:rPr>
      </w:pPr>
    </w:p>
    <w:p w14:paraId="2C2C49EF">
      <w:pPr>
        <w:spacing w:line="360" w:lineRule="auto"/>
        <w:ind w:right="420" w:firstLine="3614" w:firstLineChars="1000"/>
        <w:rPr>
          <w:rFonts w:ascii="宋体" w:hAnsi="宋体" w:cs="宋体"/>
          <w:b/>
          <w:color w:val="auto"/>
          <w:kern w:val="0"/>
          <w:sz w:val="36"/>
          <w:szCs w:val="36"/>
          <w:highlight w:val="none"/>
        </w:rPr>
      </w:pPr>
    </w:p>
    <w:p w14:paraId="41F0896F">
      <w:pPr>
        <w:spacing w:line="360" w:lineRule="auto"/>
        <w:ind w:right="420" w:firstLine="3614" w:firstLineChars="1000"/>
        <w:rPr>
          <w:rFonts w:ascii="宋体" w:hAnsi="宋体" w:cs="宋体"/>
          <w:b/>
          <w:color w:val="auto"/>
          <w:kern w:val="0"/>
          <w:sz w:val="36"/>
          <w:szCs w:val="36"/>
          <w:highlight w:val="none"/>
        </w:rPr>
      </w:pPr>
    </w:p>
    <w:p w14:paraId="63DA90B9">
      <w:pPr>
        <w:spacing w:line="360" w:lineRule="auto"/>
        <w:ind w:right="420" w:firstLine="3614" w:firstLineChars="1000"/>
        <w:rPr>
          <w:rFonts w:ascii="宋体" w:hAnsi="宋体" w:cs="宋体"/>
          <w:b/>
          <w:color w:val="auto"/>
          <w:kern w:val="0"/>
          <w:sz w:val="36"/>
          <w:szCs w:val="36"/>
          <w:highlight w:val="none"/>
        </w:rPr>
      </w:pPr>
    </w:p>
    <w:p w14:paraId="1D06FEE2">
      <w:pPr>
        <w:spacing w:line="360" w:lineRule="auto"/>
        <w:ind w:right="420" w:firstLine="3614" w:firstLineChars="1000"/>
        <w:rPr>
          <w:rFonts w:ascii="宋体" w:hAnsi="宋体" w:cs="宋体"/>
          <w:b/>
          <w:color w:val="auto"/>
          <w:kern w:val="0"/>
          <w:sz w:val="36"/>
          <w:szCs w:val="36"/>
          <w:highlight w:val="none"/>
        </w:rPr>
      </w:pPr>
    </w:p>
    <w:p w14:paraId="15C02577">
      <w:pPr>
        <w:spacing w:line="360" w:lineRule="auto"/>
        <w:ind w:right="420" w:firstLine="3614" w:firstLineChars="1000"/>
        <w:rPr>
          <w:rFonts w:ascii="宋体" w:hAnsi="宋体" w:cs="宋体"/>
          <w:b/>
          <w:color w:val="auto"/>
          <w:kern w:val="0"/>
          <w:sz w:val="36"/>
          <w:szCs w:val="36"/>
          <w:highlight w:val="none"/>
        </w:rPr>
      </w:pPr>
    </w:p>
    <w:p w14:paraId="3C130C49">
      <w:pPr>
        <w:pStyle w:val="7"/>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B9DC39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080383F">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3A4799A0">
      <w:pPr>
        <w:spacing w:line="360" w:lineRule="auto"/>
        <w:rPr>
          <w:rFonts w:ascii="宋体" w:hAnsi="宋体" w:cs="宋体"/>
          <w:b/>
          <w:color w:val="auto"/>
          <w:spacing w:val="6"/>
          <w:sz w:val="30"/>
          <w:szCs w:val="30"/>
          <w:highlight w:val="none"/>
        </w:rPr>
      </w:pPr>
    </w:p>
    <w:p w14:paraId="3EC422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市发改委2025年深化信创项目-标项一（“数智发改”主平台、OA系统迁移及六统一集成）</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5F725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174D8D2">
      <w:pPr>
        <w:spacing w:line="360" w:lineRule="auto"/>
        <w:ind w:firstLine="480" w:firstLineChars="200"/>
        <w:rPr>
          <w:rFonts w:ascii="宋体" w:hAnsi="宋体" w:cs="宋体"/>
          <w:color w:val="auto"/>
          <w:sz w:val="24"/>
          <w:highlight w:val="none"/>
        </w:rPr>
      </w:pPr>
    </w:p>
    <w:p w14:paraId="66052C92">
      <w:pPr>
        <w:spacing w:line="360" w:lineRule="auto"/>
        <w:ind w:firstLine="480" w:firstLineChars="200"/>
        <w:rPr>
          <w:rFonts w:ascii="宋体" w:hAnsi="宋体" w:cs="宋体"/>
          <w:color w:val="auto"/>
          <w:sz w:val="24"/>
          <w:highlight w:val="none"/>
        </w:rPr>
      </w:pPr>
    </w:p>
    <w:p w14:paraId="0A5A4A5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1F6A81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2A15699">
      <w:pPr>
        <w:spacing w:line="360" w:lineRule="auto"/>
        <w:ind w:firstLine="480" w:firstLineChars="200"/>
        <w:rPr>
          <w:rFonts w:ascii="宋体" w:hAnsi="宋体" w:cs="宋体"/>
          <w:color w:val="auto"/>
          <w:sz w:val="24"/>
          <w:highlight w:val="none"/>
        </w:rPr>
      </w:pPr>
    </w:p>
    <w:p w14:paraId="7CF1E8E5">
      <w:pPr>
        <w:spacing w:line="360" w:lineRule="auto"/>
        <w:ind w:firstLine="420" w:firstLineChars="200"/>
        <w:rPr>
          <w:rFonts w:ascii="宋体" w:hAnsi="宋体" w:cs="宋体"/>
          <w:color w:val="auto"/>
          <w:highlight w:val="none"/>
        </w:rPr>
      </w:pPr>
    </w:p>
    <w:p w14:paraId="787240FB">
      <w:pPr>
        <w:spacing w:line="360" w:lineRule="auto"/>
        <w:ind w:firstLine="420" w:firstLineChars="200"/>
        <w:rPr>
          <w:rFonts w:ascii="宋体" w:hAnsi="宋体" w:cs="宋体"/>
          <w:color w:val="auto"/>
          <w:highlight w:val="none"/>
        </w:rPr>
      </w:pPr>
    </w:p>
    <w:p w14:paraId="168406C3">
      <w:pPr>
        <w:spacing w:line="360" w:lineRule="auto"/>
        <w:ind w:firstLine="420" w:firstLineChars="200"/>
        <w:rPr>
          <w:rFonts w:ascii="宋体" w:hAnsi="宋体" w:cs="宋体"/>
          <w:color w:val="auto"/>
          <w:highlight w:val="none"/>
        </w:rPr>
      </w:pPr>
    </w:p>
    <w:p w14:paraId="56C64B4C">
      <w:pPr>
        <w:spacing w:line="360" w:lineRule="auto"/>
        <w:ind w:firstLine="420" w:firstLineChars="200"/>
        <w:rPr>
          <w:rFonts w:ascii="宋体" w:hAnsi="宋体" w:cs="宋体"/>
          <w:color w:val="auto"/>
          <w:highlight w:val="none"/>
        </w:rPr>
      </w:pPr>
    </w:p>
    <w:p w14:paraId="10E6241F">
      <w:pPr>
        <w:spacing w:line="360" w:lineRule="auto"/>
        <w:rPr>
          <w:rFonts w:ascii="宋体" w:hAnsi="宋体" w:cs="宋体"/>
          <w:b/>
          <w:color w:val="auto"/>
          <w:sz w:val="24"/>
          <w:highlight w:val="none"/>
        </w:rPr>
      </w:pPr>
    </w:p>
    <w:p w14:paraId="64D6938E">
      <w:pPr>
        <w:spacing w:line="360" w:lineRule="auto"/>
        <w:rPr>
          <w:rFonts w:ascii="宋体" w:hAnsi="宋体" w:cs="宋体"/>
          <w:b/>
          <w:color w:val="auto"/>
          <w:sz w:val="24"/>
          <w:highlight w:val="none"/>
        </w:rPr>
      </w:pPr>
    </w:p>
    <w:p w14:paraId="3DEE115B">
      <w:pPr>
        <w:spacing w:line="360" w:lineRule="auto"/>
        <w:rPr>
          <w:rFonts w:ascii="宋体" w:hAnsi="宋体" w:cs="宋体"/>
          <w:b/>
          <w:color w:val="auto"/>
          <w:sz w:val="24"/>
          <w:highlight w:val="none"/>
        </w:rPr>
      </w:pPr>
    </w:p>
    <w:p w14:paraId="1D5B1123">
      <w:pPr>
        <w:spacing w:line="360" w:lineRule="auto"/>
        <w:rPr>
          <w:rFonts w:ascii="宋体" w:hAnsi="宋体" w:cs="宋体"/>
          <w:b/>
          <w:color w:val="auto"/>
          <w:sz w:val="24"/>
          <w:highlight w:val="none"/>
        </w:rPr>
      </w:pPr>
    </w:p>
    <w:p w14:paraId="505FEDFD">
      <w:pPr>
        <w:spacing w:line="360" w:lineRule="auto"/>
        <w:rPr>
          <w:rFonts w:ascii="宋体" w:hAnsi="宋体" w:cs="宋体"/>
          <w:b/>
          <w:color w:val="auto"/>
          <w:sz w:val="24"/>
          <w:highlight w:val="none"/>
        </w:rPr>
      </w:pPr>
    </w:p>
    <w:p w14:paraId="2FF4DD1C">
      <w:pPr>
        <w:spacing w:line="360" w:lineRule="auto"/>
        <w:rPr>
          <w:rFonts w:ascii="宋体" w:hAnsi="宋体" w:cs="宋体"/>
          <w:b/>
          <w:color w:val="auto"/>
          <w:sz w:val="24"/>
          <w:highlight w:val="none"/>
        </w:rPr>
      </w:pPr>
    </w:p>
    <w:p w14:paraId="557F2100">
      <w:pPr>
        <w:spacing w:line="360" w:lineRule="auto"/>
        <w:jc w:val="left"/>
        <w:rPr>
          <w:rFonts w:ascii="宋体" w:hAnsi="宋体" w:cs="宋体"/>
          <w:b/>
          <w:color w:val="auto"/>
          <w:spacing w:val="6"/>
          <w:sz w:val="32"/>
          <w:szCs w:val="32"/>
          <w:highlight w:val="none"/>
        </w:rPr>
      </w:pPr>
    </w:p>
    <w:p w14:paraId="0EBED34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78797E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752C07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3C600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07EF5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888D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AAA6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4DD28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B4E1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0842B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82CC2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43788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D196E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3C802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A9B1D8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F49B0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0EB97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D0BDA7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B1AE98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5AEA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1663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3562C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4DB6B0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50555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D9D07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1CCB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6654F2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E5153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6CA3F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0A30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9FAAA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FE63C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9C79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3ED9960">
      <w:pPr>
        <w:widowControl/>
        <w:spacing w:line="360" w:lineRule="auto"/>
        <w:ind w:firstLine="600" w:firstLineChars="200"/>
        <w:jc w:val="left"/>
        <w:rPr>
          <w:rFonts w:ascii="宋体" w:hAnsi="宋体" w:cs="宋体"/>
          <w:color w:val="auto"/>
          <w:sz w:val="30"/>
          <w:szCs w:val="30"/>
          <w:highlight w:val="none"/>
        </w:rPr>
      </w:pPr>
    </w:p>
    <w:p w14:paraId="04A6AE5B">
      <w:pPr>
        <w:spacing w:line="360" w:lineRule="auto"/>
        <w:jc w:val="center"/>
        <w:rPr>
          <w:rFonts w:ascii="宋体" w:hAnsi="宋体" w:cs="宋体"/>
          <w:b/>
          <w:color w:val="auto"/>
          <w:spacing w:val="6"/>
          <w:sz w:val="32"/>
          <w:szCs w:val="32"/>
          <w:highlight w:val="none"/>
        </w:rPr>
      </w:pPr>
    </w:p>
    <w:p w14:paraId="58138C79">
      <w:pPr>
        <w:spacing w:line="360" w:lineRule="auto"/>
        <w:jc w:val="center"/>
        <w:rPr>
          <w:rFonts w:ascii="宋体" w:hAnsi="宋体" w:cs="宋体"/>
          <w:b/>
          <w:color w:val="auto"/>
          <w:spacing w:val="6"/>
          <w:sz w:val="32"/>
          <w:szCs w:val="32"/>
          <w:highlight w:val="none"/>
        </w:rPr>
      </w:pPr>
    </w:p>
    <w:p w14:paraId="7C54B616">
      <w:pPr>
        <w:spacing w:line="360" w:lineRule="auto"/>
        <w:jc w:val="center"/>
        <w:rPr>
          <w:rFonts w:ascii="宋体" w:hAnsi="宋体" w:cs="宋体"/>
          <w:b/>
          <w:color w:val="auto"/>
          <w:spacing w:val="6"/>
          <w:sz w:val="32"/>
          <w:szCs w:val="32"/>
          <w:highlight w:val="none"/>
        </w:rPr>
      </w:pPr>
    </w:p>
    <w:p w14:paraId="4E528DA1">
      <w:pPr>
        <w:spacing w:line="360" w:lineRule="auto"/>
        <w:jc w:val="center"/>
        <w:rPr>
          <w:rFonts w:ascii="宋体" w:hAnsi="宋体" w:cs="宋体"/>
          <w:b/>
          <w:color w:val="auto"/>
          <w:spacing w:val="6"/>
          <w:sz w:val="32"/>
          <w:szCs w:val="32"/>
          <w:highlight w:val="none"/>
        </w:rPr>
      </w:pPr>
    </w:p>
    <w:p w14:paraId="4ECD5C36">
      <w:pPr>
        <w:spacing w:line="360" w:lineRule="auto"/>
        <w:jc w:val="center"/>
        <w:rPr>
          <w:rFonts w:ascii="宋体" w:hAnsi="宋体" w:cs="宋体"/>
          <w:b/>
          <w:color w:val="auto"/>
          <w:spacing w:val="6"/>
          <w:sz w:val="32"/>
          <w:szCs w:val="32"/>
          <w:highlight w:val="none"/>
        </w:rPr>
      </w:pPr>
    </w:p>
    <w:p w14:paraId="66E66C26">
      <w:pPr>
        <w:spacing w:line="360" w:lineRule="auto"/>
        <w:jc w:val="center"/>
        <w:rPr>
          <w:rFonts w:ascii="宋体" w:hAnsi="宋体" w:cs="宋体"/>
          <w:b/>
          <w:color w:val="auto"/>
          <w:spacing w:val="6"/>
          <w:sz w:val="32"/>
          <w:szCs w:val="32"/>
          <w:highlight w:val="none"/>
        </w:rPr>
      </w:pPr>
    </w:p>
    <w:p w14:paraId="0464F266">
      <w:pPr>
        <w:spacing w:line="360" w:lineRule="auto"/>
        <w:jc w:val="center"/>
        <w:rPr>
          <w:rFonts w:ascii="宋体" w:hAnsi="宋体" w:cs="宋体"/>
          <w:b/>
          <w:color w:val="auto"/>
          <w:spacing w:val="6"/>
          <w:sz w:val="32"/>
          <w:szCs w:val="32"/>
          <w:highlight w:val="none"/>
        </w:rPr>
      </w:pPr>
    </w:p>
    <w:p w14:paraId="572BB21E">
      <w:pPr>
        <w:spacing w:line="360" w:lineRule="auto"/>
        <w:jc w:val="center"/>
        <w:rPr>
          <w:rFonts w:ascii="宋体" w:hAnsi="宋体" w:cs="宋体"/>
          <w:b/>
          <w:color w:val="auto"/>
          <w:spacing w:val="6"/>
          <w:sz w:val="32"/>
          <w:szCs w:val="32"/>
          <w:highlight w:val="none"/>
        </w:rPr>
      </w:pPr>
    </w:p>
    <w:p w14:paraId="3EB1658F">
      <w:pPr>
        <w:spacing w:line="360" w:lineRule="auto"/>
        <w:jc w:val="center"/>
        <w:rPr>
          <w:rFonts w:ascii="宋体" w:hAnsi="宋体" w:cs="宋体"/>
          <w:b/>
          <w:color w:val="auto"/>
          <w:spacing w:val="6"/>
          <w:sz w:val="32"/>
          <w:szCs w:val="32"/>
          <w:highlight w:val="none"/>
        </w:rPr>
      </w:pPr>
    </w:p>
    <w:p w14:paraId="46D44999">
      <w:pPr>
        <w:spacing w:line="360" w:lineRule="auto"/>
        <w:jc w:val="left"/>
        <w:rPr>
          <w:rFonts w:ascii="宋体" w:hAnsi="宋体" w:cs="宋体"/>
          <w:b/>
          <w:color w:val="auto"/>
          <w:spacing w:val="6"/>
          <w:sz w:val="32"/>
          <w:szCs w:val="32"/>
          <w:highlight w:val="none"/>
        </w:rPr>
      </w:pPr>
    </w:p>
    <w:p w14:paraId="13655207">
      <w:pPr>
        <w:spacing w:line="360" w:lineRule="auto"/>
        <w:jc w:val="left"/>
        <w:rPr>
          <w:rFonts w:ascii="宋体" w:hAnsi="宋体" w:cs="宋体"/>
          <w:b/>
          <w:color w:val="auto"/>
          <w:spacing w:val="6"/>
          <w:sz w:val="32"/>
          <w:szCs w:val="32"/>
          <w:highlight w:val="none"/>
        </w:rPr>
      </w:pPr>
    </w:p>
    <w:p w14:paraId="457815A9">
      <w:pPr>
        <w:spacing w:line="360" w:lineRule="auto"/>
        <w:jc w:val="left"/>
        <w:rPr>
          <w:rFonts w:ascii="宋体" w:hAnsi="宋体" w:cs="宋体"/>
          <w:b/>
          <w:color w:val="auto"/>
          <w:spacing w:val="6"/>
          <w:sz w:val="32"/>
          <w:szCs w:val="32"/>
          <w:highlight w:val="none"/>
        </w:rPr>
      </w:pPr>
    </w:p>
    <w:p w14:paraId="22A7F408">
      <w:pPr>
        <w:spacing w:line="360" w:lineRule="auto"/>
        <w:jc w:val="left"/>
        <w:rPr>
          <w:rFonts w:ascii="宋体" w:hAnsi="宋体" w:cs="宋体"/>
          <w:b/>
          <w:color w:val="auto"/>
          <w:spacing w:val="6"/>
          <w:sz w:val="32"/>
          <w:szCs w:val="32"/>
          <w:highlight w:val="none"/>
        </w:rPr>
      </w:pPr>
    </w:p>
    <w:p w14:paraId="678C830E">
      <w:pPr>
        <w:spacing w:line="360" w:lineRule="auto"/>
        <w:jc w:val="left"/>
        <w:rPr>
          <w:rFonts w:ascii="宋体" w:hAnsi="宋体" w:cs="宋体"/>
          <w:b/>
          <w:color w:val="auto"/>
          <w:spacing w:val="6"/>
          <w:sz w:val="32"/>
          <w:szCs w:val="32"/>
          <w:highlight w:val="none"/>
        </w:rPr>
      </w:pPr>
    </w:p>
    <w:p w14:paraId="47D7846C">
      <w:pPr>
        <w:spacing w:line="360" w:lineRule="auto"/>
        <w:jc w:val="left"/>
        <w:rPr>
          <w:rFonts w:ascii="宋体" w:hAnsi="宋体" w:cs="宋体"/>
          <w:b/>
          <w:color w:val="auto"/>
          <w:spacing w:val="6"/>
          <w:sz w:val="32"/>
          <w:szCs w:val="32"/>
          <w:highlight w:val="none"/>
        </w:rPr>
      </w:pPr>
    </w:p>
    <w:p w14:paraId="0A5F79C0">
      <w:pPr>
        <w:spacing w:line="360" w:lineRule="auto"/>
        <w:jc w:val="left"/>
        <w:rPr>
          <w:rFonts w:ascii="宋体" w:hAnsi="宋体" w:cs="宋体"/>
          <w:b/>
          <w:color w:val="auto"/>
          <w:spacing w:val="6"/>
          <w:sz w:val="32"/>
          <w:szCs w:val="32"/>
          <w:highlight w:val="none"/>
        </w:rPr>
      </w:pPr>
    </w:p>
    <w:p w14:paraId="53C75B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02248DE">
      <w:pPr>
        <w:spacing w:line="360" w:lineRule="auto"/>
        <w:jc w:val="center"/>
        <w:rPr>
          <w:rFonts w:ascii="宋体" w:hAnsi="宋体" w:cs="宋体"/>
          <w:b/>
          <w:color w:val="auto"/>
          <w:sz w:val="24"/>
          <w:highlight w:val="none"/>
        </w:rPr>
      </w:pPr>
    </w:p>
    <w:p w14:paraId="1D42B0B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C5DD8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C564E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416F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EC0FE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6A6CC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E0A6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6409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B2CC3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DA2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1670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38FA7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513DB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EEF89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309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1534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BE59E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AA4AC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AE994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EE0E25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3185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386EA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7E3C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CAA87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140C2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453B84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20E15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1F28F5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143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EC1E69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5B486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0C8F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373B6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DE10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59E9AC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381339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6D33B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3291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ECC0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362DB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612A49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EA97E1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A9E8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F2C3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DE471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56590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081AC6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223B00">
      <w:pPr>
        <w:autoSpaceDE w:val="0"/>
        <w:autoSpaceDN w:val="0"/>
        <w:jc w:val="center"/>
        <w:rPr>
          <w:rFonts w:ascii="宋体" w:hAnsi="宋体" w:cs="宋体"/>
          <w:b/>
          <w:color w:val="auto"/>
          <w:spacing w:val="6"/>
          <w:sz w:val="32"/>
          <w:szCs w:val="32"/>
          <w:highlight w:val="none"/>
        </w:rPr>
      </w:pPr>
    </w:p>
    <w:p w14:paraId="7BEA952F">
      <w:pPr>
        <w:autoSpaceDE w:val="0"/>
        <w:autoSpaceDN w:val="0"/>
        <w:jc w:val="center"/>
        <w:rPr>
          <w:rFonts w:ascii="宋体" w:hAnsi="宋体" w:cs="宋体"/>
          <w:b/>
          <w:color w:val="auto"/>
          <w:spacing w:val="6"/>
          <w:sz w:val="32"/>
          <w:szCs w:val="32"/>
          <w:highlight w:val="none"/>
        </w:rPr>
      </w:pPr>
    </w:p>
    <w:p w14:paraId="0796E5B2">
      <w:pPr>
        <w:autoSpaceDE w:val="0"/>
        <w:autoSpaceDN w:val="0"/>
        <w:jc w:val="center"/>
        <w:rPr>
          <w:rFonts w:ascii="宋体" w:hAnsi="宋体" w:cs="宋体"/>
          <w:b/>
          <w:color w:val="auto"/>
          <w:spacing w:val="6"/>
          <w:sz w:val="32"/>
          <w:szCs w:val="32"/>
          <w:highlight w:val="none"/>
        </w:rPr>
      </w:pPr>
    </w:p>
    <w:p w14:paraId="329B258F">
      <w:pPr>
        <w:autoSpaceDE w:val="0"/>
        <w:autoSpaceDN w:val="0"/>
        <w:jc w:val="center"/>
        <w:rPr>
          <w:rFonts w:ascii="宋体" w:hAnsi="宋体" w:cs="宋体"/>
          <w:b/>
          <w:color w:val="auto"/>
          <w:spacing w:val="6"/>
          <w:sz w:val="32"/>
          <w:szCs w:val="32"/>
          <w:highlight w:val="none"/>
        </w:rPr>
      </w:pPr>
    </w:p>
    <w:p w14:paraId="383BA44B">
      <w:pPr>
        <w:autoSpaceDE w:val="0"/>
        <w:autoSpaceDN w:val="0"/>
        <w:jc w:val="center"/>
        <w:rPr>
          <w:rFonts w:ascii="宋体" w:hAnsi="宋体" w:cs="宋体"/>
          <w:b/>
          <w:color w:val="auto"/>
          <w:spacing w:val="6"/>
          <w:sz w:val="32"/>
          <w:szCs w:val="32"/>
          <w:highlight w:val="none"/>
        </w:rPr>
      </w:pPr>
    </w:p>
    <w:p w14:paraId="72D627BA">
      <w:pPr>
        <w:autoSpaceDE w:val="0"/>
        <w:autoSpaceDN w:val="0"/>
        <w:jc w:val="center"/>
        <w:rPr>
          <w:rFonts w:ascii="宋体" w:hAnsi="宋体" w:cs="宋体"/>
          <w:b/>
          <w:color w:val="auto"/>
          <w:spacing w:val="6"/>
          <w:sz w:val="32"/>
          <w:szCs w:val="32"/>
          <w:highlight w:val="none"/>
        </w:rPr>
      </w:pPr>
    </w:p>
    <w:p w14:paraId="171A531A">
      <w:pPr>
        <w:autoSpaceDE w:val="0"/>
        <w:autoSpaceDN w:val="0"/>
        <w:jc w:val="center"/>
        <w:rPr>
          <w:rFonts w:ascii="宋体" w:hAnsi="宋体" w:cs="宋体"/>
          <w:b/>
          <w:color w:val="auto"/>
          <w:spacing w:val="6"/>
          <w:sz w:val="32"/>
          <w:szCs w:val="32"/>
          <w:highlight w:val="none"/>
        </w:rPr>
      </w:pPr>
    </w:p>
    <w:p w14:paraId="2F02406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C707B8E">
      <w:pPr>
        <w:spacing w:line="360" w:lineRule="auto"/>
        <w:rPr>
          <w:rFonts w:ascii="宋体" w:hAnsi="宋体" w:cs="宋体"/>
          <w:color w:val="auto"/>
          <w:sz w:val="24"/>
          <w:highlight w:val="none"/>
          <w:u w:val="single"/>
        </w:rPr>
      </w:pPr>
    </w:p>
    <w:p w14:paraId="7BFDD577">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杭州市发展和改革委员会（杭州市对口支援和区域合作局）、浙江天辰工程咨询有限公司：</w:t>
      </w:r>
    </w:p>
    <w:p w14:paraId="0DBD1CF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你方组织的市发改委2025年深化信创项目-标项一（“数智发改”主平台、OA系统迁移及六统一集成）【招标编号：TCZX-ZFCG(F)-2025009】</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D020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75D1F1F">
      <w:pPr>
        <w:spacing w:line="360" w:lineRule="auto"/>
        <w:ind w:firstLine="494"/>
        <w:rPr>
          <w:rFonts w:ascii="宋体" w:hAnsi="宋体" w:cs="宋体"/>
          <w:color w:val="auto"/>
          <w:sz w:val="24"/>
          <w:highlight w:val="none"/>
        </w:rPr>
      </w:pPr>
    </w:p>
    <w:p w14:paraId="5F3C0E1D">
      <w:pPr>
        <w:spacing w:line="360" w:lineRule="auto"/>
        <w:ind w:firstLine="494"/>
        <w:rPr>
          <w:rFonts w:ascii="宋体" w:hAnsi="宋体" w:cs="宋体"/>
          <w:color w:val="auto"/>
          <w:sz w:val="24"/>
          <w:highlight w:val="none"/>
        </w:rPr>
      </w:pPr>
    </w:p>
    <w:p w14:paraId="1B89CEEB">
      <w:pPr>
        <w:spacing w:line="360" w:lineRule="auto"/>
        <w:ind w:firstLine="494"/>
        <w:rPr>
          <w:rFonts w:ascii="宋体" w:hAnsi="宋体" w:cs="宋体"/>
          <w:color w:val="auto"/>
          <w:sz w:val="24"/>
          <w:highlight w:val="none"/>
        </w:rPr>
      </w:pPr>
    </w:p>
    <w:p w14:paraId="4D28613A">
      <w:pPr>
        <w:spacing w:line="360" w:lineRule="auto"/>
        <w:ind w:firstLine="494"/>
        <w:rPr>
          <w:rFonts w:ascii="宋体" w:hAnsi="宋体" w:cs="宋体"/>
          <w:color w:val="auto"/>
          <w:sz w:val="24"/>
          <w:highlight w:val="none"/>
        </w:rPr>
      </w:pPr>
    </w:p>
    <w:p w14:paraId="203589B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A9B1D7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23CD77">
      <w:pPr>
        <w:rPr>
          <w:rFonts w:ascii="宋体" w:hAnsi="宋体" w:cs="宋体"/>
          <w:color w:val="auto"/>
          <w:sz w:val="24"/>
          <w:highlight w:val="none"/>
        </w:rPr>
      </w:pPr>
      <w:r>
        <w:rPr>
          <w:rFonts w:hint="eastAsia" w:ascii="宋体" w:hAnsi="宋体" w:cs="宋体"/>
          <w:b/>
          <w:bCs/>
          <w:color w:val="auto"/>
          <w:sz w:val="24"/>
          <w:highlight w:val="none"/>
        </w:rPr>
        <w:t>附：</w:t>
      </w:r>
    </w:p>
    <w:p w14:paraId="0F4C2AE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30B5922">
      <w:pPr>
        <w:autoSpaceDE w:val="0"/>
        <w:autoSpaceDN w:val="0"/>
        <w:jc w:val="center"/>
        <w:rPr>
          <w:rFonts w:ascii="宋体" w:hAnsi="宋体" w:cs="宋体"/>
          <w:b/>
          <w:color w:val="auto"/>
          <w:spacing w:val="6"/>
          <w:sz w:val="32"/>
          <w:szCs w:val="32"/>
          <w:highlight w:val="none"/>
        </w:rPr>
      </w:pPr>
    </w:p>
    <w:p w14:paraId="799478E4">
      <w:pPr>
        <w:autoSpaceDE w:val="0"/>
        <w:autoSpaceDN w:val="0"/>
        <w:jc w:val="center"/>
        <w:rPr>
          <w:rFonts w:ascii="宋体" w:hAnsi="宋体" w:cs="宋体"/>
          <w:b/>
          <w:color w:val="auto"/>
          <w:spacing w:val="6"/>
          <w:sz w:val="32"/>
          <w:szCs w:val="32"/>
          <w:highlight w:val="none"/>
        </w:rPr>
      </w:pPr>
    </w:p>
    <w:p w14:paraId="23829C27">
      <w:pPr>
        <w:autoSpaceDE w:val="0"/>
        <w:autoSpaceDN w:val="0"/>
        <w:jc w:val="center"/>
        <w:rPr>
          <w:rFonts w:ascii="宋体" w:hAnsi="宋体" w:cs="宋体"/>
          <w:b/>
          <w:color w:val="auto"/>
          <w:spacing w:val="6"/>
          <w:sz w:val="32"/>
          <w:szCs w:val="32"/>
          <w:highlight w:val="none"/>
        </w:rPr>
      </w:pPr>
    </w:p>
    <w:p w14:paraId="437D1781">
      <w:pPr>
        <w:autoSpaceDE w:val="0"/>
        <w:autoSpaceDN w:val="0"/>
        <w:jc w:val="center"/>
        <w:rPr>
          <w:rFonts w:ascii="宋体" w:hAnsi="宋体" w:cs="宋体"/>
          <w:b/>
          <w:color w:val="auto"/>
          <w:spacing w:val="6"/>
          <w:sz w:val="32"/>
          <w:szCs w:val="32"/>
          <w:highlight w:val="none"/>
        </w:rPr>
      </w:pPr>
    </w:p>
    <w:p w14:paraId="1B4C2B4A">
      <w:pPr>
        <w:autoSpaceDE w:val="0"/>
        <w:autoSpaceDN w:val="0"/>
        <w:jc w:val="center"/>
        <w:rPr>
          <w:rFonts w:ascii="宋体" w:hAnsi="宋体" w:cs="宋体"/>
          <w:b/>
          <w:color w:val="auto"/>
          <w:spacing w:val="6"/>
          <w:sz w:val="32"/>
          <w:szCs w:val="32"/>
          <w:highlight w:val="none"/>
        </w:rPr>
      </w:pPr>
    </w:p>
    <w:p w14:paraId="6597C64F">
      <w:pPr>
        <w:autoSpaceDE w:val="0"/>
        <w:autoSpaceDN w:val="0"/>
        <w:jc w:val="center"/>
        <w:rPr>
          <w:rFonts w:ascii="宋体" w:hAnsi="宋体" w:cs="宋体"/>
          <w:b/>
          <w:color w:val="auto"/>
          <w:spacing w:val="6"/>
          <w:sz w:val="32"/>
          <w:szCs w:val="32"/>
          <w:highlight w:val="none"/>
        </w:rPr>
      </w:pPr>
    </w:p>
    <w:p w14:paraId="254F556F">
      <w:pPr>
        <w:autoSpaceDE w:val="0"/>
        <w:autoSpaceDN w:val="0"/>
        <w:jc w:val="center"/>
        <w:rPr>
          <w:rFonts w:ascii="宋体" w:hAnsi="宋体" w:cs="宋体"/>
          <w:b/>
          <w:color w:val="auto"/>
          <w:spacing w:val="6"/>
          <w:sz w:val="32"/>
          <w:szCs w:val="32"/>
          <w:highlight w:val="none"/>
        </w:rPr>
      </w:pPr>
    </w:p>
    <w:p w14:paraId="1CC89863">
      <w:pPr>
        <w:autoSpaceDE w:val="0"/>
        <w:autoSpaceDN w:val="0"/>
        <w:jc w:val="center"/>
        <w:rPr>
          <w:rFonts w:ascii="宋体" w:hAnsi="宋体" w:cs="宋体"/>
          <w:b/>
          <w:color w:val="auto"/>
          <w:spacing w:val="6"/>
          <w:sz w:val="32"/>
          <w:szCs w:val="32"/>
          <w:highlight w:val="none"/>
        </w:rPr>
      </w:pPr>
    </w:p>
    <w:p w14:paraId="744F9D54">
      <w:pPr>
        <w:autoSpaceDE w:val="0"/>
        <w:autoSpaceDN w:val="0"/>
        <w:jc w:val="center"/>
        <w:rPr>
          <w:rFonts w:ascii="宋体" w:hAnsi="宋体" w:cs="宋体"/>
          <w:b/>
          <w:color w:val="auto"/>
          <w:spacing w:val="6"/>
          <w:sz w:val="32"/>
          <w:szCs w:val="32"/>
          <w:highlight w:val="none"/>
        </w:rPr>
      </w:pPr>
    </w:p>
    <w:p w14:paraId="6E3D007D">
      <w:pPr>
        <w:autoSpaceDE w:val="0"/>
        <w:autoSpaceDN w:val="0"/>
        <w:jc w:val="center"/>
        <w:rPr>
          <w:rFonts w:ascii="宋体" w:hAnsi="宋体" w:cs="宋体"/>
          <w:b/>
          <w:color w:val="auto"/>
          <w:spacing w:val="6"/>
          <w:sz w:val="32"/>
          <w:szCs w:val="32"/>
          <w:highlight w:val="none"/>
        </w:rPr>
      </w:pPr>
    </w:p>
    <w:p w14:paraId="3AB9BE9F">
      <w:pPr>
        <w:autoSpaceDE w:val="0"/>
        <w:autoSpaceDN w:val="0"/>
        <w:jc w:val="center"/>
        <w:rPr>
          <w:rFonts w:ascii="宋体" w:hAnsi="宋体" w:cs="宋体"/>
          <w:b/>
          <w:color w:val="auto"/>
          <w:spacing w:val="6"/>
          <w:sz w:val="32"/>
          <w:szCs w:val="32"/>
          <w:highlight w:val="none"/>
        </w:rPr>
      </w:pPr>
    </w:p>
    <w:p w14:paraId="3C722D9E">
      <w:pPr>
        <w:autoSpaceDE w:val="0"/>
        <w:autoSpaceDN w:val="0"/>
        <w:jc w:val="center"/>
        <w:rPr>
          <w:rFonts w:ascii="宋体" w:hAnsi="宋体" w:cs="宋体"/>
          <w:b/>
          <w:color w:val="auto"/>
          <w:spacing w:val="6"/>
          <w:sz w:val="32"/>
          <w:szCs w:val="32"/>
          <w:highlight w:val="none"/>
        </w:rPr>
      </w:pPr>
    </w:p>
    <w:p w14:paraId="78E11627">
      <w:pPr>
        <w:autoSpaceDE w:val="0"/>
        <w:autoSpaceDN w:val="0"/>
        <w:jc w:val="center"/>
        <w:rPr>
          <w:rFonts w:ascii="宋体" w:hAnsi="宋体" w:cs="宋体"/>
          <w:b/>
          <w:color w:val="auto"/>
          <w:spacing w:val="6"/>
          <w:sz w:val="32"/>
          <w:szCs w:val="32"/>
          <w:highlight w:val="none"/>
        </w:rPr>
      </w:pPr>
    </w:p>
    <w:p w14:paraId="51711C47">
      <w:pPr>
        <w:autoSpaceDE w:val="0"/>
        <w:autoSpaceDN w:val="0"/>
        <w:jc w:val="center"/>
        <w:rPr>
          <w:rFonts w:ascii="宋体" w:hAnsi="宋体" w:cs="宋体"/>
          <w:b/>
          <w:color w:val="auto"/>
          <w:spacing w:val="6"/>
          <w:sz w:val="32"/>
          <w:szCs w:val="32"/>
          <w:highlight w:val="none"/>
        </w:rPr>
      </w:pPr>
    </w:p>
    <w:p w14:paraId="6AC1E104">
      <w:pPr>
        <w:autoSpaceDE w:val="0"/>
        <w:autoSpaceDN w:val="0"/>
        <w:jc w:val="center"/>
        <w:rPr>
          <w:rFonts w:ascii="宋体" w:hAnsi="宋体" w:cs="宋体"/>
          <w:b/>
          <w:color w:val="auto"/>
          <w:spacing w:val="6"/>
          <w:sz w:val="32"/>
          <w:szCs w:val="32"/>
          <w:highlight w:val="none"/>
        </w:rPr>
      </w:pPr>
    </w:p>
    <w:p w14:paraId="566CF29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D8C077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B7A7E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市发改委2025年深化信创项目-标项一（“数智发改”主平台、OA系统迁移及六统一集成）【招标编号：TCZX-ZFCG(F)-2025009】</w:t>
      </w:r>
      <w:r>
        <w:rPr>
          <w:rFonts w:hint="eastAsia" w:ascii="宋体" w:hAnsi="宋体" w:cs="宋体"/>
          <w:color w:val="auto"/>
          <w:kern w:val="0"/>
          <w:sz w:val="24"/>
          <w:highlight w:val="none"/>
          <w:lang w:val="zh-CN"/>
        </w:rPr>
        <w:t xml:space="preserve">投标。 </w:t>
      </w:r>
    </w:p>
    <w:p w14:paraId="519F7D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83383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4251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32B5A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1A09A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C3D8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9F64E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497FBC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2E311AE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0FCDF9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7BED6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E56F8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913F5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7D2BE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3B056A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AA08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4F7B1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877E5C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48719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7AFC8C">
      <w:pPr>
        <w:autoSpaceDE w:val="0"/>
        <w:autoSpaceDN w:val="0"/>
        <w:jc w:val="center"/>
        <w:rPr>
          <w:rFonts w:ascii="宋体" w:hAnsi="宋体" w:cs="宋体"/>
          <w:b/>
          <w:color w:val="auto"/>
          <w:spacing w:val="6"/>
          <w:sz w:val="32"/>
          <w:szCs w:val="32"/>
          <w:highlight w:val="none"/>
        </w:rPr>
      </w:pPr>
    </w:p>
    <w:p w14:paraId="6B6D0B09">
      <w:pPr>
        <w:autoSpaceDE w:val="0"/>
        <w:autoSpaceDN w:val="0"/>
        <w:jc w:val="center"/>
        <w:rPr>
          <w:rFonts w:ascii="宋体" w:hAnsi="宋体" w:cs="宋体"/>
          <w:b/>
          <w:color w:val="auto"/>
          <w:spacing w:val="6"/>
          <w:sz w:val="32"/>
          <w:szCs w:val="32"/>
          <w:highlight w:val="none"/>
        </w:rPr>
      </w:pPr>
    </w:p>
    <w:p w14:paraId="14F6154F">
      <w:pPr>
        <w:autoSpaceDE w:val="0"/>
        <w:autoSpaceDN w:val="0"/>
        <w:jc w:val="center"/>
        <w:rPr>
          <w:rFonts w:ascii="宋体" w:hAnsi="宋体" w:cs="宋体"/>
          <w:b/>
          <w:color w:val="auto"/>
          <w:spacing w:val="6"/>
          <w:sz w:val="32"/>
          <w:szCs w:val="32"/>
          <w:highlight w:val="none"/>
        </w:rPr>
      </w:pPr>
    </w:p>
    <w:p w14:paraId="38985CED">
      <w:pPr>
        <w:autoSpaceDE w:val="0"/>
        <w:autoSpaceDN w:val="0"/>
        <w:jc w:val="center"/>
        <w:rPr>
          <w:rFonts w:ascii="宋体" w:hAnsi="宋体" w:cs="宋体"/>
          <w:b/>
          <w:color w:val="auto"/>
          <w:spacing w:val="6"/>
          <w:sz w:val="32"/>
          <w:szCs w:val="32"/>
          <w:highlight w:val="none"/>
        </w:rPr>
      </w:pPr>
    </w:p>
    <w:p w14:paraId="3FC2081D">
      <w:pPr>
        <w:autoSpaceDE w:val="0"/>
        <w:autoSpaceDN w:val="0"/>
        <w:jc w:val="center"/>
        <w:rPr>
          <w:rFonts w:ascii="宋体" w:hAnsi="宋体" w:cs="宋体"/>
          <w:b/>
          <w:color w:val="auto"/>
          <w:spacing w:val="6"/>
          <w:sz w:val="32"/>
          <w:szCs w:val="32"/>
          <w:highlight w:val="none"/>
        </w:rPr>
      </w:pPr>
    </w:p>
    <w:p w14:paraId="2CC80B7D">
      <w:pPr>
        <w:autoSpaceDE w:val="0"/>
        <w:autoSpaceDN w:val="0"/>
        <w:jc w:val="center"/>
        <w:rPr>
          <w:rFonts w:ascii="宋体" w:hAnsi="宋体" w:cs="宋体"/>
          <w:b/>
          <w:color w:val="auto"/>
          <w:spacing w:val="6"/>
          <w:sz w:val="32"/>
          <w:szCs w:val="32"/>
          <w:highlight w:val="none"/>
        </w:rPr>
      </w:pPr>
    </w:p>
    <w:p w14:paraId="35DF0754">
      <w:pPr>
        <w:autoSpaceDE w:val="0"/>
        <w:autoSpaceDN w:val="0"/>
        <w:jc w:val="center"/>
        <w:rPr>
          <w:rFonts w:ascii="宋体" w:hAnsi="宋体" w:cs="宋体"/>
          <w:b/>
          <w:color w:val="auto"/>
          <w:spacing w:val="6"/>
          <w:sz w:val="32"/>
          <w:szCs w:val="32"/>
          <w:highlight w:val="none"/>
        </w:rPr>
      </w:pPr>
    </w:p>
    <w:p w14:paraId="61D737DC">
      <w:pPr>
        <w:autoSpaceDE w:val="0"/>
        <w:autoSpaceDN w:val="0"/>
        <w:jc w:val="center"/>
        <w:rPr>
          <w:rFonts w:ascii="宋体" w:hAnsi="宋体" w:cs="宋体"/>
          <w:b/>
          <w:color w:val="auto"/>
          <w:spacing w:val="6"/>
          <w:sz w:val="32"/>
          <w:szCs w:val="32"/>
          <w:highlight w:val="none"/>
        </w:rPr>
      </w:pPr>
    </w:p>
    <w:p w14:paraId="66D7998E">
      <w:pPr>
        <w:autoSpaceDE w:val="0"/>
        <w:autoSpaceDN w:val="0"/>
        <w:jc w:val="center"/>
        <w:rPr>
          <w:rFonts w:ascii="宋体" w:hAnsi="宋体" w:cs="宋体"/>
          <w:b/>
          <w:color w:val="auto"/>
          <w:spacing w:val="6"/>
          <w:sz w:val="32"/>
          <w:szCs w:val="32"/>
          <w:highlight w:val="none"/>
        </w:rPr>
      </w:pPr>
    </w:p>
    <w:p w14:paraId="29581580">
      <w:pPr>
        <w:autoSpaceDE w:val="0"/>
        <w:autoSpaceDN w:val="0"/>
        <w:jc w:val="center"/>
        <w:rPr>
          <w:rFonts w:ascii="宋体" w:hAnsi="宋体" w:cs="宋体"/>
          <w:b/>
          <w:color w:val="auto"/>
          <w:spacing w:val="6"/>
          <w:sz w:val="32"/>
          <w:szCs w:val="32"/>
          <w:highlight w:val="none"/>
        </w:rPr>
      </w:pPr>
    </w:p>
    <w:p w14:paraId="52363877">
      <w:pPr>
        <w:autoSpaceDE w:val="0"/>
        <w:autoSpaceDN w:val="0"/>
        <w:jc w:val="center"/>
        <w:rPr>
          <w:rFonts w:ascii="宋体" w:hAnsi="宋体" w:cs="宋体"/>
          <w:b/>
          <w:color w:val="auto"/>
          <w:spacing w:val="6"/>
          <w:sz w:val="32"/>
          <w:szCs w:val="32"/>
          <w:highlight w:val="none"/>
        </w:rPr>
      </w:pPr>
    </w:p>
    <w:p w14:paraId="055541F5">
      <w:pPr>
        <w:autoSpaceDE w:val="0"/>
        <w:autoSpaceDN w:val="0"/>
        <w:jc w:val="center"/>
        <w:rPr>
          <w:rFonts w:ascii="宋体" w:hAnsi="宋体" w:cs="宋体"/>
          <w:b/>
          <w:color w:val="auto"/>
          <w:spacing w:val="6"/>
          <w:sz w:val="32"/>
          <w:szCs w:val="32"/>
          <w:highlight w:val="none"/>
        </w:rPr>
      </w:pPr>
    </w:p>
    <w:p w14:paraId="3C3E007B">
      <w:pPr>
        <w:autoSpaceDE w:val="0"/>
        <w:autoSpaceDN w:val="0"/>
        <w:jc w:val="center"/>
        <w:rPr>
          <w:rFonts w:ascii="宋体" w:hAnsi="宋体" w:cs="宋体"/>
          <w:b/>
          <w:color w:val="auto"/>
          <w:spacing w:val="6"/>
          <w:sz w:val="32"/>
          <w:szCs w:val="32"/>
          <w:highlight w:val="none"/>
        </w:rPr>
      </w:pPr>
    </w:p>
    <w:p w14:paraId="5819700F">
      <w:pPr>
        <w:autoSpaceDE w:val="0"/>
        <w:autoSpaceDN w:val="0"/>
        <w:jc w:val="center"/>
        <w:rPr>
          <w:rFonts w:ascii="宋体" w:hAnsi="宋体" w:cs="宋体"/>
          <w:b/>
          <w:color w:val="auto"/>
          <w:spacing w:val="6"/>
          <w:sz w:val="32"/>
          <w:szCs w:val="32"/>
          <w:highlight w:val="none"/>
        </w:rPr>
      </w:pPr>
    </w:p>
    <w:p w14:paraId="6F9C8223">
      <w:pPr>
        <w:autoSpaceDE w:val="0"/>
        <w:autoSpaceDN w:val="0"/>
        <w:jc w:val="center"/>
        <w:rPr>
          <w:rFonts w:ascii="宋体" w:hAnsi="宋体" w:cs="宋体"/>
          <w:b/>
          <w:color w:val="auto"/>
          <w:spacing w:val="6"/>
          <w:sz w:val="32"/>
          <w:szCs w:val="32"/>
          <w:highlight w:val="none"/>
        </w:rPr>
      </w:pPr>
    </w:p>
    <w:p w14:paraId="4B7978CF">
      <w:pPr>
        <w:autoSpaceDE w:val="0"/>
        <w:autoSpaceDN w:val="0"/>
        <w:jc w:val="center"/>
        <w:rPr>
          <w:rFonts w:ascii="宋体" w:hAnsi="宋体" w:cs="宋体"/>
          <w:b/>
          <w:color w:val="auto"/>
          <w:spacing w:val="6"/>
          <w:sz w:val="32"/>
          <w:szCs w:val="32"/>
          <w:highlight w:val="none"/>
        </w:rPr>
      </w:pPr>
    </w:p>
    <w:p w14:paraId="0FC3A1A7">
      <w:pPr>
        <w:autoSpaceDE w:val="0"/>
        <w:autoSpaceDN w:val="0"/>
        <w:jc w:val="center"/>
        <w:rPr>
          <w:rFonts w:ascii="宋体" w:hAnsi="宋体" w:cs="宋体"/>
          <w:b/>
          <w:color w:val="auto"/>
          <w:spacing w:val="6"/>
          <w:sz w:val="32"/>
          <w:szCs w:val="32"/>
          <w:highlight w:val="none"/>
        </w:rPr>
      </w:pPr>
    </w:p>
    <w:p w14:paraId="350CFA24">
      <w:pPr>
        <w:autoSpaceDE w:val="0"/>
        <w:autoSpaceDN w:val="0"/>
        <w:jc w:val="center"/>
        <w:rPr>
          <w:rFonts w:ascii="宋体" w:hAnsi="宋体" w:cs="宋体"/>
          <w:b/>
          <w:color w:val="auto"/>
          <w:spacing w:val="6"/>
          <w:sz w:val="32"/>
          <w:szCs w:val="32"/>
          <w:highlight w:val="none"/>
        </w:rPr>
      </w:pPr>
    </w:p>
    <w:p w14:paraId="75060E47">
      <w:pPr>
        <w:autoSpaceDE w:val="0"/>
        <w:autoSpaceDN w:val="0"/>
        <w:jc w:val="center"/>
        <w:rPr>
          <w:rFonts w:ascii="宋体" w:hAnsi="宋体" w:cs="宋体"/>
          <w:b/>
          <w:color w:val="auto"/>
          <w:spacing w:val="6"/>
          <w:sz w:val="32"/>
          <w:szCs w:val="32"/>
          <w:highlight w:val="none"/>
        </w:rPr>
      </w:pPr>
    </w:p>
    <w:p w14:paraId="5A93AFA6">
      <w:pPr>
        <w:autoSpaceDE w:val="0"/>
        <w:autoSpaceDN w:val="0"/>
        <w:jc w:val="center"/>
        <w:rPr>
          <w:rFonts w:ascii="宋体" w:hAnsi="宋体" w:cs="宋体"/>
          <w:b/>
          <w:color w:val="auto"/>
          <w:spacing w:val="6"/>
          <w:sz w:val="32"/>
          <w:szCs w:val="32"/>
          <w:highlight w:val="none"/>
        </w:rPr>
      </w:pPr>
    </w:p>
    <w:p w14:paraId="43DD9D4C">
      <w:pPr>
        <w:snapToGrid w:val="0"/>
        <w:spacing w:line="360" w:lineRule="auto"/>
        <w:ind w:firstLine="3666" w:firstLineChars="1100"/>
        <w:rPr>
          <w:rFonts w:ascii="宋体" w:hAnsi="宋体" w:cs="宋体"/>
          <w:b/>
          <w:color w:val="auto"/>
          <w:spacing w:val="6"/>
          <w:sz w:val="32"/>
          <w:szCs w:val="32"/>
          <w:highlight w:val="none"/>
        </w:rPr>
      </w:pPr>
    </w:p>
    <w:p w14:paraId="14D6A2C2">
      <w:pPr>
        <w:snapToGrid w:val="0"/>
        <w:spacing w:line="360" w:lineRule="auto"/>
        <w:ind w:firstLine="3666" w:firstLineChars="1100"/>
        <w:rPr>
          <w:rFonts w:ascii="宋体" w:hAnsi="宋体" w:cs="宋体"/>
          <w:b/>
          <w:color w:val="auto"/>
          <w:spacing w:val="6"/>
          <w:sz w:val="32"/>
          <w:szCs w:val="32"/>
          <w:highlight w:val="none"/>
        </w:rPr>
      </w:pPr>
    </w:p>
    <w:p w14:paraId="77585351">
      <w:pPr>
        <w:snapToGrid w:val="0"/>
        <w:spacing w:line="360" w:lineRule="auto"/>
        <w:ind w:firstLine="3666" w:firstLineChars="1100"/>
        <w:rPr>
          <w:rFonts w:ascii="宋体" w:hAnsi="宋体" w:cs="宋体"/>
          <w:b/>
          <w:color w:val="auto"/>
          <w:spacing w:val="6"/>
          <w:sz w:val="32"/>
          <w:szCs w:val="32"/>
          <w:highlight w:val="none"/>
        </w:rPr>
      </w:pPr>
    </w:p>
    <w:p w14:paraId="70271395">
      <w:pPr>
        <w:snapToGrid w:val="0"/>
        <w:spacing w:line="360" w:lineRule="auto"/>
        <w:ind w:firstLine="3666" w:firstLineChars="1100"/>
        <w:rPr>
          <w:rFonts w:ascii="宋体" w:hAnsi="宋体" w:cs="宋体"/>
          <w:b/>
          <w:color w:val="auto"/>
          <w:spacing w:val="6"/>
          <w:sz w:val="32"/>
          <w:szCs w:val="32"/>
          <w:highlight w:val="none"/>
        </w:rPr>
      </w:pPr>
    </w:p>
    <w:p w14:paraId="2F35115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817E6A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133A0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市发改委2025年深化信创项目-标项一（“数智发改”主平台、OA系统迁移及六统一集成）【招标编号：TCZX-ZFCG(F)-2025009】</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29061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2F9A4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D32B13A">
      <w:pPr>
        <w:pStyle w:val="8"/>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9E31333">
      <w:pPr>
        <w:rPr>
          <w:color w:val="auto"/>
          <w:highlight w:val="none"/>
        </w:rPr>
      </w:pPr>
      <w:r>
        <w:rPr>
          <w:rFonts w:hint="eastAsia"/>
          <w:color w:val="auto"/>
          <w:highlight w:val="none"/>
          <w:lang w:val="zh-CN"/>
        </w:rPr>
        <w:t xml:space="preserve"> </w:t>
      </w:r>
    </w:p>
    <w:p w14:paraId="684EDD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9CFEE4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F7890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DCA4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B8E8D8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1C89D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78DCC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AAC9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26A69B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FC66E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8067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B2CF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1F1A9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4C72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31E05B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33C9C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06266B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2C6913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AAC05A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1E2984">
      <w:pPr>
        <w:autoSpaceDE w:val="0"/>
        <w:autoSpaceDN w:val="0"/>
        <w:jc w:val="center"/>
        <w:rPr>
          <w:rFonts w:ascii="宋体" w:hAnsi="宋体" w:cs="宋体"/>
          <w:b/>
          <w:color w:val="auto"/>
          <w:spacing w:val="6"/>
          <w:sz w:val="32"/>
          <w:szCs w:val="32"/>
          <w:highlight w:val="none"/>
        </w:rPr>
      </w:pPr>
    </w:p>
    <w:p w14:paraId="66860654">
      <w:pPr>
        <w:autoSpaceDE w:val="0"/>
        <w:autoSpaceDN w:val="0"/>
        <w:jc w:val="center"/>
        <w:rPr>
          <w:rFonts w:ascii="宋体" w:hAnsi="宋体" w:cs="宋体"/>
          <w:b/>
          <w:color w:val="auto"/>
          <w:spacing w:val="6"/>
          <w:sz w:val="32"/>
          <w:szCs w:val="32"/>
          <w:highlight w:val="none"/>
        </w:rPr>
      </w:pPr>
    </w:p>
    <w:p w14:paraId="54B10AF3">
      <w:pPr>
        <w:autoSpaceDE w:val="0"/>
        <w:autoSpaceDN w:val="0"/>
        <w:jc w:val="center"/>
        <w:rPr>
          <w:rFonts w:ascii="宋体" w:hAnsi="宋体" w:cs="宋体"/>
          <w:b/>
          <w:color w:val="auto"/>
          <w:spacing w:val="6"/>
          <w:sz w:val="32"/>
          <w:szCs w:val="32"/>
          <w:highlight w:val="none"/>
        </w:rPr>
      </w:pPr>
    </w:p>
    <w:p w14:paraId="21C70B52">
      <w:pPr>
        <w:autoSpaceDE w:val="0"/>
        <w:autoSpaceDN w:val="0"/>
        <w:jc w:val="center"/>
        <w:rPr>
          <w:rFonts w:ascii="宋体" w:hAnsi="宋体" w:cs="宋体"/>
          <w:b/>
          <w:color w:val="auto"/>
          <w:spacing w:val="6"/>
          <w:sz w:val="32"/>
          <w:szCs w:val="32"/>
          <w:highlight w:val="none"/>
        </w:rPr>
      </w:pPr>
    </w:p>
    <w:p w14:paraId="07E59FB6">
      <w:pPr>
        <w:autoSpaceDE w:val="0"/>
        <w:autoSpaceDN w:val="0"/>
        <w:jc w:val="center"/>
        <w:rPr>
          <w:rFonts w:ascii="宋体" w:hAnsi="宋体" w:cs="宋体"/>
          <w:b/>
          <w:color w:val="auto"/>
          <w:spacing w:val="6"/>
          <w:sz w:val="32"/>
          <w:szCs w:val="32"/>
          <w:highlight w:val="none"/>
        </w:rPr>
      </w:pPr>
    </w:p>
    <w:p w14:paraId="5A51C10E">
      <w:pPr>
        <w:autoSpaceDE w:val="0"/>
        <w:autoSpaceDN w:val="0"/>
        <w:jc w:val="center"/>
        <w:rPr>
          <w:rFonts w:ascii="宋体" w:hAnsi="宋体" w:cs="宋体"/>
          <w:b/>
          <w:color w:val="auto"/>
          <w:spacing w:val="6"/>
          <w:sz w:val="32"/>
          <w:szCs w:val="32"/>
          <w:highlight w:val="none"/>
        </w:rPr>
      </w:pPr>
    </w:p>
    <w:p w14:paraId="0351470A">
      <w:pPr>
        <w:autoSpaceDE w:val="0"/>
        <w:autoSpaceDN w:val="0"/>
        <w:jc w:val="center"/>
        <w:rPr>
          <w:rFonts w:ascii="宋体" w:hAnsi="宋体" w:cs="宋体"/>
          <w:b/>
          <w:color w:val="auto"/>
          <w:spacing w:val="6"/>
          <w:sz w:val="32"/>
          <w:szCs w:val="32"/>
          <w:highlight w:val="none"/>
        </w:rPr>
      </w:pPr>
    </w:p>
    <w:p w14:paraId="3C3EC218">
      <w:pPr>
        <w:autoSpaceDE w:val="0"/>
        <w:autoSpaceDN w:val="0"/>
        <w:jc w:val="center"/>
        <w:rPr>
          <w:rFonts w:ascii="宋体" w:hAnsi="宋体" w:cs="宋体"/>
          <w:b/>
          <w:color w:val="auto"/>
          <w:spacing w:val="6"/>
          <w:sz w:val="32"/>
          <w:szCs w:val="32"/>
          <w:highlight w:val="none"/>
        </w:rPr>
      </w:pPr>
    </w:p>
    <w:p w14:paraId="15686D1A">
      <w:pPr>
        <w:autoSpaceDE w:val="0"/>
        <w:autoSpaceDN w:val="0"/>
        <w:jc w:val="center"/>
        <w:rPr>
          <w:rFonts w:ascii="宋体" w:hAnsi="宋体" w:cs="宋体"/>
          <w:b/>
          <w:color w:val="auto"/>
          <w:spacing w:val="6"/>
          <w:sz w:val="32"/>
          <w:szCs w:val="32"/>
          <w:highlight w:val="none"/>
        </w:rPr>
      </w:pPr>
    </w:p>
    <w:p w14:paraId="4014BBD6">
      <w:pPr>
        <w:autoSpaceDE w:val="0"/>
        <w:autoSpaceDN w:val="0"/>
        <w:jc w:val="center"/>
        <w:rPr>
          <w:rFonts w:ascii="宋体" w:hAnsi="宋体" w:cs="宋体"/>
          <w:b/>
          <w:color w:val="auto"/>
          <w:spacing w:val="6"/>
          <w:sz w:val="32"/>
          <w:szCs w:val="32"/>
          <w:highlight w:val="none"/>
        </w:rPr>
      </w:pPr>
    </w:p>
    <w:p w14:paraId="37E5CB1B">
      <w:pPr>
        <w:autoSpaceDE w:val="0"/>
        <w:autoSpaceDN w:val="0"/>
        <w:jc w:val="center"/>
        <w:rPr>
          <w:rFonts w:ascii="宋体" w:hAnsi="宋体" w:cs="宋体"/>
          <w:b/>
          <w:color w:val="auto"/>
          <w:spacing w:val="6"/>
          <w:sz w:val="32"/>
          <w:szCs w:val="32"/>
          <w:highlight w:val="none"/>
        </w:rPr>
      </w:pPr>
    </w:p>
    <w:p w14:paraId="2D3172D8">
      <w:pPr>
        <w:autoSpaceDE w:val="0"/>
        <w:autoSpaceDN w:val="0"/>
        <w:jc w:val="center"/>
        <w:rPr>
          <w:rFonts w:ascii="宋体" w:hAnsi="宋体" w:cs="宋体"/>
          <w:b/>
          <w:color w:val="auto"/>
          <w:spacing w:val="6"/>
          <w:sz w:val="32"/>
          <w:szCs w:val="32"/>
          <w:highlight w:val="none"/>
        </w:rPr>
      </w:pPr>
    </w:p>
    <w:p w14:paraId="19CC061B">
      <w:pPr>
        <w:autoSpaceDE w:val="0"/>
        <w:autoSpaceDN w:val="0"/>
        <w:jc w:val="center"/>
        <w:rPr>
          <w:rFonts w:ascii="宋体" w:hAnsi="宋体" w:cs="宋体"/>
          <w:b/>
          <w:color w:val="auto"/>
          <w:spacing w:val="6"/>
          <w:sz w:val="32"/>
          <w:szCs w:val="32"/>
          <w:highlight w:val="none"/>
        </w:rPr>
      </w:pPr>
    </w:p>
    <w:p w14:paraId="15E0E7EE">
      <w:pPr>
        <w:autoSpaceDE w:val="0"/>
        <w:autoSpaceDN w:val="0"/>
        <w:jc w:val="center"/>
        <w:rPr>
          <w:rFonts w:ascii="宋体" w:hAnsi="宋体" w:cs="宋体"/>
          <w:b/>
          <w:color w:val="auto"/>
          <w:spacing w:val="6"/>
          <w:sz w:val="32"/>
          <w:szCs w:val="32"/>
          <w:highlight w:val="none"/>
        </w:rPr>
      </w:pPr>
    </w:p>
    <w:p w14:paraId="21063F1B">
      <w:pPr>
        <w:autoSpaceDE w:val="0"/>
        <w:autoSpaceDN w:val="0"/>
        <w:jc w:val="center"/>
        <w:rPr>
          <w:rFonts w:ascii="宋体" w:hAnsi="宋体" w:cs="宋体"/>
          <w:b/>
          <w:color w:val="auto"/>
          <w:spacing w:val="6"/>
          <w:sz w:val="32"/>
          <w:szCs w:val="32"/>
          <w:highlight w:val="none"/>
        </w:rPr>
      </w:pPr>
    </w:p>
    <w:p w14:paraId="343BED85">
      <w:pPr>
        <w:autoSpaceDE w:val="0"/>
        <w:autoSpaceDN w:val="0"/>
        <w:jc w:val="center"/>
        <w:rPr>
          <w:rFonts w:ascii="宋体" w:hAnsi="宋体" w:cs="宋体"/>
          <w:b/>
          <w:color w:val="auto"/>
          <w:spacing w:val="6"/>
          <w:sz w:val="32"/>
          <w:szCs w:val="32"/>
          <w:highlight w:val="none"/>
        </w:rPr>
      </w:pPr>
    </w:p>
    <w:p w14:paraId="2E391B7D">
      <w:pPr>
        <w:autoSpaceDE w:val="0"/>
        <w:autoSpaceDN w:val="0"/>
        <w:jc w:val="center"/>
        <w:rPr>
          <w:rFonts w:ascii="宋体" w:hAnsi="宋体" w:cs="宋体"/>
          <w:b/>
          <w:color w:val="auto"/>
          <w:spacing w:val="6"/>
          <w:sz w:val="32"/>
          <w:szCs w:val="32"/>
          <w:highlight w:val="none"/>
        </w:rPr>
      </w:pPr>
    </w:p>
    <w:p w14:paraId="025EAED2">
      <w:pPr>
        <w:autoSpaceDE w:val="0"/>
        <w:autoSpaceDN w:val="0"/>
        <w:jc w:val="center"/>
        <w:rPr>
          <w:rFonts w:ascii="宋体" w:hAnsi="宋体" w:cs="宋体"/>
          <w:b/>
          <w:color w:val="auto"/>
          <w:spacing w:val="6"/>
          <w:sz w:val="32"/>
          <w:szCs w:val="32"/>
          <w:highlight w:val="none"/>
        </w:rPr>
      </w:pPr>
    </w:p>
    <w:p w14:paraId="1ADA6C52">
      <w:pPr>
        <w:autoSpaceDE w:val="0"/>
        <w:autoSpaceDN w:val="0"/>
        <w:jc w:val="center"/>
        <w:rPr>
          <w:rFonts w:ascii="宋体" w:hAnsi="宋体" w:cs="宋体"/>
          <w:b/>
          <w:color w:val="auto"/>
          <w:spacing w:val="6"/>
          <w:sz w:val="32"/>
          <w:szCs w:val="32"/>
          <w:highlight w:val="none"/>
        </w:rPr>
      </w:pPr>
    </w:p>
    <w:p w14:paraId="635E9C7F">
      <w:pPr>
        <w:autoSpaceDE w:val="0"/>
        <w:autoSpaceDN w:val="0"/>
        <w:jc w:val="center"/>
        <w:rPr>
          <w:rFonts w:ascii="宋体" w:hAnsi="宋体" w:cs="宋体"/>
          <w:b/>
          <w:color w:val="auto"/>
          <w:spacing w:val="6"/>
          <w:sz w:val="32"/>
          <w:szCs w:val="32"/>
          <w:highlight w:val="none"/>
        </w:rPr>
      </w:pPr>
    </w:p>
    <w:p w14:paraId="416B9932">
      <w:pPr>
        <w:spacing w:line="360" w:lineRule="auto"/>
        <w:jc w:val="left"/>
        <w:outlineLvl w:val="0"/>
        <w:rPr>
          <w:rFonts w:ascii="宋体" w:hAnsi="宋体" w:cs="宋体"/>
          <w:b/>
          <w:color w:val="auto"/>
          <w:sz w:val="36"/>
          <w:szCs w:val="20"/>
          <w:highlight w:val="none"/>
        </w:rPr>
      </w:pPr>
    </w:p>
    <w:p w14:paraId="27B7E921">
      <w:pPr>
        <w:spacing w:line="360" w:lineRule="auto"/>
        <w:jc w:val="left"/>
        <w:outlineLvl w:val="0"/>
        <w:rPr>
          <w:rFonts w:ascii="宋体" w:hAnsi="宋体" w:cs="宋体"/>
          <w:b/>
          <w:color w:val="auto"/>
          <w:sz w:val="36"/>
          <w:szCs w:val="20"/>
          <w:highlight w:val="none"/>
        </w:rPr>
      </w:pPr>
    </w:p>
    <w:p w14:paraId="59F1865D">
      <w:pPr>
        <w:spacing w:line="360" w:lineRule="auto"/>
        <w:jc w:val="left"/>
        <w:outlineLvl w:val="0"/>
        <w:rPr>
          <w:rFonts w:ascii="宋体" w:hAnsi="宋体" w:cs="宋体"/>
          <w:b/>
          <w:color w:val="auto"/>
          <w:sz w:val="36"/>
          <w:szCs w:val="20"/>
          <w:highlight w:val="none"/>
        </w:rPr>
      </w:pPr>
    </w:p>
    <w:p w14:paraId="6C694EF5">
      <w:pPr>
        <w:spacing w:line="360" w:lineRule="auto"/>
        <w:jc w:val="left"/>
        <w:outlineLvl w:val="0"/>
        <w:rPr>
          <w:rFonts w:ascii="宋体" w:hAnsi="宋体" w:cs="宋体"/>
          <w:b/>
          <w:color w:val="auto"/>
          <w:sz w:val="36"/>
          <w:szCs w:val="20"/>
          <w:highlight w:val="none"/>
        </w:rPr>
      </w:pPr>
    </w:p>
    <w:p w14:paraId="0880E8C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B314B37">
      <w:pPr>
        <w:spacing w:line="360" w:lineRule="auto"/>
        <w:jc w:val="center"/>
        <w:rPr>
          <w:rFonts w:ascii="宋体" w:hAnsi="宋体" w:cs="宋体"/>
          <w:color w:val="auto"/>
          <w:sz w:val="24"/>
          <w:highlight w:val="none"/>
          <w:u w:val="single"/>
        </w:rPr>
      </w:pPr>
    </w:p>
    <w:p w14:paraId="65ACAB1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2F21F9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杭州市发展和改革委员会（杭州市对口支援和区域合作局）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市发改委2025年深化信创项目-标项一（“数智发改”主平台、OA系统迁移及六统一集成）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B42D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106ED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DAB6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58F08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3C89D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850BA9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1696BC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EFD315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20B0602020204020303"/>
    <w:charset w:val="B1"/>
    <w:family w:val="swiss"/>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20B0604020202020204"/>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HP Simplified Jpan">
    <w:panose1 w:val="020B0500000000000000"/>
    <w:charset w:val="86"/>
    <w:family w:val="auto"/>
    <w:pitch w:val="default"/>
    <w:sig w:usb0="E00002FF" w:usb1="38C7EDFA" w:usb2="00000012" w:usb3="00000000" w:csb0="2016019F" w:csb1="41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小标宋">
    <w:altName w:val="微软雅黑"/>
    <w:panose1 w:val="020B0604020202020204"/>
    <w:charset w:val="86"/>
    <w:family w:val="auto"/>
    <w:pitch w:val="default"/>
    <w:sig w:usb0="00000000" w:usb1="00000000" w:usb2="00000000" w:usb3="00000000" w:csb0="00040000" w:csb1="00000000"/>
  </w:font>
  <w:font w:name="方正小标宋简体">
    <w:altName w:val="微软雅黑"/>
    <w:panose1 w:val="020B0604020202020204"/>
    <w:charset w:val="86"/>
    <w:family w:val="script"/>
    <w:pitch w:val="default"/>
    <w:sig w:usb0="00000000" w:usb1="0000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AC3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8B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B0449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56A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F6806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D6B9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CB62E">
    <w:pPr>
      <w:pStyle w:val="41"/>
      <w:framePr w:wrap="around" w:vAnchor="text" w:hAnchor="margin" w:xAlign="right" w:y="1"/>
      <w:rPr>
        <w:rStyle w:val="72"/>
      </w:rPr>
    </w:pPr>
    <w:r>
      <w:fldChar w:fldCharType="begin"/>
    </w:r>
    <w:r>
      <w:rPr>
        <w:rStyle w:val="72"/>
      </w:rPr>
      <w:instrText xml:space="preserve">PAGE  </w:instrText>
    </w:r>
    <w:r>
      <w:fldChar w:fldCharType="end"/>
    </w:r>
  </w:p>
  <w:p w14:paraId="3E49B2AD">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DEE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36110187"/>
    <w:bookmarkStart w:id="402" w:name="_Toc91899912"/>
    <w:bookmarkStart w:id="403" w:name="_Toc164085800"/>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A570D">
    <w:pPr>
      <w:pStyle w:val="41"/>
      <w:framePr w:wrap="around" w:vAnchor="text" w:hAnchor="margin" w:xAlign="right" w:y="1"/>
      <w:rPr>
        <w:rStyle w:val="72"/>
      </w:rPr>
    </w:pPr>
    <w:r>
      <w:fldChar w:fldCharType="begin"/>
    </w:r>
    <w:r>
      <w:rPr>
        <w:rStyle w:val="72"/>
      </w:rPr>
      <w:instrText xml:space="preserve">PAGE  </w:instrText>
    </w:r>
    <w:r>
      <w:fldChar w:fldCharType="end"/>
    </w:r>
  </w:p>
  <w:p w14:paraId="68D4E0A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A52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F8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1CBD4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E40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B87CC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3F7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C4C7E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CA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AD34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89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FAA78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BBE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A8F64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8AC9">
    <w:pPr>
      <w:pStyle w:val="42"/>
      <w:pBdr>
        <w:bottom w:val="single" w:color="auto" w:sz="6" w:space="4"/>
      </w:pBdr>
      <w:jc w:val="right"/>
    </w:pPr>
    <w:r>
      <w:t></w:t>
    </w:r>
    <w:r>
      <w:rPr>
        <w:rFonts w:hint="eastAsia"/>
      </w:rPr>
      <w:t xml:space="preserve">             </w:t>
    </w:r>
    <w:r>
      <w:t>杭州市政府采购公开招标文件</w:t>
    </w:r>
  </w:p>
  <w:p w14:paraId="6A1402A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B791">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971C">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7CB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AA6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8F37">
    <w:pPr>
      <w:pStyle w:val="42"/>
      <w:rPr>
        <w:rFonts w:ascii="仿宋_GB2312" w:eastAsia="仿宋_GB2312"/>
        <w:b/>
        <w:i/>
        <w:u w:val="single"/>
      </w:rPr>
    </w:pPr>
    <w:r>
      <w:t></w:t>
    </w:r>
    <w:r>
      <w:rPr>
        <w:rFonts w:hint="eastAsia"/>
      </w:rPr>
      <w:t xml:space="preserve">                                                  </w:t>
    </w:r>
    <w:r>
      <w:t xml:space="preserve">             杭州市政府采购公开招标文件</w:t>
    </w:r>
  </w:p>
  <w:p w14:paraId="718460D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1D3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B153">
    <w:pPr>
      <w:pStyle w:val="42"/>
      <w:rPr>
        <w:rFonts w:ascii="仿宋_GB2312" w:eastAsia="仿宋_GB2312"/>
        <w:b/>
        <w:i/>
        <w:u w:val="single"/>
      </w:rPr>
    </w:pPr>
    <w:r>
      <w:t></w:t>
    </w:r>
    <w:r>
      <w:rPr>
        <w:rFonts w:hint="eastAsia"/>
      </w:rPr>
      <w:t xml:space="preserve">                                                  </w:t>
    </w:r>
    <w:r>
      <w:t xml:space="preserve">             杭州市政府采购公开招标文件</w:t>
    </w:r>
  </w:p>
  <w:p w14:paraId="462D6EA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0C3E5">
    <w:pPr>
      <w:pStyle w:val="42"/>
    </w:pPr>
    <w:r>
      <w:t></w:t>
    </w:r>
    <w:r>
      <w:rPr>
        <w:rFonts w:hint="eastAsia"/>
      </w:rPr>
      <w:t xml:space="preserve">         </w:t>
    </w:r>
  </w:p>
  <w:p w14:paraId="55CF49A0">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12AA">
    <w:pPr>
      <w:pStyle w:val="42"/>
      <w:rPr>
        <w:rFonts w:ascii="仿宋_GB2312" w:eastAsia="仿宋_GB2312"/>
        <w:b/>
        <w:i/>
        <w:u w:val="single"/>
      </w:rPr>
    </w:pPr>
    <w:r>
      <w:t></w:t>
    </w:r>
    <w:r>
      <w:rPr>
        <w:rFonts w:hint="eastAsia"/>
      </w:rPr>
      <w:t xml:space="preserve">                                                  </w:t>
    </w:r>
    <w:r>
      <w:t>杭州市政府采购公开招标文件</w:t>
    </w:r>
  </w:p>
  <w:p w14:paraId="1FFA931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72B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DB42">
    <w:pPr>
      <w:pStyle w:val="42"/>
      <w:jc w:val="right"/>
      <w:rPr>
        <w:rFonts w:ascii="仿宋_GB2312" w:eastAsia="仿宋_GB2312"/>
        <w:b/>
        <w:i/>
        <w:u w:val="single"/>
      </w:rPr>
    </w:pPr>
    <w:r>
      <w:rPr>
        <w:rFonts w:hint="eastAsia"/>
      </w:rPr>
      <w:t xml:space="preserve">                                  </w:t>
    </w:r>
    <w:r>
      <w:t>杭州市政府采购公开招标文件</w:t>
    </w:r>
  </w:p>
  <w:p w14:paraId="79858469">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63B31"/>
    <w:multiLevelType w:val="singleLevel"/>
    <w:tmpl w:val="90963B31"/>
    <w:lvl w:ilvl="0" w:tentative="0">
      <w:start w:val="1"/>
      <w:numFmt w:val="decimal"/>
      <w:suff w:val="nothing"/>
      <w:lvlText w:val="（%1）"/>
      <w:lvlJc w:val="left"/>
    </w:lvl>
  </w:abstractNum>
  <w:abstractNum w:abstractNumId="1">
    <w:nsid w:val="A68FC389"/>
    <w:multiLevelType w:val="singleLevel"/>
    <w:tmpl w:val="A68FC389"/>
    <w:lvl w:ilvl="0" w:tentative="0">
      <w:start w:val="1"/>
      <w:numFmt w:val="decimal"/>
      <w:suff w:val="nothing"/>
      <w:lvlText w:val="（%1）"/>
      <w:lvlJc w:val="left"/>
    </w:lvl>
  </w:abstractNum>
  <w:abstractNum w:abstractNumId="2">
    <w:nsid w:val="FF2F9945"/>
    <w:multiLevelType w:val="singleLevel"/>
    <w:tmpl w:val="FF2F9945"/>
    <w:lvl w:ilvl="0" w:tentative="0">
      <w:start w:val="9"/>
      <w:numFmt w:val="decimal"/>
      <w:suff w:val="space"/>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89E5D18"/>
    <w:multiLevelType w:val="multilevel"/>
    <w:tmpl w:val="589E5D1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6DA288"/>
    <w:multiLevelType w:val="singleLevel"/>
    <w:tmpl w:val="686DA288"/>
    <w:lvl w:ilvl="0" w:tentative="0">
      <w:start w:val="1"/>
      <w:numFmt w:val="decimal"/>
      <w:suff w:val="space"/>
      <w:lvlText w:val="%1."/>
      <w:lvlJc w:val="left"/>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017"/>
    <w:rsid w:val="00006109"/>
    <w:rsid w:val="00006150"/>
    <w:rsid w:val="000063E8"/>
    <w:rsid w:val="00006725"/>
    <w:rsid w:val="0000675E"/>
    <w:rsid w:val="000070C3"/>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E4E"/>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5D"/>
    <w:rsid w:val="00083E07"/>
    <w:rsid w:val="00084A3E"/>
    <w:rsid w:val="00084D27"/>
    <w:rsid w:val="00084ED6"/>
    <w:rsid w:val="0008580E"/>
    <w:rsid w:val="00085A0E"/>
    <w:rsid w:val="00085C4F"/>
    <w:rsid w:val="00086EFD"/>
    <w:rsid w:val="00086F8A"/>
    <w:rsid w:val="00087031"/>
    <w:rsid w:val="000872FE"/>
    <w:rsid w:val="00090243"/>
    <w:rsid w:val="000904F6"/>
    <w:rsid w:val="00090918"/>
    <w:rsid w:val="00090ED8"/>
    <w:rsid w:val="00090F9F"/>
    <w:rsid w:val="0009145F"/>
    <w:rsid w:val="0009184E"/>
    <w:rsid w:val="00091B4E"/>
    <w:rsid w:val="00092196"/>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4F6"/>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F34"/>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2F"/>
    <w:rsid w:val="00222494"/>
    <w:rsid w:val="00222775"/>
    <w:rsid w:val="00222A31"/>
    <w:rsid w:val="00222CF6"/>
    <w:rsid w:val="00224037"/>
    <w:rsid w:val="002244E4"/>
    <w:rsid w:val="00224D2A"/>
    <w:rsid w:val="00224D8D"/>
    <w:rsid w:val="0022555A"/>
    <w:rsid w:val="00227214"/>
    <w:rsid w:val="00227DDC"/>
    <w:rsid w:val="0023079F"/>
    <w:rsid w:val="00231135"/>
    <w:rsid w:val="00231281"/>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82B"/>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B63"/>
    <w:rsid w:val="003025FE"/>
    <w:rsid w:val="00302A27"/>
    <w:rsid w:val="00303AB6"/>
    <w:rsid w:val="00304640"/>
    <w:rsid w:val="00304AC1"/>
    <w:rsid w:val="00305090"/>
    <w:rsid w:val="00305454"/>
    <w:rsid w:val="00305B9F"/>
    <w:rsid w:val="00305E21"/>
    <w:rsid w:val="003066C6"/>
    <w:rsid w:val="003066FA"/>
    <w:rsid w:val="00306AD6"/>
    <w:rsid w:val="00306C45"/>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0CA"/>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1D7"/>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9C7"/>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952"/>
    <w:rsid w:val="00562FB1"/>
    <w:rsid w:val="00563068"/>
    <w:rsid w:val="0056376A"/>
    <w:rsid w:val="00563B3C"/>
    <w:rsid w:val="00563FEF"/>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9"/>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F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6D0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953"/>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CF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7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50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F8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65C"/>
    <w:rsid w:val="00776EF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4FD"/>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765"/>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B20"/>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451"/>
    <w:rsid w:val="0084357B"/>
    <w:rsid w:val="00844FEB"/>
    <w:rsid w:val="008465B4"/>
    <w:rsid w:val="00846D25"/>
    <w:rsid w:val="00850013"/>
    <w:rsid w:val="008500DD"/>
    <w:rsid w:val="00850A0A"/>
    <w:rsid w:val="00850A94"/>
    <w:rsid w:val="00851CEF"/>
    <w:rsid w:val="00851E96"/>
    <w:rsid w:val="00851F1C"/>
    <w:rsid w:val="0085237B"/>
    <w:rsid w:val="00852FA5"/>
    <w:rsid w:val="008531F9"/>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5B7"/>
    <w:rsid w:val="008E1C24"/>
    <w:rsid w:val="008E1D0C"/>
    <w:rsid w:val="008E2626"/>
    <w:rsid w:val="008E27A9"/>
    <w:rsid w:val="008E323C"/>
    <w:rsid w:val="008E32E0"/>
    <w:rsid w:val="008E35A6"/>
    <w:rsid w:val="008E36D9"/>
    <w:rsid w:val="008E3A5C"/>
    <w:rsid w:val="008E3A9A"/>
    <w:rsid w:val="008E429E"/>
    <w:rsid w:val="008E51AD"/>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635"/>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64"/>
    <w:rsid w:val="00976BBE"/>
    <w:rsid w:val="0098055B"/>
    <w:rsid w:val="00980B30"/>
    <w:rsid w:val="009810BE"/>
    <w:rsid w:val="009817BC"/>
    <w:rsid w:val="009819A7"/>
    <w:rsid w:val="0098220A"/>
    <w:rsid w:val="00982E75"/>
    <w:rsid w:val="00983337"/>
    <w:rsid w:val="009836AA"/>
    <w:rsid w:val="009846BF"/>
    <w:rsid w:val="00984C9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327"/>
    <w:rsid w:val="009A6B3A"/>
    <w:rsid w:val="009A70A3"/>
    <w:rsid w:val="009A7A4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CD6"/>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A8C"/>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620"/>
    <w:rsid w:val="00B718FA"/>
    <w:rsid w:val="00B72A0B"/>
    <w:rsid w:val="00B72CF0"/>
    <w:rsid w:val="00B7380E"/>
    <w:rsid w:val="00B740F6"/>
    <w:rsid w:val="00B74615"/>
    <w:rsid w:val="00B74789"/>
    <w:rsid w:val="00B755B6"/>
    <w:rsid w:val="00B75977"/>
    <w:rsid w:val="00B75A48"/>
    <w:rsid w:val="00B75CC0"/>
    <w:rsid w:val="00B76021"/>
    <w:rsid w:val="00B7608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6CB"/>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92C"/>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A36"/>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70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C2F"/>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190"/>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22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D7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9E7"/>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739"/>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12E"/>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96F"/>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0FC"/>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836"/>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490A"/>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8B7D23"/>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277EE"/>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221357"/>
    <w:rsid w:val="1A3B5C77"/>
    <w:rsid w:val="1A984BAD"/>
    <w:rsid w:val="1AB8220E"/>
    <w:rsid w:val="1AE4166C"/>
    <w:rsid w:val="1AF06CFB"/>
    <w:rsid w:val="1AF11B8D"/>
    <w:rsid w:val="1B11359C"/>
    <w:rsid w:val="1B2A271F"/>
    <w:rsid w:val="1B530544"/>
    <w:rsid w:val="1B713184"/>
    <w:rsid w:val="1B950168"/>
    <w:rsid w:val="1BA209CF"/>
    <w:rsid w:val="1BB4777D"/>
    <w:rsid w:val="1BD75AB8"/>
    <w:rsid w:val="1C0459C2"/>
    <w:rsid w:val="1C1B3B4A"/>
    <w:rsid w:val="1C88086E"/>
    <w:rsid w:val="1D266CE1"/>
    <w:rsid w:val="1D3963AF"/>
    <w:rsid w:val="1D4963E2"/>
    <w:rsid w:val="1D6A673C"/>
    <w:rsid w:val="1D9247AE"/>
    <w:rsid w:val="1DB567EC"/>
    <w:rsid w:val="1DF51A98"/>
    <w:rsid w:val="1E3D060F"/>
    <w:rsid w:val="1E3F7D2E"/>
    <w:rsid w:val="1E4134E4"/>
    <w:rsid w:val="1E420733"/>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4E36DB"/>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8682E"/>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04B85"/>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4257A"/>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D16D1"/>
    <w:rsid w:val="3E5A7334"/>
    <w:rsid w:val="3E7B5D6B"/>
    <w:rsid w:val="3E843E66"/>
    <w:rsid w:val="3E8F51FE"/>
    <w:rsid w:val="3E926F87"/>
    <w:rsid w:val="3E9A59DE"/>
    <w:rsid w:val="3EA5765F"/>
    <w:rsid w:val="3EAF4836"/>
    <w:rsid w:val="3EC33DFA"/>
    <w:rsid w:val="3EC90069"/>
    <w:rsid w:val="3F060E16"/>
    <w:rsid w:val="3F1D1096"/>
    <w:rsid w:val="3F2F0234"/>
    <w:rsid w:val="3F6363FE"/>
    <w:rsid w:val="3F756B8F"/>
    <w:rsid w:val="3F95482B"/>
    <w:rsid w:val="400463A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D71F8E"/>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F09BB"/>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C1C3D"/>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9F0FB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D42415"/>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25E67"/>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95433"/>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20FAF"/>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3600D3"/>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94E0A"/>
    <w:rsid w:val="6E8335BD"/>
    <w:rsid w:val="6E8E12EF"/>
    <w:rsid w:val="6E972936"/>
    <w:rsid w:val="6ED446C5"/>
    <w:rsid w:val="6F2A7D94"/>
    <w:rsid w:val="6F8331F1"/>
    <w:rsid w:val="6FAE1A09"/>
    <w:rsid w:val="6FD75BF8"/>
    <w:rsid w:val="704A0302"/>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52478"/>
    <w:rsid w:val="73C0646E"/>
    <w:rsid w:val="73E7CF11"/>
    <w:rsid w:val="742222F5"/>
    <w:rsid w:val="74476126"/>
    <w:rsid w:val="74706664"/>
    <w:rsid w:val="747F3682"/>
    <w:rsid w:val="749C4185"/>
    <w:rsid w:val="74C80EE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6FE22F4"/>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15321"/>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2E6E5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D97A34"/>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link w:val="122"/>
    <w:qFormat/>
    <w:uiPriority w:val="0"/>
    <w:pPr>
      <w:adjustRightInd/>
      <w:spacing w:after="120" w:line="240" w:lineRule="auto"/>
      <w:ind w:left="420" w:leftChars="200" w:firstLine="210"/>
    </w:pPr>
    <w:rPr>
      <w:sz w:val="21"/>
    </w:rPr>
  </w:style>
  <w:style w:type="paragraph" w:styleId="3">
    <w:name w:val="Body Text Indent"/>
    <w:basedOn w:val="1"/>
    <w:next w:val="2"/>
    <w:link w:val="266"/>
    <w:qFormat/>
    <w:uiPriority w:val="0"/>
    <w:pPr>
      <w:spacing w:line="480" w:lineRule="exact"/>
      <w:ind w:firstLine="480" w:firstLineChars="200"/>
    </w:pPr>
    <w:rPr>
      <w:rFonts w:ascii="宋体" w:hAnsi="宋体"/>
      <w:sz w:val="24"/>
    </w:rPr>
  </w:style>
  <w:style w:type="paragraph" w:styleId="4">
    <w:name w:val="Body Text First Indent"/>
    <w:basedOn w:val="5"/>
    <w:next w:val="1"/>
    <w:link w:val="322"/>
    <w:qFormat/>
    <w:uiPriority w:val="0"/>
    <w:pPr>
      <w:ind w:firstLine="420"/>
    </w:pPr>
    <w:rPr>
      <w:rFonts w:hAnsi="Calibri" w:cs="Times New Roman"/>
      <w:snapToGrid/>
      <w:szCs w:val="20"/>
    </w:rPr>
  </w:style>
  <w:style w:type="paragraph" w:styleId="5">
    <w:name w:val="Body Text"/>
    <w:basedOn w:val="1"/>
    <w:next w:val="6"/>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Plain Text"/>
    <w:basedOn w:val="1"/>
    <w:link w:val="126"/>
    <w:qFormat/>
    <w:uiPriority w:val="0"/>
    <w:rPr>
      <w:rFonts w:ascii="宋体" w:hAnsi="Courier New" w:cs="Arial"/>
      <w:snapToGrid w:val="0"/>
      <w:szCs w:val="21"/>
    </w:rPr>
  </w:style>
  <w:style w:type="paragraph" w:styleId="10">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仿宋_GB2312" w:eastAsia="仿宋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0"/>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3"/>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8"/>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6"/>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1"/>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7"/>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12"/>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5"/>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1"/>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4"/>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11"/>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4"/>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5"/>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0"/>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1"/>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8"/>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9"/>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2"/>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9"/>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7"/>
    <w:qFormat/>
    <w:uiPriority w:val="0"/>
    <w:pPr>
      <w:tabs>
        <w:tab w:val="left" w:pos="840"/>
      </w:tabs>
      <w:adjustRightInd/>
      <w:ind w:left="840" w:hanging="420"/>
    </w:pPr>
  </w:style>
  <w:style w:type="paragraph" w:customStyle="1" w:styleId="627">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1"/>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9"/>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qFormat/>
    <w:uiPriority w:val="0"/>
    <w:pPr>
      <w:tabs>
        <w:tab w:val="left" w:pos="1080"/>
      </w:tabs>
      <w:ind w:left="1080" w:hanging="1080"/>
    </w:pPr>
  </w:style>
  <w:style w:type="paragraph" w:customStyle="1" w:styleId="897">
    <w:name w:val="数字标题1"/>
    <w:basedOn w:val="7"/>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25546</Words>
  <Characters>27124</Characters>
  <Lines>414</Lines>
  <Paragraphs>116</Paragraphs>
  <TotalTime>138</TotalTime>
  <ScaleCrop>false</ScaleCrop>
  <LinksUpToDate>false</LinksUpToDate>
  <CharactersWithSpaces>27621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不惜^_^</cp:lastModifiedBy>
  <cp:lastPrinted>2021-12-28T03:06:00Z</cp:lastPrinted>
  <dcterms:modified xsi:type="dcterms:W3CDTF">2025-07-09T09:28:52Z</dcterms:modified>
  <dc:title>杭州市市民卡扩大发卡工程</dc:title>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ED0419289464489F965ABE243E8CFB14_13</vt:lpwstr>
  </property>
  <property fmtid="{D5CDD505-2E9C-101B-9397-08002B2CF9AE}" pid="5" name="KSOTemplateDocerSaveRecord">
    <vt:lpwstr>eyJoZGlkIjoiNDY2OTMyNGMyN2EzYzcxNDNmMDdlYzA4ZmI3ZmEyMmYiLCJ1c2VySWQiOiI0NTc5MDQxNTMifQ==</vt:lpwstr>
  </property>
</Properties>
</file>