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adjustRightInd/>
        <w:spacing w:line="360" w:lineRule="auto"/>
        <w:jc w:val="both"/>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仿宋_GB2312" w:hAnsi="宋体" w:eastAsia="仿宋_GB2312" w:cs="宋体"/>
          <w:b/>
          <w:sz w:val="48"/>
          <w:szCs w:val="48"/>
        </w:rPr>
      </w:pPr>
      <w:r>
        <w:rPr>
          <w:rFonts w:hint="eastAsia" w:ascii="仿宋_GB2312" w:hAnsi="宋体" w:eastAsia="仿宋_GB2312" w:cs="宋体"/>
          <w:b/>
          <w:sz w:val="48"/>
          <w:szCs w:val="48"/>
        </w:rPr>
        <w:t>杭州市拱墅区综合行政执法局</w:t>
      </w:r>
      <w:r>
        <w:rPr>
          <w:rFonts w:hint="eastAsia" w:ascii="仿宋_GB2312" w:hAnsi="宋体" w:eastAsia="仿宋_GB2312" w:cs="宋体"/>
          <w:b/>
          <w:sz w:val="48"/>
          <w:szCs w:val="48"/>
          <w:lang w:val="en-US" w:eastAsia="zh-CN"/>
        </w:rPr>
        <w:t>2025</w:t>
      </w:r>
      <w:r>
        <w:rPr>
          <w:rFonts w:hint="eastAsia" w:ascii="仿宋_GB2312" w:hAnsi="宋体" w:eastAsia="仿宋_GB2312" w:cs="宋体"/>
          <w:b/>
          <w:sz w:val="48"/>
          <w:szCs w:val="48"/>
        </w:rPr>
        <w:t>年执法执勤用车采购项目</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color w:val="auto"/>
          <w:sz w:val="30"/>
          <w:szCs w:val="30"/>
          <w:highlight w:val="none"/>
        </w:rPr>
        <w:t>GSZFCG-2025-0</w:t>
      </w:r>
      <w:r>
        <w:rPr>
          <w:rFonts w:hint="eastAsia" w:ascii="宋体" w:hAnsi="宋体" w:cs="宋体"/>
          <w:color w:val="auto"/>
          <w:sz w:val="30"/>
          <w:szCs w:val="30"/>
          <w:highlight w:val="none"/>
          <w:lang w:val="en-US" w:eastAsia="zh-CN"/>
        </w:rPr>
        <w:t>29</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ascii="宋体" w:hAnsi="宋体" w:cs="宋体"/>
          <w:bCs/>
          <w:sz w:val="32"/>
          <w:szCs w:val="32"/>
        </w:rPr>
      </w:pPr>
      <w:r>
        <w:rPr>
          <w:rFonts w:hint="eastAsia" w:ascii="宋体" w:hAnsi="宋体" w:cs="宋体"/>
          <w:bCs/>
          <w:sz w:val="32"/>
          <w:szCs w:val="32"/>
        </w:rPr>
        <w:t>杭州市拱墅区综合行政执法局</w:t>
      </w:r>
    </w:p>
    <w:p>
      <w:pPr>
        <w:spacing w:line="360" w:lineRule="auto"/>
        <w:jc w:val="center"/>
        <w:rPr>
          <w:rFonts w:ascii="宋体" w:hAnsi="宋体" w:cs="宋体"/>
          <w:bCs/>
          <w:sz w:val="32"/>
          <w:szCs w:val="32"/>
        </w:rPr>
      </w:pPr>
      <w:r>
        <w:rPr>
          <w:rFonts w:hint="eastAsia" w:ascii="宋体" w:hAnsi="宋体" w:cs="宋体"/>
          <w:bCs/>
          <w:sz w:val="32"/>
          <w:szCs w:val="32"/>
        </w:rPr>
        <w:t>杭州市公共资源交易中心拱墅分中心</w:t>
      </w:r>
    </w:p>
    <w:p>
      <w:pPr>
        <w:snapToGrid w:val="0"/>
        <w:spacing w:line="360" w:lineRule="auto"/>
        <w:jc w:val="center"/>
        <w:rPr>
          <w:rFonts w:hint="default" w:ascii="宋体" w:hAnsi="宋体" w:eastAsia="宋体" w:cs="宋体"/>
          <w:sz w:val="24"/>
          <w:lang w:val="en-US" w:eastAsia="zh-CN"/>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bookmarkStart w:id="0" w:name="_Hlt67893495"/>
      <w:bookmarkEnd w:id="0"/>
      <w:r>
        <w:rPr>
          <w:rFonts w:hint="eastAsia" w:ascii="宋体" w:hAnsi="宋体" w:cs="宋体"/>
          <w:bCs/>
          <w:sz w:val="32"/>
          <w:szCs w:val="32"/>
          <w:lang w:val="en-US" w:eastAsia="zh-CN"/>
        </w:rPr>
        <w:t xml:space="preserve">十九日 </w:t>
      </w:r>
    </w:p>
    <w:p>
      <w:pPr>
        <w:spacing w:line="360" w:lineRule="auto"/>
        <w:jc w:val="center"/>
        <w:rPr>
          <w:rFonts w:hint="eastAsia" w:ascii="宋体" w:hAnsi="宋体" w:cs="宋体"/>
          <w:b/>
          <w:sz w:val="48"/>
          <w:szCs w:val="48"/>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bookmarkEnd w:id="2"/>
    <w:p>
      <w:pPr>
        <w:rPr>
          <w:rFonts w:hint="eastAsia" w:ascii="宋体" w:hAnsi="宋体" w:cs="宋体"/>
          <w:b/>
          <w:sz w:val="36"/>
          <w:szCs w:val="20"/>
        </w:rPr>
      </w:pPr>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br w:type="page"/>
      </w:r>
    </w:p>
    <w:p>
      <w:pPr>
        <w:adjustRightInd/>
        <w:spacing w:line="360" w:lineRule="auto"/>
        <w:ind w:firstLine="361" w:firstLineChars="100"/>
        <w:jc w:val="center"/>
        <w:outlineLvl w:val="0"/>
        <w:rPr>
          <w:rFonts w:ascii="宋体" w:hAnsi="宋体" w:cs="宋体"/>
          <w:b/>
          <w:sz w:val="36"/>
          <w:szCs w:val="20"/>
        </w:rPr>
      </w:pPr>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2" w:firstLineChars="200"/>
        <w:rPr>
          <w:rFonts w:asciiTheme="minorEastAsia" w:hAnsiTheme="minorEastAsia" w:eastAsiaTheme="minorEastAsia"/>
          <w:sz w:val="24"/>
          <w:u w:val="single"/>
        </w:rPr>
      </w:pPr>
      <w:r>
        <w:rPr>
          <w:rFonts w:hint="eastAsia" w:cs="仿宋_GB2312" w:asciiTheme="minorEastAsia" w:hAnsiTheme="minorEastAsia" w:eastAsiaTheme="minorEastAsia"/>
          <w:b/>
          <w:sz w:val="24"/>
          <w:u w:val="single"/>
        </w:rPr>
        <w:t>杭州市拱墅区综合行政执法局202</w:t>
      </w:r>
      <w:r>
        <w:rPr>
          <w:rFonts w:hint="eastAsia" w:cs="仿宋_GB2312" w:asciiTheme="minorEastAsia" w:hAnsiTheme="minorEastAsia" w:eastAsiaTheme="minorEastAsia"/>
          <w:b/>
          <w:sz w:val="24"/>
          <w:u w:val="single"/>
          <w:lang w:val="en-US" w:eastAsia="zh-CN"/>
        </w:rPr>
        <w:t>5</w:t>
      </w:r>
      <w:r>
        <w:rPr>
          <w:rFonts w:hint="eastAsia" w:cs="仿宋_GB2312" w:asciiTheme="minorEastAsia" w:hAnsiTheme="minorEastAsia" w:eastAsiaTheme="minorEastAsia"/>
          <w:b/>
          <w:sz w:val="24"/>
          <w:u w:val="single"/>
        </w:rPr>
        <w:t>年执法执勤用车采购项目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u w:val="single"/>
        </w:rPr>
        <w:t>202</w:t>
      </w:r>
      <w:r>
        <w:rPr>
          <w:rStyle w:val="77"/>
          <w:rFonts w:hint="eastAsia" w:cs="Times New Roman" w:asciiTheme="minorEastAsia" w:hAnsiTheme="minorEastAsia" w:eastAsiaTheme="minorEastAsia"/>
          <w:snapToGrid/>
          <w:color w:val="auto"/>
          <w:kern w:val="2"/>
          <w:sz w:val="24"/>
          <w:szCs w:val="24"/>
          <w:u w:val="single"/>
          <w:lang w:val="en-US" w:eastAsia="zh-CN"/>
        </w:rPr>
        <w:t>5</w:t>
      </w:r>
      <w:r>
        <w:rPr>
          <w:rStyle w:val="77"/>
          <w:rFonts w:hint="eastAsia" w:cs="Times New Roman" w:asciiTheme="minorEastAsia" w:hAnsiTheme="minorEastAsia" w:eastAsiaTheme="minorEastAsia"/>
          <w:snapToGrid/>
          <w:color w:val="auto"/>
          <w:kern w:val="2"/>
          <w:sz w:val="24"/>
          <w:szCs w:val="24"/>
          <w:u w:val="single"/>
        </w:rPr>
        <w:t>年</w:t>
      </w:r>
      <w:r>
        <w:rPr>
          <w:rStyle w:val="77"/>
          <w:rFonts w:hint="eastAsia" w:cs="Times New Roman" w:asciiTheme="minorEastAsia" w:hAnsiTheme="minorEastAsia" w:eastAsiaTheme="minorEastAsia"/>
          <w:snapToGrid/>
          <w:color w:val="auto"/>
          <w:kern w:val="2"/>
          <w:sz w:val="24"/>
          <w:szCs w:val="24"/>
          <w:u w:val="single"/>
          <w:lang w:val="en-US" w:eastAsia="zh-CN"/>
        </w:rPr>
        <w:t>7月10日9</w:t>
      </w:r>
      <w:r>
        <w:rPr>
          <w:rStyle w:val="77"/>
          <w:rFonts w:hint="eastAsia" w:cs="Times New Roman" w:asciiTheme="minorEastAsia" w:hAnsiTheme="minorEastAsia" w:eastAsiaTheme="minorEastAsia"/>
          <w:snapToGrid/>
          <w:color w:val="auto"/>
          <w:kern w:val="2"/>
          <w:sz w:val="24"/>
          <w:szCs w:val="24"/>
          <w:u w:val="single"/>
        </w:rPr>
        <w:t>点</w:t>
      </w:r>
      <w:r>
        <w:rPr>
          <w:rStyle w:val="77"/>
          <w:rFonts w:hint="eastAsia" w:cs="Times New Roman" w:asciiTheme="minorEastAsia" w:hAnsiTheme="minorEastAsia" w:eastAsiaTheme="minorEastAsia"/>
          <w:snapToGrid/>
          <w:color w:val="auto"/>
          <w:kern w:val="2"/>
          <w:sz w:val="24"/>
          <w:szCs w:val="24"/>
          <w:u w:val="single"/>
          <w:lang w:val="en-US" w:eastAsia="zh-CN"/>
        </w:rPr>
        <w:t>30</w:t>
      </w:r>
      <w:r>
        <w:rPr>
          <w:rStyle w:val="77"/>
          <w:rFonts w:hint="eastAsia" w:cs="Times New Roman" w:asciiTheme="minorEastAsia" w:hAnsiTheme="minorEastAsia" w:eastAsiaTheme="minorEastAsia"/>
          <w:snapToGrid/>
          <w:color w:val="auto"/>
          <w:kern w:val="2"/>
          <w:sz w:val="24"/>
          <w:szCs w:val="24"/>
          <w:u w:val="single"/>
        </w:rPr>
        <w:t>分</w:t>
      </w:r>
      <w:r>
        <w:rPr>
          <w:rStyle w:val="77"/>
          <w:rFonts w:hint="eastAsia" w:cs="Times New Roman" w:asciiTheme="minorEastAsia" w:hAnsiTheme="minorEastAsia" w:eastAsiaTheme="minorEastAsia"/>
          <w:bCs/>
          <w:snapToGrid/>
          <w:color w:val="auto"/>
          <w:kern w:val="2"/>
          <w:sz w:val="24"/>
          <w:szCs w:val="24"/>
          <w:u w:val="single"/>
        </w:rPr>
        <w:t>00秒</w:t>
      </w:r>
      <w:r>
        <w:rPr>
          <w:rStyle w:val="77"/>
          <w:rFonts w:hint="eastAsia" w:cs="Times New Roman" w:asciiTheme="minorEastAsia" w:hAnsiTheme="minorEastAsia" w:eastAsiaTheme="minorEastAsia"/>
          <w:bCs/>
          <w:snapToGrid/>
          <w:color w:val="auto"/>
          <w:kern w:val="2"/>
          <w:sz w:val="24"/>
          <w:szCs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outlineLvl w:val="1"/>
        <w:rPr>
          <w:rFonts w:ascii="宋体" w:hAnsi="宋体" w:cs="宋体"/>
          <w:b/>
          <w:sz w:val="24"/>
        </w:rPr>
      </w:pPr>
      <w:r>
        <w:rPr>
          <w:rFonts w:hint="eastAsia" w:ascii="宋体" w:hAnsi="宋体" w:cs="宋体"/>
          <w:b/>
          <w:sz w:val="24"/>
        </w:rPr>
        <w:t xml:space="preserve">一、项目基本情况                                            </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cs="仿宋_GB2312" w:asciiTheme="minorEastAsia" w:hAnsiTheme="minorEastAsia" w:eastAsiaTheme="minorEastAsia"/>
          <w:b/>
          <w:color w:val="auto"/>
          <w:sz w:val="24"/>
          <w:szCs w:val="24"/>
          <w:highlight w:val="none"/>
        </w:rPr>
        <w:t>GSZFCG-2025-0</w:t>
      </w:r>
      <w:r>
        <w:rPr>
          <w:rFonts w:hint="eastAsia" w:cs="仿宋_GB2312" w:asciiTheme="minorEastAsia" w:hAnsiTheme="minorEastAsia" w:eastAsiaTheme="minorEastAsia"/>
          <w:b/>
          <w:color w:val="auto"/>
          <w:sz w:val="24"/>
          <w:szCs w:val="24"/>
          <w:highlight w:val="none"/>
          <w:lang w:val="en-US" w:eastAsia="zh-CN"/>
        </w:rPr>
        <w:t>29</w:t>
      </w:r>
    </w:p>
    <w:p>
      <w:pPr>
        <w:spacing w:line="360" w:lineRule="auto"/>
        <w:rPr>
          <w:rFonts w:hint="eastAsia" w:ascii="宋体" w:hAnsi="宋体" w:cs="宋体" w:eastAsiaTheme="minorEastAsia"/>
          <w:kern w:val="0"/>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cs="仿宋_GB2312" w:asciiTheme="minorEastAsia" w:hAnsiTheme="minorEastAsia" w:eastAsiaTheme="minorEastAsia"/>
          <w:b/>
          <w:sz w:val="24"/>
        </w:rPr>
        <w:t>杭州市拱墅区综合行政执法局202</w:t>
      </w:r>
      <w:r>
        <w:rPr>
          <w:rFonts w:hint="eastAsia" w:cs="仿宋_GB2312" w:asciiTheme="minorEastAsia" w:hAnsiTheme="minorEastAsia" w:eastAsiaTheme="minorEastAsia"/>
          <w:b/>
          <w:sz w:val="24"/>
          <w:lang w:val="en-US" w:eastAsia="zh-CN"/>
        </w:rPr>
        <w:t>5</w:t>
      </w:r>
      <w:r>
        <w:rPr>
          <w:rFonts w:hint="eastAsia" w:cs="仿宋_GB2312" w:asciiTheme="minorEastAsia" w:hAnsiTheme="minorEastAsia" w:eastAsiaTheme="minorEastAsia"/>
          <w:b/>
          <w:sz w:val="24"/>
        </w:rPr>
        <w:t>年执法执勤用车采购项目</w:t>
      </w:r>
    </w:p>
    <w:p>
      <w:pPr>
        <w:spacing w:line="360" w:lineRule="auto"/>
        <w:ind w:firstLine="480"/>
        <w:rPr>
          <w:rFonts w:hint="default" w:ascii="宋体" w:hAnsi="宋体" w:eastAsia="宋体" w:cs="宋体"/>
          <w:sz w:val="24"/>
          <w:lang w:val="en-US" w:eastAsia="zh-CN"/>
        </w:rPr>
      </w:pPr>
      <w:r>
        <w:rPr>
          <w:rFonts w:hint="eastAsia" w:ascii="宋体" w:hAnsi="宋体" w:cs="宋体"/>
          <w:b/>
          <w:sz w:val="24"/>
        </w:rPr>
        <w:t>预算金额（元）：</w:t>
      </w:r>
      <w:r>
        <w:rPr>
          <w:rFonts w:hint="eastAsia" w:ascii="宋体" w:hAnsi="宋体" w:cs="宋体"/>
          <w:b/>
          <w:bCs/>
          <w:kern w:val="0"/>
          <w:sz w:val="24"/>
          <w:lang w:val="en-US" w:eastAsia="zh-CN"/>
        </w:rPr>
        <w:t>1668000</w:t>
      </w:r>
    </w:p>
    <w:p>
      <w:pPr>
        <w:spacing w:line="360" w:lineRule="auto"/>
        <w:ind w:firstLine="482" w:firstLineChars="200"/>
        <w:rPr>
          <w:rFonts w:hint="default" w:ascii="宋体" w:hAnsi="宋体" w:eastAsia="宋体" w:cs="宋体"/>
          <w:b/>
          <w:sz w:val="24"/>
          <w:lang w:val="en-US" w:eastAsia="zh-CN"/>
        </w:rPr>
      </w:pPr>
      <w:r>
        <w:rPr>
          <w:rFonts w:hint="eastAsia" w:ascii="宋体" w:hAnsi="宋体" w:cs="宋体"/>
          <w:b/>
          <w:sz w:val="24"/>
        </w:rPr>
        <w:t>最高限价（元）：</w:t>
      </w:r>
      <w:r>
        <w:rPr>
          <w:rFonts w:hint="eastAsia" w:ascii="宋体" w:hAnsi="宋体" w:cs="宋体"/>
          <w:b/>
          <w:sz w:val="24"/>
          <w:lang w:val="en-US" w:eastAsia="zh-CN"/>
        </w:rPr>
        <w:t>600000</w:t>
      </w:r>
      <w:r>
        <w:rPr>
          <w:rFonts w:hint="eastAsia" w:ascii="宋体" w:hAnsi="宋体" w:cs="宋体"/>
          <w:b/>
          <w:sz w:val="24"/>
        </w:rPr>
        <w:t>,540000</w:t>
      </w:r>
      <w:r>
        <w:rPr>
          <w:rFonts w:hint="eastAsia" w:ascii="宋体" w:hAnsi="宋体" w:cs="宋体"/>
          <w:b/>
          <w:sz w:val="24"/>
          <w:lang w:val="en-US" w:eastAsia="zh-CN"/>
        </w:rPr>
        <w:t>,528000</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p>
    <w:p>
      <w:pPr>
        <w:pStyle w:val="5"/>
        <w:spacing w:line="360" w:lineRule="auto"/>
        <w:ind w:firstLine="723" w:firstLineChars="300"/>
        <w:rPr>
          <w:rFonts w:hAnsi="宋体" w:cs="宋体"/>
          <w:b/>
          <w:bCs/>
          <w:snapToGrid/>
          <w:color w:val="auto"/>
          <w:kern w:val="2"/>
          <w:sz w:val="24"/>
          <w:szCs w:val="24"/>
        </w:rPr>
      </w:pPr>
      <w:r>
        <w:rPr>
          <w:rFonts w:hint="eastAsia" w:hAnsi="宋体" w:cs="宋体"/>
          <w:b/>
          <w:bCs/>
          <w:snapToGrid/>
          <w:color w:val="auto"/>
          <w:kern w:val="2"/>
          <w:sz w:val="24"/>
          <w:szCs w:val="24"/>
        </w:rPr>
        <w:t>标项一</w:t>
      </w:r>
    </w:p>
    <w:p>
      <w:pPr>
        <w:pStyle w:val="5"/>
        <w:spacing w:line="360" w:lineRule="auto"/>
        <w:ind w:firstLine="720" w:firstLineChars="300"/>
        <w:rPr>
          <w:rFonts w:hAnsi="宋体" w:cs="宋体"/>
          <w:bCs/>
          <w:snapToGrid/>
          <w:color w:val="auto"/>
          <w:kern w:val="2"/>
          <w:sz w:val="24"/>
          <w:szCs w:val="24"/>
        </w:rPr>
      </w:pPr>
      <w:r>
        <w:rPr>
          <w:rFonts w:hint="eastAsia" w:hAnsi="宋体" w:cs="宋体"/>
          <w:bCs/>
          <w:snapToGrid/>
          <w:color w:val="auto"/>
          <w:kern w:val="2"/>
          <w:sz w:val="24"/>
          <w:szCs w:val="24"/>
        </w:rPr>
        <w:t>标项名称：</w:t>
      </w:r>
      <w:r>
        <w:rPr>
          <w:rFonts w:hint="eastAsia" w:hAnsi="宋体" w:cs="宋体"/>
          <w:b/>
          <w:snapToGrid/>
          <w:color w:val="auto"/>
          <w:kern w:val="2"/>
          <w:sz w:val="24"/>
          <w:szCs w:val="24"/>
        </w:rPr>
        <w:t>执法执勤车（7座乘用车）</w:t>
      </w:r>
    </w:p>
    <w:p>
      <w:pPr>
        <w:pStyle w:val="5"/>
        <w:spacing w:line="360" w:lineRule="auto"/>
        <w:ind w:firstLine="720" w:firstLineChars="300"/>
        <w:rPr>
          <w:rFonts w:hAnsi="宋体" w:cs="宋体"/>
          <w:bCs/>
          <w:snapToGrid/>
          <w:color w:val="auto"/>
          <w:kern w:val="2"/>
          <w:sz w:val="24"/>
          <w:szCs w:val="24"/>
        </w:rPr>
      </w:pPr>
      <w:r>
        <w:rPr>
          <w:rFonts w:hint="eastAsia" w:hAnsi="宋体" w:cs="宋体"/>
          <w:bCs/>
          <w:snapToGrid/>
          <w:color w:val="auto"/>
          <w:kern w:val="2"/>
          <w:sz w:val="24"/>
          <w:szCs w:val="24"/>
        </w:rPr>
        <w:t>数量：</w:t>
      </w:r>
      <w:r>
        <w:rPr>
          <w:rFonts w:hint="eastAsia" w:hAnsi="宋体" w:cs="宋体"/>
          <w:bCs/>
          <w:snapToGrid/>
          <w:color w:val="auto"/>
          <w:kern w:val="2"/>
          <w:sz w:val="24"/>
          <w:szCs w:val="24"/>
          <w:lang w:val="en-US" w:eastAsia="zh-CN"/>
        </w:rPr>
        <w:t>5</w:t>
      </w:r>
      <w:r>
        <w:rPr>
          <w:rFonts w:hint="eastAsia" w:hAnsi="宋体" w:cs="宋体"/>
          <w:b/>
          <w:bCs/>
          <w:snapToGrid/>
          <w:color w:val="auto"/>
          <w:kern w:val="2"/>
          <w:sz w:val="24"/>
          <w:szCs w:val="24"/>
        </w:rPr>
        <w:t>辆</w:t>
      </w:r>
    </w:p>
    <w:p>
      <w:pPr>
        <w:pStyle w:val="5"/>
        <w:spacing w:line="360" w:lineRule="auto"/>
        <w:ind w:firstLine="720" w:firstLineChars="300"/>
        <w:rPr>
          <w:rFonts w:hAnsi="宋体" w:cs="宋体"/>
          <w:bCs/>
          <w:snapToGrid/>
          <w:color w:val="auto"/>
          <w:kern w:val="2"/>
          <w:sz w:val="24"/>
          <w:szCs w:val="24"/>
        </w:rPr>
      </w:pPr>
      <w:r>
        <w:rPr>
          <w:rFonts w:hint="eastAsia" w:hAnsi="宋体" w:cs="宋体"/>
          <w:bCs/>
          <w:snapToGrid/>
          <w:color w:val="auto"/>
          <w:kern w:val="2"/>
          <w:sz w:val="24"/>
          <w:szCs w:val="24"/>
        </w:rPr>
        <w:t>预算金额（元）：</w:t>
      </w:r>
      <w:r>
        <w:rPr>
          <w:rFonts w:hint="eastAsia" w:hAnsi="宋体" w:cs="宋体"/>
          <w:b/>
          <w:color w:val="auto"/>
          <w:sz w:val="24"/>
          <w:lang w:val="en-US" w:eastAsia="zh-CN"/>
        </w:rPr>
        <w:t>60</w:t>
      </w:r>
      <w:r>
        <w:rPr>
          <w:rFonts w:hint="eastAsia" w:hAnsi="宋体" w:cs="宋体"/>
          <w:b/>
          <w:color w:val="auto"/>
          <w:sz w:val="24"/>
        </w:rPr>
        <w:t>0000</w:t>
      </w:r>
    </w:p>
    <w:p>
      <w:pPr>
        <w:pStyle w:val="5"/>
        <w:spacing w:line="360" w:lineRule="auto"/>
        <w:ind w:firstLine="480"/>
        <w:rPr>
          <w:rFonts w:hint="eastAsia" w:ascii="宋体" w:hAnsi="宋体" w:eastAsia="宋体" w:cs="宋体"/>
          <w:bCs/>
          <w:sz w:val="24"/>
        </w:rPr>
      </w:pPr>
      <w:r>
        <w:rPr>
          <w:rFonts w:hint="eastAsia" w:asciiTheme="minorEastAsia" w:hAnsiTheme="minorEastAsia" w:eastAsiaTheme="minorEastAsia"/>
          <w:snapToGrid/>
          <w:color w:val="auto"/>
          <w:kern w:val="2"/>
          <w:sz w:val="24"/>
          <w:szCs w:val="24"/>
          <w:highlight w:val="none"/>
        </w:rPr>
        <w:t>具</w:t>
      </w:r>
      <w:r>
        <w:rPr>
          <w:rFonts w:hint="eastAsia" w:ascii="宋体" w:hAnsi="宋体" w:eastAsia="宋体" w:cs="宋体"/>
          <w:bCs/>
          <w:sz w:val="24"/>
        </w:rPr>
        <w:t>体以招标文件第三部分采购需求为准，供应商可点击本公告下方“浏览采购文件”查看采购需求。</w:t>
      </w:r>
    </w:p>
    <w:p>
      <w:pPr>
        <w:pStyle w:val="5"/>
        <w:spacing w:line="360" w:lineRule="auto"/>
        <w:ind w:firstLine="723" w:firstLineChars="300"/>
        <w:rPr>
          <w:rFonts w:hAnsi="宋体" w:cs="宋体"/>
          <w:b/>
          <w:bCs/>
          <w:snapToGrid/>
          <w:color w:val="auto"/>
          <w:kern w:val="2"/>
          <w:sz w:val="24"/>
          <w:szCs w:val="24"/>
        </w:rPr>
      </w:pPr>
      <w:r>
        <w:rPr>
          <w:rFonts w:hint="eastAsia" w:hAnsi="宋体" w:cs="宋体"/>
          <w:b/>
          <w:bCs/>
          <w:snapToGrid/>
          <w:color w:val="auto"/>
          <w:kern w:val="2"/>
          <w:sz w:val="24"/>
          <w:szCs w:val="24"/>
        </w:rPr>
        <w:t>标项二</w:t>
      </w:r>
    </w:p>
    <w:p>
      <w:pPr>
        <w:pStyle w:val="5"/>
        <w:tabs>
          <w:tab w:val="left" w:pos="491"/>
        </w:tabs>
        <w:spacing w:line="360" w:lineRule="auto"/>
        <w:ind w:firstLine="720" w:firstLineChars="300"/>
        <w:rPr>
          <w:rFonts w:hAnsi="宋体" w:cs="宋体"/>
          <w:bCs/>
          <w:snapToGrid/>
          <w:color w:val="auto"/>
          <w:kern w:val="2"/>
          <w:sz w:val="24"/>
          <w:szCs w:val="24"/>
        </w:rPr>
      </w:pPr>
      <w:r>
        <w:rPr>
          <w:rFonts w:hint="eastAsia" w:hAnsi="宋体" w:cs="宋体"/>
          <w:bCs/>
          <w:snapToGrid/>
          <w:color w:val="auto"/>
          <w:kern w:val="2"/>
          <w:sz w:val="24"/>
          <w:szCs w:val="24"/>
        </w:rPr>
        <w:t>标项名称：</w:t>
      </w:r>
      <w:r>
        <w:rPr>
          <w:rFonts w:hint="eastAsia" w:hAnsi="宋体" w:cs="宋体"/>
          <w:b/>
          <w:snapToGrid/>
          <w:color w:val="auto"/>
          <w:kern w:val="2"/>
          <w:sz w:val="24"/>
          <w:szCs w:val="24"/>
        </w:rPr>
        <w:t>执法执勤车（7座新能源）</w:t>
      </w:r>
    </w:p>
    <w:p>
      <w:pPr>
        <w:pStyle w:val="5"/>
        <w:spacing w:line="360" w:lineRule="auto"/>
        <w:ind w:firstLine="720" w:firstLineChars="300"/>
        <w:rPr>
          <w:rFonts w:hAnsi="宋体" w:cs="宋体"/>
          <w:bCs/>
          <w:snapToGrid/>
          <w:color w:val="auto"/>
          <w:kern w:val="2"/>
          <w:sz w:val="24"/>
          <w:szCs w:val="24"/>
        </w:rPr>
      </w:pPr>
      <w:r>
        <w:rPr>
          <w:rFonts w:hint="eastAsia" w:hAnsi="宋体" w:cs="宋体"/>
          <w:bCs/>
          <w:snapToGrid/>
          <w:color w:val="auto"/>
          <w:kern w:val="2"/>
          <w:sz w:val="24"/>
          <w:szCs w:val="24"/>
        </w:rPr>
        <w:t>数量：</w:t>
      </w:r>
      <w:r>
        <w:rPr>
          <w:rFonts w:hint="eastAsia" w:hAnsi="宋体" w:cs="宋体"/>
          <w:b/>
          <w:snapToGrid/>
          <w:color w:val="auto"/>
          <w:kern w:val="2"/>
          <w:sz w:val="24"/>
          <w:szCs w:val="24"/>
          <w:lang w:val="en-US" w:eastAsia="zh-CN"/>
        </w:rPr>
        <w:t>3</w:t>
      </w:r>
      <w:r>
        <w:rPr>
          <w:rFonts w:hint="eastAsia" w:hAnsi="宋体" w:cs="宋体"/>
          <w:b/>
          <w:snapToGrid/>
          <w:color w:val="auto"/>
          <w:kern w:val="2"/>
          <w:sz w:val="24"/>
          <w:szCs w:val="24"/>
        </w:rPr>
        <w:t>辆</w:t>
      </w:r>
    </w:p>
    <w:p>
      <w:pPr>
        <w:pStyle w:val="5"/>
        <w:spacing w:line="360" w:lineRule="auto"/>
        <w:ind w:firstLine="720" w:firstLineChars="300"/>
        <w:rPr>
          <w:rFonts w:hint="default" w:hAnsi="宋体" w:eastAsia="宋体" w:cs="宋体"/>
          <w:b/>
          <w:color w:val="auto"/>
          <w:sz w:val="24"/>
          <w:lang w:val="en-US" w:eastAsia="zh-CN"/>
        </w:rPr>
      </w:pPr>
      <w:r>
        <w:rPr>
          <w:rFonts w:hint="eastAsia" w:hAnsi="宋体" w:cs="宋体"/>
          <w:bCs/>
          <w:snapToGrid/>
          <w:color w:val="auto"/>
          <w:kern w:val="2"/>
          <w:sz w:val="24"/>
          <w:szCs w:val="24"/>
        </w:rPr>
        <w:t>预算金额（元）：</w:t>
      </w:r>
      <w:r>
        <w:rPr>
          <w:rFonts w:hint="eastAsia" w:hAnsi="宋体" w:cs="宋体"/>
          <w:b/>
          <w:color w:val="auto"/>
          <w:sz w:val="24"/>
          <w:lang w:val="en-US" w:eastAsia="zh-CN"/>
        </w:rPr>
        <w:t>540000</w:t>
      </w:r>
    </w:p>
    <w:p>
      <w:pPr>
        <w:pStyle w:val="5"/>
        <w:spacing w:line="360" w:lineRule="auto"/>
        <w:ind w:firstLine="480"/>
        <w:rPr>
          <w:rFonts w:hint="eastAsia" w:ascii="宋体" w:hAnsi="宋体" w:eastAsia="宋体" w:cs="宋体"/>
          <w:bCs/>
          <w:sz w:val="24"/>
        </w:rPr>
      </w:pPr>
      <w:r>
        <w:rPr>
          <w:rFonts w:hint="eastAsia" w:asciiTheme="minorEastAsia" w:hAnsiTheme="minorEastAsia" w:eastAsiaTheme="minorEastAsia"/>
          <w:snapToGrid/>
          <w:color w:val="auto"/>
          <w:kern w:val="2"/>
          <w:sz w:val="24"/>
          <w:szCs w:val="24"/>
          <w:highlight w:val="none"/>
        </w:rPr>
        <w:t>具</w:t>
      </w:r>
      <w:r>
        <w:rPr>
          <w:rFonts w:hint="eastAsia" w:ascii="宋体" w:hAnsi="宋体" w:eastAsia="宋体" w:cs="宋体"/>
          <w:bCs/>
          <w:sz w:val="24"/>
        </w:rPr>
        <w:t>体以招标文件第三部分采购需求为准，供应商可点击本公告下方“浏览采购文件”查看采购需求。</w:t>
      </w:r>
    </w:p>
    <w:p>
      <w:pPr>
        <w:pStyle w:val="5"/>
        <w:spacing w:line="360" w:lineRule="auto"/>
        <w:ind w:firstLine="723" w:firstLineChars="300"/>
        <w:rPr>
          <w:rFonts w:hint="eastAsia" w:hAnsi="宋体" w:cs="宋体"/>
          <w:b/>
          <w:bCs/>
          <w:snapToGrid/>
          <w:color w:val="auto"/>
          <w:kern w:val="2"/>
          <w:sz w:val="24"/>
          <w:szCs w:val="24"/>
          <w:lang w:eastAsia="zh-CN"/>
        </w:rPr>
      </w:pPr>
      <w:r>
        <w:rPr>
          <w:rFonts w:hint="eastAsia" w:hAnsi="宋体" w:cs="宋体"/>
          <w:b/>
          <w:bCs/>
          <w:snapToGrid/>
          <w:color w:val="auto"/>
          <w:kern w:val="2"/>
          <w:sz w:val="24"/>
          <w:szCs w:val="24"/>
          <w:lang w:eastAsia="zh-CN"/>
        </w:rPr>
        <w:t>标项三</w:t>
      </w:r>
    </w:p>
    <w:p>
      <w:pPr>
        <w:pStyle w:val="5"/>
        <w:tabs>
          <w:tab w:val="left" w:pos="491"/>
        </w:tabs>
        <w:spacing w:line="360" w:lineRule="auto"/>
        <w:ind w:firstLine="720" w:firstLineChars="300"/>
        <w:rPr>
          <w:rFonts w:hAnsi="宋体" w:cs="宋体"/>
          <w:bCs/>
          <w:snapToGrid/>
          <w:color w:val="auto"/>
          <w:kern w:val="2"/>
          <w:sz w:val="24"/>
          <w:szCs w:val="24"/>
        </w:rPr>
      </w:pPr>
      <w:r>
        <w:rPr>
          <w:rFonts w:hint="eastAsia" w:hAnsi="宋体" w:cs="宋体"/>
          <w:bCs/>
          <w:snapToGrid/>
          <w:color w:val="auto"/>
          <w:kern w:val="2"/>
          <w:sz w:val="24"/>
          <w:szCs w:val="24"/>
        </w:rPr>
        <w:t>标项名称：</w:t>
      </w:r>
      <w:r>
        <w:rPr>
          <w:rFonts w:hint="eastAsia" w:hAnsi="宋体" w:cs="宋体"/>
          <w:b/>
          <w:snapToGrid/>
          <w:color w:val="auto"/>
          <w:kern w:val="2"/>
          <w:sz w:val="24"/>
          <w:szCs w:val="24"/>
        </w:rPr>
        <w:t>执法执勤车（7座新能源）</w:t>
      </w:r>
    </w:p>
    <w:p>
      <w:pPr>
        <w:pStyle w:val="5"/>
        <w:spacing w:line="360" w:lineRule="auto"/>
        <w:ind w:firstLine="720" w:firstLineChars="300"/>
        <w:rPr>
          <w:rFonts w:hAnsi="宋体" w:cs="宋体"/>
          <w:bCs/>
          <w:snapToGrid/>
          <w:color w:val="auto"/>
          <w:kern w:val="2"/>
          <w:sz w:val="24"/>
          <w:szCs w:val="24"/>
        </w:rPr>
      </w:pPr>
      <w:r>
        <w:rPr>
          <w:rFonts w:hint="eastAsia" w:hAnsi="宋体" w:cs="宋体"/>
          <w:bCs/>
          <w:snapToGrid/>
          <w:color w:val="auto"/>
          <w:kern w:val="2"/>
          <w:sz w:val="24"/>
          <w:szCs w:val="24"/>
        </w:rPr>
        <w:t>数量：</w:t>
      </w:r>
      <w:r>
        <w:rPr>
          <w:rFonts w:hint="eastAsia" w:hAnsi="宋体" w:cs="宋体"/>
          <w:b/>
          <w:snapToGrid/>
          <w:color w:val="auto"/>
          <w:kern w:val="2"/>
          <w:sz w:val="24"/>
          <w:szCs w:val="24"/>
          <w:lang w:val="en-US" w:eastAsia="zh-CN"/>
        </w:rPr>
        <w:t>3</w:t>
      </w:r>
      <w:r>
        <w:rPr>
          <w:rFonts w:hint="eastAsia" w:hAnsi="宋体" w:cs="宋体"/>
          <w:b/>
          <w:snapToGrid/>
          <w:color w:val="auto"/>
          <w:kern w:val="2"/>
          <w:sz w:val="24"/>
          <w:szCs w:val="24"/>
        </w:rPr>
        <w:t>辆</w:t>
      </w:r>
    </w:p>
    <w:p>
      <w:pPr>
        <w:pStyle w:val="5"/>
        <w:spacing w:line="360" w:lineRule="auto"/>
        <w:ind w:firstLine="720" w:firstLineChars="300"/>
        <w:rPr>
          <w:rFonts w:hint="eastAsia" w:hAnsi="宋体" w:cs="宋体"/>
          <w:b/>
          <w:bCs w:val="0"/>
          <w:snapToGrid/>
          <w:color w:val="auto"/>
          <w:kern w:val="2"/>
          <w:sz w:val="24"/>
          <w:szCs w:val="24"/>
          <w:lang w:val="en-US" w:eastAsia="zh-CN"/>
        </w:rPr>
      </w:pPr>
      <w:r>
        <w:rPr>
          <w:rFonts w:hint="eastAsia" w:hAnsi="宋体" w:cs="宋体"/>
          <w:bCs/>
          <w:snapToGrid/>
          <w:color w:val="auto"/>
          <w:kern w:val="2"/>
          <w:sz w:val="24"/>
          <w:szCs w:val="24"/>
        </w:rPr>
        <w:t>预算金额（元）：</w:t>
      </w:r>
      <w:r>
        <w:rPr>
          <w:rFonts w:hint="eastAsia" w:hAnsi="宋体" w:cs="宋体"/>
          <w:b/>
          <w:bCs w:val="0"/>
          <w:snapToGrid/>
          <w:color w:val="auto"/>
          <w:kern w:val="2"/>
          <w:sz w:val="24"/>
          <w:szCs w:val="24"/>
          <w:lang w:val="en-US" w:eastAsia="zh-CN"/>
        </w:rPr>
        <w:t>528000</w:t>
      </w:r>
    </w:p>
    <w:p>
      <w:pPr>
        <w:pStyle w:val="5"/>
        <w:spacing w:line="360" w:lineRule="auto"/>
        <w:ind w:firstLine="480"/>
        <w:rPr>
          <w:rFonts w:hint="default" w:hAnsi="宋体" w:cs="宋体"/>
          <w:b/>
          <w:bCs w:val="0"/>
          <w:snapToGrid/>
          <w:color w:val="auto"/>
          <w:kern w:val="2"/>
          <w:sz w:val="24"/>
          <w:szCs w:val="24"/>
          <w:lang w:val="en-US" w:eastAsia="zh-CN"/>
        </w:rPr>
      </w:pPr>
      <w:r>
        <w:rPr>
          <w:rFonts w:hint="eastAsia" w:asciiTheme="minorEastAsia" w:hAnsiTheme="minorEastAsia" w:eastAsiaTheme="minorEastAsia"/>
          <w:snapToGrid/>
          <w:color w:val="auto"/>
          <w:kern w:val="2"/>
          <w:sz w:val="24"/>
          <w:szCs w:val="24"/>
          <w:highlight w:val="none"/>
        </w:rPr>
        <w:t>具</w:t>
      </w:r>
      <w:r>
        <w:rPr>
          <w:rFonts w:hint="eastAsia" w:ascii="宋体" w:hAnsi="宋体" w:eastAsia="宋体" w:cs="宋体"/>
          <w:bCs/>
          <w:sz w:val="24"/>
        </w:rPr>
        <w:t>体以招标文件第三部分采购需求为准，供应商可点击本公告下方“浏览采购文件”查看采购需求。</w:t>
      </w:r>
    </w:p>
    <w:p>
      <w:pPr>
        <w:spacing w:line="360" w:lineRule="auto"/>
        <w:ind w:firstLine="480"/>
        <w:rPr>
          <w:rFonts w:ascii="宋体" w:hAnsi="宋体" w:cs="宋体"/>
          <w:b/>
          <w:sz w:val="24"/>
        </w:rPr>
      </w:pPr>
      <w:r>
        <w:rPr>
          <w:rFonts w:hint="eastAsia" w:ascii="宋体" w:hAnsi="宋体" w:cs="宋体"/>
          <w:b/>
          <w:sz w:val="24"/>
        </w:rPr>
        <w:t>合同履约期限：</w:t>
      </w:r>
      <w:r>
        <w:rPr>
          <w:rFonts w:hint="eastAsia" w:ascii="新宋体" w:hAnsi="新宋体" w:eastAsia="新宋体"/>
          <w:b/>
          <w:snapToGrid w:val="0"/>
          <w:kern w:val="28"/>
          <w:sz w:val="24"/>
          <w:szCs w:val="20"/>
          <w:u w:val="single"/>
        </w:rPr>
        <w:t>合同生效后30天内。</w:t>
      </w:r>
    </w:p>
    <w:p>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2"/>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pStyle w:val="5"/>
        <w:spacing w:line="360" w:lineRule="auto"/>
        <w:ind w:firstLine="480"/>
        <w:rPr>
          <w:rFonts w:hAnsi="宋体" w:cs="宋体"/>
          <w:color w:val="auto"/>
          <w:kern w:val="0"/>
          <w:sz w:val="24"/>
        </w:rPr>
      </w:pPr>
    </w:p>
    <w:p>
      <w:pPr>
        <w:spacing w:line="360" w:lineRule="auto"/>
        <w:outlineLvl w:val="1"/>
        <w:rPr>
          <w:rFonts w:ascii="宋体" w:hAnsi="宋体" w:cs="宋体"/>
          <w:b/>
          <w:sz w:val="24"/>
        </w:rPr>
      </w:pPr>
      <w:r>
        <w:rPr>
          <w:rFonts w:hint="eastAsia" w:ascii="宋体" w:hAnsi="宋体" w:cs="宋体"/>
          <w:b/>
          <w:sz w:val="24"/>
        </w:rPr>
        <w:t>二、</w:t>
      </w:r>
      <w:bookmarkStart w:id="10" w:name="_Hlk101132948"/>
      <w:r>
        <w:rPr>
          <w:rFonts w:hint="eastAsia" w:ascii="宋体" w:hAnsi="宋体" w:cs="宋体"/>
          <w:b/>
          <w:sz w:val="24"/>
        </w:rPr>
        <w:t>申请人的资格要求</w:t>
      </w:r>
      <w:bookmarkEnd w:id="10"/>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1"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1"/>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sz w:val="24"/>
        </w:rPr>
      </w:pPr>
      <w:sdt>
        <w:sdtPr>
          <w:rPr>
            <w:rFonts w:hint="eastAsia" w:ascii="宋体" w:hAnsi="宋体" w:cs="宋体"/>
            <w:kern w:val="0"/>
            <w:sz w:val="24"/>
          </w:rPr>
          <w:id w:val="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无</w:t>
      </w:r>
    </w:p>
    <w:p>
      <w:pPr>
        <w:snapToGrid w:val="0"/>
        <w:spacing w:line="360" w:lineRule="auto"/>
        <w:ind w:firstLine="480" w:firstLineChars="200"/>
        <w:rPr>
          <w:rFonts w:ascii="宋体" w:hAnsi="宋体" w:cs="宋体"/>
          <w:sz w:val="24"/>
          <w:u w:val="single"/>
        </w:rPr>
      </w:pPr>
      <w:sdt>
        <w:sdtPr>
          <w:rPr>
            <w:rFonts w:hint="eastAsia" w:ascii="宋体" w:hAnsi="宋体" w:cs="宋体"/>
            <w:kern w:val="0"/>
            <w:sz w:val="24"/>
          </w:rPr>
          <w:id w:val="1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有特定资格要求：</w:t>
      </w:r>
      <w:r>
        <w:rPr>
          <w:rFonts w:hint="eastAsia" w:ascii="宋体" w:hAnsi="宋体" w:cs="宋体"/>
          <w:sz w:val="24"/>
          <w:u w:val="single"/>
        </w:rPr>
        <w:t xml:space="preserve">                    </w:t>
      </w:r>
      <w:r>
        <w:rPr>
          <w:rFonts w:hint="eastAsia" w:ascii="宋体" w:hAnsi="宋体" w:cs="宋体"/>
          <w:sz w:val="24"/>
        </w:rPr>
        <w:t>，该特定条件的法律法规依据：</w:t>
      </w:r>
      <w:r>
        <w:rPr>
          <w:rFonts w:hint="eastAsia" w:ascii="宋体" w:hAnsi="宋体" w:cs="宋体"/>
          <w:sz w:val="24"/>
          <w:u w:val="single"/>
        </w:rPr>
        <w:t xml:space="preserve">                                                                      </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val="en-US" w:eastAsia="zh-CN"/>
        </w:rPr>
        <w:t xml:space="preserve"> 2025 </w:t>
      </w:r>
      <w:r>
        <w:rPr>
          <w:rFonts w:hint="eastAsia" w:ascii="宋体" w:hAnsi="宋体" w:cs="宋体"/>
          <w:sz w:val="24"/>
          <w:u w:val="single"/>
        </w:rPr>
        <w:t>年</w:t>
      </w:r>
      <w:r>
        <w:rPr>
          <w:rFonts w:hint="eastAsia" w:ascii="宋体" w:hAnsi="宋体" w:cs="宋体"/>
          <w:sz w:val="24"/>
          <w:u w:val="single"/>
          <w:lang w:val="en-US" w:eastAsia="zh-CN"/>
        </w:rPr>
        <w:t>7月10日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outlineLvl w:val="1"/>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lang w:val="en-US" w:eastAsia="zh-CN"/>
        </w:rPr>
        <w:t xml:space="preserve">  2025 </w:t>
      </w:r>
      <w:r>
        <w:rPr>
          <w:rFonts w:hint="eastAsia" w:ascii="宋体" w:hAnsi="宋体" w:cs="宋体"/>
          <w:sz w:val="24"/>
          <w:u w:val="single"/>
        </w:rPr>
        <w:t>年</w:t>
      </w:r>
      <w:r>
        <w:rPr>
          <w:rFonts w:hint="eastAsia" w:ascii="宋体" w:hAnsi="宋体" w:cs="宋体"/>
          <w:sz w:val="24"/>
          <w:u w:val="single"/>
          <w:lang w:val="en-US" w:eastAsia="zh-CN"/>
        </w:rPr>
        <w:t>7月10日9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lang w:val="en-US" w:eastAsia="zh-CN"/>
        </w:rPr>
        <w:t xml:space="preserve"> 2025 </w:t>
      </w:r>
      <w:r>
        <w:rPr>
          <w:rFonts w:hint="eastAsia" w:ascii="宋体" w:hAnsi="宋体" w:cs="宋体"/>
          <w:sz w:val="24"/>
          <w:u w:val="single"/>
        </w:rPr>
        <w:t>年</w:t>
      </w:r>
      <w:r>
        <w:rPr>
          <w:rFonts w:hint="eastAsia" w:ascii="宋体" w:hAnsi="宋体" w:cs="宋体"/>
          <w:sz w:val="24"/>
          <w:u w:val="single"/>
          <w:lang w:val="en-US" w:eastAsia="zh-CN"/>
        </w:rPr>
        <w:t>7月10日9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分</w:t>
      </w:r>
      <w:r>
        <w:rPr>
          <w:rFonts w:hint="eastAsia" w:ascii="宋体" w:hAnsi="宋体" w:cs="宋体"/>
          <w:sz w:val="24"/>
          <w:u w:val="single"/>
          <w:lang w:val="en-US" w:eastAsia="zh-CN"/>
        </w:rPr>
        <w:t>00</w:t>
      </w:r>
      <w:r>
        <w:rPr>
          <w:rFonts w:hint="eastAsia" w:ascii="宋体" w:hAnsi="宋体" w:cs="宋体"/>
          <w:sz w:val="24"/>
          <w:u w:val="single"/>
        </w:rPr>
        <w:t>秒</w:t>
      </w:r>
      <w:r>
        <w:rPr>
          <w:rFonts w:hint="eastAsia" w:ascii="宋体" w:hAnsi="宋体" w:cs="宋体"/>
          <w:bCs/>
          <w:sz w:val="24"/>
          <w:u w:val="single"/>
        </w:rPr>
        <w:t>（以公告发布的开标</w:t>
      </w:r>
      <w:r>
        <w:rPr>
          <w:rFonts w:ascii="宋体" w:hAnsi="宋体" w:cs="宋体"/>
          <w:bCs/>
          <w:sz w:val="24"/>
          <w:u w:val="single"/>
        </w:rPr>
        <w:t>截止</w:t>
      </w:r>
      <w:r>
        <w:rPr>
          <w:rFonts w:hint="eastAsia" w:ascii="宋体" w:hAnsi="宋体" w:cs="宋体"/>
          <w:bCs/>
          <w:sz w:val="24"/>
          <w:u w:val="single"/>
        </w:rPr>
        <w:t>时间为准）</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outlineLvl w:val="1"/>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outlineLvl w:val="1"/>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outlineLvl w:val="1"/>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sz w:val="24"/>
        </w:rPr>
      </w:pPr>
      <w:r>
        <w:rPr>
          <w:rFonts w:hint="eastAsia" w:ascii="宋体" w:hAnsi="宋体" w:cs="宋体"/>
          <w:sz w:val="24"/>
        </w:rPr>
        <w:t xml:space="preserve">    名    称：杭州市拱墅区综合行政执法局</w:t>
      </w:r>
    </w:p>
    <w:p>
      <w:pPr>
        <w:spacing w:line="360" w:lineRule="auto"/>
        <w:rPr>
          <w:rFonts w:ascii="宋体" w:hAnsi="宋体" w:cs="宋体"/>
          <w:sz w:val="24"/>
        </w:rPr>
      </w:pPr>
      <w:r>
        <w:rPr>
          <w:rFonts w:hint="eastAsia" w:ascii="宋体" w:hAnsi="宋体" w:cs="宋体"/>
          <w:sz w:val="24"/>
        </w:rPr>
        <w:t xml:space="preserve">    地    址：</w:t>
      </w:r>
      <w:r>
        <w:rPr>
          <w:rFonts w:ascii="宋体" w:hAnsi="宋体" w:cs="宋体"/>
          <w:sz w:val="24"/>
        </w:rPr>
        <w:t>杭州市</w:t>
      </w:r>
      <w:r>
        <w:rPr>
          <w:rFonts w:hint="eastAsia" w:ascii="宋体" w:hAnsi="宋体" w:cs="宋体"/>
          <w:sz w:val="24"/>
        </w:rPr>
        <w:t>拱墅区白石巷199号</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ind w:firstLine="480"/>
        <w:rPr>
          <w:rFonts w:ascii="宋体" w:hAnsi="宋体" w:cs="宋体"/>
          <w:sz w:val="24"/>
        </w:rPr>
      </w:pPr>
      <w:r>
        <w:rPr>
          <w:rFonts w:hint="eastAsia" w:ascii="宋体" w:hAnsi="宋体" w:cs="宋体"/>
          <w:sz w:val="24"/>
        </w:rPr>
        <w:t>项目联系人（询问）：沈老师</w:t>
      </w:r>
    </w:p>
    <w:p>
      <w:pPr>
        <w:spacing w:line="360" w:lineRule="auto"/>
        <w:rPr>
          <w:rFonts w:ascii="宋体" w:hAnsi="宋体" w:cs="宋体"/>
          <w:sz w:val="24"/>
        </w:rPr>
      </w:pPr>
      <w:r>
        <w:rPr>
          <w:rFonts w:hint="eastAsia" w:ascii="宋体" w:hAnsi="宋体" w:cs="宋体"/>
          <w:sz w:val="24"/>
        </w:rPr>
        <w:t xml:space="preserve">    项目联系方式（询问）：0571-87281872</w:t>
      </w:r>
    </w:p>
    <w:p>
      <w:pPr>
        <w:spacing w:line="360" w:lineRule="auto"/>
        <w:rPr>
          <w:rFonts w:ascii="宋体" w:hAnsi="宋体" w:cs="宋体"/>
          <w:sz w:val="24"/>
        </w:rPr>
      </w:pPr>
      <w:r>
        <w:rPr>
          <w:rFonts w:hint="eastAsia" w:ascii="宋体" w:hAnsi="宋体" w:cs="宋体"/>
          <w:sz w:val="24"/>
        </w:rPr>
        <w:t xml:space="preserve">    质疑联系人：姚老师</w:t>
      </w:r>
    </w:p>
    <w:p>
      <w:pPr>
        <w:spacing w:line="360" w:lineRule="auto"/>
        <w:rPr>
          <w:rFonts w:ascii="宋体" w:hAnsi="宋体" w:cs="宋体"/>
          <w:sz w:val="24"/>
        </w:rPr>
      </w:pPr>
      <w:r>
        <w:rPr>
          <w:rFonts w:hint="eastAsia" w:ascii="宋体" w:hAnsi="宋体" w:cs="宋体"/>
          <w:sz w:val="24"/>
        </w:rPr>
        <w:t xml:space="preserve">    质疑联系方式：0571-89507638</w:t>
      </w:r>
    </w:p>
    <w:p>
      <w:pPr>
        <w:spacing w:line="360" w:lineRule="auto"/>
        <w:ind w:firstLine="480"/>
        <w:rPr>
          <w:rFonts w:ascii="宋体" w:hAnsi="宋体" w:cs="宋体"/>
          <w:color w:val="auto"/>
          <w:sz w:val="24"/>
          <w:highlight w:val="none"/>
        </w:rPr>
      </w:pPr>
      <w:r>
        <w:rPr>
          <w:rFonts w:hint="eastAsia" w:ascii="宋体" w:hAnsi="宋体" w:cs="宋体"/>
          <w:sz w:val="24"/>
        </w:rPr>
        <w:t xml:space="preserve">  </w:t>
      </w:r>
      <w:r>
        <w:rPr>
          <w:rFonts w:hint="eastAsia" w:ascii="宋体" w:hAnsi="宋体" w:cs="宋体"/>
          <w:color w:val="auto"/>
          <w:sz w:val="24"/>
          <w:highlight w:val="none"/>
        </w:rPr>
        <w:t>名    称：</w:t>
      </w:r>
      <w:r>
        <w:rPr>
          <w:rFonts w:hint="eastAsia" w:ascii="宋体" w:hAnsi="宋体" w:cs="宋体"/>
          <w:sz w:val="24"/>
        </w:rPr>
        <w:t>杭州市公共资源交易中心拱墅分中心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sz w:val="24"/>
        </w:rPr>
        <w:t>杭州市拱墅区香积寺东路58号3楼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sz w:val="24"/>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程工</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0571-89507152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sz w:val="24"/>
          <w:lang w:val="en-US" w:eastAsia="zh-CN"/>
        </w:rPr>
        <w:t>陈工</w:t>
      </w:r>
    </w:p>
    <w:p>
      <w:pPr>
        <w:spacing w:line="360" w:lineRule="auto"/>
        <w:rPr>
          <w:rFonts w:ascii="宋体" w:hAnsi="宋体" w:cs="宋体"/>
          <w:sz w:val="24"/>
        </w:rPr>
      </w:pPr>
      <w:r>
        <w:rPr>
          <w:rFonts w:hint="eastAsia" w:ascii="宋体" w:hAnsi="宋体" w:cs="宋体"/>
          <w:color w:val="auto"/>
          <w:sz w:val="24"/>
          <w:highlight w:val="none"/>
        </w:rPr>
        <w:t xml:space="preserve">    质疑联系方式：</w:t>
      </w:r>
      <w:r>
        <w:rPr>
          <w:rFonts w:hint="eastAsia" w:ascii="宋体" w:hAnsi="宋体" w:cs="宋体"/>
          <w:sz w:val="24"/>
        </w:rPr>
        <w:t>0571-865982</w:t>
      </w:r>
      <w:r>
        <w:rPr>
          <w:rFonts w:hint="eastAsia" w:ascii="宋体" w:hAnsi="宋体" w:cs="宋体"/>
          <w:sz w:val="24"/>
          <w:lang w:val="en-US" w:eastAsia="zh-CN"/>
        </w:rPr>
        <w:t>53</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称：杭州市拱墅区财政局政府采购监管处/浙江省政府采购行政裁决服务中心（杭州）</w:t>
      </w:r>
    </w:p>
    <w:p>
      <w:pPr>
        <w:spacing w:line="360" w:lineRule="auto"/>
        <w:ind w:firstLine="480"/>
        <w:rPr>
          <w:rFonts w:hint="eastAsia" w:ascii="宋体" w:hAnsi="宋体" w:cs="宋体"/>
          <w:color w:val="auto"/>
          <w:sz w:val="24"/>
          <w:highlight w:val="none"/>
        </w:rPr>
      </w:pPr>
      <w:r>
        <w:rPr>
          <w:rFonts w:hint="eastAsia" w:ascii="宋体" w:hAnsi="宋体" w:cs="宋体"/>
          <w:sz w:val="24"/>
        </w:rPr>
        <w:t>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pPr>
        <w:spacing w:line="360" w:lineRule="auto"/>
        <w:ind w:firstLine="480"/>
        <w:rPr>
          <w:rFonts w:ascii="宋体" w:hAnsi="宋体" w:cs="宋体"/>
          <w:sz w:val="24"/>
        </w:rPr>
      </w:pPr>
      <w:r>
        <w:rPr>
          <w:rFonts w:hint="eastAsia" w:ascii="宋体" w:hAnsi="宋体" w:cs="宋体"/>
          <w:sz w:val="24"/>
        </w:rPr>
        <w:t>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sz w:val="24"/>
        </w:rPr>
        <w:t>监督投诉电话：电话：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sz w:val="24"/>
        </w:rPr>
        <w:t>政策咨询</w:t>
      </w:r>
      <w:r>
        <w:rPr>
          <w:rFonts w:hint="eastAsia" w:ascii="宋体" w:hAnsi="宋体" w:cs="宋体"/>
          <w:sz w:val="24"/>
          <w:lang w:eastAsia="zh-CN"/>
        </w:rPr>
        <w:t>电话</w:t>
      </w:r>
      <w:r>
        <w:rPr>
          <w:rFonts w:hint="eastAsia" w:ascii="宋体" w:hAnsi="宋体" w:cs="宋体"/>
          <w:sz w:val="24"/>
        </w:rPr>
        <w:t>：曹女士、彭先生，0571-89505668、89505676</w:t>
      </w:r>
      <w:r>
        <w:rPr>
          <w:rFonts w:hint="eastAsia" w:ascii="宋体" w:hAnsi="宋体" w:cs="宋体"/>
          <w:color w:val="auto"/>
          <w:sz w:val="24"/>
          <w:highlight w:val="none"/>
          <w:lang w:val="en-US" w:eastAsia="zh-CN"/>
        </w:rPr>
        <w:t xml:space="preserve"> 政府采购监管部门工作人员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spacing w:line="360" w:lineRule="auto"/>
        <w:ind w:firstLine="480" w:firstLineChars="200"/>
        <w:rPr>
          <w:rFonts w:hAnsi="宋体" w:cs="宋体"/>
          <w:b/>
          <w:sz w:val="36"/>
          <w:szCs w:val="20"/>
        </w:rPr>
      </w:pPr>
      <w:r>
        <w:rPr>
          <w:rFonts w:hint="eastAsia" w:hAnsi="宋体" w:cs="宋体"/>
          <w:sz w:val="24"/>
        </w:rPr>
        <w:t xml:space="preserve">                    </w:t>
      </w:r>
      <w:r>
        <w:rPr>
          <w:rFonts w:hAnsi="宋体" w:cs="宋体"/>
          <w:b/>
          <w:sz w:val="36"/>
          <w:szCs w:val="20"/>
        </w:rPr>
        <w:t xml:space="preserve"> </w:t>
      </w:r>
    </w:p>
    <w:p>
      <w:pPr>
        <w:tabs>
          <w:tab w:val="left" w:pos="432"/>
        </w:tabs>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adjustRightInd/>
        <w:spacing w:line="360" w:lineRule="auto"/>
        <w:ind w:firstLine="3845" w:firstLineChars="1197"/>
        <w:outlineLvl w:val="1"/>
        <w:rPr>
          <w:rFonts w:ascii="宋体" w:hAnsi="宋体" w:cs="宋体"/>
          <w:b/>
          <w:sz w:val="32"/>
          <w:szCs w:val="20"/>
        </w:rPr>
      </w:pPr>
      <w:r>
        <w:rPr>
          <w:rFonts w:hint="eastAsia" w:ascii="宋体" w:hAnsi="宋体" w:cs="宋体"/>
          <w:b/>
          <w:sz w:val="32"/>
          <w:szCs w:val="20"/>
        </w:rPr>
        <w:t>前附表</w:t>
      </w:r>
    </w:p>
    <w:tbl>
      <w:tblPr>
        <w:tblStyle w:val="63"/>
        <w:tblpPr w:leftFromText="180" w:rightFromText="180" w:vertAnchor="text" w:horzAnchor="page" w:tblpX="975" w:tblpY="628"/>
        <w:tblOverlap w:val="never"/>
        <w:tblW w:w="100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75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i w:val="0"/>
                <w:iCs w:val="0"/>
                <w:sz w:val="24"/>
              </w:rPr>
            </w:pPr>
            <w:r>
              <w:rPr>
                <w:rFonts w:hint="eastAsia" w:ascii="宋体" w:hAnsi="宋体" w:cs="宋体"/>
                <w:i w:val="0"/>
                <w:iCs w:val="0"/>
                <w:sz w:val="24"/>
              </w:rPr>
              <w:t>标项一：货物类，单一产品或</w:t>
            </w:r>
            <w:r>
              <w:rPr>
                <w:rFonts w:hint="eastAsia" w:ascii="宋体" w:hAnsi="宋体" w:cs="宋体"/>
                <w:i w:val="0"/>
                <w:iCs w:val="0"/>
                <w:kern w:val="0"/>
                <w:sz w:val="24"/>
              </w:rPr>
              <w:t>核心产品为：</w:t>
            </w:r>
            <w:r>
              <w:rPr>
                <w:rFonts w:hint="eastAsia" w:ascii="宋体" w:hAnsi="宋体" w:cs="宋体"/>
                <w:b/>
                <w:i w:val="0"/>
                <w:iCs w:val="0"/>
                <w:sz w:val="24"/>
                <w:u w:val="single"/>
              </w:rPr>
              <w:t>执法执勤车（7座乘用车）</w:t>
            </w:r>
            <w:r>
              <w:rPr>
                <w:rFonts w:hint="eastAsia" w:ascii="宋体" w:hAnsi="宋体" w:cs="宋体"/>
                <w:i w:val="0"/>
                <w:iCs w:val="0"/>
                <w:sz w:val="24"/>
              </w:rPr>
              <w:t>。</w:t>
            </w:r>
          </w:p>
          <w:p>
            <w:pPr>
              <w:spacing w:line="360" w:lineRule="auto"/>
              <w:rPr>
                <w:rFonts w:hint="eastAsia" w:ascii="宋体" w:hAnsi="宋体" w:cs="宋体"/>
                <w:b/>
                <w:i w:val="0"/>
                <w:iCs w:val="0"/>
                <w:sz w:val="24"/>
                <w:u w:val="single"/>
              </w:rPr>
            </w:pPr>
            <w:r>
              <w:rPr>
                <w:rFonts w:hint="eastAsia" w:ascii="宋体" w:hAnsi="宋体" w:cs="宋体"/>
                <w:i w:val="0"/>
                <w:iCs w:val="0"/>
                <w:sz w:val="24"/>
              </w:rPr>
              <w:t>标项二：货物类，单一产品或核心产品为：</w:t>
            </w:r>
            <w:r>
              <w:rPr>
                <w:rFonts w:hint="eastAsia" w:ascii="宋体" w:hAnsi="宋体" w:cs="宋体"/>
                <w:b/>
                <w:i w:val="0"/>
                <w:iCs w:val="0"/>
                <w:sz w:val="24"/>
                <w:u w:val="single"/>
              </w:rPr>
              <w:t>执法执勤车（7座新能源）</w:t>
            </w:r>
          </w:p>
          <w:p>
            <w:pPr>
              <w:pStyle w:val="61"/>
              <w:ind w:left="0" w:leftChars="0" w:firstLine="0" w:firstLineChars="0"/>
              <w:rPr>
                <w:rFonts w:hint="eastAsia" w:eastAsia="宋体"/>
                <w:lang w:eastAsia="zh-CN"/>
              </w:rPr>
            </w:pPr>
            <w:r>
              <w:rPr>
                <w:rFonts w:hint="eastAsia" w:ascii="宋体" w:hAnsi="宋体" w:eastAsia="宋体" w:cs="宋体"/>
                <w:i w:val="0"/>
                <w:iCs w:val="0"/>
                <w:kern w:val="2"/>
                <w:sz w:val="24"/>
                <w:szCs w:val="24"/>
                <w:lang w:val="en-US" w:eastAsia="zh-CN" w:bidi="ar-SA"/>
              </w:rPr>
              <w:t>标项三：</w:t>
            </w:r>
            <w:r>
              <w:rPr>
                <w:rFonts w:hint="eastAsia" w:ascii="宋体" w:hAnsi="宋体" w:cs="宋体"/>
                <w:i w:val="0"/>
                <w:iCs w:val="0"/>
                <w:sz w:val="24"/>
              </w:rPr>
              <w:t>货物类，单一产品或核心产品为：</w:t>
            </w:r>
            <w:r>
              <w:rPr>
                <w:rFonts w:hint="eastAsia" w:ascii="宋体" w:hAnsi="宋体" w:cs="宋体"/>
                <w:b/>
                <w:i w:val="0"/>
                <w:iCs w:val="0"/>
                <w:sz w:val="24"/>
                <w:u w:val="single"/>
              </w:rPr>
              <w:t>执法执勤车（7座新能源）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75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cs="宋体"/>
                <w:sz w:val="24"/>
              </w:rPr>
            </w:pPr>
            <w:r>
              <w:rPr>
                <w:rFonts w:hint="eastAsia" w:ascii="宋体" w:hAnsi="宋体" w:cs="宋体"/>
                <w:sz w:val="24"/>
              </w:rPr>
              <w:t>标项一：标的：执法执勤车（7座乘用车），属于工业行业。</w:t>
            </w:r>
          </w:p>
          <w:p>
            <w:pPr>
              <w:snapToGrid w:val="0"/>
              <w:spacing w:line="360" w:lineRule="auto"/>
              <w:rPr>
                <w:rFonts w:hint="eastAsia" w:ascii="宋体" w:hAnsi="宋体" w:cs="宋体"/>
                <w:sz w:val="24"/>
              </w:rPr>
            </w:pPr>
            <w:r>
              <w:rPr>
                <w:rFonts w:hint="eastAsia" w:ascii="宋体" w:hAnsi="宋体" w:cs="宋体"/>
                <w:sz w:val="24"/>
              </w:rPr>
              <w:t>标项二：标的：执法执勤车（7座新能源），属于工业行业。</w:t>
            </w:r>
          </w:p>
          <w:p>
            <w:pPr>
              <w:spacing w:line="360" w:lineRule="auto"/>
              <w:ind w:left="0" w:leftChars="0" w:firstLine="0" w:firstLineChars="0"/>
              <w:jc w:val="left"/>
              <w:rPr>
                <w:rFonts w:hint="eastAsia" w:ascii="宋体" w:hAnsi="宋体" w:eastAsia="宋体" w:cs="宋体"/>
                <w:sz w:val="24"/>
              </w:rPr>
            </w:pPr>
            <w:r>
              <w:rPr>
                <w:rFonts w:hint="eastAsia" w:ascii="宋体" w:hAnsi="宋体" w:eastAsia="宋体" w:cs="宋体"/>
                <w:sz w:val="24"/>
              </w:rPr>
              <w:t>标项</w:t>
            </w:r>
            <w:r>
              <w:rPr>
                <w:rFonts w:hint="eastAsia" w:ascii="宋体" w:hAnsi="宋体" w:eastAsia="宋体" w:cs="宋体"/>
                <w:sz w:val="24"/>
                <w:lang w:eastAsia="zh-CN"/>
              </w:rPr>
              <w:t>三</w:t>
            </w:r>
            <w:r>
              <w:rPr>
                <w:rFonts w:hint="eastAsia" w:ascii="宋体" w:hAnsi="宋体" w:eastAsia="宋体" w:cs="宋体"/>
                <w:sz w:val="24"/>
              </w:rPr>
              <w:t>：标的：执法执勤车（7座新能源），属于工业行业。</w:t>
            </w:r>
          </w:p>
          <w:p>
            <w:pPr>
              <w:keepNext w:val="0"/>
              <w:keepLines w:val="0"/>
              <w:widowControl/>
              <w:suppressLineNumbers w:val="0"/>
              <w:spacing w:line="360" w:lineRule="auto"/>
              <w:jc w:val="left"/>
              <w:rPr>
                <w:rFonts w:hint="eastAsia" w:ascii="宋体" w:hAnsi="宋体" w:cs="宋体"/>
                <w:sz w:val="24"/>
              </w:rPr>
            </w:pPr>
            <w:r>
              <w:rPr>
                <w:rFonts w:hint="eastAsia" w:ascii="宋体" w:hAnsi="宋体" w:eastAsia="宋体" w:cs="宋体"/>
                <w:b w:val="0"/>
                <w:bCs w:val="0"/>
                <w:color w:val="auto"/>
                <w:kern w:val="2"/>
                <w:sz w:val="24"/>
                <w:szCs w:val="24"/>
                <w:highlight w:val="none"/>
                <w:lang w:val="en-US" w:eastAsia="zh-CN" w:bidi="ar-SA"/>
              </w:rPr>
              <w:t>根据《关于印发中小企业划型标准规定的通知》（工信部联企业〔2011〕300号）第四条规定：</w:t>
            </w:r>
            <w:r>
              <w:rPr>
                <w:rFonts w:hint="eastAsia" w:ascii="宋体" w:hAnsi="宋体" w:cs="宋体"/>
                <w:b w:val="0"/>
                <w:bCs w:val="0"/>
                <w:color w:val="auto"/>
                <w:kern w:val="2"/>
                <w:sz w:val="24"/>
                <w:szCs w:val="24"/>
                <w:highlight w:val="none"/>
                <w:lang w:val="en-US" w:eastAsia="zh-CN" w:bidi="ar-SA"/>
              </w:rPr>
              <w:t>工业</w:t>
            </w:r>
            <w:r>
              <w:rPr>
                <w:rFonts w:hint="eastAsia" w:ascii="宋体" w:hAnsi="宋体" w:eastAsia="宋体" w:cs="宋体"/>
                <w:b w:val="0"/>
                <w:bCs w:val="0"/>
                <w:color w:val="auto"/>
                <w:kern w:val="2"/>
                <w:sz w:val="24"/>
                <w:szCs w:val="24"/>
                <w:highlight w:val="none"/>
                <w:lang w:val="en-US" w:eastAsia="zh-CN" w:bidi="ar-SA"/>
              </w:rPr>
              <w:t>行业。</w:t>
            </w:r>
            <w:r>
              <w:rPr>
                <w:rFonts w:hint="eastAsia" w:ascii="宋体" w:hAnsi="宋体" w:eastAsia="宋体" w:cs="宋体"/>
                <w:color w:val="auto"/>
                <w:kern w:val="2"/>
                <w:sz w:val="24"/>
                <w:szCs w:val="24"/>
                <w:lang w:val="en-US" w:eastAsia="zh-CN" w:bidi="ar"/>
              </w:rPr>
              <w:t xml:space="preserve">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pStyle w:val="62"/>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1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lang w:eastAsia="zh-CN"/>
              </w:rPr>
            </w:pPr>
            <w:sdt>
              <w:sdtPr>
                <w:rPr>
                  <w:rFonts w:hint="eastAsia" w:ascii="宋体" w:hAnsi="宋体" w:cs="宋体"/>
                  <w:kern w:val="0"/>
                  <w:sz w:val="24"/>
                </w:rPr>
                <w:id w:val="1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产品运输  </w:t>
            </w:r>
            <w:r>
              <w:rPr>
                <w:rFonts w:hint="eastAsia" w:ascii="宋体" w:hAnsi="宋体" w:cs="宋体"/>
                <w:sz w:val="24"/>
              </w:rPr>
              <w:t>工作分包</w:t>
            </w:r>
            <w:r>
              <w:rPr>
                <w:rFonts w:hint="eastAsia" w:ascii="宋体" w:hAnsi="宋体" w:cs="宋体"/>
                <w:sz w:val="24"/>
                <w:lang w:eastAsia="zh-CN"/>
              </w:rPr>
              <w:t>。</w:t>
            </w:r>
          </w:p>
          <w:p>
            <w:pPr>
              <w:spacing w:line="360" w:lineRule="auto"/>
              <w:rPr>
                <w:rFonts w:ascii="宋体" w:hAnsi="宋体" w:cs="宋体"/>
                <w:sz w:val="24"/>
              </w:rPr>
            </w:pPr>
            <w:sdt>
              <w:sdtPr>
                <w:rPr>
                  <w:rFonts w:hint="eastAsia" w:ascii="宋体" w:hAnsi="宋体" w:cs="宋体"/>
                  <w:kern w:val="0"/>
                  <w:sz w:val="24"/>
                </w:rPr>
                <w:id w:val="1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hint="eastAsia" w:ascii="宋体" w:hAnsi="宋体" w:cs="宋体"/>
                <w:sz w:val="24"/>
                <w:szCs w:val="20"/>
              </w:rPr>
            </w:pPr>
            <w:sdt>
              <w:sdtPr>
                <w:rPr>
                  <w:rFonts w:hint="eastAsia" w:ascii="宋体" w:hAnsi="宋体" w:cs="宋体"/>
                  <w:kern w:val="0"/>
                  <w:sz w:val="24"/>
                </w:rPr>
                <w:id w:val="1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lang w:val="en-US" w:eastAsia="zh-CN"/>
              </w:rPr>
              <w:t xml:space="preserve">         ，</w:t>
            </w:r>
            <w:r>
              <w:rPr>
                <w:rFonts w:hint="eastAsia" w:ascii="宋体" w:hAnsi="宋体" w:cs="宋体"/>
                <w:sz w:val="24"/>
              </w:rPr>
              <w:t>地点：</w:t>
            </w:r>
            <w:r>
              <w:rPr>
                <w:rFonts w:hint="eastAsia" w:ascii="宋体" w:hAnsi="宋体" w:cs="宋体"/>
                <w:sz w:val="24"/>
                <w:lang w:val="en-US" w:eastAsia="zh-CN"/>
              </w:rPr>
              <w:t xml:space="preserve">        ， </w:t>
            </w:r>
            <w:r>
              <w:rPr>
                <w:rFonts w:hint="eastAsia" w:ascii="宋体" w:hAnsi="宋体" w:cs="宋体"/>
                <w:sz w:val="24"/>
              </w:rPr>
              <w:t>联系人</w:t>
            </w:r>
            <w:r>
              <w:rPr>
                <w:rFonts w:hint="eastAsia" w:ascii="宋体" w:hAnsi="宋体" w:cs="宋体"/>
                <w:sz w:val="24"/>
                <w:lang w:val="en-US" w:eastAsia="zh-CN"/>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pPr>
              <w:pStyle w:val="963"/>
              <w:ind w:firstLine="0" w:firstLineChars="0"/>
              <w:rPr>
                <w:rFonts w:hint="eastAsia"/>
                <w:lang w:val="en-US" w:eastAsia="zh-CN"/>
              </w:rPr>
            </w:pPr>
            <w:r>
              <w:rPr>
                <w:rFonts w:hint="eastAsia" w:ascii="Times New Roman" w:hAnsi="Times New Roman" w:eastAsia="宋体" w:cs="Times New Roman"/>
                <w:color w:val="auto"/>
                <w:kern w:val="2"/>
                <w:sz w:val="24"/>
                <w:szCs w:val="32"/>
                <w:highlight w:val="none"/>
                <w:lang w:val="en-US" w:eastAsia="zh-CN" w:bidi="ar-SA"/>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202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日9点00分至</w:t>
            </w:r>
            <w:r>
              <w:rPr>
                <w:rFonts w:hint="eastAsia" w:ascii="宋体" w:hAnsi="宋体" w:cs="宋体"/>
                <w:sz w:val="24"/>
                <w:u w:val="single"/>
              </w:rPr>
              <w:t xml:space="preserve">202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日9点30分；地点：杭州市拱墅区香积寺东路58号3楼样品陈列室 ；联系人:</w:t>
            </w:r>
            <w:r>
              <w:rPr>
                <w:rFonts w:hint="eastAsia" w:ascii="宋体" w:hAnsi="宋体" w:cs="宋体"/>
                <w:sz w:val="24"/>
                <w:lang w:val="en-US" w:eastAsia="zh-CN"/>
              </w:rPr>
              <w:t xml:space="preserve">   </w:t>
            </w:r>
            <w:r>
              <w:rPr>
                <w:rFonts w:hint="eastAsia" w:ascii="宋体" w:hAnsi="宋体" w:cs="宋体"/>
                <w:sz w:val="24"/>
              </w:rPr>
              <w:t>，联系电话：</w:t>
            </w:r>
            <w:r>
              <w:rPr>
                <w:rFonts w:hint="eastAsia" w:ascii="宋体" w:hAnsi="宋体" w:cs="宋体"/>
                <w:sz w:val="24"/>
                <w:lang w:val="en-US" w:eastAsia="zh-CN"/>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7566"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7566"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highlight w:val="none"/>
              </w:rPr>
              <w:t>节能产品、环境标志产品</w:t>
            </w:r>
          </w:p>
        </w:tc>
        <w:tc>
          <w:tcPr>
            <w:tcW w:w="75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pPr>
              <w:snapToGrid w:val="0"/>
              <w:spacing w:line="360" w:lineRule="auto"/>
              <w:rPr>
                <w:rFonts w:hint="eastAsia" w:eastAsia="宋体"/>
                <w:color w:val="auto"/>
                <w:sz w:val="24"/>
                <w:szCs w:val="24"/>
                <w:highlight w:val="none"/>
                <w:lang w:val="en-US" w:eastAsia="zh-CN"/>
              </w:rPr>
            </w:pP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pPr>
              <w:snapToGrid w:val="0"/>
              <w:spacing w:line="360" w:lineRule="auto"/>
              <w:rPr>
                <w:rFonts w:hint="eastAsia" w:eastAsia="宋体"/>
                <w:color w:val="auto"/>
                <w:sz w:val="24"/>
                <w:szCs w:val="24"/>
                <w:highlight w:val="none"/>
                <w:lang w:eastAsia="zh-CN"/>
              </w:rPr>
            </w:pP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pPr>
              <w:spacing w:line="360" w:lineRule="auto"/>
              <w:rPr>
                <w:color w:val="auto"/>
              </w:rPr>
            </w:pPr>
            <w:r>
              <w:rPr>
                <w:rFonts w:hint="eastAsia" w:eastAsia="宋体"/>
                <w:color w:val="auto"/>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756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hint="eastAsia" w:ascii="宋体" w:hAnsi="宋体" w:eastAsia="宋体" w:cs="宋体"/>
                <w:sz w:val="24"/>
                <w:lang w:eastAsia="zh-CN"/>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7566"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7566"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highlight w:val="none"/>
                <w:u w:val="single"/>
                <w:lang w:val="en-US" w:eastAsia="zh-CN"/>
              </w:rPr>
              <w:t>杭州市拱墅区香积寺东路58号3楼353办公室（杭州市公共资源交易中心拱墅分中心）</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 xml:space="preserve"> </w:t>
            </w:r>
            <w:r>
              <w:rPr>
                <w:rFonts w:hint="eastAsia" w:hAnsi="宋体" w:cs="宋体"/>
                <w:color w:val="auto"/>
                <w:sz w:val="24"/>
                <w:highlight w:val="none"/>
                <w:u w:val="single"/>
                <w:lang w:val="en-US" w:eastAsia="zh-CN"/>
              </w:rPr>
              <w:t>0571-89507163</w:t>
            </w:r>
            <w:r>
              <w:rPr>
                <w:rFonts w:hint="eastAsia" w:hAnsi="宋体" w:cs="宋体"/>
                <w:kern w:val="28"/>
                <w:sz w:val="24"/>
                <w:szCs w:val="24"/>
                <w:u w:val="single"/>
                <w:lang w:val="en-US" w:eastAsia="zh-CN"/>
              </w:rPr>
              <w:t xml:space="preserve">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特别说明</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vAlign w:val="center"/>
          </w:tcPr>
          <w:p>
            <w:pPr>
              <w:snapToGrid w:val="0"/>
              <w:spacing w:line="360" w:lineRule="auto"/>
              <w:jc w:val="center"/>
              <w:rPr>
                <w:rFonts w:hint="eastAsia" w:ascii="宋体" w:hAnsi="宋体" w:eastAsia="宋体" w:cs="宋体"/>
                <w:b/>
                <w:bCs/>
                <w:color w:val="auto"/>
                <w:sz w:val="24"/>
                <w:highlight w:val="none"/>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color w:val="auto"/>
                <w:sz w:val="24"/>
                <w:highlight w:val="none"/>
                <w:lang w:val="en-US" w:eastAsia="zh-CN"/>
              </w:rPr>
            </w:pP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8"/>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r>
              <w:rPr>
                <w:rFonts w:hint="eastAsia" w:ascii="宋体" w:hAnsi="宋体" w:cs="宋体"/>
                <w:snapToGrid w:val="0"/>
                <w:kern w:val="28"/>
                <w:sz w:val="24"/>
              </w:rPr>
              <w:t>。</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w:t>
            </w:r>
            <w:r>
              <w:rPr>
                <w:rFonts w:hint="eastAsia" w:ascii="宋体" w:hAnsi="宋体" w:cs="宋体"/>
                <w:snapToGrid w:val="0"/>
                <w:color w:val="auto"/>
                <w:kern w:val="28"/>
                <w:sz w:val="24"/>
                <w:highlight w:val="none"/>
              </w:rPr>
              <w:t>联合体中有一方或者联合体成员根据分工按招标文件第四部分评标标准要求提供资信证明文件的，视为符合了相关要求</w:t>
            </w:r>
            <w:r>
              <w:rPr>
                <w:rFonts w:hint="eastAsia" w:ascii="宋体" w:hAnsi="宋体" w:cs="宋体"/>
                <w:snapToGrid w:val="0"/>
                <w:kern w:val="28"/>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2" w:space="0"/>
            </w:tcBorders>
            <w:vAlign w:val="top"/>
          </w:tcPr>
          <w:p>
            <w:pPr>
              <w:snapToGrid w:val="0"/>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 w:eastAsia="zh-CN"/>
              </w:rPr>
              <w:t>成交候选人数量</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right w:val="single" w:color="000000" w:sz="2" w:space="0"/>
            </w:tcBorders>
            <w:vAlign w:val="top"/>
          </w:tcPr>
          <w:p>
            <w:pPr>
              <w:snapToGrid w:val="0"/>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15</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 w:eastAsia="zh-CN"/>
              </w:rPr>
              <w:t>代理费用收取方式及标准</w:t>
            </w:r>
          </w:p>
        </w:tc>
        <w:tc>
          <w:tcPr>
            <w:tcW w:w="7566"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ascii="宋体" w:hAnsi="宋体" w:cs="宋体"/>
                <w:color w:val="auto"/>
                <w:kern w:val="0"/>
                <w:sz w:val="24"/>
                <w:highlight w:val="none"/>
                <w:lang w:val="en-US" w:eastAsia="zh-CN"/>
              </w:rPr>
              <w:t>无需代理费</w:t>
            </w:r>
          </w:p>
        </w:tc>
      </w:tr>
    </w:tbl>
    <w:p>
      <w:pPr>
        <w:snapToGrid w:val="0"/>
        <w:spacing w:line="360" w:lineRule="auto"/>
        <w:jc w:val="center"/>
        <w:rPr>
          <w:rFonts w:ascii="宋体" w:hAnsi="宋体" w:cs="宋体"/>
          <w:b/>
          <w:sz w:val="32"/>
          <w:szCs w:val="20"/>
        </w:rPr>
      </w:pPr>
    </w:p>
    <w:bookmarkEnd w:id="9"/>
    <w:p>
      <w:pPr>
        <w:adjustRightInd/>
        <w:spacing w:line="360" w:lineRule="auto"/>
        <w:ind w:firstLine="3845" w:firstLineChars="1197"/>
        <w:outlineLvl w:val="1"/>
        <w:rPr>
          <w:rFonts w:ascii="宋体" w:hAnsi="宋体" w:cs="宋体"/>
          <w:b/>
          <w:sz w:val="32"/>
          <w:szCs w:val="20"/>
        </w:rPr>
      </w:pPr>
      <w:bookmarkStart w:id="12" w:name="_Toc164416483"/>
      <w:bookmarkStart w:id="13" w:name="第三部分"/>
      <w:r>
        <w:rPr>
          <w:rFonts w:hint="eastAsia" w:ascii="宋体" w:hAnsi="宋体" w:cs="宋体"/>
          <w:b/>
          <w:sz w:val="32"/>
          <w:szCs w:val="20"/>
        </w:rPr>
        <w:t>一、总则</w:t>
      </w:r>
    </w:p>
    <w:p>
      <w:pPr>
        <w:snapToGrid w:val="0"/>
        <w:spacing w:line="360" w:lineRule="auto"/>
        <w:ind w:firstLine="361" w:firstLineChars="150"/>
        <w:jc w:val="left"/>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226060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9540052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pPr>
        <w:pStyle w:val="2"/>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pPr>
        <w:pStyle w:val="887"/>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87"/>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pPr>
        <w:pStyle w:val="887"/>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pPr>
        <w:pStyle w:val="887"/>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1"/>
        <w:rPr>
          <w:rFonts w:ascii="宋体" w:hAnsi="宋体" w:cs="宋体"/>
          <w:b/>
          <w:sz w:val="32"/>
          <w:szCs w:val="20"/>
        </w:rPr>
      </w:pPr>
      <w:r>
        <w:rPr>
          <w:rFonts w:hint="eastAsia" w:ascii="宋体" w:hAnsi="宋体" w:cs="宋体"/>
          <w:b/>
          <w:sz w:val="32"/>
          <w:szCs w:val="20"/>
        </w:rPr>
        <w:t>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color w:val="auto"/>
          <w:sz w:val="32"/>
          <w:highlight w:val="none"/>
        </w:rPr>
      </w:pPr>
    </w:p>
    <w:p>
      <w:pPr>
        <w:pStyle w:val="129"/>
        <w:spacing w:before="0"/>
        <w:ind w:firstLine="643"/>
        <w:rPr>
          <w:rFonts w:ascii="宋体" w:hAnsi="宋体" w:cs="宋体"/>
          <w:b/>
          <w:sz w:val="32"/>
        </w:rPr>
      </w:pPr>
    </w:p>
    <w:p>
      <w:pPr>
        <w:pStyle w:val="129"/>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29"/>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29"/>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9"/>
        <w:spacing w:before="0"/>
        <w:ind w:firstLine="0" w:firstLineChars="0"/>
        <w:rPr>
          <w:rFonts w:ascii="宋体" w:hAnsi="宋体" w:cs="宋体"/>
          <w:color w:val="auto"/>
          <w:kern w:val="0"/>
          <w:szCs w:val="24"/>
          <w:highlight w:val="none"/>
        </w:rPr>
      </w:pP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color w:val="auto"/>
          <w:sz w:val="36"/>
          <w:szCs w:val="36"/>
          <w:highlight w:val="none"/>
        </w:rPr>
      </w:pPr>
      <w:bookmarkStart w:id="17" w:name="_Toc91899903"/>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29"/>
        <w:adjustRightInd w:val="0"/>
        <w:snapToGrid w:val="0"/>
        <w:spacing w:before="0"/>
        <w:ind w:firstLine="482" w:firstLineChars="200"/>
        <w:rPr>
          <w:rFonts w:ascii="宋体" w:hAnsi="宋体" w:cs="宋体"/>
          <w:b/>
          <w:sz w:val="32"/>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pPr>
        <w:pStyle w:val="2"/>
        <w:rPr>
          <w:color w:val="auto"/>
          <w:highlight w:val="none"/>
        </w:rPr>
      </w:pPr>
      <w:r>
        <w:rPr>
          <w:rFonts w:ascii="宋体" w:hAnsi="宋体" w:eastAsia="宋体" w:cs="Times New Roman"/>
          <w:b/>
          <w:bCs/>
          <w:color w:val="auto"/>
          <w:kern w:val="2"/>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pPr>
        <w:snapToGrid w:val="0"/>
        <w:spacing w:line="360" w:lineRule="auto"/>
        <w:ind w:firstLine="3357" w:firstLineChars="1045"/>
        <w:rPr>
          <w:rFonts w:ascii="宋体" w:hAnsi="宋体" w:cs="宋体"/>
          <w:b/>
          <w:sz w:val="32"/>
        </w:rPr>
      </w:pPr>
    </w:p>
    <w:bookmarkEnd w:id="12"/>
    <w:bookmarkEnd w:id="13"/>
    <w:bookmarkEnd w:id="17"/>
    <w:p>
      <w:pPr>
        <w:snapToGrid w:val="0"/>
        <w:spacing w:line="360" w:lineRule="auto"/>
        <w:ind w:firstLine="3357" w:firstLineChars="1045"/>
        <w:rPr>
          <w:rFonts w:ascii="宋体" w:hAnsi="宋体" w:cs="宋体"/>
          <w:b/>
          <w:color w:val="auto"/>
          <w:sz w:val="24"/>
          <w:highlight w:val="none"/>
        </w:rPr>
      </w:pPr>
      <w:bookmarkStart w:id="18" w:name="第四部分"/>
      <w:r>
        <w:rPr>
          <w:rFonts w:hint="eastAsia" w:ascii="宋体" w:hAnsi="宋体" w:cs="宋体"/>
          <w:b/>
          <w:color w:val="auto"/>
          <w:sz w:val="32"/>
          <w:highlight w:val="none"/>
        </w:rPr>
        <w:t>八、电子交易活动的中止</w:t>
      </w:r>
    </w:p>
    <w:p>
      <w:pPr>
        <w:pStyle w:val="129"/>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9" w:name="_Hlt68403820"/>
      <w:bookmarkEnd w:id="19"/>
      <w:bookmarkStart w:id="20" w:name="_Hlt68073093"/>
      <w:bookmarkEnd w:id="20"/>
      <w:bookmarkStart w:id="21" w:name="_Hlt68072998"/>
      <w:bookmarkEnd w:id="21"/>
      <w:bookmarkStart w:id="22" w:name="_Hlt68057669"/>
      <w:bookmarkEnd w:id="22"/>
      <w:bookmarkStart w:id="23" w:name="_Hlt74730295"/>
      <w:bookmarkEnd w:id="23"/>
      <w:bookmarkStart w:id="24" w:name="_Hlt74714665"/>
      <w:bookmarkEnd w:id="24"/>
      <w:bookmarkStart w:id="25" w:name="_Hlt75236101"/>
      <w:bookmarkEnd w:id="25"/>
      <w:bookmarkStart w:id="26" w:name="_Hlt68072990"/>
      <w:bookmarkEnd w:id="26"/>
      <w:bookmarkStart w:id="27" w:name="_Hlt74729768"/>
      <w:bookmarkEnd w:id="27"/>
      <w:bookmarkStart w:id="28" w:name="_Hlt74707468"/>
      <w:bookmarkEnd w:id="28"/>
      <w:bookmarkStart w:id="29" w:name="_Hlt75236290"/>
      <w:bookmarkEnd w:id="29"/>
      <w:bookmarkStart w:id="30" w:name="_Hlt75236011"/>
      <w:bookmarkEnd w:id="30"/>
    </w:p>
    <w:p>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964"/>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pPr>
        <w:spacing w:before="120" w:beforeLines="50" w:after="120" w:afterLines="50" w:line="360" w:lineRule="auto"/>
        <w:jc w:val="left"/>
        <w:rPr>
          <w:rFonts w:ascii="仿宋_GB2312" w:hAnsi="仿宋" w:eastAsia="仿宋_GB2312" w:cs="Helvetica"/>
          <w:b/>
          <w:bCs/>
          <w:snapToGrid w:val="0"/>
          <w:kern w:val="0"/>
          <w:sz w:val="24"/>
          <w:lang w:val="zh-CN"/>
        </w:rPr>
      </w:pPr>
      <w:r>
        <w:rPr>
          <w:rFonts w:hint="eastAsia" w:ascii="仿宋_GB2312" w:hAnsi="仿宋" w:eastAsia="仿宋_GB2312" w:cs="Helvetica"/>
          <w:b/>
          <w:bCs/>
          <w:snapToGrid w:val="0"/>
          <w:kern w:val="0"/>
          <w:sz w:val="24"/>
          <w:lang w:val="zh-CN"/>
        </w:rPr>
        <w:t>属于实质性要求条款的，已用符号“▲”标明，否则属于非实质性要求。</w:t>
      </w:r>
    </w:p>
    <w:p/>
    <w:p>
      <w:pPr>
        <w:pStyle w:val="2"/>
      </w:pPr>
      <w:r>
        <w:rPr>
          <w:rFonts w:hint="eastAsia"/>
        </w:rPr>
        <w:t>一、项目概述</w:t>
      </w:r>
    </w:p>
    <w:p>
      <w:pPr>
        <w:spacing w:line="360" w:lineRule="auto"/>
        <w:ind w:firstLine="566" w:firstLineChars="235"/>
        <w:rPr>
          <w:rFonts w:ascii="仿宋_GB2312" w:hAnsi="仿宋" w:eastAsia="仿宋_GB2312"/>
          <w:b/>
          <w:sz w:val="24"/>
          <w:u w:val="none"/>
        </w:rPr>
      </w:pPr>
      <w:r>
        <w:rPr>
          <w:rFonts w:hint="eastAsia" w:ascii="仿宋_GB2312" w:hAnsi="仿宋" w:eastAsia="仿宋_GB2312"/>
          <w:b/>
          <w:sz w:val="24"/>
          <w:u w:val="none"/>
        </w:rPr>
        <w:t>本项目采购内容为202</w:t>
      </w:r>
      <w:r>
        <w:rPr>
          <w:rFonts w:hint="eastAsia" w:ascii="仿宋_GB2312" w:hAnsi="仿宋" w:eastAsia="仿宋_GB2312"/>
          <w:b/>
          <w:sz w:val="24"/>
          <w:u w:val="none"/>
          <w:lang w:val="en-US" w:eastAsia="zh-CN"/>
        </w:rPr>
        <w:t>5</w:t>
      </w:r>
      <w:r>
        <w:rPr>
          <w:rFonts w:hint="eastAsia" w:ascii="仿宋_GB2312" w:hAnsi="仿宋" w:eastAsia="仿宋_GB2312"/>
          <w:b/>
          <w:sz w:val="24"/>
          <w:u w:val="none"/>
        </w:rPr>
        <w:t>年杭州市拱墅区综合行政执法局所需的执法执勤车，共计分为</w:t>
      </w:r>
      <w:r>
        <w:rPr>
          <w:rFonts w:hint="eastAsia" w:ascii="仿宋_GB2312" w:hAnsi="仿宋" w:eastAsia="仿宋_GB2312"/>
          <w:b/>
          <w:sz w:val="24"/>
          <w:u w:val="none"/>
          <w:lang w:eastAsia="zh-CN"/>
        </w:rPr>
        <w:t>三</w:t>
      </w:r>
      <w:r>
        <w:rPr>
          <w:rFonts w:hint="eastAsia" w:ascii="仿宋_GB2312" w:hAnsi="仿宋" w:eastAsia="仿宋_GB2312"/>
          <w:b/>
          <w:sz w:val="24"/>
          <w:u w:val="none"/>
        </w:rPr>
        <w:t>个独立标项。合同范围包含但不仅限于所需产品的供货、运输、安装调试、验收配合、技术培训、售后服务以及招标文件约定的其他一切内容。详细采购内容、采购清单及要求见招标文件第三章采购需求</w:t>
      </w:r>
      <w:r>
        <w:rPr>
          <w:rFonts w:hint="eastAsia" w:ascii="仿宋_GB2312" w:hAnsi="仿宋" w:eastAsia="仿宋_GB2312"/>
          <w:b/>
          <w:sz w:val="24"/>
          <w:u w:val="none"/>
        </w:rPr>
        <w:t>。</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969"/>
        <w:gridCol w:w="1134"/>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仿宋_GB2312" w:eastAsia="仿宋_GB2312"/>
                <w:b/>
                <w:sz w:val="24"/>
              </w:rPr>
            </w:pPr>
            <w:r>
              <w:rPr>
                <w:rFonts w:hint="eastAsia" w:ascii="仿宋_GB2312" w:eastAsia="仿宋_GB2312"/>
                <w:b/>
                <w:sz w:val="24"/>
              </w:rPr>
              <w:t>标项</w:t>
            </w:r>
          </w:p>
        </w:tc>
        <w:tc>
          <w:tcPr>
            <w:tcW w:w="3969" w:type="dxa"/>
            <w:vAlign w:val="center"/>
          </w:tcPr>
          <w:p>
            <w:pPr>
              <w:jc w:val="center"/>
              <w:rPr>
                <w:rFonts w:ascii="仿宋_GB2312" w:eastAsia="仿宋_GB2312"/>
                <w:b/>
                <w:sz w:val="24"/>
              </w:rPr>
            </w:pPr>
            <w:r>
              <w:rPr>
                <w:rFonts w:hint="eastAsia" w:ascii="仿宋_GB2312" w:eastAsia="仿宋_GB2312"/>
                <w:b/>
                <w:sz w:val="24"/>
              </w:rPr>
              <w:t>标项内容</w:t>
            </w:r>
          </w:p>
        </w:tc>
        <w:tc>
          <w:tcPr>
            <w:tcW w:w="1134" w:type="dxa"/>
            <w:vAlign w:val="center"/>
          </w:tcPr>
          <w:p>
            <w:pPr>
              <w:jc w:val="center"/>
              <w:rPr>
                <w:rFonts w:ascii="仿宋_GB2312" w:eastAsia="仿宋_GB2312"/>
                <w:b/>
                <w:sz w:val="24"/>
              </w:rPr>
            </w:pPr>
            <w:r>
              <w:rPr>
                <w:rFonts w:hint="eastAsia" w:ascii="仿宋_GB2312" w:eastAsia="仿宋_GB2312"/>
                <w:b/>
                <w:sz w:val="24"/>
              </w:rPr>
              <w:t>数量</w:t>
            </w:r>
          </w:p>
        </w:tc>
        <w:tc>
          <w:tcPr>
            <w:tcW w:w="2433" w:type="dxa"/>
            <w:vAlign w:val="center"/>
          </w:tcPr>
          <w:p>
            <w:pPr>
              <w:jc w:val="center"/>
              <w:rPr>
                <w:rFonts w:ascii="仿宋_GB2312" w:eastAsia="仿宋_GB2312"/>
                <w:b/>
                <w:sz w:val="24"/>
              </w:rPr>
            </w:pPr>
            <w:r>
              <w:rPr>
                <w:rFonts w:hint="eastAsia" w:ascii="仿宋_GB2312" w:eastAsia="仿宋_GB2312"/>
                <w:b/>
                <w:sz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仿宋_GB2312" w:eastAsia="仿宋_GB2312"/>
                <w:sz w:val="24"/>
              </w:rPr>
            </w:pPr>
            <w:r>
              <w:rPr>
                <w:rFonts w:hint="eastAsia" w:ascii="仿宋_GB2312" w:eastAsia="仿宋_GB2312"/>
                <w:sz w:val="24"/>
              </w:rPr>
              <w:t>一</w:t>
            </w:r>
          </w:p>
        </w:tc>
        <w:tc>
          <w:tcPr>
            <w:tcW w:w="3969" w:type="dxa"/>
            <w:vAlign w:val="center"/>
          </w:tcPr>
          <w:p>
            <w:pPr>
              <w:jc w:val="left"/>
              <w:rPr>
                <w:rFonts w:ascii="仿宋_GB2312" w:eastAsia="仿宋_GB2312"/>
                <w:sz w:val="24"/>
              </w:rPr>
            </w:pPr>
            <w:r>
              <w:rPr>
                <w:rFonts w:hint="eastAsia" w:ascii="仿宋_GB2312" w:hAnsi="宋体" w:eastAsia="仿宋_GB2312" w:cs="宋体"/>
                <w:sz w:val="24"/>
              </w:rPr>
              <w:t>执法执勤车（7座乘用车）</w:t>
            </w:r>
          </w:p>
        </w:tc>
        <w:tc>
          <w:tcPr>
            <w:tcW w:w="1134" w:type="dxa"/>
            <w:vAlign w:val="center"/>
          </w:tcPr>
          <w:p>
            <w:pPr>
              <w:jc w:val="center"/>
              <w:rPr>
                <w:rFonts w:ascii="仿宋_GB2312" w:eastAsia="仿宋_GB2312"/>
                <w:sz w:val="24"/>
              </w:rPr>
            </w:pPr>
            <w:r>
              <w:rPr>
                <w:rFonts w:hint="eastAsia" w:ascii="仿宋_GB2312" w:eastAsia="仿宋_GB2312"/>
                <w:sz w:val="24"/>
                <w:lang w:val="en-US" w:eastAsia="zh-CN"/>
              </w:rPr>
              <w:t>5</w:t>
            </w:r>
            <w:r>
              <w:rPr>
                <w:rFonts w:hint="eastAsia" w:ascii="仿宋_GB2312" w:eastAsia="仿宋_GB2312"/>
                <w:sz w:val="24"/>
              </w:rPr>
              <w:t>辆</w:t>
            </w:r>
          </w:p>
        </w:tc>
        <w:tc>
          <w:tcPr>
            <w:tcW w:w="2433" w:type="dxa"/>
            <w:vAlign w:val="center"/>
          </w:tcPr>
          <w:p>
            <w:pPr>
              <w:jc w:val="center"/>
              <w:rPr>
                <w:rFonts w:ascii="仿宋_GB2312" w:eastAsia="仿宋_GB2312"/>
                <w:sz w:val="24"/>
              </w:rPr>
            </w:pPr>
            <w:r>
              <w:rPr>
                <w:rFonts w:hint="eastAsia" w:ascii="宋体" w:hAnsi="宋体" w:cs="宋体"/>
                <w:sz w:val="24"/>
                <w:lang w:val="en-US" w:eastAsia="zh-CN"/>
              </w:rPr>
              <w:t>60</w:t>
            </w:r>
            <w:r>
              <w:rPr>
                <w:rFonts w:hint="eastAsia" w:ascii="宋体" w:hAnsi="宋体" w:cs="宋体"/>
                <w:sz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ascii="仿宋_GB2312" w:eastAsia="仿宋_GB2312"/>
                <w:sz w:val="24"/>
              </w:rPr>
            </w:pPr>
            <w:r>
              <w:rPr>
                <w:rFonts w:hint="eastAsia" w:ascii="仿宋_GB2312" w:eastAsia="仿宋_GB2312"/>
                <w:sz w:val="24"/>
              </w:rPr>
              <w:t>二</w:t>
            </w:r>
          </w:p>
        </w:tc>
        <w:tc>
          <w:tcPr>
            <w:tcW w:w="3969" w:type="dxa"/>
            <w:vAlign w:val="center"/>
          </w:tcPr>
          <w:p>
            <w:pPr>
              <w:jc w:val="left"/>
              <w:rPr>
                <w:rFonts w:ascii="仿宋_GB2312" w:eastAsia="仿宋_GB2312"/>
                <w:sz w:val="24"/>
              </w:rPr>
            </w:pPr>
            <w:r>
              <w:rPr>
                <w:rFonts w:hint="eastAsia" w:ascii="仿宋_GB2312" w:hAnsi="宋体" w:eastAsia="仿宋_GB2312" w:cs="宋体"/>
                <w:sz w:val="24"/>
              </w:rPr>
              <w:t>执法执勤车（7座新能源）</w:t>
            </w:r>
          </w:p>
        </w:tc>
        <w:tc>
          <w:tcPr>
            <w:tcW w:w="1134" w:type="dxa"/>
            <w:vAlign w:val="center"/>
          </w:tcPr>
          <w:p>
            <w:pPr>
              <w:jc w:val="center"/>
              <w:rPr>
                <w:rFonts w:ascii="仿宋_GB2312" w:eastAsia="仿宋_GB2312"/>
                <w:sz w:val="24"/>
              </w:rPr>
            </w:pPr>
            <w:r>
              <w:rPr>
                <w:rFonts w:hint="eastAsia" w:ascii="仿宋_GB2312" w:eastAsia="仿宋_GB2312"/>
                <w:sz w:val="24"/>
              </w:rPr>
              <w:t>3辆</w:t>
            </w:r>
          </w:p>
        </w:tc>
        <w:tc>
          <w:tcPr>
            <w:tcW w:w="2433" w:type="dxa"/>
            <w:vAlign w:val="center"/>
          </w:tcPr>
          <w:p>
            <w:pPr>
              <w:jc w:val="center"/>
              <w:rPr>
                <w:rFonts w:ascii="仿宋_GB2312"/>
                <w:sz w:val="24"/>
              </w:rPr>
            </w:pPr>
            <w:r>
              <w:rPr>
                <w:rFonts w:hint="eastAsia" w:ascii="宋体" w:hAnsi="宋体" w:cs="宋体"/>
                <w:sz w:val="24"/>
              </w:rPr>
              <w:t>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Align w:val="center"/>
          </w:tcPr>
          <w:p>
            <w:pPr>
              <w:jc w:val="center"/>
              <w:rPr>
                <w:rFonts w:hint="eastAsia" w:ascii="仿宋_GB2312" w:eastAsia="仿宋_GB2312"/>
                <w:sz w:val="24"/>
                <w:lang w:eastAsia="zh-CN"/>
              </w:rPr>
            </w:pPr>
            <w:r>
              <w:rPr>
                <w:rFonts w:hint="eastAsia" w:ascii="仿宋_GB2312" w:eastAsia="仿宋_GB2312"/>
                <w:sz w:val="24"/>
                <w:lang w:eastAsia="zh-CN"/>
              </w:rPr>
              <w:t>三</w:t>
            </w:r>
          </w:p>
        </w:tc>
        <w:tc>
          <w:tcPr>
            <w:tcW w:w="3969" w:type="dxa"/>
            <w:vAlign w:val="center"/>
          </w:tcPr>
          <w:p>
            <w:pPr>
              <w:jc w:val="left"/>
              <w:rPr>
                <w:rFonts w:hint="eastAsia" w:ascii="仿宋_GB2312" w:hAnsi="宋体" w:eastAsia="仿宋_GB2312" w:cs="宋体"/>
                <w:sz w:val="24"/>
              </w:rPr>
            </w:pPr>
            <w:r>
              <w:rPr>
                <w:rFonts w:hint="eastAsia" w:ascii="仿宋_GB2312" w:hAnsi="宋体" w:eastAsia="仿宋_GB2312" w:cs="宋体"/>
                <w:sz w:val="24"/>
              </w:rPr>
              <w:t>执法执勤车（7座新能源）</w:t>
            </w:r>
          </w:p>
        </w:tc>
        <w:tc>
          <w:tcPr>
            <w:tcW w:w="1134" w:type="dxa"/>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3辆</w:t>
            </w:r>
          </w:p>
        </w:tc>
        <w:tc>
          <w:tcPr>
            <w:tcW w:w="2433"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528000</w:t>
            </w:r>
          </w:p>
        </w:tc>
      </w:tr>
    </w:tbl>
    <w:p/>
    <w:p>
      <w:pPr>
        <w:spacing w:after="240" w:line="360" w:lineRule="auto"/>
        <w:ind w:firstLine="566" w:firstLineChars="235"/>
        <w:rPr>
          <w:rFonts w:ascii="宋体" w:hAnsi="宋体" w:cs="宋体"/>
          <w:sz w:val="24"/>
        </w:rPr>
      </w:pPr>
      <w:r>
        <w:rPr>
          <w:rFonts w:hint="eastAsia" w:ascii="仿宋_GB2312" w:hAnsi="仿宋" w:eastAsia="仿宋_GB2312"/>
          <w:b/>
          <w:sz w:val="24"/>
        </w:rPr>
        <w:t>各供应商应根据《公开招标采购文件》所提出的技术、服务和商务等相关要求，结合自身实力，提出最佳投标方案参与投标。</w:t>
      </w:r>
    </w:p>
    <w:p>
      <w:pPr>
        <w:pStyle w:val="2"/>
        <w:rPr>
          <w:rFonts w:ascii="宋体" w:hAnsi="宋体" w:cs="宋体"/>
          <w:sz w:val="24"/>
        </w:rPr>
      </w:pPr>
      <w:bookmarkStart w:id="31" w:name="_Toc118374034"/>
      <w:r>
        <w:rPr>
          <w:rFonts w:hint="eastAsia"/>
        </w:rPr>
        <w:t>二、技术</w:t>
      </w:r>
      <w:bookmarkEnd w:id="31"/>
      <w:r>
        <w:rPr>
          <w:rFonts w:hint="eastAsia"/>
        </w:rPr>
        <w:t>要求</w:t>
      </w:r>
    </w:p>
    <w:p>
      <w:pPr>
        <w:pStyle w:val="4"/>
        <w:rPr>
          <w:rFonts w:ascii="宋体"/>
          <w:snapToGrid w:val="0"/>
          <w:kern w:val="0"/>
        </w:rPr>
      </w:pPr>
      <w:r>
        <w:rPr>
          <w:rFonts w:hint="eastAsia"/>
        </w:rPr>
        <w:t>（一）标项一：执法执勤车（7座乘用车）</w:t>
      </w:r>
    </w:p>
    <w:tbl>
      <w:tblPr>
        <w:tblStyle w:val="63"/>
        <w:tblW w:w="8950" w:type="dxa"/>
        <w:tblInd w:w="-34"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78"/>
        <w:gridCol w:w="1298"/>
        <w:gridCol w:w="5578"/>
        <w:gridCol w:w="646"/>
        <w:gridCol w:w="65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778"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序号</w:t>
            </w:r>
          </w:p>
        </w:tc>
        <w:tc>
          <w:tcPr>
            <w:tcW w:w="1298"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产品名称</w:t>
            </w:r>
          </w:p>
        </w:tc>
        <w:tc>
          <w:tcPr>
            <w:tcW w:w="5578" w:type="dxa"/>
            <w:shd w:val="clear" w:color="auto" w:fill="auto"/>
            <w:vAlign w:val="center"/>
          </w:tcPr>
          <w:p>
            <w:pPr>
              <w:spacing w:line="276" w:lineRule="auto"/>
              <w:jc w:val="center"/>
              <w:rPr>
                <w:rFonts w:ascii="仿宋" w:hAnsi="仿宋" w:eastAsia="仿宋"/>
                <w:b/>
                <w:color w:val="000000"/>
                <w:sz w:val="24"/>
                <w:highlight w:val="yellow"/>
              </w:rPr>
            </w:pPr>
            <w:r>
              <w:rPr>
                <w:rFonts w:hint="eastAsia" w:ascii="仿宋" w:hAnsi="仿宋" w:eastAsia="仿宋"/>
                <w:b/>
                <w:color w:val="000000"/>
                <w:sz w:val="24"/>
              </w:rPr>
              <w:t>招标要求</w:t>
            </w:r>
          </w:p>
        </w:tc>
        <w:tc>
          <w:tcPr>
            <w:tcW w:w="646"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数量</w:t>
            </w:r>
          </w:p>
        </w:tc>
        <w:tc>
          <w:tcPr>
            <w:tcW w:w="650"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单位</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778" w:type="dxa"/>
            <w:shd w:val="clear" w:color="auto" w:fill="auto"/>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1298" w:type="dxa"/>
            <w:shd w:val="clear" w:color="auto" w:fill="auto"/>
            <w:vAlign w:val="center"/>
          </w:tcPr>
          <w:p>
            <w:pPr>
              <w:spacing w:line="276" w:lineRule="auto"/>
              <w:jc w:val="center"/>
              <w:rPr>
                <w:rFonts w:ascii="仿宋" w:hAnsi="仿宋" w:eastAsia="仿宋_GB2312"/>
                <w:color w:val="auto"/>
                <w:w w:val="90"/>
                <w:sz w:val="24"/>
              </w:rPr>
            </w:pPr>
            <w:r>
              <w:rPr>
                <w:rFonts w:hint="eastAsia" w:ascii="仿宋" w:hAnsi="仿宋" w:eastAsia="仿宋"/>
                <w:b/>
                <w:color w:val="auto"/>
                <w:sz w:val="24"/>
              </w:rPr>
              <w:t>执法执勤车（7座乘用车）</w:t>
            </w:r>
          </w:p>
        </w:tc>
        <w:tc>
          <w:tcPr>
            <w:tcW w:w="5578" w:type="dxa"/>
            <w:shd w:val="clear" w:color="auto" w:fill="auto"/>
            <w:vAlign w:val="center"/>
          </w:tcPr>
          <w:p>
            <w:pPr>
              <w:rPr>
                <w:rFonts w:ascii="宋体" w:hAnsi="宋体" w:cs="宋体"/>
                <w:color w:val="auto"/>
                <w:sz w:val="24"/>
              </w:rPr>
            </w:pPr>
            <w:r>
              <w:rPr>
                <w:rFonts w:hint="eastAsia" w:ascii="宋体" w:hAnsi="宋体" w:cs="宋体"/>
                <w:color w:val="auto"/>
                <w:sz w:val="24"/>
              </w:rPr>
              <w:t>1、底盘车辆要求:</w:t>
            </w:r>
          </w:p>
          <w:p>
            <w:pPr>
              <w:rPr>
                <w:rFonts w:ascii="宋体" w:hAnsi="宋体" w:cs="宋体"/>
                <w:color w:val="auto"/>
                <w:sz w:val="24"/>
              </w:rPr>
            </w:pPr>
            <w:r>
              <w:rPr>
                <w:rFonts w:hint="eastAsia" w:ascii="宋体" w:hAnsi="宋体" w:cs="宋体"/>
                <w:color w:val="auto"/>
                <w:sz w:val="24"/>
              </w:rPr>
              <w:t>（1）</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座位数（人）：7；</w:t>
            </w:r>
          </w:p>
          <w:p>
            <w:pPr>
              <w:rPr>
                <w:rFonts w:ascii="宋体" w:hAnsi="宋体" w:cs="宋体"/>
                <w:color w:val="auto"/>
                <w:sz w:val="24"/>
              </w:rPr>
            </w:pPr>
            <w:r>
              <w:rPr>
                <w:rFonts w:hint="eastAsia" w:ascii="宋体" w:hAnsi="宋体" w:cs="宋体"/>
                <w:color w:val="auto"/>
                <w:sz w:val="24"/>
              </w:rPr>
              <w:t>（2）</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轴距：2800mm≤轴距≤2850mm；</w:t>
            </w:r>
          </w:p>
          <w:p>
            <w:pPr>
              <w:rPr>
                <w:rFonts w:ascii="宋体" w:hAnsi="宋体" w:cs="宋体"/>
                <w:color w:val="auto"/>
                <w:sz w:val="24"/>
              </w:rPr>
            </w:pPr>
            <w:r>
              <w:rPr>
                <w:rFonts w:hint="eastAsia" w:ascii="宋体" w:hAnsi="宋体" w:cs="宋体"/>
                <w:color w:val="auto"/>
                <w:sz w:val="24"/>
              </w:rPr>
              <w:t>（3）</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燃油：92号或以上无铅汽油；</w:t>
            </w:r>
          </w:p>
          <w:p>
            <w:pPr>
              <w:rPr>
                <w:rFonts w:ascii="宋体" w:hAnsi="宋体" w:cs="宋体"/>
                <w:color w:val="auto"/>
                <w:sz w:val="24"/>
              </w:rPr>
            </w:pPr>
            <w:r>
              <w:rPr>
                <w:rFonts w:hint="eastAsia" w:ascii="宋体" w:hAnsi="宋体" w:cs="宋体"/>
                <w:color w:val="auto"/>
                <w:sz w:val="24"/>
              </w:rPr>
              <w:t>（4）</w:t>
            </w:r>
            <w:r>
              <w:rPr>
                <w:rFonts w:hint="eastAsia" w:ascii="仿宋_GB2312" w:hAnsi="仿宋" w:eastAsia="仿宋_GB2312" w:cs="Helvetica"/>
                <w:b/>
                <w:bCs/>
                <w:snapToGrid w:val="0"/>
                <w:color w:val="auto"/>
                <w:kern w:val="0"/>
                <w:sz w:val="24"/>
              </w:rPr>
              <w:t>★</w:t>
            </w:r>
            <w:r>
              <w:rPr>
                <w:rFonts w:hint="eastAsia" w:ascii="宋体" w:hAnsi="宋体" w:cs="宋体"/>
                <w:color w:val="auto"/>
                <w:sz w:val="24"/>
              </w:rPr>
              <w:t>尺寸：4700mm≤长≤4900mm，</w:t>
            </w:r>
          </w:p>
          <w:p>
            <w:pPr>
              <w:ind w:firstLine="1680" w:firstLineChars="700"/>
              <w:rPr>
                <w:rFonts w:ascii="宋体" w:hAnsi="宋体" w:cs="宋体"/>
                <w:color w:val="auto"/>
                <w:sz w:val="24"/>
              </w:rPr>
            </w:pPr>
            <w:r>
              <w:rPr>
                <w:rFonts w:hint="eastAsia" w:ascii="宋体" w:hAnsi="宋体" w:cs="宋体"/>
                <w:color w:val="auto"/>
                <w:sz w:val="24"/>
              </w:rPr>
              <w:t>1800mm≤宽≤1910mm，</w:t>
            </w:r>
          </w:p>
          <w:p>
            <w:pPr>
              <w:ind w:firstLine="1680" w:firstLineChars="700"/>
              <w:rPr>
                <w:rFonts w:ascii="宋体" w:hAnsi="宋体" w:cs="宋体"/>
                <w:color w:val="auto"/>
                <w:sz w:val="24"/>
              </w:rPr>
            </w:pPr>
            <w:r>
              <w:rPr>
                <w:rFonts w:hint="eastAsia" w:ascii="宋体" w:hAnsi="宋体" w:cs="宋体"/>
                <w:color w:val="auto"/>
                <w:sz w:val="24"/>
              </w:rPr>
              <w:t>1650mm≤高≤1800mm；</w:t>
            </w:r>
          </w:p>
          <w:p>
            <w:pPr>
              <w:rPr>
                <w:rFonts w:ascii="宋体" w:hAnsi="宋体" w:cs="宋体"/>
                <w:color w:val="auto"/>
                <w:sz w:val="24"/>
              </w:rPr>
            </w:pPr>
            <w:r>
              <w:rPr>
                <w:rFonts w:hint="eastAsia" w:ascii="宋体" w:hAnsi="宋体" w:cs="宋体"/>
                <w:color w:val="auto"/>
                <w:sz w:val="24"/>
              </w:rPr>
              <w:t>（5）</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发动机排量（mL）：≥1480；</w:t>
            </w:r>
          </w:p>
          <w:p>
            <w:pPr>
              <w:rPr>
                <w:color w:val="auto"/>
              </w:rPr>
            </w:pPr>
            <w:r>
              <w:rPr>
                <w:rFonts w:hint="eastAsia" w:ascii="宋体" w:hAnsi="宋体" w:cs="宋体"/>
                <w:color w:val="auto"/>
                <w:sz w:val="24"/>
              </w:rPr>
              <w:t>（6）</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发动机最大扭矩(N·m)≥260；</w:t>
            </w:r>
          </w:p>
          <w:p>
            <w:pPr>
              <w:rPr>
                <w:rFonts w:ascii="宋体" w:hAnsi="宋体" w:cs="宋体"/>
                <w:color w:val="auto"/>
                <w:sz w:val="24"/>
              </w:rPr>
            </w:pPr>
            <w:r>
              <w:rPr>
                <w:rFonts w:hint="eastAsia" w:ascii="宋体" w:hAnsi="宋体" w:cs="宋体"/>
                <w:color w:val="auto"/>
                <w:sz w:val="24"/>
              </w:rPr>
              <w:t>（7）</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变速箱：7速湿式双离合变速器；</w:t>
            </w:r>
          </w:p>
          <w:p>
            <w:pPr>
              <w:rPr>
                <w:rFonts w:ascii="宋体" w:hAnsi="宋体" w:cs="宋体"/>
                <w:color w:val="auto"/>
                <w:sz w:val="24"/>
              </w:rPr>
            </w:pPr>
            <w:r>
              <w:rPr>
                <w:rFonts w:hint="eastAsia" w:ascii="宋体" w:hAnsi="宋体" w:cs="宋体"/>
                <w:color w:val="auto"/>
                <w:sz w:val="24"/>
              </w:rPr>
              <w:t>（8）</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最高设计车速（km/h</w:t>
            </w:r>
            <w:r>
              <w:rPr>
                <w:rFonts w:ascii="宋体" w:hAnsi="宋体" w:cs="宋体"/>
                <w:color w:val="auto"/>
                <w:sz w:val="24"/>
              </w:rPr>
              <w:t>）</w:t>
            </w:r>
            <w:r>
              <w:rPr>
                <w:rFonts w:hint="eastAsia" w:ascii="宋体" w:hAnsi="宋体" w:cs="宋体"/>
                <w:color w:val="auto"/>
                <w:sz w:val="24"/>
              </w:rPr>
              <w:t>：</w:t>
            </w:r>
            <w:r>
              <w:rPr>
                <w:rFonts w:hint="eastAsia" w:ascii="宋体" w:hAnsi="宋体" w:cs="宋体"/>
                <w:color w:val="auto"/>
                <w:sz w:val="24"/>
                <w:lang w:val="en-US" w:eastAsia="zh-CN"/>
              </w:rPr>
              <w:t>190</w:t>
            </w:r>
            <w:r>
              <w:rPr>
                <w:rFonts w:hint="eastAsia" w:ascii="宋体" w:hAnsi="宋体" w:cs="宋体"/>
                <w:color w:val="auto"/>
                <w:sz w:val="24"/>
              </w:rPr>
              <w:t>；</w:t>
            </w:r>
          </w:p>
          <w:p>
            <w:pPr>
              <w:spacing w:line="360" w:lineRule="exact"/>
              <w:rPr>
                <w:rFonts w:ascii="宋体" w:hAnsi="宋体" w:cs="宋体"/>
                <w:color w:val="auto"/>
                <w:sz w:val="24"/>
              </w:rPr>
            </w:pPr>
            <w:r>
              <w:rPr>
                <w:rFonts w:hint="eastAsia" w:ascii="宋体" w:hAnsi="宋体" w:cs="宋体"/>
                <w:color w:val="auto"/>
                <w:sz w:val="24"/>
              </w:rPr>
              <w:t>（9）</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排放标准：符合国六b排放标准；</w:t>
            </w:r>
          </w:p>
          <w:p>
            <w:pPr>
              <w:spacing w:line="360" w:lineRule="exact"/>
              <w:rPr>
                <w:rFonts w:ascii="宋体" w:hAnsi="宋体" w:cs="宋体"/>
                <w:color w:val="auto"/>
                <w:sz w:val="24"/>
              </w:rPr>
            </w:pPr>
            <w:r>
              <w:rPr>
                <w:rFonts w:hint="eastAsia" w:ascii="宋体" w:hAnsi="宋体" w:cs="宋体"/>
                <w:color w:val="auto"/>
                <w:sz w:val="24"/>
              </w:rPr>
              <w:t>（10）</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WLTC百公里综合油耗≤7.5L；</w:t>
            </w:r>
          </w:p>
          <w:p>
            <w:pPr>
              <w:rPr>
                <w:rFonts w:ascii="宋体" w:hAnsi="宋体" w:cs="宋体"/>
                <w:color w:val="auto"/>
                <w:sz w:val="24"/>
              </w:rPr>
            </w:pPr>
            <w:r>
              <w:rPr>
                <w:rFonts w:hint="eastAsia" w:ascii="宋体" w:hAnsi="宋体" w:cs="宋体"/>
                <w:color w:val="auto"/>
                <w:sz w:val="24"/>
              </w:rPr>
              <w:t>2、基本配置：</w:t>
            </w:r>
          </w:p>
          <w:p>
            <w:pPr>
              <w:pStyle w:val="789"/>
              <w:numPr>
                <w:ilvl w:val="0"/>
                <w:numId w:val="1"/>
              </w:numPr>
              <w:tabs>
                <w:tab w:val="left" w:pos="931"/>
              </w:tabs>
              <w:spacing w:line="360" w:lineRule="exact"/>
              <w:ind w:firstLine="480"/>
              <w:rPr>
                <w:rFonts w:ascii="宋体" w:hAnsi="宋体" w:cs="宋体"/>
                <w:color w:val="auto"/>
              </w:rPr>
            </w:pPr>
            <w:r>
              <w:rPr>
                <w:rFonts w:hint="eastAsia" w:ascii="仿宋_GB2312" w:hAnsi="仿宋" w:eastAsia="仿宋_GB2312" w:cs="Helvetica"/>
                <w:b/>
                <w:bCs/>
                <w:snapToGrid w:val="0"/>
                <w:color w:val="auto"/>
                <w:kern w:val="0"/>
                <w:szCs w:val="24"/>
                <w:lang w:val="zh-CN"/>
              </w:rPr>
              <w:t>★</w:t>
            </w:r>
            <w:r>
              <w:rPr>
                <w:rFonts w:hint="eastAsia" w:ascii="宋体" w:hAnsi="宋体" w:cs="宋体"/>
                <w:color w:val="auto"/>
                <w:lang w:eastAsia="zh-CN"/>
              </w:rPr>
              <w:t>车身颜色为白色</w:t>
            </w:r>
          </w:p>
          <w:p>
            <w:pPr>
              <w:pStyle w:val="789"/>
              <w:numPr>
                <w:ilvl w:val="0"/>
                <w:numId w:val="1"/>
              </w:numPr>
              <w:tabs>
                <w:tab w:val="left" w:pos="931"/>
              </w:tabs>
              <w:spacing w:line="360" w:lineRule="exact"/>
              <w:ind w:firstLine="480"/>
              <w:rPr>
                <w:rFonts w:ascii="宋体" w:hAnsi="宋体" w:cs="宋体"/>
                <w:color w:val="auto"/>
              </w:rPr>
            </w:pPr>
            <w:r>
              <w:rPr>
                <w:rFonts w:hint="eastAsia" w:ascii="宋体" w:hAnsi="宋体" w:cs="宋体"/>
                <w:color w:val="auto"/>
              </w:rPr>
              <w:t>具有</w:t>
            </w:r>
            <w:r>
              <w:rPr>
                <w:color w:val="auto"/>
              </w:rPr>
              <w:fldChar w:fldCharType="begin"/>
            </w:r>
            <w:r>
              <w:rPr>
                <w:color w:val="auto"/>
              </w:rPr>
              <w:instrText xml:space="preserve"> HYPERLINK "https://baike.pcauto.com.cn/600.html" \t "_blank" </w:instrText>
            </w:r>
            <w:r>
              <w:rPr>
                <w:color w:val="auto"/>
              </w:rPr>
              <w:fldChar w:fldCharType="separate"/>
            </w:r>
            <w:r>
              <w:rPr>
                <w:rFonts w:hint="eastAsia" w:ascii="宋体" w:hAnsi="宋体" w:cs="宋体"/>
                <w:color w:val="auto"/>
              </w:rPr>
              <w:t>无钥匙进入功能；</w:t>
            </w:r>
            <w:r>
              <w:rPr>
                <w:rFonts w:hint="eastAsia" w:ascii="宋体" w:hAnsi="宋体" w:cs="宋体"/>
                <w:color w:val="auto"/>
              </w:rPr>
              <w:fldChar w:fldCharType="end"/>
            </w:r>
          </w:p>
          <w:p>
            <w:pPr>
              <w:pStyle w:val="789"/>
              <w:numPr>
                <w:ilvl w:val="0"/>
                <w:numId w:val="1"/>
              </w:numPr>
              <w:tabs>
                <w:tab w:val="left" w:pos="931"/>
              </w:tabs>
              <w:spacing w:line="360" w:lineRule="exact"/>
              <w:ind w:firstLine="480"/>
              <w:rPr>
                <w:color w:val="auto"/>
              </w:rPr>
            </w:pPr>
            <w:r>
              <w:rPr>
                <w:color w:val="auto"/>
              </w:rPr>
              <w:fldChar w:fldCharType="begin"/>
            </w:r>
            <w:r>
              <w:rPr>
                <w:color w:val="auto"/>
              </w:rPr>
              <w:instrText xml:space="preserve"> HYPERLINK "https://baike.pcauto.com.cn/600.html" \t "_blank" </w:instrText>
            </w:r>
            <w:r>
              <w:rPr>
                <w:color w:val="auto"/>
              </w:rPr>
              <w:fldChar w:fldCharType="separate"/>
            </w:r>
            <w:r>
              <w:rPr>
                <w:rFonts w:hint="eastAsia" w:ascii="宋体" w:hAnsi="宋体" w:cs="宋体"/>
                <w:color w:val="auto"/>
              </w:rPr>
              <w:t>具备倒车影像；</w:t>
            </w:r>
            <w:r>
              <w:rPr>
                <w:rFonts w:hint="eastAsia" w:ascii="宋体" w:hAnsi="宋体" w:cs="宋体"/>
                <w:color w:val="auto"/>
              </w:rPr>
              <w:fldChar w:fldCharType="end"/>
            </w:r>
          </w:p>
          <w:p>
            <w:pPr>
              <w:pStyle w:val="789"/>
              <w:numPr>
                <w:ilvl w:val="0"/>
                <w:numId w:val="1"/>
              </w:numPr>
              <w:tabs>
                <w:tab w:val="left" w:pos="931"/>
              </w:tabs>
              <w:spacing w:line="360" w:lineRule="exact"/>
              <w:ind w:firstLine="482"/>
              <w:rPr>
                <w:rFonts w:ascii="宋体" w:hAnsi="宋体" w:cs="宋体"/>
                <w:color w:val="auto"/>
              </w:rPr>
            </w:pPr>
            <w:r>
              <w:rPr>
                <w:rFonts w:hint="eastAsia" w:ascii="宋体" w:hAnsi="宋体" w:cs="宋体"/>
                <w:color w:val="auto"/>
              </w:rPr>
              <w:t>灯光特色功能：</w:t>
            </w:r>
            <w:r>
              <w:rPr>
                <w:rFonts w:hint="eastAsia" w:ascii="宋体" w:hAnsi="宋体" w:cs="宋体"/>
                <w:color w:val="auto"/>
                <w:lang w:val="en-US" w:eastAsia="zh-CN"/>
              </w:rPr>
              <w:t>LED自动灯或</w:t>
            </w:r>
            <w:r>
              <w:rPr>
                <w:rFonts w:hint="eastAsia" w:ascii="宋体" w:hAnsi="宋体" w:cs="宋体"/>
                <w:color w:val="auto"/>
              </w:rPr>
              <w:t>矩阵式；</w:t>
            </w:r>
          </w:p>
          <w:p>
            <w:pPr>
              <w:pStyle w:val="789"/>
              <w:numPr>
                <w:ilvl w:val="0"/>
                <w:numId w:val="1"/>
              </w:numPr>
              <w:tabs>
                <w:tab w:val="left" w:pos="931"/>
              </w:tabs>
              <w:spacing w:line="360" w:lineRule="exact"/>
              <w:ind w:firstLine="480"/>
              <w:rPr>
                <w:rFonts w:ascii="宋体" w:hAnsi="宋体" w:cs="宋体"/>
                <w:color w:val="auto"/>
              </w:rPr>
            </w:pPr>
            <w:r>
              <w:rPr>
                <w:rFonts w:hint="eastAsia" w:ascii="宋体" w:hAnsi="宋体" w:cs="宋体"/>
                <w:color w:val="auto"/>
              </w:rPr>
              <w:t>具有电动天窗；</w:t>
            </w:r>
          </w:p>
          <w:p>
            <w:pPr>
              <w:pStyle w:val="789"/>
              <w:numPr>
                <w:ilvl w:val="0"/>
                <w:numId w:val="1"/>
              </w:numPr>
              <w:tabs>
                <w:tab w:val="left" w:pos="931"/>
              </w:tabs>
              <w:spacing w:line="360" w:lineRule="exact"/>
              <w:ind w:firstLine="482"/>
              <w:rPr>
                <w:rFonts w:hint="eastAsia" w:ascii="宋体" w:hAnsi="宋体" w:eastAsia="宋体" w:cs="宋体"/>
                <w:color w:val="auto"/>
              </w:rPr>
            </w:pPr>
            <w:r>
              <w:rPr>
                <w:rFonts w:hint="eastAsia" w:ascii="仿宋_GB2312" w:hAnsi="仿宋" w:eastAsia="仿宋_GB2312" w:cs="Helvetica"/>
                <w:b/>
                <w:bCs/>
                <w:snapToGrid w:val="0"/>
                <w:color w:val="auto"/>
                <w:kern w:val="0"/>
                <w:szCs w:val="24"/>
                <w:lang w:val="zh-CN"/>
              </w:rPr>
              <w:t>★</w:t>
            </w:r>
            <w:r>
              <w:rPr>
                <w:rFonts w:hint="eastAsia" w:ascii="宋体" w:hAnsi="宋体" w:eastAsia="宋体" w:cs="宋体"/>
                <w:color w:val="auto"/>
              </w:rPr>
              <w:t>具有</w:t>
            </w:r>
            <w:r>
              <w:rPr>
                <w:rFonts w:hint="eastAsia" w:ascii="宋体" w:hAnsi="宋体" w:eastAsia="宋体" w:cs="宋体"/>
                <w:color w:val="auto"/>
                <w:lang w:eastAsia="zh-CN"/>
              </w:rPr>
              <w:t>第</w:t>
            </w:r>
            <w:r>
              <w:rPr>
                <w:rFonts w:hint="eastAsia" w:ascii="宋体" w:hAnsi="宋体" w:eastAsia="宋体" w:cs="宋体"/>
                <w:color w:val="auto"/>
              </w:rPr>
              <w:t>三排座椅可完全放</w:t>
            </w:r>
            <w:r>
              <w:rPr>
                <w:rFonts w:hint="eastAsia" w:ascii="宋体" w:hAnsi="宋体" w:cs="宋体"/>
                <w:color w:val="auto"/>
                <w:lang w:eastAsia="zh-CN"/>
              </w:rPr>
              <w:t>平</w:t>
            </w:r>
            <w:r>
              <w:rPr>
                <w:rFonts w:hint="eastAsia" w:ascii="宋体" w:hAnsi="宋体" w:eastAsia="宋体" w:cs="宋体"/>
                <w:color w:val="auto"/>
              </w:rPr>
              <w:t>；</w:t>
            </w:r>
          </w:p>
          <w:p>
            <w:pPr>
              <w:pStyle w:val="789"/>
              <w:numPr>
                <w:ilvl w:val="0"/>
                <w:numId w:val="1"/>
              </w:numPr>
              <w:tabs>
                <w:tab w:val="left" w:pos="931"/>
              </w:tabs>
              <w:spacing w:line="360" w:lineRule="exact"/>
              <w:ind w:firstLine="480"/>
              <w:rPr>
                <w:rFonts w:ascii="宋体" w:hAnsi="宋体" w:cs="宋体"/>
                <w:color w:val="auto"/>
              </w:rPr>
            </w:pPr>
            <w:r>
              <w:rPr>
                <w:rFonts w:hint="eastAsia" w:ascii="宋体" w:hAnsi="宋体" w:cs="宋体"/>
                <w:color w:val="auto"/>
              </w:rPr>
              <w:t>具有双区自动恒温空调；</w:t>
            </w:r>
          </w:p>
          <w:p>
            <w:pPr>
              <w:pStyle w:val="789"/>
              <w:numPr>
                <w:ilvl w:val="0"/>
                <w:numId w:val="1"/>
              </w:numPr>
              <w:tabs>
                <w:tab w:val="left" w:pos="931"/>
              </w:tabs>
              <w:spacing w:line="360" w:lineRule="exact"/>
              <w:ind w:firstLine="480"/>
              <w:rPr>
                <w:rFonts w:ascii="宋体" w:hAnsi="宋体" w:cs="宋体"/>
                <w:color w:val="auto"/>
              </w:rPr>
            </w:pPr>
            <w:r>
              <w:rPr>
                <w:rFonts w:hint="eastAsia" w:ascii="宋体" w:hAnsi="宋体" w:cs="宋体"/>
                <w:color w:val="auto"/>
              </w:rPr>
              <w:t>具有电动调节后视镜功能；</w:t>
            </w:r>
          </w:p>
          <w:p>
            <w:pPr>
              <w:pStyle w:val="789"/>
              <w:numPr>
                <w:ilvl w:val="0"/>
                <w:numId w:val="1"/>
              </w:numPr>
              <w:tabs>
                <w:tab w:val="left" w:pos="931"/>
              </w:tabs>
              <w:spacing w:line="360" w:lineRule="exact"/>
              <w:ind w:firstLine="480"/>
              <w:rPr>
                <w:rFonts w:ascii="宋体" w:hAnsi="宋体" w:cs="宋体"/>
                <w:color w:val="auto"/>
              </w:rPr>
            </w:pPr>
            <w:r>
              <w:rPr>
                <w:rFonts w:hint="eastAsia" w:ascii="仿宋_GB2312" w:hAnsi="仿宋" w:eastAsia="仿宋_GB2312" w:cs="Helvetica"/>
                <w:b/>
                <w:bCs/>
                <w:snapToGrid w:val="0"/>
                <w:color w:val="auto"/>
                <w:kern w:val="0"/>
                <w:szCs w:val="24"/>
                <w:lang w:val="zh-CN"/>
              </w:rPr>
              <w:t>★</w:t>
            </w:r>
            <w:r>
              <w:rPr>
                <w:rFonts w:hint="eastAsia" w:ascii="宋体" w:hAnsi="宋体" w:eastAsia="宋体" w:cs="宋体"/>
                <w:color w:val="auto"/>
                <w:kern w:val="2"/>
                <w:sz w:val="24"/>
                <w:szCs w:val="22"/>
                <w:lang w:val="en-US" w:eastAsia="zh-CN" w:bidi="ar-SA"/>
              </w:rPr>
              <w:t>具有定速巡航功能（带方向盘控制按</w:t>
            </w:r>
            <w:r>
              <w:rPr>
                <w:rFonts w:hint="eastAsia" w:ascii="宋体" w:hAnsi="宋体" w:cs="宋体"/>
                <w:color w:val="auto"/>
                <w:kern w:val="2"/>
                <w:sz w:val="24"/>
                <w:szCs w:val="22"/>
                <w:lang w:val="en-US" w:eastAsia="zh-CN" w:bidi="ar-SA"/>
              </w:rPr>
              <w:t xml:space="preserve">   </w:t>
            </w:r>
            <w:r>
              <w:rPr>
                <w:rFonts w:hint="eastAsia" w:ascii="宋体" w:hAnsi="宋体" w:eastAsia="宋体" w:cs="宋体"/>
                <w:color w:val="auto"/>
                <w:kern w:val="2"/>
                <w:sz w:val="24"/>
                <w:szCs w:val="22"/>
                <w:lang w:val="en-US" w:eastAsia="zh-CN" w:bidi="ar-SA"/>
              </w:rPr>
              <w:t>键）。</w:t>
            </w:r>
          </w:p>
          <w:p>
            <w:pPr>
              <w:spacing w:line="276" w:lineRule="auto"/>
              <w:rPr>
                <w:color w:val="auto"/>
                <w:highlight w:val="yellow"/>
              </w:rPr>
            </w:pPr>
          </w:p>
        </w:tc>
        <w:tc>
          <w:tcPr>
            <w:tcW w:w="646" w:type="dxa"/>
            <w:shd w:val="clear" w:color="auto" w:fill="auto"/>
            <w:vAlign w:val="center"/>
          </w:tcPr>
          <w:p>
            <w:pPr>
              <w:spacing w:line="276" w:lineRule="auto"/>
              <w:jc w:val="center"/>
              <w:rPr>
                <w:rFonts w:hint="eastAsia" w:ascii="仿宋" w:hAnsi="仿宋" w:eastAsia="仿宋"/>
                <w:color w:val="000000"/>
                <w:w w:val="90"/>
                <w:sz w:val="24"/>
                <w:lang w:eastAsia="zh-CN"/>
              </w:rPr>
            </w:pPr>
            <w:r>
              <w:rPr>
                <w:rFonts w:hint="eastAsia" w:ascii="仿宋" w:hAnsi="仿宋" w:eastAsia="仿宋"/>
                <w:color w:val="000000"/>
                <w:w w:val="90"/>
                <w:sz w:val="24"/>
                <w:lang w:val="en-US" w:eastAsia="zh-CN"/>
              </w:rPr>
              <w:t>5</w:t>
            </w:r>
          </w:p>
        </w:tc>
        <w:tc>
          <w:tcPr>
            <w:tcW w:w="650" w:type="dxa"/>
            <w:shd w:val="clear" w:color="auto" w:fill="auto"/>
            <w:vAlign w:val="center"/>
          </w:tcPr>
          <w:p>
            <w:pPr>
              <w:spacing w:line="276" w:lineRule="auto"/>
              <w:jc w:val="center"/>
              <w:rPr>
                <w:rFonts w:ascii="仿宋" w:hAnsi="仿宋" w:eastAsia="仿宋"/>
                <w:color w:val="000000"/>
                <w:w w:val="90"/>
                <w:sz w:val="24"/>
              </w:rPr>
            </w:pPr>
            <w:r>
              <w:rPr>
                <w:rFonts w:hint="eastAsia" w:ascii="仿宋" w:hAnsi="仿宋" w:eastAsia="仿宋"/>
                <w:b/>
                <w:iCs/>
                <w:sz w:val="24"/>
              </w:rPr>
              <w:t>辆</w:t>
            </w:r>
          </w:p>
        </w:tc>
      </w:tr>
    </w:tbl>
    <w:p/>
    <w:p>
      <w:pPr>
        <w:pStyle w:val="4"/>
        <w:rPr>
          <w:rFonts w:ascii="宋体"/>
          <w:snapToGrid w:val="0"/>
          <w:kern w:val="0"/>
        </w:rPr>
      </w:pPr>
      <w:r>
        <w:rPr>
          <w:rFonts w:hint="eastAsia"/>
        </w:rPr>
        <w:t>（二）标项二：执法执勤车（7座新能源）</w:t>
      </w:r>
    </w:p>
    <w:tbl>
      <w:tblPr>
        <w:tblStyle w:val="63"/>
        <w:tblW w:w="8950" w:type="dxa"/>
        <w:tblInd w:w="-34"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78"/>
        <w:gridCol w:w="1298"/>
        <w:gridCol w:w="5578"/>
        <w:gridCol w:w="646"/>
        <w:gridCol w:w="65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778"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序号</w:t>
            </w:r>
          </w:p>
        </w:tc>
        <w:tc>
          <w:tcPr>
            <w:tcW w:w="1298"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产品名称</w:t>
            </w:r>
          </w:p>
        </w:tc>
        <w:tc>
          <w:tcPr>
            <w:tcW w:w="5578" w:type="dxa"/>
            <w:shd w:val="clear" w:color="auto" w:fill="auto"/>
            <w:vAlign w:val="center"/>
          </w:tcPr>
          <w:p>
            <w:pPr>
              <w:spacing w:line="276" w:lineRule="auto"/>
              <w:jc w:val="center"/>
              <w:rPr>
                <w:rFonts w:ascii="仿宋" w:hAnsi="仿宋" w:eastAsia="仿宋"/>
                <w:b/>
                <w:color w:val="000000"/>
                <w:sz w:val="24"/>
                <w:highlight w:val="yellow"/>
              </w:rPr>
            </w:pPr>
            <w:r>
              <w:rPr>
                <w:rFonts w:hint="eastAsia" w:ascii="仿宋" w:hAnsi="仿宋" w:eastAsia="仿宋"/>
                <w:b/>
                <w:color w:val="000000"/>
                <w:sz w:val="24"/>
              </w:rPr>
              <w:t>招标要求</w:t>
            </w:r>
          </w:p>
        </w:tc>
        <w:tc>
          <w:tcPr>
            <w:tcW w:w="646"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数量</w:t>
            </w:r>
          </w:p>
        </w:tc>
        <w:tc>
          <w:tcPr>
            <w:tcW w:w="650"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单位</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778" w:type="dxa"/>
            <w:shd w:val="clear" w:color="auto" w:fill="auto"/>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1298" w:type="dxa"/>
            <w:shd w:val="clear" w:color="auto" w:fill="auto"/>
            <w:vAlign w:val="center"/>
          </w:tcPr>
          <w:p>
            <w:pPr>
              <w:spacing w:line="276" w:lineRule="auto"/>
              <w:jc w:val="center"/>
              <w:rPr>
                <w:rFonts w:ascii="仿宋" w:hAnsi="仿宋" w:eastAsia="仿宋_GB2312"/>
                <w:color w:val="auto"/>
                <w:w w:val="90"/>
                <w:sz w:val="24"/>
              </w:rPr>
            </w:pPr>
            <w:r>
              <w:rPr>
                <w:rFonts w:hint="eastAsia" w:ascii="仿宋" w:hAnsi="仿宋" w:eastAsia="仿宋"/>
                <w:b/>
                <w:color w:val="auto"/>
                <w:sz w:val="24"/>
              </w:rPr>
              <w:t>执法执勤车（7座新能源）</w:t>
            </w:r>
          </w:p>
        </w:tc>
        <w:tc>
          <w:tcPr>
            <w:tcW w:w="5578" w:type="dxa"/>
            <w:shd w:val="clear" w:color="auto" w:fill="auto"/>
            <w:vAlign w:val="center"/>
          </w:tcPr>
          <w:p>
            <w:pPr>
              <w:rPr>
                <w:rFonts w:ascii="宋体" w:hAnsi="宋体" w:cs="宋体"/>
                <w:color w:val="auto"/>
                <w:sz w:val="24"/>
              </w:rPr>
            </w:pPr>
            <w:r>
              <w:rPr>
                <w:rFonts w:hint="eastAsia" w:ascii="宋体" w:hAnsi="宋体" w:cs="宋体"/>
                <w:color w:val="auto"/>
                <w:sz w:val="24"/>
              </w:rPr>
              <w:t>1、底盘车辆要求:</w:t>
            </w:r>
          </w:p>
          <w:p>
            <w:pPr>
              <w:rPr>
                <w:rFonts w:ascii="宋体" w:hAnsi="宋体" w:cs="宋体"/>
                <w:color w:val="auto"/>
                <w:sz w:val="24"/>
              </w:rPr>
            </w:pPr>
            <w:r>
              <w:rPr>
                <w:rFonts w:hint="eastAsia" w:ascii="宋体" w:hAnsi="宋体" w:cs="宋体"/>
                <w:color w:val="auto"/>
                <w:sz w:val="24"/>
              </w:rPr>
              <w:t>（1）座位数（人）：7；</w:t>
            </w:r>
          </w:p>
          <w:p>
            <w:pPr>
              <w:rPr>
                <w:rFonts w:ascii="宋体" w:hAnsi="宋体" w:cs="宋体"/>
                <w:color w:val="auto"/>
                <w:sz w:val="24"/>
              </w:rPr>
            </w:pPr>
            <w:r>
              <w:rPr>
                <w:rFonts w:hint="eastAsia" w:ascii="宋体" w:hAnsi="宋体" w:cs="宋体"/>
                <w:color w:val="auto"/>
                <w:sz w:val="24"/>
              </w:rPr>
              <w:t>（2）</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轴距：2</w:t>
            </w:r>
            <w:r>
              <w:rPr>
                <w:rFonts w:hint="eastAsia" w:ascii="宋体" w:hAnsi="宋体" w:cs="宋体"/>
                <w:color w:val="auto"/>
                <w:sz w:val="24"/>
                <w:lang w:val="en-US" w:eastAsia="zh-CN"/>
              </w:rPr>
              <w:t>8</w:t>
            </w:r>
            <w:r>
              <w:rPr>
                <w:rFonts w:hint="eastAsia" w:ascii="宋体" w:hAnsi="宋体" w:cs="宋体"/>
                <w:color w:val="auto"/>
                <w:sz w:val="24"/>
              </w:rPr>
              <w:t>00mm≤轴距≤29</w:t>
            </w:r>
            <w:r>
              <w:rPr>
                <w:rFonts w:hint="eastAsia" w:ascii="宋体" w:hAnsi="宋体" w:cs="宋体"/>
                <w:color w:val="auto"/>
                <w:sz w:val="24"/>
                <w:lang w:val="en-US" w:eastAsia="zh-CN"/>
              </w:rPr>
              <w:t>80</w:t>
            </w:r>
            <w:r>
              <w:rPr>
                <w:rFonts w:hint="eastAsia" w:ascii="宋体" w:hAnsi="宋体" w:cs="宋体"/>
                <w:color w:val="auto"/>
                <w:sz w:val="24"/>
              </w:rPr>
              <w:t>mm；</w:t>
            </w:r>
          </w:p>
          <w:p>
            <w:pPr>
              <w:rPr>
                <w:rFonts w:ascii="宋体" w:hAnsi="宋体" w:cs="宋体"/>
                <w:color w:val="auto"/>
                <w:sz w:val="24"/>
              </w:rPr>
            </w:pPr>
            <w:r>
              <w:rPr>
                <w:rFonts w:hint="eastAsia" w:ascii="宋体" w:hAnsi="宋体" w:cs="宋体"/>
                <w:color w:val="auto"/>
                <w:sz w:val="24"/>
              </w:rPr>
              <w:t>（3）</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燃油：92号或以上无铅汽油；</w:t>
            </w:r>
          </w:p>
          <w:p>
            <w:pPr>
              <w:rPr>
                <w:rFonts w:ascii="宋体" w:hAnsi="宋体" w:cs="宋体"/>
                <w:color w:val="auto"/>
                <w:sz w:val="24"/>
              </w:rPr>
            </w:pPr>
            <w:r>
              <w:rPr>
                <w:rFonts w:hint="eastAsia" w:ascii="宋体" w:hAnsi="宋体" w:cs="宋体"/>
                <w:color w:val="auto"/>
                <w:sz w:val="24"/>
              </w:rPr>
              <w:t>（4）</w:t>
            </w:r>
            <w:r>
              <w:rPr>
                <w:rFonts w:hint="eastAsia" w:ascii="仿宋_GB2312" w:hAnsi="仿宋" w:eastAsia="仿宋_GB2312" w:cs="Helvetica"/>
                <w:b/>
                <w:bCs/>
                <w:snapToGrid w:val="0"/>
                <w:color w:val="auto"/>
                <w:kern w:val="0"/>
                <w:sz w:val="24"/>
              </w:rPr>
              <w:t>★</w:t>
            </w:r>
            <w:r>
              <w:rPr>
                <w:rFonts w:hint="eastAsia" w:ascii="宋体" w:hAnsi="宋体" w:cs="宋体"/>
                <w:color w:val="auto"/>
                <w:sz w:val="24"/>
              </w:rPr>
              <w:t>尺寸：4700mm≤长≤4950mm，</w:t>
            </w:r>
          </w:p>
          <w:p>
            <w:pPr>
              <w:ind w:firstLine="1680" w:firstLineChars="700"/>
              <w:rPr>
                <w:rFonts w:ascii="宋体" w:hAnsi="宋体" w:cs="宋体"/>
                <w:color w:val="auto"/>
                <w:sz w:val="24"/>
              </w:rPr>
            </w:pPr>
            <w:r>
              <w:rPr>
                <w:rFonts w:hint="eastAsia" w:ascii="宋体" w:hAnsi="宋体" w:cs="宋体"/>
                <w:color w:val="auto"/>
                <w:sz w:val="24"/>
              </w:rPr>
              <w:t>1800mm≤宽≤1950mm，</w:t>
            </w:r>
          </w:p>
          <w:p>
            <w:pPr>
              <w:ind w:firstLine="1680" w:firstLineChars="700"/>
              <w:rPr>
                <w:rFonts w:ascii="宋体" w:hAnsi="宋体" w:cs="宋体"/>
                <w:color w:val="auto"/>
                <w:sz w:val="24"/>
              </w:rPr>
            </w:pPr>
            <w:r>
              <w:rPr>
                <w:rFonts w:hint="eastAsia" w:ascii="宋体" w:hAnsi="宋体" w:cs="宋体"/>
                <w:color w:val="auto"/>
                <w:sz w:val="24"/>
              </w:rPr>
              <w:t>1700mm≤高≤1900mm；</w:t>
            </w:r>
          </w:p>
          <w:p>
            <w:pPr>
              <w:rPr>
                <w:rFonts w:ascii="宋体" w:hAnsi="宋体" w:cs="宋体"/>
                <w:color w:val="auto"/>
                <w:sz w:val="24"/>
              </w:rPr>
            </w:pPr>
            <w:r>
              <w:rPr>
                <w:rFonts w:hint="eastAsia" w:ascii="宋体" w:hAnsi="宋体" w:cs="宋体"/>
                <w:color w:val="auto"/>
                <w:sz w:val="24"/>
              </w:rPr>
              <w:t>（5）</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发动机排量（mL）：≤1800；</w:t>
            </w:r>
          </w:p>
          <w:p>
            <w:pPr>
              <w:rPr>
                <w:rFonts w:ascii="宋体" w:hAnsi="宋体" w:cs="宋体"/>
                <w:color w:val="auto"/>
                <w:sz w:val="24"/>
              </w:rPr>
            </w:pPr>
            <w:r>
              <w:rPr>
                <w:rFonts w:hint="eastAsia" w:ascii="宋体" w:hAnsi="宋体" w:cs="宋体"/>
                <w:color w:val="auto"/>
                <w:sz w:val="24"/>
              </w:rPr>
              <w:t>（6）</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发动机最大扭矩(N·m)≥168；</w:t>
            </w:r>
          </w:p>
          <w:p>
            <w:pPr>
              <w:rPr>
                <w:rFonts w:ascii="宋体" w:hAnsi="宋体" w:cs="宋体"/>
                <w:color w:val="auto"/>
                <w:sz w:val="24"/>
              </w:rPr>
            </w:pPr>
            <w:r>
              <w:rPr>
                <w:rFonts w:hint="eastAsia" w:ascii="宋体" w:hAnsi="宋体" w:cs="宋体"/>
                <w:color w:val="auto"/>
                <w:sz w:val="24"/>
              </w:rPr>
              <w:t>（7）</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前电机最大扭矩(N·m)≥300；</w:t>
            </w:r>
          </w:p>
          <w:p>
            <w:pPr>
              <w:rPr>
                <w:rFonts w:ascii="宋体" w:hAnsi="宋体" w:cs="宋体"/>
                <w:color w:val="auto"/>
                <w:sz w:val="24"/>
              </w:rPr>
            </w:pPr>
            <w:r>
              <w:rPr>
                <w:rFonts w:hint="eastAsia" w:ascii="宋体" w:hAnsi="宋体" w:cs="宋体"/>
                <w:color w:val="auto"/>
                <w:sz w:val="24"/>
              </w:rPr>
              <w:t>（8）变速箱：混合动力专用变速箱；</w:t>
            </w:r>
          </w:p>
          <w:p>
            <w:pPr>
              <w:rPr>
                <w:rFonts w:ascii="宋体" w:hAnsi="宋体" w:cs="宋体"/>
                <w:color w:val="auto"/>
                <w:sz w:val="24"/>
              </w:rPr>
            </w:pPr>
            <w:r>
              <w:rPr>
                <w:rFonts w:hint="eastAsia" w:ascii="宋体" w:hAnsi="宋体" w:cs="宋体"/>
                <w:color w:val="auto"/>
                <w:sz w:val="24"/>
              </w:rPr>
              <w:t>（9）</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电池电量（kWh</w:t>
            </w:r>
            <w:r>
              <w:rPr>
                <w:rFonts w:ascii="宋体" w:hAnsi="宋体" w:cs="宋体"/>
                <w:color w:val="auto"/>
                <w:sz w:val="24"/>
              </w:rPr>
              <w:t>）</w:t>
            </w:r>
            <w:r>
              <w:rPr>
                <w:rFonts w:hint="eastAsia" w:ascii="宋体" w:hAnsi="宋体" w:cs="宋体"/>
                <w:color w:val="auto"/>
                <w:sz w:val="24"/>
              </w:rPr>
              <w:t>≥</w:t>
            </w:r>
            <w:r>
              <w:rPr>
                <w:rFonts w:hint="eastAsia" w:ascii="宋体" w:hAnsi="宋体" w:cs="宋体"/>
                <w:color w:val="auto"/>
                <w:sz w:val="24"/>
                <w:lang w:val="en-US" w:eastAsia="zh-CN"/>
              </w:rPr>
              <w:t>23</w:t>
            </w:r>
            <w:r>
              <w:rPr>
                <w:rFonts w:hint="eastAsia" w:ascii="宋体" w:hAnsi="宋体" w:cs="宋体"/>
                <w:color w:val="auto"/>
                <w:sz w:val="24"/>
              </w:rPr>
              <w:t>；</w:t>
            </w:r>
          </w:p>
          <w:p>
            <w:pPr>
              <w:spacing w:line="360" w:lineRule="exact"/>
              <w:rPr>
                <w:rFonts w:ascii="宋体" w:hAnsi="宋体" w:cs="宋体"/>
                <w:color w:val="auto"/>
                <w:sz w:val="24"/>
              </w:rPr>
            </w:pPr>
            <w:r>
              <w:rPr>
                <w:rFonts w:hint="eastAsia" w:ascii="宋体" w:hAnsi="宋体" w:cs="宋体"/>
                <w:color w:val="auto"/>
                <w:sz w:val="24"/>
              </w:rPr>
              <w:t>（10）</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电池类型：锂电池</w:t>
            </w:r>
          </w:p>
          <w:p>
            <w:pPr>
              <w:spacing w:line="360" w:lineRule="exact"/>
              <w:rPr>
                <w:rFonts w:ascii="宋体" w:hAnsi="宋体" w:cs="宋体"/>
                <w:color w:val="auto"/>
                <w:sz w:val="24"/>
              </w:rPr>
            </w:pPr>
            <w:r>
              <w:rPr>
                <w:rFonts w:hint="eastAsia" w:ascii="宋体" w:hAnsi="宋体" w:cs="宋体"/>
                <w:color w:val="auto"/>
                <w:sz w:val="24"/>
              </w:rPr>
              <w:t>（11）</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排放标准：符合国六b排放标准；</w:t>
            </w:r>
          </w:p>
          <w:p>
            <w:pPr>
              <w:spacing w:line="360" w:lineRule="exact"/>
              <w:rPr>
                <w:rFonts w:ascii="宋体" w:hAnsi="宋体" w:cs="宋体"/>
                <w:color w:val="auto"/>
                <w:sz w:val="24"/>
              </w:rPr>
            </w:pPr>
            <w:r>
              <w:rPr>
                <w:rFonts w:hint="eastAsia" w:ascii="宋体" w:hAnsi="宋体" w:cs="宋体"/>
                <w:color w:val="auto"/>
                <w:sz w:val="24"/>
              </w:rPr>
              <w:t>（12）</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WLTC综合工况纯电续航（km</w:t>
            </w:r>
            <w:r>
              <w:rPr>
                <w:rFonts w:ascii="宋体" w:hAnsi="宋体" w:cs="宋体"/>
                <w:color w:val="auto"/>
                <w:sz w:val="24"/>
              </w:rPr>
              <w:t>）</w:t>
            </w:r>
            <w:r>
              <w:rPr>
                <w:rFonts w:hint="eastAsia" w:ascii="宋体" w:hAnsi="宋体" w:cs="宋体"/>
                <w:color w:val="auto"/>
                <w:sz w:val="24"/>
              </w:rPr>
              <w:t>≥11</w:t>
            </w:r>
            <w:r>
              <w:rPr>
                <w:rFonts w:hint="eastAsia" w:ascii="宋体" w:hAnsi="宋体" w:cs="宋体"/>
                <w:color w:val="auto"/>
                <w:sz w:val="24"/>
                <w:lang w:val="en-US" w:eastAsia="zh-CN"/>
              </w:rPr>
              <w:t>0</w:t>
            </w:r>
            <w:r>
              <w:rPr>
                <w:rFonts w:hint="eastAsia" w:ascii="宋体" w:hAnsi="宋体" w:cs="宋体"/>
                <w:color w:val="auto"/>
                <w:sz w:val="24"/>
              </w:rPr>
              <w:t>；</w:t>
            </w:r>
          </w:p>
          <w:p>
            <w:pPr>
              <w:spacing w:line="360" w:lineRule="exact"/>
              <w:rPr>
                <w:rFonts w:ascii="宋体" w:hAnsi="宋体" w:cs="宋体"/>
                <w:color w:val="auto"/>
                <w:sz w:val="24"/>
              </w:rPr>
            </w:pPr>
            <w:r>
              <w:rPr>
                <w:rFonts w:hint="eastAsia" w:ascii="宋体" w:hAnsi="宋体" w:cs="宋体"/>
                <w:color w:val="auto"/>
                <w:sz w:val="24"/>
              </w:rPr>
              <w:t>（13）</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WLTC综合工况亏电油耗（L/100km</w:t>
            </w:r>
            <w:r>
              <w:rPr>
                <w:rFonts w:ascii="宋体" w:hAnsi="宋体" w:cs="宋体"/>
                <w:color w:val="auto"/>
                <w:sz w:val="24"/>
              </w:rPr>
              <w:t>）</w:t>
            </w:r>
            <w:r>
              <w:rPr>
                <w:rFonts w:hint="eastAsia" w:ascii="宋体" w:hAnsi="宋体" w:cs="宋体"/>
                <w:color w:val="auto"/>
                <w:sz w:val="24"/>
              </w:rPr>
              <w:t>≤6.</w:t>
            </w:r>
            <w:r>
              <w:rPr>
                <w:rFonts w:hint="eastAsia" w:ascii="宋体" w:hAnsi="宋体" w:cs="宋体"/>
                <w:color w:val="auto"/>
                <w:sz w:val="24"/>
                <w:lang w:val="en-US" w:eastAsia="zh-CN"/>
              </w:rPr>
              <w:t>2</w:t>
            </w:r>
            <w:r>
              <w:rPr>
                <w:rFonts w:hint="eastAsia" w:ascii="宋体" w:hAnsi="宋体" w:cs="宋体"/>
                <w:color w:val="auto"/>
                <w:sz w:val="24"/>
              </w:rPr>
              <w:t xml:space="preserve"> ；</w:t>
            </w:r>
          </w:p>
          <w:p>
            <w:pPr>
              <w:rPr>
                <w:rFonts w:ascii="宋体" w:hAnsi="宋体" w:cs="宋体"/>
                <w:color w:val="auto"/>
                <w:sz w:val="24"/>
              </w:rPr>
            </w:pPr>
            <w:r>
              <w:rPr>
                <w:rFonts w:hint="eastAsia" w:ascii="宋体" w:hAnsi="宋体" w:cs="宋体"/>
                <w:color w:val="auto"/>
                <w:sz w:val="24"/>
              </w:rPr>
              <w:t>（14）油箱容积≥50L；</w:t>
            </w:r>
          </w:p>
          <w:p>
            <w:pPr>
              <w:rPr>
                <w:rFonts w:ascii="宋体" w:hAnsi="宋体" w:cs="宋体"/>
                <w:color w:val="auto"/>
                <w:sz w:val="24"/>
              </w:rPr>
            </w:pPr>
            <w:r>
              <w:rPr>
                <w:rFonts w:hint="eastAsia" w:ascii="宋体" w:hAnsi="宋体" w:cs="宋体"/>
                <w:color w:val="auto"/>
                <w:sz w:val="24"/>
              </w:rPr>
              <w:t>2、基本配置：</w:t>
            </w:r>
          </w:p>
          <w:p>
            <w:pPr>
              <w:pStyle w:val="789"/>
              <w:numPr>
                <w:ilvl w:val="0"/>
                <w:numId w:val="2"/>
              </w:numPr>
              <w:tabs>
                <w:tab w:val="left" w:pos="931"/>
              </w:tabs>
              <w:spacing w:line="360" w:lineRule="exact"/>
              <w:ind w:left="20" w:leftChars="0" w:firstLine="480" w:firstLineChars="0"/>
              <w:rPr>
                <w:rFonts w:ascii="宋体" w:hAnsi="宋体" w:cs="宋体"/>
                <w:color w:val="auto"/>
              </w:rPr>
            </w:pPr>
            <w:r>
              <w:rPr>
                <w:rFonts w:hint="eastAsia" w:ascii="仿宋_GB2312" w:hAnsi="仿宋" w:eastAsia="仿宋_GB2312" w:cs="Helvetica"/>
                <w:b/>
                <w:bCs/>
                <w:snapToGrid w:val="0"/>
                <w:color w:val="auto"/>
                <w:kern w:val="0"/>
                <w:szCs w:val="24"/>
                <w:lang w:val="zh-CN"/>
              </w:rPr>
              <w:t>★</w:t>
            </w:r>
            <w:r>
              <w:rPr>
                <w:rFonts w:hint="eastAsia" w:ascii="宋体" w:hAnsi="宋体" w:cs="宋体"/>
                <w:color w:val="auto"/>
                <w:lang w:eastAsia="zh-CN"/>
              </w:rPr>
              <w:t>车身颜色为白色</w:t>
            </w:r>
          </w:p>
          <w:p>
            <w:pPr>
              <w:pStyle w:val="789"/>
              <w:numPr>
                <w:ilvl w:val="0"/>
                <w:numId w:val="2"/>
              </w:numPr>
              <w:tabs>
                <w:tab w:val="left" w:pos="931"/>
              </w:tabs>
              <w:spacing w:line="360" w:lineRule="exact"/>
              <w:ind w:left="20" w:leftChars="0" w:firstLine="480" w:firstLineChars="0"/>
              <w:rPr>
                <w:rFonts w:ascii="宋体" w:hAnsi="宋体" w:cs="宋体"/>
                <w:color w:val="auto"/>
              </w:rPr>
            </w:pPr>
            <w:r>
              <w:rPr>
                <w:rFonts w:hint="eastAsia" w:ascii="仿宋_GB2312" w:hAnsi="仿宋" w:eastAsia="仿宋_GB2312" w:cs="Helvetica"/>
                <w:b/>
                <w:bCs/>
                <w:snapToGrid w:val="0"/>
                <w:color w:val="auto"/>
                <w:kern w:val="0"/>
                <w:szCs w:val="24"/>
                <w:lang w:val="zh-CN"/>
              </w:rPr>
              <w:t>★</w:t>
            </w:r>
            <w:r>
              <w:rPr>
                <w:rFonts w:hint="eastAsia" w:ascii="宋体" w:hAnsi="宋体" w:cs="宋体"/>
                <w:color w:val="auto"/>
              </w:rPr>
              <w:t>具备双侧手动侧滑门；</w:t>
            </w:r>
          </w:p>
          <w:p>
            <w:pPr>
              <w:pStyle w:val="789"/>
              <w:numPr>
                <w:ilvl w:val="0"/>
                <w:numId w:val="2"/>
              </w:numPr>
              <w:tabs>
                <w:tab w:val="left" w:pos="931"/>
              </w:tabs>
              <w:spacing w:line="360" w:lineRule="exact"/>
              <w:ind w:left="20" w:leftChars="0" w:firstLine="480" w:firstLineChars="0"/>
              <w:rPr>
                <w:rFonts w:ascii="宋体" w:hAnsi="宋体" w:cs="宋体"/>
                <w:color w:val="auto"/>
              </w:rPr>
            </w:pPr>
            <w:r>
              <w:rPr>
                <w:rFonts w:hint="eastAsia" w:ascii="宋体" w:hAnsi="宋体" w:cs="宋体"/>
                <w:color w:val="auto"/>
              </w:rPr>
              <w:t>具备皮质方向盘</w:t>
            </w:r>
          </w:p>
          <w:p>
            <w:pPr>
              <w:pStyle w:val="789"/>
              <w:numPr>
                <w:ilvl w:val="0"/>
                <w:numId w:val="2"/>
              </w:numPr>
              <w:tabs>
                <w:tab w:val="left" w:pos="931"/>
              </w:tabs>
              <w:spacing w:line="360" w:lineRule="exact"/>
              <w:ind w:left="20" w:leftChars="0" w:firstLine="480" w:firstLineChars="0"/>
              <w:rPr>
                <w:rFonts w:ascii="宋体" w:hAnsi="宋体" w:cs="宋体"/>
                <w:color w:val="auto"/>
              </w:rPr>
            </w:pPr>
            <w:r>
              <w:rPr>
                <w:rFonts w:hint="eastAsia" w:ascii="宋体" w:hAnsi="宋体" w:cs="宋体"/>
                <w:color w:val="auto"/>
              </w:rPr>
              <w:t>灯光特色功能：远近光全LED大灯；</w:t>
            </w:r>
          </w:p>
          <w:p>
            <w:pPr>
              <w:pStyle w:val="789"/>
              <w:numPr>
                <w:ilvl w:val="0"/>
                <w:numId w:val="2"/>
              </w:numPr>
              <w:tabs>
                <w:tab w:val="left" w:pos="931"/>
              </w:tabs>
              <w:spacing w:line="360" w:lineRule="exact"/>
              <w:ind w:left="20" w:leftChars="0" w:firstLine="480" w:firstLineChars="0"/>
              <w:rPr>
                <w:rFonts w:ascii="宋体" w:hAnsi="宋体" w:cs="宋体"/>
                <w:color w:val="auto"/>
              </w:rPr>
            </w:pPr>
            <w:r>
              <w:rPr>
                <w:rFonts w:hint="eastAsia" w:ascii="宋体" w:hAnsi="宋体" w:cs="宋体"/>
                <w:color w:val="auto"/>
              </w:rPr>
              <w:t>具备温度分区控制；</w:t>
            </w:r>
          </w:p>
          <w:p>
            <w:pPr>
              <w:pStyle w:val="789"/>
              <w:numPr>
                <w:ilvl w:val="0"/>
                <w:numId w:val="2"/>
              </w:numPr>
              <w:tabs>
                <w:tab w:val="left" w:pos="931"/>
              </w:tabs>
              <w:spacing w:line="360" w:lineRule="exact"/>
              <w:ind w:left="20" w:leftChars="0" w:firstLine="480" w:firstLineChars="0"/>
              <w:rPr>
                <w:rFonts w:ascii="宋体" w:hAnsi="宋体" w:cs="宋体"/>
                <w:color w:val="auto"/>
              </w:rPr>
            </w:pPr>
            <w:r>
              <w:rPr>
                <w:rFonts w:hint="eastAsia" w:ascii="宋体" w:hAnsi="宋体" w:cs="宋体"/>
                <w:color w:val="auto"/>
              </w:rPr>
              <w:t>具备皮质座椅；</w:t>
            </w:r>
          </w:p>
          <w:p>
            <w:pPr>
              <w:pStyle w:val="789"/>
              <w:numPr>
                <w:ilvl w:val="0"/>
                <w:numId w:val="2"/>
              </w:numPr>
              <w:tabs>
                <w:tab w:val="left" w:pos="931"/>
              </w:tabs>
              <w:spacing w:line="360" w:lineRule="exact"/>
              <w:ind w:left="20" w:leftChars="0" w:firstLine="480" w:firstLineChars="0"/>
              <w:rPr>
                <w:rFonts w:ascii="宋体" w:hAnsi="宋体" w:cs="宋体"/>
                <w:color w:val="auto"/>
              </w:rPr>
            </w:pPr>
            <w:r>
              <w:rPr>
                <w:rFonts w:hint="eastAsia" w:ascii="仿宋_GB2312" w:hAnsi="仿宋" w:eastAsia="仿宋_GB2312" w:cs="Helvetica"/>
                <w:b/>
                <w:bCs/>
                <w:snapToGrid w:val="0"/>
                <w:color w:val="auto"/>
                <w:kern w:val="0"/>
                <w:szCs w:val="24"/>
                <w:lang w:val="zh-CN"/>
              </w:rPr>
              <w:t>★</w:t>
            </w:r>
            <w:r>
              <w:rPr>
                <w:rFonts w:hint="eastAsia" w:ascii="宋体" w:hAnsi="宋体" w:cs="宋体"/>
                <w:color w:val="auto"/>
              </w:rPr>
              <w:t>具备第二排独立座椅；</w:t>
            </w:r>
          </w:p>
          <w:p>
            <w:pPr>
              <w:pStyle w:val="789"/>
              <w:numPr>
                <w:ilvl w:val="0"/>
                <w:numId w:val="2"/>
              </w:numPr>
              <w:tabs>
                <w:tab w:val="left" w:pos="931"/>
              </w:tabs>
              <w:spacing w:line="360" w:lineRule="exact"/>
              <w:ind w:left="20" w:leftChars="0" w:firstLine="482" w:firstLineChars="0"/>
              <w:rPr>
                <w:rFonts w:ascii="宋体" w:hAnsi="宋体" w:cs="宋体"/>
                <w:color w:val="auto"/>
              </w:rPr>
            </w:pPr>
            <w:r>
              <w:rPr>
                <w:rFonts w:hint="eastAsia" w:ascii="宋体" w:hAnsi="宋体" w:cs="宋体"/>
                <w:color w:val="auto"/>
              </w:rPr>
              <w:t>具有</w:t>
            </w:r>
            <w:r>
              <w:rPr>
                <w:rFonts w:hint="eastAsia" w:ascii="宋体" w:hAnsi="宋体" w:cs="宋体"/>
                <w:color w:val="auto"/>
                <w:lang w:eastAsia="zh-CN"/>
              </w:rPr>
              <w:t>第</w:t>
            </w:r>
            <w:r>
              <w:rPr>
                <w:rFonts w:hint="eastAsia" w:ascii="宋体" w:hAnsi="宋体" w:cs="宋体"/>
                <w:color w:val="auto"/>
              </w:rPr>
              <w:t>三排座椅可完全放平</w:t>
            </w:r>
            <w:r>
              <w:rPr>
                <w:rFonts w:hint="eastAsia" w:ascii="宋体" w:hAnsi="宋体" w:eastAsia="宋体" w:cs="宋体"/>
                <w:color w:val="auto"/>
              </w:rPr>
              <w:t>；</w:t>
            </w:r>
          </w:p>
          <w:p>
            <w:pPr>
              <w:pStyle w:val="789"/>
              <w:numPr>
                <w:ilvl w:val="0"/>
                <w:numId w:val="2"/>
              </w:numPr>
              <w:tabs>
                <w:tab w:val="left" w:pos="931"/>
              </w:tabs>
              <w:spacing w:line="360" w:lineRule="exact"/>
              <w:ind w:left="20" w:leftChars="0" w:firstLine="480" w:firstLineChars="0"/>
              <w:rPr>
                <w:rFonts w:ascii="宋体" w:hAnsi="宋体" w:cs="宋体"/>
                <w:color w:val="auto"/>
              </w:rPr>
            </w:pPr>
            <w:r>
              <w:rPr>
                <w:rFonts w:hint="eastAsia" w:ascii="宋体" w:hAnsi="宋体" w:cs="宋体"/>
                <w:color w:val="auto"/>
              </w:rPr>
              <w:t>具有</w:t>
            </w:r>
            <w:r>
              <w:rPr>
                <w:rFonts w:hint="eastAsia" w:ascii="宋体" w:hAnsi="宋体" w:cs="宋体"/>
                <w:color w:val="auto"/>
                <w:lang w:val="en-US" w:eastAsia="zh-CN"/>
              </w:rPr>
              <w:t>360</w:t>
            </w:r>
            <w:r>
              <w:rPr>
                <w:rFonts w:hint="eastAsia" w:ascii="宋体" w:hAnsi="宋体" w:cs="宋体"/>
                <w:color w:val="auto"/>
              </w:rPr>
              <w:t>°高清全景影像;</w:t>
            </w:r>
          </w:p>
          <w:p>
            <w:pPr>
              <w:pStyle w:val="789"/>
              <w:numPr>
                <w:ilvl w:val="0"/>
                <w:numId w:val="2"/>
              </w:numPr>
              <w:tabs>
                <w:tab w:val="left" w:pos="931"/>
              </w:tabs>
              <w:spacing w:line="360" w:lineRule="exact"/>
              <w:ind w:left="20" w:leftChars="0" w:firstLine="480" w:firstLineChars="0"/>
              <w:rPr>
                <w:rFonts w:ascii="宋体" w:hAnsi="宋体" w:cs="宋体"/>
                <w:color w:val="auto"/>
              </w:rPr>
            </w:pPr>
            <w:r>
              <w:rPr>
                <w:rFonts w:hint="eastAsia" w:ascii="宋体" w:hAnsi="宋体" w:cs="宋体"/>
                <w:color w:val="auto"/>
              </w:rPr>
              <w:t>具有无钥匙进入及一键启动。</w:t>
            </w:r>
          </w:p>
          <w:p>
            <w:pPr>
              <w:pStyle w:val="789"/>
              <w:numPr>
                <w:ilvl w:val="0"/>
                <w:numId w:val="2"/>
              </w:numPr>
              <w:tabs>
                <w:tab w:val="left" w:pos="931"/>
              </w:tabs>
              <w:spacing w:line="360" w:lineRule="exact"/>
              <w:ind w:left="20" w:leftChars="0" w:firstLine="480" w:firstLineChars="0"/>
              <w:rPr>
                <w:rFonts w:ascii="宋体" w:hAnsi="宋体" w:cs="宋体"/>
                <w:color w:val="auto"/>
              </w:rPr>
            </w:pPr>
            <w:r>
              <w:rPr>
                <w:rFonts w:hint="eastAsia" w:ascii="仿宋_GB2312" w:hAnsi="仿宋" w:eastAsia="仿宋_GB2312" w:cs="Helvetica"/>
                <w:b/>
                <w:bCs/>
                <w:snapToGrid w:val="0"/>
                <w:color w:val="auto"/>
                <w:kern w:val="0"/>
                <w:szCs w:val="24"/>
                <w:lang w:val="zh-CN"/>
              </w:rPr>
              <w:t>★</w:t>
            </w:r>
            <w:r>
              <w:rPr>
                <w:rFonts w:hint="eastAsia" w:ascii="宋体" w:hAnsi="宋体" w:cs="宋体"/>
                <w:color w:val="auto"/>
                <w:lang w:eastAsia="zh-CN"/>
              </w:rPr>
              <w:t>配备安装墙挂式交流充电桩</w:t>
            </w:r>
          </w:p>
          <w:p>
            <w:pPr>
              <w:spacing w:line="276" w:lineRule="auto"/>
              <w:rPr>
                <w:rFonts w:ascii="仿宋" w:hAnsi="仿宋" w:eastAsia="仿宋"/>
                <w:color w:val="auto"/>
                <w:sz w:val="24"/>
                <w:highlight w:val="yellow"/>
              </w:rPr>
            </w:pPr>
            <w:r>
              <w:rPr>
                <w:rFonts w:ascii="宋体" w:hAnsi="宋体" w:cs="宋体"/>
                <w:color w:val="auto"/>
              </w:rPr>
              <w:t xml:space="preserve">      </w:t>
            </w:r>
          </w:p>
        </w:tc>
        <w:tc>
          <w:tcPr>
            <w:tcW w:w="646" w:type="dxa"/>
            <w:shd w:val="clear" w:color="auto" w:fill="auto"/>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w:t>
            </w:r>
          </w:p>
        </w:tc>
        <w:tc>
          <w:tcPr>
            <w:tcW w:w="650" w:type="dxa"/>
            <w:shd w:val="clear" w:color="auto" w:fill="auto"/>
            <w:vAlign w:val="center"/>
          </w:tcPr>
          <w:p>
            <w:pPr>
              <w:spacing w:line="276" w:lineRule="auto"/>
              <w:jc w:val="center"/>
              <w:rPr>
                <w:rFonts w:ascii="仿宋" w:hAnsi="仿宋" w:eastAsia="仿宋"/>
                <w:color w:val="000000"/>
                <w:w w:val="90"/>
                <w:sz w:val="24"/>
              </w:rPr>
            </w:pPr>
            <w:r>
              <w:rPr>
                <w:rFonts w:hint="eastAsia" w:ascii="仿宋" w:hAnsi="仿宋" w:eastAsia="仿宋"/>
                <w:b/>
                <w:iCs/>
                <w:sz w:val="24"/>
              </w:rPr>
              <w:t>辆</w:t>
            </w:r>
          </w:p>
        </w:tc>
      </w:tr>
    </w:tbl>
    <w:p/>
    <w:p>
      <w:pPr>
        <w:pStyle w:val="4"/>
        <w:rPr>
          <w:rFonts w:ascii="宋体"/>
          <w:snapToGrid w:val="0"/>
          <w:kern w:val="0"/>
        </w:rPr>
      </w:pPr>
      <w:r>
        <w:rPr>
          <w:rFonts w:hint="eastAsia"/>
        </w:rPr>
        <w:t>（</w:t>
      </w:r>
      <w:r>
        <w:rPr>
          <w:rFonts w:hint="eastAsia"/>
          <w:lang w:eastAsia="zh-CN"/>
        </w:rPr>
        <w:t>三</w:t>
      </w:r>
      <w:r>
        <w:rPr>
          <w:rFonts w:hint="eastAsia"/>
        </w:rPr>
        <w:t>）标项</w:t>
      </w:r>
      <w:r>
        <w:rPr>
          <w:rFonts w:hint="eastAsia"/>
          <w:lang w:eastAsia="zh-CN"/>
        </w:rPr>
        <w:t>三</w:t>
      </w:r>
      <w:r>
        <w:rPr>
          <w:rFonts w:hint="eastAsia"/>
        </w:rPr>
        <w:t>：执法执勤车（7座新能源）</w:t>
      </w:r>
    </w:p>
    <w:tbl>
      <w:tblPr>
        <w:tblStyle w:val="63"/>
        <w:tblW w:w="8950" w:type="dxa"/>
        <w:tblInd w:w="-34"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78"/>
        <w:gridCol w:w="1298"/>
        <w:gridCol w:w="5578"/>
        <w:gridCol w:w="646"/>
        <w:gridCol w:w="65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778"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序号</w:t>
            </w:r>
          </w:p>
        </w:tc>
        <w:tc>
          <w:tcPr>
            <w:tcW w:w="1298"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产品名称</w:t>
            </w:r>
          </w:p>
        </w:tc>
        <w:tc>
          <w:tcPr>
            <w:tcW w:w="5578" w:type="dxa"/>
            <w:shd w:val="clear" w:color="auto" w:fill="auto"/>
            <w:vAlign w:val="center"/>
          </w:tcPr>
          <w:p>
            <w:pPr>
              <w:spacing w:line="276" w:lineRule="auto"/>
              <w:jc w:val="center"/>
              <w:rPr>
                <w:rFonts w:ascii="仿宋" w:hAnsi="仿宋" w:eastAsia="仿宋"/>
                <w:b/>
                <w:color w:val="000000"/>
                <w:sz w:val="24"/>
                <w:highlight w:val="yellow"/>
              </w:rPr>
            </w:pPr>
            <w:r>
              <w:rPr>
                <w:rFonts w:hint="eastAsia" w:ascii="仿宋" w:hAnsi="仿宋" w:eastAsia="仿宋"/>
                <w:b/>
                <w:color w:val="000000"/>
                <w:sz w:val="24"/>
              </w:rPr>
              <w:t>招标要求</w:t>
            </w:r>
          </w:p>
        </w:tc>
        <w:tc>
          <w:tcPr>
            <w:tcW w:w="646"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数量</w:t>
            </w:r>
          </w:p>
        </w:tc>
        <w:tc>
          <w:tcPr>
            <w:tcW w:w="650" w:type="dxa"/>
            <w:shd w:val="clear" w:color="auto" w:fill="auto"/>
            <w:vAlign w:val="center"/>
          </w:tcPr>
          <w:p>
            <w:pPr>
              <w:spacing w:line="276" w:lineRule="auto"/>
              <w:jc w:val="center"/>
              <w:rPr>
                <w:rFonts w:ascii="仿宋" w:hAnsi="仿宋" w:eastAsia="仿宋"/>
                <w:b/>
                <w:color w:val="000000"/>
                <w:w w:val="90"/>
                <w:sz w:val="24"/>
              </w:rPr>
            </w:pPr>
            <w:r>
              <w:rPr>
                <w:rFonts w:hint="eastAsia" w:ascii="仿宋" w:hAnsi="仿宋" w:eastAsia="仿宋"/>
                <w:b/>
                <w:color w:val="000000"/>
                <w:w w:val="90"/>
                <w:sz w:val="24"/>
              </w:rPr>
              <w:t>单位</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778" w:type="dxa"/>
            <w:shd w:val="clear" w:color="auto" w:fill="auto"/>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1</w:t>
            </w:r>
          </w:p>
        </w:tc>
        <w:tc>
          <w:tcPr>
            <w:tcW w:w="1298" w:type="dxa"/>
            <w:shd w:val="clear" w:color="auto" w:fill="auto"/>
            <w:vAlign w:val="center"/>
          </w:tcPr>
          <w:p>
            <w:pPr>
              <w:spacing w:line="276" w:lineRule="auto"/>
              <w:jc w:val="center"/>
              <w:rPr>
                <w:rFonts w:ascii="仿宋" w:hAnsi="仿宋" w:eastAsia="仿宋_GB2312"/>
                <w:color w:val="auto"/>
                <w:w w:val="90"/>
                <w:sz w:val="24"/>
              </w:rPr>
            </w:pPr>
            <w:r>
              <w:rPr>
                <w:rFonts w:hint="eastAsia" w:ascii="仿宋" w:hAnsi="仿宋" w:eastAsia="仿宋"/>
                <w:b/>
                <w:color w:val="auto"/>
                <w:sz w:val="24"/>
              </w:rPr>
              <w:t>执法执勤车（7座新能源）</w:t>
            </w:r>
          </w:p>
        </w:tc>
        <w:tc>
          <w:tcPr>
            <w:tcW w:w="5578" w:type="dxa"/>
            <w:shd w:val="clear" w:color="auto" w:fill="auto"/>
            <w:vAlign w:val="center"/>
          </w:tcPr>
          <w:p>
            <w:pPr>
              <w:rPr>
                <w:rFonts w:ascii="宋体" w:hAnsi="宋体" w:cs="宋体"/>
                <w:color w:val="auto"/>
                <w:sz w:val="24"/>
              </w:rPr>
            </w:pPr>
            <w:r>
              <w:rPr>
                <w:rFonts w:hint="eastAsia" w:ascii="宋体" w:hAnsi="宋体" w:cs="宋体"/>
                <w:color w:val="auto"/>
                <w:sz w:val="24"/>
              </w:rPr>
              <w:t>1、底盘车辆要求:</w:t>
            </w:r>
          </w:p>
          <w:p>
            <w:pPr>
              <w:rPr>
                <w:rFonts w:ascii="宋体" w:hAnsi="宋体" w:cs="宋体"/>
                <w:color w:val="auto"/>
                <w:sz w:val="24"/>
              </w:rPr>
            </w:pPr>
            <w:r>
              <w:rPr>
                <w:rFonts w:hint="eastAsia" w:ascii="宋体" w:hAnsi="宋体" w:cs="宋体"/>
                <w:color w:val="auto"/>
                <w:sz w:val="24"/>
              </w:rPr>
              <w:t>（1）座位数（人）：7；</w:t>
            </w:r>
          </w:p>
          <w:p>
            <w:pPr>
              <w:rPr>
                <w:rFonts w:ascii="宋体" w:hAnsi="宋体" w:cs="宋体"/>
                <w:color w:val="auto"/>
                <w:sz w:val="24"/>
              </w:rPr>
            </w:pPr>
            <w:r>
              <w:rPr>
                <w:rFonts w:hint="eastAsia" w:ascii="宋体" w:hAnsi="宋体" w:cs="宋体"/>
                <w:color w:val="auto"/>
                <w:sz w:val="24"/>
              </w:rPr>
              <w:t>（2）</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轴距：27</w:t>
            </w:r>
            <w:r>
              <w:rPr>
                <w:rFonts w:hint="eastAsia" w:ascii="宋体" w:hAnsi="宋体" w:cs="宋体"/>
                <w:color w:val="auto"/>
                <w:sz w:val="24"/>
                <w:lang w:val="en-US" w:eastAsia="zh-CN"/>
              </w:rPr>
              <w:t>90</w:t>
            </w:r>
            <w:r>
              <w:rPr>
                <w:rFonts w:hint="eastAsia" w:ascii="宋体" w:hAnsi="宋体" w:cs="宋体"/>
                <w:color w:val="auto"/>
                <w:sz w:val="24"/>
              </w:rPr>
              <w:t>mm≤轴距≤29</w:t>
            </w:r>
            <w:r>
              <w:rPr>
                <w:rFonts w:hint="eastAsia" w:ascii="宋体" w:hAnsi="宋体" w:cs="宋体"/>
                <w:color w:val="auto"/>
                <w:sz w:val="24"/>
                <w:lang w:val="en-US" w:eastAsia="zh-CN"/>
              </w:rPr>
              <w:t>80</w:t>
            </w:r>
            <w:r>
              <w:rPr>
                <w:rFonts w:hint="eastAsia" w:ascii="宋体" w:hAnsi="宋体" w:cs="宋体"/>
                <w:color w:val="auto"/>
                <w:sz w:val="24"/>
              </w:rPr>
              <w:t>mm；</w:t>
            </w:r>
          </w:p>
          <w:p>
            <w:pPr>
              <w:rPr>
                <w:rFonts w:ascii="宋体" w:hAnsi="宋体" w:cs="宋体"/>
                <w:color w:val="auto"/>
                <w:sz w:val="24"/>
              </w:rPr>
            </w:pPr>
            <w:r>
              <w:rPr>
                <w:rFonts w:hint="eastAsia" w:ascii="宋体" w:hAnsi="宋体" w:cs="宋体"/>
                <w:color w:val="auto"/>
                <w:sz w:val="24"/>
              </w:rPr>
              <w:t>（3）</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燃油：92号或以上无铅汽油；</w:t>
            </w:r>
          </w:p>
          <w:p>
            <w:pPr>
              <w:rPr>
                <w:rFonts w:ascii="宋体" w:hAnsi="宋体" w:cs="宋体"/>
                <w:color w:val="auto"/>
                <w:sz w:val="24"/>
              </w:rPr>
            </w:pPr>
            <w:r>
              <w:rPr>
                <w:rFonts w:hint="eastAsia" w:ascii="宋体" w:hAnsi="宋体" w:cs="宋体"/>
                <w:color w:val="auto"/>
                <w:sz w:val="24"/>
              </w:rPr>
              <w:t>（4）</w:t>
            </w:r>
            <w:r>
              <w:rPr>
                <w:rFonts w:hint="eastAsia" w:ascii="仿宋_GB2312" w:hAnsi="仿宋" w:eastAsia="仿宋_GB2312" w:cs="Helvetica"/>
                <w:b/>
                <w:bCs/>
                <w:snapToGrid w:val="0"/>
                <w:color w:val="auto"/>
                <w:kern w:val="0"/>
                <w:sz w:val="24"/>
              </w:rPr>
              <w:t>★</w:t>
            </w:r>
            <w:r>
              <w:rPr>
                <w:rFonts w:hint="eastAsia" w:ascii="宋体" w:hAnsi="宋体" w:cs="宋体"/>
                <w:color w:val="auto"/>
                <w:sz w:val="24"/>
              </w:rPr>
              <w:t>尺寸：4700mm≤长≤4950mm，</w:t>
            </w:r>
          </w:p>
          <w:p>
            <w:pPr>
              <w:ind w:firstLine="1680" w:firstLineChars="700"/>
              <w:rPr>
                <w:rFonts w:ascii="宋体" w:hAnsi="宋体" w:cs="宋体"/>
                <w:color w:val="auto"/>
                <w:sz w:val="24"/>
              </w:rPr>
            </w:pPr>
            <w:r>
              <w:rPr>
                <w:rFonts w:hint="eastAsia" w:ascii="宋体" w:hAnsi="宋体" w:cs="宋体"/>
                <w:color w:val="auto"/>
                <w:sz w:val="24"/>
              </w:rPr>
              <w:t>1800mm≤宽≤1950mm，</w:t>
            </w:r>
          </w:p>
          <w:p>
            <w:pPr>
              <w:ind w:firstLine="1680" w:firstLineChars="700"/>
              <w:rPr>
                <w:rFonts w:ascii="宋体" w:hAnsi="宋体" w:cs="宋体"/>
                <w:color w:val="auto"/>
                <w:sz w:val="24"/>
              </w:rPr>
            </w:pPr>
            <w:r>
              <w:rPr>
                <w:rFonts w:hint="eastAsia" w:ascii="宋体" w:hAnsi="宋体" w:cs="宋体"/>
                <w:color w:val="auto"/>
                <w:sz w:val="24"/>
              </w:rPr>
              <w:t>1700mm≤高≤1900mm；</w:t>
            </w:r>
          </w:p>
          <w:p>
            <w:pPr>
              <w:rPr>
                <w:rFonts w:ascii="宋体" w:hAnsi="宋体" w:cs="宋体"/>
                <w:color w:val="auto"/>
                <w:sz w:val="24"/>
              </w:rPr>
            </w:pPr>
            <w:r>
              <w:rPr>
                <w:rFonts w:hint="eastAsia" w:ascii="宋体" w:hAnsi="宋体" w:cs="宋体"/>
                <w:color w:val="auto"/>
                <w:sz w:val="24"/>
              </w:rPr>
              <w:t>（5）</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发动机排量（mL）：≤1800；</w:t>
            </w:r>
          </w:p>
          <w:p>
            <w:pPr>
              <w:rPr>
                <w:rFonts w:ascii="宋体" w:hAnsi="宋体" w:cs="宋体"/>
                <w:color w:val="auto"/>
                <w:sz w:val="24"/>
              </w:rPr>
            </w:pPr>
            <w:r>
              <w:rPr>
                <w:rFonts w:hint="eastAsia" w:ascii="宋体" w:hAnsi="宋体" w:cs="宋体"/>
                <w:color w:val="auto"/>
                <w:sz w:val="24"/>
              </w:rPr>
              <w:t>（6）</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发动机最大扭矩(N·m)≥168；</w:t>
            </w:r>
          </w:p>
          <w:p>
            <w:pPr>
              <w:rPr>
                <w:rFonts w:ascii="宋体" w:hAnsi="宋体" w:cs="宋体"/>
                <w:color w:val="auto"/>
                <w:sz w:val="24"/>
              </w:rPr>
            </w:pPr>
            <w:r>
              <w:rPr>
                <w:rFonts w:hint="eastAsia" w:ascii="宋体" w:hAnsi="宋体" w:cs="宋体"/>
                <w:color w:val="auto"/>
                <w:sz w:val="24"/>
              </w:rPr>
              <w:t>（7）</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前电机最大扭矩(N·m)≥300；</w:t>
            </w:r>
          </w:p>
          <w:p>
            <w:pPr>
              <w:rPr>
                <w:rFonts w:ascii="宋体" w:hAnsi="宋体" w:cs="宋体"/>
                <w:color w:val="auto"/>
                <w:sz w:val="24"/>
              </w:rPr>
            </w:pPr>
            <w:r>
              <w:rPr>
                <w:rFonts w:hint="eastAsia" w:ascii="宋体" w:hAnsi="宋体" w:cs="宋体"/>
                <w:color w:val="auto"/>
                <w:sz w:val="24"/>
              </w:rPr>
              <w:t>（8）变速箱：混合动力专用变速箱；</w:t>
            </w:r>
          </w:p>
          <w:p>
            <w:pPr>
              <w:rPr>
                <w:rFonts w:ascii="宋体" w:hAnsi="宋体" w:cs="宋体"/>
                <w:color w:val="auto"/>
                <w:sz w:val="24"/>
              </w:rPr>
            </w:pPr>
            <w:r>
              <w:rPr>
                <w:rFonts w:hint="eastAsia" w:ascii="宋体" w:hAnsi="宋体" w:cs="宋体"/>
                <w:color w:val="auto"/>
                <w:sz w:val="24"/>
              </w:rPr>
              <w:t>（9）</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电池电量（kWh</w:t>
            </w:r>
            <w:r>
              <w:rPr>
                <w:rFonts w:ascii="宋体" w:hAnsi="宋体" w:cs="宋体"/>
                <w:color w:val="auto"/>
                <w:sz w:val="24"/>
              </w:rPr>
              <w:t>）</w:t>
            </w:r>
            <w:r>
              <w:rPr>
                <w:rFonts w:hint="eastAsia" w:ascii="宋体" w:hAnsi="宋体" w:cs="宋体"/>
                <w:color w:val="auto"/>
                <w:sz w:val="24"/>
              </w:rPr>
              <w:t>≥</w:t>
            </w:r>
            <w:r>
              <w:rPr>
                <w:rFonts w:hint="eastAsia" w:ascii="宋体" w:hAnsi="宋体" w:cs="宋体"/>
                <w:color w:val="auto"/>
                <w:sz w:val="24"/>
                <w:lang w:val="en-US" w:eastAsia="zh-CN"/>
              </w:rPr>
              <w:t>21</w:t>
            </w:r>
            <w:r>
              <w:rPr>
                <w:rFonts w:hint="eastAsia" w:ascii="宋体" w:hAnsi="宋体" w:cs="宋体"/>
                <w:color w:val="auto"/>
                <w:sz w:val="24"/>
              </w:rPr>
              <w:t>；</w:t>
            </w:r>
          </w:p>
          <w:p>
            <w:pPr>
              <w:spacing w:line="360" w:lineRule="exact"/>
              <w:rPr>
                <w:rFonts w:hint="eastAsia" w:ascii="宋体" w:hAnsi="宋体" w:eastAsia="宋体" w:cs="宋体"/>
                <w:color w:val="auto"/>
                <w:sz w:val="24"/>
                <w:lang w:val="en-US" w:eastAsia="zh-CN"/>
              </w:rPr>
            </w:pPr>
            <w:r>
              <w:rPr>
                <w:rFonts w:hint="eastAsia" w:ascii="宋体" w:hAnsi="宋体" w:cs="宋体"/>
                <w:color w:val="auto"/>
                <w:sz w:val="24"/>
              </w:rPr>
              <w:t>（10）</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电池类型：锂电池</w:t>
            </w:r>
          </w:p>
          <w:p>
            <w:pPr>
              <w:spacing w:line="360" w:lineRule="exact"/>
              <w:rPr>
                <w:rFonts w:ascii="宋体" w:hAnsi="宋体" w:cs="宋体"/>
                <w:color w:val="auto"/>
                <w:sz w:val="24"/>
              </w:rPr>
            </w:pPr>
            <w:r>
              <w:rPr>
                <w:rFonts w:hint="eastAsia" w:ascii="宋体" w:hAnsi="宋体" w:cs="宋体"/>
                <w:color w:val="auto"/>
                <w:sz w:val="24"/>
              </w:rPr>
              <w:t>（11）</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排放标准：符合国六b排放标准；</w:t>
            </w:r>
          </w:p>
          <w:p>
            <w:pPr>
              <w:spacing w:line="360" w:lineRule="exact"/>
              <w:rPr>
                <w:rFonts w:ascii="宋体" w:hAnsi="宋体" w:cs="宋体"/>
                <w:color w:val="auto"/>
                <w:sz w:val="24"/>
              </w:rPr>
            </w:pPr>
            <w:r>
              <w:rPr>
                <w:rFonts w:hint="eastAsia" w:ascii="宋体" w:hAnsi="宋体" w:cs="宋体"/>
                <w:color w:val="auto"/>
                <w:sz w:val="24"/>
              </w:rPr>
              <w:t>（12）</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WLTC综合工况纯电续航（km</w:t>
            </w:r>
            <w:r>
              <w:rPr>
                <w:rFonts w:ascii="宋体" w:hAnsi="宋体" w:cs="宋体"/>
                <w:color w:val="auto"/>
                <w:sz w:val="24"/>
              </w:rPr>
              <w:t>）</w:t>
            </w:r>
            <w:r>
              <w:rPr>
                <w:rFonts w:hint="eastAsia" w:ascii="宋体" w:hAnsi="宋体" w:cs="宋体"/>
                <w:color w:val="auto"/>
                <w:sz w:val="24"/>
              </w:rPr>
              <w:t>≥</w:t>
            </w:r>
            <w:r>
              <w:rPr>
                <w:rFonts w:hint="eastAsia" w:ascii="宋体" w:hAnsi="宋体" w:cs="宋体"/>
                <w:color w:val="auto"/>
                <w:sz w:val="24"/>
                <w:lang w:val="en-US" w:eastAsia="zh-CN"/>
              </w:rPr>
              <w:t>95</w:t>
            </w:r>
            <w:r>
              <w:rPr>
                <w:rFonts w:hint="eastAsia" w:ascii="宋体" w:hAnsi="宋体" w:cs="宋体"/>
                <w:color w:val="auto"/>
                <w:sz w:val="24"/>
              </w:rPr>
              <w:t>；</w:t>
            </w:r>
          </w:p>
          <w:p>
            <w:pPr>
              <w:spacing w:line="360" w:lineRule="exact"/>
              <w:rPr>
                <w:rFonts w:ascii="宋体" w:hAnsi="宋体" w:cs="宋体"/>
                <w:color w:val="auto"/>
                <w:sz w:val="24"/>
              </w:rPr>
            </w:pPr>
            <w:r>
              <w:rPr>
                <w:rFonts w:hint="eastAsia" w:ascii="宋体" w:hAnsi="宋体" w:cs="宋体"/>
                <w:color w:val="auto"/>
                <w:sz w:val="24"/>
              </w:rPr>
              <w:t>（13）</w:t>
            </w:r>
            <w:r>
              <w:rPr>
                <w:rFonts w:hint="eastAsia" w:ascii="仿宋_GB2312" w:hAnsi="仿宋" w:eastAsia="仿宋_GB2312" w:cs="Helvetica"/>
                <w:b/>
                <w:bCs/>
                <w:snapToGrid w:val="0"/>
                <w:color w:val="auto"/>
                <w:kern w:val="0"/>
                <w:sz w:val="24"/>
                <w:lang w:val="zh-CN"/>
              </w:rPr>
              <w:t>★</w:t>
            </w:r>
            <w:r>
              <w:rPr>
                <w:rFonts w:hint="eastAsia" w:ascii="宋体" w:hAnsi="宋体" w:cs="宋体"/>
                <w:color w:val="auto"/>
                <w:sz w:val="24"/>
              </w:rPr>
              <w:t>WLTC综合工况亏电油耗（L/100km</w:t>
            </w:r>
            <w:r>
              <w:rPr>
                <w:rFonts w:ascii="宋体" w:hAnsi="宋体" w:cs="宋体"/>
                <w:color w:val="auto"/>
                <w:sz w:val="24"/>
              </w:rPr>
              <w:t>）</w:t>
            </w:r>
            <w:r>
              <w:rPr>
                <w:rFonts w:hint="eastAsia" w:ascii="宋体" w:hAnsi="宋体" w:cs="宋体"/>
                <w:color w:val="auto"/>
                <w:sz w:val="24"/>
              </w:rPr>
              <w:t>≤6.</w:t>
            </w:r>
            <w:r>
              <w:rPr>
                <w:rFonts w:hint="eastAsia" w:ascii="宋体" w:hAnsi="宋体" w:cs="宋体"/>
                <w:color w:val="auto"/>
                <w:sz w:val="24"/>
                <w:lang w:val="en-US" w:eastAsia="zh-CN"/>
              </w:rPr>
              <w:t>2</w:t>
            </w:r>
            <w:r>
              <w:rPr>
                <w:rFonts w:hint="eastAsia" w:ascii="宋体" w:hAnsi="宋体" w:cs="宋体"/>
                <w:color w:val="auto"/>
                <w:sz w:val="24"/>
              </w:rPr>
              <w:t xml:space="preserve"> ；</w:t>
            </w:r>
          </w:p>
          <w:p>
            <w:pPr>
              <w:rPr>
                <w:rFonts w:ascii="宋体" w:hAnsi="宋体" w:cs="宋体"/>
                <w:color w:val="auto"/>
                <w:sz w:val="24"/>
              </w:rPr>
            </w:pPr>
            <w:r>
              <w:rPr>
                <w:rFonts w:hint="eastAsia" w:ascii="宋体" w:hAnsi="宋体" w:cs="宋体"/>
                <w:color w:val="auto"/>
                <w:sz w:val="24"/>
              </w:rPr>
              <w:t>（14）油箱容积≥50L；</w:t>
            </w:r>
          </w:p>
          <w:p>
            <w:pPr>
              <w:rPr>
                <w:rFonts w:ascii="宋体" w:hAnsi="宋体" w:cs="宋体"/>
                <w:color w:val="auto"/>
                <w:sz w:val="24"/>
              </w:rPr>
            </w:pPr>
            <w:r>
              <w:rPr>
                <w:rFonts w:hint="eastAsia" w:ascii="宋体" w:hAnsi="宋体" w:cs="宋体"/>
                <w:color w:val="auto"/>
                <w:sz w:val="24"/>
              </w:rPr>
              <w:t>2、基本配置：</w:t>
            </w:r>
          </w:p>
          <w:p>
            <w:pPr>
              <w:pStyle w:val="789"/>
              <w:numPr>
                <w:ilvl w:val="-1"/>
                <w:numId w:val="0"/>
              </w:numPr>
              <w:tabs>
                <w:tab w:val="left" w:pos="931"/>
              </w:tabs>
              <w:spacing w:line="360" w:lineRule="exact"/>
              <w:ind w:leftChars="0" w:firstLine="480" w:firstLineChars="200"/>
              <w:rPr>
                <w:rFonts w:hint="eastAsia" w:ascii="国标仿宋" w:hAnsi="国标仿宋" w:eastAsia="国标仿宋" w:cs="国标仿宋"/>
                <w:color w:val="auto"/>
              </w:rPr>
            </w:pPr>
            <w:r>
              <w:rPr>
                <w:rFonts w:hint="eastAsia" w:ascii="国标仿宋" w:hAnsi="国标仿宋" w:eastAsia="国标仿宋" w:cs="国标仿宋"/>
                <w:color w:val="auto"/>
              </w:rPr>
              <w:t>①</w:t>
            </w:r>
            <w:r>
              <w:rPr>
                <w:rFonts w:hint="eastAsia" w:ascii="仿宋_GB2312" w:hAnsi="仿宋" w:eastAsia="仿宋_GB2312" w:cs="Helvetica"/>
                <w:b/>
                <w:bCs/>
                <w:snapToGrid w:val="0"/>
                <w:color w:val="auto"/>
                <w:kern w:val="0"/>
                <w:szCs w:val="24"/>
                <w:lang w:val="zh-CN"/>
              </w:rPr>
              <w:t>★</w:t>
            </w:r>
            <w:r>
              <w:rPr>
                <w:rFonts w:hint="eastAsia" w:ascii="宋体" w:hAnsi="宋体" w:cs="宋体"/>
                <w:color w:val="auto"/>
                <w:lang w:eastAsia="zh-CN"/>
              </w:rPr>
              <w:t>车身颜色为白色</w:t>
            </w:r>
          </w:p>
          <w:p>
            <w:pPr>
              <w:pStyle w:val="789"/>
              <w:numPr>
                <w:ilvl w:val="0"/>
                <w:numId w:val="0"/>
              </w:numPr>
              <w:tabs>
                <w:tab w:val="left" w:pos="931"/>
              </w:tabs>
              <w:spacing w:line="360" w:lineRule="exact"/>
              <w:ind w:leftChars="0" w:firstLine="480" w:firstLineChars="200"/>
              <w:rPr>
                <w:rFonts w:ascii="宋体" w:hAnsi="宋体" w:cs="宋体"/>
                <w:color w:val="auto"/>
              </w:rPr>
            </w:pPr>
            <w:r>
              <w:rPr>
                <w:rFonts w:hint="eastAsia" w:ascii="国标仿宋" w:hAnsi="国标仿宋" w:eastAsia="国标仿宋" w:cs="国标仿宋"/>
                <w:color w:val="auto"/>
              </w:rPr>
              <w:t>②</w:t>
            </w:r>
            <w:r>
              <w:rPr>
                <w:rFonts w:hint="eastAsia" w:ascii="宋体" w:hAnsi="宋体" w:cs="宋体"/>
                <w:color w:val="auto"/>
              </w:rPr>
              <w:t>具备皮质方向盘</w:t>
            </w:r>
          </w:p>
          <w:p>
            <w:pPr>
              <w:pStyle w:val="789"/>
              <w:numPr>
                <w:ilvl w:val="0"/>
                <w:numId w:val="0"/>
              </w:numPr>
              <w:tabs>
                <w:tab w:val="left" w:pos="931"/>
              </w:tabs>
              <w:spacing w:line="360" w:lineRule="exact"/>
              <w:ind w:left="500" w:leftChars="0"/>
              <w:rPr>
                <w:rFonts w:ascii="宋体" w:hAnsi="宋体" w:cs="宋体"/>
                <w:color w:val="auto"/>
              </w:rPr>
            </w:pPr>
            <w:r>
              <w:rPr>
                <w:rFonts w:hint="eastAsia" w:ascii="国标仿宋" w:hAnsi="国标仿宋" w:eastAsia="国标仿宋" w:cs="国标仿宋"/>
                <w:color w:val="auto"/>
              </w:rPr>
              <w:t>③</w:t>
            </w:r>
            <w:r>
              <w:rPr>
                <w:rFonts w:hint="eastAsia" w:ascii="仿宋_GB2312" w:hAnsi="仿宋" w:eastAsia="仿宋_GB2312" w:cs="Helvetica"/>
                <w:b/>
                <w:bCs/>
                <w:snapToGrid w:val="0"/>
                <w:color w:val="auto"/>
                <w:kern w:val="0"/>
                <w:szCs w:val="24"/>
                <w:lang w:val="zh-CN"/>
              </w:rPr>
              <w:t>★</w:t>
            </w:r>
            <w:r>
              <w:rPr>
                <w:rFonts w:hint="eastAsia" w:ascii="宋体" w:hAnsi="宋体" w:cs="宋体"/>
                <w:color w:val="auto"/>
              </w:rPr>
              <w:t>灯光特色功能：远近光全LED大灯；</w:t>
            </w:r>
          </w:p>
          <w:p>
            <w:pPr>
              <w:pStyle w:val="789"/>
              <w:numPr>
                <w:ilvl w:val="0"/>
                <w:numId w:val="0"/>
              </w:numPr>
              <w:tabs>
                <w:tab w:val="left" w:pos="931"/>
              </w:tabs>
              <w:spacing w:line="360" w:lineRule="exact"/>
              <w:ind w:firstLine="480" w:firstLineChars="200"/>
              <w:rPr>
                <w:rFonts w:ascii="宋体" w:hAnsi="宋体" w:cs="宋体"/>
                <w:color w:val="auto"/>
              </w:rPr>
            </w:pPr>
            <w:r>
              <w:rPr>
                <w:rFonts w:hint="eastAsia" w:ascii="国标仿宋" w:hAnsi="国标仿宋" w:eastAsia="国标仿宋" w:cs="国标仿宋"/>
                <w:color w:val="auto"/>
              </w:rPr>
              <w:t>④</w:t>
            </w:r>
            <w:r>
              <w:rPr>
                <w:rFonts w:hint="eastAsia" w:ascii="宋体" w:hAnsi="宋体" w:cs="宋体"/>
                <w:color w:val="auto"/>
              </w:rPr>
              <w:t>具备温度分区控制；</w:t>
            </w:r>
          </w:p>
          <w:p>
            <w:pPr>
              <w:pStyle w:val="789"/>
              <w:numPr>
                <w:ilvl w:val="0"/>
                <w:numId w:val="0"/>
              </w:numPr>
              <w:tabs>
                <w:tab w:val="left" w:pos="931"/>
              </w:tabs>
              <w:spacing w:line="360" w:lineRule="exact"/>
              <w:ind w:left="500" w:leftChars="0"/>
              <w:rPr>
                <w:rFonts w:ascii="宋体" w:hAnsi="宋体" w:cs="宋体"/>
                <w:color w:val="auto"/>
              </w:rPr>
            </w:pPr>
            <w:r>
              <w:rPr>
                <w:rFonts w:hint="eastAsia" w:ascii="国标仿宋" w:hAnsi="国标仿宋" w:eastAsia="国标仿宋" w:cs="国标仿宋"/>
                <w:color w:val="auto"/>
              </w:rPr>
              <w:t>⑤</w:t>
            </w:r>
            <w:r>
              <w:rPr>
                <w:rFonts w:hint="eastAsia" w:ascii="宋体" w:hAnsi="宋体" w:cs="宋体"/>
                <w:color w:val="auto"/>
              </w:rPr>
              <w:t>具备皮质座椅；</w:t>
            </w:r>
          </w:p>
          <w:p>
            <w:pPr>
              <w:pStyle w:val="789"/>
              <w:numPr>
                <w:ilvl w:val="0"/>
                <w:numId w:val="0"/>
              </w:numPr>
              <w:tabs>
                <w:tab w:val="left" w:pos="931"/>
              </w:tabs>
              <w:spacing w:line="360" w:lineRule="exact"/>
              <w:ind w:left="502" w:leftChars="0"/>
              <w:rPr>
                <w:rFonts w:ascii="宋体" w:hAnsi="宋体" w:cs="宋体"/>
                <w:color w:val="auto"/>
              </w:rPr>
            </w:pPr>
            <w:r>
              <w:rPr>
                <w:rFonts w:hint="eastAsia" w:ascii="国标仿宋" w:hAnsi="国标仿宋" w:eastAsia="国标仿宋" w:cs="国标仿宋"/>
                <w:color w:val="auto"/>
              </w:rPr>
              <w:t>⑥</w:t>
            </w:r>
            <w:r>
              <w:rPr>
                <w:rFonts w:hint="eastAsia" w:ascii="仿宋_GB2312" w:hAnsi="仿宋" w:eastAsia="仿宋_GB2312" w:cs="Helvetica"/>
                <w:b/>
                <w:bCs/>
                <w:snapToGrid w:val="0"/>
                <w:color w:val="auto"/>
                <w:kern w:val="0"/>
                <w:szCs w:val="24"/>
                <w:lang w:val="zh-CN"/>
              </w:rPr>
              <w:t>★</w:t>
            </w:r>
            <w:r>
              <w:rPr>
                <w:rFonts w:hint="eastAsia" w:ascii="宋体" w:hAnsi="宋体" w:eastAsia="宋体" w:cs="宋体"/>
                <w:color w:val="auto"/>
                <w:lang w:val="zh-CN"/>
              </w:rPr>
              <w:t>三排座椅可调节或其他满足乘坐要求</w:t>
            </w:r>
            <w:r>
              <w:rPr>
                <w:rFonts w:hint="eastAsia" w:ascii="宋体" w:hAnsi="宋体" w:eastAsia="宋体" w:cs="宋体"/>
                <w:color w:val="auto"/>
              </w:rPr>
              <w:t>；</w:t>
            </w:r>
          </w:p>
          <w:p>
            <w:pPr>
              <w:pStyle w:val="789"/>
              <w:numPr>
                <w:ilvl w:val="0"/>
                <w:numId w:val="0"/>
              </w:numPr>
              <w:tabs>
                <w:tab w:val="left" w:pos="931"/>
              </w:tabs>
              <w:spacing w:line="360" w:lineRule="exact"/>
              <w:ind w:left="500" w:leftChars="0"/>
              <w:rPr>
                <w:rFonts w:ascii="宋体" w:hAnsi="宋体" w:cs="宋体"/>
                <w:color w:val="auto"/>
              </w:rPr>
            </w:pPr>
            <w:r>
              <w:rPr>
                <w:rFonts w:hint="eastAsia" w:ascii="国标仿宋" w:hAnsi="国标仿宋" w:eastAsia="国标仿宋" w:cs="国标仿宋"/>
                <w:color w:val="auto"/>
              </w:rPr>
              <w:t>⑦</w:t>
            </w:r>
            <w:r>
              <w:rPr>
                <w:rFonts w:hint="eastAsia" w:ascii="宋体" w:hAnsi="宋体" w:cs="宋体"/>
                <w:color w:val="auto"/>
              </w:rPr>
              <w:t>具有</w:t>
            </w:r>
            <w:r>
              <w:rPr>
                <w:rFonts w:hint="eastAsia" w:ascii="宋体" w:hAnsi="宋体" w:cs="宋体"/>
                <w:color w:val="auto"/>
                <w:lang w:val="en-US" w:eastAsia="zh-CN"/>
              </w:rPr>
              <w:t>360</w:t>
            </w:r>
            <w:r>
              <w:rPr>
                <w:rFonts w:hint="eastAsia" w:ascii="宋体" w:hAnsi="宋体" w:cs="宋体"/>
                <w:color w:val="auto"/>
              </w:rPr>
              <w:t>°高清全景影像;</w:t>
            </w:r>
          </w:p>
          <w:p>
            <w:pPr>
              <w:pStyle w:val="789"/>
              <w:numPr>
                <w:ilvl w:val="0"/>
                <w:numId w:val="0"/>
              </w:numPr>
              <w:tabs>
                <w:tab w:val="left" w:pos="931"/>
              </w:tabs>
              <w:spacing w:line="360" w:lineRule="exact"/>
              <w:ind w:left="500" w:leftChars="0"/>
              <w:rPr>
                <w:rFonts w:hint="eastAsia" w:ascii="宋体" w:hAnsi="宋体" w:cs="宋体"/>
                <w:color w:val="auto"/>
              </w:rPr>
            </w:pPr>
            <w:r>
              <w:rPr>
                <w:rFonts w:hint="eastAsia" w:ascii="国标仿宋" w:hAnsi="国标仿宋" w:eastAsia="国标仿宋" w:cs="国标仿宋"/>
                <w:color w:val="auto"/>
              </w:rPr>
              <w:t>⑧</w:t>
            </w:r>
            <w:r>
              <w:rPr>
                <w:rFonts w:hint="eastAsia" w:ascii="宋体" w:hAnsi="宋体" w:cs="宋体"/>
                <w:color w:val="auto"/>
              </w:rPr>
              <w:t>具有无钥匙进入及一键启动。</w:t>
            </w:r>
          </w:p>
          <w:p>
            <w:pPr>
              <w:pStyle w:val="789"/>
              <w:numPr>
                <w:ilvl w:val="-1"/>
                <w:numId w:val="0"/>
              </w:numPr>
              <w:tabs>
                <w:tab w:val="left" w:pos="931"/>
              </w:tabs>
              <w:spacing w:line="360" w:lineRule="exact"/>
              <w:ind w:left="500" w:leftChars="0" w:firstLine="0" w:firstLineChars="0"/>
              <w:rPr>
                <w:rFonts w:ascii="宋体" w:hAnsi="宋体" w:cs="宋体"/>
                <w:color w:val="auto"/>
              </w:rPr>
            </w:pPr>
            <w:r>
              <w:rPr>
                <w:rFonts w:hint="eastAsia" w:ascii="国标仿宋" w:hAnsi="国标仿宋" w:eastAsia="国标仿宋" w:cs="国标仿宋"/>
                <w:b/>
                <w:bCs/>
                <w:snapToGrid w:val="0"/>
                <w:color w:val="auto"/>
                <w:kern w:val="0"/>
                <w:szCs w:val="24"/>
                <w:lang w:val="zh-CN"/>
              </w:rPr>
              <w:t>⑨</w:t>
            </w:r>
            <w:r>
              <w:rPr>
                <w:rFonts w:hint="eastAsia" w:ascii="仿宋_GB2312" w:hAnsi="仿宋" w:eastAsia="仿宋_GB2312" w:cs="Helvetica"/>
                <w:b/>
                <w:bCs/>
                <w:snapToGrid w:val="0"/>
                <w:color w:val="auto"/>
                <w:kern w:val="0"/>
                <w:szCs w:val="24"/>
                <w:lang w:val="zh-CN"/>
              </w:rPr>
              <w:t>★</w:t>
            </w:r>
            <w:r>
              <w:rPr>
                <w:rFonts w:hint="eastAsia" w:ascii="宋体" w:hAnsi="宋体" w:cs="宋体"/>
                <w:color w:val="auto"/>
                <w:lang w:eastAsia="zh-CN"/>
              </w:rPr>
              <w:t>配备安装墙挂式交流充电桩</w:t>
            </w:r>
          </w:p>
          <w:p>
            <w:pPr>
              <w:pStyle w:val="789"/>
              <w:numPr>
                <w:ilvl w:val="0"/>
                <w:numId w:val="0"/>
              </w:numPr>
              <w:tabs>
                <w:tab w:val="left" w:pos="931"/>
              </w:tabs>
              <w:spacing w:line="360" w:lineRule="exact"/>
              <w:ind w:left="500" w:leftChars="0"/>
              <w:rPr>
                <w:rFonts w:hint="eastAsia" w:ascii="宋体" w:hAnsi="宋体" w:cs="宋体"/>
                <w:color w:val="auto"/>
              </w:rPr>
            </w:pPr>
          </w:p>
          <w:p>
            <w:pPr>
              <w:spacing w:line="276" w:lineRule="auto"/>
              <w:rPr>
                <w:rFonts w:ascii="仿宋" w:hAnsi="仿宋" w:eastAsia="仿宋"/>
                <w:color w:val="auto"/>
                <w:sz w:val="24"/>
                <w:highlight w:val="yellow"/>
              </w:rPr>
            </w:pPr>
            <w:r>
              <w:rPr>
                <w:rFonts w:ascii="宋体" w:hAnsi="宋体" w:cs="宋体"/>
                <w:color w:val="auto"/>
              </w:rPr>
              <w:t xml:space="preserve">      </w:t>
            </w:r>
          </w:p>
        </w:tc>
        <w:tc>
          <w:tcPr>
            <w:tcW w:w="646" w:type="dxa"/>
            <w:shd w:val="clear" w:color="auto" w:fill="auto"/>
            <w:vAlign w:val="center"/>
          </w:tcPr>
          <w:p>
            <w:pPr>
              <w:spacing w:line="276" w:lineRule="auto"/>
              <w:jc w:val="center"/>
              <w:rPr>
                <w:rFonts w:ascii="仿宋" w:hAnsi="仿宋" w:eastAsia="仿宋"/>
                <w:color w:val="000000"/>
                <w:w w:val="90"/>
                <w:sz w:val="24"/>
              </w:rPr>
            </w:pPr>
            <w:r>
              <w:rPr>
                <w:rFonts w:hint="eastAsia" w:ascii="仿宋" w:hAnsi="仿宋" w:eastAsia="仿宋"/>
                <w:color w:val="000000"/>
                <w:w w:val="90"/>
                <w:sz w:val="24"/>
              </w:rPr>
              <w:t>3</w:t>
            </w:r>
          </w:p>
        </w:tc>
        <w:tc>
          <w:tcPr>
            <w:tcW w:w="650" w:type="dxa"/>
            <w:shd w:val="clear" w:color="auto" w:fill="auto"/>
            <w:vAlign w:val="center"/>
          </w:tcPr>
          <w:p>
            <w:pPr>
              <w:spacing w:line="276" w:lineRule="auto"/>
              <w:jc w:val="center"/>
              <w:rPr>
                <w:rFonts w:ascii="仿宋" w:hAnsi="仿宋" w:eastAsia="仿宋"/>
                <w:color w:val="000000"/>
                <w:w w:val="90"/>
                <w:sz w:val="24"/>
              </w:rPr>
            </w:pPr>
            <w:r>
              <w:rPr>
                <w:rFonts w:hint="eastAsia" w:ascii="仿宋" w:hAnsi="仿宋" w:eastAsia="仿宋"/>
                <w:b/>
                <w:iCs/>
                <w:sz w:val="24"/>
              </w:rPr>
              <w:t>辆</w:t>
            </w:r>
          </w:p>
        </w:tc>
      </w:tr>
    </w:tbl>
    <w:p/>
    <w:p>
      <w:pPr>
        <w:pStyle w:val="2"/>
        <w:ind w:firstLine="0"/>
      </w:pPr>
      <w:r>
        <w:rPr>
          <w:rFonts w:hint="eastAsia"/>
        </w:rPr>
        <w:t>三、商务要求</w:t>
      </w:r>
    </w:p>
    <w:tbl>
      <w:tblPr>
        <w:tblStyle w:val="63"/>
        <w:tblW w:w="9322"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17"/>
        <w:gridCol w:w="1701"/>
        <w:gridCol w:w="6804"/>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blHeader/>
        </w:trPr>
        <w:tc>
          <w:tcPr>
            <w:tcW w:w="817" w:type="dxa"/>
            <w:shd w:val="clear" w:color="auto" w:fill="auto"/>
            <w:vAlign w:val="center"/>
          </w:tcPr>
          <w:p>
            <w:pPr>
              <w:spacing w:line="276" w:lineRule="auto"/>
              <w:jc w:val="center"/>
              <w:rPr>
                <w:rFonts w:ascii="仿宋_GB2312" w:hAnsi="仿宋" w:eastAsia="仿宋_GB2312" w:cs="Arial"/>
                <w:b/>
                <w:color w:val="000000"/>
                <w:sz w:val="24"/>
              </w:rPr>
            </w:pPr>
            <w:r>
              <w:rPr>
                <w:rFonts w:hint="eastAsia" w:ascii="仿宋_GB2312" w:hAnsi="仿宋" w:eastAsia="仿宋_GB2312" w:cs="Arial"/>
                <w:b/>
                <w:color w:val="000000"/>
                <w:sz w:val="24"/>
              </w:rPr>
              <w:t>序号</w:t>
            </w:r>
          </w:p>
        </w:tc>
        <w:tc>
          <w:tcPr>
            <w:tcW w:w="1701" w:type="dxa"/>
            <w:shd w:val="clear" w:color="auto" w:fill="auto"/>
            <w:vAlign w:val="center"/>
          </w:tcPr>
          <w:p>
            <w:pPr>
              <w:spacing w:line="276" w:lineRule="auto"/>
              <w:jc w:val="center"/>
              <w:rPr>
                <w:rFonts w:ascii="仿宋_GB2312" w:hAnsi="仿宋" w:eastAsia="仿宋_GB2312" w:cs="Arial"/>
                <w:b/>
                <w:color w:val="000000"/>
                <w:sz w:val="24"/>
              </w:rPr>
            </w:pPr>
            <w:r>
              <w:rPr>
                <w:rFonts w:hint="eastAsia" w:ascii="仿宋_GB2312" w:hAnsi="仿宋" w:eastAsia="仿宋_GB2312" w:cs="Arial"/>
                <w:b/>
                <w:color w:val="000000"/>
                <w:sz w:val="24"/>
              </w:rPr>
              <w:t>内容</w:t>
            </w:r>
          </w:p>
        </w:tc>
        <w:tc>
          <w:tcPr>
            <w:tcW w:w="6804" w:type="dxa"/>
            <w:shd w:val="clear" w:color="auto" w:fill="auto"/>
            <w:vAlign w:val="center"/>
          </w:tcPr>
          <w:p>
            <w:pPr>
              <w:spacing w:line="276" w:lineRule="auto"/>
              <w:jc w:val="center"/>
              <w:rPr>
                <w:rFonts w:ascii="仿宋_GB2312" w:hAnsi="仿宋" w:eastAsia="仿宋_GB2312"/>
                <w:b/>
                <w:color w:val="000000"/>
                <w:sz w:val="24"/>
              </w:rPr>
            </w:pPr>
            <w:r>
              <w:rPr>
                <w:rFonts w:hint="eastAsia" w:ascii="仿宋_GB2312" w:hAnsi="仿宋" w:eastAsia="仿宋_GB2312"/>
                <w:b/>
                <w:color w:val="000000"/>
                <w:sz w:val="24"/>
              </w:rPr>
              <w:t>招标要求</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1</w:t>
            </w:r>
          </w:p>
        </w:tc>
        <w:tc>
          <w:tcPr>
            <w:tcW w:w="1701"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w:t>
            </w:r>
            <w:r>
              <w:rPr>
                <w:rFonts w:hint="eastAsia" w:ascii="仿宋_GB2312" w:hAnsi="仿宋" w:eastAsia="仿宋_GB2312" w:cs="Arial"/>
                <w:b/>
                <w:color w:val="000000"/>
                <w:sz w:val="24"/>
              </w:rPr>
              <w:t>交付期限</w:t>
            </w:r>
          </w:p>
        </w:tc>
        <w:tc>
          <w:tcPr>
            <w:tcW w:w="6804" w:type="dxa"/>
            <w:shd w:val="clear" w:color="auto" w:fill="auto"/>
            <w:vAlign w:val="center"/>
          </w:tcPr>
          <w:p>
            <w:pPr>
              <w:spacing w:line="276" w:lineRule="auto"/>
              <w:jc w:val="left"/>
              <w:rPr>
                <w:rFonts w:ascii="仿宋_GB2312" w:hAnsi="仿宋" w:eastAsia="仿宋_GB2312" w:cs="Arial"/>
                <w:b/>
                <w:i/>
                <w:color w:val="000000"/>
                <w:sz w:val="24"/>
                <w:u w:val="single"/>
              </w:rPr>
            </w:pPr>
            <w:r>
              <w:rPr>
                <w:rFonts w:hint="eastAsia" w:ascii="仿宋_GB2312" w:hAnsi="仿宋" w:eastAsia="仿宋_GB2312"/>
                <w:b/>
                <w:i/>
                <w:color w:val="000000"/>
                <w:sz w:val="24"/>
                <w:u w:val="single"/>
              </w:rPr>
              <w:t>合同生效后30</w:t>
            </w:r>
            <w:r>
              <w:rPr>
                <w:rFonts w:hint="eastAsia" w:ascii="仿宋_GB2312" w:hAnsi="仿宋" w:eastAsia="仿宋_GB2312"/>
                <w:b/>
                <w:i/>
                <w:color w:val="000000"/>
                <w:sz w:val="24"/>
                <w:u w:val="single"/>
                <w:lang w:eastAsia="zh-CN"/>
              </w:rPr>
              <w:t>工作日</w:t>
            </w:r>
            <w:r>
              <w:rPr>
                <w:rFonts w:hint="eastAsia" w:ascii="仿宋_GB2312" w:hAnsi="仿宋" w:eastAsia="仿宋_GB2312"/>
                <w:b/>
                <w:i/>
                <w:color w:val="000000"/>
                <w:sz w:val="24"/>
                <w:u w:val="single"/>
              </w:rPr>
              <w:t>内</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2</w:t>
            </w:r>
          </w:p>
        </w:tc>
        <w:tc>
          <w:tcPr>
            <w:tcW w:w="1701"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交付地点</w:t>
            </w:r>
          </w:p>
        </w:tc>
        <w:tc>
          <w:tcPr>
            <w:tcW w:w="6804" w:type="dxa"/>
            <w:shd w:val="clear" w:color="auto" w:fill="auto"/>
            <w:vAlign w:val="center"/>
          </w:tcPr>
          <w:p>
            <w:pPr>
              <w:spacing w:line="276" w:lineRule="auto"/>
              <w:jc w:val="left"/>
              <w:rPr>
                <w:rFonts w:ascii="仿宋_GB2312" w:hAnsi="仿宋" w:eastAsia="仿宋_GB2312" w:cs="Arial"/>
                <w:b/>
                <w:color w:val="000000"/>
                <w:sz w:val="24"/>
              </w:rPr>
            </w:pPr>
            <w:r>
              <w:rPr>
                <w:rFonts w:hint="eastAsia" w:ascii="仿宋_GB2312" w:hAnsi="仿宋" w:eastAsia="仿宋_GB2312" w:cs="Arial"/>
                <w:b/>
                <w:color w:val="000000"/>
                <w:sz w:val="24"/>
              </w:rPr>
              <w:t>采购人指定地点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3</w:t>
            </w:r>
          </w:p>
        </w:tc>
        <w:tc>
          <w:tcPr>
            <w:tcW w:w="1701"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安装调试</w:t>
            </w:r>
          </w:p>
        </w:tc>
        <w:tc>
          <w:tcPr>
            <w:tcW w:w="6804" w:type="dxa"/>
            <w:shd w:val="clear" w:color="auto" w:fill="auto"/>
            <w:vAlign w:val="center"/>
          </w:tcPr>
          <w:p>
            <w:pPr>
              <w:spacing w:line="276" w:lineRule="auto"/>
              <w:rPr>
                <w:rFonts w:ascii="仿宋_GB2312" w:hAnsi="仿宋" w:eastAsia="仿宋_GB2312"/>
                <w:color w:val="000000"/>
                <w:sz w:val="24"/>
              </w:rPr>
            </w:pPr>
            <w:r>
              <w:rPr>
                <w:rFonts w:hint="eastAsia" w:ascii="仿宋_GB2312" w:hAnsi="仿宋" w:eastAsia="仿宋_GB2312"/>
                <w:color w:val="000000"/>
                <w:sz w:val="24"/>
              </w:rPr>
              <w:t>（1）标准：</w:t>
            </w:r>
            <w:r>
              <w:rPr>
                <w:rFonts w:hint="eastAsia" w:ascii="仿宋_GB2312" w:hAnsi="仿宋" w:eastAsia="仿宋_GB2312"/>
                <w:i w:val="0"/>
                <w:iCs/>
                <w:color w:val="000000"/>
                <w:sz w:val="24"/>
                <w:u w:val="single"/>
              </w:rPr>
              <w:t>符合投标承诺以及国家、行业相关技术规范与标准</w:t>
            </w:r>
            <w:r>
              <w:rPr>
                <w:rFonts w:hint="eastAsia" w:ascii="仿宋_GB2312" w:hAnsi="仿宋" w:eastAsia="仿宋_GB2312"/>
                <w:i w:val="0"/>
                <w:iCs/>
                <w:color w:val="000000"/>
                <w:sz w:val="24"/>
              </w:rPr>
              <w:t>；</w:t>
            </w:r>
          </w:p>
          <w:p>
            <w:pPr>
              <w:spacing w:line="276" w:lineRule="auto"/>
              <w:jc w:val="left"/>
              <w:rPr>
                <w:rFonts w:ascii="仿宋_GB2312" w:hAnsi="仿宋" w:eastAsia="仿宋_GB2312"/>
                <w:color w:val="000000"/>
                <w:sz w:val="24"/>
              </w:rPr>
            </w:pPr>
            <w:r>
              <w:rPr>
                <w:rFonts w:hint="eastAsia" w:ascii="仿宋_GB2312" w:hAnsi="仿宋" w:eastAsia="仿宋_GB2312"/>
                <w:color w:val="000000"/>
                <w:sz w:val="24"/>
              </w:rPr>
              <w:t>（2）本项目所有产品在安装调试过程中涉及的所有工作及配件辅材均由中标人负责，所需费用计入投标报价。</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4</w:t>
            </w:r>
          </w:p>
        </w:tc>
        <w:tc>
          <w:tcPr>
            <w:tcW w:w="1701"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验收</w:t>
            </w:r>
          </w:p>
        </w:tc>
        <w:tc>
          <w:tcPr>
            <w:tcW w:w="6804" w:type="dxa"/>
            <w:shd w:val="clear" w:color="auto" w:fill="auto"/>
            <w:vAlign w:val="center"/>
          </w:tcPr>
          <w:p>
            <w:pPr>
              <w:spacing w:line="276" w:lineRule="auto"/>
              <w:rPr>
                <w:rFonts w:ascii="仿宋_GB2312" w:hAnsi="仿宋" w:eastAsia="仿宋_GB2312"/>
                <w:bCs/>
                <w:color w:val="000000"/>
                <w:sz w:val="24"/>
              </w:rPr>
            </w:pPr>
            <w:r>
              <w:rPr>
                <w:rFonts w:hint="eastAsia" w:ascii="仿宋_GB2312" w:hAnsi="仿宋" w:eastAsia="仿宋_GB2312"/>
                <w:bCs/>
                <w:color w:val="000000"/>
                <w:sz w:val="24"/>
              </w:rPr>
              <w:t>（1）本项目验收工作由采购人组织实施，验收工作在中标供应商项目实施完毕，经自验合格，提交验收申请后5个工作日内启动。</w:t>
            </w:r>
          </w:p>
          <w:p>
            <w:pPr>
              <w:spacing w:line="276" w:lineRule="auto"/>
              <w:rPr>
                <w:rFonts w:ascii="仿宋_GB2312" w:hAnsi="仿宋" w:eastAsia="仿宋_GB2312"/>
                <w:bCs/>
                <w:color w:val="000000"/>
                <w:sz w:val="24"/>
              </w:rPr>
            </w:pPr>
            <w:r>
              <w:rPr>
                <w:rFonts w:hint="eastAsia" w:ascii="仿宋_GB2312" w:hAnsi="仿宋" w:eastAsia="仿宋_GB2312"/>
                <w:bCs/>
                <w:color w:val="000000"/>
                <w:sz w:val="24"/>
              </w:rPr>
              <w:t>（2）验收结果符合质量要求，验收合格。</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5</w:t>
            </w:r>
          </w:p>
        </w:tc>
        <w:tc>
          <w:tcPr>
            <w:tcW w:w="1701"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w:t>
            </w:r>
            <w:r>
              <w:rPr>
                <w:rFonts w:hint="eastAsia" w:ascii="仿宋_GB2312" w:hAnsi="仿宋" w:eastAsia="仿宋_GB2312" w:cs="Arial"/>
                <w:b/>
                <w:color w:val="000000"/>
                <w:sz w:val="24"/>
              </w:rPr>
              <w:t>质量要求</w:t>
            </w:r>
          </w:p>
        </w:tc>
        <w:tc>
          <w:tcPr>
            <w:tcW w:w="6804" w:type="dxa"/>
            <w:shd w:val="clear" w:color="auto" w:fill="auto"/>
            <w:vAlign w:val="center"/>
          </w:tcPr>
          <w:p>
            <w:pPr>
              <w:spacing w:line="276" w:lineRule="auto"/>
              <w:jc w:val="left"/>
              <w:rPr>
                <w:rFonts w:ascii="仿宋_GB2312" w:hAnsi="仿宋" w:eastAsia="仿宋_GB2312" w:cs="Arial"/>
                <w:color w:val="000000"/>
                <w:sz w:val="24"/>
              </w:rPr>
            </w:pPr>
            <w:r>
              <w:rPr>
                <w:rFonts w:hint="eastAsia" w:ascii="仿宋_GB2312" w:hAnsi="仿宋" w:eastAsia="仿宋_GB2312" w:cs="Arial"/>
                <w:b/>
                <w:color w:val="000000"/>
                <w:sz w:val="24"/>
              </w:rPr>
              <w:t>合格</w:t>
            </w:r>
            <w:r>
              <w:rPr>
                <w:rFonts w:hint="eastAsia" w:ascii="仿宋_GB2312" w:hAnsi="仿宋" w:eastAsia="仿宋_GB2312" w:cs="Arial"/>
                <w:color w:val="000000"/>
                <w:sz w:val="24"/>
              </w:rPr>
              <w:t>（符合投标承诺以及国家、行业有关技术规范和标准，提供一致性证书并且随附产品说明书、产品出厂合格证，使用手册等全套技术资料。）</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6</w:t>
            </w:r>
          </w:p>
        </w:tc>
        <w:tc>
          <w:tcPr>
            <w:tcW w:w="1701"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技术培训</w:t>
            </w:r>
          </w:p>
        </w:tc>
        <w:tc>
          <w:tcPr>
            <w:tcW w:w="6804" w:type="dxa"/>
            <w:shd w:val="clear" w:color="auto" w:fill="auto"/>
            <w:vAlign w:val="center"/>
          </w:tcPr>
          <w:p>
            <w:pPr>
              <w:spacing w:line="276" w:lineRule="auto"/>
              <w:rPr>
                <w:rFonts w:ascii="仿宋_GB2312" w:hAnsi="仿宋" w:eastAsia="仿宋_GB2312"/>
                <w:color w:val="000000"/>
                <w:sz w:val="24"/>
              </w:rPr>
            </w:pPr>
            <w:r>
              <w:rPr>
                <w:rFonts w:hint="eastAsia" w:ascii="仿宋_GB2312" w:hAnsi="仿宋" w:eastAsia="仿宋_GB2312" w:cs="Arial"/>
                <w:color w:val="000000"/>
                <w:sz w:val="24"/>
              </w:rPr>
              <w:t>培训内容包括产品的功能、操作、日常维护、一般故障处理等内容，培训涉及的所有费用由中标供应商承担。</w:t>
            </w:r>
            <w:r>
              <w:rPr>
                <w:rFonts w:hint="eastAsia" w:ascii="仿宋_GB2312" w:hAnsi="仿宋" w:eastAsia="仿宋_GB2312" w:cs="Arial"/>
                <w:b/>
                <w:color w:val="000000"/>
                <w:sz w:val="24"/>
              </w:rPr>
              <w:t>具体培训方案请在投标文件中明确说明。</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7</w:t>
            </w:r>
          </w:p>
        </w:tc>
        <w:tc>
          <w:tcPr>
            <w:tcW w:w="1701" w:type="dxa"/>
            <w:shd w:val="clear" w:color="auto" w:fill="auto"/>
            <w:vAlign w:val="center"/>
          </w:tcPr>
          <w:p>
            <w:pPr>
              <w:spacing w:line="276" w:lineRule="auto"/>
              <w:jc w:val="center"/>
              <w:rPr>
                <w:rFonts w:ascii="仿宋_GB2312" w:hAnsi="仿宋" w:eastAsia="仿宋_GB2312" w:cs="Arial"/>
                <w:color w:val="000000"/>
                <w:sz w:val="24"/>
              </w:rPr>
            </w:pPr>
            <w:r>
              <w:rPr>
                <w:rFonts w:hint="eastAsia" w:ascii="仿宋_GB2312" w:hAnsi="仿宋" w:eastAsia="仿宋_GB2312" w:cs="Arial"/>
                <w:color w:val="000000"/>
                <w:sz w:val="24"/>
              </w:rPr>
              <w:t>售后服务</w:t>
            </w:r>
          </w:p>
        </w:tc>
        <w:tc>
          <w:tcPr>
            <w:tcW w:w="6804" w:type="dxa"/>
            <w:shd w:val="clear" w:color="auto" w:fill="auto"/>
            <w:vAlign w:val="center"/>
          </w:tcPr>
          <w:p>
            <w:pPr>
              <w:spacing w:line="276" w:lineRule="auto"/>
              <w:rPr>
                <w:rFonts w:ascii="仿宋_GB2312" w:hAnsi="仿宋" w:eastAsia="仿宋_GB2312"/>
                <w:sz w:val="24"/>
              </w:rPr>
            </w:pPr>
            <w:r>
              <w:rPr>
                <w:rFonts w:hint="eastAsia" w:ascii="仿宋_GB2312" w:hAnsi="仿宋" w:eastAsia="仿宋_GB2312"/>
                <w:color w:val="000000"/>
                <w:sz w:val="24"/>
              </w:rPr>
              <w:t>（1）</w:t>
            </w:r>
            <w:r>
              <w:rPr>
                <w:rFonts w:hint="eastAsia" w:ascii="仿宋_GB2312" w:hAnsi="仿宋" w:eastAsia="仿宋_GB2312" w:cs="Helvetica"/>
                <w:b/>
                <w:bCs/>
                <w:snapToGrid w:val="0"/>
                <w:color w:val="auto"/>
                <w:kern w:val="0"/>
                <w:sz w:val="24"/>
                <w:lang w:val="zh-CN"/>
              </w:rPr>
              <w:t>★</w:t>
            </w:r>
            <w:r>
              <w:rPr>
                <w:rFonts w:hint="eastAsia" w:ascii="仿宋_GB2312" w:hAnsi="仿宋" w:eastAsia="仿宋_GB2312"/>
                <w:b/>
                <w:sz w:val="24"/>
              </w:rPr>
              <w:t>质保期（自验收合格之日起计）</w:t>
            </w:r>
            <w:r>
              <w:rPr>
                <w:rFonts w:hint="eastAsia" w:ascii="仿宋_GB2312" w:hAnsi="仿宋" w:eastAsia="仿宋_GB2312"/>
                <w:b/>
                <w:iCs/>
                <w:sz w:val="24"/>
              </w:rPr>
              <w:t>：</w:t>
            </w:r>
            <w:r>
              <w:rPr>
                <w:rFonts w:hint="eastAsia" w:ascii="仿宋" w:hAnsi="仿宋" w:eastAsia="仿宋" w:cs="仿宋"/>
                <w:b w:val="0"/>
                <w:i w:val="0"/>
                <w:iCs w:val="0"/>
                <w:kern w:val="0"/>
                <w:sz w:val="24"/>
                <w:u w:val="single"/>
                <w:lang w:eastAsia="zh-CN"/>
              </w:rPr>
              <w:t>标项一：</w:t>
            </w:r>
            <w:r>
              <w:rPr>
                <w:rFonts w:hint="eastAsia" w:ascii="仿宋" w:hAnsi="仿宋" w:eastAsia="仿宋" w:cs="仿宋"/>
                <w:b w:val="0"/>
                <w:i w:val="0"/>
                <w:iCs w:val="0"/>
                <w:kern w:val="0"/>
                <w:sz w:val="24"/>
                <w:u w:val="single"/>
              </w:rPr>
              <w:t>3年或</w:t>
            </w:r>
            <w:r>
              <w:rPr>
                <w:rFonts w:hint="eastAsia" w:ascii="仿宋" w:hAnsi="仿宋" w:eastAsia="仿宋" w:cs="仿宋"/>
                <w:b w:val="0"/>
                <w:i w:val="0"/>
                <w:iCs w:val="0"/>
                <w:kern w:val="0"/>
                <w:sz w:val="24"/>
                <w:u w:val="single"/>
                <w:lang w:val="en-US" w:eastAsia="zh-CN"/>
              </w:rPr>
              <w:t>6</w:t>
            </w:r>
            <w:r>
              <w:rPr>
                <w:rFonts w:hint="eastAsia" w:ascii="仿宋" w:hAnsi="仿宋" w:eastAsia="仿宋" w:cs="仿宋"/>
                <w:b w:val="0"/>
                <w:i w:val="0"/>
                <w:iCs w:val="0"/>
                <w:kern w:val="0"/>
                <w:sz w:val="24"/>
                <w:u w:val="single"/>
              </w:rPr>
              <w:t>万公里（以先到为准）</w:t>
            </w:r>
            <w:r>
              <w:rPr>
                <w:rFonts w:hint="eastAsia" w:ascii="仿宋" w:hAnsi="仿宋" w:eastAsia="仿宋" w:cs="仿宋"/>
                <w:b w:val="0"/>
                <w:i w:val="0"/>
                <w:iCs w:val="0"/>
                <w:kern w:val="0"/>
                <w:sz w:val="24"/>
                <w:u w:val="single"/>
                <w:lang w:eastAsia="zh-CN"/>
              </w:rPr>
              <w:t>；标项二：</w:t>
            </w:r>
            <w:r>
              <w:rPr>
                <w:rFonts w:hint="eastAsia" w:ascii="仿宋" w:hAnsi="仿宋" w:eastAsia="仿宋" w:cs="仿宋"/>
                <w:b w:val="0"/>
                <w:i w:val="0"/>
                <w:iCs w:val="0"/>
                <w:kern w:val="0"/>
                <w:sz w:val="24"/>
                <w:u w:val="single"/>
              </w:rPr>
              <w:t>3年</w:t>
            </w:r>
            <w:r>
              <w:rPr>
                <w:rFonts w:hint="eastAsia" w:ascii="仿宋" w:hAnsi="仿宋" w:eastAsia="仿宋" w:cs="仿宋"/>
                <w:b w:val="0"/>
                <w:i w:val="0"/>
                <w:iCs w:val="0"/>
                <w:kern w:val="0"/>
                <w:sz w:val="24"/>
                <w:u w:val="single"/>
                <w:lang w:eastAsia="zh-CN"/>
              </w:rPr>
              <w:t>或</w:t>
            </w:r>
            <w:r>
              <w:rPr>
                <w:rFonts w:hint="eastAsia" w:ascii="仿宋" w:hAnsi="仿宋" w:eastAsia="仿宋" w:cs="仿宋"/>
                <w:b w:val="0"/>
                <w:i w:val="0"/>
                <w:iCs w:val="0"/>
                <w:kern w:val="0"/>
                <w:sz w:val="24"/>
                <w:u w:val="single"/>
                <w:lang w:val="en-US" w:eastAsia="zh-CN"/>
              </w:rPr>
              <w:t>10万公里</w:t>
            </w:r>
            <w:r>
              <w:rPr>
                <w:rFonts w:hint="eastAsia" w:ascii="仿宋" w:hAnsi="仿宋" w:eastAsia="仿宋" w:cs="仿宋"/>
                <w:b w:val="0"/>
                <w:i w:val="0"/>
                <w:iCs w:val="0"/>
                <w:kern w:val="0"/>
                <w:sz w:val="24"/>
                <w:u w:val="single"/>
              </w:rPr>
              <w:t>（以先到为准）</w:t>
            </w:r>
            <w:r>
              <w:rPr>
                <w:rFonts w:hint="eastAsia" w:ascii="仿宋" w:hAnsi="仿宋" w:eastAsia="仿宋" w:cs="仿宋"/>
                <w:b w:val="0"/>
                <w:i w:val="0"/>
                <w:iCs w:val="0"/>
                <w:kern w:val="0"/>
                <w:sz w:val="24"/>
                <w:u w:val="single"/>
                <w:lang w:eastAsia="zh-CN"/>
              </w:rPr>
              <w:t>；标项三：</w:t>
            </w:r>
            <w:r>
              <w:rPr>
                <w:rFonts w:hint="eastAsia" w:ascii="仿宋" w:hAnsi="仿宋" w:eastAsia="仿宋" w:cs="仿宋"/>
                <w:b w:val="0"/>
                <w:i w:val="0"/>
                <w:iCs w:val="0"/>
                <w:kern w:val="0"/>
                <w:sz w:val="24"/>
                <w:u w:val="single"/>
              </w:rPr>
              <w:t>3年</w:t>
            </w:r>
            <w:r>
              <w:rPr>
                <w:rFonts w:hint="eastAsia" w:ascii="仿宋" w:hAnsi="仿宋" w:eastAsia="仿宋" w:cs="仿宋"/>
                <w:b w:val="0"/>
                <w:i w:val="0"/>
                <w:iCs w:val="0"/>
                <w:kern w:val="0"/>
                <w:sz w:val="24"/>
                <w:u w:val="single"/>
                <w:lang w:eastAsia="zh-CN"/>
              </w:rPr>
              <w:t>或</w:t>
            </w:r>
            <w:r>
              <w:rPr>
                <w:rFonts w:hint="eastAsia" w:ascii="仿宋" w:hAnsi="仿宋" w:eastAsia="仿宋" w:cs="仿宋"/>
                <w:b w:val="0"/>
                <w:i w:val="0"/>
                <w:iCs w:val="0"/>
                <w:kern w:val="0"/>
                <w:sz w:val="24"/>
                <w:u w:val="single"/>
                <w:lang w:val="en-US" w:eastAsia="zh-CN"/>
              </w:rPr>
              <w:t>10万公里</w:t>
            </w:r>
            <w:r>
              <w:rPr>
                <w:rFonts w:hint="eastAsia" w:ascii="仿宋" w:hAnsi="仿宋" w:eastAsia="仿宋" w:cs="仿宋"/>
                <w:b w:val="0"/>
                <w:i w:val="0"/>
                <w:iCs w:val="0"/>
                <w:kern w:val="0"/>
                <w:sz w:val="24"/>
                <w:u w:val="single"/>
              </w:rPr>
              <w:t>（以先到为准）</w:t>
            </w:r>
            <w:r>
              <w:rPr>
                <w:rFonts w:hint="eastAsia" w:ascii="仿宋" w:hAnsi="仿宋" w:eastAsia="仿宋" w:cs="仿宋"/>
                <w:b w:val="0"/>
                <w:i w:val="0"/>
                <w:kern w:val="0"/>
                <w:sz w:val="24"/>
              </w:rPr>
              <w:t>。</w:t>
            </w:r>
            <w:r>
              <w:rPr>
                <w:rFonts w:hint="eastAsia" w:ascii="仿宋" w:hAnsi="仿宋" w:eastAsia="仿宋" w:cs="仿宋"/>
                <w:kern w:val="0"/>
                <w:sz w:val="24"/>
              </w:rPr>
              <w:t>（备注：如所投标产品的厂家质保期限长于本要求则按照厂家质保期限执行。）</w:t>
            </w:r>
          </w:p>
          <w:p>
            <w:pPr>
              <w:spacing w:line="276" w:lineRule="auto"/>
              <w:rPr>
                <w:rFonts w:ascii="仿宋_GB2312" w:hAnsi="仿宋" w:eastAsia="仿宋_GB2312"/>
                <w:color w:val="000000"/>
                <w:sz w:val="24"/>
              </w:rPr>
            </w:pPr>
            <w:r>
              <w:rPr>
                <w:rFonts w:hint="eastAsia" w:ascii="仿宋_GB2312" w:hAnsi="仿宋" w:eastAsia="仿宋_GB2312"/>
                <w:sz w:val="24"/>
              </w:rPr>
              <w:t>（2）质保期内因货物本身缺陷造成</w:t>
            </w:r>
            <w:r>
              <w:rPr>
                <w:rFonts w:hint="eastAsia" w:ascii="仿宋_GB2312" w:hAnsi="仿宋" w:eastAsia="仿宋_GB2312"/>
                <w:color w:val="000000"/>
                <w:sz w:val="24"/>
              </w:rPr>
              <w:t>各种故障应由卖方免费技术服务和维修，并在《投标文件》中说明在保质期内提供的服务计划。在产品整个使用期内，卖方应确保产品的正常使用。在接到用</w:t>
            </w:r>
            <w:r>
              <w:rPr>
                <w:rFonts w:hint="eastAsia" w:ascii="仿宋_GB2312" w:hAnsi="仿宋" w:eastAsia="仿宋_GB2312"/>
                <w:i w:val="0"/>
                <w:iCs w:val="0"/>
                <w:color w:val="000000"/>
                <w:sz w:val="24"/>
              </w:rPr>
              <w:t>户维修要求后</w:t>
            </w:r>
            <w:r>
              <w:rPr>
                <w:rFonts w:hint="eastAsia" w:ascii="仿宋_GB2312" w:hAnsi="仿宋" w:eastAsia="仿宋_GB2312"/>
                <w:b/>
                <w:i w:val="0"/>
                <w:iCs w:val="0"/>
                <w:color w:val="000000"/>
                <w:sz w:val="24"/>
                <w:u w:val="single"/>
              </w:rPr>
              <w:t>30分钟</w:t>
            </w:r>
            <w:r>
              <w:rPr>
                <w:rFonts w:hint="eastAsia" w:ascii="仿宋_GB2312" w:hAnsi="仿宋" w:eastAsia="仿宋_GB2312"/>
                <w:i w:val="0"/>
                <w:iCs w:val="0"/>
                <w:color w:val="000000"/>
                <w:sz w:val="24"/>
              </w:rPr>
              <w:t>内作出响应，</w:t>
            </w:r>
            <w:r>
              <w:rPr>
                <w:rFonts w:hint="eastAsia" w:ascii="仿宋_GB2312" w:hAnsi="仿宋" w:eastAsia="仿宋_GB2312"/>
                <w:b/>
                <w:i w:val="0"/>
                <w:iCs w:val="0"/>
                <w:color w:val="000000"/>
                <w:sz w:val="24"/>
                <w:u w:val="single"/>
              </w:rPr>
              <w:t>2小时</w:t>
            </w:r>
            <w:r>
              <w:rPr>
                <w:rFonts w:hint="eastAsia" w:ascii="仿宋_GB2312" w:hAnsi="仿宋" w:eastAsia="仿宋_GB2312"/>
                <w:i w:val="0"/>
                <w:iCs w:val="0"/>
                <w:color w:val="000000"/>
                <w:sz w:val="24"/>
              </w:rPr>
              <w:t>到达现场处置，</w:t>
            </w:r>
            <w:r>
              <w:rPr>
                <w:rFonts w:hint="eastAsia" w:ascii="仿宋_GB2312" w:hAnsi="仿宋" w:eastAsia="仿宋_GB2312"/>
                <w:b/>
                <w:i w:val="0"/>
                <w:iCs w:val="0"/>
                <w:color w:val="000000"/>
                <w:sz w:val="24"/>
                <w:u w:val="single"/>
              </w:rPr>
              <w:t>24小时</w:t>
            </w:r>
            <w:r>
              <w:rPr>
                <w:rFonts w:hint="eastAsia" w:ascii="仿宋_GB2312" w:hAnsi="仿宋" w:eastAsia="仿宋_GB2312"/>
                <w:i w:val="0"/>
                <w:iCs w:val="0"/>
                <w:color w:val="000000"/>
                <w:sz w:val="24"/>
              </w:rPr>
              <w:t>内排</w:t>
            </w:r>
            <w:r>
              <w:rPr>
                <w:rFonts w:hint="eastAsia" w:ascii="仿宋_GB2312" w:hAnsi="仿宋" w:eastAsia="仿宋_GB2312"/>
                <w:color w:val="000000"/>
                <w:sz w:val="24"/>
              </w:rPr>
              <w:t>除故障，以保证使用方的正常工作。若不能修复，则需要免费提供后备或替代设备；零配件在该设备停产后仍需保证5年的供应，维修过程中所需零配件供应商在接到通知后应及时提供，并最长不超过2天（特殊设备另行说明）必须送达用户。</w:t>
            </w:r>
          </w:p>
          <w:p>
            <w:pPr>
              <w:spacing w:line="276" w:lineRule="auto"/>
              <w:rPr>
                <w:rFonts w:ascii="仿宋_GB2312" w:hAnsi="仿宋" w:eastAsia="仿宋_GB2312"/>
                <w:color w:val="000000"/>
                <w:sz w:val="24"/>
              </w:rPr>
            </w:pPr>
            <w:r>
              <w:rPr>
                <w:rFonts w:hint="eastAsia" w:ascii="仿宋_GB2312" w:hAnsi="仿宋" w:eastAsia="仿宋_GB2312"/>
                <w:color w:val="000000"/>
                <w:sz w:val="24"/>
              </w:rPr>
              <w:t>（3）投标人应提供质保期后的服务计划或建议，明确收费事项及标准，保修后免费维修。</w:t>
            </w:r>
          </w:p>
        </w:tc>
      </w:tr>
    </w:tbl>
    <w:p>
      <w:pPr>
        <w:spacing w:line="360" w:lineRule="auto"/>
        <w:rPr>
          <w:rFonts w:ascii="仿宋" w:hAnsi="仿宋" w:eastAsia="仿宋"/>
          <w:b/>
          <w:color w:val="000000"/>
        </w:rPr>
      </w:pPr>
    </w:p>
    <w:p>
      <w:pPr>
        <w:pStyle w:val="2"/>
        <w:ind w:firstLine="0"/>
      </w:pPr>
      <w:bookmarkStart w:id="32" w:name="_Toc118374035"/>
      <w:r>
        <w:rPr>
          <w:rFonts w:hint="eastAsia"/>
        </w:rPr>
        <w:t>四、特别说明与规定</w:t>
      </w:r>
      <w:bookmarkEnd w:id="32"/>
    </w:p>
    <w:p>
      <w:pPr>
        <w:spacing w:line="360" w:lineRule="auto"/>
        <w:ind w:firstLine="424" w:firstLineChars="176"/>
        <w:rPr>
          <w:rFonts w:ascii="仿宋_GB2312" w:hAnsi="仿宋" w:eastAsia="仿宋_GB2312"/>
          <w:b/>
          <w:color w:val="000000"/>
          <w:sz w:val="24"/>
        </w:rPr>
      </w:pPr>
      <w:r>
        <w:rPr>
          <w:rFonts w:hint="eastAsia" w:ascii="仿宋_GB2312" w:hAnsi="仿宋" w:eastAsia="仿宋_GB2312"/>
          <w:b/>
          <w:color w:val="000000"/>
          <w:sz w:val="24"/>
        </w:rPr>
        <w:t>4.1</w:t>
      </w:r>
      <w:r>
        <w:rPr>
          <w:rFonts w:hint="eastAsia" w:ascii="仿宋_GB2312" w:hAnsi="仿宋" w:eastAsia="仿宋_GB2312" w:cs="仿宋_GB2312"/>
          <w:b/>
          <w:color w:val="000000"/>
          <w:sz w:val="24"/>
        </w:rPr>
        <w:t>本项目单独一个标项，</w:t>
      </w:r>
      <w:r>
        <w:rPr>
          <w:rFonts w:hint="eastAsia" w:ascii="仿宋_GB2312" w:hAnsi="仿宋" w:eastAsia="仿宋_GB2312"/>
          <w:b/>
          <w:color w:val="000000"/>
          <w:sz w:val="24"/>
        </w:rPr>
        <w:t>标项是最小投标单位，投标人必须对标项内的所有内容发起投标响应。</w:t>
      </w:r>
      <w:r>
        <w:rPr>
          <w:rFonts w:hint="eastAsia" w:ascii="仿宋_GB2312" w:hAnsi="仿宋" w:eastAsia="仿宋_GB2312"/>
          <w:b/>
          <w:color w:val="000000"/>
          <w:sz w:val="24"/>
          <w:u w:val="single"/>
        </w:rPr>
        <w:t>投标时，核心产品缺漏的视为没有实质性响应招标要求作无效标处理；非核心产品缺漏的，视为“未响应”按不满足招标文件要求处理，如中标，须自行如数补齐并承担相应后果</w:t>
      </w:r>
      <w:r>
        <w:rPr>
          <w:rFonts w:hint="eastAsia" w:ascii="仿宋_GB2312" w:hAnsi="仿宋" w:eastAsia="仿宋_GB2312"/>
          <w:b/>
          <w:color w:val="000000"/>
          <w:sz w:val="24"/>
        </w:rPr>
        <w:t>。</w:t>
      </w:r>
    </w:p>
    <w:p>
      <w:pPr>
        <w:spacing w:line="360" w:lineRule="auto"/>
        <w:ind w:firstLine="422" w:firstLineChars="176"/>
        <w:rPr>
          <w:rFonts w:ascii="仿宋_GB2312" w:hAnsi="仿宋" w:eastAsia="仿宋_GB2312"/>
          <w:color w:val="000000"/>
          <w:sz w:val="24"/>
        </w:rPr>
      </w:pPr>
      <w:r>
        <w:rPr>
          <w:rFonts w:hint="eastAsia" w:ascii="仿宋_GB2312" w:hAnsi="仿宋" w:eastAsia="仿宋_GB2312"/>
          <w:color w:val="000000"/>
          <w:sz w:val="24"/>
        </w:rPr>
        <w:t>4.2投标人所提供的货物应当是原厂全新正品，来源合法，不得侵犯他人合法权益，</w:t>
      </w:r>
      <w:r>
        <w:rPr>
          <w:rFonts w:hint="eastAsia" w:ascii="仿宋_GB2312" w:hAnsi="仿宋" w:eastAsia="仿宋_GB2312" w:cs="Arial"/>
          <w:color w:val="000000"/>
          <w:sz w:val="24"/>
        </w:rPr>
        <w:t>能提供7*24小时的技术及备件支持</w:t>
      </w:r>
      <w:r>
        <w:rPr>
          <w:rFonts w:hint="eastAsia" w:ascii="仿宋_GB2312" w:hAnsi="仿宋" w:eastAsia="仿宋_GB2312"/>
          <w:color w:val="000000"/>
          <w:sz w:val="24"/>
        </w:rPr>
        <w:t>。所有货物到达现场应有完整包装，随机技术、服务性资料和软件齐全。</w:t>
      </w:r>
    </w:p>
    <w:p>
      <w:pPr>
        <w:spacing w:line="360" w:lineRule="auto"/>
        <w:ind w:firstLine="422" w:firstLineChars="176"/>
        <w:rPr>
          <w:rFonts w:ascii="仿宋_GB2312" w:hAnsi="仿宋" w:eastAsia="仿宋_GB2312" w:cs="仿宋_GB2312"/>
          <w:b/>
          <w:i/>
          <w:color w:val="000000"/>
          <w:sz w:val="24"/>
          <w:u w:val="single"/>
        </w:rPr>
      </w:pPr>
      <w:r>
        <w:rPr>
          <w:rFonts w:hint="eastAsia" w:ascii="仿宋_GB2312" w:hAnsi="仿宋" w:eastAsia="仿宋_GB2312"/>
          <w:color w:val="000000"/>
          <w:sz w:val="24"/>
        </w:rPr>
        <w:t>4.</w:t>
      </w:r>
      <w:r>
        <w:rPr>
          <w:rFonts w:hint="eastAsia" w:ascii="仿宋_GB2312" w:hAnsi="仿宋" w:eastAsia="仿宋_GB2312" w:cs="Arial"/>
          <w:color w:val="000000"/>
          <w:sz w:val="24"/>
        </w:rPr>
        <w:t>3</w:t>
      </w:r>
      <w:r>
        <w:rPr>
          <w:rFonts w:hint="eastAsia" w:ascii="仿宋_GB2312" w:hAnsi="仿宋" w:eastAsia="仿宋_GB2312" w:cs="Arial"/>
          <w:b/>
          <w:color w:val="000000"/>
          <w:sz w:val="24"/>
          <w:u w:val="single"/>
        </w:rPr>
        <w:t>本章（第二章招标采购需求）是采购人需求的最基本描述</w:t>
      </w:r>
      <w:r>
        <w:rPr>
          <w:rFonts w:hint="eastAsia" w:ascii="仿宋_GB2312" w:hAnsi="仿宋" w:eastAsia="仿宋_GB2312"/>
          <w:b/>
          <w:color w:val="000000"/>
          <w:sz w:val="24"/>
          <w:u w:val="single"/>
        </w:rPr>
        <w:t>，投标人不得擅自改动或删减。</w:t>
      </w:r>
      <w:r>
        <w:rPr>
          <w:rFonts w:hint="eastAsia" w:ascii="仿宋_GB2312" w:hAnsi="仿宋" w:eastAsia="仿宋_GB2312" w:cs="Arial"/>
          <w:b/>
          <w:color w:val="000000"/>
          <w:sz w:val="24"/>
          <w:u w:val="single"/>
        </w:rPr>
        <w:t>投标人如认为采购内容（清单）中缺少了满足采购需求所必需的产品或其他工作内容，投标人应在投标时自行补充并说明具体理由，所需费用包含在投标总价内</w:t>
      </w:r>
      <w:r>
        <w:rPr>
          <w:rFonts w:hint="eastAsia" w:ascii="仿宋_GB2312" w:hAnsi="仿宋" w:eastAsia="仿宋_GB2312" w:cs="Arial"/>
          <w:b/>
          <w:color w:val="000000"/>
          <w:sz w:val="24"/>
        </w:rPr>
        <w:t>。</w:t>
      </w:r>
    </w:p>
    <w:p>
      <w:pPr>
        <w:spacing w:line="360" w:lineRule="auto"/>
        <w:ind w:firstLine="422" w:firstLineChars="175"/>
        <w:rPr>
          <w:rFonts w:ascii="仿宋_GB2312" w:hAnsi="仿宋" w:eastAsia="仿宋_GB2312" w:cs="Arial"/>
          <w:b/>
          <w:color w:val="000000"/>
          <w:sz w:val="24"/>
        </w:rPr>
      </w:pPr>
      <w:r>
        <w:rPr>
          <w:rFonts w:hint="eastAsia" w:ascii="仿宋_GB2312" w:hAnsi="仿宋" w:eastAsia="仿宋_GB2312" w:cs="Arial"/>
          <w:b/>
          <w:color w:val="000000"/>
          <w:kern w:val="0"/>
          <w:sz w:val="24"/>
        </w:rPr>
        <w:t>4.4</w:t>
      </w:r>
      <w:r>
        <w:rPr>
          <w:rFonts w:hint="eastAsia" w:ascii="仿宋_GB2312" w:hAnsi="仿宋" w:eastAsia="仿宋_GB2312" w:cs="Arial"/>
          <w:b/>
          <w:color w:val="000000"/>
          <w:sz w:val="24"/>
          <w:u w:val="single"/>
        </w:rPr>
        <w:t>投标响应前后矛盾导致</w:t>
      </w:r>
      <w:r>
        <w:rPr>
          <w:rFonts w:hint="eastAsia" w:ascii="仿宋_GB2312" w:hAnsi="仿宋" w:eastAsia="仿宋_GB2312" w:cs="Arial"/>
          <w:b/>
          <w:bCs/>
          <w:color w:val="000000"/>
          <w:sz w:val="24"/>
          <w:u w:val="single"/>
        </w:rPr>
        <w:t>评标委员会有疑问的，评标委员会认为必要时可以要求投标人在规定的时间（30分钟）内提供相关技术证明材料，投标人不能按时提供相关技术证明材料的视为“未响应”作不满足招标文件要求处理</w:t>
      </w:r>
      <w:r>
        <w:rPr>
          <w:rFonts w:hint="eastAsia" w:ascii="仿宋_GB2312" w:hAnsi="仿宋" w:eastAsia="仿宋_GB2312" w:cs="Arial"/>
          <w:b/>
          <w:bCs/>
          <w:color w:val="000000"/>
          <w:sz w:val="24"/>
        </w:rPr>
        <w:t>。</w:t>
      </w:r>
    </w:p>
    <w:p>
      <w:pPr>
        <w:spacing w:line="360" w:lineRule="auto"/>
        <w:ind w:firstLine="422" w:firstLineChars="175"/>
        <w:rPr>
          <w:rFonts w:ascii="仿宋_GB2312" w:hAnsi="仿宋" w:eastAsia="仿宋_GB2312" w:cs="Arial"/>
          <w:b/>
          <w:color w:val="000000"/>
          <w:sz w:val="24"/>
        </w:rPr>
      </w:pPr>
      <w:r>
        <w:rPr>
          <w:rFonts w:hint="eastAsia" w:ascii="仿宋_GB2312" w:hAnsi="仿宋" w:eastAsia="仿宋_GB2312"/>
          <w:b/>
          <w:color w:val="000000"/>
          <w:sz w:val="24"/>
        </w:rPr>
        <w:t>4.</w:t>
      </w:r>
      <w:r>
        <w:rPr>
          <w:rFonts w:hint="eastAsia" w:ascii="仿宋_GB2312" w:hAnsi="仿宋" w:eastAsia="仿宋_GB2312" w:cs="Arial"/>
          <w:b/>
          <w:color w:val="000000"/>
          <w:sz w:val="24"/>
        </w:rPr>
        <w:t>5</w:t>
      </w:r>
      <w:r>
        <w:rPr>
          <w:rFonts w:hint="eastAsia" w:ascii="仿宋_GB2312" w:hAnsi="仿宋" w:eastAsia="仿宋_GB2312" w:cs="仿宋_GB2312"/>
          <w:b/>
          <w:color w:val="000000"/>
          <w:sz w:val="24"/>
        </w:rPr>
        <w:t>▲</w:t>
      </w:r>
      <w:r>
        <w:rPr>
          <w:rFonts w:hint="eastAsia" w:ascii="仿宋_GB2312" w:hAnsi="仿宋" w:eastAsia="仿宋_GB2312" w:cs="Arial"/>
          <w:b/>
          <w:color w:val="000000"/>
          <w:sz w:val="24"/>
        </w:rPr>
        <w:t>采购人将以合同形式有偿取得货物或服务，不接受投标人给予的任何赠品、回扣或者与采购无关的其他商品、服务，不得出现“0元”、“免费赠送”等形式的无偿报价，否则视为投标文件含有采购人不能接受的附加条件，投标无效。</w:t>
      </w:r>
    </w:p>
    <w:p>
      <w:pPr>
        <w:spacing w:line="360" w:lineRule="auto"/>
        <w:ind w:firstLine="422" w:firstLineChars="175"/>
        <w:rPr>
          <w:rFonts w:ascii="仿宋_GB2312" w:hAnsi="仿宋" w:eastAsia="仿宋_GB2312"/>
          <w:b/>
          <w:color w:val="000000"/>
          <w:sz w:val="24"/>
        </w:rPr>
      </w:pPr>
      <w:r>
        <w:rPr>
          <w:rFonts w:hint="eastAsia" w:ascii="仿宋_GB2312" w:hAnsi="仿宋" w:eastAsia="仿宋_GB2312" w:cs="Arial"/>
          <w:b/>
          <w:color w:val="000000"/>
          <w:sz w:val="24"/>
        </w:rPr>
        <w:t>4.6</w:t>
      </w:r>
      <w:r>
        <w:rPr>
          <w:rFonts w:hint="eastAsia" w:ascii="仿宋_GB2312" w:hAnsi="仿宋" w:eastAsia="仿宋_GB2312" w:cs="仿宋_GB2312"/>
          <w:b/>
          <w:color w:val="000000"/>
          <w:sz w:val="24"/>
        </w:rPr>
        <w:t>▲</w:t>
      </w:r>
      <w:r>
        <w:rPr>
          <w:rFonts w:hint="eastAsia" w:ascii="仿宋_GB2312" w:hAnsi="仿宋" w:eastAsia="仿宋_GB2312"/>
          <w:b/>
          <w:color w:val="000000"/>
          <w:sz w:val="24"/>
        </w:rPr>
        <w:t>投标人所提供的所有产品均应当符合国家有关强制标准、准入规定等强制性要求。</w:t>
      </w:r>
    </w:p>
    <w:p>
      <w:pPr>
        <w:snapToGrid w:val="0"/>
        <w:spacing w:line="360" w:lineRule="auto"/>
        <w:ind w:firstLine="480" w:firstLineChars="200"/>
        <w:rPr>
          <w:rFonts w:ascii="仿宋_GB2312" w:hAnsi="宋体" w:eastAsia="仿宋_GB2312" w:cs="Arial"/>
          <w:snapToGrid w:val="0"/>
          <w:kern w:val="0"/>
          <w:sz w:val="24"/>
        </w:rPr>
      </w:pPr>
      <w:r>
        <w:rPr>
          <w:rFonts w:hint="eastAsia" w:ascii="仿宋_GB2312" w:hAnsi="仿宋" w:eastAsia="仿宋_GB2312" w:cs="Arial"/>
          <w:color w:val="000000"/>
          <w:kern w:val="0"/>
          <w:sz w:val="24"/>
        </w:rPr>
        <w:t>4.7</w:t>
      </w:r>
      <w:r>
        <w:rPr>
          <w:rFonts w:hint="eastAsia" w:ascii="仿宋_GB2312" w:hAnsi="仿宋" w:eastAsia="仿宋_GB2312"/>
          <w:color w:val="000000"/>
          <w:sz w:val="24"/>
        </w:rPr>
        <w:t>设备的各项要求（品牌、型号、配置）应与中标供应商投标承诺为准，不得擅自更改。投标人须对采购中涉及到的专利负责，并保证不伤害采购人的利益。在法律范围内，所有文字、商标和技术侵权造成的相关费用，采购人概不负责。</w:t>
      </w:r>
    </w:p>
    <w:p>
      <w:pPr>
        <w:widowControl/>
        <w:ind w:firstLine="720" w:firstLineChars="300"/>
        <w:jc w:val="left"/>
        <w:rPr>
          <w:rFonts w:ascii="宋体" w:hAnsi="宋体" w:cs="宋体"/>
          <w:bCs/>
          <w:sz w:val="24"/>
        </w:rPr>
      </w:pPr>
    </w:p>
    <w:p>
      <w:pPr>
        <w:rPr>
          <w:rFonts w:ascii="宋体" w:hAnsi="宋体" w:cs="宋体"/>
          <w:snapToGrid w:val="0"/>
          <w:kern w:val="0"/>
          <w:sz w:val="24"/>
        </w:rPr>
      </w:pPr>
      <w:r>
        <w:rPr>
          <w:rFonts w:hint="eastAsia" w:ascii="宋体" w:hAnsi="宋体" w:cs="宋体"/>
          <w:snapToGrid w:val="0"/>
          <w:kern w:val="0"/>
          <w:sz w:val="24"/>
        </w:rPr>
        <w:tab/>
      </w: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3" w:name="_Toc184312081"/>
      <w:bookmarkEnd w:id="33"/>
      <w:bookmarkStart w:id="34" w:name="_Toc184310308"/>
      <w:bookmarkEnd w:id="34"/>
      <w:bookmarkStart w:id="35" w:name="_Toc184308046"/>
      <w:bookmarkEnd w:id="35"/>
      <w:bookmarkStart w:id="36" w:name="_Toc184310322"/>
      <w:bookmarkEnd w:id="36"/>
      <w:bookmarkStart w:id="37" w:name="_Toc184310289"/>
      <w:bookmarkEnd w:id="37"/>
      <w:bookmarkStart w:id="38" w:name="_Toc184313281"/>
      <w:bookmarkEnd w:id="38"/>
      <w:bookmarkStart w:id="39" w:name="_Toc184313290"/>
      <w:bookmarkEnd w:id="39"/>
      <w:bookmarkStart w:id="40" w:name="_Toc184310323"/>
      <w:bookmarkEnd w:id="40"/>
      <w:bookmarkStart w:id="41" w:name="_Toc184314417"/>
      <w:bookmarkEnd w:id="41"/>
      <w:bookmarkStart w:id="42" w:name="_Toc184312072"/>
      <w:bookmarkEnd w:id="42"/>
      <w:bookmarkStart w:id="43" w:name="_Toc184308102"/>
      <w:bookmarkEnd w:id="43"/>
      <w:bookmarkStart w:id="44" w:name="_Toc184314440"/>
      <w:bookmarkEnd w:id="44"/>
      <w:bookmarkStart w:id="45" w:name="_Toc184310286"/>
      <w:bookmarkEnd w:id="45"/>
      <w:bookmarkStart w:id="46" w:name="_Toc184313271"/>
      <w:bookmarkEnd w:id="46"/>
      <w:bookmarkStart w:id="47" w:name="_Toc184308108"/>
      <w:bookmarkEnd w:id="47"/>
      <w:bookmarkStart w:id="48" w:name="_Toc184312098"/>
      <w:bookmarkEnd w:id="48"/>
      <w:bookmarkStart w:id="49" w:name="_Toc184310315"/>
      <w:bookmarkEnd w:id="49"/>
      <w:bookmarkStart w:id="50" w:name="_Toc184314467"/>
      <w:bookmarkEnd w:id="50"/>
      <w:bookmarkStart w:id="51" w:name="_Toc184312104"/>
      <w:bookmarkEnd w:id="51"/>
      <w:bookmarkStart w:id="52" w:name="_Toc184313258"/>
      <w:bookmarkEnd w:id="52"/>
      <w:bookmarkStart w:id="53" w:name="_Toc184313310"/>
      <w:bookmarkEnd w:id="53"/>
      <w:bookmarkStart w:id="54" w:name="_Toc184312116"/>
      <w:bookmarkEnd w:id="54"/>
      <w:bookmarkStart w:id="55" w:name="_Toc184312100"/>
      <w:bookmarkEnd w:id="55"/>
      <w:bookmarkStart w:id="56" w:name="_Toc184308096"/>
      <w:bookmarkEnd w:id="56"/>
      <w:bookmarkStart w:id="57" w:name="_Toc184310311"/>
      <w:bookmarkEnd w:id="57"/>
      <w:bookmarkStart w:id="58" w:name="_Toc184312092"/>
      <w:bookmarkEnd w:id="58"/>
      <w:bookmarkStart w:id="59" w:name="_Toc184308107"/>
      <w:bookmarkEnd w:id="59"/>
      <w:bookmarkStart w:id="60" w:name="_Toc184313272"/>
      <w:bookmarkEnd w:id="60"/>
      <w:bookmarkStart w:id="61" w:name="_Toc184308072"/>
      <w:bookmarkEnd w:id="61"/>
      <w:bookmarkStart w:id="62" w:name="_Toc184313296"/>
      <w:bookmarkEnd w:id="62"/>
      <w:bookmarkStart w:id="63" w:name="_Toc184308037"/>
      <w:bookmarkEnd w:id="63"/>
      <w:bookmarkStart w:id="64" w:name="_Toc184310280"/>
      <w:bookmarkEnd w:id="64"/>
      <w:bookmarkStart w:id="65" w:name="_Toc184312075"/>
      <w:bookmarkEnd w:id="65"/>
      <w:bookmarkStart w:id="66" w:name="_Toc184312084"/>
      <w:bookmarkEnd w:id="66"/>
      <w:bookmarkStart w:id="67" w:name="_Toc184308038"/>
      <w:bookmarkEnd w:id="67"/>
      <w:bookmarkStart w:id="68" w:name="_Toc184312068"/>
      <w:bookmarkEnd w:id="68"/>
      <w:bookmarkStart w:id="69" w:name="_Toc184308067"/>
      <w:bookmarkEnd w:id="69"/>
      <w:bookmarkStart w:id="70" w:name="_Toc184312093"/>
      <w:bookmarkEnd w:id="70"/>
      <w:bookmarkStart w:id="71" w:name="_Toc184312095"/>
      <w:bookmarkEnd w:id="71"/>
      <w:bookmarkStart w:id="72" w:name="_Toc184314479"/>
      <w:bookmarkEnd w:id="72"/>
      <w:bookmarkStart w:id="73" w:name="_Toc184313280"/>
      <w:bookmarkEnd w:id="73"/>
      <w:bookmarkStart w:id="74" w:name="_Toc184313291"/>
      <w:bookmarkEnd w:id="74"/>
      <w:bookmarkStart w:id="75" w:name="_Toc184310274"/>
      <w:bookmarkEnd w:id="75"/>
      <w:bookmarkStart w:id="76" w:name="_Toc184313251"/>
      <w:bookmarkEnd w:id="76"/>
      <w:bookmarkStart w:id="77" w:name="_Toc184314415"/>
      <w:bookmarkEnd w:id="77"/>
      <w:bookmarkStart w:id="78" w:name="_Toc184314434"/>
      <w:bookmarkEnd w:id="78"/>
      <w:bookmarkStart w:id="79" w:name="_Toc184312108"/>
      <w:bookmarkEnd w:id="79"/>
      <w:bookmarkStart w:id="80" w:name="_Toc184312080"/>
      <w:bookmarkEnd w:id="80"/>
      <w:bookmarkStart w:id="81" w:name="_Toc184308099"/>
      <w:bookmarkEnd w:id="81"/>
      <w:bookmarkStart w:id="82" w:name="_Toc184314474"/>
      <w:bookmarkEnd w:id="82"/>
      <w:bookmarkStart w:id="83" w:name="_Toc184310333"/>
      <w:bookmarkEnd w:id="83"/>
      <w:bookmarkStart w:id="84" w:name="_Toc184314465"/>
      <w:bookmarkEnd w:id="84"/>
      <w:bookmarkStart w:id="85" w:name="_Toc184312130"/>
      <w:bookmarkEnd w:id="85"/>
      <w:bookmarkStart w:id="86" w:name="_Toc184314429"/>
      <w:bookmarkEnd w:id="86"/>
      <w:bookmarkStart w:id="87" w:name="_Toc184314447"/>
      <w:bookmarkEnd w:id="87"/>
      <w:bookmarkStart w:id="88" w:name="_Toc184314435"/>
      <w:bookmarkEnd w:id="88"/>
      <w:bookmarkStart w:id="89" w:name="_Toc184314448"/>
      <w:bookmarkEnd w:id="89"/>
      <w:bookmarkStart w:id="90" w:name="_Toc184314462"/>
      <w:bookmarkEnd w:id="90"/>
      <w:bookmarkStart w:id="91" w:name="_Toc184314481"/>
      <w:bookmarkEnd w:id="91"/>
      <w:bookmarkStart w:id="92" w:name="_Toc184314464"/>
      <w:bookmarkEnd w:id="92"/>
      <w:bookmarkStart w:id="93" w:name="_Toc184310310"/>
      <w:bookmarkEnd w:id="93"/>
      <w:bookmarkStart w:id="94" w:name="_Toc184314411"/>
      <w:bookmarkEnd w:id="94"/>
      <w:bookmarkStart w:id="95" w:name="_Toc184310284"/>
      <w:bookmarkEnd w:id="95"/>
      <w:bookmarkStart w:id="96" w:name="_Toc184308051"/>
      <w:bookmarkEnd w:id="96"/>
      <w:bookmarkStart w:id="97" w:name="_Toc184312078"/>
      <w:bookmarkEnd w:id="97"/>
      <w:bookmarkStart w:id="98" w:name="_Toc184314438"/>
      <w:bookmarkEnd w:id="98"/>
      <w:bookmarkStart w:id="99" w:name="_Toc184310282"/>
      <w:bookmarkEnd w:id="99"/>
      <w:bookmarkStart w:id="100" w:name="_Toc184313269"/>
      <w:bookmarkEnd w:id="100"/>
      <w:bookmarkStart w:id="101" w:name="_Toc184313304"/>
      <w:bookmarkEnd w:id="101"/>
      <w:bookmarkStart w:id="102" w:name="_Toc184312136"/>
      <w:bookmarkEnd w:id="102"/>
      <w:bookmarkStart w:id="103" w:name="_Toc184313299"/>
      <w:bookmarkEnd w:id="103"/>
      <w:bookmarkStart w:id="104" w:name="_Toc184308054"/>
      <w:bookmarkEnd w:id="104"/>
      <w:bookmarkStart w:id="105" w:name="_Toc184314454"/>
      <w:bookmarkEnd w:id="105"/>
      <w:bookmarkStart w:id="106" w:name="_Toc184312122"/>
      <w:bookmarkEnd w:id="106"/>
      <w:bookmarkStart w:id="107" w:name="_Toc184314420"/>
      <w:bookmarkEnd w:id="107"/>
      <w:bookmarkStart w:id="108" w:name="_Toc184312107"/>
      <w:bookmarkEnd w:id="108"/>
      <w:bookmarkStart w:id="109" w:name="_Toc184308060"/>
      <w:bookmarkEnd w:id="109"/>
      <w:bookmarkStart w:id="110" w:name="_Toc184308045"/>
      <w:bookmarkEnd w:id="110"/>
      <w:bookmarkStart w:id="111" w:name="_Toc184310340"/>
      <w:bookmarkEnd w:id="111"/>
      <w:bookmarkStart w:id="112" w:name="_Toc184314431"/>
      <w:bookmarkEnd w:id="112"/>
      <w:bookmarkStart w:id="113" w:name="_Toc184314470"/>
      <w:bookmarkEnd w:id="113"/>
      <w:bookmarkStart w:id="114" w:name="_Toc184313284"/>
      <w:bookmarkEnd w:id="114"/>
      <w:bookmarkStart w:id="115" w:name="_Toc184314477"/>
      <w:bookmarkEnd w:id="115"/>
      <w:bookmarkStart w:id="116" w:name="_Toc184312083"/>
      <w:bookmarkEnd w:id="116"/>
      <w:bookmarkStart w:id="117" w:name="_Toc184310290"/>
      <w:bookmarkEnd w:id="117"/>
      <w:bookmarkStart w:id="118" w:name="_Toc184310331"/>
      <w:bookmarkEnd w:id="118"/>
      <w:bookmarkStart w:id="119" w:name="_Toc184308068"/>
      <w:bookmarkEnd w:id="119"/>
      <w:bookmarkStart w:id="120" w:name="_Toc184314426"/>
      <w:bookmarkEnd w:id="120"/>
      <w:bookmarkStart w:id="121" w:name="_Toc184313268"/>
      <w:bookmarkEnd w:id="121"/>
      <w:bookmarkStart w:id="122" w:name="_Toc184310298"/>
      <w:bookmarkEnd w:id="122"/>
      <w:bookmarkStart w:id="123" w:name="_Toc184313270"/>
      <w:bookmarkEnd w:id="123"/>
      <w:bookmarkStart w:id="124" w:name="_Toc184312126"/>
      <w:bookmarkEnd w:id="124"/>
      <w:bookmarkStart w:id="125" w:name="_Toc184310283"/>
      <w:bookmarkEnd w:id="125"/>
      <w:bookmarkStart w:id="126" w:name="_Toc184312129"/>
      <w:bookmarkEnd w:id="126"/>
      <w:bookmarkStart w:id="127" w:name="_Toc184312101"/>
      <w:bookmarkEnd w:id="127"/>
      <w:bookmarkStart w:id="128" w:name="_Toc184312106"/>
      <w:bookmarkEnd w:id="128"/>
      <w:bookmarkStart w:id="129" w:name="_Toc184313285"/>
      <w:bookmarkEnd w:id="129"/>
      <w:bookmarkStart w:id="130" w:name="_Toc184308088"/>
      <w:bookmarkEnd w:id="130"/>
      <w:bookmarkStart w:id="131" w:name="_Toc184308104"/>
      <w:bookmarkEnd w:id="131"/>
      <w:bookmarkStart w:id="132" w:name="_Toc184312105"/>
      <w:bookmarkEnd w:id="132"/>
      <w:bookmarkStart w:id="133" w:name="_Toc184308100"/>
      <w:bookmarkEnd w:id="133"/>
      <w:bookmarkStart w:id="134" w:name="_Toc184314418"/>
      <w:bookmarkEnd w:id="134"/>
      <w:bookmarkStart w:id="135" w:name="_Toc184312086"/>
      <w:bookmarkEnd w:id="135"/>
      <w:bookmarkStart w:id="136" w:name="_Toc184310328"/>
      <w:bookmarkEnd w:id="136"/>
      <w:bookmarkStart w:id="137" w:name="_Toc184314443"/>
      <w:bookmarkEnd w:id="137"/>
      <w:bookmarkStart w:id="138" w:name="_Toc184308095"/>
      <w:bookmarkEnd w:id="138"/>
      <w:bookmarkStart w:id="139" w:name="_Toc184310339"/>
      <w:bookmarkEnd w:id="139"/>
      <w:bookmarkStart w:id="140" w:name="_Toc184312134"/>
      <w:bookmarkEnd w:id="140"/>
      <w:bookmarkStart w:id="141" w:name="_Toc184308076"/>
      <w:bookmarkEnd w:id="141"/>
      <w:bookmarkStart w:id="142" w:name="_Toc184313289"/>
      <w:bookmarkEnd w:id="142"/>
      <w:bookmarkStart w:id="143" w:name="_Toc184312112"/>
      <w:bookmarkEnd w:id="143"/>
      <w:bookmarkStart w:id="144" w:name="_Toc184308050"/>
      <w:bookmarkEnd w:id="144"/>
      <w:bookmarkStart w:id="145" w:name="_Toc184313302"/>
      <w:bookmarkEnd w:id="145"/>
      <w:bookmarkStart w:id="146" w:name="_Toc184313246"/>
      <w:bookmarkEnd w:id="146"/>
      <w:bookmarkStart w:id="147" w:name="_Toc184308087"/>
      <w:bookmarkEnd w:id="147"/>
      <w:bookmarkStart w:id="148" w:name="_Toc184310296"/>
      <w:bookmarkEnd w:id="148"/>
      <w:bookmarkStart w:id="149" w:name="_Toc184308049"/>
      <w:bookmarkEnd w:id="149"/>
      <w:bookmarkStart w:id="150" w:name="_Toc184308069"/>
      <w:bookmarkEnd w:id="150"/>
      <w:bookmarkStart w:id="151" w:name="_Toc184308047"/>
      <w:bookmarkEnd w:id="151"/>
      <w:bookmarkStart w:id="152" w:name="_Toc184310314"/>
      <w:bookmarkEnd w:id="152"/>
      <w:bookmarkStart w:id="153" w:name="_Toc184313292"/>
      <w:bookmarkEnd w:id="153"/>
      <w:bookmarkStart w:id="154" w:name="_Toc184314442"/>
      <w:bookmarkEnd w:id="154"/>
      <w:bookmarkStart w:id="155" w:name="_Toc184310295"/>
      <w:bookmarkEnd w:id="155"/>
      <w:bookmarkStart w:id="156" w:name="_Toc184314413"/>
      <w:bookmarkEnd w:id="156"/>
      <w:bookmarkStart w:id="157" w:name="_Toc184308064"/>
      <w:bookmarkEnd w:id="157"/>
      <w:bookmarkStart w:id="158" w:name="_Toc184314453"/>
      <w:bookmarkEnd w:id="158"/>
      <w:bookmarkStart w:id="159" w:name="_Toc184312076"/>
      <w:bookmarkEnd w:id="159"/>
      <w:bookmarkStart w:id="160" w:name="_Toc184313253"/>
      <w:bookmarkEnd w:id="160"/>
      <w:bookmarkStart w:id="161" w:name="_Toc184312139"/>
      <w:bookmarkEnd w:id="161"/>
      <w:bookmarkStart w:id="162" w:name="_Toc184313276"/>
      <w:bookmarkEnd w:id="162"/>
      <w:bookmarkStart w:id="163" w:name="_Toc184313283"/>
      <w:bookmarkEnd w:id="163"/>
      <w:bookmarkStart w:id="164" w:name="_Toc184314445"/>
      <w:bookmarkEnd w:id="164"/>
      <w:bookmarkStart w:id="165" w:name="_Toc184308093"/>
      <w:bookmarkEnd w:id="165"/>
      <w:bookmarkStart w:id="166" w:name="_Toc184310316"/>
      <w:bookmarkEnd w:id="166"/>
      <w:bookmarkStart w:id="167" w:name="_Toc184313255"/>
      <w:bookmarkEnd w:id="167"/>
      <w:bookmarkStart w:id="168" w:name="_Toc184310285"/>
      <w:bookmarkEnd w:id="168"/>
      <w:bookmarkStart w:id="169" w:name="_Toc184313266"/>
      <w:bookmarkEnd w:id="169"/>
      <w:bookmarkStart w:id="170" w:name="_Toc184314452"/>
      <w:bookmarkEnd w:id="170"/>
      <w:bookmarkStart w:id="171" w:name="_Toc184314475"/>
      <w:bookmarkEnd w:id="171"/>
      <w:bookmarkStart w:id="172" w:name="_Toc184312077"/>
      <w:bookmarkEnd w:id="172"/>
      <w:bookmarkStart w:id="173" w:name="_Toc184314457"/>
      <w:bookmarkEnd w:id="173"/>
      <w:bookmarkStart w:id="174" w:name="_Toc184310330"/>
      <w:bookmarkEnd w:id="174"/>
      <w:bookmarkStart w:id="175" w:name="_Toc184312135"/>
      <w:bookmarkEnd w:id="175"/>
      <w:bookmarkStart w:id="176" w:name="_Toc184314424"/>
      <w:bookmarkEnd w:id="176"/>
      <w:bookmarkStart w:id="177" w:name="_Toc184308042"/>
      <w:bookmarkEnd w:id="177"/>
      <w:bookmarkStart w:id="178" w:name="_Toc184312138"/>
      <w:bookmarkEnd w:id="178"/>
      <w:bookmarkStart w:id="179" w:name="_Toc184312067"/>
      <w:bookmarkEnd w:id="179"/>
      <w:bookmarkStart w:id="180" w:name="_Toc184314439"/>
      <w:bookmarkEnd w:id="180"/>
      <w:bookmarkStart w:id="181" w:name="_Toc184310303"/>
      <w:bookmarkEnd w:id="181"/>
      <w:bookmarkStart w:id="182" w:name="_Toc184314482"/>
      <w:bookmarkEnd w:id="182"/>
      <w:bookmarkStart w:id="183" w:name="_Toc184313279"/>
      <w:bookmarkEnd w:id="183"/>
      <w:bookmarkStart w:id="184" w:name="_Toc184308053"/>
      <w:bookmarkEnd w:id="184"/>
      <w:bookmarkStart w:id="185" w:name="_Toc184313256"/>
      <w:bookmarkEnd w:id="185"/>
      <w:bookmarkStart w:id="186" w:name="_Toc184308091"/>
      <w:bookmarkEnd w:id="186"/>
      <w:bookmarkStart w:id="187" w:name="_Toc184313300"/>
      <w:bookmarkEnd w:id="187"/>
      <w:bookmarkStart w:id="188" w:name="_Toc184310326"/>
      <w:bookmarkEnd w:id="188"/>
      <w:bookmarkStart w:id="189" w:name="_Toc184310305"/>
      <w:bookmarkEnd w:id="189"/>
      <w:bookmarkStart w:id="190" w:name="_Toc184313265"/>
      <w:bookmarkEnd w:id="190"/>
      <w:bookmarkStart w:id="191" w:name="_Toc184308074"/>
      <w:bookmarkEnd w:id="191"/>
      <w:bookmarkStart w:id="192" w:name="_Toc184310337"/>
      <w:bookmarkEnd w:id="192"/>
      <w:bookmarkStart w:id="193" w:name="_Toc184312073"/>
      <w:bookmarkEnd w:id="193"/>
      <w:bookmarkStart w:id="194" w:name="_Toc184310338"/>
      <w:bookmarkEnd w:id="194"/>
      <w:bookmarkStart w:id="195" w:name="_Toc184312110"/>
      <w:bookmarkEnd w:id="195"/>
      <w:bookmarkStart w:id="196" w:name="_Toc184308083"/>
      <w:bookmarkEnd w:id="196"/>
      <w:bookmarkStart w:id="197" w:name="_Toc184313239"/>
      <w:bookmarkEnd w:id="197"/>
      <w:bookmarkStart w:id="198" w:name="_Toc184310329"/>
      <w:bookmarkEnd w:id="198"/>
      <w:bookmarkStart w:id="199" w:name="_Toc184314421"/>
      <w:bookmarkEnd w:id="199"/>
      <w:bookmarkStart w:id="200" w:name="_Toc184314436"/>
      <w:bookmarkEnd w:id="200"/>
      <w:bookmarkStart w:id="201" w:name="_Toc184312121"/>
      <w:bookmarkEnd w:id="201"/>
      <w:bookmarkStart w:id="202" w:name="_Toc184308089"/>
      <w:bookmarkEnd w:id="202"/>
      <w:bookmarkStart w:id="203" w:name="_Toc184310292"/>
      <w:bookmarkEnd w:id="203"/>
      <w:bookmarkStart w:id="204" w:name="_Toc184312114"/>
      <w:bookmarkEnd w:id="204"/>
      <w:bookmarkStart w:id="205" w:name="_Toc184314451"/>
      <w:bookmarkEnd w:id="205"/>
      <w:bookmarkStart w:id="206" w:name="_Toc184312131"/>
      <w:bookmarkEnd w:id="206"/>
      <w:bookmarkStart w:id="207" w:name="_Toc184310335"/>
      <w:bookmarkEnd w:id="207"/>
      <w:bookmarkStart w:id="208" w:name="_Toc184308079"/>
      <w:bookmarkEnd w:id="208"/>
      <w:bookmarkStart w:id="209" w:name="_Toc184312089"/>
      <w:bookmarkEnd w:id="209"/>
      <w:bookmarkStart w:id="210" w:name="_Toc184312133"/>
      <w:bookmarkEnd w:id="210"/>
      <w:bookmarkStart w:id="211" w:name="_Toc184310300"/>
      <w:bookmarkEnd w:id="211"/>
      <w:bookmarkStart w:id="212" w:name="_Toc184313254"/>
      <w:bookmarkEnd w:id="212"/>
      <w:bookmarkStart w:id="213" w:name="_Toc184314410"/>
      <w:bookmarkEnd w:id="213"/>
      <w:bookmarkStart w:id="214" w:name="_Toc184314427"/>
      <w:bookmarkEnd w:id="214"/>
      <w:bookmarkStart w:id="215" w:name="_Toc184314423"/>
      <w:bookmarkEnd w:id="215"/>
      <w:bookmarkStart w:id="216" w:name="_Toc184313294"/>
      <w:bookmarkEnd w:id="216"/>
      <w:bookmarkStart w:id="217" w:name="_Toc184312079"/>
      <w:bookmarkEnd w:id="217"/>
      <w:bookmarkStart w:id="218" w:name="_Toc184310279"/>
      <w:bookmarkEnd w:id="218"/>
      <w:bookmarkStart w:id="219" w:name="_Toc184310299"/>
      <w:bookmarkEnd w:id="219"/>
      <w:bookmarkStart w:id="220" w:name="_Toc184313263"/>
      <w:bookmarkEnd w:id="220"/>
      <w:bookmarkStart w:id="221" w:name="_Toc184308080"/>
      <w:bookmarkEnd w:id="221"/>
      <w:bookmarkStart w:id="222" w:name="_Toc184312117"/>
      <w:bookmarkEnd w:id="222"/>
      <w:bookmarkStart w:id="223" w:name="_Toc184313309"/>
      <w:bookmarkEnd w:id="223"/>
      <w:bookmarkStart w:id="224" w:name="_Toc184313242"/>
      <w:bookmarkEnd w:id="224"/>
      <w:bookmarkStart w:id="225" w:name="_Toc184310343"/>
      <w:bookmarkEnd w:id="225"/>
      <w:bookmarkStart w:id="226" w:name="_Toc184310297"/>
      <w:bookmarkEnd w:id="226"/>
      <w:bookmarkStart w:id="227" w:name="_Toc184308106"/>
      <w:bookmarkEnd w:id="227"/>
      <w:bookmarkStart w:id="228" w:name="_Toc184313248"/>
      <w:bookmarkEnd w:id="228"/>
      <w:bookmarkStart w:id="229" w:name="_Toc184314456"/>
      <w:bookmarkEnd w:id="229"/>
      <w:bookmarkStart w:id="230" w:name="_Toc184312111"/>
      <w:bookmarkEnd w:id="230"/>
      <w:bookmarkStart w:id="231" w:name="_Toc184314466"/>
      <w:bookmarkEnd w:id="231"/>
      <w:bookmarkStart w:id="232" w:name="_Toc184312094"/>
      <w:bookmarkEnd w:id="232"/>
      <w:bookmarkStart w:id="233" w:name="_Toc184313259"/>
      <w:bookmarkEnd w:id="233"/>
      <w:bookmarkStart w:id="234" w:name="_Toc184314480"/>
      <w:bookmarkEnd w:id="234"/>
      <w:bookmarkStart w:id="235" w:name="_Toc184308061"/>
      <w:bookmarkEnd w:id="235"/>
      <w:bookmarkStart w:id="236" w:name="_Toc184313293"/>
      <w:bookmarkEnd w:id="236"/>
      <w:bookmarkStart w:id="237" w:name="_Toc184312071"/>
      <w:bookmarkEnd w:id="237"/>
      <w:bookmarkStart w:id="238" w:name="_Toc184310301"/>
      <w:bookmarkEnd w:id="238"/>
      <w:bookmarkStart w:id="239" w:name="_Toc184313282"/>
      <w:bookmarkEnd w:id="239"/>
      <w:bookmarkStart w:id="240" w:name="_Toc184310309"/>
      <w:bookmarkEnd w:id="240"/>
      <w:bookmarkStart w:id="241" w:name="_Toc184310291"/>
      <w:bookmarkEnd w:id="241"/>
      <w:bookmarkStart w:id="242" w:name="_Toc184308071"/>
      <w:bookmarkEnd w:id="242"/>
      <w:bookmarkStart w:id="243" w:name="_Toc184310341"/>
      <w:bookmarkEnd w:id="243"/>
      <w:bookmarkStart w:id="244" w:name="_Toc184314469"/>
      <w:bookmarkEnd w:id="244"/>
      <w:bookmarkStart w:id="245" w:name="_Toc184313306"/>
      <w:bookmarkEnd w:id="245"/>
      <w:bookmarkStart w:id="246" w:name="_Toc184314412"/>
      <w:bookmarkEnd w:id="246"/>
      <w:bookmarkStart w:id="247" w:name="_Toc184310318"/>
      <w:bookmarkEnd w:id="247"/>
      <w:bookmarkStart w:id="248" w:name="_Toc184313297"/>
      <w:bookmarkEnd w:id="248"/>
      <w:bookmarkStart w:id="249" w:name="_Toc184310306"/>
      <w:bookmarkEnd w:id="249"/>
      <w:bookmarkStart w:id="250" w:name="_Toc184313273"/>
      <w:bookmarkEnd w:id="250"/>
      <w:bookmarkStart w:id="251" w:name="_Toc184310288"/>
      <w:bookmarkEnd w:id="251"/>
      <w:bookmarkStart w:id="252" w:name="_Toc184313298"/>
      <w:bookmarkEnd w:id="252"/>
      <w:bookmarkStart w:id="253" w:name="_Toc184308043"/>
      <w:bookmarkEnd w:id="253"/>
      <w:bookmarkStart w:id="254" w:name="_Toc184312119"/>
      <w:bookmarkEnd w:id="254"/>
      <w:bookmarkStart w:id="255" w:name="_Toc184313250"/>
      <w:bookmarkEnd w:id="255"/>
      <w:bookmarkStart w:id="256" w:name="_Toc184313301"/>
      <w:bookmarkEnd w:id="256"/>
      <w:bookmarkStart w:id="257" w:name="_Toc184312070"/>
      <w:bookmarkEnd w:id="257"/>
      <w:bookmarkStart w:id="258" w:name="_Toc184308092"/>
      <w:bookmarkEnd w:id="258"/>
      <w:bookmarkStart w:id="259" w:name="_Toc184312085"/>
      <w:bookmarkEnd w:id="259"/>
      <w:bookmarkStart w:id="260" w:name="_Toc184308098"/>
      <w:bookmarkEnd w:id="260"/>
      <w:bookmarkStart w:id="261" w:name="_Toc184314471"/>
      <w:bookmarkEnd w:id="261"/>
      <w:bookmarkStart w:id="262" w:name="_Toc184308059"/>
      <w:bookmarkEnd w:id="262"/>
      <w:bookmarkStart w:id="263" w:name="_Toc184314455"/>
      <w:bookmarkEnd w:id="263"/>
      <w:bookmarkStart w:id="264" w:name="_Toc184314459"/>
      <w:bookmarkEnd w:id="264"/>
      <w:bookmarkStart w:id="265" w:name="_Toc184308044"/>
      <w:bookmarkEnd w:id="265"/>
      <w:bookmarkStart w:id="266" w:name="_Toc184312127"/>
      <w:bookmarkEnd w:id="266"/>
      <w:bookmarkStart w:id="267" w:name="_Toc184312082"/>
      <w:bookmarkEnd w:id="267"/>
      <w:bookmarkStart w:id="268" w:name="_Toc184310334"/>
      <w:bookmarkEnd w:id="268"/>
      <w:bookmarkStart w:id="269" w:name="_Toc184314416"/>
      <w:bookmarkEnd w:id="269"/>
      <w:bookmarkStart w:id="270" w:name="_Toc184314461"/>
      <w:bookmarkEnd w:id="270"/>
      <w:bookmarkStart w:id="271" w:name="_Toc184308040"/>
      <w:bookmarkEnd w:id="271"/>
      <w:bookmarkStart w:id="272" w:name="_Toc184313267"/>
      <w:bookmarkEnd w:id="272"/>
      <w:bookmarkStart w:id="273" w:name="_Toc184310278"/>
      <w:bookmarkEnd w:id="273"/>
      <w:bookmarkStart w:id="274" w:name="_Toc184314449"/>
      <w:bookmarkEnd w:id="274"/>
      <w:bookmarkStart w:id="275" w:name="_Toc184313244"/>
      <w:bookmarkEnd w:id="275"/>
      <w:bookmarkStart w:id="276" w:name="_Toc184312132"/>
      <w:bookmarkEnd w:id="276"/>
      <w:bookmarkStart w:id="277" w:name="_Toc184313295"/>
      <w:bookmarkEnd w:id="277"/>
      <w:bookmarkStart w:id="278" w:name="_Toc184314472"/>
      <w:bookmarkEnd w:id="278"/>
      <w:bookmarkStart w:id="279" w:name="_Toc184310332"/>
      <w:bookmarkEnd w:id="279"/>
      <w:bookmarkStart w:id="280" w:name="_Toc184314446"/>
      <w:bookmarkEnd w:id="280"/>
      <w:bookmarkStart w:id="281" w:name="_Toc184308065"/>
      <w:bookmarkEnd w:id="281"/>
      <w:bookmarkStart w:id="282" w:name="_Toc184312097"/>
      <w:bookmarkEnd w:id="282"/>
      <w:bookmarkStart w:id="283" w:name="_Toc184314422"/>
      <w:bookmarkEnd w:id="283"/>
      <w:bookmarkStart w:id="284" w:name="_Toc184308070"/>
      <w:bookmarkEnd w:id="284"/>
      <w:bookmarkStart w:id="285" w:name="_Toc184314458"/>
      <w:bookmarkEnd w:id="285"/>
      <w:bookmarkStart w:id="286" w:name="_Toc184308078"/>
      <w:bookmarkEnd w:id="286"/>
      <w:bookmarkStart w:id="287" w:name="_Toc184314450"/>
      <w:bookmarkEnd w:id="287"/>
      <w:bookmarkStart w:id="288" w:name="_Toc184313308"/>
      <w:bookmarkEnd w:id="288"/>
      <w:bookmarkStart w:id="289" w:name="_Toc184308073"/>
      <w:bookmarkEnd w:id="289"/>
      <w:bookmarkStart w:id="290" w:name="_Toc184308081"/>
      <w:bookmarkEnd w:id="290"/>
      <w:bookmarkStart w:id="291" w:name="_Toc184313278"/>
      <w:bookmarkEnd w:id="291"/>
      <w:bookmarkStart w:id="292" w:name="_Toc184308075"/>
      <w:bookmarkEnd w:id="292"/>
      <w:bookmarkStart w:id="293" w:name="_Toc184310273"/>
      <w:bookmarkEnd w:id="293"/>
      <w:bookmarkStart w:id="294" w:name="_Toc184312123"/>
      <w:bookmarkEnd w:id="294"/>
      <w:bookmarkStart w:id="295" w:name="_Toc184314430"/>
      <w:bookmarkEnd w:id="295"/>
      <w:bookmarkStart w:id="296" w:name="_Toc184313262"/>
      <w:bookmarkEnd w:id="296"/>
      <w:bookmarkStart w:id="297" w:name="_Toc184308082"/>
      <w:bookmarkEnd w:id="297"/>
      <w:bookmarkStart w:id="298" w:name="_Toc184310275"/>
      <w:bookmarkEnd w:id="298"/>
      <w:bookmarkStart w:id="299" w:name="_Toc184308039"/>
      <w:bookmarkEnd w:id="299"/>
      <w:bookmarkStart w:id="300" w:name="_Toc184314437"/>
      <w:bookmarkEnd w:id="300"/>
      <w:bookmarkStart w:id="301" w:name="_Toc184314432"/>
      <w:bookmarkEnd w:id="301"/>
      <w:bookmarkStart w:id="302" w:name="_Toc184310293"/>
      <w:bookmarkEnd w:id="302"/>
      <w:bookmarkStart w:id="303" w:name="_Toc184308086"/>
      <w:bookmarkEnd w:id="303"/>
      <w:bookmarkStart w:id="304" w:name="_Toc184310319"/>
      <w:bookmarkEnd w:id="304"/>
      <w:bookmarkStart w:id="305" w:name="_Toc184313287"/>
      <w:bookmarkEnd w:id="305"/>
      <w:bookmarkStart w:id="306" w:name="_Toc184308085"/>
      <w:bookmarkEnd w:id="306"/>
      <w:bookmarkStart w:id="307" w:name="_Toc184310276"/>
      <w:bookmarkEnd w:id="307"/>
      <w:bookmarkStart w:id="308" w:name="_Toc184310302"/>
      <w:bookmarkEnd w:id="308"/>
      <w:bookmarkStart w:id="309" w:name="_Toc184314444"/>
      <w:bookmarkEnd w:id="309"/>
      <w:bookmarkStart w:id="310" w:name="_Toc184310342"/>
      <w:bookmarkEnd w:id="310"/>
      <w:bookmarkStart w:id="311" w:name="_Toc184314468"/>
      <w:bookmarkEnd w:id="311"/>
      <w:bookmarkStart w:id="312" w:name="_Toc184310327"/>
      <w:bookmarkEnd w:id="312"/>
      <w:bookmarkStart w:id="313" w:name="_Toc184308063"/>
      <w:bookmarkEnd w:id="313"/>
      <w:bookmarkStart w:id="314" w:name="_Toc184308105"/>
      <w:bookmarkEnd w:id="314"/>
      <w:bookmarkStart w:id="315" w:name="_Toc184312128"/>
      <w:bookmarkEnd w:id="315"/>
      <w:bookmarkStart w:id="316" w:name="_Toc184308101"/>
      <w:bookmarkEnd w:id="316"/>
      <w:bookmarkStart w:id="317" w:name="_Toc184310313"/>
      <w:bookmarkEnd w:id="317"/>
      <w:bookmarkStart w:id="318" w:name="_Toc184310317"/>
      <w:bookmarkEnd w:id="318"/>
      <w:bookmarkStart w:id="319" w:name="_Toc184312096"/>
      <w:bookmarkEnd w:id="319"/>
      <w:bookmarkStart w:id="320" w:name="_Toc184314419"/>
      <w:bookmarkEnd w:id="320"/>
      <w:bookmarkStart w:id="321" w:name="_Toc184314428"/>
      <w:bookmarkEnd w:id="321"/>
      <w:bookmarkStart w:id="322" w:name="_Toc184314463"/>
      <w:bookmarkEnd w:id="322"/>
      <w:bookmarkStart w:id="323" w:name="_Toc184314476"/>
      <w:bookmarkEnd w:id="323"/>
      <w:bookmarkStart w:id="324" w:name="_Toc184313307"/>
      <w:bookmarkEnd w:id="324"/>
      <w:bookmarkStart w:id="325" w:name="_Toc184312124"/>
      <w:bookmarkEnd w:id="325"/>
      <w:bookmarkStart w:id="326" w:name="_Toc184310336"/>
      <w:bookmarkEnd w:id="326"/>
      <w:bookmarkStart w:id="327" w:name="_Toc184310321"/>
      <w:bookmarkEnd w:id="327"/>
      <w:bookmarkStart w:id="328" w:name="_Toc184313275"/>
      <w:bookmarkEnd w:id="328"/>
      <w:bookmarkStart w:id="329" w:name="_Toc184310281"/>
      <w:bookmarkEnd w:id="329"/>
      <w:bookmarkStart w:id="330" w:name="_Toc184312090"/>
      <w:bookmarkEnd w:id="330"/>
      <w:bookmarkStart w:id="331" w:name="_Toc184308036"/>
      <w:bookmarkEnd w:id="331"/>
      <w:bookmarkStart w:id="332" w:name="_Toc184310344"/>
      <w:bookmarkEnd w:id="332"/>
      <w:bookmarkStart w:id="333" w:name="_Toc184312102"/>
      <w:bookmarkEnd w:id="333"/>
      <w:bookmarkStart w:id="334" w:name="_Toc184310294"/>
      <w:bookmarkEnd w:id="334"/>
      <w:bookmarkStart w:id="335" w:name="_Toc184313261"/>
      <w:bookmarkEnd w:id="335"/>
      <w:bookmarkStart w:id="336" w:name="_Toc184313260"/>
      <w:bookmarkEnd w:id="336"/>
      <w:bookmarkStart w:id="337" w:name="_Toc184313240"/>
      <w:bookmarkEnd w:id="337"/>
      <w:bookmarkStart w:id="338" w:name="_Toc184310307"/>
      <w:bookmarkEnd w:id="338"/>
      <w:bookmarkStart w:id="339" w:name="_Toc184312120"/>
      <w:bookmarkEnd w:id="339"/>
      <w:bookmarkStart w:id="340" w:name="_Toc184308056"/>
      <w:bookmarkEnd w:id="340"/>
      <w:bookmarkStart w:id="341" w:name="_Toc184313277"/>
      <w:bookmarkEnd w:id="341"/>
      <w:bookmarkStart w:id="342" w:name="_Toc184312109"/>
      <w:bookmarkEnd w:id="342"/>
      <w:bookmarkStart w:id="343" w:name="_Toc184310287"/>
      <w:bookmarkEnd w:id="343"/>
      <w:bookmarkStart w:id="344" w:name="_Toc184314441"/>
      <w:bookmarkEnd w:id="344"/>
      <w:bookmarkStart w:id="345" w:name="_Toc184310312"/>
      <w:bookmarkEnd w:id="345"/>
      <w:bookmarkStart w:id="346" w:name="_Toc184313243"/>
      <w:bookmarkEnd w:id="346"/>
      <w:bookmarkStart w:id="347" w:name="_Toc184314433"/>
      <w:bookmarkEnd w:id="347"/>
      <w:bookmarkStart w:id="348" w:name="_Toc184312113"/>
      <w:bookmarkEnd w:id="348"/>
      <w:bookmarkStart w:id="349" w:name="_Toc184308055"/>
      <w:bookmarkEnd w:id="349"/>
      <w:bookmarkStart w:id="350" w:name="_Toc184314473"/>
      <w:bookmarkEnd w:id="350"/>
      <w:bookmarkStart w:id="351" w:name="_Toc184312115"/>
      <w:bookmarkEnd w:id="351"/>
      <w:bookmarkStart w:id="352" w:name="_Toc184310320"/>
      <w:bookmarkEnd w:id="352"/>
      <w:bookmarkStart w:id="353" w:name="_Toc184313238"/>
      <w:bookmarkEnd w:id="353"/>
      <w:bookmarkStart w:id="354" w:name="_Toc184314414"/>
      <w:bookmarkEnd w:id="354"/>
      <w:bookmarkStart w:id="355" w:name="_Toc184308058"/>
      <w:bookmarkEnd w:id="355"/>
      <w:bookmarkStart w:id="356" w:name="_Toc184312103"/>
      <w:bookmarkEnd w:id="356"/>
      <w:bookmarkStart w:id="357" w:name="_Toc184312088"/>
      <w:bookmarkEnd w:id="357"/>
      <w:bookmarkStart w:id="358" w:name="_Toc184313247"/>
      <w:bookmarkEnd w:id="358"/>
      <w:bookmarkStart w:id="359" w:name="_Toc184314460"/>
      <w:bookmarkEnd w:id="359"/>
      <w:bookmarkStart w:id="360" w:name="_Toc184313249"/>
      <w:bookmarkEnd w:id="360"/>
      <w:bookmarkStart w:id="361" w:name="_Toc184313288"/>
      <w:bookmarkEnd w:id="361"/>
      <w:bookmarkStart w:id="362" w:name="_Toc184312091"/>
      <w:bookmarkEnd w:id="362"/>
      <w:bookmarkStart w:id="363" w:name="_Toc184308103"/>
      <w:bookmarkEnd w:id="363"/>
      <w:bookmarkStart w:id="364" w:name="_Toc184308052"/>
      <w:bookmarkEnd w:id="364"/>
      <w:bookmarkStart w:id="365" w:name="_Toc184313245"/>
      <w:bookmarkEnd w:id="365"/>
      <w:bookmarkStart w:id="366" w:name="_Toc184313257"/>
      <w:bookmarkEnd w:id="366"/>
      <w:bookmarkStart w:id="367" w:name="_Toc184310325"/>
      <w:bookmarkEnd w:id="367"/>
      <w:bookmarkStart w:id="368" w:name="_Toc184313241"/>
      <w:bookmarkEnd w:id="368"/>
      <w:bookmarkStart w:id="369" w:name="_Toc184314425"/>
      <w:bookmarkEnd w:id="369"/>
      <w:bookmarkStart w:id="370" w:name="_Toc184308048"/>
      <w:bookmarkEnd w:id="370"/>
      <w:bookmarkStart w:id="371" w:name="_Toc184308084"/>
      <w:bookmarkEnd w:id="371"/>
      <w:bookmarkStart w:id="372" w:name="_Toc184313252"/>
      <w:bookmarkEnd w:id="372"/>
      <w:bookmarkStart w:id="373" w:name="_Toc184308077"/>
      <w:bookmarkEnd w:id="373"/>
      <w:bookmarkStart w:id="374" w:name="_Toc184310324"/>
      <w:bookmarkEnd w:id="374"/>
      <w:bookmarkStart w:id="375" w:name="_Toc184313305"/>
      <w:bookmarkEnd w:id="375"/>
      <w:bookmarkStart w:id="376" w:name="_Toc184310304"/>
      <w:bookmarkEnd w:id="376"/>
      <w:bookmarkStart w:id="377" w:name="_Toc184312087"/>
      <w:bookmarkEnd w:id="377"/>
      <w:bookmarkStart w:id="378" w:name="_Toc184313264"/>
      <w:bookmarkEnd w:id="378"/>
      <w:bookmarkStart w:id="379" w:name="_Toc184312069"/>
      <w:bookmarkEnd w:id="379"/>
      <w:bookmarkStart w:id="380" w:name="_Toc184308066"/>
      <w:bookmarkEnd w:id="380"/>
      <w:bookmarkStart w:id="381" w:name="_Toc184310272"/>
      <w:bookmarkEnd w:id="381"/>
      <w:bookmarkStart w:id="382" w:name="_Toc184310277"/>
      <w:bookmarkEnd w:id="382"/>
      <w:bookmarkStart w:id="383" w:name="_Toc184313303"/>
      <w:bookmarkEnd w:id="383"/>
      <w:bookmarkStart w:id="384" w:name="_Toc184308062"/>
      <w:bookmarkEnd w:id="384"/>
      <w:bookmarkStart w:id="385" w:name="_Toc184308057"/>
      <w:bookmarkEnd w:id="385"/>
      <w:bookmarkStart w:id="386" w:name="_Toc184308094"/>
      <w:bookmarkEnd w:id="386"/>
      <w:bookmarkStart w:id="387" w:name="_Toc184308090"/>
      <w:bookmarkEnd w:id="387"/>
      <w:bookmarkStart w:id="388" w:name="_Toc184312099"/>
      <w:bookmarkEnd w:id="388"/>
      <w:bookmarkStart w:id="389" w:name="_Toc184313286"/>
      <w:bookmarkEnd w:id="389"/>
      <w:bookmarkStart w:id="390" w:name="_Toc184308097"/>
      <w:bookmarkEnd w:id="390"/>
      <w:bookmarkStart w:id="391" w:name="_Toc184312137"/>
      <w:bookmarkEnd w:id="391"/>
      <w:bookmarkStart w:id="392" w:name="_Toc184312118"/>
      <w:bookmarkEnd w:id="392"/>
      <w:bookmarkStart w:id="393" w:name="_Toc184312125"/>
      <w:bookmarkEnd w:id="393"/>
      <w:bookmarkStart w:id="394" w:name="_Toc184312074"/>
      <w:bookmarkEnd w:id="394"/>
      <w:bookmarkStart w:id="395" w:name="_Toc184308041"/>
      <w:bookmarkEnd w:id="395"/>
      <w:bookmarkStart w:id="396" w:name="_Toc184314478"/>
      <w:bookmarkEnd w:id="396"/>
      <w:bookmarkStart w:id="397" w:name="_Toc184313274"/>
      <w:bookmarkEnd w:id="397"/>
      <w:r>
        <w:rPr>
          <w:rFonts w:hint="eastAsia" w:ascii="宋体" w:hAnsi="宋体" w:cs="宋体"/>
          <w:b/>
          <w:sz w:val="36"/>
          <w:szCs w:val="36"/>
        </w:rPr>
        <w:t>评标办法</w:t>
      </w: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评标办法前附表</w:t>
      </w:r>
    </w:p>
    <w:tbl>
      <w:tblPr>
        <w:tblStyle w:val="64"/>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913"/>
        <w:gridCol w:w="800"/>
        <w:gridCol w:w="1025"/>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trPr>
        <w:tc>
          <w:tcPr>
            <w:tcW w:w="7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3913"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评标标准</w:t>
            </w:r>
          </w:p>
        </w:tc>
        <w:tc>
          <w:tcPr>
            <w:tcW w:w="800"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最高分值</w:t>
            </w:r>
          </w:p>
        </w:tc>
        <w:tc>
          <w:tcPr>
            <w:tcW w:w="1025" w:type="dxa"/>
            <w:vAlign w:val="center"/>
          </w:tcPr>
          <w:p>
            <w:pPr>
              <w:snapToGrid w:val="0"/>
              <w:spacing w:line="360" w:lineRule="auto"/>
              <w:jc w:val="center"/>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主观分/客观分属性</w:t>
            </w:r>
          </w:p>
        </w:tc>
        <w:tc>
          <w:tcPr>
            <w:tcW w:w="2162" w:type="dxa"/>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3913" w:type="dxa"/>
            <w:shd w:val="clear" w:color="auto" w:fill="auto"/>
            <w:vAlign w:val="center"/>
          </w:tcPr>
          <w:p>
            <w:pPr>
              <w:spacing w:line="276" w:lineRule="auto"/>
              <w:rPr>
                <w:rFonts w:hint="eastAsia" w:ascii="仿宋" w:hAnsi="仿宋" w:eastAsia="仿宋"/>
                <w:sz w:val="24"/>
                <w:lang w:val="en-US" w:eastAsia="zh-CN"/>
              </w:rPr>
            </w:pPr>
            <w:r>
              <w:rPr>
                <w:rFonts w:hint="eastAsia" w:ascii="仿宋" w:hAnsi="仿宋" w:eastAsia="仿宋"/>
                <w:sz w:val="24"/>
              </w:rPr>
              <w:t>投标人自202</w:t>
            </w:r>
            <w:r>
              <w:rPr>
                <w:rFonts w:hint="eastAsia" w:ascii="仿宋" w:hAnsi="仿宋" w:eastAsia="仿宋"/>
                <w:sz w:val="24"/>
                <w:lang w:val="en-US" w:eastAsia="zh-CN"/>
              </w:rPr>
              <w:t>2</w:t>
            </w:r>
            <w:r>
              <w:rPr>
                <w:rFonts w:hint="eastAsia" w:ascii="仿宋" w:hAnsi="仿宋" w:eastAsia="仿宋"/>
                <w:sz w:val="24"/>
              </w:rPr>
              <w:t>年1月1日以来（时间以合同签订时间为准），具有类似项目成功业绩的，每个业绩得1分，最多得</w:t>
            </w:r>
            <w:r>
              <w:rPr>
                <w:rFonts w:hint="eastAsia" w:ascii="仿宋" w:hAnsi="仿宋" w:eastAsia="仿宋"/>
                <w:sz w:val="24"/>
                <w:lang w:val="en-US" w:eastAsia="zh-CN"/>
              </w:rPr>
              <w:t>3</w:t>
            </w:r>
            <w:r>
              <w:rPr>
                <w:rFonts w:hint="eastAsia" w:ascii="仿宋" w:hAnsi="仿宋" w:eastAsia="仿宋"/>
                <w:sz w:val="24"/>
              </w:rPr>
              <w:t>分，没有的不得分。证明材料：同时提供合同和销售发票，复印件加盖投标人电子签名或公章。</w:t>
            </w:r>
          </w:p>
        </w:tc>
        <w:tc>
          <w:tcPr>
            <w:tcW w:w="800" w:type="dxa"/>
            <w:shd w:val="clear" w:color="auto" w:fill="auto"/>
            <w:vAlign w:val="center"/>
          </w:tcPr>
          <w:p>
            <w:pPr>
              <w:spacing w:line="276" w:lineRule="auto"/>
              <w:jc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3</w:t>
            </w:r>
          </w:p>
        </w:tc>
        <w:tc>
          <w:tcPr>
            <w:tcW w:w="1025" w:type="dxa"/>
            <w:shd w:val="clear" w:color="auto" w:fill="auto"/>
            <w:vAlign w:val="center"/>
          </w:tcPr>
          <w:p>
            <w:pPr>
              <w:snapToGrid w:val="0"/>
              <w:spacing w:line="360" w:lineRule="auto"/>
              <w:jc w:val="center"/>
              <w:rPr>
                <w:rFonts w:ascii="仿宋" w:hAnsi="仿宋" w:eastAsia="仿宋" w:cs="仿宋_GB2312"/>
                <w:kern w:val="2"/>
                <w:sz w:val="24"/>
                <w:szCs w:val="24"/>
                <w:lang w:val="en-US" w:eastAsia="zh-CN" w:bidi="ar-SA"/>
              </w:rPr>
            </w:pPr>
            <w:r>
              <w:rPr>
                <w:rFonts w:hint="eastAsia" w:ascii="仿宋" w:hAnsi="仿宋" w:eastAsia="仿宋" w:cs="仿宋_GB2312"/>
                <w:sz w:val="24"/>
              </w:rPr>
              <w:t>客观分</w:t>
            </w:r>
          </w:p>
        </w:tc>
        <w:tc>
          <w:tcPr>
            <w:tcW w:w="2162"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7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3913" w:type="dxa"/>
            <w:shd w:val="clear" w:color="auto" w:fill="auto"/>
            <w:vAlign w:val="center"/>
          </w:tcPr>
          <w:p>
            <w:pPr>
              <w:spacing w:line="276" w:lineRule="auto"/>
              <w:rPr>
                <w:rFonts w:hint="eastAsia" w:ascii="仿宋" w:hAnsi="仿宋" w:eastAsia="仿宋"/>
                <w:sz w:val="24"/>
                <w:lang w:val="en-US" w:eastAsia="zh-CN"/>
              </w:rPr>
            </w:pPr>
            <w:r>
              <w:rPr>
                <w:rFonts w:hint="eastAsia" w:ascii="仿宋" w:hAnsi="仿宋" w:eastAsia="仿宋"/>
                <w:sz w:val="24"/>
              </w:rPr>
              <w:t>投标技术、商务响应与采购要求的符合性评价：所投产品具体配置表、技术参数及偏离情况：产品参数配置等所有指标均满足的得基本分4</w:t>
            </w:r>
            <w:r>
              <w:rPr>
                <w:rFonts w:hint="eastAsia" w:ascii="仿宋" w:hAnsi="仿宋" w:eastAsia="仿宋"/>
                <w:sz w:val="24"/>
                <w:lang w:val="en-US" w:eastAsia="zh-CN"/>
              </w:rPr>
              <w:t>8</w:t>
            </w:r>
            <w:r>
              <w:rPr>
                <w:rFonts w:hint="eastAsia" w:ascii="仿宋" w:hAnsi="仿宋" w:eastAsia="仿宋"/>
                <w:sz w:val="24"/>
              </w:rPr>
              <w:t>分；用★标出的技术指标低于采购需求（负偏离）的每项扣4分，未加★的技术指标低于采购需求（负偏离）的每项扣1分，扣完为止。</w:t>
            </w:r>
          </w:p>
        </w:tc>
        <w:tc>
          <w:tcPr>
            <w:tcW w:w="800" w:type="dxa"/>
            <w:shd w:val="clear" w:color="auto" w:fill="auto"/>
            <w:vAlign w:val="top"/>
          </w:tcPr>
          <w:p>
            <w:pPr>
              <w:spacing w:line="360" w:lineRule="auto"/>
              <w:ind w:firstLine="2" w:firstLineChars="1"/>
              <w:jc w:val="center"/>
              <w:outlineLvl w:val="0"/>
              <w:rPr>
                <w:rFonts w:ascii="仿宋" w:hAnsi="仿宋" w:eastAsia="仿宋" w:cs="仿宋_GB2312"/>
                <w:sz w:val="24"/>
              </w:rPr>
            </w:pPr>
          </w:p>
          <w:p>
            <w:pPr>
              <w:spacing w:line="360" w:lineRule="auto"/>
              <w:ind w:firstLine="2" w:firstLineChars="1"/>
              <w:jc w:val="center"/>
              <w:outlineLvl w:val="0"/>
              <w:rPr>
                <w:rFonts w:ascii="仿宋" w:hAnsi="仿宋" w:eastAsia="仿宋" w:cs="仿宋_GB2312"/>
                <w:sz w:val="24"/>
              </w:rPr>
            </w:pPr>
          </w:p>
          <w:p>
            <w:pPr>
              <w:spacing w:line="360" w:lineRule="auto"/>
              <w:ind w:firstLine="2" w:firstLineChars="1"/>
              <w:jc w:val="center"/>
              <w:outlineLvl w:val="0"/>
              <w:rPr>
                <w:rFonts w:ascii="仿宋" w:hAnsi="仿宋" w:eastAsia="仿宋" w:cs="仿宋_GB2312"/>
                <w:sz w:val="24"/>
              </w:rPr>
            </w:pPr>
          </w:p>
          <w:p>
            <w:pPr>
              <w:spacing w:line="360" w:lineRule="auto"/>
              <w:jc w:val="center"/>
              <w:outlineLvl w:val="0"/>
              <w:rPr>
                <w:rFonts w:hint="eastAsia" w:ascii="仿宋" w:hAnsi="仿宋" w:eastAsia="仿宋" w:cs="仿宋_GB2312"/>
                <w:kern w:val="2"/>
                <w:sz w:val="24"/>
                <w:szCs w:val="24"/>
                <w:lang w:val="en-US" w:eastAsia="zh-CN" w:bidi="ar-SA"/>
              </w:rPr>
            </w:pPr>
            <w:r>
              <w:rPr>
                <w:rFonts w:hint="eastAsia" w:ascii="仿宋" w:hAnsi="仿宋" w:eastAsia="仿宋" w:cs="仿宋_GB2312"/>
                <w:sz w:val="24"/>
              </w:rPr>
              <w:t>4</w:t>
            </w:r>
            <w:r>
              <w:rPr>
                <w:rFonts w:hint="eastAsia" w:ascii="仿宋" w:hAnsi="仿宋" w:eastAsia="仿宋" w:cs="仿宋_GB2312"/>
                <w:sz w:val="24"/>
                <w:lang w:val="en-US" w:eastAsia="zh-CN"/>
              </w:rPr>
              <w:t>6</w:t>
            </w:r>
          </w:p>
        </w:tc>
        <w:tc>
          <w:tcPr>
            <w:tcW w:w="1025" w:type="dxa"/>
            <w:shd w:val="clear" w:color="auto" w:fill="auto"/>
            <w:vAlign w:val="center"/>
          </w:tcPr>
          <w:p>
            <w:pPr>
              <w:snapToGrid w:val="0"/>
              <w:spacing w:line="360" w:lineRule="auto"/>
              <w:jc w:val="center"/>
              <w:rPr>
                <w:rFonts w:ascii="仿宋" w:hAnsi="仿宋" w:eastAsia="仿宋" w:cs="仿宋_GB2312"/>
                <w:kern w:val="2"/>
                <w:sz w:val="24"/>
                <w:szCs w:val="24"/>
                <w:lang w:val="en-US" w:eastAsia="zh-CN" w:bidi="ar-SA"/>
              </w:rPr>
            </w:pPr>
            <w:r>
              <w:rPr>
                <w:rFonts w:hint="eastAsia" w:ascii="仿宋" w:hAnsi="仿宋" w:eastAsia="仿宋" w:cs="仿宋_GB2312"/>
                <w:sz w:val="24"/>
              </w:rPr>
              <w:t>客观分</w:t>
            </w:r>
          </w:p>
        </w:tc>
        <w:tc>
          <w:tcPr>
            <w:tcW w:w="2162"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3</w:t>
            </w:r>
          </w:p>
        </w:tc>
        <w:tc>
          <w:tcPr>
            <w:tcW w:w="3913" w:type="dxa"/>
            <w:vAlign w:val="center"/>
          </w:tcPr>
          <w:p>
            <w:pPr>
              <w:spacing w:line="276" w:lineRule="auto"/>
              <w:jc w:val="left"/>
              <w:rPr>
                <w:rFonts w:ascii="仿宋" w:hAnsi="仿宋" w:eastAsia="仿宋"/>
                <w:b/>
                <w:sz w:val="24"/>
              </w:rPr>
            </w:pPr>
            <w:r>
              <w:rPr>
                <w:rFonts w:hint="eastAsia" w:ascii="仿宋" w:hAnsi="仿宋" w:eastAsia="仿宋"/>
                <w:b/>
                <w:sz w:val="24"/>
              </w:rPr>
              <w:t>投标产品技术参数（指标）、功能或配置先进性评价：</w:t>
            </w:r>
          </w:p>
          <w:p>
            <w:pPr>
              <w:spacing w:line="276" w:lineRule="auto"/>
              <w:jc w:val="left"/>
              <w:rPr>
                <w:rFonts w:ascii="仿宋" w:hAnsi="仿宋" w:eastAsia="仿宋"/>
                <w:sz w:val="24"/>
              </w:rPr>
            </w:pPr>
            <w:r>
              <w:rPr>
                <w:rFonts w:hint="eastAsia" w:ascii="仿宋" w:hAnsi="仿宋" w:eastAsia="仿宋"/>
                <w:b/>
                <w:sz w:val="24"/>
              </w:rPr>
              <w:t>WLTC综合油耗，投标产品技术参数（指标）、功能或配置实质性优于采购要求且具有实用性的（综合油耗低为优）。</w:t>
            </w:r>
          </w:p>
          <w:p>
            <w:pPr>
              <w:spacing w:line="276" w:lineRule="auto"/>
              <w:jc w:val="left"/>
              <w:rPr>
                <w:rFonts w:hint="eastAsia" w:ascii="仿宋" w:hAnsi="仿宋" w:eastAsia="仿宋"/>
                <w:b/>
                <w:sz w:val="24"/>
              </w:rPr>
            </w:pPr>
            <w:r>
              <w:rPr>
                <w:rFonts w:hint="eastAsia" w:ascii="仿宋" w:hAnsi="仿宋" w:eastAsia="仿宋"/>
                <w:b/>
                <w:sz w:val="24"/>
              </w:rPr>
              <w:t>标项（一）</w:t>
            </w:r>
          </w:p>
          <w:p>
            <w:pPr>
              <w:spacing w:line="276" w:lineRule="auto"/>
              <w:jc w:val="left"/>
              <w:rPr>
                <w:rFonts w:hint="eastAsia" w:ascii="仿宋" w:hAnsi="仿宋" w:eastAsia="仿宋"/>
                <w:sz w:val="24"/>
              </w:rPr>
            </w:pPr>
            <w:r>
              <w:rPr>
                <w:rFonts w:hint="eastAsia" w:ascii="仿宋" w:hAnsi="仿宋" w:eastAsia="仿宋"/>
                <w:sz w:val="24"/>
              </w:rPr>
              <w:t>1）</w:t>
            </w:r>
            <w:r>
              <w:rPr>
                <w:rFonts w:hint="eastAsia" w:ascii="仿宋" w:hAnsi="仿宋" w:eastAsia="仿宋"/>
                <w:sz w:val="24"/>
                <w:lang w:eastAsia="zh-CN"/>
              </w:rPr>
              <w:t>、</w:t>
            </w:r>
            <w:r>
              <w:rPr>
                <w:rFonts w:hint="eastAsia" w:ascii="仿宋" w:hAnsi="仿宋" w:eastAsia="仿宋"/>
                <w:sz w:val="24"/>
                <w:lang w:val="en-US" w:eastAsia="zh-CN"/>
              </w:rPr>
              <w:t>7.3</w:t>
            </w:r>
            <w:r>
              <w:rPr>
                <w:rFonts w:hint="eastAsia" w:ascii="仿宋" w:hAnsi="仿宋" w:eastAsia="仿宋"/>
                <w:sz w:val="24"/>
              </w:rPr>
              <w:t>L＜WLTC综合油耗≤7.5L，</w:t>
            </w:r>
            <w:r>
              <w:rPr>
                <w:rFonts w:hint="eastAsia" w:ascii="仿宋" w:hAnsi="仿宋" w:eastAsia="仿宋"/>
                <w:sz w:val="24"/>
                <w:lang w:val="en-US" w:eastAsia="zh-CN"/>
              </w:rPr>
              <w:t>得2</w:t>
            </w:r>
            <w:r>
              <w:rPr>
                <w:rFonts w:hint="eastAsia" w:ascii="仿宋" w:hAnsi="仿宋" w:eastAsia="仿宋"/>
                <w:sz w:val="24"/>
              </w:rPr>
              <w:t>分；</w:t>
            </w:r>
          </w:p>
          <w:p>
            <w:pPr>
              <w:numPr>
                <w:ilvl w:val="0"/>
                <w:numId w:val="3"/>
              </w:numPr>
              <w:spacing w:line="276" w:lineRule="auto"/>
              <w:jc w:val="left"/>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WLTC综合油耗≤7</w:t>
            </w:r>
            <w:r>
              <w:rPr>
                <w:rFonts w:hint="eastAsia" w:ascii="仿宋" w:hAnsi="仿宋" w:eastAsia="仿宋"/>
                <w:sz w:val="24"/>
                <w:lang w:val="en-US" w:eastAsia="zh-CN"/>
              </w:rPr>
              <w:t>.3</w:t>
            </w:r>
            <w:r>
              <w:rPr>
                <w:rFonts w:hint="eastAsia" w:ascii="仿宋" w:hAnsi="仿宋" w:eastAsia="仿宋"/>
                <w:sz w:val="24"/>
              </w:rPr>
              <w:t>L</w:t>
            </w:r>
            <w:r>
              <w:rPr>
                <w:rFonts w:hint="eastAsia" w:ascii="仿宋" w:hAnsi="仿宋" w:eastAsia="仿宋"/>
                <w:sz w:val="24"/>
                <w:lang w:eastAsia="zh-CN"/>
              </w:rPr>
              <w:t>，</w:t>
            </w:r>
            <w:r>
              <w:rPr>
                <w:rFonts w:hint="eastAsia" w:ascii="仿宋" w:hAnsi="仿宋" w:eastAsia="仿宋"/>
                <w:sz w:val="24"/>
                <w:lang w:val="en-US" w:eastAsia="zh-CN"/>
              </w:rPr>
              <w:t>得4分；本项</w:t>
            </w:r>
            <w:r>
              <w:rPr>
                <w:rFonts w:hint="eastAsia" w:ascii="仿宋" w:hAnsi="仿宋" w:eastAsia="仿宋"/>
                <w:sz w:val="24"/>
              </w:rPr>
              <w:t>最多得</w:t>
            </w:r>
            <w:r>
              <w:rPr>
                <w:rFonts w:hint="eastAsia" w:ascii="仿宋" w:hAnsi="仿宋" w:eastAsia="仿宋"/>
                <w:sz w:val="24"/>
                <w:lang w:val="en-US" w:eastAsia="zh-CN"/>
              </w:rPr>
              <w:t>4</w:t>
            </w:r>
            <w:r>
              <w:rPr>
                <w:rFonts w:hint="eastAsia" w:ascii="仿宋" w:hAnsi="仿宋" w:eastAsia="仿宋"/>
                <w:sz w:val="24"/>
              </w:rPr>
              <w:t>分。</w:t>
            </w:r>
          </w:p>
          <w:p>
            <w:pPr>
              <w:spacing w:line="276" w:lineRule="auto"/>
              <w:jc w:val="left"/>
              <w:rPr>
                <w:rFonts w:ascii="仿宋" w:hAnsi="仿宋" w:eastAsia="仿宋"/>
                <w:b/>
                <w:sz w:val="24"/>
              </w:rPr>
            </w:pPr>
            <w:r>
              <w:rPr>
                <w:rFonts w:hint="eastAsia" w:ascii="仿宋" w:hAnsi="仿宋" w:eastAsia="仿宋"/>
                <w:b/>
                <w:sz w:val="24"/>
              </w:rPr>
              <w:t>标项（二）</w:t>
            </w:r>
          </w:p>
          <w:p>
            <w:pPr>
              <w:spacing w:line="276" w:lineRule="auto"/>
              <w:jc w:val="left"/>
              <w:rPr>
                <w:rFonts w:ascii="仿宋" w:hAnsi="仿宋" w:eastAsia="仿宋"/>
                <w:sz w:val="24"/>
              </w:rPr>
            </w:pPr>
            <w:r>
              <w:rPr>
                <w:rFonts w:hint="eastAsia" w:ascii="仿宋" w:hAnsi="仿宋" w:eastAsia="仿宋"/>
                <w:sz w:val="24"/>
              </w:rPr>
              <w:t>1）</w:t>
            </w:r>
            <w:r>
              <w:rPr>
                <w:rFonts w:hint="eastAsia" w:ascii="仿宋" w:hAnsi="仿宋" w:eastAsia="仿宋"/>
                <w:sz w:val="24"/>
                <w:lang w:eastAsia="zh-CN"/>
              </w:rPr>
              <w:t>、</w:t>
            </w:r>
            <w:r>
              <w:rPr>
                <w:rFonts w:hint="eastAsia" w:ascii="仿宋" w:hAnsi="仿宋" w:eastAsia="仿宋"/>
                <w:sz w:val="24"/>
                <w:lang w:val="en-US" w:eastAsia="zh-CN"/>
              </w:rPr>
              <w:t>5.6</w:t>
            </w:r>
            <w:r>
              <w:rPr>
                <w:rFonts w:hint="eastAsia" w:ascii="仿宋" w:hAnsi="仿宋" w:eastAsia="仿宋"/>
                <w:sz w:val="24"/>
              </w:rPr>
              <w:t>L＜WLTC综合工况亏电油耗≤6</w:t>
            </w:r>
            <w:r>
              <w:rPr>
                <w:rFonts w:hint="eastAsia" w:ascii="仿宋" w:hAnsi="仿宋" w:eastAsia="仿宋"/>
                <w:sz w:val="24"/>
                <w:lang w:val="en-US" w:eastAsia="zh-CN"/>
              </w:rPr>
              <w:t>.2</w:t>
            </w:r>
            <w:r>
              <w:rPr>
                <w:rFonts w:hint="eastAsia" w:ascii="仿宋" w:hAnsi="仿宋" w:eastAsia="仿宋"/>
                <w:sz w:val="24"/>
              </w:rPr>
              <w:t>L</w:t>
            </w:r>
            <w:r>
              <w:rPr>
                <w:rFonts w:hint="eastAsia" w:ascii="仿宋" w:hAnsi="仿宋" w:eastAsia="仿宋"/>
                <w:sz w:val="24"/>
                <w:lang w:eastAsia="zh-CN"/>
              </w:rPr>
              <w:t>，</w:t>
            </w:r>
            <w:r>
              <w:rPr>
                <w:rFonts w:hint="eastAsia" w:ascii="仿宋" w:hAnsi="仿宋" w:eastAsia="仿宋"/>
                <w:sz w:val="24"/>
                <w:lang w:val="en-US" w:eastAsia="zh-CN"/>
              </w:rPr>
              <w:t>得2分</w:t>
            </w:r>
            <w:r>
              <w:rPr>
                <w:rFonts w:hint="eastAsia" w:ascii="仿宋" w:hAnsi="仿宋" w:eastAsia="仿宋"/>
                <w:sz w:val="24"/>
              </w:rPr>
              <w:t>；</w:t>
            </w:r>
          </w:p>
          <w:p>
            <w:pPr>
              <w:pStyle w:val="61"/>
              <w:ind w:left="0" w:leftChars="0" w:firstLine="0" w:firstLineChars="0"/>
              <w:rPr>
                <w:rFonts w:hint="eastAsia" w:ascii="仿宋" w:hAnsi="仿宋" w:eastAsia="仿宋"/>
                <w:sz w:val="24"/>
              </w:rPr>
            </w:pPr>
            <w:r>
              <w:rPr>
                <w:rFonts w:hint="eastAsia" w:ascii="仿宋" w:hAnsi="仿宋" w:eastAsia="仿宋"/>
                <w:sz w:val="24"/>
              </w:rPr>
              <w:t>2）、WLTC综合工况亏电油耗≤</w:t>
            </w:r>
            <w:r>
              <w:rPr>
                <w:rFonts w:hint="eastAsia" w:ascii="仿宋" w:hAnsi="仿宋" w:eastAsia="仿宋"/>
                <w:sz w:val="24"/>
                <w:lang w:val="en-US" w:eastAsia="zh-CN"/>
              </w:rPr>
              <w:t>5.6</w:t>
            </w:r>
            <w:r>
              <w:rPr>
                <w:rFonts w:hint="eastAsia" w:ascii="仿宋" w:hAnsi="仿宋" w:eastAsia="仿宋"/>
                <w:sz w:val="24"/>
              </w:rPr>
              <w:t>L，</w:t>
            </w:r>
            <w:r>
              <w:rPr>
                <w:rFonts w:hint="eastAsia" w:ascii="仿宋" w:hAnsi="仿宋" w:eastAsia="仿宋"/>
                <w:sz w:val="24"/>
                <w:lang w:val="en-US" w:eastAsia="zh-CN"/>
              </w:rPr>
              <w:t>得4</w:t>
            </w:r>
            <w:r>
              <w:rPr>
                <w:rFonts w:hint="eastAsia" w:ascii="仿宋" w:hAnsi="仿宋" w:eastAsia="仿宋"/>
                <w:sz w:val="24"/>
              </w:rPr>
              <w:t>分；</w:t>
            </w:r>
          </w:p>
          <w:p>
            <w:pPr>
              <w:pStyle w:val="61"/>
              <w:ind w:left="0" w:leftChars="0" w:firstLine="0" w:firstLineChars="0"/>
              <w:rPr>
                <w:rFonts w:hint="eastAsia" w:ascii="仿宋" w:hAnsi="仿宋" w:eastAsia="仿宋"/>
                <w:sz w:val="24"/>
              </w:rPr>
            </w:pPr>
            <w:r>
              <w:rPr>
                <w:rFonts w:hint="eastAsia" w:ascii="仿宋" w:hAnsi="仿宋" w:eastAsia="仿宋"/>
                <w:sz w:val="24"/>
                <w:lang w:val="en-US" w:eastAsia="zh-CN"/>
              </w:rPr>
              <w:t>本项</w:t>
            </w:r>
            <w:r>
              <w:rPr>
                <w:rFonts w:hint="eastAsia" w:ascii="仿宋" w:hAnsi="仿宋" w:eastAsia="仿宋"/>
                <w:sz w:val="24"/>
              </w:rPr>
              <w:t>最多得</w:t>
            </w:r>
            <w:r>
              <w:rPr>
                <w:rFonts w:hint="eastAsia" w:ascii="仿宋" w:hAnsi="仿宋" w:eastAsia="仿宋"/>
                <w:sz w:val="24"/>
                <w:lang w:val="en-US" w:eastAsia="zh-CN"/>
              </w:rPr>
              <w:t>4</w:t>
            </w:r>
            <w:r>
              <w:rPr>
                <w:rFonts w:hint="eastAsia" w:ascii="仿宋" w:hAnsi="仿宋" w:eastAsia="仿宋"/>
                <w:sz w:val="24"/>
              </w:rPr>
              <w:t>分。</w:t>
            </w:r>
          </w:p>
          <w:p>
            <w:pPr>
              <w:spacing w:line="276" w:lineRule="auto"/>
              <w:jc w:val="left"/>
              <w:rPr>
                <w:rFonts w:ascii="仿宋" w:hAnsi="仿宋" w:eastAsia="仿宋"/>
                <w:b/>
                <w:sz w:val="24"/>
              </w:rPr>
            </w:pPr>
            <w:r>
              <w:rPr>
                <w:rFonts w:hint="eastAsia" w:ascii="仿宋" w:hAnsi="仿宋" w:eastAsia="仿宋"/>
                <w:b/>
                <w:sz w:val="24"/>
              </w:rPr>
              <w:t>标项（</w:t>
            </w:r>
            <w:r>
              <w:rPr>
                <w:rFonts w:hint="eastAsia" w:ascii="仿宋" w:hAnsi="仿宋" w:eastAsia="仿宋"/>
                <w:b/>
                <w:sz w:val="24"/>
                <w:lang w:eastAsia="zh-CN"/>
              </w:rPr>
              <w:t>三</w:t>
            </w:r>
            <w:r>
              <w:rPr>
                <w:rFonts w:hint="eastAsia" w:ascii="仿宋" w:hAnsi="仿宋" w:eastAsia="仿宋"/>
                <w:b/>
                <w:sz w:val="24"/>
              </w:rPr>
              <w:t>）</w:t>
            </w:r>
          </w:p>
          <w:p>
            <w:pPr>
              <w:spacing w:line="276" w:lineRule="auto"/>
              <w:jc w:val="left"/>
              <w:rPr>
                <w:rFonts w:ascii="仿宋" w:hAnsi="仿宋" w:eastAsia="仿宋"/>
                <w:sz w:val="24"/>
              </w:rPr>
            </w:pPr>
            <w:r>
              <w:rPr>
                <w:rFonts w:hint="eastAsia" w:ascii="仿宋" w:hAnsi="仿宋" w:eastAsia="仿宋"/>
                <w:sz w:val="24"/>
              </w:rPr>
              <w:t>1）</w:t>
            </w:r>
            <w:r>
              <w:rPr>
                <w:rFonts w:hint="eastAsia" w:ascii="仿宋" w:hAnsi="仿宋" w:eastAsia="仿宋"/>
                <w:sz w:val="24"/>
                <w:lang w:eastAsia="zh-CN"/>
              </w:rPr>
              <w:t>、</w:t>
            </w:r>
            <w:r>
              <w:rPr>
                <w:rFonts w:hint="eastAsia" w:ascii="仿宋" w:hAnsi="仿宋" w:eastAsia="仿宋"/>
                <w:sz w:val="24"/>
                <w:lang w:val="en-US" w:eastAsia="zh-CN"/>
              </w:rPr>
              <w:t>5.6</w:t>
            </w:r>
            <w:r>
              <w:rPr>
                <w:rFonts w:hint="eastAsia" w:ascii="仿宋" w:hAnsi="仿宋" w:eastAsia="仿宋"/>
                <w:sz w:val="24"/>
              </w:rPr>
              <w:t>L＜WLTC综合工况亏电油耗≤6</w:t>
            </w:r>
            <w:r>
              <w:rPr>
                <w:rFonts w:hint="eastAsia" w:ascii="仿宋" w:hAnsi="仿宋" w:eastAsia="仿宋"/>
                <w:sz w:val="24"/>
                <w:lang w:val="en-US" w:eastAsia="zh-CN"/>
              </w:rPr>
              <w:t>.2</w:t>
            </w:r>
            <w:r>
              <w:rPr>
                <w:rFonts w:hint="eastAsia" w:ascii="仿宋" w:hAnsi="仿宋" w:eastAsia="仿宋"/>
                <w:sz w:val="24"/>
              </w:rPr>
              <w:t>L</w:t>
            </w:r>
            <w:r>
              <w:rPr>
                <w:rFonts w:hint="eastAsia" w:ascii="仿宋" w:hAnsi="仿宋" w:eastAsia="仿宋"/>
                <w:sz w:val="24"/>
                <w:lang w:eastAsia="zh-CN"/>
              </w:rPr>
              <w:t>，</w:t>
            </w:r>
            <w:r>
              <w:rPr>
                <w:rFonts w:hint="eastAsia" w:ascii="仿宋" w:hAnsi="仿宋" w:eastAsia="仿宋"/>
                <w:sz w:val="24"/>
                <w:lang w:val="en-US" w:eastAsia="zh-CN"/>
              </w:rPr>
              <w:t>得2分</w:t>
            </w:r>
            <w:r>
              <w:rPr>
                <w:rFonts w:hint="eastAsia" w:ascii="仿宋" w:hAnsi="仿宋" w:eastAsia="仿宋"/>
                <w:sz w:val="24"/>
              </w:rPr>
              <w:t>；</w:t>
            </w:r>
          </w:p>
          <w:p>
            <w:pPr>
              <w:pStyle w:val="61"/>
              <w:ind w:left="0" w:leftChars="0" w:firstLine="0" w:firstLineChars="0"/>
              <w:rPr>
                <w:rFonts w:hint="eastAsia" w:ascii="仿宋" w:hAnsi="仿宋" w:eastAsia="仿宋"/>
                <w:sz w:val="24"/>
              </w:rPr>
            </w:pPr>
            <w:r>
              <w:rPr>
                <w:rFonts w:hint="eastAsia" w:ascii="仿宋" w:hAnsi="仿宋" w:eastAsia="仿宋"/>
                <w:sz w:val="24"/>
              </w:rPr>
              <w:t>2）、WLTC综合工况亏电油耗≤</w:t>
            </w:r>
            <w:r>
              <w:rPr>
                <w:rFonts w:hint="eastAsia" w:ascii="仿宋" w:hAnsi="仿宋" w:eastAsia="仿宋"/>
                <w:sz w:val="24"/>
                <w:lang w:val="en-US" w:eastAsia="zh-CN"/>
              </w:rPr>
              <w:t>5.6</w:t>
            </w:r>
            <w:r>
              <w:rPr>
                <w:rFonts w:hint="eastAsia" w:ascii="仿宋" w:hAnsi="仿宋" w:eastAsia="仿宋"/>
                <w:sz w:val="24"/>
              </w:rPr>
              <w:t>L，</w:t>
            </w:r>
            <w:r>
              <w:rPr>
                <w:rFonts w:hint="eastAsia" w:ascii="仿宋" w:hAnsi="仿宋" w:eastAsia="仿宋"/>
                <w:sz w:val="24"/>
                <w:lang w:val="en-US" w:eastAsia="zh-CN"/>
              </w:rPr>
              <w:t>得4</w:t>
            </w:r>
            <w:r>
              <w:rPr>
                <w:rFonts w:hint="eastAsia" w:ascii="仿宋" w:hAnsi="仿宋" w:eastAsia="仿宋"/>
                <w:sz w:val="24"/>
              </w:rPr>
              <w:t>分；</w:t>
            </w:r>
          </w:p>
          <w:p>
            <w:pPr>
              <w:pStyle w:val="61"/>
              <w:ind w:left="0" w:leftChars="0" w:firstLine="0" w:firstLineChars="0"/>
              <w:rPr>
                <w:rFonts w:hint="eastAsia" w:ascii="仿宋" w:hAnsi="仿宋" w:eastAsia="仿宋"/>
                <w:sz w:val="24"/>
              </w:rPr>
            </w:pPr>
            <w:r>
              <w:rPr>
                <w:rFonts w:hint="eastAsia" w:ascii="仿宋" w:hAnsi="仿宋" w:eastAsia="仿宋"/>
                <w:sz w:val="24"/>
                <w:lang w:val="en-US" w:eastAsia="zh-CN"/>
              </w:rPr>
              <w:t>本项</w:t>
            </w:r>
            <w:r>
              <w:rPr>
                <w:rFonts w:hint="eastAsia" w:ascii="仿宋" w:hAnsi="仿宋" w:eastAsia="仿宋"/>
                <w:sz w:val="24"/>
              </w:rPr>
              <w:t>最多得</w:t>
            </w:r>
            <w:r>
              <w:rPr>
                <w:rFonts w:hint="eastAsia" w:ascii="仿宋" w:hAnsi="仿宋" w:eastAsia="仿宋"/>
                <w:sz w:val="24"/>
                <w:lang w:val="en-US" w:eastAsia="zh-CN"/>
              </w:rPr>
              <w:t>4</w:t>
            </w:r>
            <w:r>
              <w:rPr>
                <w:rFonts w:hint="eastAsia" w:ascii="仿宋" w:hAnsi="仿宋" w:eastAsia="仿宋"/>
                <w:sz w:val="24"/>
              </w:rPr>
              <w:t>分。</w:t>
            </w:r>
          </w:p>
          <w:p>
            <w:pPr>
              <w:spacing w:line="276" w:lineRule="auto"/>
              <w:jc w:val="left"/>
              <w:rPr>
                <w:rFonts w:ascii="仿宋" w:hAnsi="仿宋" w:eastAsia="仿宋" w:cs="Arial"/>
                <w:sz w:val="24"/>
              </w:rPr>
            </w:pPr>
            <w:r>
              <w:rPr>
                <w:rFonts w:hint="eastAsia" w:ascii="仿宋" w:hAnsi="仿宋" w:eastAsia="仿宋"/>
                <w:sz w:val="24"/>
              </w:rPr>
              <w:t>备注：优于情况（正偏离）应当提供第三方出具的机动车安全运行强制性项目检验报告，或其他有认证资格的检测机构出具的检验报告予以证明，否则不得分。</w:t>
            </w:r>
          </w:p>
        </w:tc>
        <w:tc>
          <w:tcPr>
            <w:tcW w:w="800" w:type="dxa"/>
            <w:vAlign w:val="center"/>
          </w:tcPr>
          <w:p>
            <w:pPr>
              <w:spacing w:line="276" w:lineRule="auto"/>
              <w:jc w:val="center"/>
              <w:rPr>
                <w:rFonts w:hint="eastAsia" w:ascii="仿宋" w:hAnsi="仿宋" w:eastAsia="仿宋" w:cs="Arial"/>
                <w:sz w:val="24"/>
                <w:lang w:eastAsia="zh-CN"/>
              </w:rPr>
            </w:pPr>
            <w:r>
              <w:rPr>
                <w:rFonts w:hint="eastAsia" w:ascii="仿宋" w:hAnsi="仿宋" w:eastAsia="仿宋" w:cs="Arial"/>
                <w:sz w:val="24"/>
                <w:lang w:val="en-US" w:eastAsia="zh-CN"/>
              </w:rPr>
              <w:t>4</w:t>
            </w:r>
          </w:p>
        </w:tc>
        <w:tc>
          <w:tcPr>
            <w:tcW w:w="1025"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lang w:val="en-US" w:eastAsia="zh-CN"/>
              </w:rPr>
              <w:t>客观</w:t>
            </w:r>
            <w:r>
              <w:rPr>
                <w:rFonts w:hint="eastAsia" w:ascii="仿宋" w:hAnsi="仿宋" w:eastAsia="仿宋" w:cs="仿宋_GB2312"/>
                <w:sz w:val="24"/>
              </w:rPr>
              <w:t>分</w:t>
            </w:r>
          </w:p>
        </w:tc>
        <w:tc>
          <w:tcPr>
            <w:tcW w:w="2162"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lang w:val="en-US" w:eastAsia="zh-CN"/>
              </w:rPr>
              <w:t>4</w:t>
            </w:r>
          </w:p>
        </w:tc>
        <w:tc>
          <w:tcPr>
            <w:tcW w:w="3913" w:type="dxa"/>
            <w:vAlign w:val="center"/>
          </w:tcPr>
          <w:p>
            <w:pPr>
              <w:spacing w:line="276" w:lineRule="auto"/>
              <w:jc w:val="left"/>
              <w:rPr>
                <w:rFonts w:ascii="仿宋" w:hAnsi="仿宋" w:eastAsia="仿宋" w:cs="Arial"/>
                <w:color w:val="auto"/>
                <w:sz w:val="24"/>
              </w:rPr>
            </w:pPr>
            <w:r>
              <w:rPr>
                <w:rFonts w:hint="eastAsia" w:ascii="仿宋" w:hAnsi="仿宋" w:eastAsia="仿宋" w:cs="Arial"/>
                <w:color w:val="auto"/>
                <w:sz w:val="24"/>
              </w:rPr>
              <w:t>投标产品环保性评价：</w:t>
            </w:r>
          </w:p>
          <w:p>
            <w:pPr>
              <w:spacing w:line="276" w:lineRule="auto"/>
              <w:jc w:val="left"/>
              <w:rPr>
                <w:rFonts w:hint="eastAsia" w:ascii="仿宋" w:hAnsi="仿宋" w:eastAsia="仿宋"/>
                <w:sz w:val="24"/>
              </w:rPr>
            </w:pPr>
            <w:r>
              <w:rPr>
                <w:rFonts w:hint="eastAsia" w:ascii="仿宋" w:hAnsi="仿宋" w:eastAsia="仿宋"/>
                <w:sz w:val="24"/>
              </w:rPr>
              <w:t>（1）投标人或产品制造商具有ISO9001质量管理体系、ISO14001环境管理体系、ISO45001职业健康安全管理体系（提供证书彩色扫描件），每提供1个得1分，共3分，不提供不得分；</w:t>
            </w:r>
          </w:p>
          <w:p>
            <w:pPr>
              <w:spacing w:line="276" w:lineRule="auto"/>
              <w:jc w:val="left"/>
              <w:rPr>
                <w:rFonts w:ascii="仿宋" w:hAnsi="仿宋" w:eastAsia="仿宋" w:cs="Arial"/>
                <w:sz w:val="24"/>
              </w:rPr>
            </w:pPr>
            <w:r>
              <w:rPr>
                <w:rFonts w:hint="eastAsia" w:ascii="仿宋" w:hAnsi="仿宋" w:eastAsia="仿宋"/>
                <w:sz w:val="24"/>
              </w:rPr>
              <w:t>（2）所投产品获得有效的环境标志产品认证的，得2分，投标人需提供证书扫描件，不提供不得分。</w:t>
            </w:r>
          </w:p>
        </w:tc>
        <w:tc>
          <w:tcPr>
            <w:tcW w:w="800" w:type="dxa"/>
            <w:vAlign w:val="center"/>
          </w:tcPr>
          <w:p>
            <w:pPr>
              <w:spacing w:line="276" w:lineRule="auto"/>
              <w:jc w:val="center"/>
              <w:rPr>
                <w:rFonts w:ascii="仿宋" w:hAnsi="仿宋" w:eastAsia="仿宋" w:cs="Arial"/>
                <w:sz w:val="24"/>
              </w:rPr>
            </w:pPr>
            <w:r>
              <w:rPr>
                <w:rFonts w:hint="eastAsia" w:ascii="仿宋" w:hAnsi="仿宋" w:eastAsia="仿宋" w:cs="Arial"/>
                <w:sz w:val="24"/>
              </w:rPr>
              <w:t>5</w:t>
            </w:r>
          </w:p>
        </w:tc>
        <w:tc>
          <w:tcPr>
            <w:tcW w:w="1025"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客观分</w:t>
            </w:r>
          </w:p>
        </w:tc>
        <w:tc>
          <w:tcPr>
            <w:tcW w:w="2162"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5</w:t>
            </w:r>
          </w:p>
        </w:tc>
        <w:tc>
          <w:tcPr>
            <w:tcW w:w="3913" w:type="dxa"/>
            <w:vAlign w:val="center"/>
          </w:tcPr>
          <w:p>
            <w:pPr>
              <w:spacing w:line="276" w:lineRule="auto"/>
              <w:jc w:val="left"/>
              <w:rPr>
                <w:rFonts w:hint="eastAsia" w:ascii="仿宋_GB2312" w:hAnsi="仿宋" w:eastAsia="仿宋_GB2312"/>
                <w:b/>
                <w:sz w:val="24"/>
                <w:lang w:eastAsia="zh-CN"/>
              </w:rPr>
            </w:pPr>
            <w:r>
              <w:rPr>
                <w:rFonts w:hint="eastAsia" w:ascii="仿宋_GB2312" w:hAnsi="仿宋" w:eastAsia="仿宋_GB2312"/>
                <w:b/>
                <w:sz w:val="24"/>
              </w:rPr>
              <w:t>质保期</w:t>
            </w:r>
            <w:r>
              <w:rPr>
                <w:rFonts w:hint="eastAsia" w:ascii="仿宋_GB2312" w:hAnsi="仿宋" w:eastAsia="仿宋_GB2312"/>
                <w:b/>
                <w:sz w:val="24"/>
                <w:lang w:eastAsia="zh-CN"/>
              </w:rPr>
              <w:t>：</w:t>
            </w:r>
          </w:p>
          <w:p>
            <w:pPr>
              <w:spacing w:line="276" w:lineRule="auto"/>
              <w:jc w:val="left"/>
              <w:rPr>
                <w:rFonts w:hint="eastAsia" w:ascii="仿宋" w:hAnsi="仿宋" w:eastAsia="仿宋"/>
                <w:b/>
                <w:sz w:val="24"/>
              </w:rPr>
            </w:pPr>
            <w:r>
              <w:rPr>
                <w:rFonts w:hint="eastAsia" w:ascii="仿宋" w:hAnsi="仿宋" w:eastAsia="仿宋"/>
                <w:b/>
                <w:sz w:val="24"/>
              </w:rPr>
              <w:t>标项（一）</w:t>
            </w:r>
          </w:p>
          <w:p>
            <w:pPr>
              <w:spacing w:line="276" w:lineRule="auto"/>
              <w:ind w:firstLine="480" w:firstLineChars="200"/>
              <w:jc w:val="left"/>
              <w:rPr>
                <w:rFonts w:hint="eastAsia" w:ascii="仿宋" w:hAnsi="仿宋" w:eastAsia="仿宋"/>
                <w:b w:val="0"/>
                <w:color w:val="auto"/>
                <w:sz w:val="24"/>
                <w:lang w:val="en-US" w:eastAsia="zh-CN"/>
              </w:rPr>
            </w:pPr>
            <w:r>
              <w:rPr>
                <w:rFonts w:hint="eastAsia" w:ascii="仿宋" w:hAnsi="仿宋" w:eastAsia="仿宋" w:cs="Arial"/>
                <w:b w:val="0"/>
                <w:color w:val="auto"/>
                <w:sz w:val="24"/>
                <w:lang w:eastAsia="zh-CN"/>
              </w:rPr>
              <w:t>质保期</w:t>
            </w:r>
            <w:r>
              <w:rPr>
                <w:rFonts w:hint="eastAsia" w:ascii="仿宋" w:hAnsi="仿宋" w:eastAsia="仿宋"/>
                <w:b w:val="0"/>
                <w:color w:val="auto"/>
                <w:sz w:val="24"/>
                <w:lang w:eastAsia="zh-CN"/>
              </w:rPr>
              <w:t>高于</w:t>
            </w:r>
            <w:r>
              <w:rPr>
                <w:rFonts w:hint="eastAsia" w:ascii="仿宋" w:hAnsi="仿宋" w:eastAsia="仿宋"/>
                <w:b w:val="0"/>
                <w:color w:val="auto"/>
                <w:sz w:val="24"/>
                <w:lang w:val="en-US" w:eastAsia="zh-CN"/>
              </w:rPr>
              <w:t>3年，每增加6个 月，加1分，最高得4分</w:t>
            </w:r>
          </w:p>
          <w:p>
            <w:pPr>
              <w:pStyle w:val="2"/>
              <w:rPr>
                <w:rFonts w:hint="eastAsia" w:ascii="仿宋" w:eastAsia="仿宋" w:cs="Arial"/>
                <w:b w:val="0"/>
                <w:bCs w:val="0"/>
                <w:color w:val="auto"/>
                <w:sz w:val="24"/>
                <w:szCs w:val="24"/>
                <w:lang w:val="en-US" w:eastAsia="zh-CN"/>
              </w:rPr>
            </w:pPr>
            <w:r>
              <w:rPr>
                <w:rFonts w:hint="eastAsia" w:ascii="仿宋" w:eastAsia="仿宋" w:cs="Arial"/>
                <w:b w:val="0"/>
                <w:bCs w:val="0"/>
                <w:color w:val="auto"/>
                <w:sz w:val="24"/>
                <w:szCs w:val="24"/>
                <w:lang w:val="en-US" w:eastAsia="zh-CN"/>
              </w:rPr>
              <w:t>标项（二）</w:t>
            </w:r>
          </w:p>
          <w:p>
            <w:pPr>
              <w:spacing w:line="276" w:lineRule="auto"/>
              <w:ind w:firstLine="480" w:firstLineChars="200"/>
              <w:rPr>
                <w:rFonts w:hint="eastAsia" w:ascii="仿宋" w:hAnsi="仿宋" w:eastAsia="仿宋" w:cs="Arial"/>
                <w:b w:val="0"/>
                <w:color w:val="auto"/>
                <w:sz w:val="24"/>
                <w:lang w:val="en-US" w:eastAsia="zh-CN"/>
              </w:rPr>
            </w:pPr>
            <w:r>
              <w:rPr>
                <w:rFonts w:hint="eastAsia" w:ascii="仿宋" w:hAnsi="仿宋" w:eastAsia="仿宋" w:cs="Arial"/>
                <w:b w:val="0"/>
                <w:color w:val="auto"/>
                <w:sz w:val="24"/>
                <w:lang w:val="en-US" w:eastAsia="zh-CN"/>
              </w:rPr>
              <w:t>质保期高于3年，每增加1年，加1分，最高得4分</w:t>
            </w:r>
          </w:p>
          <w:p>
            <w:pPr>
              <w:pStyle w:val="2"/>
              <w:rPr>
                <w:rFonts w:hint="eastAsia" w:ascii="仿宋" w:eastAsia="仿宋" w:cs="Arial"/>
                <w:b w:val="0"/>
                <w:bCs w:val="0"/>
                <w:color w:val="auto"/>
                <w:sz w:val="24"/>
                <w:szCs w:val="24"/>
                <w:lang w:val="en-US" w:eastAsia="zh-CN"/>
              </w:rPr>
            </w:pPr>
            <w:r>
              <w:rPr>
                <w:rFonts w:hint="eastAsia" w:ascii="仿宋" w:eastAsia="仿宋" w:cs="Arial"/>
                <w:b w:val="0"/>
                <w:bCs w:val="0"/>
                <w:color w:val="auto"/>
                <w:sz w:val="24"/>
                <w:szCs w:val="24"/>
                <w:lang w:val="en-US" w:eastAsia="zh-CN"/>
              </w:rPr>
              <w:t>标项（三）</w:t>
            </w:r>
          </w:p>
          <w:p>
            <w:pPr>
              <w:pStyle w:val="2"/>
              <w:ind w:left="433" w:leftChars="202" w:hanging="9" w:hangingChars="4"/>
              <w:rPr>
                <w:rFonts w:hint="eastAsia" w:ascii="仿宋" w:eastAsia="仿宋" w:cs="Arial"/>
                <w:b w:val="0"/>
                <w:bCs w:val="0"/>
                <w:color w:val="auto"/>
                <w:sz w:val="24"/>
                <w:szCs w:val="24"/>
                <w:lang w:val="en-US" w:eastAsia="zh-CN"/>
              </w:rPr>
            </w:pPr>
            <w:r>
              <w:rPr>
                <w:rFonts w:hint="eastAsia" w:ascii="仿宋" w:eastAsia="仿宋" w:cs="Arial"/>
                <w:b w:val="0"/>
                <w:bCs w:val="0"/>
                <w:color w:val="auto"/>
                <w:sz w:val="24"/>
                <w:szCs w:val="24"/>
                <w:lang w:val="en-US" w:eastAsia="zh-CN"/>
              </w:rPr>
              <w:t>质保期高于3年，每增加1年，</w:t>
            </w:r>
          </w:p>
          <w:p>
            <w:pPr>
              <w:pStyle w:val="2"/>
              <w:ind w:left="0" w:leftChars="0" w:firstLine="0" w:firstLineChars="0"/>
              <w:rPr>
                <w:rFonts w:hint="eastAsia"/>
                <w:lang w:eastAsia="zh-CN"/>
              </w:rPr>
            </w:pPr>
            <w:r>
              <w:rPr>
                <w:rFonts w:hint="eastAsia" w:ascii="仿宋" w:eastAsia="仿宋" w:cs="Arial"/>
                <w:b w:val="0"/>
                <w:bCs w:val="0"/>
                <w:color w:val="auto"/>
                <w:sz w:val="24"/>
                <w:szCs w:val="24"/>
                <w:lang w:val="en-US" w:eastAsia="zh-CN"/>
              </w:rPr>
              <w:t>加1分，最高得4分</w:t>
            </w:r>
          </w:p>
        </w:tc>
        <w:tc>
          <w:tcPr>
            <w:tcW w:w="800" w:type="dxa"/>
            <w:vAlign w:val="center"/>
          </w:tcPr>
          <w:p>
            <w:pPr>
              <w:spacing w:line="276" w:lineRule="auto"/>
              <w:jc w:val="center"/>
              <w:rPr>
                <w:rFonts w:hint="eastAsia" w:ascii="仿宋" w:hAnsi="仿宋" w:eastAsia="仿宋" w:cs="Arial"/>
                <w:sz w:val="24"/>
                <w:lang w:val="en-US" w:eastAsia="zh-CN"/>
              </w:rPr>
            </w:pPr>
            <w:r>
              <w:rPr>
                <w:rFonts w:hint="eastAsia" w:ascii="仿宋" w:hAnsi="仿宋" w:eastAsia="仿宋" w:cs="Arial"/>
                <w:sz w:val="24"/>
                <w:lang w:val="en-US" w:eastAsia="zh-CN"/>
              </w:rPr>
              <w:t>4</w:t>
            </w:r>
          </w:p>
        </w:tc>
        <w:tc>
          <w:tcPr>
            <w:tcW w:w="1025" w:type="dxa"/>
            <w:vAlign w:val="center"/>
          </w:tcPr>
          <w:p>
            <w:pPr>
              <w:snapToGrid w:val="0"/>
              <w:spacing w:line="360" w:lineRule="auto"/>
              <w:jc w:val="center"/>
              <w:rPr>
                <w:rFonts w:hint="eastAsia" w:ascii="仿宋" w:hAnsi="仿宋" w:eastAsia="仿宋" w:cs="仿宋_GB2312"/>
                <w:sz w:val="24"/>
                <w:lang w:eastAsia="zh-CN"/>
              </w:rPr>
            </w:pPr>
            <w:r>
              <w:rPr>
                <w:rFonts w:hint="eastAsia" w:ascii="仿宋" w:hAnsi="仿宋" w:eastAsia="仿宋" w:cs="仿宋_GB2312"/>
                <w:sz w:val="24"/>
                <w:lang w:eastAsia="zh-CN"/>
              </w:rPr>
              <w:t>客观分</w:t>
            </w:r>
          </w:p>
        </w:tc>
        <w:tc>
          <w:tcPr>
            <w:tcW w:w="2162"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3913" w:type="dxa"/>
            <w:vAlign w:val="center"/>
          </w:tcPr>
          <w:p>
            <w:pPr>
              <w:spacing w:line="276" w:lineRule="auto"/>
              <w:rPr>
                <w:rFonts w:ascii="仿宋" w:hAnsi="仿宋" w:eastAsia="仿宋"/>
                <w:sz w:val="24"/>
              </w:rPr>
            </w:pPr>
            <w:r>
              <w:rPr>
                <w:rFonts w:hint="eastAsia" w:ascii="仿宋" w:hAnsi="仿宋" w:eastAsia="仿宋"/>
                <w:sz w:val="24"/>
              </w:rPr>
              <w:t>质量保证方案及措施评价。投标人应该根据采购需求，提出详细的产品质量保证方案及相关措施。</w:t>
            </w:r>
            <w:r>
              <w:rPr>
                <w:rFonts w:hint="eastAsia" w:ascii="仿宋" w:hAnsi="仿宋" w:eastAsia="仿宋" w:cs="Times New Roman"/>
                <w:i w:val="0"/>
                <w:iCs w:val="0"/>
                <w:caps w:val="0"/>
                <w:color w:val="auto"/>
                <w:spacing w:val="0"/>
                <w:sz w:val="24"/>
                <w:szCs w:val="24"/>
                <w:shd w:val="clear" w:fill="auto"/>
              </w:rPr>
              <w:t>评委在评审时根据投标人提交的每项内容的完整性、科学性、时效性、规范性、合理性进行评价给分(3分、2分、1分、0分)</w:t>
            </w:r>
          </w:p>
        </w:tc>
        <w:tc>
          <w:tcPr>
            <w:tcW w:w="800" w:type="dxa"/>
            <w:vAlign w:val="center"/>
          </w:tcPr>
          <w:p>
            <w:pPr>
              <w:spacing w:line="276" w:lineRule="auto"/>
              <w:jc w:val="center"/>
              <w:rPr>
                <w:rFonts w:ascii="仿宋" w:hAnsi="仿宋" w:eastAsia="仿宋"/>
                <w:sz w:val="24"/>
              </w:rPr>
            </w:pPr>
            <w:r>
              <w:rPr>
                <w:rFonts w:hint="eastAsia" w:ascii="仿宋" w:hAnsi="仿宋" w:eastAsia="仿宋"/>
                <w:sz w:val="24"/>
              </w:rPr>
              <w:t>3</w:t>
            </w:r>
          </w:p>
        </w:tc>
        <w:tc>
          <w:tcPr>
            <w:tcW w:w="1025"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主观分</w:t>
            </w:r>
          </w:p>
        </w:tc>
        <w:tc>
          <w:tcPr>
            <w:tcW w:w="2162"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3913" w:type="dxa"/>
            <w:vAlign w:val="center"/>
          </w:tcPr>
          <w:p>
            <w:pPr>
              <w:spacing w:line="276" w:lineRule="auto"/>
              <w:rPr>
                <w:rFonts w:ascii="仿宋" w:hAnsi="仿宋" w:eastAsia="仿宋" w:cs="Arial"/>
                <w:sz w:val="24"/>
              </w:rPr>
            </w:pPr>
            <w:r>
              <w:rPr>
                <w:rFonts w:hint="eastAsia" w:ascii="仿宋" w:hAnsi="仿宋" w:eastAsia="仿宋" w:cs="Arial"/>
                <w:sz w:val="24"/>
                <w:lang w:val="en-US" w:eastAsia="zh-CN"/>
              </w:rPr>
              <w:t>提出</w:t>
            </w:r>
            <w:r>
              <w:rPr>
                <w:rFonts w:hint="eastAsia" w:ascii="仿宋" w:hAnsi="仿宋" w:eastAsia="仿宋" w:cs="Arial"/>
                <w:sz w:val="24"/>
              </w:rPr>
              <w:t>售后服务方案与承诺的合理性评价。</w:t>
            </w:r>
            <w:r>
              <w:rPr>
                <w:rFonts w:hint="eastAsia" w:ascii="仿宋" w:hAnsi="仿宋" w:eastAsia="仿宋" w:cs="Arial"/>
                <w:i w:val="0"/>
                <w:iCs w:val="0"/>
                <w:caps w:val="0"/>
                <w:color w:val="auto"/>
                <w:spacing w:val="0"/>
                <w:sz w:val="24"/>
                <w:szCs w:val="24"/>
                <w:shd w:val="clear" w:fill="auto"/>
              </w:rPr>
              <w:t>评委在评审时根据投标人提交的每项内容的完整性、科学性、时效性、规范性、合理性进行评价给分(</w:t>
            </w:r>
            <w:r>
              <w:rPr>
                <w:rFonts w:hint="eastAsia" w:ascii="仿宋" w:hAnsi="仿宋" w:eastAsia="仿宋" w:cs="Arial"/>
                <w:i w:val="0"/>
                <w:iCs w:val="0"/>
                <w:caps w:val="0"/>
                <w:color w:val="auto"/>
                <w:spacing w:val="0"/>
                <w:sz w:val="24"/>
                <w:szCs w:val="24"/>
                <w:shd w:val="clear" w:fill="auto"/>
                <w:lang w:val="en-US" w:eastAsia="zh-CN"/>
              </w:rPr>
              <w:t>5分、4分、</w:t>
            </w:r>
            <w:r>
              <w:rPr>
                <w:rFonts w:hint="eastAsia" w:ascii="仿宋" w:hAnsi="仿宋" w:eastAsia="仿宋" w:cs="Arial"/>
                <w:i w:val="0"/>
                <w:iCs w:val="0"/>
                <w:caps w:val="0"/>
                <w:color w:val="auto"/>
                <w:spacing w:val="0"/>
                <w:sz w:val="24"/>
                <w:szCs w:val="24"/>
                <w:shd w:val="clear" w:fill="auto"/>
              </w:rPr>
              <w:t>3分、2分、1分、0分)</w:t>
            </w:r>
          </w:p>
        </w:tc>
        <w:tc>
          <w:tcPr>
            <w:tcW w:w="800" w:type="dxa"/>
            <w:vAlign w:val="center"/>
          </w:tcPr>
          <w:p>
            <w:pPr>
              <w:spacing w:line="276" w:lineRule="auto"/>
              <w:jc w:val="center"/>
              <w:rPr>
                <w:rFonts w:ascii="仿宋" w:hAnsi="仿宋" w:eastAsia="仿宋"/>
                <w:sz w:val="24"/>
              </w:rPr>
            </w:pPr>
            <w:r>
              <w:rPr>
                <w:rFonts w:ascii="仿宋" w:hAnsi="仿宋" w:eastAsia="仿宋"/>
                <w:sz w:val="24"/>
              </w:rPr>
              <w:t>5</w:t>
            </w:r>
          </w:p>
        </w:tc>
        <w:tc>
          <w:tcPr>
            <w:tcW w:w="1025" w:type="dxa"/>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主观分</w:t>
            </w:r>
          </w:p>
        </w:tc>
        <w:tc>
          <w:tcPr>
            <w:tcW w:w="2162" w:type="dxa"/>
          </w:tcPr>
          <w:p>
            <w:pPr>
              <w:snapToGrid w:val="0"/>
              <w:spacing w:line="360" w:lineRule="auto"/>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3913" w:type="dxa"/>
          </w:tcPr>
          <w:p>
            <w:pPr>
              <w:spacing w:line="276" w:lineRule="auto"/>
              <w:rPr>
                <w:rFonts w:hint="eastAsia" w:ascii="仿宋" w:hAnsi="仿宋" w:eastAsia="仿宋" w:cs="Arial"/>
                <w:sz w:val="24"/>
              </w:rPr>
            </w:pPr>
            <w:r>
              <w:rPr>
                <w:rFonts w:hint="eastAsia" w:cs="仿宋_GB2312" w:asciiTheme="minorEastAsia" w:hAnsiTheme="minorEastAsia" w:eastAsiaTheme="minorEastAsia"/>
                <w:color w:val="auto"/>
                <w:sz w:val="24"/>
                <w:highlight w:val="none"/>
              </w:rPr>
              <w:t>有</w:t>
            </w:r>
            <w:r>
              <w:rPr>
                <w:rFonts w:hint="eastAsia" w:ascii="仿宋" w:hAnsi="仿宋" w:eastAsia="仿宋" w:cs="Arial"/>
                <w:sz w:val="24"/>
              </w:rPr>
              <w:t>效投标报价的最低价作为评标基准价，其最低报价为满分；按［投标报价得分=（评标基准价/投标报价）*权重］的计算公式计算。</w:t>
            </w:r>
          </w:p>
          <w:p>
            <w:pPr>
              <w:spacing w:line="276" w:lineRule="auto"/>
              <w:rPr>
                <w:rFonts w:hint="eastAsia" w:ascii="仿宋" w:hAnsi="仿宋" w:eastAsia="仿宋" w:cs="Arial"/>
                <w:sz w:val="24"/>
              </w:rPr>
            </w:pPr>
            <w:r>
              <w:rPr>
                <w:rFonts w:hint="eastAsia" w:ascii="仿宋" w:hAnsi="仿宋" w:eastAsia="仿宋" w:cs="Arial"/>
                <w:sz w:val="24"/>
              </w:rPr>
              <w:t>评标过程中，不得去掉报价中的最高报价和最低报价。</w:t>
            </w:r>
          </w:p>
          <w:p>
            <w:pPr>
              <w:spacing w:line="276" w:lineRule="auto"/>
              <w:rPr>
                <w:rFonts w:asciiTheme="minorEastAsia" w:hAnsiTheme="minorEastAsia" w:eastAsiaTheme="minorEastAsia"/>
                <w:sz w:val="24"/>
              </w:rPr>
            </w:pPr>
            <w:r>
              <w:rPr>
                <w:rFonts w:hint="eastAsia" w:ascii="仿宋" w:hAnsi="仿宋" w:eastAsia="仿宋" w:cs="Arial"/>
                <w:sz w:val="24"/>
              </w:rPr>
              <w:t>对于未预留份额专门面向中小企业的政府采购货物项目，以及预留份额政府采购货</w:t>
            </w:r>
            <w:bookmarkStart w:id="415" w:name="_GoBack"/>
            <w:r>
              <w:rPr>
                <w:rFonts w:hint="eastAsia" w:ascii="仿宋" w:hAnsi="仿宋" w:eastAsia="仿宋" w:cs="Arial"/>
                <w:sz w:val="24"/>
              </w:rPr>
              <w:t>物项目中的非预留部分标项，对小型和微型企业的投标报价给予</w:t>
            </w:r>
            <w:r>
              <w:rPr>
                <w:rFonts w:hint="eastAsia" w:ascii="仿宋" w:hAnsi="仿宋" w:eastAsia="仿宋" w:cs="Arial"/>
                <w:sz w:val="24"/>
                <w:lang w:val="en-US" w:eastAsia="zh-CN"/>
              </w:rPr>
              <w:t>10</w:t>
            </w:r>
            <w:r>
              <w:rPr>
                <w:rFonts w:hint="eastAsia" w:ascii="仿宋" w:hAnsi="仿宋" w:eastAsia="仿宋" w:cs="Arial"/>
                <w:sz w:val="24"/>
              </w:rPr>
              <w:t>%的扣除</w:t>
            </w:r>
            <w:bookmarkEnd w:id="415"/>
            <w:r>
              <w:rPr>
                <w:rFonts w:hint="eastAsia" w:ascii="仿宋" w:hAnsi="仿宋" w:eastAsia="仿宋" w:cs="Arial"/>
                <w:sz w:val="24"/>
              </w:rPr>
              <w:t>，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Arial"/>
                <w:sz w:val="24"/>
                <w:lang w:val="en-US" w:eastAsia="zh-CN"/>
              </w:rPr>
              <w:t>4</w:t>
            </w:r>
            <w:r>
              <w:rPr>
                <w:rFonts w:hint="eastAsia" w:ascii="仿宋" w:hAnsi="仿宋" w:eastAsia="仿宋" w:cs="Arial"/>
                <w:sz w:val="24"/>
              </w:rPr>
              <w:t>%的扣除，用扣除后的价格参加评审。</w:t>
            </w:r>
          </w:p>
        </w:tc>
        <w:tc>
          <w:tcPr>
            <w:tcW w:w="800" w:type="dxa"/>
            <w:vAlign w:val="center"/>
          </w:tcPr>
          <w:p>
            <w:pPr>
              <w:spacing w:line="360" w:lineRule="auto"/>
              <w:jc w:val="center"/>
              <w:outlineLvl w:val="0"/>
              <w:rPr>
                <w:rFonts w:cs="仿宋_GB2312" w:asciiTheme="minorEastAsia" w:hAnsiTheme="minorEastAsia" w:eastAsiaTheme="minorEastAsia"/>
                <w:sz w:val="24"/>
              </w:rPr>
            </w:pPr>
            <w:r>
              <w:rPr>
                <w:rFonts w:hint="eastAsia" w:cs="仿宋_GB2312" w:asciiTheme="minorEastAsia" w:hAnsiTheme="minorEastAsia" w:eastAsiaTheme="minorEastAsia"/>
                <w:sz w:val="24"/>
              </w:rPr>
              <w:t>30</w:t>
            </w:r>
          </w:p>
        </w:tc>
        <w:tc>
          <w:tcPr>
            <w:tcW w:w="1025" w:type="dxa"/>
            <w:vAlign w:val="center"/>
          </w:tcPr>
          <w:p>
            <w:pPr>
              <w:spacing w:line="360" w:lineRule="auto"/>
              <w:jc w:val="center"/>
              <w:outlineLvl w:val="0"/>
              <w:rPr>
                <w:rFonts w:cs="仿宋_GB2312" w:asciiTheme="minorEastAsia" w:hAnsiTheme="minorEastAsia" w:eastAsiaTheme="minorEastAsia"/>
                <w:sz w:val="24"/>
              </w:rPr>
            </w:pPr>
          </w:p>
        </w:tc>
        <w:tc>
          <w:tcPr>
            <w:tcW w:w="2162" w:type="dxa"/>
            <w:vAlign w:val="center"/>
          </w:tcPr>
          <w:p>
            <w:pPr>
              <w:spacing w:line="360" w:lineRule="auto"/>
              <w:jc w:val="center"/>
              <w:outlineLvl w:val="0"/>
              <w:rPr>
                <w:rFonts w:cs="仿宋_GB2312" w:asciiTheme="minorEastAsia" w:hAnsiTheme="minorEastAsia" w:eastAsiaTheme="minorEastAsia"/>
                <w:sz w:val="24"/>
              </w:rPr>
            </w:pPr>
            <w:r>
              <w:rPr>
                <w:rFonts w:cs="仿宋_GB2312" w:asciiTheme="minorEastAsia" w:hAnsiTheme="minorEastAsia" w:eastAsiaTheme="minorEastAsia"/>
                <w:sz w:val="24"/>
              </w:rPr>
              <w:t>/</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18"/>
    <w:p>
      <w:pPr>
        <w:widowControl/>
        <w:shd w:val="clear" w:color="auto" w:fill="FFFFFF"/>
        <w:adjustRightInd/>
        <w:spacing w:after="225" w:line="315" w:lineRule="atLeast"/>
        <w:jc w:val="left"/>
        <w:rPr>
          <w:rFonts w:ascii="宋体" w:hAnsi="宋体" w:cs="宋体"/>
          <w:b/>
          <w:color w:val="auto"/>
          <w:sz w:val="32"/>
          <w:highlight w:val="none"/>
        </w:rPr>
      </w:pPr>
      <w:bookmarkStart w:id="398" w:name="第五部分"/>
      <w:bookmarkStart w:id="399" w:name="_Toc86217003"/>
      <w:r>
        <w:rPr>
          <w:rFonts w:hint="eastAsia" w:ascii="宋体" w:hAnsi="宋体" w:cs="宋体"/>
          <w:b/>
          <w:color w:val="auto"/>
          <w:sz w:val="32"/>
          <w:highlight w:val="none"/>
        </w:rPr>
        <w:t>四、评标中的其他事项</w:t>
      </w:r>
    </w:p>
    <w:p>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hint="eastAsia" w:ascii="宋体" w:hAnsi="宋体" w:eastAsia="宋体" w:cs="宋体"/>
          <w:color w:val="auto"/>
          <w:highlight w:val="none"/>
        </w:rPr>
      </w:pPr>
      <w:r>
        <w:rPr>
          <w:rFonts w:hint="eastAsia" w:cs="宋体"/>
          <w:color w:val="auto"/>
          <w:highlight w:val="none"/>
        </w:rPr>
        <w:t>7</w:t>
      </w:r>
      <w:r>
        <w:rPr>
          <w:rFonts w:hint="eastAsia" w:ascii="宋体" w:hAnsi="宋体" w:eastAsia="宋体" w:cs="宋体"/>
          <w:color w:val="auto"/>
          <w:highlight w:val="none"/>
        </w:rPr>
        <w:t>.5政府采购当事人有其他违反政府采购法或者政府采购法实施条例等法律法规规定的行为，经改正后仍然影响或者可能影响中标结果或者依法被认定为中标无效的，依照7.1-7.4规定处理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rPr>
          <w:rFonts w:hint="eastAsia" w:ascii="宋体" w:hAnsi="宋体" w:eastAsia="宋体" w:cs="宋体"/>
          <w:color w:val="auto"/>
          <w:highlight w:val="none"/>
        </w:rPr>
      </w:pPr>
    </w:p>
    <w:p>
      <w:pPr>
        <w:spacing w:line="360" w:lineRule="auto"/>
        <w:ind w:left="720" w:leftChars="343" w:firstLine="1084" w:firstLineChars="300"/>
        <w:rPr>
          <w:rFonts w:hint="eastAsia" w:ascii="宋体" w:hAnsi="宋体" w:cs="宋体"/>
          <w:b/>
          <w:sz w:val="36"/>
          <w:szCs w:val="36"/>
        </w:rPr>
      </w:pPr>
    </w:p>
    <w:p>
      <w:pPr>
        <w:spacing w:line="360" w:lineRule="auto"/>
        <w:ind w:left="720" w:leftChars="343" w:firstLine="1084" w:firstLineChars="300"/>
        <w:rPr>
          <w:rFonts w:hint="eastAsia" w:ascii="宋体" w:hAnsi="宋体" w:cs="宋体"/>
          <w:b/>
          <w:sz w:val="36"/>
          <w:szCs w:val="36"/>
        </w:rPr>
      </w:pPr>
    </w:p>
    <w:p>
      <w:pPr>
        <w:spacing w:line="360" w:lineRule="auto"/>
        <w:ind w:left="720" w:leftChars="343" w:firstLine="1084" w:firstLineChars="300"/>
        <w:rPr>
          <w:rFonts w:hint="eastAsia" w:ascii="宋体" w:hAnsi="宋体" w:cs="宋体"/>
          <w:b/>
          <w:sz w:val="36"/>
          <w:szCs w:val="36"/>
        </w:rPr>
      </w:pPr>
    </w:p>
    <w:p>
      <w:pPr>
        <w:spacing w:line="360" w:lineRule="auto"/>
        <w:ind w:left="720" w:leftChars="343" w:firstLine="1084" w:firstLineChars="300"/>
        <w:rPr>
          <w:rFonts w:hint="eastAsia" w:ascii="宋体" w:hAnsi="宋体" w:cs="宋体"/>
          <w:b/>
          <w:sz w:val="36"/>
          <w:szCs w:val="36"/>
        </w:rPr>
      </w:pPr>
    </w:p>
    <w:p>
      <w:pPr>
        <w:spacing w:line="360" w:lineRule="auto"/>
        <w:ind w:left="720" w:leftChars="343" w:firstLine="1084" w:firstLineChars="300"/>
        <w:rPr>
          <w:rFonts w:hint="eastAsia" w:ascii="宋体" w:hAnsi="宋体" w:cs="宋体"/>
          <w:b/>
          <w:sz w:val="36"/>
          <w:szCs w:val="36"/>
        </w:rPr>
      </w:pPr>
    </w:p>
    <w:p>
      <w:pPr>
        <w:spacing w:line="360" w:lineRule="auto"/>
        <w:ind w:left="720" w:leftChars="343" w:firstLine="1084" w:firstLineChars="30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pStyle w:val="964"/>
        <w:ind w:firstLine="0" w:firstLineChars="0"/>
        <w:rPr>
          <w:rFonts w:ascii="宋体" w:hAnsi="宋体" w:cs="宋体"/>
          <w:b/>
          <w:color w:val="auto"/>
          <w:sz w:val="28"/>
          <w:szCs w:val="28"/>
          <w:highlight w:val="none"/>
        </w:rPr>
      </w:pPr>
    </w:p>
    <w:p>
      <w:pPr>
        <w:pStyle w:val="23"/>
        <w:spacing w:after="0"/>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pPr>
        <w:pStyle w:val="23"/>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pPr>
        <w:rPr>
          <w:rFonts w:ascii="宋体" w:hAnsi="宋体" w:cs="宋体"/>
          <w:b/>
          <w:bCs/>
          <w:color w:val="auto"/>
          <w:spacing w:val="-20"/>
          <w:kern w:val="44"/>
          <w:sz w:val="40"/>
          <w:szCs w:val="40"/>
          <w:highlight w:val="none"/>
        </w:rPr>
      </w:pPr>
    </w:p>
    <w:p>
      <w:pPr>
        <w:rPr>
          <w:rFonts w:ascii="宋体" w:hAnsi="宋体" w:cs="宋体"/>
          <w:b/>
          <w:bCs/>
          <w:color w:val="auto"/>
          <w:spacing w:val="-20"/>
          <w:kern w:val="44"/>
          <w:sz w:val="40"/>
          <w:szCs w:val="40"/>
          <w:highlight w:val="none"/>
        </w:rPr>
      </w:pPr>
    </w:p>
    <w:p>
      <w:pPr>
        <w:rPr>
          <w:rFonts w:ascii="宋体" w:hAnsi="宋体" w:cs="宋体"/>
          <w:b/>
          <w:bCs/>
          <w:color w:val="auto"/>
          <w:spacing w:val="-20"/>
          <w:kern w:val="44"/>
          <w:sz w:val="40"/>
          <w:szCs w:val="40"/>
          <w:highlight w:val="none"/>
        </w:rPr>
      </w:pPr>
    </w:p>
    <w:p>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pPr>
        <w:rPr>
          <w:color w:val="auto"/>
          <w:highlight w:val="none"/>
        </w:rPr>
      </w:pPr>
    </w:p>
    <w:p>
      <w:pPr>
        <w:rPr>
          <w:rFonts w:eastAsia="黑体"/>
          <w:color w:val="auto"/>
          <w:sz w:val="44"/>
          <w:szCs w:val="44"/>
          <w:highlight w:val="none"/>
        </w:rPr>
      </w:pPr>
      <w:r>
        <w:rPr>
          <w:rFonts w:eastAsia="黑体"/>
          <w:color w:val="auto"/>
          <w:sz w:val="44"/>
          <w:szCs w:val="44"/>
          <w:highlight w:val="none"/>
        </w:rPr>
        <w:br w:type="page"/>
      </w:r>
    </w:p>
    <w:p>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pPr>
        <w:ind w:firstLine="640" w:firstLineChars="200"/>
        <w:rPr>
          <w:rFonts w:hint="eastAsia" w:ascii="仿宋_GB2312" w:hAnsi="仿宋_GB2312" w:eastAsia="仿宋_GB2312" w:cs="仿宋_GB2312"/>
          <w:color w:val="auto"/>
          <w:sz w:val="32"/>
          <w:szCs w:val="32"/>
          <w:highlight w:val="none"/>
          <w:lang w:val="en-US" w:eastAsia="zh-CN"/>
        </w:rPr>
      </w:pP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60" w:lineRule="exact"/>
        <w:ind w:firstLine="480" w:firstLineChars="200"/>
        <w:rPr>
          <w:rFonts w:hint="eastAsia" w:ascii="宋体" w:hAnsi="宋体" w:cs="宋体"/>
          <w:sz w:val="24"/>
          <w:u w:val="single"/>
          <w:lang w:val="zh-CN"/>
        </w:rPr>
      </w:pPr>
    </w:p>
    <w:p>
      <w:pPr>
        <w:pStyle w:val="2"/>
        <w:adjustRightInd w:val="0"/>
        <w:snapToGrid w:val="0"/>
        <w:spacing w:beforeLines="0" w:line="400" w:lineRule="exact"/>
        <w:jc w:val="center"/>
        <w:rPr>
          <w:rFonts w:hint="eastAsia" w:ascii="黑体" w:hAnsi="黑体" w:eastAsia="黑体"/>
          <w:color w:val="auto"/>
          <w:sz w:val="28"/>
          <w:szCs w:val="28"/>
          <w:highlight w:val="none"/>
        </w:rPr>
      </w:pPr>
      <w:bookmarkStart w:id="400" w:name="_Toc22209"/>
    </w:p>
    <w:p>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0"/>
    </w:p>
    <w:p>
      <w:pPr>
        <w:pStyle w:val="2"/>
        <w:adjustRightInd w:val="0"/>
        <w:snapToGrid w:val="0"/>
        <w:spacing w:beforeLines="0" w:line="400" w:lineRule="exact"/>
        <w:jc w:val="center"/>
        <w:rPr>
          <w:rFonts w:hint="eastAsia" w:ascii="黑体" w:hAnsi="华文中宋" w:eastAsia="黑体"/>
          <w:b w:val="0"/>
          <w:bCs w:val="0"/>
          <w:color w:val="auto"/>
          <w:sz w:val="28"/>
          <w:szCs w:val="28"/>
          <w:highlight w:val="none"/>
        </w:rPr>
      </w:pPr>
    </w:p>
    <w:p>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spacing w:beforeLines="0" w:line="400" w:lineRule="exact"/>
        <w:rPr>
          <w:rFonts w:hint="default" w:eastAsia="宋体"/>
          <w:color w:val="auto"/>
          <w:highlight w:val="none"/>
          <w:lang w:val="en-US" w:eastAsia="zh-CN"/>
        </w:rPr>
      </w:pPr>
    </w:p>
    <w:p>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pPr>
        <w:numPr>
          <w:ilvl w:val="0"/>
          <w:numId w:val="4"/>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pPr>
        <w:pStyle w:val="24"/>
        <w:numPr>
          <w:ilvl w:val="0"/>
          <w:numId w:val="5"/>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pPr>
        <w:pStyle w:val="963"/>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pStyle w:val="963"/>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pPr>
        <w:pStyle w:val="963"/>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963"/>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pPr>
        <w:pStyle w:val="96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pPr>
        <w:pStyle w:val="963"/>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pPr>
        <w:pStyle w:val="963"/>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pPr>
        <w:pStyle w:val="963"/>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pPr>
        <w:pStyle w:val="963"/>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pPr>
        <w:pStyle w:val="963"/>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pPr>
        <w:pStyle w:val="963"/>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pPr>
        <w:pStyle w:val="963"/>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pPr>
        <w:pStyle w:val="963"/>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pPr>
        <w:pStyle w:val="963"/>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pPr>
        <w:pStyle w:val="963"/>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pPr>
        <w:numPr>
          <w:ilvl w:val="0"/>
          <w:numId w:val="4"/>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pPr>
        <w:pStyle w:val="789"/>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pPr>
        <w:numPr>
          <w:ilvl w:val="0"/>
          <w:numId w:val="4"/>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pPr>
        <w:pStyle w:val="963"/>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pPr>
        <w:pStyle w:val="963"/>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pPr>
        <w:numPr>
          <w:ilvl w:val="0"/>
          <w:numId w:val="4"/>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pPr>
        <w:numPr>
          <w:ilvl w:val="0"/>
          <w:numId w:val="6"/>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pPr>
        <w:pStyle w:val="963"/>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pPr>
        <w:numPr>
          <w:ilvl w:val="0"/>
          <w:numId w:val="4"/>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pPr>
        <w:pStyle w:val="963"/>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pPr>
        <w:numPr>
          <w:ilvl w:val="0"/>
          <w:numId w:val="4"/>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pPr>
        <w:numPr>
          <w:ilvl w:val="0"/>
          <w:numId w:val="4"/>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pPr>
        <w:pStyle w:val="789"/>
        <w:spacing w:beforeLines="0" w:line="400" w:lineRule="exact"/>
        <w:rPr>
          <w:color w:val="auto"/>
          <w:highlight w:val="none"/>
        </w:rPr>
      </w:pPr>
    </w:p>
    <w:p>
      <w:pPr>
        <w:pStyle w:val="2"/>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pPr>
        <w:rPr>
          <w:rFonts w:hint="eastAsia"/>
          <w:color w:val="auto"/>
          <w:highlight w:val="none"/>
        </w:rPr>
      </w:pPr>
      <w:r>
        <w:rPr>
          <w:rFonts w:hint="eastAsia"/>
          <w:color w:val="auto"/>
          <w:highlight w:val="none"/>
        </w:rPr>
        <w:br w:type="page"/>
      </w:r>
    </w:p>
    <w:p>
      <w:pPr>
        <w:pStyle w:val="789"/>
        <w:rPr>
          <w:rFonts w:hint="eastAsia"/>
          <w:color w:val="auto"/>
          <w:highlight w:val="none"/>
        </w:rPr>
      </w:pP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法定代表人</w:t>
            </w:r>
          </w:p>
          <w:p>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法定代表人</w:t>
            </w:r>
          </w:p>
          <w:p>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pStyle w:val="24"/>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pPr>
        <w:pStyle w:val="2"/>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1" w:name="_Toc27624"/>
      <w:r>
        <w:rPr>
          <w:rFonts w:hint="eastAsia" w:ascii="黑体" w:hAnsi="黑体" w:eastAsia="黑体"/>
          <w:b w:val="0"/>
          <w:bCs w:val="0"/>
          <w:color w:val="auto"/>
          <w:sz w:val="28"/>
          <w:szCs w:val="28"/>
          <w:highlight w:val="none"/>
        </w:rPr>
        <w:t>第二节 政府采购合同通用条款</w:t>
      </w:r>
      <w:bookmarkEnd w:id="401"/>
    </w:p>
    <w:p>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numPr>
          <w:ilvl w:val="0"/>
          <w:numId w:val="7"/>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pPr>
        <w:numPr>
          <w:ilvl w:val="0"/>
          <w:numId w:val="8"/>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pPr>
        <w:pStyle w:val="963"/>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pPr>
        <w:pStyle w:val="2"/>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pPr>
        <w:pStyle w:val="96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pPr>
        <w:pStyle w:val="963"/>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pPr>
        <w:pStyle w:val="963"/>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pPr>
        <w:pStyle w:val="963"/>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pPr>
        <w:pStyle w:val="96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pPr>
        <w:pStyle w:val="96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pPr>
        <w:pStyle w:val="96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23"/>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pPr>
        <w:pStyle w:val="96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pPr>
        <w:pStyle w:val="96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pPr>
        <w:pStyle w:val="96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pPr>
        <w:pStyle w:val="963"/>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pPr>
        <w:pStyle w:val="2"/>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3"/>
    </w:p>
    <w:tbl>
      <w:tblPr>
        <w:tblStyle w:val="6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r>
              <w:rPr>
                <w:rFonts w:hint="default" w:ascii="宋体" w:hAnsi="宋体" w:eastAsia="宋体" w:cs="Times New Roman"/>
                <w:color w:val="auto"/>
                <w:kern w:val="2"/>
                <w:sz w:val="21"/>
                <w:szCs w:val="21"/>
                <w:lang w:val="en-US" w:eastAsia="zh-CN" w:bidi="ar-SA"/>
              </w:rPr>
              <w:t>【A公司】、【B公司】同意由【x公司】作为联合体代表，负责整个合同的全面履行接受</w:t>
            </w:r>
            <w:r>
              <w:rPr>
                <w:rFonts w:hint="eastAsia" w:ascii="宋体" w:hAnsi="宋体" w:cs="Times New Roman"/>
                <w:color w:val="auto"/>
                <w:kern w:val="2"/>
                <w:sz w:val="21"/>
                <w:szCs w:val="21"/>
                <w:lang w:val="en-US" w:eastAsia="zh-CN" w:bidi="ar-SA"/>
              </w:rPr>
              <w:t>甲方</w:t>
            </w:r>
            <w:r>
              <w:rPr>
                <w:rFonts w:hint="default" w:ascii="宋体" w:hAnsi="宋体" w:eastAsia="宋体" w:cs="Times New Roman"/>
                <w:color w:val="auto"/>
                <w:kern w:val="2"/>
                <w:sz w:val="21"/>
                <w:szCs w:val="21"/>
                <w:lang w:val="en-US" w:eastAsia="zh-CN" w:bidi="ar-SA"/>
              </w:rPr>
              <w:t>指令，</w:t>
            </w:r>
            <w:r>
              <w:rPr>
                <w:rFonts w:hint="eastAsia" w:ascii="宋体" w:hAnsi="宋体" w:cs="Times New Roman"/>
                <w:color w:val="auto"/>
                <w:kern w:val="2"/>
                <w:sz w:val="21"/>
                <w:szCs w:val="21"/>
                <w:lang w:val="en-US" w:eastAsia="zh-CN" w:bidi="ar-SA"/>
              </w:rPr>
              <w:t>甲方</w:t>
            </w:r>
            <w:r>
              <w:rPr>
                <w:rFonts w:hint="default" w:ascii="宋体" w:hAnsi="宋体" w:eastAsia="宋体" w:cs="Times New Roman"/>
                <w:color w:val="auto"/>
                <w:kern w:val="2"/>
                <w:sz w:val="21"/>
                <w:szCs w:val="21"/>
                <w:lang w:val="en-US" w:eastAsia="zh-CN" w:bidi="ar-SA"/>
              </w:rPr>
              <w:t>对联合体代表</w:t>
            </w:r>
            <w:r>
              <w:rPr>
                <w:rFonts w:hint="eastAsia" w:ascii="宋体" w:hAnsi="宋体" w:cs="Times New Roman"/>
                <w:color w:val="auto"/>
                <w:kern w:val="2"/>
                <w:sz w:val="21"/>
                <w:szCs w:val="21"/>
                <w:lang w:val="en-US" w:eastAsia="zh-CN" w:bidi="ar-SA"/>
              </w:rPr>
              <w:t>、任意一个成员</w:t>
            </w:r>
            <w:r>
              <w:rPr>
                <w:rFonts w:hint="default" w:ascii="宋体" w:hAnsi="宋体" w:eastAsia="宋体" w:cs="Times New Roman"/>
                <w:color w:val="auto"/>
                <w:kern w:val="2"/>
                <w:sz w:val="21"/>
                <w:szCs w:val="21"/>
                <w:lang w:val="en-US" w:eastAsia="zh-CN" w:bidi="ar-SA"/>
              </w:rPr>
              <w:t>的指令视为对联合体全体成员的指令，对全体成员产生约束力。因联合体内部任何一成员未依法依约地未全面履行合同，联合体成员彼此之间互负连带责任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pPr>
              <w:adjustRightInd w:val="0"/>
              <w:snapToGrid w:val="0"/>
              <w:jc w:val="left"/>
              <w:rPr>
                <w:rFonts w:ascii="宋体" w:hAnsi="宋体" w:eastAsia="宋体" w:cs="Times New Roman"/>
                <w:color w:val="auto"/>
                <w:kern w:val="2"/>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color w:val="auto"/>
                <w:szCs w:val="21"/>
                <w:highlight w:val="none"/>
              </w:rPr>
            </w:pP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pPr>
              <w:rPr>
                <w:rFonts w:hint="eastAsia"/>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pPr>
              <w:rPr>
                <w:rFonts w:hint="eastAsia"/>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pPr>
              <w:rPr>
                <w:rFonts w:hint="eastAsia"/>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pPr>
              <w:autoSpaceDE w:val="0"/>
              <w:autoSpaceDN w:val="0"/>
              <w:adjustRightInd w:val="0"/>
              <w:snapToGrid w:val="0"/>
              <w:ind w:firstLine="420" w:firstLineChars="200"/>
              <w:jc w:val="left"/>
              <w:rPr>
                <w:rFonts w:ascii="宋体" w:hAnsi="宋体"/>
                <w:color w:val="auto"/>
                <w:szCs w:val="21"/>
                <w:highlight w:val="none"/>
              </w:rPr>
            </w:pPr>
            <w:r>
              <w:rPr>
                <w:rFonts w:hint="eastAsia" w:ascii="宋体" w:hAnsi="宋体"/>
                <w:color w:val="auto"/>
                <w:szCs w:val="21"/>
                <w:highlight w:val="none"/>
              </w:rPr>
              <w:t>在质保期（整车质保</w:t>
            </w:r>
            <w:r>
              <w:rPr>
                <w:rFonts w:hint="eastAsia" w:ascii="宋体" w:hAnsi="宋体"/>
                <w:color w:val="auto"/>
                <w:szCs w:val="21"/>
                <w:highlight w:val="none"/>
                <w:lang w:eastAsia="zh-CN"/>
              </w:rPr>
              <w:t>【】</w:t>
            </w:r>
            <w:r>
              <w:rPr>
                <w:rFonts w:hint="eastAsia" w:ascii="宋体" w:hAnsi="宋体"/>
                <w:color w:val="auto"/>
                <w:szCs w:val="21"/>
                <w:highlight w:val="none"/>
              </w:rPr>
              <w:t>年或者2</w:t>
            </w:r>
            <w:r>
              <w:rPr>
                <w:rFonts w:hint="eastAsia" w:ascii="宋体" w:hAnsi="宋体"/>
                <w:color w:val="auto"/>
                <w:szCs w:val="21"/>
                <w:highlight w:val="none"/>
                <w:lang w:eastAsia="zh-CN"/>
              </w:rPr>
              <w:t>【】</w:t>
            </w:r>
            <w:r>
              <w:rPr>
                <w:rFonts w:hint="eastAsia" w:ascii="宋体" w:hAnsi="宋体"/>
                <w:color w:val="auto"/>
                <w:szCs w:val="21"/>
                <w:highlight w:val="none"/>
              </w:rPr>
              <w:t>万公里）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pPr>
              <w:autoSpaceDE w:val="0"/>
              <w:autoSpaceDN w:val="0"/>
              <w:adjustRightInd w:val="0"/>
              <w:snapToGrid w:val="0"/>
              <w:ind w:firstLine="420" w:firstLineChars="200"/>
              <w:jc w:val="left"/>
              <w:rPr>
                <w:rFonts w:hint="eastAsia" w:ascii="宋体" w:hAnsi="宋体"/>
                <w:color w:val="auto"/>
                <w:szCs w:val="21"/>
                <w:highlight w:val="none"/>
              </w:rPr>
            </w:pPr>
            <w:r>
              <w:rPr>
                <w:rFonts w:hint="eastAsia" w:ascii="宋体" w:hAnsi="宋体"/>
                <w:color w:val="auto"/>
                <w:szCs w:val="21"/>
                <w:highlight w:val="none"/>
              </w:rPr>
              <w:t>1、设备交付时，现场提供开机测试服务，操作技能知识培训。</w:t>
            </w:r>
          </w:p>
          <w:p>
            <w:pPr>
              <w:autoSpaceDE w:val="0"/>
              <w:autoSpaceDN w:val="0"/>
              <w:adjustRightInd w:val="0"/>
              <w:snapToGrid w:val="0"/>
              <w:ind w:firstLine="420" w:firstLineChars="200"/>
              <w:jc w:val="left"/>
              <w:rPr>
                <w:rFonts w:hint="eastAsia" w:ascii="宋体" w:hAnsi="宋体"/>
                <w:color w:val="auto"/>
                <w:szCs w:val="21"/>
                <w:highlight w:val="none"/>
              </w:rPr>
            </w:pPr>
            <w:r>
              <w:rPr>
                <w:rFonts w:hint="eastAsia" w:ascii="宋体" w:hAnsi="宋体"/>
                <w:color w:val="auto"/>
                <w:szCs w:val="21"/>
                <w:highlight w:val="none"/>
              </w:rPr>
              <w:t>2、设备发生故障，12小时内技术人员上门解决各类故障问题。</w:t>
            </w:r>
          </w:p>
          <w:p>
            <w:pPr>
              <w:autoSpaceDE w:val="0"/>
              <w:autoSpaceDN w:val="0"/>
              <w:adjustRightInd w:val="0"/>
              <w:snapToGrid w:val="0"/>
              <w:ind w:firstLine="420" w:firstLineChars="200"/>
              <w:jc w:val="left"/>
              <w:rPr>
                <w:rFonts w:hint="eastAsia" w:ascii="宋体" w:hAnsi="宋体"/>
                <w:color w:val="auto"/>
                <w:szCs w:val="21"/>
                <w:highlight w:val="none"/>
              </w:rPr>
            </w:pPr>
            <w:r>
              <w:rPr>
                <w:rFonts w:hint="eastAsia" w:ascii="宋体" w:hAnsi="宋体"/>
                <w:color w:val="auto"/>
                <w:szCs w:val="21"/>
                <w:highlight w:val="none"/>
              </w:rPr>
              <w:t>3、委派工作人员协助完成车辆行驶证办理和车辆上牌等工作。</w:t>
            </w:r>
          </w:p>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pPr>
              <w:pStyle w:val="963"/>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甲方向乙方支付每笔款项前乙方应向甲方提供与当期合同款等额的正规有效增值税发票，未及时提供相应发票的，甲方有权暂不付款且不承担逾期违约的责任。乙方清楚本合同为政府项目，如因审批流程致使付款延迟的，不视为甲方违约。</w:t>
            </w:r>
          </w:p>
          <w:p>
            <w:pPr>
              <w:adjustRightInd w:val="0"/>
              <w:snapToGrid w:val="0"/>
              <w:ind w:left="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因履行合同发生争议的，甲方有权暂不支付直至争议解决并不承担违约责任。</w:t>
            </w:r>
          </w:p>
          <w:p>
            <w:pPr>
              <w:adjustRightInd w:val="0"/>
              <w:snapToGrid w:val="0"/>
              <w:ind w:left="0"/>
              <w:rPr>
                <w:rFonts w:hint="default" w:eastAsia="宋体"/>
                <w:lang w:val="en-US" w:eastAsia="zh-CN"/>
              </w:rPr>
            </w:pPr>
            <w:r>
              <w:rPr>
                <w:rFonts w:hint="eastAsia" w:ascii="宋体" w:hAnsi="宋体"/>
                <w:color w:val="auto"/>
                <w:szCs w:val="21"/>
                <w:highlight w:val="none"/>
                <w:lang w:val="en-US" w:eastAsia="zh-CN"/>
              </w:rPr>
              <w:t>3.【A公司】、【B公司】同意由【x公司】作为联合体代表，负责整个合同的全面履行接受甲方指令和接受款项的支付。联合体代表接受甲方支付款项后，视为甲方已完全尽到支付义务，联合体成员内部自行解决工程款分配事宜，联合体成员内部之间因款项支付发生争议，双方自行通过协商、诉讼等方式解决，与甲方无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因乙方履行合同不符合约定的，甲方有权从待支付款项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履约保证金</w:t>
            </w:r>
            <w:r>
              <w:rPr>
                <w:rFonts w:hint="eastAsia" w:ascii="宋体" w:hAnsi="宋体"/>
                <w:color w:val="auto"/>
                <w:szCs w:val="21"/>
                <w:highlight w:val="none"/>
              </w:rPr>
              <w:t>中扣减因此产生的违约金、实际损失等所有相关费用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任何不履行或者不完全履行合同义务情形均不予退还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自行确定时间、范围</w:t>
            </w:r>
            <w:r>
              <w:rPr>
                <w:rFonts w:hint="eastAsia" w:ascii="宋体" w:hAnsi="宋体"/>
                <w:color w:val="auto"/>
                <w:szCs w:val="21"/>
                <w:highlight w:val="none"/>
                <w:lang w:eastAsia="zh-CN"/>
              </w:rPr>
              <w:t>】</w:t>
            </w:r>
            <w:r>
              <w:rPr>
                <w:rFonts w:hint="eastAsia" w:ascii="宋体" w:hAnsi="宋体"/>
                <w:color w:val="auto"/>
                <w:szCs w:val="21"/>
                <w:highlight w:val="none"/>
              </w:rPr>
              <w:t>内，乙方应对货物出现的质量及安全问题负责处理解决并承担一切费用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乙方所交的货物品种、颜色、型号、规格、技术参数、质量不符合合同规定及招标文件规定标准的，甲方有权拒收该货物，甲方可单方面解除合同并要求乙方承担合同总额</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自行确定以30为限</w:t>
            </w:r>
            <w:r>
              <w:rPr>
                <w:rFonts w:hint="eastAsia" w:ascii="宋体" w:hAnsi="宋体"/>
                <w:color w:val="auto"/>
                <w:szCs w:val="21"/>
                <w:highlight w:val="none"/>
                <w:lang w:eastAsia="zh-CN"/>
              </w:rPr>
              <w:t>】</w:t>
            </w:r>
            <w:r>
              <w:rPr>
                <w:rFonts w:hint="eastAsia" w:ascii="宋体" w:hAnsi="宋体"/>
                <w:color w:val="auto"/>
                <w:szCs w:val="21"/>
                <w:highlight w:val="none"/>
              </w:rPr>
              <w:t>%的违约责任，如造成甲方损失超出部分由乙方继续承担赔偿责任。经甲方同意且乙方愿意更换、重做、返修、改装货物但逾期交货的，按乙方逾期交货处理，并且乙方还需负责更换、重做、返修、改装所需的全部费用。乙方拒绝更换、重做、返修、改装更换货物的或者乙方更换、重做、返修、改装仍然不符合合同约定的，甲方可单方面解除合同并要求乙方承担合同总额</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自行确定以30为限</w:t>
            </w:r>
            <w:r>
              <w:rPr>
                <w:rFonts w:hint="eastAsia" w:ascii="宋体" w:hAnsi="宋体"/>
                <w:color w:val="auto"/>
                <w:szCs w:val="21"/>
                <w:highlight w:val="none"/>
                <w:lang w:eastAsia="zh-CN"/>
              </w:rPr>
              <w:t>】</w:t>
            </w:r>
            <w:r>
              <w:rPr>
                <w:rFonts w:hint="eastAsia" w:ascii="宋体" w:hAnsi="宋体"/>
                <w:color w:val="auto"/>
                <w:szCs w:val="21"/>
                <w:highlight w:val="none"/>
              </w:rPr>
              <w:t>%的违约责任并且甲方可以委托第三人代为履行项下义务，因此产生的相关费用亦由乙方全部承担，如造成甲方损失超出部分由乙方继续承担赔偿责任。</w:t>
            </w:r>
          </w:p>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pPr>
              <w:adjustRightInd w:val="0"/>
              <w:snapToGrid w:val="0"/>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rPr>
              <w:t>乙方逾期交付货物的，乙方应按逾期交货总额每日千分之六向甲方支付</w:t>
            </w:r>
            <w:r>
              <w:rPr>
                <w:rFonts w:hint="eastAsia" w:ascii="宋体" w:hAnsi="宋体"/>
                <w:color w:val="auto"/>
                <w:szCs w:val="21"/>
                <w:highlight w:val="none"/>
                <w:u w:val="single"/>
                <w:lang w:val="en-US" w:eastAsia="zh-CN"/>
              </w:rPr>
              <w:t>赔偿</w:t>
            </w:r>
            <w:r>
              <w:rPr>
                <w:rFonts w:hint="eastAsia" w:ascii="宋体" w:hAnsi="宋体"/>
                <w:color w:val="auto"/>
                <w:szCs w:val="21"/>
                <w:highlight w:val="none"/>
                <w:u w:val="single"/>
              </w:rPr>
              <w:t>金，由甲方从待付货款中扣除。逾期超过约定日期</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个工作日不能交货的，甲方可解除本合同。乙方因逾期交货或因其他违约行为导致甲方解除合同的，乙方应向甲方支付合同总值</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%的</w:t>
            </w:r>
            <w:r>
              <w:rPr>
                <w:rFonts w:hint="eastAsia" w:ascii="宋体" w:hAnsi="宋体"/>
                <w:color w:val="auto"/>
                <w:szCs w:val="21"/>
                <w:highlight w:val="none"/>
                <w:u w:val="single"/>
                <w:lang w:val="en-US" w:eastAsia="zh-CN"/>
              </w:rPr>
              <w:t>赔偿</w:t>
            </w:r>
            <w:r>
              <w:rPr>
                <w:rFonts w:hint="eastAsia" w:ascii="宋体" w:hAnsi="宋体"/>
                <w:color w:val="auto"/>
                <w:szCs w:val="21"/>
                <w:highlight w:val="none"/>
                <w:u w:val="single"/>
              </w:rPr>
              <w:t>金，</w:t>
            </w:r>
            <w:r>
              <w:rPr>
                <w:rFonts w:hint="eastAsia" w:ascii="宋体" w:hAnsi="宋体"/>
                <w:color w:val="auto"/>
                <w:szCs w:val="21"/>
                <w:highlight w:val="none"/>
                <w:u w:val="single"/>
                <w:lang w:val="en-US" w:eastAsia="zh-CN"/>
              </w:rPr>
              <w:t>该违约责任的承担不影响、不免除合同内约定的其他违约责任的继续承担。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pPr>
              <w:numPr>
                <w:ilvl w:val="0"/>
                <w:numId w:val="0"/>
              </w:numPr>
              <w:adjustRightInd w:val="0"/>
              <w:snapToGrid w:val="0"/>
              <w:jc w:val="left"/>
              <w:rPr>
                <w:rFonts w:hint="default" w:ascii="宋体" w:hAnsi="宋体" w:eastAsia="宋体"/>
                <w:color w:val="auto"/>
                <w:szCs w:val="21"/>
                <w:highlight w:val="none"/>
                <w:lang w:val="en-US" w:eastAsia="zh-CN"/>
              </w:rPr>
            </w:pPr>
            <w:r>
              <w:rPr>
                <w:rFonts w:hint="default" w:ascii="宋体" w:hAnsi="宋体" w:eastAsia="宋体" w:cs="Times New Roman"/>
                <w:color w:val="auto"/>
                <w:kern w:val="2"/>
                <w:sz w:val="21"/>
                <w:szCs w:val="21"/>
                <w:lang w:val="en-US" w:eastAsia="zh-CN" w:bidi="ar-SA"/>
              </w:rPr>
              <w:t>1.</w:t>
            </w:r>
            <w:r>
              <w:rPr>
                <w:rFonts w:hint="default" w:ascii="宋体" w:hAnsi="宋体" w:eastAsia="宋体"/>
                <w:color w:val="auto"/>
                <w:szCs w:val="21"/>
                <w:highlight w:val="none"/>
                <w:lang w:val="en-US" w:eastAsia="zh-CN"/>
              </w:rPr>
              <w:t>因乙方其他违约行为导致甲方单方解除合同的</w:t>
            </w:r>
            <w:r>
              <w:rPr>
                <w:rFonts w:hint="eastAsia" w:ascii="宋体" w:hAnsi="宋体"/>
                <w:color w:val="auto"/>
                <w:szCs w:val="21"/>
                <w:highlight w:val="none"/>
                <w:lang w:val="en-US" w:eastAsia="zh-CN"/>
              </w:rPr>
              <w:t>或者乙方擅自解除合同的</w:t>
            </w:r>
            <w:r>
              <w:rPr>
                <w:rFonts w:hint="default" w:ascii="宋体" w:hAnsi="宋体" w:eastAsia="宋体"/>
                <w:color w:val="auto"/>
                <w:szCs w:val="21"/>
                <w:highlight w:val="none"/>
                <w:lang w:val="en-US" w:eastAsia="zh-CN"/>
              </w:rPr>
              <w:t>，</w:t>
            </w:r>
            <w:r>
              <w:rPr>
                <w:rFonts w:hint="eastAsia" w:ascii="宋体" w:hAnsi="宋体"/>
                <w:color w:val="auto"/>
                <w:szCs w:val="21"/>
                <w:highlight w:val="none"/>
                <w:lang w:val="en-US" w:eastAsia="zh-CN"/>
              </w:rPr>
              <w:t>甲方有权不支付剩余合同价款，</w:t>
            </w:r>
            <w:r>
              <w:rPr>
                <w:rFonts w:hint="default" w:ascii="宋体" w:hAnsi="宋体" w:eastAsia="宋体"/>
                <w:color w:val="auto"/>
                <w:szCs w:val="21"/>
                <w:highlight w:val="none"/>
                <w:lang w:val="en-US" w:eastAsia="zh-CN"/>
              </w:rPr>
              <w:t>乙方应向甲方支付合同总值</w:t>
            </w:r>
            <w:r>
              <w:rPr>
                <w:rFonts w:hint="eastAsia" w:ascii="宋体" w:hAnsi="宋体"/>
                <w:color w:val="auto"/>
                <w:szCs w:val="21"/>
                <w:highlight w:val="none"/>
                <w:lang w:val="en-US" w:eastAsia="zh-CN"/>
              </w:rPr>
              <w:t>【自行确定】</w:t>
            </w:r>
            <w:r>
              <w:rPr>
                <w:rFonts w:hint="default" w:ascii="宋体" w:hAnsi="宋体" w:eastAsia="宋体"/>
                <w:color w:val="auto"/>
                <w:szCs w:val="21"/>
                <w:highlight w:val="none"/>
                <w:lang w:val="en-US" w:eastAsia="zh-CN"/>
              </w:rPr>
              <w:t>%的违约金，如造成甲方损失超出部分由乙方继续承担赔偿责任。</w:t>
            </w:r>
          </w:p>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cs="宋体"/>
                <w:b w:val="0"/>
                <w:bCs w:val="0"/>
                <w:iCs/>
                <w:color w:val="auto"/>
                <w:szCs w:val="21"/>
                <w:highlight w:val="none"/>
                <w:u w:val="single"/>
                <w:lang w:val="en-US" w:eastAsia="zh-CN"/>
              </w:rPr>
              <w:t>2</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cs="宋体"/>
                <w:b w:val="0"/>
                <w:bCs w:val="0"/>
                <w:iCs/>
                <w:color w:val="auto"/>
                <w:szCs w:val="21"/>
                <w:highlight w:val="none"/>
                <w:u w:val="single"/>
                <w:lang w:val="en-US" w:eastAsia="zh-CN"/>
              </w:rPr>
              <w:t xml:space="preserve">甲方所在地方   </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pPr>
              <w:numPr>
                <w:ilvl w:val="0"/>
                <w:numId w:val="0"/>
              </w:numPr>
              <w:adjustRightInd w:val="0"/>
              <w:snapToGrid w:val="0"/>
              <w:jc w:val="left"/>
              <w:rPr>
                <w:rFonts w:hint="default" w:ascii="宋体" w:hAnsi="宋体" w:eastAsia="宋体"/>
                <w:color w:val="auto"/>
                <w:szCs w:val="21"/>
                <w:highlight w:val="none"/>
                <w:lang w:val="en-US" w:eastAsia="zh-CN"/>
              </w:rPr>
            </w:pPr>
          </w:p>
        </w:tc>
      </w:tr>
    </w:tbl>
    <w:p>
      <w:pPr>
        <w:rPr>
          <w:color w:val="auto"/>
          <w:highlight w:val="none"/>
        </w:rPr>
      </w:pPr>
    </w:p>
    <w:p>
      <w:pPr>
        <w:rPr>
          <w:color w:val="auto"/>
          <w:highlight w:val="none"/>
        </w:rPr>
      </w:pPr>
    </w:p>
    <w:p>
      <w:pPr>
        <w:pStyle w:val="964"/>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360" w:lineRule="auto"/>
        <w:ind w:left="-420" w:leftChars="-200" w:right="-420" w:rightChars="-200"/>
        <w:rPr>
          <w:rFonts w:ascii="宋体" w:hAnsi="宋体" w:cs="宋体"/>
          <w:color w:val="auto"/>
          <w:sz w:val="24"/>
          <w:highlight w:val="none"/>
        </w:rPr>
      </w:pPr>
    </w:p>
    <w:p>
      <w:pPr>
        <w:pStyle w:val="2"/>
        <w:rPr>
          <w:color w:val="auto"/>
          <w:highlight w:val="none"/>
        </w:rPr>
      </w:pPr>
    </w:p>
    <w:p>
      <w:pPr>
        <w:rPr>
          <w:color w:val="auto"/>
          <w:highlight w:val="none"/>
        </w:rPr>
      </w:pPr>
    </w:p>
    <w:p>
      <w:pPr>
        <w:pStyle w:val="963"/>
        <w:rPr>
          <w:color w:val="auto"/>
          <w:highlight w:val="none"/>
        </w:rPr>
      </w:pPr>
    </w:p>
    <w:p>
      <w:pPr>
        <w:pStyle w:val="963"/>
        <w:rPr>
          <w:color w:val="auto"/>
          <w:highlight w:val="none"/>
        </w:rPr>
      </w:pPr>
    </w:p>
    <w:p>
      <w:pPr>
        <w:pStyle w:val="963"/>
        <w:rPr>
          <w:color w:val="auto"/>
          <w:highlight w:val="none"/>
        </w:rPr>
      </w:pPr>
    </w:p>
    <w:p>
      <w:pPr>
        <w:pStyle w:val="963"/>
        <w:ind w:left="0" w:leftChars="0" w:firstLine="0" w:firstLineChars="0"/>
        <w:rPr>
          <w:color w:val="auto"/>
          <w:highlight w:val="none"/>
        </w:rPr>
      </w:pPr>
    </w:p>
    <w:p>
      <w:pPr>
        <w:pStyle w:val="963"/>
        <w:rPr>
          <w:color w:val="auto"/>
          <w:highlight w:val="none"/>
        </w:rPr>
      </w:pPr>
    </w:p>
    <w:p>
      <w:pPr>
        <w:pStyle w:val="963"/>
        <w:rPr>
          <w:color w:val="auto"/>
          <w:highlight w:val="none"/>
        </w:rPr>
      </w:pPr>
    </w:p>
    <w:bookmarkEnd w:id="398"/>
    <w:bookmarkEnd w:id="399"/>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 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7"/>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40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4"/>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pStyle w:val="2"/>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pPr>
              <w:rPr>
                <w:rFonts w:hint="eastAsia" w:ascii="宋体" w:hAnsi="宋体" w:cs="宋体"/>
                <w:b w:val="0"/>
                <w:bCs w:val="0"/>
                <w:color w:val="auto"/>
                <w:sz w:val="24"/>
                <w:highlight w:val="none"/>
                <w:lang w:val="en-US" w:eastAsia="zh-CN"/>
              </w:rPr>
            </w:pPr>
          </w:p>
        </w:tc>
        <w:tc>
          <w:tcPr>
            <w:tcW w:w="1418" w:type="dxa"/>
            <w:vAlign w:val="top"/>
          </w:tcPr>
          <w:p>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pPr>
        <w:pStyle w:val="963"/>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pPr>
              <w:snapToGrid w:val="0"/>
              <w:spacing w:line="360" w:lineRule="auto"/>
              <w:jc w:val="center"/>
              <w:rPr>
                <w:rFonts w:hint="eastAsia" w:ascii="宋体" w:hAnsi="宋体" w:cs="宋体"/>
                <w:b w:val="0"/>
                <w:bCs/>
                <w:color w:val="auto"/>
                <w:sz w:val="24"/>
                <w:highlight w:val="none"/>
                <w:vertAlign w:val="baseline"/>
              </w:rPr>
            </w:pPr>
          </w:p>
        </w:tc>
        <w:tc>
          <w:tcPr>
            <w:tcW w:w="3046" w:type="dxa"/>
          </w:tcPr>
          <w:p>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pPr>
        <w:pStyle w:val="963"/>
        <w:rPr>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pPr>
              <w:jc w:val="center"/>
              <w:rPr>
                <w:rFonts w:ascii="宋体" w:hAnsi="宋体" w:cs="宋体"/>
                <w:b/>
                <w:color w:val="auto"/>
                <w:kern w:val="0"/>
                <w:sz w:val="32"/>
                <w:szCs w:val="32"/>
                <w:highlight w:val="none"/>
              </w:rPr>
            </w:pPr>
          </w:p>
        </w:tc>
        <w:tc>
          <w:tcPr>
            <w:tcW w:w="3062" w:type="dxa"/>
          </w:tcPr>
          <w:p>
            <w:pPr>
              <w:jc w:val="center"/>
              <w:rPr>
                <w:rFonts w:ascii="宋体" w:hAnsi="宋体" w:cs="宋体"/>
                <w:b/>
                <w:color w:val="auto"/>
                <w:kern w:val="0"/>
                <w:sz w:val="32"/>
                <w:szCs w:val="32"/>
                <w:highlight w:val="none"/>
              </w:rPr>
            </w:pPr>
          </w:p>
        </w:tc>
        <w:tc>
          <w:tcPr>
            <w:tcW w:w="1102"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pPr>
        <w:pStyle w:val="963"/>
        <w:rPr>
          <w:rFonts w:hint="eastAsia" w:eastAsia="华文楷体"/>
          <w:color w:val="auto"/>
          <w:highlight w:val="none"/>
          <w:lang w:val="en-US" w:eastAsia="zh-CN"/>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1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pPr>
        <w:pStyle w:val="964"/>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2"/>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sz w:val="24"/>
        </w:rPr>
        <w:t>（</w:t>
      </w: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p>
    <w:p>
      <w:pPr>
        <w:spacing w:line="360" w:lineRule="auto"/>
        <w:ind w:firstLine="482" w:firstLineChars="200"/>
        <w:rPr>
          <w:rFonts w:ascii="宋体" w:hAnsi="宋体" w:cs="宋体"/>
          <w:b/>
          <w:sz w:val="24"/>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6" w:name="_Toc465665161"/>
      <w:r>
        <w:rPr>
          <w:rFonts w:hint="eastAsia" w:ascii="宋体" w:hAnsi="宋体" w:cs="宋体"/>
          <w:color w:val="auto"/>
          <w:highlight w:val="none"/>
        </w:rPr>
        <w:t>附件</w:t>
      </w:r>
      <w:bookmarkEnd w:id="406"/>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407" w:name="OLE_LINK14"/>
      <w:bookmarkStart w:id="408" w:name="OLE_LINK13"/>
      <w:r>
        <w:rPr>
          <w:rFonts w:hint="eastAsia" w:ascii="宋体" w:hAnsi="宋体" w:cs="宋体"/>
          <w:b/>
          <w:color w:val="auto"/>
          <w:spacing w:val="6"/>
          <w:sz w:val="32"/>
          <w:szCs w:val="32"/>
          <w:highlight w:val="none"/>
        </w:rPr>
        <w:t>残疾人福利性单位声明函</w:t>
      </w:r>
    </w:p>
    <w:bookmarkEnd w:id="407"/>
    <w:bookmarkEnd w:id="408"/>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pStyle w:val="963"/>
        <w:rPr>
          <w:rFonts w:hint="eastAsia" w:ascii="宋体" w:hAnsi="宋体" w:cs="宋体"/>
          <w:b/>
          <w:color w:val="auto"/>
          <w:spacing w:val="6"/>
          <w:sz w:val="32"/>
          <w:szCs w:val="32"/>
          <w:highlight w:val="none"/>
        </w:rPr>
      </w:pPr>
    </w:p>
    <w:p>
      <w:pPr>
        <w:pStyle w:val="963"/>
        <w:rPr>
          <w:rFonts w:hint="eastAsia" w:ascii="宋体" w:hAnsi="宋体" w:cs="宋体"/>
          <w:b/>
          <w:color w:val="auto"/>
          <w:spacing w:val="6"/>
          <w:sz w:val="32"/>
          <w:szCs w:val="32"/>
          <w:highlight w:val="none"/>
        </w:rPr>
      </w:pPr>
    </w:p>
    <w:p>
      <w:pPr>
        <w:pStyle w:val="963"/>
        <w:rPr>
          <w:rFonts w:hint="eastAsia" w:ascii="宋体" w:hAnsi="宋体" w:cs="宋体"/>
          <w:b/>
          <w:color w:val="auto"/>
          <w:spacing w:val="6"/>
          <w:sz w:val="32"/>
          <w:szCs w:val="32"/>
          <w:highlight w:val="none"/>
        </w:rPr>
      </w:pPr>
    </w:p>
    <w:p>
      <w:pPr>
        <w:pStyle w:val="963"/>
        <w:rPr>
          <w:rFonts w:hint="eastAsia" w:ascii="宋体" w:hAnsi="宋体" w:cs="宋体"/>
          <w:b/>
          <w:color w:val="auto"/>
          <w:spacing w:val="6"/>
          <w:sz w:val="32"/>
          <w:szCs w:val="32"/>
          <w:highlight w:val="none"/>
        </w:rPr>
      </w:pPr>
    </w:p>
    <w:p>
      <w:pPr>
        <w:pStyle w:val="963"/>
        <w:rPr>
          <w:rFonts w:hint="eastAsia" w:ascii="宋体" w:hAnsi="宋体" w:cs="宋体"/>
          <w:b/>
          <w:color w:val="auto"/>
          <w:spacing w:val="6"/>
          <w:sz w:val="32"/>
          <w:szCs w:val="32"/>
          <w:highlight w:val="none"/>
        </w:rPr>
      </w:pPr>
    </w:p>
    <w:p>
      <w:pPr>
        <w:spacing w:line="360" w:lineRule="auto"/>
        <w:jc w:val="left"/>
        <w:rPr>
          <w:rFonts w:hint="eastAsia"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40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9"/>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ans SC"/>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Noto Sans SC"/>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国标仿宋">
    <w:altName w:val="仿宋"/>
    <w:panose1 w:val="02000500000000000000"/>
    <w:charset w:val="86"/>
    <w:family w:val="auto"/>
    <w:pitch w:val="default"/>
    <w:sig w:usb0="00000000" w:usb1="00000000" w:usb2="00000016" w:usb3="00000000" w:csb0="00060007" w:csb1="00000000"/>
  </w:font>
  <w:font w:name="汉仪书宋二S">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411" w:name="_Toc36110187"/>
    <w:bookmarkStart w:id="412" w:name="_Toc164085800"/>
    <w:bookmarkStart w:id="413" w:name="_Toc131845147"/>
    <w:bookmarkStart w:id="414" w:name="_Toc91899912"/>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BF4093"/>
    <w:multiLevelType w:val="singleLevel"/>
    <w:tmpl w:val="FFBF4093"/>
    <w:lvl w:ilvl="0" w:tentative="0">
      <w:start w:val="2"/>
      <w:numFmt w:val="decimal"/>
      <w:suff w:val="nothing"/>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313D31E7"/>
    <w:multiLevelType w:val="singleLevel"/>
    <w:tmpl w:val="313D31E7"/>
    <w:lvl w:ilvl="0" w:tentative="0">
      <w:start w:val="1"/>
      <w:numFmt w:val="decimalEnclosedCircleChinese"/>
      <w:suff w:val="nothing"/>
      <w:lvlText w:val="%1　"/>
      <w:lvlJc w:val="left"/>
      <w:pPr>
        <w:ind w:left="0" w:firstLine="400"/>
      </w:pPr>
      <w:rPr>
        <w:lang w:val="en-US"/>
      </w:rPr>
    </w:lvl>
  </w:abstractNum>
  <w:abstractNum w:abstractNumId="9">
    <w:nsid w:val="69087B18"/>
    <w:multiLevelType w:val="singleLevel"/>
    <w:tmpl w:val="69087B18"/>
    <w:lvl w:ilvl="0" w:tentative="0">
      <w:start w:val="1"/>
      <w:numFmt w:val="decimalEnclosedCircleChinese"/>
      <w:suff w:val="nothing"/>
      <w:lvlText w:val="%1　"/>
      <w:lvlJc w:val="left"/>
      <w:pPr>
        <w:ind w:left="20" w:firstLine="400"/>
      </w:pPr>
    </w:lvl>
  </w:abstractNum>
  <w:abstractNum w:abstractNumId="10">
    <w:nsid w:val="7A0F6431"/>
    <w:multiLevelType w:val="singleLevel"/>
    <w:tmpl w:val="7A0F6431"/>
    <w:lvl w:ilvl="0" w:tentative="0">
      <w:start w:val="1"/>
      <w:numFmt w:val="decimal"/>
      <w:suff w:val="space"/>
      <w:lvlText w:val="%1."/>
      <w:lvlJc w:val="left"/>
    </w:lvl>
  </w:abstractNum>
  <w:num w:numId="1">
    <w:abstractNumId w:val="8"/>
  </w:num>
  <w:num w:numId="2">
    <w:abstractNumId w:val="9"/>
    <w:lvlOverride w:ilvl="0">
      <w:startOverride w:val="1"/>
    </w:lvlOverride>
  </w:num>
  <w:num w:numId="3">
    <w:abstractNumId w:val="6"/>
  </w:num>
  <w:num w:numId="4">
    <w:abstractNumId w:val="10"/>
  </w:num>
  <w:num w:numId="5">
    <w:abstractNumId w:val="2"/>
  </w:num>
  <w:num w:numId="6">
    <w:abstractNumId w:val="7"/>
  </w:num>
  <w:num w:numId="7">
    <w:abstractNumId w:val="4"/>
  </w:num>
  <w:num w:numId="8">
    <w:abstractNumId w:val="3"/>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MzIwY2IzYWExMjkyMDNlZjM0ZjU2MWE0MDMyNz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864"/>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2F5"/>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201"/>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1FA7"/>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6F7"/>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9"/>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A67"/>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3C48A7"/>
    <w:rsid w:val="01541149"/>
    <w:rsid w:val="0186240D"/>
    <w:rsid w:val="01876AB6"/>
    <w:rsid w:val="019F7441"/>
    <w:rsid w:val="01A74292"/>
    <w:rsid w:val="01AA6DBD"/>
    <w:rsid w:val="01B37585"/>
    <w:rsid w:val="01C979FE"/>
    <w:rsid w:val="01D55165"/>
    <w:rsid w:val="01DF6BF8"/>
    <w:rsid w:val="01EC2C57"/>
    <w:rsid w:val="02175713"/>
    <w:rsid w:val="023D413A"/>
    <w:rsid w:val="025F0711"/>
    <w:rsid w:val="026B2E25"/>
    <w:rsid w:val="02824D4D"/>
    <w:rsid w:val="02DC4B10"/>
    <w:rsid w:val="02DD76CE"/>
    <w:rsid w:val="02F36323"/>
    <w:rsid w:val="02F5619C"/>
    <w:rsid w:val="02FE11C8"/>
    <w:rsid w:val="03020A00"/>
    <w:rsid w:val="0326446A"/>
    <w:rsid w:val="032D5555"/>
    <w:rsid w:val="036634D2"/>
    <w:rsid w:val="036D21C5"/>
    <w:rsid w:val="038A3960"/>
    <w:rsid w:val="03BE6034"/>
    <w:rsid w:val="03DD35E4"/>
    <w:rsid w:val="04076900"/>
    <w:rsid w:val="041A5A3B"/>
    <w:rsid w:val="042311BA"/>
    <w:rsid w:val="042B157A"/>
    <w:rsid w:val="044D2C6F"/>
    <w:rsid w:val="048F763B"/>
    <w:rsid w:val="049F330E"/>
    <w:rsid w:val="04AA775C"/>
    <w:rsid w:val="04AF1889"/>
    <w:rsid w:val="04C042DA"/>
    <w:rsid w:val="04C94AE8"/>
    <w:rsid w:val="04F66F48"/>
    <w:rsid w:val="05251E14"/>
    <w:rsid w:val="05A16594"/>
    <w:rsid w:val="05A7762D"/>
    <w:rsid w:val="05FA4E5A"/>
    <w:rsid w:val="05FF4B65"/>
    <w:rsid w:val="060E5941"/>
    <w:rsid w:val="06110FAF"/>
    <w:rsid w:val="06493CA7"/>
    <w:rsid w:val="065A6178"/>
    <w:rsid w:val="066F1CF3"/>
    <w:rsid w:val="06930BB8"/>
    <w:rsid w:val="07245D42"/>
    <w:rsid w:val="07264C62"/>
    <w:rsid w:val="0779354C"/>
    <w:rsid w:val="07892A2B"/>
    <w:rsid w:val="07D70FD7"/>
    <w:rsid w:val="08061376"/>
    <w:rsid w:val="08072D93"/>
    <w:rsid w:val="08452D77"/>
    <w:rsid w:val="086401F8"/>
    <w:rsid w:val="08751CAA"/>
    <w:rsid w:val="087E4C40"/>
    <w:rsid w:val="08A871D0"/>
    <w:rsid w:val="08D66AD6"/>
    <w:rsid w:val="08DA33A3"/>
    <w:rsid w:val="08E80F13"/>
    <w:rsid w:val="08F37C02"/>
    <w:rsid w:val="092D1FE0"/>
    <w:rsid w:val="09335624"/>
    <w:rsid w:val="0944690F"/>
    <w:rsid w:val="09535675"/>
    <w:rsid w:val="095F057D"/>
    <w:rsid w:val="09636B90"/>
    <w:rsid w:val="09642282"/>
    <w:rsid w:val="09733572"/>
    <w:rsid w:val="09742F12"/>
    <w:rsid w:val="09772C16"/>
    <w:rsid w:val="098138B1"/>
    <w:rsid w:val="098353B5"/>
    <w:rsid w:val="09A92330"/>
    <w:rsid w:val="09B06B87"/>
    <w:rsid w:val="09C13146"/>
    <w:rsid w:val="09D873B4"/>
    <w:rsid w:val="09E04166"/>
    <w:rsid w:val="0A1C0718"/>
    <w:rsid w:val="0A3E7710"/>
    <w:rsid w:val="0A5B7E63"/>
    <w:rsid w:val="0AA374A5"/>
    <w:rsid w:val="0AAB7649"/>
    <w:rsid w:val="0ABC5606"/>
    <w:rsid w:val="0AC515BB"/>
    <w:rsid w:val="0ADA14C3"/>
    <w:rsid w:val="0B30404E"/>
    <w:rsid w:val="0B4C6C14"/>
    <w:rsid w:val="0B547599"/>
    <w:rsid w:val="0B631A88"/>
    <w:rsid w:val="0B683D45"/>
    <w:rsid w:val="0B737155"/>
    <w:rsid w:val="0B7F3F11"/>
    <w:rsid w:val="0B884417"/>
    <w:rsid w:val="0BC12607"/>
    <w:rsid w:val="0BF6188C"/>
    <w:rsid w:val="0BF73C91"/>
    <w:rsid w:val="0C0014B2"/>
    <w:rsid w:val="0C170175"/>
    <w:rsid w:val="0C571A41"/>
    <w:rsid w:val="0C5C1171"/>
    <w:rsid w:val="0C5E1CBC"/>
    <w:rsid w:val="0C615B50"/>
    <w:rsid w:val="0C8445DA"/>
    <w:rsid w:val="0C87121B"/>
    <w:rsid w:val="0CC007F7"/>
    <w:rsid w:val="0CC617AC"/>
    <w:rsid w:val="0CE618DF"/>
    <w:rsid w:val="0CFE707A"/>
    <w:rsid w:val="0D063BDA"/>
    <w:rsid w:val="0D08375F"/>
    <w:rsid w:val="0D1745B3"/>
    <w:rsid w:val="0D184CFB"/>
    <w:rsid w:val="0D4A7419"/>
    <w:rsid w:val="0D6071CB"/>
    <w:rsid w:val="0D827401"/>
    <w:rsid w:val="0D84094E"/>
    <w:rsid w:val="0D8A00E9"/>
    <w:rsid w:val="0D8D589E"/>
    <w:rsid w:val="0DA01C73"/>
    <w:rsid w:val="0DD359BA"/>
    <w:rsid w:val="0DD63300"/>
    <w:rsid w:val="0DF50604"/>
    <w:rsid w:val="0DF702FE"/>
    <w:rsid w:val="0E0130FC"/>
    <w:rsid w:val="0E060E51"/>
    <w:rsid w:val="0E1773BD"/>
    <w:rsid w:val="0E5604B2"/>
    <w:rsid w:val="0E6D5D79"/>
    <w:rsid w:val="0E927B6D"/>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B3A73"/>
    <w:rsid w:val="10400400"/>
    <w:rsid w:val="10646583"/>
    <w:rsid w:val="107D4B15"/>
    <w:rsid w:val="108A3C80"/>
    <w:rsid w:val="10A40DB3"/>
    <w:rsid w:val="10C26171"/>
    <w:rsid w:val="10C70674"/>
    <w:rsid w:val="10D727AF"/>
    <w:rsid w:val="10F33360"/>
    <w:rsid w:val="10FC16EA"/>
    <w:rsid w:val="110F1D40"/>
    <w:rsid w:val="11266F33"/>
    <w:rsid w:val="112D573C"/>
    <w:rsid w:val="118963A1"/>
    <w:rsid w:val="11C6522A"/>
    <w:rsid w:val="11E104CC"/>
    <w:rsid w:val="11E20309"/>
    <w:rsid w:val="12255233"/>
    <w:rsid w:val="12530213"/>
    <w:rsid w:val="12747035"/>
    <w:rsid w:val="127723A9"/>
    <w:rsid w:val="127F1866"/>
    <w:rsid w:val="12862074"/>
    <w:rsid w:val="12883966"/>
    <w:rsid w:val="129E45B4"/>
    <w:rsid w:val="12D81596"/>
    <w:rsid w:val="13072A44"/>
    <w:rsid w:val="135F4BE2"/>
    <w:rsid w:val="139B1A0A"/>
    <w:rsid w:val="139D25C7"/>
    <w:rsid w:val="13BF3CE4"/>
    <w:rsid w:val="13C7502E"/>
    <w:rsid w:val="141008D8"/>
    <w:rsid w:val="14116779"/>
    <w:rsid w:val="14125FE6"/>
    <w:rsid w:val="146D271E"/>
    <w:rsid w:val="14982588"/>
    <w:rsid w:val="149A5AD9"/>
    <w:rsid w:val="14A7619D"/>
    <w:rsid w:val="14ED2C64"/>
    <w:rsid w:val="150536C3"/>
    <w:rsid w:val="150C1963"/>
    <w:rsid w:val="151447A0"/>
    <w:rsid w:val="154A6454"/>
    <w:rsid w:val="155B11D9"/>
    <w:rsid w:val="156E4D9E"/>
    <w:rsid w:val="15762120"/>
    <w:rsid w:val="1646419B"/>
    <w:rsid w:val="168E458F"/>
    <w:rsid w:val="16A8729C"/>
    <w:rsid w:val="16B33777"/>
    <w:rsid w:val="16BC70A7"/>
    <w:rsid w:val="16C6339E"/>
    <w:rsid w:val="16C6583D"/>
    <w:rsid w:val="172F2D79"/>
    <w:rsid w:val="17557BEF"/>
    <w:rsid w:val="177A5491"/>
    <w:rsid w:val="17AF2468"/>
    <w:rsid w:val="17D349C1"/>
    <w:rsid w:val="17ED041F"/>
    <w:rsid w:val="1830729E"/>
    <w:rsid w:val="1870062C"/>
    <w:rsid w:val="18817102"/>
    <w:rsid w:val="18830A15"/>
    <w:rsid w:val="18852B28"/>
    <w:rsid w:val="188B5321"/>
    <w:rsid w:val="18972B56"/>
    <w:rsid w:val="18AE210C"/>
    <w:rsid w:val="192817FA"/>
    <w:rsid w:val="19932372"/>
    <w:rsid w:val="19A20DD5"/>
    <w:rsid w:val="19AE03F1"/>
    <w:rsid w:val="19D55670"/>
    <w:rsid w:val="1A014843"/>
    <w:rsid w:val="1A071A03"/>
    <w:rsid w:val="1A1F16AE"/>
    <w:rsid w:val="1A3B5C77"/>
    <w:rsid w:val="1A635396"/>
    <w:rsid w:val="1A643C5B"/>
    <w:rsid w:val="1A984BAD"/>
    <w:rsid w:val="1AB8220E"/>
    <w:rsid w:val="1AE4166C"/>
    <w:rsid w:val="1AF06CFB"/>
    <w:rsid w:val="1AF11B8D"/>
    <w:rsid w:val="1B11359C"/>
    <w:rsid w:val="1B2A271F"/>
    <w:rsid w:val="1B530544"/>
    <w:rsid w:val="1B713184"/>
    <w:rsid w:val="1B83082F"/>
    <w:rsid w:val="1B890438"/>
    <w:rsid w:val="1BA209CF"/>
    <w:rsid w:val="1BB4777D"/>
    <w:rsid w:val="1BD75AB8"/>
    <w:rsid w:val="1BE475CF"/>
    <w:rsid w:val="1C0459C2"/>
    <w:rsid w:val="1C16783E"/>
    <w:rsid w:val="1C1B3B4A"/>
    <w:rsid w:val="1C24274C"/>
    <w:rsid w:val="1C88086E"/>
    <w:rsid w:val="1D266CE1"/>
    <w:rsid w:val="1D3963AF"/>
    <w:rsid w:val="1D55566A"/>
    <w:rsid w:val="1D6A673C"/>
    <w:rsid w:val="1D9247AE"/>
    <w:rsid w:val="1DB567EC"/>
    <w:rsid w:val="1DF51A98"/>
    <w:rsid w:val="1E1F5D35"/>
    <w:rsid w:val="1E356E9F"/>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2270B0"/>
    <w:rsid w:val="204E48BC"/>
    <w:rsid w:val="208921B3"/>
    <w:rsid w:val="20973DEB"/>
    <w:rsid w:val="20B26522"/>
    <w:rsid w:val="20B44310"/>
    <w:rsid w:val="20C43E93"/>
    <w:rsid w:val="21097A5E"/>
    <w:rsid w:val="210A4C5F"/>
    <w:rsid w:val="211116EB"/>
    <w:rsid w:val="21295BFA"/>
    <w:rsid w:val="215B63C6"/>
    <w:rsid w:val="216133FC"/>
    <w:rsid w:val="21D56769"/>
    <w:rsid w:val="21D818E3"/>
    <w:rsid w:val="21E52EF3"/>
    <w:rsid w:val="21FB5D7B"/>
    <w:rsid w:val="22015E94"/>
    <w:rsid w:val="220358DB"/>
    <w:rsid w:val="220B1C3D"/>
    <w:rsid w:val="221D1D20"/>
    <w:rsid w:val="22334A87"/>
    <w:rsid w:val="22BE6801"/>
    <w:rsid w:val="233500BF"/>
    <w:rsid w:val="23377FF7"/>
    <w:rsid w:val="233A2A4B"/>
    <w:rsid w:val="233C68DC"/>
    <w:rsid w:val="236B425F"/>
    <w:rsid w:val="23836192"/>
    <w:rsid w:val="23901F29"/>
    <w:rsid w:val="239C0061"/>
    <w:rsid w:val="23B908A4"/>
    <w:rsid w:val="23E95BEF"/>
    <w:rsid w:val="23FD0064"/>
    <w:rsid w:val="240B2743"/>
    <w:rsid w:val="24476BBD"/>
    <w:rsid w:val="245375B0"/>
    <w:rsid w:val="24642C0A"/>
    <w:rsid w:val="24735875"/>
    <w:rsid w:val="24B22173"/>
    <w:rsid w:val="24B95AD9"/>
    <w:rsid w:val="24BE24DA"/>
    <w:rsid w:val="24CF5825"/>
    <w:rsid w:val="24D663E6"/>
    <w:rsid w:val="24D77F2B"/>
    <w:rsid w:val="258B00E2"/>
    <w:rsid w:val="25A917A6"/>
    <w:rsid w:val="25BE27CC"/>
    <w:rsid w:val="25CC175F"/>
    <w:rsid w:val="25F74A5C"/>
    <w:rsid w:val="2628662C"/>
    <w:rsid w:val="262D45DE"/>
    <w:rsid w:val="26871DC8"/>
    <w:rsid w:val="26873E45"/>
    <w:rsid w:val="26A53EF9"/>
    <w:rsid w:val="26A94201"/>
    <w:rsid w:val="26AC274F"/>
    <w:rsid w:val="26BA5B86"/>
    <w:rsid w:val="27044A29"/>
    <w:rsid w:val="271D34C8"/>
    <w:rsid w:val="27227630"/>
    <w:rsid w:val="276142BF"/>
    <w:rsid w:val="27783712"/>
    <w:rsid w:val="27807BE0"/>
    <w:rsid w:val="27907362"/>
    <w:rsid w:val="28333E1D"/>
    <w:rsid w:val="28454BD6"/>
    <w:rsid w:val="28455253"/>
    <w:rsid w:val="28551971"/>
    <w:rsid w:val="285B1C53"/>
    <w:rsid w:val="289F7086"/>
    <w:rsid w:val="28A6226D"/>
    <w:rsid w:val="28C32028"/>
    <w:rsid w:val="28CC490F"/>
    <w:rsid w:val="28DE40AA"/>
    <w:rsid w:val="29345E77"/>
    <w:rsid w:val="29363ABF"/>
    <w:rsid w:val="294C65AD"/>
    <w:rsid w:val="29806583"/>
    <w:rsid w:val="298B3C4C"/>
    <w:rsid w:val="29AA23E9"/>
    <w:rsid w:val="29F26D24"/>
    <w:rsid w:val="2A15033F"/>
    <w:rsid w:val="2A1662C1"/>
    <w:rsid w:val="2A1C7367"/>
    <w:rsid w:val="2A2815FA"/>
    <w:rsid w:val="2A4311E5"/>
    <w:rsid w:val="2A6D6092"/>
    <w:rsid w:val="2A7D76B4"/>
    <w:rsid w:val="2AE022D6"/>
    <w:rsid w:val="2B3E18CD"/>
    <w:rsid w:val="2B437463"/>
    <w:rsid w:val="2B7807EE"/>
    <w:rsid w:val="2BA50BF7"/>
    <w:rsid w:val="2BBF00EC"/>
    <w:rsid w:val="2BC37CFD"/>
    <w:rsid w:val="2BD5237F"/>
    <w:rsid w:val="2BE536CE"/>
    <w:rsid w:val="2BE758D9"/>
    <w:rsid w:val="2C09049E"/>
    <w:rsid w:val="2C0A653C"/>
    <w:rsid w:val="2C191F85"/>
    <w:rsid w:val="2CE82D6F"/>
    <w:rsid w:val="2D343236"/>
    <w:rsid w:val="2DB439CA"/>
    <w:rsid w:val="2DD15014"/>
    <w:rsid w:val="2DF72DE4"/>
    <w:rsid w:val="2E0220AF"/>
    <w:rsid w:val="2E4B082A"/>
    <w:rsid w:val="2E5D4E86"/>
    <w:rsid w:val="2E5D790B"/>
    <w:rsid w:val="2E66318E"/>
    <w:rsid w:val="2E9A3C18"/>
    <w:rsid w:val="2EBB0FEE"/>
    <w:rsid w:val="2EC40E47"/>
    <w:rsid w:val="2EC63002"/>
    <w:rsid w:val="2F0A6B38"/>
    <w:rsid w:val="2F835A02"/>
    <w:rsid w:val="2F946CCB"/>
    <w:rsid w:val="2FB4573E"/>
    <w:rsid w:val="2FD25781"/>
    <w:rsid w:val="2FDC745C"/>
    <w:rsid w:val="2FE077F1"/>
    <w:rsid w:val="2FFD7934"/>
    <w:rsid w:val="30733ACD"/>
    <w:rsid w:val="308C3862"/>
    <w:rsid w:val="308F4C3A"/>
    <w:rsid w:val="309379D8"/>
    <w:rsid w:val="30A270F7"/>
    <w:rsid w:val="30BA5A7F"/>
    <w:rsid w:val="30DF1478"/>
    <w:rsid w:val="30EC586F"/>
    <w:rsid w:val="30FE7B85"/>
    <w:rsid w:val="311E111C"/>
    <w:rsid w:val="3157337F"/>
    <w:rsid w:val="319C6071"/>
    <w:rsid w:val="31AC537E"/>
    <w:rsid w:val="31B859A2"/>
    <w:rsid w:val="31E3679B"/>
    <w:rsid w:val="31E732FD"/>
    <w:rsid w:val="324B0876"/>
    <w:rsid w:val="32517576"/>
    <w:rsid w:val="32A77AA3"/>
    <w:rsid w:val="32BE5C2C"/>
    <w:rsid w:val="32FB6478"/>
    <w:rsid w:val="33263B3F"/>
    <w:rsid w:val="336963EB"/>
    <w:rsid w:val="33816EEB"/>
    <w:rsid w:val="33B51F64"/>
    <w:rsid w:val="33EB55CD"/>
    <w:rsid w:val="33EC4C02"/>
    <w:rsid w:val="340D2360"/>
    <w:rsid w:val="3410665D"/>
    <w:rsid w:val="34211214"/>
    <w:rsid w:val="342E63AB"/>
    <w:rsid w:val="34950E68"/>
    <w:rsid w:val="34986E94"/>
    <w:rsid w:val="34AF62C9"/>
    <w:rsid w:val="34CB4388"/>
    <w:rsid w:val="34FA6E12"/>
    <w:rsid w:val="354D7158"/>
    <w:rsid w:val="358D5588"/>
    <w:rsid w:val="360D3DFA"/>
    <w:rsid w:val="363A3B40"/>
    <w:rsid w:val="365302AE"/>
    <w:rsid w:val="36607A0A"/>
    <w:rsid w:val="366B4931"/>
    <w:rsid w:val="366E227C"/>
    <w:rsid w:val="366F2E0D"/>
    <w:rsid w:val="367B6A5C"/>
    <w:rsid w:val="369E361B"/>
    <w:rsid w:val="36A74ADA"/>
    <w:rsid w:val="36AD60D5"/>
    <w:rsid w:val="36B224F9"/>
    <w:rsid w:val="36EC0CC9"/>
    <w:rsid w:val="37377380"/>
    <w:rsid w:val="373F410B"/>
    <w:rsid w:val="37EE7094"/>
    <w:rsid w:val="38296C89"/>
    <w:rsid w:val="383002EB"/>
    <w:rsid w:val="38586797"/>
    <w:rsid w:val="38BC0149"/>
    <w:rsid w:val="38D87D1C"/>
    <w:rsid w:val="39636459"/>
    <w:rsid w:val="396B7F6C"/>
    <w:rsid w:val="398E5896"/>
    <w:rsid w:val="39B417A9"/>
    <w:rsid w:val="39B53E32"/>
    <w:rsid w:val="39ED170C"/>
    <w:rsid w:val="39FC5695"/>
    <w:rsid w:val="3A006D8E"/>
    <w:rsid w:val="3A3651E5"/>
    <w:rsid w:val="3A744481"/>
    <w:rsid w:val="3A7641F6"/>
    <w:rsid w:val="3A772A1D"/>
    <w:rsid w:val="3A8C7BEF"/>
    <w:rsid w:val="3A906246"/>
    <w:rsid w:val="3AD27719"/>
    <w:rsid w:val="3B2349B7"/>
    <w:rsid w:val="3B3D7012"/>
    <w:rsid w:val="3B616CFF"/>
    <w:rsid w:val="3B6259F6"/>
    <w:rsid w:val="3B976654"/>
    <w:rsid w:val="3BC01EFC"/>
    <w:rsid w:val="3BCA786A"/>
    <w:rsid w:val="3BD31E2F"/>
    <w:rsid w:val="3BF15831"/>
    <w:rsid w:val="3C105946"/>
    <w:rsid w:val="3C3D3B62"/>
    <w:rsid w:val="3C471448"/>
    <w:rsid w:val="3C5F759A"/>
    <w:rsid w:val="3C6C525A"/>
    <w:rsid w:val="3CCE23CB"/>
    <w:rsid w:val="3CD17D17"/>
    <w:rsid w:val="3D33541E"/>
    <w:rsid w:val="3D3C1506"/>
    <w:rsid w:val="3D3C7F39"/>
    <w:rsid w:val="3D440F09"/>
    <w:rsid w:val="3D4504A0"/>
    <w:rsid w:val="3D8734BB"/>
    <w:rsid w:val="3D9918A0"/>
    <w:rsid w:val="3D9A11D4"/>
    <w:rsid w:val="3DA16D89"/>
    <w:rsid w:val="3DA364BE"/>
    <w:rsid w:val="3DE041CB"/>
    <w:rsid w:val="3E0D48F6"/>
    <w:rsid w:val="3E1650B9"/>
    <w:rsid w:val="3E1868B4"/>
    <w:rsid w:val="3E377251"/>
    <w:rsid w:val="3E42664B"/>
    <w:rsid w:val="3E546750"/>
    <w:rsid w:val="3E5A7334"/>
    <w:rsid w:val="3E7B5D6B"/>
    <w:rsid w:val="3E843E66"/>
    <w:rsid w:val="3E8F51FE"/>
    <w:rsid w:val="3E926F87"/>
    <w:rsid w:val="3E9A59DE"/>
    <w:rsid w:val="3EAF4836"/>
    <w:rsid w:val="3EC33DFA"/>
    <w:rsid w:val="3F060E16"/>
    <w:rsid w:val="3F1D1096"/>
    <w:rsid w:val="3F2C5E52"/>
    <w:rsid w:val="3F2C5EC8"/>
    <w:rsid w:val="3F2F0234"/>
    <w:rsid w:val="3F6363FE"/>
    <w:rsid w:val="3F756B8F"/>
    <w:rsid w:val="3F75FC74"/>
    <w:rsid w:val="3F95482B"/>
    <w:rsid w:val="40070268"/>
    <w:rsid w:val="401541B2"/>
    <w:rsid w:val="4019356B"/>
    <w:rsid w:val="402D5E07"/>
    <w:rsid w:val="40592157"/>
    <w:rsid w:val="406E1CAE"/>
    <w:rsid w:val="408E606F"/>
    <w:rsid w:val="40A0133A"/>
    <w:rsid w:val="40C31A53"/>
    <w:rsid w:val="40C559D4"/>
    <w:rsid w:val="40DA73F3"/>
    <w:rsid w:val="40FE2FE8"/>
    <w:rsid w:val="40FF545D"/>
    <w:rsid w:val="410067C8"/>
    <w:rsid w:val="41255B3E"/>
    <w:rsid w:val="418F0D2A"/>
    <w:rsid w:val="41D01505"/>
    <w:rsid w:val="41E21BCA"/>
    <w:rsid w:val="41EB2AB3"/>
    <w:rsid w:val="420B2EE7"/>
    <w:rsid w:val="42474939"/>
    <w:rsid w:val="424C3C57"/>
    <w:rsid w:val="42613FF3"/>
    <w:rsid w:val="426255D9"/>
    <w:rsid w:val="42660D96"/>
    <w:rsid w:val="428667D2"/>
    <w:rsid w:val="42CD1CE0"/>
    <w:rsid w:val="42E1381E"/>
    <w:rsid w:val="42ED6459"/>
    <w:rsid w:val="42FE58DD"/>
    <w:rsid w:val="43174B3D"/>
    <w:rsid w:val="431B1AA3"/>
    <w:rsid w:val="4324730C"/>
    <w:rsid w:val="434B790E"/>
    <w:rsid w:val="4360274F"/>
    <w:rsid w:val="43977AB6"/>
    <w:rsid w:val="439A302D"/>
    <w:rsid w:val="43A3342B"/>
    <w:rsid w:val="43C77C27"/>
    <w:rsid w:val="43DE09EE"/>
    <w:rsid w:val="43F15787"/>
    <w:rsid w:val="43F565F9"/>
    <w:rsid w:val="44002FAD"/>
    <w:rsid w:val="446134BD"/>
    <w:rsid w:val="44647CC4"/>
    <w:rsid w:val="449101DD"/>
    <w:rsid w:val="4491320F"/>
    <w:rsid w:val="44BFE8EF"/>
    <w:rsid w:val="44DE1391"/>
    <w:rsid w:val="451B225C"/>
    <w:rsid w:val="452410C9"/>
    <w:rsid w:val="45317DFB"/>
    <w:rsid w:val="453632FD"/>
    <w:rsid w:val="454105AC"/>
    <w:rsid w:val="456D3CE4"/>
    <w:rsid w:val="4579042C"/>
    <w:rsid w:val="457F0571"/>
    <w:rsid w:val="45851176"/>
    <w:rsid w:val="45C63B94"/>
    <w:rsid w:val="460E7DA5"/>
    <w:rsid w:val="46422483"/>
    <w:rsid w:val="46422779"/>
    <w:rsid w:val="4659254A"/>
    <w:rsid w:val="465B0637"/>
    <w:rsid w:val="465E3F0D"/>
    <w:rsid w:val="466A16E6"/>
    <w:rsid w:val="46893F2B"/>
    <w:rsid w:val="46C4686E"/>
    <w:rsid w:val="46CE2D58"/>
    <w:rsid w:val="475C24EB"/>
    <w:rsid w:val="477B778F"/>
    <w:rsid w:val="477F7169"/>
    <w:rsid w:val="478203EC"/>
    <w:rsid w:val="47B025FA"/>
    <w:rsid w:val="47DB2593"/>
    <w:rsid w:val="47E26C83"/>
    <w:rsid w:val="4809698F"/>
    <w:rsid w:val="4811697D"/>
    <w:rsid w:val="4830797A"/>
    <w:rsid w:val="4839608B"/>
    <w:rsid w:val="487A3E25"/>
    <w:rsid w:val="488B5503"/>
    <w:rsid w:val="48937E21"/>
    <w:rsid w:val="489A0361"/>
    <w:rsid w:val="48B90820"/>
    <w:rsid w:val="48B94FF3"/>
    <w:rsid w:val="48E37AAB"/>
    <w:rsid w:val="48FD4B4C"/>
    <w:rsid w:val="490A68E0"/>
    <w:rsid w:val="491055FE"/>
    <w:rsid w:val="492520E1"/>
    <w:rsid w:val="495F5B3E"/>
    <w:rsid w:val="496F77D7"/>
    <w:rsid w:val="497654FD"/>
    <w:rsid w:val="499C12C5"/>
    <w:rsid w:val="49B64211"/>
    <w:rsid w:val="49F6167F"/>
    <w:rsid w:val="4A064FA0"/>
    <w:rsid w:val="4A16615C"/>
    <w:rsid w:val="4A4424D7"/>
    <w:rsid w:val="4AB82D0F"/>
    <w:rsid w:val="4AEB7664"/>
    <w:rsid w:val="4AFD7C19"/>
    <w:rsid w:val="4B0567D1"/>
    <w:rsid w:val="4B236AAE"/>
    <w:rsid w:val="4B707271"/>
    <w:rsid w:val="4B9739F7"/>
    <w:rsid w:val="4BBE6C52"/>
    <w:rsid w:val="4BEE2503"/>
    <w:rsid w:val="4C061D87"/>
    <w:rsid w:val="4C245A30"/>
    <w:rsid w:val="4C87411C"/>
    <w:rsid w:val="4C892707"/>
    <w:rsid w:val="4CB6685F"/>
    <w:rsid w:val="4CC367FE"/>
    <w:rsid w:val="4CDA6CE0"/>
    <w:rsid w:val="4CF64C10"/>
    <w:rsid w:val="4D0334C8"/>
    <w:rsid w:val="4D077F3C"/>
    <w:rsid w:val="4D123355"/>
    <w:rsid w:val="4D2A3B31"/>
    <w:rsid w:val="4D2E5BAF"/>
    <w:rsid w:val="4D312C52"/>
    <w:rsid w:val="4D905305"/>
    <w:rsid w:val="4D964A72"/>
    <w:rsid w:val="4D9C1254"/>
    <w:rsid w:val="4D9C6E2F"/>
    <w:rsid w:val="4DD60EC0"/>
    <w:rsid w:val="4DF80AFB"/>
    <w:rsid w:val="4E1103A0"/>
    <w:rsid w:val="4E693057"/>
    <w:rsid w:val="4E793892"/>
    <w:rsid w:val="4E800872"/>
    <w:rsid w:val="4EC569ED"/>
    <w:rsid w:val="4ED50EA1"/>
    <w:rsid w:val="4EE6167D"/>
    <w:rsid w:val="4EEB3729"/>
    <w:rsid w:val="4EEC050C"/>
    <w:rsid w:val="4F104EC3"/>
    <w:rsid w:val="4F47354A"/>
    <w:rsid w:val="4F911C54"/>
    <w:rsid w:val="4FE625E0"/>
    <w:rsid w:val="5021480F"/>
    <w:rsid w:val="50365B27"/>
    <w:rsid w:val="50864307"/>
    <w:rsid w:val="50962ECB"/>
    <w:rsid w:val="50A34FD8"/>
    <w:rsid w:val="50A42E38"/>
    <w:rsid w:val="50A4577F"/>
    <w:rsid w:val="50AC6291"/>
    <w:rsid w:val="50B73D1F"/>
    <w:rsid w:val="50BD5BC9"/>
    <w:rsid w:val="50BF26E7"/>
    <w:rsid w:val="50C11EEE"/>
    <w:rsid w:val="50E97CFC"/>
    <w:rsid w:val="50FA4028"/>
    <w:rsid w:val="51047454"/>
    <w:rsid w:val="510D65B7"/>
    <w:rsid w:val="511157AB"/>
    <w:rsid w:val="5142540C"/>
    <w:rsid w:val="518832C8"/>
    <w:rsid w:val="519D3C50"/>
    <w:rsid w:val="51A0432A"/>
    <w:rsid w:val="51A86090"/>
    <w:rsid w:val="51B7396D"/>
    <w:rsid w:val="51B859B9"/>
    <w:rsid w:val="51C969CF"/>
    <w:rsid w:val="51FA1866"/>
    <w:rsid w:val="52114133"/>
    <w:rsid w:val="522E38F2"/>
    <w:rsid w:val="522E4CC3"/>
    <w:rsid w:val="5244713B"/>
    <w:rsid w:val="52615633"/>
    <w:rsid w:val="526F4DE4"/>
    <w:rsid w:val="52977FD4"/>
    <w:rsid w:val="52A25790"/>
    <w:rsid w:val="52A96B6F"/>
    <w:rsid w:val="52B45975"/>
    <w:rsid w:val="52D94AA4"/>
    <w:rsid w:val="52EA3A62"/>
    <w:rsid w:val="52F50BB8"/>
    <w:rsid w:val="53097272"/>
    <w:rsid w:val="532716FD"/>
    <w:rsid w:val="53544462"/>
    <w:rsid w:val="53724407"/>
    <w:rsid w:val="5397158E"/>
    <w:rsid w:val="53C77F81"/>
    <w:rsid w:val="54013861"/>
    <w:rsid w:val="54221594"/>
    <w:rsid w:val="54487265"/>
    <w:rsid w:val="544D6070"/>
    <w:rsid w:val="54605E1E"/>
    <w:rsid w:val="54AA2FF6"/>
    <w:rsid w:val="54B3506A"/>
    <w:rsid w:val="54CA0D16"/>
    <w:rsid w:val="54DD4057"/>
    <w:rsid w:val="54E4643E"/>
    <w:rsid w:val="54E522AA"/>
    <w:rsid w:val="54E7490F"/>
    <w:rsid w:val="550764A4"/>
    <w:rsid w:val="550B2BF6"/>
    <w:rsid w:val="55214EB5"/>
    <w:rsid w:val="552A2BBF"/>
    <w:rsid w:val="55364EFD"/>
    <w:rsid w:val="555D4828"/>
    <w:rsid w:val="557A4C8B"/>
    <w:rsid w:val="558931E1"/>
    <w:rsid w:val="55923347"/>
    <w:rsid w:val="55925180"/>
    <w:rsid w:val="55967889"/>
    <w:rsid w:val="55983B1B"/>
    <w:rsid w:val="55A8376B"/>
    <w:rsid w:val="55DC29B6"/>
    <w:rsid w:val="55DD4241"/>
    <w:rsid w:val="5632657D"/>
    <w:rsid w:val="566B6D1E"/>
    <w:rsid w:val="56A7044E"/>
    <w:rsid w:val="56AB0FBE"/>
    <w:rsid w:val="57032A2C"/>
    <w:rsid w:val="570452C9"/>
    <w:rsid w:val="570F5219"/>
    <w:rsid w:val="575D12B5"/>
    <w:rsid w:val="57610A87"/>
    <w:rsid w:val="577B1140"/>
    <w:rsid w:val="577B7F21"/>
    <w:rsid w:val="577F181B"/>
    <w:rsid w:val="57921984"/>
    <w:rsid w:val="579737F0"/>
    <w:rsid w:val="57A07EC3"/>
    <w:rsid w:val="57AB7B30"/>
    <w:rsid w:val="57AE5369"/>
    <w:rsid w:val="57AF5251"/>
    <w:rsid w:val="57B26373"/>
    <w:rsid w:val="57B63F04"/>
    <w:rsid w:val="57CA5DC9"/>
    <w:rsid w:val="57CD20C2"/>
    <w:rsid w:val="57D675AB"/>
    <w:rsid w:val="57D95FDD"/>
    <w:rsid w:val="587B6DE8"/>
    <w:rsid w:val="58917D2F"/>
    <w:rsid w:val="5894085C"/>
    <w:rsid w:val="58AE4F0C"/>
    <w:rsid w:val="58B85899"/>
    <w:rsid w:val="58C603B4"/>
    <w:rsid w:val="58E363A9"/>
    <w:rsid w:val="595E1678"/>
    <w:rsid w:val="596D5BD4"/>
    <w:rsid w:val="597E3DD8"/>
    <w:rsid w:val="59E32070"/>
    <w:rsid w:val="59F80043"/>
    <w:rsid w:val="59FBB0F5"/>
    <w:rsid w:val="5A09252F"/>
    <w:rsid w:val="5A0B2778"/>
    <w:rsid w:val="5A2A7C7B"/>
    <w:rsid w:val="5A3E2560"/>
    <w:rsid w:val="5A490530"/>
    <w:rsid w:val="5A5D3B6E"/>
    <w:rsid w:val="5A637A76"/>
    <w:rsid w:val="5A6D33BA"/>
    <w:rsid w:val="5A792B1F"/>
    <w:rsid w:val="5A874767"/>
    <w:rsid w:val="5A964B15"/>
    <w:rsid w:val="5AA85BE2"/>
    <w:rsid w:val="5AAD6F28"/>
    <w:rsid w:val="5AD63A24"/>
    <w:rsid w:val="5B2E1A1D"/>
    <w:rsid w:val="5B5F1157"/>
    <w:rsid w:val="5B843A1C"/>
    <w:rsid w:val="5B873E3F"/>
    <w:rsid w:val="5B9E1B59"/>
    <w:rsid w:val="5BD6CE26"/>
    <w:rsid w:val="5C02690E"/>
    <w:rsid w:val="5C196DA7"/>
    <w:rsid w:val="5C2A048C"/>
    <w:rsid w:val="5C464DD5"/>
    <w:rsid w:val="5C5C6C96"/>
    <w:rsid w:val="5C78796F"/>
    <w:rsid w:val="5C80234E"/>
    <w:rsid w:val="5C8A680C"/>
    <w:rsid w:val="5D0C4701"/>
    <w:rsid w:val="5D0F0395"/>
    <w:rsid w:val="5D221076"/>
    <w:rsid w:val="5D235B2D"/>
    <w:rsid w:val="5D397964"/>
    <w:rsid w:val="5D5A391C"/>
    <w:rsid w:val="5D5F10C0"/>
    <w:rsid w:val="5D891B7B"/>
    <w:rsid w:val="5D907271"/>
    <w:rsid w:val="5DA02C88"/>
    <w:rsid w:val="5DAD38EE"/>
    <w:rsid w:val="5DAD533E"/>
    <w:rsid w:val="5DFBA849"/>
    <w:rsid w:val="5E006862"/>
    <w:rsid w:val="5E0207B9"/>
    <w:rsid w:val="5E1834A1"/>
    <w:rsid w:val="5E261785"/>
    <w:rsid w:val="5E325597"/>
    <w:rsid w:val="5E4A7017"/>
    <w:rsid w:val="5E4F6DCD"/>
    <w:rsid w:val="5E552BBA"/>
    <w:rsid w:val="5E611C10"/>
    <w:rsid w:val="5E7A0F3F"/>
    <w:rsid w:val="5EFC7377"/>
    <w:rsid w:val="5F06174D"/>
    <w:rsid w:val="5F32465D"/>
    <w:rsid w:val="5F3A3602"/>
    <w:rsid w:val="5F45733B"/>
    <w:rsid w:val="5F6277C6"/>
    <w:rsid w:val="5F6D0B1D"/>
    <w:rsid w:val="5F800AA5"/>
    <w:rsid w:val="5F85612A"/>
    <w:rsid w:val="5F8D0B82"/>
    <w:rsid w:val="5F9E6C49"/>
    <w:rsid w:val="5FCC5339"/>
    <w:rsid w:val="5FE34A5B"/>
    <w:rsid w:val="5FFE1E36"/>
    <w:rsid w:val="60232584"/>
    <w:rsid w:val="607330CE"/>
    <w:rsid w:val="607E3B9E"/>
    <w:rsid w:val="60825176"/>
    <w:rsid w:val="609F2AC4"/>
    <w:rsid w:val="60FA2EE8"/>
    <w:rsid w:val="61054A27"/>
    <w:rsid w:val="610A52BC"/>
    <w:rsid w:val="611D2366"/>
    <w:rsid w:val="61421856"/>
    <w:rsid w:val="614C6AAF"/>
    <w:rsid w:val="615227C4"/>
    <w:rsid w:val="61524EF4"/>
    <w:rsid w:val="61654E3F"/>
    <w:rsid w:val="6182292A"/>
    <w:rsid w:val="619F7F92"/>
    <w:rsid w:val="61D04B09"/>
    <w:rsid w:val="61F94C26"/>
    <w:rsid w:val="62000E56"/>
    <w:rsid w:val="621702B9"/>
    <w:rsid w:val="624F3E49"/>
    <w:rsid w:val="62632286"/>
    <w:rsid w:val="6279293E"/>
    <w:rsid w:val="627D34D2"/>
    <w:rsid w:val="62885958"/>
    <w:rsid w:val="62A446BF"/>
    <w:rsid w:val="62A53944"/>
    <w:rsid w:val="62F40B65"/>
    <w:rsid w:val="62FC2CFE"/>
    <w:rsid w:val="63024505"/>
    <w:rsid w:val="635600A5"/>
    <w:rsid w:val="635B1DB5"/>
    <w:rsid w:val="63711FED"/>
    <w:rsid w:val="63880DDC"/>
    <w:rsid w:val="638D750D"/>
    <w:rsid w:val="63AC6CC0"/>
    <w:rsid w:val="63B636A5"/>
    <w:rsid w:val="63BE4739"/>
    <w:rsid w:val="63CD32CA"/>
    <w:rsid w:val="64055776"/>
    <w:rsid w:val="64240056"/>
    <w:rsid w:val="643E143A"/>
    <w:rsid w:val="64491666"/>
    <w:rsid w:val="648B6EEF"/>
    <w:rsid w:val="64C158BF"/>
    <w:rsid w:val="64C2705A"/>
    <w:rsid w:val="64C9520C"/>
    <w:rsid w:val="64CE2EAA"/>
    <w:rsid w:val="64ED4377"/>
    <w:rsid w:val="653C3090"/>
    <w:rsid w:val="65854376"/>
    <w:rsid w:val="658767BE"/>
    <w:rsid w:val="65892531"/>
    <w:rsid w:val="65C45983"/>
    <w:rsid w:val="65F1774C"/>
    <w:rsid w:val="66195831"/>
    <w:rsid w:val="662966F6"/>
    <w:rsid w:val="662E75B1"/>
    <w:rsid w:val="66342C2E"/>
    <w:rsid w:val="663E784C"/>
    <w:rsid w:val="668B6A45"/>
    <w:rsid w:val="672F3F24"/>
    <w:rsid w:val="673E055F"/>
    <w:rsid w:val="67551CE3"/>
    <w:rsid w:val="677243C5"/>
    <w:rsid w:val="67860E5A"/>
    <w:rsid w:val="67A22552"/>
    <w:rsid w:val="67B22DCC"/>
    <w:rsid w:val="67BE71AA"/>
    <w:rsid w:val="67D90273"/>
    <w:rsid w:val="67DE5875"/>
    <w:rsid w:val="67E55852"/>
    <w:rsid w:val="67EB1AB4"/>
    <w:rsid w:val="67F33A1A"/>
    <w:rsid w:val="67FA1285"/>
    <w:rsid w:val="68551F4F"/>
    <w:rsid w:val="687C10C9"/>
    <w:rsid w:val="68840C16"/>
    <w:rsid w:val="68876EFB"/>
    <w:rsid w:val="68884654"/>
    <w:rsid w:val="689F444F"/>
    <w:rsid w:val="68A73243"/>
    <w:rsid w:val="68B96DBB"/>
    <w:rsid w:val="68CA2805"/>
    <w:rsid w:val="68E53982"/>
    <w:rsid w:val="68E937A3"/>
    <w:rsid w:val="693E15D3"/>
    <w:rsid w:val="69627681"/>
    <w:rsid w:val="6977531D"/>
    <w:rsid w:val="69BE3F8A"/>
    <w:rsid w:val="69CC2BFF"/>
    <w:rsid w:val="69FD55B8"/>
    <w:rsid w:val="6A0B1C62"/>
    <w:rsid w:val="6A2406C8"/>
    <w:rsid w:val="6ADE0BD1"/>
    <w:rsid w:val="6AE96859"/>
    <w:rsid w:val="6AEE467C"/>
    <w:rsid w:val="6B064398"/>
    <w:rsid w:val="6B147746"/>
    <w:rsid w:val="6B24787C"/>
    <w:rsid w:val="6B573233"/>
    <w:rsid w:val="6B5B6274"/>
    <w:rsid w:val="6B935D53"/>
    <w:rsid w:val="6B981292"/>
    <w:rsid w:val="6B9D5719"/>
    <w:rsid w:val="6C196F71"/>
    <w:rsid w:val="6C226FCB"/>
    <w:rsid w:val="6C31226F"/>
    <w:rsid w:val="6C552F0B"/>
    <w:rsid w:val="6C8C67B7"/>
    <w:rsid w:val="6C91631D"/>
    <w:rsid w:val="6C9314F3"/>
    <w:rsid w:val="6C9D744C"/>
    <w:rsid w:val="6CBF3395"/>
    <w:rsid w:val="6D083A72"/>
    <w:rsid w:val="6D167928"/>
    <w:rsid w:val="6D26299B"/>
    <w:rsid w:val="6D322664"/>
    <w:rsid w:val="6D4772EC"/>
    <w:rsid w:val="6D5F48BA"/>
    <w:rsid w:val="6D6C3B79"/>
    <w:rsid w:val="6D9078AF"/>
    <w:rsid w:val="6DAA3FEF"/>
    <w:rsid w:val="6DBE0F5A"/>
    <w:rsid w:val="6DC0172B"/>
    <w:rsid w:val="6DCB690C"/>
    <w:rsid w:val="6DD41A5B"/>
    <w:rsid w:val="6DF43C2E"/>
    <w:rsid w:val="6DF51CA3"/>
    <w:rsid w:val="6E8335BD"/>
    <w:rsid w:val="6E8E12EF"/>
    <w:rsid w:val="6E972936"/>
    <w:rsid w:val="6ED446C5"/>
    <w:rsid w:val="6EFF1FAF"/>
    <w:rsid w:val="6F140538"/>
    <w:rsid w:val="6F2A7D94"/>
    <w:rsid w:val="6F8331F1"/>
    <w:rsid w:val="6FAA5C3A"/>
    <w:rsid w:val="6FAE1A09"/>
    <w:rsid w:val="6FCFBA95"/>
    <w:rsid w:val="6FD75BF8"/>
    <w:rsid w:val="6FE6B382"/>
    <w:rsid w:val="6FFD548E"/>
    <w:rsid w:val="6FFF1196"/>
    <w:rsid w:val="707723D0"/>
    <w:rsid w:val="70F5661B"/>
    <w:rsid w:val="71360107"/>
    <w:rsid w:val="713B688E"/>
    <w:rsid w:val="71B76036"/>
    <w:rsid w:val="71D43752"/>
    <w:rsid w:val="71F1796A"/>
    <w:rsid w:val="72154626"/>
    <w:rsid w:val="72262B5D"/>
    <w:rsid w:val="72283FF7"/>
    <w:rsid w:val="722E7212"/>
    <w:rsid w:val="723A0474"/>
    <w:rsid w:val="725923E4"/>
    <w:rsid w:val="72864BF7"/>
    <w:rsid w:val="729023FC"/>
    <w:rsid w:val="72A262A2"/>
    <w:rsid w:val="72BA753C"/>
    <w:rsid w:val="73827B0E"/>
    <w:rsid w:val="73C0646E"/>
    <w:rsid w:val="73C40101"/>
    <w:rsid w:val="742222F5"/>
    <w:rsid w:val="74476126"/>
    <w:rsid w:val="74706664"/>
    <w:rsid w:val="747F3682"/>
    <w:rsid w:val="749C4185"/>
    <w:rsid w:val="74A53E8B"/>
    <w:rsid w:val="74D83AC0"/>
    <w:rsid w:val="74DE063E"/>
    <w:rsid w:val="75067759"/>
    <w:rsid w:val="752E6DCD"/>
    <w:rsid w:val="7551380D"/>
    <w:rsid w:val="75600BE5"/>
    <w:rsid w:val="7564475C"/>
    <w:rsid w:val="7583797F"/>
    <w:rsid w:val="758B5587"/>
    <w:rsid w:val="75D20F1D"/>
    <w:rsid w:val="75DA2C18"/>
    <w:rsid w:val="75E83B00"/>
    <w:rsid w:val="75F54412"/>
    <w:rsid w:val="761C44D9"/>
    <w:rsid w:val="761D08E0"/>
    <w:rsid w:val="765972B7"/>
    <w:rsid w:val="765D347C"/>
    <w:rsid w:val="76826699"/>
    <w:rsid w:val="76C87133"/>
    <w:rsid w:val="76CD08D5"/>
    <w:rsid w:val="76DB4B92"/>
    <w:rsid w:val="76F73D90"/>
    <w:rsid w:val="77052AA4"/>
    <w:rsid w:val="77136511"/>
    <w:rsid w:val="77340A39"/>
    <w:rsid w:val="77351FD0"/>
    <w:rsid w:val="77472422"/>
    <w:rsid w:val="775C3FB4"/>
    <w:rsid w:val="777F31F2"/>
    <w:rsid w:val="77D1700D"/>
    <w:rsid w:val="77EC04CC"/>
    <w:rsid w:val="78476AE2"/>
    <w:rsid w:val="78775729"/>
    <w:rsid w:val="78A13CF9"/>
    <w:rsid w:val="78A42DB0"/>
    <w:rsid w:val="78A656AB"/>
    <w:rsid w:val="78B2245C"/>
    <w:rsid w:val="78E172CC"/>
    <w:rsid w:val="78EA1D1F"/>
    <w:rsid w:val="7904172F"/>
    <w:rsid w:val="790F7E27"/>
    <w:rsid w:val="792A231A"/>
    <w:rsid w:val="79316829"/>
    <w:rsid w:val="797E66A9"/>
    <w:rsid w:val="798518A4"/>
    <w:rsid w:val="79A97383"/>
    <w:rsid w:val="79BD70A9"/>
    <w:rsid w:val="79E27E8B"/>
    <w:rsid w:val="79F850CE"/>
    <w:rsid w:val="79FD443C"/>
    <w:rsid w:val="7A1D1975"/>
    <w:rsid w:val="7A2B7F7C"/>
    <w:rsid w:val="7A3E5150"/>
    <w:rsid w:val="7A4670D6"/>
    <w:rsid w:val="7A534B63"/>
    <w:rsid w:val="7A615382"/>
    <w:rsid w:val="7A67303B"/>
    <w:rsid w:val="7A6A3BBD"/>
    <w:rsid w:val="7AAB1D04"/>
    <w:rsid w:val="7ABA4368"/>
    <w:rsid w:val="7AD05746"/>
    <w:rsid w:val="7B257FFD"/>
    <w:rsid w:val="7B343476"/>
    <w:rsid w:val="7B3A1BF7"/>
    <w:rsid w:val="7B420DF7"/>
    <w:rsid w:val="7B5A2978"/>
    <w:rsid w:val="7B5A7E4C"/>
    <w:rsid w:val="7B667AF9"/>
    <w:rsid w:val="7B7468F8"/>
    <w:rsid w:val="7BEE0103"/>
    <w:rsid w:val="7BFCACC8"/>
    <w:rsid w:val="7C0A0FE4"/>
    <w:rsid w:val="7C254906"/>
    <w:rsid w:val="7C590818"/>
    <w:rsid w:val="7C7C10F6"/>
    <w:rsid w:val="7C853BEA"/>
    <w:rsid w:val="7C881368"/>
    <w:rsid w:val="7CB244A3"/>
    <w:rsid w:val="7CE27788"/>
    <w:rsid w:val="7D0C32F1"/>
    <w:rsid w:val="7D0F408D"/>
    <w:rsid w:val="7D491C6C"/>
    <w:rsid w:val="7D5429C0"/>
    <w:rsid w:val="7D6E6D43"/>
    <w:rsid w:val="7DB57A34"/>
    <w:rsid w:val="7DE60973"/>
    <w:rsid w:val="7DEF0916"/>
    <w:rsid w:val="7DFFA78D"/>
    <w:rsid w:val="7E0929FF"/>
    <w:rsid w:val="7E0D3A76"/>
    <w:rsid w:val="7E1E5218"/>
    <w:rsid w:val="7E3231B3"/>
    <w:rsid w:val="7E642FFE"/>
    <w:rsid w:val="7E9A4E1F"/>
    <w:rsid w:val="7EA7723A"/>
    <w:rsid w:val="7EF56FBB"/>
    <w:rsid w:val="7F0768EB"/>
    <w:rsid w:val="7F143BEC"/>
    <w:rsid w:val="7F1D5133"/>
    <w:rsid w:val="7F29292E"/>
    <w:rsid w:val="7F576388"/>
    <w:rsid w:val="7F715AF2"/>
    <w:rsid w:val="7F847F7A"/>
    <w:rsid w:val="7F886E69"/>
    <w:rsid w:val="7F8D2652"/>
    <w:rsid w:val="7FE3BACF"/>
    <w:rsid w:val="7FFF67E9"/>
    <w:rsid w:val="9BFE888A"/>
    <w:rsid w:val="BB7FA927"/>
    <w:rsid w:val="D9651A8B"/>
    <w:rsid w:val="E7F6D3A1"/>
    <w:rsid w:val="E9FFE769"/>
    <w:rsid w:val="EBE74E5B"/>
    <w:rsid w:val="ECEF66E9"/>
    <w:rsid w:val="ED3ADBA2"/>
    <w:rsid w:val="F398D3FD"/>
    <w:rsid w:val="F3DE2339"/>
    <w:rsid w:val="F5FFD31F"/>
    <w:rsid w:val="FA7A2845"/>
    <w:rsid w:val="FB7D1E4B"/>
    <w:rsid w:val="FB7F98CE"/>
    <w:rsid w:val="FEDC7C84"/>
    <w:rsid w:val="FF0B4796"/>
    <w:rsid w:val="FFE7BDCB"/>
    <w:rsid w:val="FFEB44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next w:val="62"/>
    <w:link w:val="119"/>
    <w:qFormat/>
    <w:uiPriority w:val="0"/>
    <w:pPr>
      <w:adjustRightInd/>
      <w:spacing w:after="120" w:line="240" w:lineRule="auto"/>
      <w:ind w:left="420" w:leftChars="200" w:firstLine="210"/>
    </w:pPr>
    <w:rPr>
      <w:sz w:val="21"/>
    </w:rPr>
  </w:style>
  <w:style w:type="paragraph" w:customStyle="1" w:styleId="62">
    <w:name w:val="xl53"/>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556</Words>
  <Characters>661</Characters>
  <Lines>320</Lines>
  <Paragraphs>90</Paragraphs>
  <TotalTime>37</TotalTime>
  <ScaleCrop>false</ScaleCrop>
  <LinksUpToDate>false</LinksUpToDate>
  <CharactersWithSpaces>758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2021-08-06T08:22:00Z</dcterms:created>
  <dc:creator>玥</dc:creator>
  <cp:lastModifiedBy>HP</cp:lastModifiedBy>
  <cp:lastPrinted>2025-04-26T23:35:00Z</cp:lastPrinted>
  <dcterms:modified xsi:type="dcterms:W3CDTF">2025-06-19T06:19:04Z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70BB60CCA388900D09E92A68E35785E8_43</vt:lpwstr>
  </property>
  <property fmtid="{D5CDD505-2E9C-101B-9397-08002B2CF9AE}" pid="5" name="KSOTemplateDocerSaveRecord">
    <vt:lpwstr>eyJoZGlkIjoiYzE4NDE5ZjRhOGNlMzkzNTA1ZjExMGM0MDUxYzc5NTAiLCJ1c2VySWQiOiIzMDYyMjA1NzkifQ==</vt:lpwstr>
  </property>
</Properties>
</file>