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ascii="宋体" w:hAnsi="宋体" w:cs="宋体"/>
          <w:color w:val="auto"/>
          <w:sz w:val="48"/>
          <w:szCs w:val="48"/>
          <w:highlight w:val="none"/>
        </w:rPr>
      </w:pPr>
      <w:r>
        <w:rPr>
          <w:rFonts w:hint="eastAsia" w:ascii="仿宋_GB2312" w:hAnsi="仿宋" w:eastAsia="仿宋_GB2312" w:cs="仿宋_GB2312"/>
          <w:sz w:val="48"/>
          <w:szCs w:val="48"/>
          <w:highlight w:val="none"/>
          <w:lang w:eastAsia="zh-CN"/>
        </w:rPr>
        <w:t>杭州市红缨幼儿园物业管理服务采购项目</w:t>
      </w: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hint="default" w:ascii="宋体" w:hAnsi="宋体" w:eastAsia="仿宋_GB2312" w:cs="宋体"/>
          <w:sz w:val="30"/>
          <w:szCs w:val="30"/>
          <w:highlight w:val="none"/>
          <w:lang w:val="en-US" w:eastAsia="zh-CN"/>
        </w:rPr>
      </w:pPr>
      <w:r>
        <w:rPr>
          <w:rFonts w:hint="eastAsia" w:ascii="宋体" w:hAnsi="宋体" w:cs="宋体"/>
          <w:sz w:val="30"/>
          <w:szCs w:val="30"/>
          <w:highlight w:val="none"/>
        </w:rPr>
        <w:t>编号:</w:t>
      </w:r>
      <w:r>
        <w:rPr>
          <w:rFonts w:hint="eastAsia" w:ascii="仿宋_GB2312" w:eastAsia="仿宋_GB2312" w:cs="仿宋_GB2312"/>
          <w:sz w:val="30"/>
          <w:szCs w:val="30"/>
          <w:highlight w:val="none"/>
        </w:rPr>
        <w:t>GSZFCG-202</w:t>
      </w:r>
      <w:r>
        <w:rPr>
          <w:rFonts w:hint="eastAsia" w:ascii="仿宋_GB2312" w:eastAsia="仿宋_GB2312" w:cs="仿宋_GB2312"/>
          <w:sz w:val="30"/>
          <w:szCs w:val="30"/>
          <w:highlight w:val="none"/>
          <w:lang w:val="en-US" w:eastAsia="zh-CN"/>
        </w:rPr>
        <w:t>4</w:t>
      </w:r>
      <w:r>
        <w:rPr>
          <w:rFonts w:hint="eastAsia" w:ascii="仿宋_GB2312" w:eastAsia="仿宋_GB2312" w:cs="仿宋_GB2312"/>
          <w:sz w:val="30"/>
          <w:szCs w:val="30"/>
          <w:highlight w:val="none"/>
        </w:rPr>
        <w:t>-</w:t>
      </w:r>
      <w:r>
        <w:rPr>
          <w:rFonts w:hint="eastAsia" w:ascii="仿宋_GB2312" w:eastAsia="仿宋_GB2312" w:cs="仿宋_GB2312"/>
          <w:sz w:val="30"/>
          <w:szCs w:val="30"/>
          <w:highlight w:val="none"/>
          <w:lang w:val="en-US" w:eastAsia="zh-CN"/>
        </w:rPr>
        <w:t>019</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pacing w:line="360" w:lineRule="auto"/>
        <w:jc w:val="center"/>
        <w:rPr>
          <w:rFonts w:hint="eastAsia" w:ascii="宋体" w:hAnsi="宋体" w:cs="宋体"/>
          <w:bCs/>
          <w:color w:val="auto"/>
          <w:sz w:val="32"/>
          <w:szCs w:val="32"/>
          <w:highlight w:val="none"/>
          <w:lang w:eastAsia="zh-CN"/>
        </w:rPr>
      </w:pPr>
      <w:r>
        <w:rPr>
          <w:rFonts w:hint="eastAsia" w:ascii="宋体" w:hAnsi="宋体" w:cs="宋体"/>
          <w:bCs/>
          <w:color w:val="auto"/>
          <w:sz w:val="32"/>
          <w:szCs w:val="32"/>
          <w:highlight w:val="none"/>
          <w:lang w:eastAsia="zh-CN"/>
        </w:rPr>
        <w:t>杭州市红缨幼儿园</w:t>
      </w:r>
    </w:p>
    <w:p>
      <w:pPr>
        <w:spacing w:line="360" w:lineRule="auto"/>
        <w:jc w:val="center"/>
        <w:rPr>
          <w:rFonts w:hint="default" w:ascii="宋体" w:hAnsi="宋体" w:eastAsia="宋体" w:cs="宋体"/>
          <w:bCs/>
          <w:color w:val="auto"/>
          <w:sz w:val="32"/>
          <w:szCs w:val="32"/>
          <w:highlight w:val="none"/>
          <w:lang w:val="en-US" w:eastAsia="zh-CN"/>
        </w:rPr>
      </w:pPr>
      <w:r>
        <w:rPr>
          <w:rFonts w:hint="eastAsia" w:ascii="宋体" w:hAnsi="宋体" w:cs="宋体"/>
          <w:bCs/>
          <w:color w:val="auto"/>
          <w:sz w:val="32"/>
          <w:szCs w:val="32"/>
          <w:highlight w:val="none"/>
        </w:rPr>
        <w:t>杭州市公共资源交易中心</w:t>
      </w:r>
      <w:r>
        <w:rPr>
          <w:rFonts w:hint="eastAsia" w:ascii="宋体" w:hAnsi="宋体" w:cs="宋体"/>
          <w:bCs/>
          <w:color w:val="auto"/>
          <w:sz w:val="32"/>
          <w:szCs w:val="32"/>
          <w:highlight w:val="none"/>
          <w:lang w:val="en-US" w:eastAsia="zh-CN"/>
        </w:rPr>
        <w:t>拱墅分中心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val="en-US" w:eastAsia="zh-CN"/>
        </w:rPr>
        <w:t>十九</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634"/>
        <w:outlineLvl w:val="9"/>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07423"/>
      <w:bookmarkEnd w:id="4"/>
      <w:bookmarkStart w:id="5" w:name="_Hlt74729822"/>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val="en-US" w:eastAsia="zh-CN"/>
        </w:rPr>
        <w:t>杭州市红缨幼儿园物业管理服务采购项目</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"https://www.zcygov.cn/）获取（下载）招标文件，并于2023年%20月%20日%20点%20分00秒" </w:instrText>
      </w:r>
      <w:r>
        <w:rPr>
          <w:color w:val="auto"/>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Style w:val="76"/>
          <w:rFonts w:hint="eastAsia" w:ascii="宋体" w:hAnsi="宋体" w:eastAsia="宋体" w:cs="宋体"/>
          <w:snapToGrid/>
          <w:color w:val="000000" w:themeColor="text1"/>
          <w:kern w:val="2"/>
          <w:sz w:val="24"/>
          <w:szCs w:val="24"/>
          <w:highlight w:val="none"/>
          <w:u w:val="single"/>
          <w14:textFill>
            <w14:solidFill>
              <w14:schemeClr w14:val="tx1"/>
            </w14:solidFill>
          </w14:textFill>
        </w:rPr>
        <w:t>202</w:t>
      </w:r>
      <w:r>
        <w:rPr>
          <w:rStyle w:val="76"/>
          <w:rFonts w:hint="eastAsia" w:ascii="宋体" w:hAnsi="宋体" w:cs="宋体"/>
          <w:snapToGrid/>
          <w:color w:val="000000" w:themeColor="text1"/>
          <w:kern w:val="2"/>
          <w:sz w:val="24"/>
          <w:szCs w:val="24"/>
          <w:highlight w:val="none"/>
          <w:u w:val="single"/>
          <w:lang w:val="en-US" w:eastAsia="zh-CN"/>
          <w14:textFill>
            <w14:solidFill>
              <w14:schemeClr w14:val="tx1"/>
            </w14:solidFill>
          </w14:textFill>
        </w:rPr>
        <w:t>4</w:t>
      </w:r>
      <w:r>
        <w:rPr>
          <w:rStyle w:val="76"/>
          <w:rFonts w:hint="eastAsia" w:ascii="宋体" w:hAnsi="宋体" w:eastAsia="宋体" w:cs="宋体"/>
          <w:snapToGrid/>
          <w:color w:val="000000" w:themeColor="text1"/>
          <w:kern w:val="2"/>
          <w:sz w:val="24"/>
          <w:szCs w:val="24"/>
          <w:highlight w:val="none"/>
          <w:u w:val="single"/>
          <w14:textFill>
            <w14:solidFill>
              <w14:schemeClr w14:val="tx1"/>
            </w14:solidFill>
          </w14:textFill>
        </w:rPr>
        <w:t>年</w:t>
      </w:r>
      <w:r>
        <w:rPr>
          <w:rStyle w:val="76"/>
          <w:rFonts w:hint="eastAsia" w:ascii="宋体" w:hAnsi="宋体" w:cs="宋体"/>
          <w:snapToGrid/>
          <w:color w:val="000000" w:themeColor="text1"/>
          <w:kern w:val="2"/>
          <w:sz w:val="24"/>
          <w:szCs w:val="24"/>
          <w:highlight w:val="none"/>
          <w:u w:val="single"/>
          <w:lang w:val="en-US" w:eastAsia="zh-CN"/>
          <w14:textFill>
            <w14:solidFill>
              <w14:schemeClr w14:val="tx1"/>
            </w14:solidFill>
          </w14:textFill>
        </w:rPr>
        <w:t xml:space="preserve">5 </w:t>
      </w:r>
      <w:r>
        <w:rPr>
          <w:rStyle w:val="76"/>
          <w:rFonts w:hint="eastAsia" w:ascii="宋体" w:hAnsi="宋体" w:eastAsia="宋体" w:cs="宋体"/>
          <w:snapToGrid/>
          <w:color w:val="000000" w:themeColor="text1"/>
          <w:kern w:val="2"/>
          <w:sz w:val="24"/>
          <w:szCs w:val="24"/>
          <w:highlight w:val="none"/>
          <w:u w:val="single"/>
          <w14:textFill>
            <w14:solidFill>
              <w14:schemeClr w14:val="tx1"/>
            </w14:solidFill>
          </w14:textFill>
        </w:rPr>
        <w:t>月</w:t>
      </w:r>
      <w:r>
        <w:rPr>
          <w:rStyle w:val="76"/>
          <w:rFonts w:hint="eastAsia" w:ascii="宋体" w:hAnsi="宋体" w:cs="宋体"/>
          <w:snapToGrid/>
          <w:color w:val="000000" w:themeColor="text1"/>
          <w:kern w:val="2"/>
          <w:sz w:val="24"/>
          <w:szCs w:val="24"/>
          <w:highlight w:val="none"/>
          <w:u w:val="single"/>
          <w:lang w:val="en-US" w:eastAsia="zh-CN"/>
          <w14:textFill>
            <w14:solidFill>
              <w14:schemeClr w14:val="tx1"/>
            </w14:solidFill>
          </w14:textFill>
        </w:rPr>
        <w:t xml:space="preserve">10 </w:t>
      </w:r>
      <w:r>
        <w:rPr>
          <w:rStyle w:val="76"/>
          <w:rFonts w:hint="eastAsia" w:ascii="宋体" w:hAnsi="宋体" w:eastAsia="宋体" w:cs="宋体"/>
          <w:snapToGrid/>
          <w:color w:val="000000" w:themeColor="text1"/>
          <w:kern w:val="2"/>
          <w:sz w:val="24"/>
          <w:szCs w:val="24"/>
          <w:highlight w:val="none"/>
          <w:u w:val="single"/>
          <w14:textFill>
            <w14:solidFill>
              <w14:schemeClr w14:val="tx1"/>
            </w14:solidFill>
          </w14:textFill>
        </w:rPr>
        <w:t>日</w:t>
      </w:r>
      <w:r>
        <w:rPr>
          <w:rStyle w:val="76"/>
          <w:rFonts w:hint="eastAsia" w:ascii="宋体" w:hAnsi="宋体" w:cs="宋体"/>
          <w:snapToGrid/>
          <w:color w:val="000000" w:themeColor="text1"/>
          <w:kern w:val="2"/>
          <w:sz w:val="24"/>
          <w:szCs w:val="24"/>
          <w:highlight w:val="none"/>
          <w:u w:val="single"/>
          <w:lang w:val="en-US" w:eastAsia="zh-CN"/>
          <w14:textFill>
            <w14:solidFill>
              <w14:schemeClr w14:val="tx1"/>
            </w14:solidFill>
          </w14:textFill>
        </w:rPr>
        <w:t>9</w:t>
      </w:r>
      <w:r>
        <w:rPr>
          <w:rStyle w:val="76"/>
          <w:rFonts w:hint="eastAsia" w:ascii="宋体" w:hAnsi="宋体" w:eastAsia="宋体" w:cs="宋体"/>
          <w:snapToGrid/>
          <w:color w:val="000000" w:themeColor="text1"/>
          <w:kern w:val="2"/>
          <w:sz w:val="24"/>
          <w:szCs w:val="24"/>
          <w:highlight w:val="none"/>
          <w:u w:val="single"/>
          <w14:textFill>
            <w14:solidFill>
              <w14:schemeClr w14:val="tx1"/>
            </w14:solidFill>
          </w14:textFill>
        </w:rPr>
        <w:t>点</w:t>
      </w:r>
      <w:r>
        <w:rPr>
          <w:rStyle w:val="76"/>
          <w:rFonts w:hint="eastAsia" w:ascii="宋体" w:hAnsi="宋体" w:cs="宋体"/>
          <w:snapToGrid/>
          <w:color w:val="000000" w:themeColor="text1"/>
          <w:kern w:val="2"/>
          <w:sz w:val="24"/>
          <w:szCs w:val="24"/>
          <w:highlight w:val="none"/>
          <w:u w:val="single"/>
          <w:lang w:val="en-US" w:eastAsia="zh-CN"/>
          <w14:textFill>
            <w14:solidFill>
              <w14:schemeClr w14:val="tx1"/>
            </w14:solidFill>
          </w14:textFill>
        </w:rPr>
        <w:t>30</w:t>
      </w:r>
      <w:r>
        <w:rPr>
          <w:rStyle w:val="76"/>
          <w:rFonts w:hint="eastAsia" w:ascii="宋体" w:hAnsi="宋体" w:eastAsia="宋体" w:cs="宋体"/>
          <w:snapToGrid/>
          <w:color w:val="000000" w:themeColor="text1"/>
          <w:kern w:val="2"/>
          <w:sz w:val="24"/>
          <w:szCs w:val="24"/>
          <w:highlight w:val="none"/>
          <w:u w:val="single"/>
          <w14:textFill>
            <w14:solidFill>
              <w14:schemeClr w14:val="tx1"/>
            </w14:solidFill>
          </w14:textFill>
        </w:rPr>
        <w:t>分</w:t>
      </w:r>
      <w:r>
        <w:rPr>
          <w:rStyle w:val="76"/>
          <w:rFonts w:hint="eastAsia" w:ascii="宋体" w:hAnsi="宋体" w:eastAsia="宋体" w:cs="宋体"/>
          <w:bCs/>
          <w:snapToGrid/>
          <w:color w:val="000000" w:themeColor="text1"/>
          <w:kern w:val="2"/>
          <w:sz w:val="24"/>
          <w:szCs w:val="24"/>
          <w:highlight w:val="none"/>
          <w:u w:val="single"/>
          <w14:textFill>
            <w14:solidFill>
              <w14:schemeClr w14:val="tx1"/>
            </w14:solidFill>
          </w14:textFill>
        </w:rPr>
        <w:t>00秒</w:t>
      </w:r>
      <w:r>
        <w:rPr>
          <w:rStyle w:val="76"/>
          <w:rFonts w:hint="eastAsia" w:ascii="宋体" w:hAnsi="宋体" w:eastAsia="宋体" w:cs="宋体"/>
          <w:bCs/>
          <w:snapToGrid/>
          <w:color w:val="auto"/>
          <w:kern w:val="2"/>
          <w:sz w:val="24"/>
          <w:szCs w:val="24"/>
          <w:highlight w:val="none"/>
          <w:u w:val="singl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outlineLvl w:val="1"/>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default" w:ascii="宋体" w:hAnsi="宋体" w:eastAsia="宋体" w:cs="宋体"/>
          <w:b/>
          <w:sz w:val="24"/>
          <w:highlight w:val="none"/>
          <w:lang w:val="en-US"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b/>
          <w:sz w:val="24"/>
          <w:highlight w:val="none"/>
        </w:rPr>
        <w:t>GSZFCG-202</w:t>
      </w:r>
      <w:r>
        <w:rPr>
          <w:rFonts w:hint="eastAsia" w:ascii="宋体" w:hAnsi="宋体" w:cs="宋体"/>
          <w:b/>
          <w:sz w:val="24"/>
          <w:highlight w:val="none"/>
          <w:lang w:val="en-US" w:eastAsia="zh-CN"/>
        </w:rPr>
        <w:t>4</w:t>
      </w:r>
      <w:r>
        <w:rPr>
          <w:rFonts w:hint="eastAsia" w:ascii="宋体" w:hAnsi="宋体" w:cs="宋体"/>
          <w:b/>
          <w:sz w:val="24"/>
          <w:highlight w:val="none"/>
        </w:rPr>
        <w:t>-</w:t>
      </w:r>
      <w:r>
        <w:rPr>
          <w:rFonts w:hint="eastAsia" w:ascii="宋体" w:hAnsi="宋体" w:cs="宋体"/>
          <w:b/>
          <w:sz w:val="24"/>
          <w:highlight w:val="none"/>
          <w:lang w:val="en-US" w:eastAsia="zh-CN"/>
        </w:rPr>
        <w:t>019</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b/>
          <w:sz w:val="24"/>
          <w:highlight w:val="none"/>
          <w:lang w:val="en-US" w:eastAsia="zh-CN"/>
        </w:rPr>
        <w:t>杭州市红缨幼儿园物业管理服务采购项目</w:t>
      </w:r>
    </w:p>
    <w:p>
      <w:pPr>
        <w:spacing w:line="360" w:lineRule="auto"/>
        <w:rPr>
          <w:rFonts w:hint="default" w:ascii="宋体" w:hAnsi="宋体" w:cs="宋体"/>
          <w:color w:val="auto"/>
          <w:sz w:val="24"/>
          <w:highlight w:val="none"/>
          <w:lang w:val="en-US"/>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
          <w:color w:val="auto"/>
          <w:sz w:val="24"/>
          <w:highlight w:val="none"/>
          <w:lang w:val="en-US" w:eastAsia="zh-CN"/>
        </w:rPr>
        <w:t>612600</w:t>
      </w:r>
    </w:p>
    <w:p>
      <w:pPr>
        <w:spacing w:line="360" w:lineRule="auto"/>
        <w:ind w:firstLine="480"/>
        <w:rPr>
          <w:rFonts w:hint="default" w:ascii="宋体" w:hAnsi="宋体" w:cs="宋体"/>
          <w:color w:val="auto"/>
          <w:sz w:val="24"/>
          <w:highlight w:val="none"/>
          <w:lang w:val="en-US"/>
        </w:rPr>
      </w:pPr>
      <w:r>
        <w:rPr>
          <w:rFonts w:hint="eastAsia" w:ascii="宋体" w:hAnsi="宋体" w:cs="宋体"/>
          <w:b/>
          <w:color w:val="auto"/>
          <w:sz w:val="24"/>
          <w:highlight w:val="none"/>
        </w:rPr>
        <w:t>最高限价（元）：</w:t>
      </w:r>
      <w:r>
        <w:rPr>
          <w:rFonts w:hint="eastAsia" w:ascii="宋体" w:hAnsi="宋体" w:cs="宋体"/>
          <w:b/>
          <w:color w:val="auto"/>
          <w:sz w:val="24"/>
          <w:highlight w:val="none"/>
          <w:lang w:val="en-US" w:eastAsia="zh-CN"/>
        </w:rPr>
        <w:t>612600</w:t>
      </w:r>
    </w:p>
    <w:p>
      <w:pPr>
        <w:pStyle w:val="7"/>
        <w:spacing w:line="360" w:lineRule="auto"/>
        <w:ind w:firstLine="480"/>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ascii="宋体" w:hAnsi="宋体" w:cs="宋体"/>
          <w:color w:val="auto"/>
          <w:sz w:val="24"/>
          <w:highlight w:val="none"/>
          <w:u w:val="none"/>
          <w:lang w:val="en-US" w:eastAsia="zh-CN"/>
        </w:rPr>
        <w:t>杭州市红缨幼儿园物业</w:t>
      </w:r>
      <w:r>
        <w:rPr>
          <w:rFonts w:hint="eastAsia" w:hAnsi="宋体" w:cs="宋体"/>
          <w:color w:val="auto"/>
          <w:sz w:val="24"/>
          <w:highlight w:val="none"/>
          <w:u w:val="none"/>
          <w:lang w:val="en-US" w:eastAsia="zh-CN"/>
        </w:rPr>
        <w:t>管理</w:t>
      </w:r>
      <w:r>
        <w:rPr>
          <w:rFonts w:hint="eastAsia" w:ascii="宋体" w:hAnsi="宋体" w:cs="宋体"/>
          <w:color w:val="auto"/>
          <w:sz w:val="24"/>
          <w:highlight w:val="none"/>
          <w:u w:val="none"/>
          <w:lang w:val="en-US" w:eastAsia="zh-CN"/>
        </w:rPr>
        <w:t>服务采购项目</w:t>
      </w:r>
      <w:r>
        <w:rPr>
          <w:rFonts w:hint="eastAsia" w:hAnsi="宋体" w:cs="宋体"/>
          <w:bCs/>
          <w:snapToGrid/>
          <w:color w:val="auto"/>
          <w:kern w:val="2"/>
          <w:sz w:val="24"/>
          <w:szCs w:val="24"/>
          <w:highlight w:val="none"/>
        </w:rPr>
        <w:t xml:space="preserve">主要内容： </w:t>
      </w:r>
      <w:r>
        <w:rPr>
          <w:rFonts w:hint="eastAsia" w:hAnsi="宋体" w:cs="宋体"/>
          <w:bCs/>
          <w:snapToGrid/>
          <w:color w:val="auto"/>
          <w:kern w:val="2"/>
          <w:sz w:val="24"/>
          <w:szCs w:val="24"/>
          <w:highlight w:val="none"/>
          <w:lang w:eastAsia="zh-CN"/>
        </w:rPr>
        <w:t>红缨幼儿园仓基园区、大关园区、西岸园区、童玩家园区的安全保卫工作</w:t>
      </w:r>
      <w:r>
        <w:rPr>
          <w:rFonts w:hint="eastAsia" w:hAnsi="宋体" w:cs="宋体"/>
          <w:bCs/>
          <w:snapToGrid/>
          <w:color w:val="auto"/>
          <w:kern w:val="2"/>
          <w:sz w:val="24"/>
          <w:szCs w:val="24"/>
          <w:highlight w:val="none"/>
        </w:rPr>
        <w:t>。</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spacing w:line="360" w:lineRule="auto"/>
        <w:ind w:firstLine="48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合同履约期限：</w:t>
      </w:r>
      <w:r>
        <w:rPr>
          <w:rFonts w:hint="eastAsia" w:ascii="宋体" w:hAnsi="宋体" w:cs="宋体"/>
          <w:b/>
          <w:color w:val="auto"/>
          <w:sz w:val="24"/>
          <w:highlight w:val="none"/>
          <w:lang w:val="en-US" w:eastAsia="zh-CN"/>
        </w:rPr>
        <w:t>自合同签订起1年</w:t>
      </w:r>
      <w:r>
        <w:rPr>
          <w:rFonts w:hint="eastAsia" w:ascii="宋体" w:hAnsi="宋体" w:eastAsia="宋体" w:cs="宋体"/>
          <w:b/>
          <w:color w:val="auto"/>
          <w:sz w:val="24"/>
          <w:highlight w:val="none"/>
        </w:rPr>
        <w:t xml:space="preserve">。 </w:t>
      </w:r>
    </w:p>
    <w:p>
      <w:pPr>
        <w:pStyle w:val="7"/>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sdt>
        <w:sdtPr>
          <w:rPr>
            <w:rFonts w:hAnsi="宋体" w:cs="宋体"/>
            <w:color w:val="auto"/>
            <w:kern w:val="0"/>
            <w:sz w:val="24"/>
            <w:highlight w:val="none"/>
          </w:rPr>
          <w:id w:val="213"/>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214"/>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outlineLvl w:val="1"/>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21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21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highlight w:val="none"/>
        </w:rPr>
      </w:pPr>
      <w:sdt>
        <w:sdtPr>
          <w:rPr>
            <w:rFonts w:hint="eastAsia" w:ascii="宋体" w:hAnsi="宋体" w:cs="宋体"/>
            <w:color w:val="auto"/>
            <w:kern w:val="0"/>
            <w:sz w:val="24"/>
            <w:highlight w:val="none"/>
          </w:rPr>
          <w:id w:val="21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2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22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p>
    <w:p>
      <w:pPr>
        <w:snapToGrid w:val="0"/>
        <w:spacing w:line="360" w:lineRule="auto"/>
        <w:ind w:firstLine="480" w:firstLineChars="200"/>
        <w:rPr>
          <w:rFonts w:hint="eastAsia" w:ascii="宋体" w:hAnsi="宋体" w:cs="宋体"/>
          <w:color w:val="FF0000"/>
          <w:sz w:val="24"/>
          <w:highlight w:val="none"/>
          <w:u w:val="single"/>
        </w:rPr>
      </w:pPr>
      <w:sdt>
        <w:sdtPr>
          <w:rPr>
            <w:rFonts w:hint="eastAsia" w:ascii="宋体" w:hAnsi="宋体" w:cs="宋体"/>
            <w:color w:val="FF0000"/>
            <w:kern w:val="0"/>
            <w:sz w:val="24"/>
            <w:highlight w:val="none"/>
          </w:rPr>
          <w:id w:val="222"/>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outlineLvl w:val="1"/>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w:t>
      </w:r>
      <w:r>
        <w:rPr>
          <w:rFonts w:hint="eastAsia" w:ascii="宋体" w:hAnsi="宋体" w:cs="宋体"/>
          <w:color w:val="000000" w:themeColor="text1"/>
          <w:sz w:val="24"/>
          <w:highlight w:val="none"/>
          <w14:textFill>
            <w14:solidFill>
              <w14:schemeClr w14:val="tx1"/>
            </w14:solidFill>
          </w14:textFill>
        </w:rPr>
        <w:t>至</w:t>
      </w:r>
      <w:r>
        <w:rPr>
          <w:rFonts w:hint="eastAsia" w:ascii="宋体" w:hAnsi="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4</w:t>
      </w:r>
      <w:r>
        <w:rPr>
          <w:rFonts w:hint="eastAsia" w:ascii="宋体" w:hAnsi="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 xml:space="preserve"> 5</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10</w:t>
      </w:r>
      <w:r>
        <w:rPr>
          <w:rFonts w:hint="eastAsia" w:ascii="宋体" w:hAnsi="宋体" w:cs="宋体"/>
          <w:color w:val="000000" w:themeColor="text1"/>
          <w:sz w:val="24"/>
          <w:highlight w:val="none"/>
          <w:u w:val="single"/>
          <w14:textFill>
            <w14:solidFill>
              <w14:schemeClr w14:val="tx1"/>
            </w14:solidFill>
          </w14:textFill>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outlineLvl w:val="1"/>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000000" w:themeColor="text1"/>
          <w:sz w:val="24"/>
          <w:highlight w:val="none"/>
          <w:u w:val="single"/>
          <w14:textFill>
            <w14:solidFill>
              <w14:schemeClr w14:val="tx1"/>
            </w14:solidFill>
          </w14:textFill>
        </w:rPr>
        <w:t xml:space="preserve"> 202</w:t>
      </w:r>
      <w:r>
        <w:rPr>
          <w:rFonts w:hint="eastAsia" w:ascii="宋体" w:hAnsi="宋体" w:cs="宋体"/>
          <w:color w:val="000000" w:themeColor="text1"/>
          <w:sz w:val="24"/>
          <w:highlight w:val="none"/>
          <w:u w:val="single"/>
          <w:lang w:val="en-US" w:eastAsia="zh-CN"/>
          <w14:textFill>
            <w14:solidFill>
              <w14:schemeClr w14:val="tx1"/>
            </w14:solidFill>
          </w14:textFill>
        </w:rPr>
        <w:t>4</w:t>
      </w:r>
      <w:r>
        <w:rPr>
          <w:rFonts w:hint="eastAsia" w:ascii="宋体" w:hAnsi="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5</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 xml:space="preserve">10 </w:t>
      </w:r>
      <w:r>
        <w:rPr>
          <w:rFonts w:hint="eastAsia" w:ascii="宋体" w:hAnsi="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9</w:t>
      </w:r>
      <w:r>
        <w:rPr>
          <w:rFonts w:hint="eastAsia" w:ascii="宋体" w:hAnsi="宋体" w:cs="宋体"/>
          <w:color w:val="000000" w:themeColor="text1"/>
          <w:sz w:val="24"/>
          <w:highlight w:val="none"/>
          <w:u w:val="single"/>
          <w14:textFill>
            <w14:solidFill>
              <w14:schemeClr w14:val="tx1"/>
            </w14:solidFill>
          </w14:textFill>
        </w:rPr>
        <w:t>点</w:t>
      </w:r>
      <w:r>
        <w:rPr>
          <w:rFonts w:hint="eastAsia" w:ascii="宋体" w:hAnsi="宋体" w:cs="宋体"/>
          <w:color w:val="000000" w:themeColor="text1"/>
          <w:sz w:val="24"/>
          <w:highlight w:val="none"/>
          <w:u w:val="single"/>
          <w:lang w:val="en-US" w:eastAsia="zh-CN"/>
          <w14:textFill>
            <w14:solidFill>
              <w14:schemeClr w14:val="tx1"/>
            </w14:solidFill>
          </w14:textFill>
        </w:rPr>
        <w:t>30</w:t>
      </w:r>
      <w:r>
        <w:rPr>
          <w:rFonts w:hint="eastAsia" w:ascii="宋体" w:hAnsi="宋体" w:cs="宋体"/>
          <w:color w:val="000000" w:themeColor="text1"/>
          <w:sz w:val="24"/>
          <w:highlight w:val="none"/>
          <w:u w:val="single"/>
          <w14:textFill>
            <w14:solidFill>
              <w14:schemeClr w14:val="tx1"/>
            </w14:solidFill>
          </w14:textFill>
        </w:rPr>
        <w:t>分00秒</w:t>
      </w:r>
      <w:r>
        <w:rPr>
          <w:rFonts w:hint="eastAsia" w:ascii="宋体" w:hAnsi="宋体" w:cs="宋体"/>
          <w:bCs/>
          <w:color w:val="FF0000"/>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4</w:t>
      </w:r>
      <w:r>
        <w:rPr>
          <w:rFonts w:hint="eastAsia" w:ascii="宋体" w:hAnsi="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5</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10</w:t>
      </w:r>
      <w:r>
        <w:rPr>
          <w:rFonts w:hint="eastAsia" w:ascii="宋体" w:hAnsi="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9</w:t>
      </w:r>
      <w:r>
        <w:rPr>
          <w:rFonts w:hint="eastAsia" w:ascii="宋体" w:hAnsi="宋体" w:cs="宋体"/>
          <w:color w:val="000000" w:themeColor="text1"/>
          <w:sz w:val="24"/>
          <w:highlight w:val="none"/>
          <w:u w:val="single"/>
          <w14:textFill>
            <w14:solidFill>
              <w14:schemeClr w14:val="tx1"/>
            </w14:solidFill>
          </w14:textFill>
        </w:rPr>
        <w:t>点</w:t>
      </w:r>
      <w:r>
        <w:rPr>
          <w:rFonts w:hint="eastAsia" w:ascii="宋体" w:hAnsi="宋体" w:cs="宋体"/>
          <w:color w:val="000000" w:themeColor="text1"/>
          <w:sz w:val="24"/>
          <w:highlight w:val="none"/>
          <w:u w:val="single"/>
          <w:lang w:val="en-US" w:eastAsia="zh-CN"/>
          <w14:textFill>
            <w14:solidFill>
              <w14:schemeClr w14:val="tx1"/>
            </w14:solidFill>
          </w14:textFill>
        </w:rPr>
        <w:t>30</w:t>
      </w:r>
      <w:r>
        <w:rPr>
          <w:rFonts w:hint="eastAsia" w:ascii="宋体" w:hAnsi="宋体" w:cs="宋体"/>
          <w:color w:val="000000" w:themeColor="text1"/>
          <w:sz w:val="24"/>
          <w:highlight w:val="none"/>
          <w:u w:val="single"/>
          <w14:textFill>
            <w14:solidFill>
              <w14:schemeClr w14:val="tx1"/>
            </w14:solidFill>
          </w14:textFill>
        </w:rPr>
        <w:t>分00秒</w:t>
      </w:r>
      <w:r>
        <w:rPr>
          <w:rFonts w:hint="eastAsia" w:ascii="宋体" w:hAnsi="宋体" w:cs="宋体"/>
          <w:bCs/>
          <w:color w:val="000000" w:themeColor="text1"/>
          <w:sz w:val="24"/>
          <w:highlight w:val="none"/>
          <w:u w:val="single"/>
          <w14:textFill>
            <w14:solidFill>
              <w14:schemeClr w14:val="tx1"/>
            </w14:solidFill>
          </w14:textFill>
        </w:rPr>
        <w:t xml:space="preserve"> </w:t>
      </w:r>
      <w:r>
        <w:rPr>
          <w:rFonts w:hint="eastAsia" w:ascii="宋体" w:hAnsi="宋体" w:cs="宋体"/>
          <w:bCs/>
          <w:color w:val="auto"/>
          <w:sz w:val="24"/>
          <w:highlight w:val="none"/>
          <w:u w:val="single"/>
          <w:lang w:val="en-US" w:eastAsia="zh-CN"/>
        </w:rPr>
        <w:t>（以公告发布的开标</w:t>
      </w:r>
      <w:r>
        <w:rPr>
          <w:rFonts w:hint="default" w:ascii="宋体" w:hAnsi="宋体" w:cs="宋体"/>
          <w:bCs/>
          <w:color w:val="auto"/>
          <w:sz w:val="24"/>
          <w:highlight w:val="none"/>
          <w:u w:val="single"/>
          <w:lang w:eastAsia="zh-CN"/>
        </w:rPr>
        <w:t>截止</w:t>
      </w:r>
      <w:r>
        <w:rPr>
          <w:rFonts w:hint="eastAsia" w:ascii="宋体" w:hAnsi="宋体" w:cs="宋体"/>
          <w:bCs/>
          <w:color w:val="auto"/>
          <w:sz w:val="24"/>
          <w:highlight w:val="none"/>
          <w:u w:val="single"/>
          <w:lang w:val="en-US" w:eastAsia="zh-CN"/>
        </w:rPr>
        <w:t>时间为准）</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outlineLvl w:val="1"/>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outlineLvl w:val="1"/>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outlineLvl w:val="1"/>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sz w:val="24"/>
          <w:highlight w:val="none"/>
        </w:rPr>
      </w:pPr>
      <w:r>
        <w:rPr>
          <w:rFonts w:hint="eastAsia" w:ascii="宋体" w:hAnsi="宋体" w:cs="宋体"/>
          <w:color w:val="auto"/>
          <w:sz w:val="24"/>
          <w:highlight w:val="none"/>
        </w:rPr>
        <w:t xml:space="preserve">    </w:t>
      </w:r>
      <w:r>
        <w:rPr>
          <w:rFonts w:hint="eastAsia" w:ascii="宋体" w:hAnsi="宋体" w:cs="宋体"/>
          <w:sz w:val="24"/>
          <w:highlight w:val="none"/>
        </w:rPr>
        <w:t>1.采购人信息</w:t>
      </w:r>
    </w:p>
    <w:p>
      <w:pPr>
        <w:spacing w:line="360" w:lineRule="auto"/>
        <w:rPr>
          <w:rFonts w:hint="eastAsia" w:ascii="宋体" w:hAnsi="宋体" w:eastAsia="宋体" w:cs="宋体"/>
          <w:color w:val="auto"/>
          <w:sz w:val="24"/>
          <w:highlight w:val="none"/>
          <w:lang w:eastAsia="zh-CN"/>
        </w:rPr>
      </w:pPr>
      <w:r>
        <w:rPr>
          <w:rFonts w:hint="eastAsia" w:ascii="宋体" w:hAnsi="宋体" w:cs="宋体"/>
          <w:sz w:val="24"/>
          <w:highlight w:val="none"/>
        </w:rPr>
        <w:t xml:space="preserve"> </w:t>
      </w:r>
      <w:r>
        <w:rPr>
          <w:rFonts w:hint="eastAsia" w:ascii="宋体" w:hAnsi="宋体" w:cs="宋体"/>
          <w:color w:val="auto"/>
          <w:sz w:val="24"/>
          <w:highlight w:val="none"/>
        </w:rPr>
        <w:t xml:space="preserve">   名    称：</w:t>
      </w:r>
      <w:r>
        <w:rPr>
          <w:rFonts w:hint="eastAsia" w:ascii="宋体" w:hAnsi="宋体" w:cs="宋体"/>
          <w:color w:val="auto"/>
          <w:sz w:val="24"/>
          <w:highlight w:val="none"/>
          <w:lang w:eastAsia="zh-CN"/>
        </w:rPr>
        <w:t>杭州市红缨幼儿园</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 </w:t>
      </w:r>
      <w:r>
        <w:rPr>
          <w:rFonts w:hint="eastAsia" w:ascii="宋体" w:hAnsi="宋体" w:cs="宋体"/>
          <w:color w:val="auto"/>
          <w:sz w:val="24"/>
          <w:highlight w:val="none"/>
          <w:lang w:eastAsia="zh-CN"/>
        </w:rPr>
        <w:t>杭州市仓基新村</w:t>
      </w:r>
      <w:r>
        <w:rPr>
          <w:rFonts w:hint="eastAsia" w:ascii="宋体" w:hAnsi="宋体" w:cs="宋体"/>
          <w:color w:val="auto"/>
          <w:sz w:val="24"/>
          <w:highlight w:val="none"/>
          <w:lang w:val="en-US" w:eastAsia="zh-CN"/>
        </w:rPr>
        <w:t>45号</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项目联系人（询问）： </w:t>
      </w:r>
      <w:r>
        <w:rPr>
          <w:rFonts w:hint="eastAsia" w:ascii="宋体" w:hAnsi="宋体" w:cs="宋体"/>
          <w:color w:val="auto"/>
          <w:sz w:val="24"/>
          <w:highlight w:val="none"/>
          <w:lang w:eastAsia="zh-CN"/>
        </w:rPr>
        <w:t>陈老师</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13071859733</w:t>
      </w:r>
      <w:r>
        <w:rPr>
          <w:rFonts w:hint="eastAsia" w:ascii="宋体" w:hAnsi="宋体" w:cs="宋体"/>
          <w:color w:val="auto"/>
          <w:sz w:val="24"/>
          <w:highlight w:val="none"/>
        </w:rPr>
        <w:t xml:space="preserve">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质疑联系人：</w:t>
      </w:r>
      <w:r>
        <w:rPr>
          <w:rFonts w:hint="eastAsia" w:ascii="宋体" w:hAnsi="宋体" w:cs="宋体"/>
          <w:color w:val="auto"/>
          <w:sz w:val="24"/>
          <w:highlight w:val="none"/>
          <w:lang w:eastAsia="zh-CN"/>
        </w:rPr>
        <w:t>陶老师</w:t>
      </w:r>
      <w:r>
        <w:rPr>
          <w:rFonts w:hint="eastAsia" w:ascii="宋体" w:hAnsi="宋体" w:cs="宋体"/>
          <w:color w:val="auto"/>
          <w:sz w:val="24"/>
          <w:highlight w:val="none"/>
        </w:rPr>
        <w:t xml:space="preserve">    </w:t>
      </w:r>
    </w:p>
    <w:p>
      <w:pPr>
        <w:spacing w:line="360" w:lineRule="auto"/>
        <w:ind w:firstLine="48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质疑联系方式：</w:t>
      </w:r>
      <w:r>
        <w:rPr>
          <w:rFonts w:hint="eastAsia" w:ascii="宋体" w:hAnsi="宋体" w:cs="宋体"/>
          <w:color w:val="auto"/>
          <w:sz w:val="24"/>
          <w:highlight w:val="none"/>
          <w:lang w:val="en-US" w:eastAsia="zh-CN"/>
        </w:rPr>
        <w:t>18969132610</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名    称：杭州市公共资源交易中心拱墅分中心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地    址：杭州市拱墅区香积寺东路58号3楼</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项目联系人（询问）： </w:t>
      </w:r>
      <w:r>
        <w:rPr>
          <w:rFonts w:hint="eastAsia" w:ascii="宋体" w:hAnsi="宋体" w:cs="宋体"/>
          <w:color w:val="auto"/>
          <w:sz w:val="24"/>
          <w:highlight w:val="none"/>
          <w:lang w:val="en-US" w:eastAsia="zh-CN"/>
        </w:rPr>
        <w:t>王工</w:t>
      </w:r>
    </w:p>
    <w:p>
      <w:pPr>
        <w:spacing w:line="360" w:lineRule="auto"/>
        <w:ind w:firstLine="48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项目联系方式（询问）：</w:t>
      </w:r>
      <w:r>
        <w:rPr>
          <w:rFonts w:hint="eastAsia" w:ascii="宋体" w:hAnsi="宋体" w:cs="宋体"/>
          <w:color w:val="auto"/>
          <w:sz w:val="24"/>
          <w:highlight w:val="none"/>
          <w:lang w:val="en-US" w:eastAsia="zh-CN"/>
        </w:rPr>
        <w:t>0571-89507161</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质疑联系人：</w:t>
      </w:r>
      <w:r>
        <w:rPr>
          <w:rFonts w:hint="eastAsia" w:ascii="宋体" w:hAnsi="宋体" w:cs="宋体"/>
          <w:color w:val="auto"/>
          <w:sz w:val="24"/>
          <w:highlight w:val="none"/>
          <w:lang w:val="en-US" w:eastAsia="zh-CN"/>
        </w:rPr>
        <w:t>陈工</w:t>
      </w:r>
      <w:r>
        <w:rPr>
          <w:rFonts w:hint="eastAsia" w:ascii="宋体" w:hAnsi="宋体" w:cs="宋体"/>
          <w:color w:val="auto"/>
          <w:sz w:val="24"/>
          <w:highlight w:val="none"/>
        </w:rPr>
        <w:t xml:space="preserve">  </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质疑联系方式：0571-865982</w:t>
      </w:r>
      <w:r>
        <w:rPr>
          <w:rFonts w:hint="eastAsia" w:ascii="宋体" w:hAnsi="宋体" w:cs="宋体"/>
          <w:color w:val="auto"/>
          <w:sz w:val="24"/>
          <w:highlight w:val="none"/>
          <w:lang w:val="en-US" w:eastAsia="zh-CN"/>
        </w:rPr>
        <w:t>53</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名    称：</w:t>
      </w:r>
      <w:r>
        <w:rPr>
          <w:rFonts w:hint="eastAsia" w:ascii="宋体" w:hAnsi="宋体" w:eastAsia="宋体" w:cs="宋体"/>
          <w:color w:val="auto"/>
          <w:sz w:val="24"/>
          <w:highlight w:val="none"/>
          <w:lang w:eastAsia="zh-CN"/>
        </w:rPr>
        <w:t>杭州市拱墅区财政局政府采购监管处</w:t>
      </w:r>
      <w:r>
        <w:rPr>
          <w:rFonts w:hint="eastAsia" w:ascii="宋体" w:hAnsi="宋体" w:cs="宋体"/>
          <w:color w:val="auto"/>
          <w:sz w:val="24"/>
          <w:highlight w:val="none"/>
        </w:rPr>
        <w:t>/浙江省政府采购行政裁决服务中心（杭州）</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址：杭州市上城区四季青街道新业路市民之家G03办公室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联系人 ：朱女士、王女士</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监督投诉电话：电话：0571-85252453</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政策咨询：彭先生</w:t>
      </w: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0571-89505676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w:t>
      </w:r>
      <w:r>
        <w:rPr>
          <w:rFonts w:hint="eastAsia" w:ascii="微软雅黑" w:hAnsi="微软雅黑" w:eastAsia="微软雅黑"/>
          <w:color w:val="auto"/>
          <w:szCs w:val="21"/>
          <w:highlight w:val="none"/>
          <w:shd w:val="clear" w:color="auto" w:fill="FFFFFF"/>
        </w:rPr>
        <w:t>95763</w:t>
      </w:r>
      <w:r>
        <w:rPr>
          <w:rFonts w:hint="eastAsia" w:ascii="宋体" w:hAnsi="宋体" w:cs="宋体"/>
          <w:color w:val="auto"/>
          <w:sz w:val="24"/>
          <w:highlight w:val="none"/>
        </w:rPr>
        <w:t>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1"/>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（1）标的：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物业服务</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lang w:eastAsia="zh-CN"/>
              </w:rPr>
              <w:t>物业管理</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行业；</w:t>
            </w:r>
          </w:p>
          <w:p>
            <w:pPr>
              <w:pStyle w:val="5"/>
              <w:ind w:left="0" w:leftChars="0" w:firstLine="0" w:firstLineChars="0"/>
              <w:rPr>
                <w:rFonts w:ascii="宋体" w:hAnsi="宋体" w:eastAsia="宋体" w:cs="宋体"/>
                <w:color w:val="auto"/>
                <w:highlight w:val="none"/>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22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2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采购进口产品。优先采购向我国企业转让技术、与我国企业签订消化吸收再创新方案的供应商的进口产品，详见</w:t>
            </w:r>
            <w:r>
              <w:rPr>
                <w:rFonts w:hint="eastAsia" w:ascii="宋体" w:hAnsi="宋体" w:cs="宋体"/>
                <w:color w:val="auto"/>
                <w:kern w:val="0"/>
                <w:sz w:val="24"/>
                <w:highlight w:val="none"/>
                <w:u w:val="single"/>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auto"/>
                <w:sz w:val="24"/>
                <w:highlight w:val="none"/>
                <w:lang w:eastAsia="zh-CN"/>
              </w:rPr>
            </w:pPr>
            <w:sdt>
              <w:sdtPr>
                <w:rPr>
                  <w:rFonts w:hint="eastAsia" w:ascii="宋体" w:hAnsi="宋体" w:cs="宋体"/>
                  <w:color w:val="auto"/>
                  <w:kern w:val="0"/>
                  <w:sz w:val="24"/>
                  <w:highlight w:val="none"/>
                </w:rPr>
                <w:id w:val="225"/>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延时加班</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w:t>
            </w:r>
            <w:r>
              <w:rPr>
                <w:rFonts w:hint="eastAsia" w:ascii="宋体" w:hAnsi="宋体" w:cs="宋体"/>
                <w:color w:val="auto"/>
                <w:sz w:val="24"/>
                <w:highlight w:val="none"/>
                <w:lang w:eastAsia="zh-CN"/>
              </w:rPr>
              <w:t>分包</w:t>
            </w:r>
          </w:p>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26"/>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22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2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B要求提供（未提供样品或提供样品不满足采购需求实质性条件的供应商，投标无效）：</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hint="eastAsia" w:ascii="宋体" w:hAnsi="宋体" w:cs="宋体"/>
                <w:snapToGrid w:val="0"/>
                <w:color w:val="auto"/>
                <w:kern w:val="28"/>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w:t>
            </w:r>
          </w:p>
          <w:p>
            <w:pPr>
              <w:spacing w:line="360" w:lineRule="auto"/>
              <w:ind w:firstLine="240" w:firstLineChars="100"/>
              <w:rPr>
                <w:rFonts w:ascii="宋体" w:hAnsi="宋体" w:cs="宋体"/>
                <w:color w:val="auto"/>
                <w:sz w:val="24"/>
                <w:highlight w:val="none"/>
              </w:rPr>
            </w:pPr>
            <w:sdt>
              <w:sdtPr>
                <w:rPr>
                  <w:rFonts w:hint="eastAsia" w:ascii="宋体" w:hAnsi="宋体" w:cs="宋体"/>
                  <w:color w:val="auto"/>
                  <w:kern w:val="0"/>
                  <w:sz w:val="24"/>
                  <w:highlight w:val="none"/>
                </w:rPr>
                <w:id w:val="23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样品分未超过价格分的50%；</w:t>
            </w:r>
          </w:p>
          <w:p>
            <w:pPr>
              <w:spacing w:line="360" w:lineRule="auto"/>
              <w:ind w:firstLine="240" w:firstLineChars="100"/>
              <w:rPr>
                <w:rFonts w:ascii="宋体" w:hAnsi="宋体" w:cs="宋体"/>
                <w:color w:val="auto"/>
                <w:kern w:val="0"/>
                <w:sz w:val="24"/>
                <w:highlight w:val="none"/>
              </w:rPr>
            </w:pPr>
            <w:sdt>
              <w:sdtPr>
                <w:rPr>
                  <w:rFonts w:hint="eastAsia" w:ascii="宋体" w:hAnsi="宋体" w:cs="宋体"/>
                  <w:color w:val="auto"/>
                  <w:kern w:val="0"/>
                  <w:sz w:val="24"/>
                  <w:highlight w:val="none"/>
                </w:rPr>
                <w:id w:val="232"/>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样品分超过价格分的50%，理由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240" w:firstLineChars="100"/>
              <w:rPr>
                <w:rFonts w:ascii="宋体" w:hAnsi="宋体" w:cs="宋体"/>
                <w:color w:val="auto"/>
                <w:kern w:val="0"/>
                <w:sz w:val="24"/>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评标办分法</w:t>
            </w:r>
            <w:r>
              <w:rPr>
                <w:rFonts w:hint="eastAsia" w:ascii="宋体" w:hAnsi="宋体" w:cs="宋体"/>
                <w:color w:val="auto"/>
                <w:kern w:val="0"/>
                <w:sz w:val="24"/>
                <w:highlight w:val="none"/>
              </w:rPr>
              <w:t xml:space="preserve">。 </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日9点00分至202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日9点30分；地点：杭州市拱墅区香积寺东路58号3楼样品陈列室 ；联系人:</w:t>
            </w:r>
            <w:r>
              <w:rPr>
                <w:rFonts w:hint="eastAsia" w:ascii="宋体" w:hAnsi="宋体" w:cs="宋体"/>
                <w:color w:val="auto"/>
                <w:sz w:val="24"/>
                <w:highlight w:val="none"/>
                <w:u w:val="single"/>
              </w:rPr>
              <w:t>孙工</w:t>
            </w:r>
            <w:r>
              <w:rPr>
                <w:rFonts w:hint="eastAsia" w:ascii="宋体" w:hAnsi="宋体" w:cs="宋体"/>
                <w:color w:val="auto"/>
                <w:sz w:val="24"/>
                <w:highlight w:val="none"/>
              </w:rPr>
              <w:t>，联系电话：</w:t>
            </w:r>
            <w:r>
              <w:rPr>
                <w:rFonts w:hint="eastAsia" w:ascii="宋体" w:hAnsi="宋体" w:cs="宋体"/>
                <w:color w:val="auto"/>
                <w:sz w:val="24"/>
                <w:highlight w:val="none"/>
                <w:u w:val="single"/>
              </w:rPr>
              <w:t>0571-</w:t>
            </w:r>
            <w:r>
              <w:rPr>
                <w:rFonts w:hint="eastAsia" w:ascii="宋体" w:hAnsi="宋体" w:cs="宋体"/>
                <w:color w:val="auto"/>
                <w:sz w:val="24"/>
                <w:highlight w:val="none"/>
                <w:u w:val="single"/>
                <w:lang w:val="en-US" w:eastAsia="zh-CN"/>
              </w:rPr>
              <w:t>89507115</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35"/>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val="0"/>
                <w:bCs/>
                <w:color w:val="auto"/>
                <w:sz w:val="24"/>
                <w:highlight w:val="none"/>
              </w:rPr>
            </w:pPr>
            <w:r>
              <w:rPr>
                <w:rFonts w:hint="eastAsia" w:ascii="宋体" w:hAnsi="宋体" w:cs="宋体"/>
                <w:b/>
                <w:bCs w:val="0"/>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有关本项目实施所需的所有费用（含税费）均计入报价。投标文件</w:t>
            </w:r>
            <w:r>
              <w:rPr>
                <w:rFonts w:hint="eastAsia" w:ascii="宋体" w:hAnsi="宋体" w:cs="宋体"/>
                <w:b w:val="0"/>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b w:val="0"/>
                <w:bCs/>
                <w:color w:val="auto"/>
                <w:kern w:val="0"/>
                <w:sz w:val="24"/>
                <w:highlight w:val="none"/>
                <w:lang w:val="zh-CN"/>
              </w:rPr>
              <w:t>投标文件中价格全部采用人民币报价。招标文件未列明，而投标人认为必需的费用也需列入报价。提醒：验收时检测费用由采购人承担，不包含在投标总价中。</w:t>
            </w:r>
          </w:p>
          <w:p>
            <w:pPr>
              <w:snapToGrid w:val="0"/>
              <w:spacing w:line="360" w:lineRule="auto"/>
              <w:jc w:val="left"/>
              <w:rPr>
                <w:rFonts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投标报价出现下列情形的，投标无效：</w:t>
            </w:r>
          </w:p>
          <w:p>
            <w:pPr>
              <w:snapToGrid w:val="0"/>
              <w:spacing w:line="360" w:lineRule="auto"/>
              <w:ind w:firstLine="240" w:firstLineChars="100"/>
              <w:jc w:val="left"/>
              <w:rPr>
                <w:rFonts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投标文件出现不是唯一的、有选择性投标报价的；</w:t>
            </w:r>
          </w:p>
          <w:p>
            <w:pPr>
              <w:snapToGrid w:val="0"/>
              <w:spacing w:line="360" w:lineRule="auto"/>
              <w:ind w:firstLine="240" w:firstLineChars="100"/>
              <w:jc w:val="left"/>
              <w:rPr>
                <w:rFonts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投标报价超过招标文件中规定的预算金额或者最高限价的;</w:t>
            </w:r>
          </w:p>
          <w:p>
            <w:pPr>
              <w:spacing w:line="360" w:lineRule="auto"/>
              <w:ind w:firstLine="240" w:firstLineChars="100"/>
              <w:rPr>
                <w:rFonts w:ascii="宋体" w:hAnsi="宋体" w:cs="宋体"/>
                <w:b w:val="0"/>
                <w:bCs/>
                <w:color w:val="auto"/>
                <w:sz w:val="24"/>
                <w:highlight w:val="none"/>
              </w:rPr>
            </w:pPr>
            <w:r>
              <w:rPr>
                <w:rFonts w:hint="eastAsia" w:ascii="宋体" w:hAnsi="宋体" w:cs="宋体"/>
                <w:b w:val="0"/>
                <w:bCs/>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val="0"/>
                <w:bCs/>
                <w:color w:val="auto"/>
                <w:sz w:val="24"/>
                <w:szCs w:val="21"/>
                <w:highlight w:val="none"/>
              </w:rPr>
              <w:t>;</w:t>
            </w:r>
          </w:p>
          <w:p>
            <w:pPr>
              <w:spacing w:line="360" w:lineRule="auto"/>
              <w:ind w:firstLine="240" w:firstLineChars="100"/>
              <w:rPr>
                <w:rFonts w:ascii="宋体" w:hAnsi="宋体" w:cs="宋体"/>
                <w:b w:val="0"/>
                <w:bCs/>
                <w:color w:val="auto"/>
                <w:sz w:val="24"/>
                <w:highlight w:val="none"/>
              </w:rPr>
            </w:pPr>
            <w:r>
              <w:rPr>
                <w:rFonts w:hint="eastAsia" w:ascii="宋体" w:hAnsi="宋体" w:cs="宋体"/>
                <w:b w:val="0"/>
                <w:bCs/>
                <w:color w:val="auto"/>
                <w:kern w:val="0"/>
                <w:sz w:val="24"/>
                <w:highlight w:val="none"/>
              </w:rPr>
              <w:t>投标人对根据修正原则修正后的报价不确认的</w:t>
            </w:r>
            <w:r>
              <w:rPr>
                <w:rFonts w:hint="eastAsia" w:ascii="宋体" w:hAnsi="宋体" w:cs="宋体"/>
                <w:b w:val="0"/>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b w:val="0"/>
                <w:bCs w:val="0"/>
                <w:color w:val="auto"/>
                <w:kern w:val="28"/>
                <w:sz w:val="24"/>
                <w:highlight w:val="none"/>
              </w:rPr>
            </w:pPr>
            <w:r>
              <w:rPr>
                <w:rFonts w:hint="eastAsia" w:hAnsi="宋体" w:cs="宋体"/>
                <w:b w:val="0"/>
                <w:bCs w:val="0"/>
                <w:color w:val="auto"/>
                <w:kern w:val="28"/>
                <w:sz w:val="24"/>
                <w:szCs w:val="24"/>
                <w:highlight w:val="none"/>
              </w:rPr>
              <w:t>备份投标文件送达地点：</w:t>
            </w:r>
            <w:r>
              <w:rPr>
                <w:rFonts w:hint="eastAsia" w:cs="Times New Roman" w:asciiTheme="minorEastAsia" w:hAnsiTheme="minorEastAsia" w:eastAsiaTheme="minorEastAsia"/>
                <w:b w:val="0"/>
                <w:bCs w:val="0"/>
                <w:color w:val="auto"/>
                <w:kern w:val="28"/>
                <w:sz w:val="24"/>
                <w:szCs w:val="24"/>
                <w:highlight w:val="none"/>
                <w:u w:val="single"/>
              </w:rPr>
              <w:t>杭州市拱墅区香积寺东路58号3楼</w:t>
            </w:r>
            <w:r>
              <w:rPr>
                <w:rFonts w:hint="eastAsia" w:cs="Times New Roman" w:asciiTheme="minorEastAsia" w:hAnsiTheme="minorEastAsia" w:eastAsiaTheme="minorEastAsia"/>
                <w:b w:val="0"/>
                <w:bCs w:val="0"/>
                <w:color w:val="auto"/>
                <w:kern w:val="28"/>
                <w:sz w:val="24"/>
                <w:szCs w:val="24"/>
                <w:highlight w:val="none"/>
                <w:u w:val="single"/>
                <w:lang w:val="en-US" w:eastAsia="zh-CN"/>
              </w:rPr>
              <w:t>353办公室</w:t>
            </w:r>
            <w:r>
              <w:rPr>
                <w:rFonts w:hint="eastAsia" w:cs="Times New Roman" w:asciiTheme="minorEastAsia" w:hAnsiTheme="minorEastAsia" w:eastAsiaTheme="minorEastAsia"/>
                <w:b w:val="0"/>
                <w:bCs w:val="0"/>
                <w:color w:val="auto"/>
                <w:kern w:val="28"/>
                <w:sz w:val="24"/>
                <w:szCs w:val="24"/>
                <w:highlight w:val="none"/>
                <w:u w:val="single"/>
              </w:rPr>
              <w:t>（杭州市公共资源交易中心拱墅分中心）</w:t>
            </w:r>
            <w:r>
              <w:rPr>
                <w:rFonts w:hint="eastAsia" w:hAnsi="宋体" w:cs="宋体"/>
                <w:b w:val="0"/>
                <w:bCs w:val="0"/>
                <w:color w:val="auto"/>
                <w:sz w:val="24"/>
                <w:highlight w:val="none"/>
                <w:u w:val="single"/>
              </w:rPr>
              <w:t xml:space="preserve"> </w:t>
            </w:r>
            <w:r>
              <w:rPr>
                <w:rFonts w:hint="eastAsia" w:hAnsi="宋体" w:cs="宋体"/>
                <w:b w:val="0"/>
                <w:bCs w:val="0"/>
                <w:color w:val="auto"/>
                <w:kern w:val="28"/>
                <w:sz w:val="24"/>
                <w:szCs w:val="24"/>
                <w:highlight w:val="none"/>
              </w:rPr>
              <w:t>；备份投标文件签收人员联系电话：</w:t>
            </w:r>
            <w:r>
              <w:rPr>
                <w:rFonts w:hint="eastAsia" w:hAnsi="宋体" w:cs="宋体"/>
                <w:b w:val="0"/>
                <w:bCs w:val="0"/>
                <w:color w:val="auto"/>
                <w:sz w:val="24"/>
                <w:highlight w:val="none"/>
                <w:u w:val="single"/>
              </w:rPr>
              <w:t xml:space="preserve"> 0571-</w:t>
            </w:r>
            <w:r>
              <w:rPr>
                <w:rFonts w:hint="eastAsia" w:hAnsi="宋体" w:cs="宋体"/>
                <w:b w:val="0"/>
                <w:bCs w:val="0"/>
                <w:color w:val="auto"/>
                <w:sz w:val="24"/>
                <w:highlight w:val="none"/>
                <w:u w:val="single"/>
                <w:lang w:val="en-US" w:eastAsia="zh-CN"/>
              </w:rPr>
              <w:t>89507163</w:t>
            </w:r>
            <w:r>
              <w:rPr>
                <w:rFonts w:hint="eastAsia" w:hAnsi="宋体" w:cs="宋体"/>
                <w:b w:val="0"/>
                <w:bCs w:val="0"/>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7"/>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联合体投标的，联合体各方均需按招标文件第四部分评标标准要求提供资信证明文件，否则视为不符合相关要求。招标文件第四部分评分标准有其他规定的，从其规定。</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8"/>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rPr>
              <w:t>评审因素对应的要求视为采购需求的一部分。</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1"/>
        <w:rPr>
          <w:rFonts w:ascii="宋体" w:hAnsi="宋体" w:cs="宋体"/>
          <w:b/>
          <w:color w:val="auto"/>
          <w:sz w:val="32"/>
          <w:szCs w:val="20"/>
          <w:highlight w:val="none"/>
        </w:rPr>
      </w:pPr>
      <w:bookmarkStart w:id="11" w:name="_Toc164416483"/>
      <w:bookmarkStart w:id="12" w:name="第三部分"/>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9"/>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9"/>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“采购机构”系指招标公告中载明的本项目的采购机构。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2.6“电子交易平台”是指本项目政府采购活动所依托的政府采购云平台（https://www.zcygov.cn/）。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r>
        <w:rPr>
          <w:rFonts w:hint="eastAsia" w:ascii="宋体" w:hAnsi="宋体" w:eastAsia="宋体" w:cs="宋体"/>
          <w:b/>
          <w:color w:val="auto"/>
          <w:sz w:val="24"/>
          <w:szCs w:val="24"/>
          <w:highlight w:val="none"/>
        </w:rPr>
        <w:t>投标人必须全部响应，否则将作无效标处理。</w:t>
      </w:r>
      <w:r>
        <w:rPr>
          <w:rFonts w:hint="eastAsia" w:ascii="宋体" w:hAnsi="宋体" w:cs="宋体"/>
          <w:color w:val="auto"/>
          <w:sz w:val="24"/>
          <w:highlight w:val="none"/>
        </w:rPr>
        <w:t>“</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%的扣除（</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评标办分法明确具体的扣除比例，未明确的，</w:t>
      </w:r>
      <w:r>
        <w:rPr>
          <w:rFonts w:hint="eastAsia" w:ascii="宋体" w:hAnsi="宋体" w:cs="宋体"/>
          <w:color w:val="auto"/>
          <w:sz w:val="24"/>
          <w:highlight w:val="none"/>
        </w:rPr>
        <w:t>给予</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评标办分法明确具体的扣除比例，未明确的，</w:t>
      </w:r>
      <w:r>
        <w:rPr>
          <w:rFonts w:hint="eastAsia" w:ascii="宋体" w:hAnsi="宋体" w:cs="宋体"/>
          <w:color w:val="auto"/>
          <w:sz w:val="24"/>
          <w:highlight w:val="none"/>
        </w:rPr>
        <w:t>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3"/>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3"/>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3"/>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浙江省本级、杭州市本级、拱墅区、富阳区政府采购项目投诉材料可寄送浙江省政府采购行政裁决服务中心（杭州），地址：杭州市上城区四季青街道新业路市民之家G03办公室，收件人：朱女士，电话：15121014815。</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28"/>
        <w:snapToGrid w:val="0"/>
        <w:spacing w:before="0"/>
        <w:ind w:firstLine="360"/>
        <w:rPr>
          <w:rFonts w:ascii="宋体" w:hAnsi="宋体" w:cs="宋体"/>
          <w:color w:val="auto"/>
          <w:sz w:val="18"/>
          <w:szCs w:val="18"/>
          <w:highlight w:val="none"/>
        </w:rPr>
      </w:pPr>
    </w:p>
    <w:p>
      <w:pPr>
        <w:adjustRightInd/>
        <w:spacing w:line="360" w:lineRule="auto"/>
        <w:jc w:val="center"/>
        <w:outlineLvl w:val="1"/>
        <w:rPr>
          <w:rFonts w:ascii="宋体" w:hAnsi="宋体" w:cs="宋体"/>
          <w:b/>
          <w:color w:val="auto"/>
          <w:sz w:val="32"/>
          <w:szCs w:val="20"/>
          <w:highlight w:val="none"/>
        </w:rPr>
      </w:pPr>
      <w:r>
        <w:rPr>
          <w:rFonts w:hint="eastAsia" w:ascii="宋体" w:hAnsi="宋体" w:cs="宋体"/>
          <w:b/>
          <w:color w:val="auto"/>
          <w:sz w:val="32"/>
          <w:szCs w:val="20"/>
          <w:highlight w:val="none"/>
        </w:rPr>
        <w:t>二、招标文件的构成、澄清、修改</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6.1已获取招标文件的潜在投标人，若有问题需要澄清，应于投标截止时间前，以书面形式向采购机构提出。</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1"/>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7"/>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28"/>
        <w:snapToGrid w:val="0"/>
        <w:spacing w:before="0"/>
        <w:ind w:firstLine="0" w:firstLineChars="0"/>
        <w:outlineLvl w:val="9"/>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28"/>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28"/>
        <w:keepNext w:val="0"/>
        <w:keepLines w:val="0"/>
        <w:pageBreakBefore w:val="0"/>
        <w:widowControl w:val="0"/>
        <w:kinsoku/>
        <w:wordWrap/>
        <w:overflowPunct/>
        <w:topLinePunct w:val="0"/>
        <w:autoSpaceDE/>
        <w:autoSpaceDN/>
        <w:bidi w:val="0"/>
        <w:adjustRightInd w:val="0"/>
        <w:snapToGrid/>
        <w:spacing w:before="0"/>
        <w:ind w:firstLine="0" w:firstLineChars="0"/>
        <w:textAlignment w:val="auto"/>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28"/>
        <w:keepNext w:val="0"/>
        <w:keepLines w:val="0"/>
        <w:pageBreakBefore w:val="0"/>
        <w:widowControl w:val="0"/>
        <w:kinsoku/>
        <w:wordWrap/>
        <w:overflowPunct/>
        <w:topLinePunct w:val="0"/>
        <w:autoSpaceDE/>
        <w:autoSpaceDN/>
        <w:bidi w:val="0"/>
        <w:adjustRightInd w:val="0"/>
        <w:snapToGrid/>
        <w:spacing w:before="0"/>
        <w:ind w:firstLine="480"/>
        <w:textAlignment w:val="auto"/>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8"/>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3"/>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但采购人、采购机构不强制或变相强制投标人提交备份投标文件。</w:t>
      </w:r>
    </w:p>
    <w:p>
      <w:pPr>
        <w:pStyle w:val="33"/>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5"/>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28"/>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28"/>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480"/>
        <w:rPr>
          <w:rFonts w:hint="eastAsia" w:ascii="宋体" w:hAnsi="宋体" w:cs="宋体"/>
          <w:color w:val="auto"/>
          <w:highlight w:val="none"/>
        </w:rPr>
      </w:pPr>
      <w:r>
        <w:rPr>
          <w:rFonts w:hint="eastAsia" w:ascii="宋体" w:hAnsi="宋体" w:cs="宋体"/>
          <w:color w:val="auto"/>
          <w:highlight w:val="none"/>
        </w:rPr>
        <w:t>17.4在投标截止时间起至投标有效期届满，供应商投标文件不可撤销。</w:t>
      </w:r>
    </w:p>
    <w:p>
      <w:pPr>
        <w:pStyle w:val="128"/>
        <w:spacing w:before="0"/>
        <w:ind w:firstLine="643"/>
        <w:rPr>
          <w:rFonts w:ascii="宋体" w:hAnsi="宋体" w:cs="宋体"/>
          <w:b/>
          <w:color w:val="auto"/>
          <w:sz w:val="32"/>
          <w:highlight w:val="none"/>
        </w:rPr>
      </w:pPr>
    </w:p>
    <w:p>
      <w:pPr>
        <w:pStyle w:val="128"/>
        <w:spacing w:before="0"/>
        <w:ind w:firstLine="1928" w:firstLineChars="600"/>
        <w:outlineLvl w:val="1"/>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4"/>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4"/>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widowControl/>
        <w:spacing w:before="100" w:beforeAutospacing="1" w:after="240" w:line="360" w:lineRule="auto"/>
        <w:ind w:firstLine="241" w:firstLineChars="100"/>
        <w:jc w:val="left"/>
        <w:rPr>
          <w:rFonts w:ascii="宋体" w:hAnsi="宋体" w:cs="宋体"/>
          <w:b/>
          <w:color w:val="auto"/>
          <w:sz w:val="24"/>
          <w:highlight w:val="none"/>
        </w:rPr>
      </w:pPr>
      <w:r>
        <w:rPr>
          <w:rFonts w:hint="eastAsia" w:ascii="宋体" w:hAnsi="宋体" w:cs="宋体"/>
          <w:b/>
          <w:color w:val="auto"/>
          <w:sz w:val="24"/>
          <w:highlight w:val="none"/>
        </w:rPr>
        <w:t>20、信用信息查询</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20.1信用信息查询渠道及截止时间：采购机构将在资格审查时通过“信用中国”网站(www.creditchina.gov.cn)、中国政府采购网(www.ccgp.gov.cn)渠道查询投标人接受资格时的信用记录。</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28"/>
        <w:spacing w:before="0"/>
        <w:ind w:firstLine="0" w:firstLineChars="0"/>
        <w:rPr>
          <w:rFonts w:ascii="宋体" w:hAnsi="宋体" w:cs="宋体"/>
          <w:color w:val="auto"/>
          <w:kern w:val="0"/>
          <w:szCs w:val="24"/>
          <w:highlight w:val="none"/>
        </w:rPr>
      </w:pPr>
    </w:p>
    <w:p>
      <w:pPr>
        <w:snapToGrid w:val="0"/>
        <w:spacing w:line="360" w:lineRule="auto"/>
        <w:jc w:val="center"/>
        <w:outlineLvl w:val="1"/>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1"/>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5"/>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28"/>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成交通知书和中标、成交结果公告应当在规定时间内同时发出。</w:t>
      </w:r>
    </w:p>
    <w:p>
      <w:pPr>
        <w:pStyle w:val="128"/>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outlineLvl w:val="1"/>
        <w:rPr>
          <w:rFonts w:ascii="宋体" w:hAnsi="宋体" w:cs="宋体"/>
          <w:b/>
          <w:color w:val="auto"/>
          <w:sz w:val="32"/>
          <w:highlight w:val="none"/>
        </w:rPr>
      </w:pPr>
      <w:r>
        <w:rPr>
          <w:rFonts w:hint="eastAsia" w:ascii="宋体" w:hAnsi="宋体" w:cs="宋体"/>
          <w:b/>
          <w:color w:val="auto"/>
          <w:sz w:val="32"/>
          <w:highlight w:val="none"/>
        </w:rPr>
        <w:t>七、合同授予</w:t>
      </w:r>
    </w:p>
    <w:p>
      <w:pPr>
        <w:pStyle w:val="25"/>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5"/>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tabs>
          <w:tab w:val="left" w:pos="432"/>
        </w:tabs>
        <w:spacing w:line="360" w:lineRule="auto"/>
        <w:ind w:left="0" w:firstLine="480" w:firstLineChars="200"/>
        <w:outlineLvl w:val="9"/>
        <w:rPr>
          <w:rFonts w:ascii="宋体" w:hAnsi="宋体" w:eastAsia="宋体" w:cs="宋体"/>
          <w:color w:val="auto"/>
          <w:highlight w:val="none"/>
          <w:lang w:val="en-US"/>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outlineLvl w:val="1"/>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28"/>
        <w:snapToGrid w:val="0"/>
        <w:spacing w:before="0"/>
        <w:ind w:firstLine="0" w:firstLineChars="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b/>
          <w:color w:val="auto"/>
          <w:szCs w:val="24"/>
          <w:highlight w:val="none"/>
        </w:rPr>
        <w:t>7.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 xml:space="preserve">27.1电子交易平台发生故障而无法登录访问的； </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27.2电子交易平台应用或数据库出现错误，不能进行正常操作的；</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27.3电子交易平台发现严重安全漏洞，有潜在泄密危险的；</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 xml:space="preserve">27.4病毒发作导致不能进行正常操作的； </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27.5其他无法保证电子交易的公平、公正和安全的情况。</w:t>
      </w:r>
    </w:p>
    <w:p>
      <w:pPr>
        <w:pStyle w:val="128"/>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outlineLvl w:val="1"/>
        <w:rPr>
          <w:rFonts w:ascii="宋体" w:hAnsi="宋体" w:cs="宋体"/>
          <w:b/>
          <w:color w:val="auto"/>
          <w:sz w:val="32"/>
          <w:highlight w:val="none"/>
        </w:rPr>
      </w:pPr>
      <w:r>
        <w:rPr>
          <w:rFonts w:hint="eastAsia" w:ascii="宋体" w:hAnsi="宋体" w:cs="宋体"/>
          <w:b/>
          <w:color w:val="auto"/>
          <w:sz w:val="32"/>
          <w:highlight w:val="none"/>
        </w:rPr>
        <w:t>九、验收</w:t>
      </w:r>
    </w:p>
    <w:p>
      <w:pPr>
        <w:pStyle w:val="25"/>
        <w:spacing w:line="360" w:lineRule="auto"/>
        <w:ind w:firstLine="0" w:firstLineChars="0"/>
        <w:rPr>
          <w:rFonts w:cs="宋体"/>
          <w:b/>
          <w:color w:val="auto"/>
          <w:highlight w:val="none"/>
        </w:rPr>
      </w:pPr>
      <w:r>
        <w:rPr>
          <w:rFonts w:hint="eastAsia" w:cs="宋体"/>
          <w:b/>
          <w:color w:val="auto"/>
          <w:highlight w:val="none"/>
        </w:rPr>
        <w:t>29.验收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011"/>
      <w:bookmarkEnd w:id="15"/>
      <w:bookmarkStart w:id="16" w:name="_Hlt75236101"/>
      <w:bookmarkEnd w:id="16"/>
      <w:bookmarkStart w:id="17" w:name="_Hlt68057669"/>
      <w:bookmarkEnd w:id="17"/>
      <w:bookmarkStart w:id="18" w:name="_Hlt74729768"/>
      <w:bookmarkEnd w:id="18"/>
      <w:bookmarkStart w:id="19" w:name="_Hlt75236290"/>
      <w:bookmarkEnd w:id="19"/>
      <w:bookmarkStart w:id="20" w:name="_Hlt74714665"/>
      <w:bookmarkEnd w:id="20"/>
      <w:bookmarkStart w:id="21" w:name="_Hlt74730295"/>
      <w:bookmarkEnd w:id="21"/>
      <w:bookmarkStart w:id="22" w:name="_Hlt74707468"/>
      <w:bookmarkEnd w:id="22"/>
      <w:bookmarkStart w:id="23" w:name="_Hlt68073093"/>
      <w:bookmarkEnd w:id="23"/>
      <w:bookmarkStart w:id="24" w:name="_Hlt68072998"/>
      <w:bookmarkEnd w:id="24"/>
      <w:bookmarkStart w:id="25" w:name="_Hlt68072990"/>
      <w:bookmarkEnd w:id="25"/>
      <w:bookmarkStart w:id="26" w:name="_Hlt68403820"/>
      <w:bookmarkEnd w:id="26"/>
    </w:p>
    <w:bookmarkEnd w:id="11"/>
    <w:bookmarkEnd w:id="12"/>
    <w:p>
      <w:pPr>
        <w:spacing w:line="360" w:lineRule="auto"/>
        <w:jc w:val="center"/>
        <w:outlineLvl w:val="0"/>
        <w:rPr>
          <w:rFonts w:ascii="楷体" w:hAnsi="楷体" w:eastAsia="楷体"/>
          <w:b/>
          <w:bCs/>
          <w:color w:val="auto"/>
          <w:sz w:val="28"/>
          <w:szCs w:val="28"/>
          <w:highlight w:val="none"/>
        </w:rPr>
      </w:pPr>
      <w:bookmarkStart w:id="27" w:name="第四部分"/>
      <w:r>
        <w:rPr>
          <w:rFonts w:hint="eastAsia" w:ascii="宋体" w:hAnsi="宋体" w:cs="宋体"/>
          <w:b/>
          <w:color w:val="auto"/>
          <w:sz w:val="36"/>
          <w:szCs w:val="36"/>
          <w:highlight w:val="none"/>
        </w:rPr>
        <w:t>第三部分   采购需求</w:t>
      </w:r>
    </w:p>
    <w:p>
      <w:pPr>
        <w:numPr>
          <w:ilvl w:val="0"/>
          <w:numId w:val="0"/>
        </w:numPr>
        <w:spacing w:line="360" w:lineRule="auto"/>
        <w:ind w:firstLine="602" w:firstLineChars="200"/>
        <w:outlineLvl w:val="0"/>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lang w:val="en-US" w:eastAsia="zh-CN"/>
        </w:rPr>
        <w:t>一、</w:t>
      </w:r>
      <w:r>
        <w:rPr>
          <w:rFonts w:hint="eastAsia" w:ascii="宋体" w:hAnsi="宋体" w:eastAsia="宋体" w:cs="宋体"/>
          <w:b/>
          <w:bCs/>
          <w:color w:val="auto"/>
          <w:sz w:val="30"/>
          <w:szCs w:val="30"/>
          <w:highlight w:val="none"/>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cs="宋体"/>
          <w:sz w:val="24"/>
          <w:szCs w:val="24"/>
          <w:lang w:eastAsia="zh-CN"/>
        </w:rPr>
        <w:t>（一）</w:t>
      </w:r>
      <w:r>
        <w:rPr>
          <w:rFonts w:hint="eastAsia" w:ascii="宋体" w:hAnsi="宋体" w:eastAsia="宋体" w:cs="宋体"/>
          <w:sz w:val="24"/>
          <w:szCs w:val="24"/>
          <w:lang w:eastAsia="zh-CN"/>
        </w:rPr>
        <w:t>杭州市红缨幼儿园，目前有四</w:t>
      </w:r>
      <w:r>
        <w:rPr>
          <w:rFonts w:hint="eastAsia" w:ascii="宋体" w:hAnsi="宋体" w:cs="宋体"/>
          <w:sz w:val="24"/>
          <w:szCs w:val="24"/>
          <w:lang w:eastAsia="zh-CN"/>
        </w:rPr>
        <w:t>个</w:t>
      </w:r>
      <w:r>
        <w:rPr>
          <w:rFonts w:hint="eastAsia" w:ascii="宋体" w:hAnsi="宋体" w:eastAsia="宋体" w:cs="宋体"/>
          <w:sz w:val="24"/>
          <w:szCs w:val="24"/>
          <w:lang w:eastAsia="zh-CN"/>
        </w:rPr>
        <w:t>园区，分别是：</w:t>
      </w:r>
      <w:r>
        <w:rPr>
          <w:rFonts w:hint="eastAsia" w:ascii="宋体" w:hAnsi="宋体" w:eastAsia="宋体" w:cs="宋体"/>
          <w:b w:val="0"/>
          <w:bCs w:val="0"/>
          <w:sz w:val="24"/>
          <w:szCs w:val="24"/>
          <w:u w:val="single"/>
          <w:lang w:val="en-US" w:eastAsia="zh-CN"/>
        </w:rPr>
        <w:t>杭州市红缨幼儿园（仓基园区）</w:t>
      </w:r>
      <w:r>
        <w:rPr>
          <w:rFonts w:hint="eastAsia" w:ascii="宋体" w:hAnsi="宋体" w:eastAsia="宋体" w:cs="宋体"/>
          <w:b w:val="0"/>
          <w:bCs w:val="0"/>
          <w:sz w:val="24"/>
          <w:szCs w:val="24"/>
          <w:u w:val="none"/>
          <w:lang w:val="en-US" w:eastAsia="zh-CN"/>
        </w:rPr>
        <w:t>，坐落于</w:t>
      </w:r>
      <w:r>
        <w:rPr>
          <w:rFonts w:hint="eastAsia" w:ascii="宋体" w:hAnsi="宋体" w:eastAsia="宋体" w:cs="宋体"/>
          <w:b w:val="0"/>
          <w:bCs w:val="0"/>
          <w:sz w:val="24"/>
          <w:szCs w:val="24"/>
          <w:u w:val="single"/>
          <w:lang w:val="en-US" w:eastAsia="zh-CN"/>
        </w:rPr>
        <w:t>杭州市拱墅区仓基新村45号</w:t>
      </w:r>
      <w:r>
        <w:rPr>
          <w:rFonts w:hint="eastAsia" w:ascii="宋体" w:hAnsi="宋体" w:eastAsia="宋体" w:cs="宋体"/>
          <w:b w:val="0"/>
          <w:bCs w:val="0"/>
          <w:sz w:val="24"/>
          <w:szCs w:val="24"/>
          <w:u w:val="none"/>
          <w:lang w:val="en-US" w:eastAsia="zh-CN"/>
        </w:rPr>
        <w:t>；</w:t>
      </w:r>
      <w:r>
        <w:rPr>
          <w:rFonts w:hint="eastAsia" w:ascii="宋体" w:hAnsi="宋体" w:eastAsia="宋体" w:cs="宋体"/>
          <w:b w:val="0"/>
          <w:bCs w:val="0"/>
          <w:sz w:val="24"/>
          <w:szCs w:val="24"/>
          <w:u w:val="single"/>
          <w:lang w:val="en-US" w:eastAsia="zh-CN"/>
        </w:rPr>
        <w:t>杭州市红缨幼儿园（大关园区）</w:t>
      </w:r>
      <w:r>
        <w:rPr>
          <w:rFonts w:hint="eastAsia" w:ascii="宋体" w:hAnsi="宋体" w:eastAsia="宋体" w:cs="宋体"/>
          <w:b w:val="0"/>
          <w:bCs w:val="0"/>
          <w:sz w:val="24"/>
          <w:szCs w:val="24"/>
          <w:u w:val="none"/>
          <w:lang w:val="en-US" w:eastAsia="zh-CN"/>
        </w:rPr>
        <w:t>，</w:t>
      </w:r>
      <w:r>
        <w:rPr>
          <w:rFonts w:hint="eastAsia" w:ascii="宋体" w:hAnsi="宋体" w:eastAsia="宋体" w:cs="宋体"/>
          <w:spacing w:val="-6"/>
          <w:sz w:val="24"/>
          <w:szCs w:val="24"/>
          <w:lang w:val="en-US" w:eastAsia="zh-CN"/>
        </w:rPr>
        <w:t>坐落于</w:t>
      </w:r>
      <w:r>
        <w:rPr>
          <w:rFonts w:hint="eastAsia" w:ascii="宋体" w:hAnsi="宋体" w:eastAsia="宋体" w:cs="宋体"/>
          <w:spacing w:val="-6"/>
          <w:sz w:val="24"/>
          <w:szCs w:val="24"/>
          <w:u w:val="single"/>
        </w:rPr>
        <w:t xml:space="preserve">杭州市拱墅区大关南五苑 </w:t>
      </w:r>
      <w:r>
        <w:rPr>
          <w:rFonts w:hint="eastAsia" w:ascii="宋体" w:hAnsi="宋体" w:eastAsia="宋体" w:cs="宋体"/>
          <w:sz w:val="24"/>
          <w:szCs w:val="24"/>
          <w:u w:val="single"/>
        </w:rPr>
        <w:t xml:space="preserve">15 </w:t>
      </w:r>
      <w:r>
        <w:rPr>
          <w:rFonts w:hint="eastAsia" w:ascii="宋体" w:hAnsi="宋体" w:eastAsia="宋体" w:cs="宋体"/>
          <w:spacing w:val="-10"/>
          <w:sz w:val="24"/>
          <w:szCs w:val="24"/>
          <w:u w:val="single"/>
        </w:rPr>
        <w:t>号</w:t>
      </w:r>
      <w:r>
        <w:rPr>
          <w:rFonts w:hint="eastAsia" w:ascii="宋体" w:hAnsi="宋体" w:eastAsia="宋体" w:cs="宋体"/>
          <w:spacing w:val="1"/>
          <w:sz w:val="24"/>
          <w:szCs w:val="24"/>
        </w:rPr>
        <w:t>；</w:t>
      </w:r>
      <w:r>
        <w:rPr>
          <w:rFonts w:hint="eastAsia" w:ascii="宋体" w:hAnsi="宋体" w:eastAsia="宋体" w:cs="宋体"/>
          <w:spacing w:val="1"/>
          <w:sz w:val="24"/>
          <w:szCs w:val="24"/>
          <w:lang w:val="en-US" w:eastAsia="zh-CN"/>
        </w:rPr>
        <w:t>杭州市红缨幼儿园（</w:t>
      </w:r>
      <w:r>
        <w:rPr>
          <w:rFonts w:hint="eastAsia" w:ascii="宋体" w:hAnsi="宋体" w:eastAsia="宋体" w:cs="宋体"/>
          <w:spacing w:val="1"/>
          <w:sz w:val="24"/>
          <w:szCs w:val="24"/>
        </w:rPr>
        <w:t>西岸</w:t>
      </w:r>
      <w:r>
        <w:rPr>
          <w:rFonts w:hint="eastAsia" w:ascii="宋体" w:hAnsi="宋体" w:eastAsia="宋体" w:cs="宋体"/>
          <w:spacing w:val="32"/>
          <w:sz w:val="24"/>
          <w:szCs w:val="24"/>
        </w:rPr>
        <w:t>园区</w:t>
      </w:r>
      <w:r>
        <w:rPr>
          <w:rFonts w:hint="eastAsia" w:ascii="宋体" w:hAnsi="宋体" w:eastAsia="宋体" w:cs="宋体"/>
          <w:spacing w:val="32"/>
          <w:sz w:val="24"/>
          <w:szCs w:val="24"/>
          <w:lang w:eastAsia="zh-CN"/>
        </w:rPr>
        <w:t>），</w:t>
      </w:r>
      <w:r>
        <w:rPr>
          <w:rFonts w:hint="eastAsia" w:ascii="宋体" w:hAnsi="宋体" w:eastAsia="宋体" w:cs="宋体"/>
          <w:spacing w:val="32"/>
          <w:sz w:val="24"/>
          <w:szCs w:val="24"/>
          <w:lang w:val="en-US" w:eastAsia="zh-CN"/>
        </w:rPr>
        <w:t>坐落于</w:t>
      </w:r>
      <w:r>
        <w:rPr>
          <w:rFonts w:hint="eastAsia" w:ascii="宋体" w:hAnsi="宋体" w:eastAsia="宋体" w:cs="宋体"/>
          <w:spacing w:val="32"/>
          <w:sz w:val="24"/>
          <w:szCs w:val="24"/>
          <w:u w:val="single"/>
        </w:rPr>
        <w:t xml:space="preserve">杭州市拱墅区文岚街 </w:t>
      </w:r>
      <w:r>
        <w:rPr>
          <w:rFonts w:hint="eastAsia" w:ascii="宋体" w:hAnsi="宋体" w:eastAsia="宋体" w:cs="宋体"/>
          <w:sz w:val="24"/>
          <w:szCs w:val="24"/>
          <w:u w:val="single"/>
        </w:rPr>
        <w:t xml:space="preserve">100 </w:t>
      </w:r>
      <w:r>
        <w:rPr>
          <w:rFonts w:hint="eastAsia" w:ascii="宋体" w:hAnsi="宋体" w:eastAsia="宋体" w:cs="宋体"/>
          <w:spacing w:val="9"/>
          <w:sz w:val="24"/>
          <w:szCs w:val="24"/>
          <w:u w:val="single"/>
        </w:rPr>
        <w:t>号</w:t>
      </w:r>
      <w:r>
        <w:rPr>
          <w:rFonts w:hint="eastAsia" w:ascii="宋体" w:hAnsi="宋体" w:eastAsia="宋体" w:cs="宋体"/>
          <w:spacing w:val="9"/>
          <w:sz w:val="24"/>
          <w:szCs w:val="24"/>
        </w:rPr>
        <w:t xml:space="preserve"> </w:t>
      </w:r>
      <w:r>
        <w:rPr>
          <w:rFonts w:hint="eastAsia" w:ascii="宋体" w:hAnsi="宋体" w:eastAsia="宋体" w:cs="宋体"/>
          <w:spacing w:val="-8"/>
          <w:sz w:val="24"/>
          <w:szCs w:val="24"/>
        </w:rPr>
        <w:t>；</w:t>
      </w:r>
      <w:r>
        <w:rPr>
          <w:rFonts w:hint="eastAsia" w:ascii="宋体" w:hAnsi="宋体" w:eastAsia="宋体" w:cs="宋体"/>
          <w:spacing w:val="-8"/>
          <w:sz w:val="24"/>
          <w:szCs w:val="24"/>
          <w:lang w:val="en-US" w:eastAsia="zh-CN"/>
        </w:rPr>
        <w:t>杭州市红缨幼儿园（</w:t>
      </w:r>
      <w:r>
        <w:rPr>
          <w:rFonts w:hint="eastAsia" w:ascii="宋体" w:hAnsi="宋体" w:eastAsia="宋体" w:cs="宋体"/>
          <w:spacing w:val="-8"/>
          <w:sz w:val="24"/>
          <w:szCs w:val="24"/>
        </w:rPr>
        <w:t>童玩家</w:t>
      </w:r>
      <w:r>
        <w:rPr>
          <w:rFonts w:hint="eastAsia" w:ascii="宋体" w:hAnsi="宋体" w:eastAsia="宋体" w:cs="宋体"/>
          <w:spacing w:val="-8"/>
          <w:sz w:val="24"/>
          <w:szCs w:val="24"/>
          <w:lang w:val="en-US" w:eastAsia="zh-CN"/>
        </w:rPr>
        <w:t>园区），坐落于</w:t>
      </w:r>
      <w:r>
        <w:rPr>
          <w:rFonts w:hint="eastAsia" w:ascii="宋体" w:hAnsi="宋体" w:eastAsia="宋体" w:cs="宋体"/>
          <w:spacing w:val="-8"/>
          <w:sz w:val="24"/>
          <w:szCs w:val="24"/>
          <w:u w:val="single"/>
        </w:rPr>
        <w:t xml:space="preserve">杭州市拱墅区祥符街道后横港路 </w:t>
      </w:r>
      <w:r>
        <w:rPr>
          <w:rFonts w:hint="eastAsia" w:ascii="宋体" w:hAnsi="宋体" w:eastAsia="宋体" w:cs="宋体"/>
          <w:sz w:val="24"/>
          <w:szCs w:val="24"/>
          <w:u w:val="single"/>
        </w:rPr>
        <w:t xml:space="preserve">568 </w:t>
      </w:r>
      <w:r>
        <w:rPr>
          <w:rFonts w:hint="eastAsia" w:ascii="宋体" w:hAnsi="宋体" w:eastAsia="宋体" w:cs="宋体"/>
          <w:spacing w:val="-11"/>
          <w:sz w:val="24"/>
          <w:szCs w:val="24"/>
          <w:u w:val="single"/>
        </w:rPr>
        <w:t>号</w:t>
      </w:r>
      <w:r>
        <w:rPr>
          <w:rFonts w:hint="eastAsia" w:ascii="宋体" w:hAnsi="宋体" w:eastAsia="宋体" w:cs="宋体"/>
          <w:spacing w:val="-11"/>
          <w:sz w:val="24"/>
          <w:szCs w:val="24"/>
          <w:lang w:eastAsia="zh-CN"/>
        </w:rPr>
        <w:t>。</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本项目总用地面积</w:t>
      </w:r>
      <w:r>
        <w:rPr>
          <w:rFonts w:hint="eastAsia" w:ascii="宋体" w:hAnsi="宋体" w:eastAsia="宋体" w:cs="宋体"/>
          <w:sz w:val="24"/>
          <w:szCs w:val="24"/>
          <w:u w:val="single"/>
          <w:lang w:val="en-US" w:eastAsia="zh-CN"/>
        </w:rPr>
        <w:t>10489.2</w:t>
      </w:r>
      <w:r>
        <w:rPr>
          <w:rFonts w:hint="eastAsia" w:ascii="宋体" w:hAnsi="宋体" w:eastAsia="宋体" w:cs="宋体"/>
          <w:sz w:val="24"/>
          <w:szCs w:val="24"/>
        </w:rPr>
        <w:t>平方米。用地构成为：建筑面积</w:t>
      </w:r>
      <w:r>
        <w:rPr>
          <w:rFonts w:hint="eastAsia" w:ascii="宋体" w:hAnsi="宋体" w:eastAsia="宋体" w:cs="宋体"/>
          <w:sz w:val="24"/>
          <w:szCs w:val="24"/>
          <w:u w:val="single"/>
          <w:lang w:val="en-US" w:eastAsia="zh-CN"/>
        </w:rPr>
        <w:t>10362.11</w:t>
      </w:r>
      <w:r>
        <w:rPr>
          <w:rFonts w:hint="eastAsia" w:ascii="宋体" w:hAnsi="宋体" w:eastAsia="宋体" w:cs="宋体"/>
          <w:sz w:val="24"/>
          <w:szCs w:val="24"/>
        </w:rPr>
        <w:t>平方米。 本项目共计建筑物</w:t>
      </w:r>
      <w:r>
        <w:rPr>
          <w:rFonts w:hint="eastAsia" w:ascii="宋体" w:hAnsi="宋体" w:eastAsia="宋体" w:cs="宋体"/>
          <w:sz w:val="24"/>
          <w:szCs w:val="24"/>
          <w:u w:val="single"/>
          <w:lang w:val="en-US" w:eastAsia="zh-CN"/>
        </w:rPr>
        <w:t xml:space="preserve"> 4 </w:t>
      </w:r>
      <w:r>
        <w:rPr>
          <w:rFonts w:hint="eastAsia" w:ascii="宋体" w:hAnsi="宋体" w:eastAsia="宋体" w:cs="宋体"/>
          <w:sz w:val="24"/>
          <w:szCs w:val="24"/>
        </w:rPr>
        <w:t>幢</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均为教学楼</w:t>
      </w:r>
      <w:r>
        <w:rPr>
          <w:rFonts w:hint="eastAsia" w:ascii="宋体" w:hAnsi="宋体" w:eastAsia="宋体" w:cs="宋体"/>
          <w:sz w:val="24"/>
          <w:szCs w:val="24"/>
        </w:rPr>
        <w:t xml:space="preserve">。 </w:t>
      </w:r>
    </w:p>
    <w:p>
      <w:pPr>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（二）采购</w:t>
      </w:r>
      <w:r>
        <w:rPr>
          <w:rFonts w:hint="eastAsia" w:ascii="宋体" w:hAnsi="宋体" w:eastAsia="宋体" w:cs="宋体"/>
          <w:sz w:val="24"/>
          <w:szCs w:val="24"/>
        </w:rPr>
        <w:t>项目</w:t>
      </w:r>
      <w:r>
        <w:rPr>
          <w:rFonts w:hint="eastAsia" w:ascii="宋体" w:hAnsi="宋体" w:eastAsia="宋体" w:cs="宋体"/>
          <w:sz w:val="24"/>
          <w:szCs w:val="24"/>
          <w:lang w:eastAsia="zh-CN"/>
        </w:rPr>
        <w:t>内容：杭州市红缨幼儿园仓基园区、大关园区、西岸园区、童玩家园区的校园安全管理。</w:t>
      </w:r>
    </w:p>
    <w:p>
      <w:pPr>
        <w:numPr>
          <w:ilvl w:val="0"/>
          <w:numId w:val="0"/>
        </w:num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（三）岗位设置要求：</w:t>
      </w:r>
      <w:r>
        <w:rPr>
          <w:rFonts w:hint="eastAsia" w:ascii="宋体" w:hAnsi="宋体" w:eastAsia="宋体" w:cs="宋体"/>
          <w:sz w:val="24"/>
          <w:szCs w:val="24"/>
          <w:lang w:val="en-US" w:eastAsia="zh-CN"/>
        </w:rPr>
        <w:t>校园安全</w:t>
      </w:r>
      <w:r>
        <w:rPr>
          <w:rFonts w:hint="eastAsia" w:ascii="宋体" w:hAnsi="宋体" w:eastAsia="宋体" w:cs="宋体"/>
          <w:sz w:val="24"/>
          <w:szCs w:val="24"/>
          <w:lang w:eastAsia="zh-CN"/>
        </w:rPr>
        <w:t>管理岗</w:t>
      </w:r>
    </w:p>
    <w:p>
      <w:pPr>
        <w:numPr>
          <w:ilvl w:val="0"/>
          <w:numId w:val="0"/>
        </w:numPr>
        <w:spacing w:line="360" w:lineRule="auto"/>
        <w:ind w:firstLine="562" w:firstLineChars="200"/>
        <w:rPr>
          <w:rFonts w:hint="eastAsia" w:ascii="宋体" w:hAnsi="宋体" w:eastAsia="宋体" w:cs="宋体"/>
          <w:sz w:val="24"/>
          <w:szCs w:val="24"/>
          <w:lang w:eastAsia="zh-CN"/>
        </w:rPr>
      </w:pPr>
      <w:r>
        <w:rPr>
          <w:rFonts w:hint="eastAsia" w:asciiTheme="minorEastAsia" w:hAnsiTheme="minorEastAsia" w:eastAsiaTheme="minorEastAsia" w:cstheme="minorEastAsia"/>
          <w:b/>
          <w:color w:val="auto"/>
          <w:sz w:val="28"/>
          <w:szCs w:val="28"/>
          <w:highlight w:val="none"/>
          <w:lang w:val="en-US" w:eastAsia="zh-CN"/>
        </w:rPr>
        <w:t>二、物业管理项目</w:t>
      </w:r>
      <w:r>
        <w:rPr>
          <w:rFonts w:hint="eastAsia"/>
          <w:b/>
          <w:bCs/>
          <w:sz w:val="28"/>
          <w:szCs w:val="28"/>
          <w:lang w:eastAsia="zh-CN"/>
        </w:rPr>
        <w:t>：</w:t>
      </w:r>
      <w:r>
        <w:rPr>
          <w:rFonts w:hint="eastAsia" w:ascii="宋体" w:hAnsi="宋体" w:eastAsia="宋体" w:cs="宋体"/>
          <w:sz w:val="24"/>
          <w:szCs w:val="24"/>
          <w:lang w:val="en-US" w:eastAsia="zh-CN"/>
        </w:rPr>
        <w:t>校园安全</w:t>
      </w:r>
      <w:r>
        <w:rPr>
          <w:rFonts w:hint="eastAsia" w:ascii="宋体" w:hAnsi="宋体" w:eastAsia="宋体" w:cs="宋体"/>
          <w:sz w:val="24"/>
          <w:szCs w:val="24"/>
          <w:lang w:eastAsia="zh-CN"/>
        </w:rPr>
        <w:t>管理</w:t>
      </w:r>
    </w:p>
    <w:p>
      <w:pPr>
        <w:numPr>
          <w:ilvl w:val="0"/>
          <w:numId w:val="0"/>
        </w:numPr>
        <w:spacing w:line="360" w:lineRule="auto"/>
        <w:ind w:firstLine="562" w:firstLineChars="200"/>
        <w:rPr>
          <w:rFonts w:hint="eastAsia" w:asciiTheme="minorEastAsia" w:hAnsiTheme="minorEastAsia" w:eastAsiaTheme="minorEastAsia" w:cstheme="minorEastAsia"/>
          <w:b/>
          <w:color w:val="auto"/>
          <w:sz w:val="28"/>
          <w:szCs w:val="28"/>
          <w:highlight w:val="none"/>
          <w:lang w:eastAsia="zh-CN"/>
        </w:rPr>
      </w:pPr>
      <w:r>
        <w:rPr>
          <w:rFonts w:hint="eastAsia" w:asciiTheme="minorEastAsia" w:hAnsiTheme="minorEastAsia" w:eastAsiaTheme="minorEastAsia" w:cstheme="minorEastAsia"/>
          <w:b/>
          <w:color w:val="auto"/>
          <w:sz w:val="28"/>
          <w:szCs w:val="28"/>
          <w:highlight w:val="none"/>
          <w:lang w:val="en-US" w:eastAsia="zh-CN"/>
        </w:rPr>
        <w:t>三、服</w:t>
      </w:r>
      <w:r>
        <w:rPr>
          <w:rFonts w:hint="eastAsia" w:asciiTheme="minorEastAsia" w:hAnsiTheme="minorEastAsia" w:eastAsiaTheme="minorEastAsia" w:cstheme="minorEastAsia"/>
          <w:b/>
          <w:color w:val="auto"/>
          <w:sz w:val="28"/>
          <w:szCs w:val="28"/>
          <w:highlight w:val="none"/>
        </w:rPr>
        <w:t>务内容及要求</w:t>
      </w:r>
    </w:p>
    <w:p>
      <w:pPr>
        <w:spacing w:line="360" w:lineRule="auto"/>
        <w:ind w:firstLine="482" w:firstLineChars="200"/>
        <w:jc w:val="left"/>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bCs w:val="0"/>
          <w:color w:val="auto"/>
          <w:sz w:val="24"/>
          <w:highlight w:val="none"/>
        </w:rPr>
        <w:t>1.服务范围：</w:t>
      </w:r>
      <w:r>
        <w:rPr>
          <w:rFonts w:hint="eastAsia" w:ascii="宋体" w:hAnsi="宋体" w:cs="宋体"/>
          <w:color w:val="auto"/>
          <w:sz w:val="24"/>
          <w:highlight w:val="none"/>
          <w:lang w:val="en-US" w:eastAsia="zh-CN"/>
        </w:rPr>
        <w:t>仓基园区、大关园区、西岸园区、童玩家园区。</w:t>
      </w:r>
    </w:p>
    <w:p>
      <w:pPr>
        <w:spacing w:line="360" w:lineRule="auto"/>
        <w:ind w:firstLine="472" w:firstLineChars="196"/>
        <w:jc w:val="left"/>
        <w:rPr>
          <w:rFonts w:hint="eastAsia" w:asciiTheme="minorEastAsia" w:hAnsiTheme="minorEastAsia" w:eastAsiaTheme="minorEastAsia" w:cstheme="minorEastAsia"/>
          <w:b w:val="0"/>
          <w:bCs w:val="0"/>
          <w:color w:val="auto"/>
          <w:sz w:val="24"/>
          <w:highlight w:val="none"/>
        </w:rPr>
      </w:pPr>
      <w:r>
        <w:rPr>
          <w:rFonts w:hint="eastAsia" w:asciiTheme="minorEastAsia" w:hAnsiTheme="minorEastAsia" w:eastAsiaTheme="minorEastAsia" w:cstheme="minorEastAsia"/>
          <w:b/>
          <w:bCs/>
          <w:color w:val="auto"/>
          <w:sz w:val="24"/>
          <w:highlight w:val="none"/>
        </w:rPr>
        <w:t>2.服务内容：</w:t>
      </w:r>
    </w:p>
    <w:p>
      <w:p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.1门</w:t>
      </w:r>
      <w:r>
        <w:rPr>
          <w:rFonts w:hint="eastAsia" w:asciiTheme="minorEastAsia" w:hAnsiTheme="minorEastAsia" w:eastAsiaTheme="minorEastAsia" w:cstheme="minorEastAsia"/>
          <w:color w:val="auto"/>
          <w:sz w:val="24"/>
          <w:highlight w:val="none"/>
          <w:lang w:val="en-US" w:eastAsia="zh-CN"/>
        </w:rPr>
        <w:t>岗值班</w:t>
      </w:r>
    </w:p>
    <w:p>
      <w:pPr>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校区</w:t>
      </w:r>
      <w:r>
        <w:rPr>
          <w:rFonts w:hint="eastAsia" w:asciiTheme="minorEastAsia" w:hAnsiTheme="minorEastAsia" w:eastAsiaTheme="minorEastAsia" w:cstheme="minorEastAsia"/>
          <w:color w:val="auto"/>
          <w:sz w:val="24"/>
          <w:highlight w:val="none"/>
        </w:rPr>
        <w:t>出入口应安排</w:t>
      </w:r>
      <w:r>
        <w:rPr>
          <w:rFonts w:hint="eastAsia" w:asciiTheme="minorEastAsia" w:hAnsiTheme="minorEastAsia" w:eastAsiaTheme="minorEastAsia" w:cstheme="minorEastAsia"/>
          <w:color w:val="auto"/>
          <w:sz w:val="24"/>
          <w:highlight w:val="none"/>
          <w:lang w:val="en-US" w:eastAsia="zh-CN"/>
        </w:rPr>
        <w:t>安保人员</w:t>
      </w:r>
      <w:r>
        <w:rPr>
          <w:rFonts w:hint="eastAsia" w:asciiTheme="minorEastAsia" w:hAnsiTheme="minorEastAsia" w:eastAsiaTheme="minorEastAsia" w:cstheme="minorEastAsia"/>
          <w:color w:val="auto"/>
          <w:sz w:val="24"/>
          <w:highlight w:val="none"/>
        </w:rPr>
        <w:t>24小时不间断值岗，</w:t>
      </w:r>
      <w:r>
        <w:rPr>
          <w:rFonts w:hint="eastAsia" w:asciiTheme="minorEastAsia" w:hAnsiTheme="minorEastAsia" w:eastAsiaTheme="minorEastAsia" w:cstheme="minorEastAsia"/>
          <w:color w:val="auto"/>
          <w:sz w:val="24"/>
          <w:szCs w:val="24"/>
          <w:highlight w:val="none"/>
        </w:rPr>
        <w:t>建立门岗、车辆、及公共秩序管理</w:t>
      </w:r>
      <w:r>
        <w:rPr>
          <w:rFonts w:hint="eastAsia" w:asciiTheme="minorEastAsia" w:hAnsiTheme="minorEastAsia" w:eastAsiaTheme="minorEastAsia" w:cstheme="minorEastAsia"/>
          <w:color w:val="auto"/>
          <w:sz w:val="24"/>
          <w:szCs w:val="24"/>
          <w:highlight w:val="none"/>
          <w:lang w:val="en-US" w:eastAsia="zh-CN"/>
        </w:rPr>
        <w:t>等</w:t>
      </w:r>
      <w:r>
        <w:rPr>
          <w:rFonts w:hint="eastAsia" w:asciiTheme="minorEastAsia" w:hAnsiTheme="minorEastAsia" w:eastAsiaTheme="minorEastAsia" w:cstheme="minorEastAsia"/>
          <w:color w:val="auto"/>
          <w:sz w:val="24"/>
          <w:szCs w:val="24"/>
          <w:highlight w:val="none"/>
        </w:rPr>
        <w:t>制度。</w:t>
      </w:r>
      <w:r>
        <w:rPr>
          <w:rFonts w:hint="eastAsia" w:asciiTheme="minorEastAsia" w:hAnsiTheme="minorEastAsia" w:eastAsiaTheme="minorEastAsia" w:cstheme="minorEastAsia"/>
          <w:color w:val="auto"/>
          <w:sz w:val="24"/>
          <w:highlight w:val="none"/>
        </w:rPr>
        <w:t>严格出入登记制度，保证保安室的卫生整洁，不离岗、串岗，上下班提前半个小时立岗，有特殊情况请假或换班，需要及时和安保公司及采购服务单位负责人沟通联系，确保不空岗。</w:t>
      </w:r>
    </w:p>
    <w:p>
      <w:pPr>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对物品进出实施分类管理，收发的书刊、快递等物品有序堆放，杜绝闲杂人员和危险物品进入</w:t>
      </w:r>
      <w:r>
        <w:rPr>
          <w:rFonts w:hint="eastAsia" w:asciiTheme="minorEastAsia" w:hAnsiTheme="minorEastAsia" w:eastAsiaTheme="minorEastAsia" w:cstheme="minorEastAsia"/>
          <w:color w:val="auto"/>
          <w:sz w:val="24"/>
          <w:highlight w:val="none"/>
          <w:lang w:val="en-US" w:eastAsia="zh-CN"/>
        </w:rPr>
        <w:t>校区</w:t>
      </w:r>
      <w:r>
        <w:rPr>
          <w:rFonts w:hint="eastAsia" w:asciiTheme="minorEastAsia" w:hAnsiTheme="minorEastAsia" w:eastAsiaTheme="minorEastAsia" w:cstheme="minorEastAsia"/>
          <w:color w:val="auto"/>
          <w:sz w:val="24"/>
          <w:highlight w:val="none"/>
        </w:rPr>
        <w:t>，发现情况须向及时向</w:t>
      </w:r>
      <w:r>
        <w:rPr>
          <w:rFonts w:hint="eastAsia" w:asciiTheme="minorEastAsia" w:hAnsiTheme="minorEastAsia" w:eastAsiaTheme="minorEastAsia" w:cstheme="minorEastAsia"/>
          <w:color w:val="auto"/>
          <w:sz w:val="24"/>
          <w:highlight w:val="none"/>
          <w:lang w:val="en-US" w:eastAsia="zh-CN"/>
        </w:rPr>
        <w:t>校区</w:t>
      </w:r>
      <w:r>
        <w:rPr>
          <w:rFonts w:hint="eastAsia" w:asciiTheme="minorEastAsia" w:hAnsiTheme="minorEastAsia" w:eastAsiaTheme="minorEastAsia" w:cstheme="minorEastAsia"/>
          <w:color w:val="auto"/>
          <w:sz w:val="24"/>
          <w:highlight w:val="none"/>
        </w:rPr>
        <w:t>领导汇报，必要时向当地公安机关报告，填写当班记录，并有详细完整的交接班记录。</w:t>
      </w:r>
    </w:p>
    <w:p>
      <w:pPr>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车辆管理</w:t>
      </w:r>
    </w:p>
    <w:p>
      <w:pPr>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szCs w:val="24"/>
          <w:highlight w:val="none"/>
          <w:lang w:val="en-US" w:eastAsia="zh-CN" w:bidi="ar"/>
        </w:rPr>
        <w:t>制定</w:t>
      </w:r>
      <w:r>
        <w:rPr>
          <w:rFonts w:hint="eastAsia" w:asciiTheme="minorEastAsia" w:hAnsiTheme="minorEastAsia" w:eastAsiaTheme="minorEastAsia" w:cstheme="minorEastAsia"/>
          <w:color w:val="auto"/>
          <w:kern w:val="0"/>
          <w:sz w:val="24"/>
          <w:szCs w:val="24"/>
          <w:highlight w:val="none"/>
          <w:lang w:bidi="ar"/>
        </w:rPr>
        <w:t>车辆管理及秩序维护服务方案</w:t>
      </w:r>
      <w:r>
        <w:rPr>
          <w:rFonts w:hint="eastAsia" w:asciiTheme="minorEastAsia" w:hAnsiTheme="minorEastAsia" w:eastAsiaTheme="minorEastAsia" w:cstheme="minorEastAsia"/>
          <w:color w:val="auto"/>
          <w:kern w:val="0"/>
          <w:sz w:val="24"/>
          <w:szCs w:val="24"/>
          <w:highlight w:val="none"/>
          <w:lang w:eastAsia="zh-CN" w:bidi="ar"/>
        </w:rPr>
        <w:t>。</w:t>
      </w:r>
      <w:r>
        <w:rPr>
          <w:rFonts w:hint="eastAsia" w:asciiTheme="minorEastAsia" w:hAnsiTheme="minorEastAsia" w:eastAsiaTheme="minorEastAsia" w:cstheme="minorEastAsia"/>
          <w:color w:val="auto"/>
          <w:sz w:val="24"/>
          <w:highlight w:val="none"/>
        </w:rPr>
        <w:t>对进出</w:t>
      </w:r>
      <w:r>
        <w:rPr>
          <w:rFonts w:hint="eastAsia" w:asciiTheme="minorEastAsia" w:hAnsiTheme="minorEastAsia" w:eastAsiaTheme="minorEastAsia" w:cstheme="minorEastAsia"/>
          <w:color w:val="auto"/>
          <w:sz w:val="24"/>
          <w:highlight w:val="none"/>
          <w:lang w:eastAsia="zh-CN"/>
        </w:rPr>
        <w:t>园区</w:t>
      </w:r>
      <w:r>
        <w:rPr>
          <w:rFonts w:hint="eastAsia" w:asciiTheme="minorEastAsia" w:hAnsiTheme="minorEastAsia" w:eastAsiaTheme="minorEastAsia" w:cstheme="minorEastAsia"/>
          <w:color w:val="auto"/>
          <w:sz w:val="24"/>
          <w:highlight w:val="none"/>
        </w:rPr>
        <w:t>的机动车、非机动车进行管理，引导车辆在</w:t>
      </w:r>
      <w:r>
        <w:rPr>
          <w:rFonts w:hint="eastAsia" w:asciiTheme="minorEastAsia" w:hAnsiTheme="minorEastAsia" w:eastAsiaTheme="minorEastAsia" w:cstheme="minorEastAsia"/>
          <w:color w:val="auto"/>
          <w:sz w:val="24"/>
          <w:highlight w:val="none"/>
          <w:lang w:eastAsia="zh-CN"/>
        </w:rPr>
        <w:t>园区</w:t>
      </w:r>
      <w:r>
        <w:rPr>
          <w:rFonts w:hint="eastAsia" w:asciiTheme="minorEastAsia" w:hAnsiTheme="minorEastAsia" w:eastAsiaTheme="minorEastAsia" w:cstheme="minorEastAsia"/>
          <w:color w:val="auto"/>
          <w:sz w:val="24"/>
          <w:highlight w:val="none"/>
        </w:rPr>
        <w:t>内有序停放</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szCs w:val="24"/>
          <w:highlight w:val="none"/>
        </w:rPr>
        <w:t>非机动车定点停放车棚内</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highlight w:val="none"/>
        </w:rPr>
        <w:t>停车区域无易燃、易爆等物品存放，未经许可，非本单位车辆一律不得入内，保证</w:t>
      </w:r>
      <w:r>
        <w:rPr>
          <w:rFonts w:hint="eastAsia" w:asciiTheme="minorEastAsia" w:hAnsiTheme="minorEastAsia" w:eastAsiaTheme="minorEastAsia" w:cstheme="minorEastAsia"/>
          <w:color w:val="auto"/>
          <w:sz w:val="24"/>
          <w:highlight w:val="none"/>
          <w:lang w:val="en-US" w:eastAsia="zh-CN"/>
        </w:rPr>
        <w:t>在校</w:t>
      </w:r>
      <w:r>
        <w:rPr>
          <w:rFonts w:hint="eastAsia" w:asciiTheme="minorEastAsia" w:hAnsiTheme="minorEastAsia" w:eastAsiaTheme="minorEastAsia" w:cstheme="minorEastAsia"/>
          <w:color w:val="auto"/>
          <w:sz w:val="24"/>
          <w:highlight w:val="none"/>
        </w:rPr>
        <w:t>期间</w:t>
      </w:r>
      <w:r>
        <w:rPr>
          <w:rFonts w:hint="eastAsia" w:asciiTheme="minorEastAsia" w:hAnsiTheme="minorEastAsia" w:eastAsiaTheme="minorEastAsia" w:cstheme="minorEastAsia"/>
          <w:color w:val="auto"/>
          <w:sz w:val="24"/>
          <w:highlight w:val="none"/>
          <w:lang w:val="en-US" w:eastAsia="zh-CN"/>
        </w:rPr>
        <w:t>全体师生员工的</w:t>
      </w:r>
      <w:r>
        <w:rPr>
          <w:rFonts w:hint="eastAsia" w:asciiTheme="minorEastAsia" w:hAnsiTheme="minorEastAsia" w:eastAsiaTheme="minorEastAsia" w:cstheme="minorEastAsia"/>
          <w:color w:val="auto"/>
          <w:sz w:val="24"/>
          <w:highlight w:val="none"/>
        </w:rPr>
        <w:t>安全。</w:t>
      </w:r>
    </w:p>
    <w:p>
      <w:pPr>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巡视检查</w:t>
      </w:r>
    </w:p>
    <w:p>
      <w:pPr>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明确巡视工作职责，</w:t>
      </w:r>
      <w:r>
        <w:rPr>
          <w:rFonts w:hint="eastAsia" w:asciiTheme="minorEastAsia" w:hAnsiTheme="minorEastAsia" w:eastAsiaTheme="minorEastAsia" w:cstheme="minorEastAsia"/>
          <w:color w:val="auto"/>
          <w:sz w:val="24"/>
          <w:szCs w:val="24"/>
          <w:highlight w:val="none"/>
        </w:rPr>
        <w:t>规范巡视工作流程，制定固定的巡查制度，</w:t>
      </w:r>
      <w:r>
        <w:rPr>
          <w:rFonts w:hint="eastAsia" w:asciiTheme="minorEastAsia" w:hAnsiTheme="minorEastAsia" w:eastAsiaTheme="minorEastAsia" w:cstheme="minorEastAsia"/>
          <w:color w:val="auto"/>
          <w:sz w:val="24"/>
          <w:highlight w:val="none"/>
        </w:rPr>
        <w:t>对重要区域、部位</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设备机房</w:t>
      </w:r>
      <w:r>
        <w:rPr>
          <w:rFonts w:hint="eastAsia" w:asciiTheme="minorEastAsia" w:hAnsiTheme="minorEastAsia" w:eastAsiaTheme="minorEastAsia" w:cstheme="minorEastAsia"/>
          <w:color w:val="auto"/>
          <w:sz w:val="24"/>
          <w:highlight w:val="none"/>
        </w:rPr>
        <w:t>进行重点巡视</w:t>
      </w:r>
      <w:r>
        <w:rPr>
          <w:rFonts w:hint="eastAsia" w:asciiTheme="minorEastAsia" w:hAnsiTheme="minorEastAsia" w:eastAsiaTheme="minorEastAsia" w:cstheme="minorEastAsia"/>
          <w:color w:val="auto"/>
          <w:sz w:val="24"/>
          <w:highlight w:val="none"/>
          <w:lang w:val="en-US" w:eastAsia="zh-CN"/>
        </w:rPr>
        <w:t>并记录</w:t>
      </w:r>
      <w:r>
        <w:rPr>
          <w:rFonts w:hint="eastAsia" w:asciiTheme="minorEastAsia" w:hAnsiTheme="minorEastAsia" w:eastAsiaTheme="minorEastAsia" w:cstheme="minorEastAsia"/>
          <w:color w:val="auto"/>
          <w:sz w:val="24"/>
          <w:highlight w:val="none"/>
        </w:rPr>
        <w:t>，及时发现和处理各种安全和事故隐患。严禁闲杂人员进入，发现任何</w:t>
      </w:r>
      <w:r>
        <w:rPr>
          <w:rFonts w:hint="eastAsia" w:asciiTheme="minorEastAsia" w:hAnsiTheme="minorEastAsia" w:eastAsiaTheme="minorEastAsia" w:cstheme="minorEastAsia"/>
          <w:color w:val="auto"/>
          <w:sz w:val="24"/>
          <w:highlight w:val="none"/>
          <w:lang w:val="en-US" w:eastAsia="zh-CN"/>
        </w:rPr>
        <w:t>异常</w:t>
      </w:r>
      <w:r>
        <w:rPr>
          <w:rFonts w:hint="eastAsia" w:asciiTheme="minorEastAsia" w:hAnsiTheme="minorEastAsia" w:eastAsiaTheme="minorEastAsia" w:cstheme="minorEastAsia"/>
          <w:color w:val="auto"/>
          <w:sz w:val="24"/>
          <w:highlight w:val="none"/>
        </w:rPr>
        <w:t>情况</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szCs w:val="24"/>
          <w:highlight w:val="none"/>
        </w:rPr>
        <w:t>巡视人员</w:t>
      </w:r>
      <w:r>
        <w:rPr>
          <w:rFonts w:hint="eastAsia" w:asciiTheme="minorEastAsia" w:hAnsiTheme="minorEastAsia" w:eastAsiaTheme="minorEastAsia" w:cstheme="minorEastAsia"/>
          <w:color w:val="auto"/>
          <w:sz w:val="24"/>
          <w:highlight w:val="none"/>
          <w:lang w:val="en-US" w:eastAsia="zh-CN"/>
        </w:rPr>
        <w:t>应执行相应的应急预案，</w:t>
      </w:r>
      <w:r>
        <w:rPr>
          <w:rFonts w:hint="eastAsia" w:asciiTheme="minorEastAsia" w:hAnsiTheme="minorEastAsia" w:eastAsiaTheme="minorEastAsia" w:cstheme="minorEastAsia"/>
          <w:color w:val="auto"/>
          <w:sz w:val="24"/>
          <w:szCs w:val="24"/>
          <w:highlight w:val="none"/>
          <w:lang w:val="en-US" w:eastAsia="zh-CN"/>
        </w:rPr>
        <w:t>立即</w:t>
      </w:r>
      <w:r>
        <w:rPr>
          <w:rFonts w:hint="eastAsia" w:asciiTheme="minorEastAsia" w:hAnsiTheme="minorEastAsia" w:eastAsiaTheme="minorEastAsia" w:cstheme="minorEastAsia"/>
          <w:color w:val="auto"/>
          <w:sz w:val="24"/>
          <w:highlight w:val="none"/>
        </w:rPr>
        <w:t>向单位联系人汇报</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并</w:t>
      </w:r>
      <w:r>
        <w:rPr>
          <w:rFonts w:hint="eastAsia" w:asciiTheme="minorEastAsia" w:hAnsiTheme="minorEastAsia" w:eastAsiaTheme="minorEastAsia" w:cstheme="minorEastAsia"/>
          <w:color w:val="auto"/>
          <w:sz w:val="24"/>
          <w:szCs w:val="24"/>
          <w:highlight w:val="none"/>
        </w:rPr>
        <w:t>及时到达事发现场，</w:t>
      </w:r>
      <w:r>
        <w:rPr>
          <w:rFonts w:hint="eastAsia" w:asciiTheme="minorEastAsia" w:hAnsiTheme="minorEastAsia" w:eastAsiaTheme="minorEastAsia" w:cstheme="minorEastAsia"/>
          <w:color w:val="auto"/>
          <w:sz w:val="24"/>
          <w:szCs w:val="24"/>
          <w:highlight w:val="none"/>
          <w:lang w:val="en-US" w:eastAsia="zh-CN"/>
        </w:rPr>
        <w:t>采取相应措施妥善处理</w:t>
      </w:r>
      <w:r>
        <w:rPr>
          <w:rFonts w:hint="eastAsia" w:asciiTheme="minorEastAsia" w:hAnsiTheme="minorEastAsia" w:eastAsiaTheme="minorEastAsia" w:cstheme="minorEastAsia"/>
          <w:color w:val="auto"/>
          <w:sz w:val="24"/>
          <w:highlight w:val="none"/>
        </w:rPr>
        <w:t>。每日全区域巡视不得少于</w:t>
      </w:r>
      <w:r>
        <w:rPr>
          <w:rFonts w:hint="eastAsia" w:asciiTheme="minorEastAsia" w:hAnsiTheme="minorEastAsia" w:eastAsiaTheme="minorEastAsia" w:cstheme="minorEastAsia"/>
          <w:color w:val="auto"/>
          <w:sz w:val="24"/>
          <w:highlight w:val="none"/>
          <w:lang w:val="en-US" w:eastAsia="zh-CN"/>
        </w:rPr>
        <w:t>五</w:t>
      </w:r>
      <w:r>
        <w:rPr>
          <w:rFonts w:hint="eastAsia" w:asciiTheme="minorEastAsia" w:hAnsiTheme="minorEastAsia" w:eastAsiaTheme="minorEastAsia" w:cstheme="minorEastAsia"/>
          <w:color w:val="auto"/>
          <w:sz w:val="24"/>
          <w:highlight w:val="none"/>
        </w:rPr>
        <w:t>次，</w:t>
      </w:r>
      <w:r>
        <w:rPr>
          <w:rFonts w:hint="eastAsia" w:asciiTheme="minorEastAsia" w:hAnsiTheme="minorEastAsia" w:eastAsiaTheme="minorEastAsia" w:cstheme="minorEastAsia"/>
          <w:color w:val="auto"/>
          <w:sz w:val="24"/>
          <w:highlight w:val="none"/>
          <w:lang w:val="en-US" w:eastAsia="zh-CN"/>
        </w:rPr>
        <w:t>夜间</w:t>
      </w:r>
      <w:r>
        <w:rPr>
          <w:rFonts w:hint="eastAsia" w:asciiTheme="minorEastAsia" w:hAnsiTheme="minorEastAsia" w:eastAsiaTheme="minorEastAsia" w:cstheme="minorEastAsia"/>
          <w:color w:val="auto"/>
          <w:sz w:val="24"/>
          <w:highlight w:val="none"/>
        </w:rPr>
        <w:t>检查安全情况，逐层关闭大楼照明，巡逻后要有记录，建立台账，并按月存档。</w:t>
      </w:r>
    </w:p>
    <w:p>
      <w:pPr>
        <w:spacing w:line="360" w:lineRule="auto"/>
        <w:ind w:firstLine="468" w:firstLineChars="195"/>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4消防安全巡查</w:t>
      </w:r>
    </w:p>
    <w:p>
      <w:pPr>
        <w:spacing w:line="360" w:lineRule="auto"/>
        <w:ind w:firstLine="480" w:firstLineChars="200"/>
        <w:jc w:val="left"/>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每月按规定对消防设备进行巡查并记录，确保运行无故障。</w:t>
      </w:r>
      <w:r>
        <w:rPr>
          <w:rFonts w:hint="eastAsia" w:asciiTheme="minorEastAsia" w:hAnsiTheme="minorEastAsia" w:eastAsiaTheme="minorEastAsia" w:cstheme="minorEastAsia"/>
          <w:color w:val="auto"/>
          <w:sz w:val="24"/>
          <w:highlight w:val="none"/>
          <w:lang w:val="en-US" w:eastAsia="zh-CN"/>
        </w:rPr>
        <w:t>查看消防通道是否堵塞，消防警示标识是否破损或缺少</w:t>
      </w:r>
    </w:p>
    <w:p>
      <w:pPr>
        <w:autoSpaceDE w:val="0"/>
        <w:autoSpaceDN w:val="0"/>
        <w:spacing w:line="360" w:lineRule="auto"/>
        <w:ind w:firstLine="5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监控</w:t>
      </w:r>
      <w:r>
        <w:rPr>
          <w:rFonts w:hint="eastAsia" w:asciiTheme="minorEastAsia" w:hAnsiTheme="minorEastAsia" w:eastAsiaTheme="minorEastAsia" w:cstheme="minorEastAsia"/>
          <w:color w:val="auto"/>
          <w:sz w:val="24"/>
          <w:highlight w:val="none"/>
          <w:lang w:val="en-US" w:eastAsia="zh-CN"/>
        </w:rPr>
        <w:t>设施</w:t>
      </w:r>
      <w:r>
        <w:rPr>
          <w:rFonts w:hint="eastAsia" w:asciiTheme="minorEastAsia" w:hAnsiTheme="minorEastAsia" w:eastAsiaTheme="minorEastAsia" w:cstheme="minorEastAsia"/>
          <w:color w:val="auto"/>
          <w:sz w:val="24"/>
          <w:highlight w:val="none"/>
        </w:rPr>
        <w:t>管理</w:t>
      </w:r>
    </w:p>
    <w:p>
      <w:pPr>
        <w:autoSpaceDE w:val="0"/>
        <w:autoSpaceDN w:val="0"/>
        <w:spacing w:line="360" w:lineRule="auto"/>
        <w:ind w:firstLine="505"/>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监控设施设备应保持24小时开通，保持完整的监控记录，保证监控对各出入口、内部重点区域的安全监控、录像及协助布警。监控室收到火情、险情及其他异常情况报警信号后，应及时报警，并派专人赶到现场进行前期处理</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同时，确保治安电话畅通，接听及时。</w:t>
      </w:r>
      <w:r>
        <w:rPr>
          <w:rFonts w:hint="eastAsia" w:asciiTheme="minorEastAsia" w:hAnsiTheme="minorEastAsia" w:eastAsiaTheme="minorEastAsia" w:cstheme="minorEastAsia"/>
          <w:color w:val="auto"/>
          <w:sz w:val="24"/>
          <w:highlight w:val="none"/>
          <w:lang w:val="en-US" w:eastAsia="zh-CN"/>
        </w:rPr>
        <w:t>监控设备应专人管理，</w:t>
      </w:r>
      <w:r>
        <w:rPr>
          <w:rFonts w:hint="eastAsia" w:asciiTheme="minorEastAsia" w:hAnsiTheme="minorEastAsia" w:eastAsiaTheme="minorEastAsia" w:cstheme="minorEastAsia"/>
          <w:color w:val="auto"/>
          <w:sz w:val="24"/>
          <w:highlight w:val="none"/>
        </w:rPr>
        <w:t>不得擅自使用调取资料，有需要联系单位联系人</w:t>
      </w:r>
      <w:r>
        <w:rPr>
          <w:rFonts w:hint="eastAsia" w:asciiTheme="minorEastAsia" w:hAnsiTheme="minorEastAsia" w:eastAsiaTheme="minorEastAsia" w:cstheme="minorEastAsia"/>
          <w:color w:val="auto"/>
          <w:sz w:val="24"/>
          <w:highlight w:val="none"/>
          <w:lang w:eastAsia="zh-CN"/>
        </w:rPr>
        <w:t>。</w:t>
      </w:r>
    </w:p>
    <w:p>
      <w:pPr>
        <w:autoSpaceDE w:val="0"/>
        <w:autoSpaceDN w:val="0"/>
        <w:spacing w:line="360" w:lineRule="auto"/>
        <w:ind w:firstLine="505"/>
        <w:rPr>
          <w:rFonts w:hint="eastAsia" w:asciiTheme="minorEastAsia" w:hAnsiTheme="minorEastAsia" w:eastAsiaTheme="minorEastAsia" w:cstheme="minorEastAsia"/>
          <w:b/>
          <w:bCs/>
          <w:color w:val="auto"/>
          <w:sz w:val="24"/>
          <w:highlight w:val="none"/>
          <w:lang w:val="en-US" w:eastAsia="zh-CN"/>
        </w:rPr>
      </w:pPr>
      <w:r>
        <w:rPr>
          <w:rFonts w:hint="eastAsia" w:asciiTheme="minorEastAsia" w:hAnsiTheme="minorEastAsia" w:eastAsiaTheme="minorEastAsia" w:cstheme="minorEastAsia"/>
          <w:b/>
          <w:bCs/>
          <w:color w:val="auto"/>
          <w:sz w:val="24"/>
          <w:highlight w:val="none"/>
          <w:lang w:val="en-US" w:eastAsia="zh-CN"/>
        </w:rPr>
        <w:t>3.服务时间</w:t>
      </w:r>
    </w:p>
    <w:p>
      <w:pPr>
        <w:autoSpaceDE w:val="0"/>
        <w:autoSpaceDN w:val="0"/>
        <w:spacing w:line="360" w:lineRule="auto"/>
        <w:ind w:firstLine="505"/>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每天0:00-24:00（三班）含所有节假日.</w:t>
      </w:r>
    </w:p>
    <w:p>
      <w:pPr>
        <w:pStyle w:val="2"/>
        <w:rPr>
          <w:rFonts w:hint="eastAsia" w:ascii="宋体" w:hAnsi="宋体" w:eastAsia="宋体" w:cs="宋体"/>
          <w:sz w:val="24"/>
          <w:szCs w:val="24"/>
          <w:lang w:eastAsia="zh-CN"/>
        </w:rPr>
      </w:pPr>
      <w:r>
        <w:rPr>
          <w:rFonts w:hint="eastAsia" w:asciiTheme="minorEastAsia" w:hAnsiTheme="minorEastAsia" w:eastAsiaTheme="minorEastAsia" w:cstheme="minorEastAsia"/>
          <w:color w:val="auto"/>
          <w:sz w:val="24"/>
          <w:highlight w:val="none"/>
          <w:lang w:val="en-US" w:eastAsia="zh-CN"/>
        </w:rPr>
        <w:t>4.</w:t>
      </w:r>
      <w:r>
        <w:rPr>
          <w:rFonts w:hint="eastAsia" w:ascii="宋体" w:hAnsi="宋体" w:eastAsia="宋体" w:cs="宋体"/>
          <w:b/>
          <w:bCs/>
          <w:color w:val="auto"/>
          <w:sz w:val="24"/>
          <w:szCs w:val="24"/>
          <w:highlight w:val="none"/>
          <w:lang w:eastAsia="zh-CN"/>
        </w:rPr>
        <w:t>资质及管理要求</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cs="宋体"/>
          <w:sz w:val="24"/>
          <w:highlight w:val="none"/>
          <w:lang w:val="en-US" w:eastAsia="zh-CN"/>
        </w:rPr>
        <w:t>4.1</w:t>
      </w:r>
      <w:r>
        <w:rPr>
          <w:rFonts w:hint="eastAsia" w:ascii="宋体" w:hAnsi="宋体" w:eastAsia="宋体" w:cs="宋体"/>
          <w:sz w:val="24"/>
          <w:szCs w:val="24"/>
          <w:highlight w:val="none"/>
          <w:lang w:val="en-US" w:eastAsia="zh-CN"/>
        </w:rPr>
        <w:t>.</w:t>
      </w:r>
      <w:r>
        <w:rPr>
          <w:rFonts w:hint="eastAsia" w:ascii="宋体" w:hAnsi="宋体" w:eastAsia="宋体" w:cs="宋体"/>
          <w:b/>
          <w:bCs/>
          <w:color w:val="auto"/>
          <w:sz w:val="24"/>
          <w:szCs w:val="24"/>
        </w:rPr>
        <w:t>服务单位</w:t>
      </w:r>
      <w:r>
        <w:rPr>
          <w:rFonts w:hint="eastAsia" w:ascii="宋体" w:hAnsi="宋体" w:eastAsia="宋体" w:cs="宋体"/>
          <w:b/>
          <w:bCs/>
          <w:color w:val="auto"/>
          <w:sz w:val="24"/>
          <w:szCs w:val="24"/>
          <w:lang w:val="en-US" w:eastAsia="zh-CN"/>
        </w:rPr>
        <w:t>应具有公安机关核发的有效的《保安服务许可证》</w:t>
      </w:r>
      <w:r>
        <w:rPr>
          <w:rFonts w:hint="eastAsia" w:ascii="宋体" w:hAnsi="宋体" w:eastAsia="宋体" w:cs="宋体"/>
          <w:sz w:val="24"/>
          <w:szCs w:val="24"/>
          <w:lang w:val="en-US" w:eastAsia="zh-CN"/>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highlight w:val="none"/>
          <w:lang w:val="en-US" w:eastAsia="zh-CN"/>
        </w:rPr>
        <w:t>4.2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rPr>
        <w:t>服务单位向采购方派驻的保安人员需具有保安资质（</w:t>
      </w:r>
      <w:r>
        <w:rPr>
          <w:rFonts w:hint="eastAsia" w:ascii="宋体" w:hAnsi="宋体" w:eastAsia="宋体" w:cs="宋体"/>
          <w:b/>
          <w:bCs/>
          <w:sz w:val="24"/>
          <w:szCs w:val="24"/>
        </w:rPr>
        <w:t>保安员须持有公安机关核发的《保安员证》</w:t>
      </w:r>
      <w:r>
        <w:rPr>
          <w:rFonts w:hint="eastAsia" w:ascii="宋体" w:hAnsi="宋体" w:eastAsia="宋体" w:cs="宋体"/>
          <w:sz w:val="24"/>
          <w:szCs w:val="24"/>
        </w:rPr>
        <w:t>）</w:t>
      </w:r>
      <w:r>
        <w:rPr>
          <w:rFonts w:hint="eastAsia" w:ascii="宋体" w:hAnsi="宋体" w:cs="宋体"/>
          <w:sz w:val="24"/>
          <w:szCs w:val="24"/>
          <w:lang w:val="en-US" w:eastAsia="zh-CN"/>
        </w:rPr>
        <w:t>。</w:t>
      </w:r>
      <w:r>
        <w:rPr>
          <w:rFonts w:hint="eastAsia" w:ascii="宋体" w:hAnsi="宋体" w:eastAsia="宋体" w:cs="宋体"/>
          <w:sz w:val="24"/>
          <w:szCs w:val="24"/>
        </w:rPr>
        <w:t>按照国家和地方有关法律、法规与保安人员签订合法的劳动合同，支付相应的工资、福利等，并为保安人员办理社会保险。</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b w:val="0"/>
          <w:bCs w:val="0"/>
          <w:color w:val="auto"/>
          <w:sz w:val="24"/>
          <w:szCs w:val="24"/>
          <w:highlight w:val="none"/>
          <w:lang w:val="en-US" w:eastAsia="zh-CN"/>
        </w:rPr>
        <w:t>4.</w:t>
      </w:r>
      <w:r>
        <w:rPr>
          <w:rFonts w:hint="eastAsia" w:ascii="宋体" w:hAnsi="宋体" w:cs="宋体"/>
          <w:b w:val="0"/>
          <w:bCs w:val="0"/>
          <w:color w:val="auto"/>
          <w:sz w:val="24"/>
          <w:szCs w:val="24"/>
          <w:highlight w:val="none"/>
          <w:lang w:val="en-US" w:eastAsia="zh-CN"/>
        </w:rPr>
        <w:t>3</w:t>
      </w:r>
      <w:r>
        <w:rPr>
          <w:rFonts w:hint="eastAsia" w:ascii="宋体" w:hAnsi="宋体" w:cs="宋体"/>
          <w:b/>
          <w:bCs/>
          <w:color w:val="auto"/>
          <w:sz w:val="24"/>
          <w:szCs w:val="24"/>
          <w:highlight w:val="none"/>
          <w:lang w:val="en-US" w:eastAsia="zh-CN"/>
        </w:rPr>
        <w:t>.</w:t>
      </w:r>
      <w:r>
        <w:rPr>
          <w:rFonts w:hint="eastAsia" w:ascii="宋体" w:hAnsi="宋体" w:eastAsia="宋体" w:cs="宋体"/>
          <w:sz w:val="24"/>
          <w:szCs w:val="24"/>
          <w:lang w:val="en-US" w:eastAsia="zh-CN"/>
        </w:rPr>
        <w:t>服务人员基本培训由投标单位负责实施，业务培训由采购单位统一实施。</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服务单位须按照本招标文件的要求对该招标项目进行保安服务工作。保安人员进驻采购单位值勤后，必须服从采购单位的安排和管理，严格遵守采购单位的有关规章制度，接受监督。对违反采购方管理规定、不能尽职尽责完成工作任务的保安人员，采购方有权要求调换，直至胜任为止，服务单位应在十五个工作日内满足甲方要求。</w:t>
      </w:r>
      <w:r>
        <w:rPr>
          <w:rFonts w:hint="eastAsia" w:ascii="宋体" w:hAnsi="宋体" w:eastAsia="宋体" w:cs="宋体"/>
          <w:b w:val="0"/>
          <w:bCs w:val="0"/>
          <w:sz w:val="24"/>
          <w:szCs w:val="24"/>
          <w:lang w:val="en-US" w:eastAsia="zh-CN"/>
        </w:rPr>
        <w:t>派驻学校的保安人员应保持稳定，不得轻易变动，如需变动必须提前</w:t>
      </w:r>
      <w:r>
        <w:rPr>
          <w:rFonts w:hint="eastAsia" w:ascii="宋体" w:hAnsi="宋体" w:cs="宋体"/>
          <w:b w:val="0"/>
          <w:bCs w:val="0"/>
          <w:sz w:val="24"/>
          <w:szCs w:val="24"/>
          <w:lang w:val="en-US" w:eastAsia="zh-CN"/>
        </w:rPr>
        <w:t>20</w:t>
      </w:r>
      <w:r>
        <w:rPr>
          <w:rFonts w:hint="eastAsia" w:ascii="宋体" w:hAnsi="宋体" w:eastAsia="宋体" w:cs="宋体"/>
          <w:b w:val="0"/>
          <w:bCs w:val="0"/>
          <w:sz w:val="24"/>
          <w:szCs w:val="24"/>
          <w:lang w:val="en-US" w:eastAsia="zh-CN"/>
        </w:rPr>
        <w:t>个工作日告知甲方并得到同意后才能更换。同时，须</w:t>
      </w:r>
      <w:r>
        <w:rPr>
          <w:rFonts w:hint="eastAsia" w:ascii="宋体" w:hAnsi="宋体" w:eastAsia="宋体" w:cs="宋体"/>
          <w:sz w:val="24"/>
          <w:szCs w:val="24"/>
          <w:lang w:val="en-US" w:eastAsia="zh-CN"/>
        </w:rPr>
        <w:t>按要求及时补充相应人员，提前做好交接班。如派出的保安员发生违法行为、严重事故、突发疾病等情况，乙方应当在12小时内妥善处理。临时派遣的保安员身体素质、业务技能等各类要求与常驻保安员相同。</w:t>
      </w:r>
    </w:p>
    <w:p>
      <w:pPr>
        <w:spacing w:line="360" w:lineRule="auto"/>
        <w:ind w:firstLine="480" w:firstLineChars="200"/>
        <w:rPr>
          <w:rFonts w:hint="eastAsia"/>
          <w:color w:val="auto"/>
          <w:highlight w:val="none"/>
        </w:rPr>
      </w:pPr>
      <w:r>
        <w:rPr>
          <w:rFonts w:hint="eastAsia" w:ascii="宋体" w:hAnsi="宋体" w:eastAsia="宋体" w:cs="宋体"/>
          <w:sz w:val="24"/>
          <w:szCs w:val="24"/>
          <w:lang w:val="en-US" w:eastAsia="zh-CN"/>
        </w:rPr>
        <w:t>4.</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.服务单位须聘请（或指定）一位经理（负责人），全权代表乙方与甲方保持密切联系并保证承包区域服务工作。如乙方经理人不能履行招标需求约定，甲方有权要求乙方在一个星期内更换经理（负责人）。</w:t>
      </w:r>
    </w:p>
    <w:p>
      <w:pPr>
        <w:pageBreakBefore w:val="0"/>
        <w:numPr>
          <w:ilvl w:val="0"/>
          <w:numId w:val="0"/>
        </w:numPr>
        <w:kinsoku/>
        <w:wordWrap/>
        <w:overflowPunct/>
        <w:topLinePunct w:val="0"/>
        <w:bidi w:val="0"/>
        <w:spacing w:line="360" w:lineRule="auto"/>
        <w:ind w:firstLine="482"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eastAsia="zh-CN"/>
        </w:rPr>
        <w:t>四、</w:t>
      </w:r>
      <w:r>
        <w:rPr>
          <w:rFonts w:hint="eastAsia" w:asciiTheme="minorEastAsia" w:hAnsiTheme="minorEastAsia" w:eastAsiaTheme="minorEastAsia" w:cstheme="minorEastAsia"/>
          <w:b/>
          <w:bCs/>
          <w:color w:val="auto"/>
          <w:sz w:val="24"/>
          <w:szCs w:val="24"/>
          <w:highlight w:val="none"/>
        </w:rPr>
        <w:t>人员配置</w:t>
      </w:r>
    </w:p>
    <w:p>
      <w:pPr>
        <w:pStyle w:val="5"/>
        <w:pageBreakBefore w:val="0"/>
        <w:numPr>
          <w:ilvl w:val="0"/>
          <w:numId w:val="0"/>
        </w:numPr>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b w:val="0"/>
          <w:bCs/>
          <w:snapToGrid/>
          <w:color w:val="auto"/>
          <w:kern w:val="2"/>
          <w:sz w:val="24"/>
          <w:szCs w:val="24"/>
          <w:highlight w:val="none"/>
          <w:lang w:val="en-US" w:eastAsia="zh-CN"/>
        </w:rPr>
      </w:pPr>
      <w:r>
        <w:rPr>
          <w:rFonts w:hint="eastAsia" w:asciiTheme="minorEastAsia" w:hAnsiTheme="minorEastAsia" w:eastAsiaTheme="minorEastAsia" w:cstheme="minorEastAsia"/>
          <w:b w:val="0"/>
          <w:bCs/>
          <w:snapToGrid/>
          <w:color w:val="auto"/>
          <w:kern w:val="2"/>
          <w:sz w:val="24"/>
          <w:szCs w:val="24"/>
          <w:highlight w:val="none"/>
          <w:lang w:val="en-US" w:eastAsia="zh-CN"/>
        </w:rPr>
        <w:t>1.</w:t>
      </w:r>
      <w:r>
        <w:rPr>
          <w:rFonts w:hint="eastAsia" w:asciiTheme="minorEastAsia" w:hAnsiTheme="minorEastAsia" w:eastAsiaTheme="minorEastAsia" w:cstheme="minorEastAsia"/>
          <w:b w:val="0"/>
          <w:bCs/>
          <w:snapToGrid/>
          <w:color w:val="auto"/>
          <w:kern w:val="2"/>
          <w:sz w:val="24"/>
          <w:szCs w:val="24"/>
          <w:highlight w:val="none"/>
          <w:lang w:eastAsia="zh-CN"/>
        </w:rPr>
        <w:t>项目人员配置</w:t>
      </w:r>
      <w:r>
        <w:rPr>
          <w:rFonts w:hint="eastAsia" w:asciiTheme="minorEastAsia" w:hAnsiTheme="minorEastAsia" w:eastAsiaTheme="minorEastAsia" w:cstheme="minorEastAsia"/>
          <w:b w:val="0"/>
          <w:bCs/>
          <w:snapToGrid/>
          <w:color w:val="auto"/>
          <w:kern w:val="2"/>
          <w:sz w:val="24"/>
          <w:szCs w:val="24"/>
          <w:highlight w:val="none"/>
          <w:lang w:val="en-US" w:eastAsia="zh-CN"/>
        </w:rPr>
        <w:t>要求</w:t>
      </w:r>
    </w:p>
    <w:p>
      <w:pPr>
        <w:pStyle w:val="5"/>
        <w:pageBreakBefore w:val="0"/>
        <w:numPr>
          <w:ilvl w:val="0"/>
          <w:numId w:val="0"/>
        </w:numPr>
        <w:kinsoku/>
        <w:wordWrap/>
        <w:overflowPunct/>
        <w:topLinePunct w:val="0"/>
        <w:bidi w:val="0"/>
        <w:spacing w:line="360" w:lineRule="auto"/>
        <w:ind w:firstLine="240" w:firstLineChars="100"/>
        <w:textAlignment w:val="auto"/>
        <w:rPr>
          <w:rFonts w:hint="eastAsia" w:asciiTheme="minorEastAsia" w:hAnsiTheme="minorEastAsia" w:eastAsiaTheme="minorEastAsia" w:cstheme="minorEastAsia"/>
          <w:b w:val="0"/>
          <w:bCs/>
          <w:snapToGrid/>
          <w:color w:val="auto"/>
          <w:kern w:val="2"/>
          <w:sz w:val="24"/>
          <w:szCs w:val="24"/>
          <w:highlight w:val="none"/>
          <w:lang w:val="en-US" w:eastAsia="zh-CN"/>
        </w:rPr>
      </w:pPr>
      <w:r>
        <w:rPr>
          <w:rFonts w:hint="eastAsia" w:asciiTheme="minorEastAsia" w:hAnsiTheme="minorEastAsia" w:eastAsiaTheme="minorEastAsia" w:cstheme="minorEastAsia"/>
          <w:b w:val="0"/>
          <w:bCs/>
          <w:snapToGrid/>
          <w:color w:val="auto"/>
          <w:kern w:val="2"/>
          <w:sz w:val="24"/>
          <w:szCs w:val="24"/>
          <w:highlight w:val="none"/>
          <w:lang w:val="en-US" w:eastAsia="zh-CN"/>
        </w:rPr>
        <w:t>▲1.1项目人员数量配置：本项目总人数不得低于12人。项目经理1人；安保人员11人（仓基园区3人、大关园区3人、西岸园区3人、童玩家园区2人）。</w:t>
      </w:r>
    </w:p>
    <w:p>
      <w:pPr>
        <w:pStyle w:val="5"/>
        <w:pageBreakBefore w:val="0"/>
        <w:numPr>
          <w:ilvl w:val="0"/>
          <w:numId w:val="0"/>
        </w:numPr>
        <w:kinsoku/>
        <w:wordWrap/>
        <w:overflowPunct/>
        <w:topLinePunct w:val="0"/>
        <w:bidi w:val="0"/>
        <w:spacing w:line="360" w:lineRule="auto"/>
        <w:ind w:left="481" w:leftChars="0"/>
        <w:textAlignment w:val="auto"/>
        <w:rPr>
          <w:rFonts w:hint="eastAsia"/>
          <w:color w:val="auto"/>
          <w:highlight w:val="none"/>
        </w:rPr>
      </w:pPr>
      <w:r>
        <w:rPr>
          <w:rFonts w:hint="eastAsia" w:asciiTheme="minorEastAsia" w:hAnsiTheme="minorEastAsia" w:eastAsiaTheme="minorEastAsia" w:cstheme="minorEastAsia"/>
          <w:b w:val="0"/>
          <w:bCs/>
          <w:snapToGrid/>
          <w:color w:val="auto"/>
          <w:kern w:val="2"/>
          <w:sz w:val="24"/>
          <w:szCs w:val="24"/>
          <w:highlight w:val="none"/>
          <w:lang w:val="en-US" w:eastAsia="zh-CN"/>
        </w:rPr>
        <w:t>1.2人员要求</w:t>
      </w:r>
    </w:p>
    <w:tbl>
      <w:tblPr>
        <w:tblStyle w:val="62"/>
        <w:tblpPr w:leftFromText="180" w:rightFromText="180" w:vertAnchor="text" w:horzAnchor="page" w:tblpX="1647" w:tblpY="81"/>
        <w:tblOverlap w:val="never"/>
        <w:tblW w:w="85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8"/>
        <w:gridCol w:w="1200"/>
        <w:gridCol w:w="1465"/>
        <w:gridCol w:w="4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trPr>
        <w:tc>
          <w:tcPr>
            <w:tcW w:w="918" w:type="dxa"/>
            <w:vAlign w:val="center"/>
          </w:tcPr>
          <w:p>
            <w:pPr>
              <w:pageBreakBefore w:val="0"/>
              <w:widowControl/>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snapToGrid w:val="0"/>
                <w:color w:val="auto"/>
                <w:spacing w:val="-4"/>
                <w:sz w:val="24"/>
                <w:highlight w:val="none"/>
              </w:rPr>
            </w:pPr>
            <w:r>
              <w:rPr>
                <w:rFonts w:hint="eastAsia" w:asciiTheme="minorEastAsia" w:hAnsiTheme="minorEastAsia" w:eastAsiaTheme="minorEastAsia" w:cstheme="minorEastAsia"/>
                <w:snapToGrid w:val="0"/>
                <w:color w:val="auto"/>
                <w:spacing w:val="-4"/>
                <w:sz w:val="24"/>
                <w:highlight w:val="none"/>
              </w:rPr>
              <w:t>序号</w:t>
            </w:r>
          </w:p>
        </w:tc>
        <w:tc>
          <w:tcPr>
            <w:tcW w:w="1200" w:type="dxa"/>
            <w:vAlign w:val="center"/>
          </w:tcPr>
          <w:p>
            <w:pPr>
              <w:pageBreakBefore w:val="0"/>
              <w:widowControl/>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snapToGrid w:val="0"/>
                <w:color w:val="auto"/>
                <w:spacing w:val="-4"/>
                <w:sz w:val="24"/>
                <w:highlight w:val="none"/>
              </w:rPr>
            </w:pPr>
            <w:r>
              <w:rPr>
                <w:rFonts w:hint="eastAsia" w:asciiTheme="minorEastAsia" w:hAnsiTheme="minorEastAsia" w:eastAsiaTheme="minorEastAsia" w:cstheme="minorEastAsia"/>
                <w:snapToGrid w:val="0"/>
                <w:color w:val="auto"/>
                <w:spacing w:val="-4"/>
                <w:sz w:val="24"/>
                <w:highlight w:val="none"/>
              </w:rPr>
              <w:t>岗位名称</w:t>
            </w:r>
          </w:p>
        </w:tc>
        <w:tc>
          <w:tcPr>
            <w:tcW w:w="1465" w:type="dxa"/>
            <w:vAlign w:val="center"/>
          </w:tcPr>
          <w:p>
            <w:pPr>
              <w:pageBreakBefore w:val="0"/>
              <w:widowControl/>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snapToGrid w:val="0"/>
                <w:color w:val="auto"/>
                <w:spacing w:val="-4"/>
                <w:sz w:val="24"/>
                <w:highlight w:val="none"/>
              </w:rPr>
            </w:pPr>
            <w:r>
              <w:rPr>
                <w:rFonts w:hint="eastAsia" w:asciiTheme="minorEastAsia" w:hAnsiTheme="minorEastAsia" w:eastAsiaTheme="minorEastAsia" w:cstheme="minorEastAsia"/>
                <w:snapToGrid w:val="0"/>
                <w:color w:val="auto"/>
                <w:spacing w:val="-4"/>
                <w:sz w:val="24"/>
                <w:highlight w:val="none"/>
              </w:rPr>
              <w:t>数量</w:t>
            </w:r>
          </w:p>
        </w:tc>
        <w:tc>
          <w:tcPr>
            <w:tcW w:w="4936" w:type="dxa"/>
            <w:tcBorders>
              <w:right w:val="single" w:color="auto" w:sz="4" w:space="0"/>
            </w:tcBorders>
            <w:vAlign w:val="center"/>
          </w:tcPr>
          <w:p>
            <w:pPr>
              <w:pageBreakBefore w:val="0"/>
              <w:widowControl/>
              <w:kinsoku/>
              <w:wordWrap/>
              <w:overflowPunct/>
              <w:topLinePunct w:val="0"/>
              <w:bidi w:val="0"/>
              <w:snapToGrid w:val="0"/>
              <w:spacing w:line="360" w:lineRule="auto"/>
              <w:ind w:firstLine="2320" w:firstLineChars="1000"/>
              <w:textAlignment w:val="auto"/>
              <w:rPr>
                <w:rFonts w:hint="eastAsia" w:asciiTheme="minorEastAsia" w:hAnsiTheme="minorEastAsia" w:eastAsiaTheme="minorEastAsia" w:cstheme="minorEastAsia"/>
                <w:snapToGrid w:val="0"/>
                <w:color w:val="auto"/>
                <w:spacing w:val="-4"/>
                <w:sz w:val="24"/>
                <w:highlight w:val="none"/>
              </w:rPr>
            </w:pPr>
            <w:r>
              <w:rPr>
                <w:rFonts w:hint="eastAsia" w:asciiTheme="minorEastAsia" w:hAnsiTheme="minorEastAsia" w:eastAsiaTheme="minorEastAsia" w:cstheme="minorEastAsia"/>
                <w:snapToGrid w:val="0"/>
                <w:color w:val="auto"/>
                <w:spacing w:val="-4"/>
                <w:sz w:val="24"/>
                <w:highlight w:val="none"/>
              </w:rPr>
              <w:t>要   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918" w:type="dxa"/>
            <w:vAlign w:val="center"/>
          </w:tcPr>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snapToGrid w:val="0"/>
                <w:color w:val="auto"/>
                <w:spacing w:val="-4"/>
                <w:sz w:val="24"/>
                <w:highlight w:val="none"/>
              </w:rPr>
              <w:t>1</w:t>
            </w:r>
          </w:p>
        </w:tc>
        <w:tc>
          <w:tcPr>
            <w:tcW w:w="1200" w:type="dxa"/>
            <w:vAlign w:val="center"/>
          </w:tcPr>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snapToGrid w:val="0"/>
                <w:color w:val="auto"/>
                <w:spacing w:val="-4"/>
                <w:sz w:val="24"/>
                <w:highlight w:val="none"/>
                <w:lang w:val="en-US" w:eastAsia="zh-CN"/>
              </w:rPr>
            </w:pPr>
            <w:r>
              <w:rPr>
                <w:rFonts w:hint="eastAsia" w:asciiTheme="minorEastAsia" w:hAnsiTheme="minorEastAsia" w:eastAsiaTheme="minorEastAsia" w:cstheme="minorEastAsia"/>
                <w:snapToGrid w:val="0"/>
                <w:color w:val="auto"/>
                <w:spacing w:val="-4"/>
                <w:sz w:val="24"/>
                <w:highlight w:val="none"/>
              </w:rPr>
              <w:t>项目</w:t>
            </w:r>
            <w:r>
              <w:rPr>
                <w:rFonts w:hint="eastAsia" w:asciiTheme="minorEastAsia" w:hAnsiTheme="minorEastAsia" w:eastAsiaTheme="minorEastAsia" w:cstheme="minorEastAsia"/>
                <w:snapToGrid w:val="0"/>
                <w:color w:val="auto"/>
                <w:spacing w:val="-4"/>
                <w:sz w:val="24"/>
                <w:highlight w:val="none"/>
                <w:lang w:val="en-US" w:eastAsia="zh-CN"/>
              </w:rPr>
              <w:t>经理</w:t>
            </w:r>
          </w:p>
        </w:tc>
        <w:tc>
          <w:tcPr>
            <w:tcW w:w="1465" w:type="dxa"/>
            <w:vAlign w:val="center"/>
          </w:tcPr>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snapToGrid w:val="0"/>
                <w:color w:val="auto"/>
                <w:spacing w:val="-4"/>
                <w:sz w:val="24"/>
                <w:highlight w:val="none"/>
              </w:rPr>
            </w:pPr>
            <w:r>
              <w:rPr>
                <w:rFonts w:hint="eastAsia" w:asciiTheme="minorEastAsia" w:hAnsiTheme="minorEastAsia" w:eastAsiaTheme="minorEastAsia" w:cstheme="minorEastAsia"/>
                <w:snapToGrid w:val="0"/>
                <w:color w:val="auto"/>
                <w:spacing w:val="-4"/>
                <w:sz w:val="24"/>
                <w:highlight w:val="none"/>
              </w:rPr>
              <w:t>1</w:t>
            </w:r>
          </w:p>
        </w:tc>
        <w:tc>
          <w:tcPr>
            <w:tcW w:w="4936" w:type="dxa"/>
            <w:tcBorders>
              <w:bottom w:val="single" w:color="auto" w:sz="4" w:space="0"/>
              <w:right w:val="single" w:color="auto" w:sz="4" w:space="0"/>
            </w:tcBorders>
            <w:vAlign w:val="center"/>
          </w:tcPr>
          <w:p>
            <w:pPr>
              <w:pageBreakBefore w:val="0"/>
              <w:kinsoku/>
              <w:wordWrap/>
              <w:overflowPunct/>
              <w:topLinePunct w:val="0"/>
              <w:bidi w:val="0"/>
              <w:spacing w:line="360" w:lineRule="auto"/>
              <w:jc w:val="left"/>
              <w:textAlignment w:val="auto"/>
              <w:rPr>
                <w:rFonts w:hint="eastAsia" w:asciiTheme="minorEastAsia" w:hAnsiTheme="minorEastAsia" w:eastAsiaTheme="minorEastAsia" w:cstheme="minorEastAsia"/>
                <w:snapToGrid w:val="0"/>
                <w:color w:val="auto"/>
                <w:spacing w:val="-4"/>
                <w:sz w:val="24"/>
                <w:highlight w:val="none"/>
                <w:lang w:val="en-US" w:eastAsia="zh-CN"/>
              </w:rPr>
            </w:pPr>
            <w:r>
              <w:rPr>
                <w:rFonts w:hint="eastAsia" w:asciiTheme="minorEastAsia" w:hAnsiTheme="minorEastAsia" w:eastAsiaTheme="minorEastAsia" w:cstheme="minorEastAsia"/>
                <w:snapToGrid w:val="0"/>
                <w:color w:val="auto"/>
                <w:spacing w:val="-4"/>
                <w:sz w:val="24"/>
                <w:highlight w:val="none"/>
              </w:rPr>
              <w:t>年龄不超过5</w:t>
            </w:r>
            <w:r>
              <w:rPr>
                <w:rFonts w:hint="eastAsia" w:asciiTheme="minorEastAsia" w:hAnsiTheme="minorEastAsia" w:eastAsiaTheme="minorEastAsia" w:cstheme="minorEastAsia"/>
                <w:snapToGrid w:val="0"/>
                <w:color w:val="auto"/>
                <w:spacing w:val="-4"/>
                <w:sz w:val="24"/>
                <w:highlight w:val="none"/>
                <w:lang w:val="en-US" w:eastAsia="zh-CN"/>
              </w:rPr>
              <w:t>0</w:t>
            </w:r>
            <w:r>
              <w:rPr>
                <w:rFonts w:hint="eastAsia" w:asciiTheme="minorEastAsia" w:hAnsiTheme="minorEastAsia" w:eastAsiaTheme="minorEastAsia" w:cstheme="minorEastAsia"/>
                <w:snapToGrid w:val="0"/>
                <w:color w:val="auto"/>
                <w:spacing w:val="-4"/>
                <w:sz w:val="24"/>
                <w:highlight w:val="none"/>
              </w:rPr>
              <w:t>周岁，</w:t>
            </w:r>
            <w:r>
              <w:rPr>
                <w:rFonts w:hint="eastAsia" w:asciiTheme="minorEastAsia" w:hAnsiTheme="minorEastAsia" w:eastAsiaTheme="minorEastAsia" w:cstheme="minorEastAsia"/>
                <w:color w:val="auto"/>
                <w:sz w:val="24"/>
                <w:highlight w:val="none"/>
              </w:rPr>
              <w:t>仪容仪表规范整齐，</w:t>
            </w:r>
            <w:r>
              <w:rPr>
                <w:rFonts w:hint="eastAsia" w:asciiTheme="minorEastAsia" w:hAnsiTheme="minorEastAsia" w:eastAsiaTheme="minorEastAsia" w:cstheme="minorEastAsia"/>
                <w:snapToGrid w:val="0"/>
                <w:color w:val="auto"/>
                <w:spacing w:val="-4"/>
                <w:sz w:val="24"/>
                <w:highlight w:val="none"/>
              </w:rPr>
              <w:t>有</w:t>
            </w:r>
            <w:r>
              <w:rPr>
                <w:rFonts w:hint="eastAsia" w:asciiTheme="minorEastAsia" w:hAnsiTheme="minorEastAsia" w:eastAsiaTheme="minorEastAsia" w:cstheme="minorEastAsia"/>
                <w:snapToGrid w:val="0"/>
                <w:color w:val="auto"/>
                <w:spacing w:val="-4"/>
                <w:sz w:val="24"/>
                <w:highlight w:val="none"/>
                <w:lang w:eastAsia="zh-CN"/>
              </w:rPr>
              <w:t>丰富的物业</w:t>
            </w:r>
            <w:r>
              <w:rPr>
                <w:rFonts w:hint="eastAsia" w:asciiTheme="minorEastAsia" w:hAnsiTheme="minorEastAsia" w:eastAsiaTheme="minorEastAsia" w:cstheme="minorEastAsia"/>
                <w:snapToGrid w:val="0"/>
                <w:color w:val="auto"/>
                <w:spacing w:val="-4"/>
                <w:sz w:val="24"/>
                <w:highlight w:val="none"/>
              </w:rPr>
              <w:t>管理经验及文字处理能力</w:t>
            </w:r>
            <w:r>
              <w:rPr>
                <w:rFonts w:hint="eastAsia" w:asciiTheme="minorEastAsia" w:hAnsiTheme="minorEastAsia" w:eastAsiaTheme="minorEastAsia" w:cstheme="minorEastAsia"/>
                <w:snapToGrid w:val="0"/>
                <w:color w:val="auto"/>
                <w:spacing w:val="-4"/>
                <w:sz w:val="24"/>
                <w:highlight w:val="none"/>
                <w:lang w:eastAsia="zh-CN"/>
              </w:rPr>
              <w:t>。</w:t>
            </w:r>
            <w:r>
              <w:rPr>
                <w:rFonts w:hint="eastAsia" w:asciiTheme="minorEastAsia" w:hAnsiTheme="minorEastAsia" w:eastAsiaTheme="minorEastAsia" w:cstheme="minorEastAsia"/>
                <w:snapToGrid w:val="0"/>
                <w:color w:val="000000"/>
                <w:spacing w:val="-4"/>
                <w:sz w:val="24"/>
                <w:highlight w:val="none"/>
                <w:lang w:eastAsia="zh-CN"/>
              </w:rPr>
              <w:t>大专以上学历，</w:t>
            </w:r>
            <w:r>
              <w:rPr>
                <w:rFonts w:hint="eastAsia" w:asciiTheme="minorEastAsia" w:hAnsiTheme="minorEastAsia" w:eastAsiaTheme="minorEastAsia" w:cstheme="minorEastAsia"/>
                <w:color w:val="000000"/>
                <w:sz w:val="24"/>
                <w:highlight w:val="none"/>
              </w:rPr>
              <w:t>无违法犯罪记录</w:t>
            </w:r>
            <w:r>
              <w:rPr>
                <w:rFonts w:hint="eastAsia" w:asciiTheme="minorEastAsia" w:hAnsiTheme="minorEastAsia" w:eastAsiaTheme="minorEastAsia" w:cstheme="minorEastAsia"/>
                <w:snapToGrid w:val="0"/>
                <w:color w:val="000000"/>
                <w:spacing w:val="-4"/>
                <w:sz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18" w:type="dxa"/>
            <w:vAlign w:val="center"/>
          </w:tcPr>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snapToGrid w:val="0"/>
                <w:color w:val="auto"/>
                <w:spacing w:val="-4"/>
                <w:sz w:val="24"/>
                <w:highlight w:val="none"/>
              </w:rPr>
            </w:pPr>
            <w:r>
              <w:rPr>
                <w:rFonts w:hint="eastAsia" w:asciiTheme="minorEastAsia" w:hAnsiTheme="minorEastAsia" w:eastAsiaTheme="minorEastAsia" w:cstheme="minorEastAsia"/>
                <w:snapToGrid w:val="0"/>
                <w:color w:val="auto"/>
                <w:spacing w:val="-4"/>
                <w:sz w:val="24"/>
                <w:highlight w:val="none"/>
              </w:rPr>
              <w:t>2</w:t>
            </w:r>
          </w:p>
        </w:tc>
        <w:tc>
          <w:tcPr>
            <w:tcW w:w="1200" w:type="dxa"/>
            <w:vAlign w:val="center"/>
          </w:tcPr>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snapToGrid w:val="0"/>
                <w:color w:val="auto"/>
                <w:spacing w:val="-4"/>
                <w:kern w:val="2"/>
                <w:sz w:val="24"/>
                <w:szCs w:val="24"/>
                <w:highlight w:val="none"/>
                <w:lang w:val="en-US" w:eastAsia="zh-CN" w:bidi="ar-SA"/>
              </w:rPr>
            </w:pPr>
            <w:r>
              <w:rPr>
                <w:rFonts w:hint="eastAsia" w:asciiTheme="minorEastAsia" w:hAnsiTheme="minorEastAsia" w:eastAsiaTheme="minorEastAsia" w:cstheme="minorEastAsia"/>
                <w:snapToGrid w:val="0"/>
                <w:color w:val="auto"/>
                <w:spacing w:val="-4"/>
                <w:sz w:val="24"/>
                <w:highlight w:val="none"/>
              </w:rPr>
              <w:t>安保</w:t>
            </w:r>
            <w:r>
              <w:rPr>
                <w:rFonts w:hint="eastAsia" w:asciiTheme="minorEastAsia" w:hAnsiTheme="minorEastAsia" w:eastAsiaTheme="minorEastAsia" w:cstheme="minorEastAsia"/>
                <w:snapToGrid w:val="0"/>
                <w:color w:val="auto"/>
                <w:spacing w:val="-4"/>
                <w:sz w:val="24"/>
                <w:highlight w:val="none"/>
                <w:lang w:val="en-US" w:eastAsia="zh-CN"/>
              </w:rPr>
              <w:t>人</w:t>
            </w:r>
            <w:r>
              <w:rPr>
                <w:rFonts w:hint="eastAsia" w:asciiTheme="minorEastAsia" w:hAnsiTheme="minorEastAsia" w:eastAsiaTheme="minorEastAsia" w:cstheme="minorEastAsia"/>
                <w:snapToGrid w:val="0"/>
                <w:color w:val="auto"/>
                <w:spacing w:val="-4"/>
                <w:sz w:val="24"/>
                <w:highlight w:val="none"/>
              </w:rPr>
              <w:t>员</w:t>
            </w:r>
          </w:p>
        </w:tc>
        <w:tc>
          <w:tcPr>
            <w:tcW w:w="1465" w:type="dxa"/>
            <w:vAlign w:val="center"/>
          </w:tcPr>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snapToGrid w:val="0"/>
                <w:color w:val="auto"/>
                <w:spacing w:val="-4"/>
                <w:sz w:val="24"/>
                <w:highlight w:val="none"/>
                <w:lang w:val="en-US" w:eastAsia="zh-CN"/>
              </w:rPr>
            </w:pPr>
            <w:r>
              <w:rPr>
                <w:rFonts w:hint="eastAsia" w:asciiTheme="minorEastAsia" w:hAnsiTheme="minorEastAsia" w:eastAsiaTheme="minorEastAsia" w:cstheme="minorEastAsia"/>
                <w:snapToGrid w:val="0"/>
                <w:color w:val="auto"/>
                <w:spacing w:val="-4"/>
                <w:sz w:val="24"/>
                <w:highlight w:val="none"/>
              </w:rPr>
              <w:t>1</w:t>
            </w:r>
            <w:r>
              <w:rPr>
                <w:rFonts w:hint="eastAsia" w:asciiTheme="minorEastAsia" w:hAnsiTheme="minorEastAsia" w:eastAsiaTheme="minorEastAsia" w:cstheme="minorEastAsia"/>
                <w:snapToGrid w:val="0"/>
                <w:color w:val="auto"/>
                <w:spacing w:val="-4"/>
                <w:sz w:val="24"/>
                <w:highlight w:val="none"/>
                <w:lang w:val="en-US" w:eastAsia="zh-CN"/>
              </w:rPr>
              <w:t>1</w:t>
            </w:r>
          </w:p>
          <w:p>
            <w:pPr>
              <w:pStyle w:val="2"/>
              <w:ind w:left="0" w:leftChars="0" w:firstLine="0" w:firstLineChars="0"/>
              <w:jc w:val="left"/>
              <w:rPr>
                <w:rFonts w:hint="default" w:eastAsiaTheme="minorEastAsia"/>
                <w:lang w:val="en-US" w:eastAsia="zh-CN"/>
              </w:rPr>
            </w:pPr>
            <w:r>
              <w:rPr>
                <w:rFonts w:hint="eastAsia" w:asciiTheme="minorEastAsia" w:hAnsiTheme="minorEastAsia" w:eastAsiaTheme="minorEastAsia" w:cstheme="minorEastAsia"/>
                <w:snapToGrid w:val="0"/>
                <w:color w:val="auto"/>
                <w:spacing w:val="-4"/>
                <w:sz w:val="24"/>
                <w:highlight w:val="none"/>
                <w:lang w:val="en-US" w:eastAsia="zh-CN"/>
              </w:rPr>
              <w:t>(仓基、大关、西岸各3人，童玩家2人）</w:t>
            </w:r>
          </w:p>
        </w:tc>
        <w:tc>
          <w:tcPr>
            <w:tcW w:w="4936" w:type="dxa"/>
            <w:tcBorders>
              <w:top w:val="single" w:color="auto" w:sz="4" w:space="0"/>
              <w:right w:val="single" w:color="auto" w:sz="4" w:space="0"/>
            </w:tcBorders>
            <w:vAlign w:val="center"/>
          </w:tcPr>
          <w:p>
            <w:pPr>
              <w:numPr>
                <w:ilvl w:val="0"/>
                <w:numId w:val="0"/>
              </w:numPr>
              <w:spacing w:line="360" w:lineRule="auto"/>
              <w:rPr>
                <w:rFonts w:hint="eastAsia" w:asciiTheme="minorEastAsia" w:hAnsiTheme="minorEastAsia" w:eastAsiaTheme="minorEastAsia" w:cstheme="minorEastAsia"/>
                <w:b w:val="0"/>
                <w:bCs/>
                <w:snapToGrid/>
                <w:color w:val="auto"/>
                <w:kern w:val="2"/>
                <w:sz w:val="24"/>
                <w:szCs w:val="24"/>
                <w:highlight w:val="none"/>
                <w:lang w:val="en-US" w:eastAsia="zh-CN" w:bidi="ar-SA"/>
              </w:rPr>
            </w:pPr>
            <w:r>
              <w:rPr>
                <w:rFonts w:hint="default" w:asciiTheme="minorEastAsia" w:hAnsiTheme="minorEastAsia" w:eastAsiaTheme="minorEastAsia" w:cstheme="minorEastAsia"/>
                <w:b w:val="0"/>
                <w:bCs/>
                <w:snapToGrid/>
                <w:color w:val="auto"/>
                <w:kern w:val="2"/>
                <w:sz w:val="24"/>
                <w:szCs w:val="24"/>
                <w:highlight w:val="none"/>
                <w:lang w:eastAsia="zh-CN" w:bidi="ar-SA"/>
              </w:rPr>
              <w:t>1.</w:t>
            </w:r>
            <w:r>
              <w:rPr>
                <w:rFonts w:hint="eastAsia" w:asciiTheme="minorEastAsia" w:hAnsiTheme="minorEastAsia" w:eastAsiaTheme="minorEastAsia" w:cstheme="minorEastAsia"/>
                <w:b w:val="0"/>
                <w:bCs/>
                <w:snapToGrid/>
                <w:color w:val="auto"/>
                <w:kern w:val="2"/>
                <w:sz w:val="24"/>
                <w:szCs w:val="24"/>
                <w:highlight w:val="none"/>
                <w:lang w:val="en-US" w:eastAsia="zh-CN" w:bidi="ar-SA"/>
              </w:rPr>
              <w:t>男性，55周岁及以下（首次选派的服务人员应在50周岁以下），具备高中及以上文化学历。</w:t>
            </w:r>
          </w:p>
          <w:p>
            <w:pPr>
              <w:numPr>
                <w:ilvl w:val="0"/>
                <w:numId w:val="0"/>
              </w:numPr>
              <w:spacing w:line="360" w:lineRule="auto"/>
              <w:rPr>
                <w:rFonts w:hint="eastAsia" w:asciiTheme="minorEastAsia" w:hAnsiTheme="minorEastAsia" w:eastAsiaTheme="minorEastAsia" w:cstheme="minorEastAsia"/>
                <w:b w:val="0"/>
                <w:bCs/>
                <w:snapToGrid/>
                <w:color w:val="auto"/>
                <w:kern w:val="2"/>
                <w:sz w:val="24"/>
                <w:szCs w:val="24"/>
                <w:highlight w:val="none"/>
                <w:lang w:val="en-US" w:eastAsia="zh-CN" w:bidi="ar-SA"/>
              </w:rPr>
            </w:pPr>
            <w:r>
              <w:rPr>
                <w:rFonts w:hint="eastAsia" w:asciiTheme="minorEastAsia" w:hAnsiTheme="minorEastAsia" w:eastAsiaTheme="minorEastAsia" w:cstheme="minorEastAsia"/>
                <w:b w:val="0"/>
                <w:bCs/>
                <w:snapToGrid/>
                <w:color w:val="auto"/>
                <w:kern w:val="2"/>
                <w:sz w:val="24"/>
                <w:szCs w:val="24"/>
                <w:highlight w:val="none"/>
                <w:lang w:val="en-US" w:eastAsia="zh-CN" w:bidi="ar-SA"/>
              </w:rPr>
              <w:t>3.具备相应的安保专业技能，有处理突发事故的经验和保安工作经历，训练有素。</w:t>
            </w:r>
          </w:p>
          <w:p>
            <w:pPr>
              <w:numPr>
                <w:ilvl w:val="0"/>
                <w:numId w:val="0"/>
              </w:numPr>
              <w:spacing w:line="360" w:lineRule="auto"/>
              <w:rPr>
                <w:rFonts w:hint="eastAsia" w:asciiTheme="minorEastAsia" w:hAnsiTheme="minorEastAsia" w:eastAsiaTheme="minorEastAsia" w:cstheme="minorEastAsia"/>
                <w:b w:val="0"/>
                <w:bCs/>
                <w:snapToGrid/>
                <w:color w:val="auto"/>
                <w:kern w:val="2"/>
                <w:sz w:val="24"/>
                <w:szCs w:val="24"/>
                <w:highlight w:val="none"/>
                <w:lang w:val="en-US" w:eastAsia="zh-CN" w:bidi="ar-SA"/>
              </w:rPr>
            </w:pPr>
            <w:r>
              <w:rPr>
                <w:rFonts w:hint="eastAsia" w:asciiTheme="minorEastAsia" w:hAnsiTheme="minorEastAsia" w:eastAsiaTheme="minorEastAsia" w:cstheme="minorEastAsia"/>
                <w:b w:val="0"/>
                <w:bCs/>
                <w:snapToGrid/>
                <w:color w:val="auto"/>
                <w:kern w:val="2"/>
                <w:sz w:val="24"/>
                <w:szCs w:val="24"/>
                <w:highlight w:val="none"/>
                <w:lang w:val="en-US" w:eastAsia="zh-CN" w:bidi="ar-SA"/>
              </w:rPr>
              <w:t>4.仪容仪表规范整齐，言语文明、规范，身体健康(有健康证)，工作认真负责。</w:t>
            </w:r>
          </w:p>
          <w:p>
            <w:pPr>
              <w:numPr>
                <w:ilvl w:val="0"/>
                <w:numId w:val="0"/>
              </w:numPr>
              <w:spacing w:line="360" w:lineRule="auto"/>
              <w:rPr>
                <w:rFonts w:hint="eastAsia" w:asciiTheme="minorEastAsia" w:hAnsiTheme="minorEastAsia" w:eastAsiaTheme="minorEastAsia" w:cstheme="minorEastAsia"/>
                <w:b w:val="0"/>
                <w:bCs/>
                <w:snapToGrid/>
                <w:color w:val="auto"/>
                <w:kern w:val="2"/>
                <w:sz w:val="24"/>
                <w:szCs w:val="24"/>
                <w:highlight w:val="none"/>
                <w:lang w:val="en-US" w:eastAsia="zh-CN" w:bidi="ar-SA"/>
              </w:rPr>
            </w:pPr>
            <w:r>
              <w:rPr>
                <w:rFonts w:hint="eastAsia" w:asciiTheme="minorEastAsia" w:hAnsiTheme="minorEastAsia" w:eastAsiaTheme="minorEastAsia" w:cstheme="minorEastAsia"/>
                <w:b w:val="0"/>
                <w:bCs/>
                <w:snapToGrid/>
                <w:color w:val="auto"/>
                <w:kern w:val="2"/>
                <w:sz w:val="24"/>
                <w:szCs w:val="24"/>
                <w:highlight w:val="none"/>
                <w:lang w:val="en-US" w:eastAsia="zh-CN" w:bidi="ar-SA"/>
              </w:rPr>
              <w:t>5.政治上可靠，能提供无不良行为记录</w:t>
            </w:r>
            <w:r>
              <w:rPr>
                <w:rFonts w:hint="eastAsia" w:asciiTheme="minorEastAsia" w:hAnsiTheme="minorEastAsia" w:eastAsiaTheme="minorEastAsia" w:cstheme="minorEastAsia"/>
                <w:b w:val="0"/>
                <w:bCs/>
                <w:snapToGrid/>
                <w:color w:val="auto"/>
                <w:kern w:val="2"/>
                <w:sz w:val="24"/>
                <w:szCs w:val="24"/>
                <w:highlight w:val="none"/>
                <w:lang w:val="zh-CN" w:eastAsia="zh-CN" w:bidi="ar-SA"/>
              </w:rPr>
              <w:t>（包括无犯罪记录）。</w:t>
            </w:r>
          </w:p>
          <w:p>
            <w:pPr>
              <w:pStyle w:val="2"/>
              <w:ind w:left="0" w:leftChars="0" w:firstLine="0" w:firstLineChars="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6.从事保安工作三年及以上。</w:t>
            </w:r>
          </w:p>
          <w:p>
            <w:pPr>
              <w:numPr>
                <w:ilvl w:val="0"/>
                <w:numId w:val="0"/>
              </w:numPr>
              <w:spacing w:line="360" w:lineRule="auto"/>
              <w:rPr>
                <w:rFonts w:hint="eastAsia"/>
                <w:lang w:val="en-US" w:eastAsia="zh-CN"/>
              </w:rPr>
            </w:pPr>
            <w:r>
              <w:rPr>
                <w:rFonts w:hint="eastAsia" w:asciiTheme="minorEastAsia" w:hAnsiTheme="minorEastAsia" w:eastAsiaTheme="minorEastAsia" w:cstheme="minorEastAsia"/>
                <w:color w:val="auto"/>
                <w:sz w:val="24"/>
                <w:highlight w:val="none"/>
                <w:lang w:val="en-US" w:eastAsia="zh-CN"/>
              </w:rPr>
              <w:t>7.退伍军人优选选用。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trPr>
        <w:tc>
          <w:tcPr>
            <w:tcW w:w="918" w:type="dxa"/>
            <w:vAlign w:val="center"/>
          </w:tcPr>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snapToGrid w:val="0"/>
                <w:color w:val="auto"/>
                <w:spacing w:val="-4"/>
                <w:sz w:val="24"/>
                <w:highlight w:val="none"/>
              </w:rPr>
            </w:pPr>
          </w:p>
        </w:tc>
        <w:tc>
          <w:tcPr>
            <w:tcW w:w="1200" w:type="dxa"/>
            <w:vAlign w:val="center"/>
          </w:tcPr>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snapToGrid w:val="0"/>
                <w:color w:val="auto"/>
                <w:spacing w:val="-4"/>
                <w:sz w:val="24"/>
                <w:highlight w:val="none"/>
              </w:rPr>
            </w:pPr>
            <w:r>
              <w:rPr>
                <w:rFonts w:hint="eastAsia" w:asciiTheme="minorEastAsia" w:hAnsiTheme="minorEastAsia" w:eastAsiaTheme="minorEastAsia" w:cstheme="minorEastAsia"/>
                <w:snapToGrid w:val="0"/>
                <w:color w:val="auto"/>
                <w:spacing w:val="-4"/>
                <w:sz w:val="24"/>
                <w:highlight w:val="none"/>
              </w:rPr>
              <w:t>合计</w:t>
            </w:r>
          </w:p>
        </w:tc>
        <w:tc>
          <w:tcPr>
            <w:tcW w:w="6401" w:type="dxa"/>
            <w:gridSpan w:val="2"/>
            <w:tcBorders>
              <w:right w:val="single" w:color="auto" w:sz="4" w:space="0"/>
            </w:tcBorders>
            <w:vAlign w:val="center"/>
          </w:tcPr>
          <w:p>
            <w:pPr>
              <w:pageBreakBefore w:val="0"/>
              <w:kinsoku/>
              <w:wordWrap/>
              <w:overflowPunct/>
              <w:topLinePunct w:val="0"/>
              <w:bidi w:val="0"/>
              <w:spacing w:line="360" w:lineRule="auto"/>
              <w:textAlignment w:val="auto"/>
              <w:rPr>
                <w:rFonts w:hint="default" w:asciiTheme="minorEastAsia" w:hAnsiTheme="minorEastAsia" w:eastAsiaTheme="minorEastAsia" w:cstheme="minorEastAsia"/>
                <w:snapToGrid w:val="0"/>
                <w:color w:val="auto"/>
                <w:spacing w:val="-4"/>
                <w:sz w:val="24"/>
                <w:highlight w:val="none"/>
                <w:lang w:val="en-US" w:eastAsia="zh-CN"/>
              </w:rPr>
            </w:pPr>
            <w:r>
              <w:rPr>
                <w:rFonts w:hint="eastAsia" w:asciiTheme="minorEastAsia" w:hAnsiTheme="minorEastAsia" w:eastAsiaTheme="minorEastAsia" w:cstheme="minorEastAsia"/>
                <w:snapToGrid w:val="0"/>
                <w:color w:val="auto"/>
                <w:spacing w:val="-4"/>
                <w:sz w:val="24"/>
                <w:highlight w:val="none"/>
                <w:lang w:val="en-US" w:eastAsia="zh-CN"/>
              </w:rPr>
              <w:t>12</w:t>
            </w:r>
          </w:p>
        </w:tc>
      </w:tr>
    </w:tbl>
    <w:p>
      <w:pPr>
        <w:pageBreakBefore w:val="0"/>
        <w:widowControl w:val="0"/>
        <w:numPr>
          <w:ilvl w:val="0"/>
          <w:numId w:val="1"/>
        </w:numPr>
        <w:kinsoku/>
        <w:wordWrap/>
        <w:overflowPunct/>
        <w:topLinePunct w:val="0"/>
        <w:bidi w:val="0"/>
        <w:adjustRightInd w:val="0"/>
        <w:spacing w:line="360" w:lineRule="auto"/>
        <w:ind w:firstLine="480" w:firstLineChars="200"/>
        <w:jc w:val="both"/>
        <w:textAlignment w:val="auto"/>
        <w:rPr>
          <w:rFonts w:hint="default"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eastAsia="zh-CN"/>
        </w:rPr>
        <w:t>根据要求学校在上、下学期间需要有2名及以上保安人员在校门口</w:t>
      </w:r>
      <w:r>
        <w:rPr>
          <w:rFonts w:hint="eastAsia" w:asciiTheme="minorEastAsia" w:hAnsiTheme="minorEastAsia" w:eastAsiaTheme="minorEastAsia" w:cstheme="minorEastAsia"/>
          <w:color w:val="auto"/>
          <w:sz w:val="24"/>
          <w:highlight w:val="none"/>
        </w:rPr>
        <w:t>负责安保</w:t>
      </w:r>
      <w:r>
        <w:rPr>
          <w:rFonts w:hint="eastAsia" w:asciiTheme="minorEastAsia" w:hAnsiTheme="minorEastAsia" w:eastAsiaTheme="minorEastAsia" w:cstheme="minorEastAsia"/>
          <w:color w:val="auto"/>
          <w:sz w:val="24"/>
          <w:highlight w:val="none"/>
          <w:lang w:val="en-US" w:eastAsia="zh-CN"/>
        </w:rPr>
        <w:t>保障工作。上学时间：7:50——9：00 放学时间：16：00－17：30。</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管理服务人员上岗时须统一着装，服装样式体现岗位特色和方便不同岗位操作，并经采购单位认可。</w:t>
      </w:r>
    </w:p>
    <w:p>
      <w:pPr>
        <w:pStyle w:val="5"/>
        <w:pageBreakBefore w:val="0"/>
        <w:kinsoku/>
        <w:wordWrap/>
        <w:overflowPunct/>
        <w:topLinePunct w:val="0"/>
        <w:bidi w:val="0"/>
        <w:spacing w:line="360" w:lineRule="auto"/>
        <w:ind w:left="0" w:leftChars="0"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4.</w:t>
      </w:r>
      <w:r>
        <w:rPr>
          <w:rFonts w:hint="eastAsia" w:asciiTheme="minorEastAsia" w:hAnsiTheme="minorEastAsia" w:eastAsiaTheme="minorEastAsia" w:cstheme="minorEastAsia"/>
          <w:b w:val="0"/>
          <w:bCs w:val="0"/>
          <w:color w:val="auto"/>
          <w:sz w:val="24"/>
          <w:szCs w:val="24"/>
          <w:highlight w:val="none"/>
        </w:rPr>
        <w:t>遇重大活动应增加人员，遇自然灾害、恶劣天气等特殊时期，24小时到场服务，增援力量配备充足。</w:t>
      </w:r>
    </w:p>
    <w:p>
      <w:pPr>
        <w:pageBreakBefore w:val="0"/>
        <w:kinsoku/>
        <w:wordWrap/>
        <w:overflowPunct/>
        <w:topLinePunct w:val="0"/>
        <w:bidi w:val="0"/>
        <w:spacing w:line="360" w:lineRule="auto"/>
        <w:ind w:firstLine="120" w:firstLineChars="5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 xml:space="preserve">   5.</w:t>
      </w:r>
      <w:r>
        <w:rPr>
          <w:rFonts w:hint="eastAsia" w:asciiTheme="minorEastAsia" w:hAnsiTheme="minorEastAsia" w:eastAsiaTheme="minorEastAsia" w:cstheme="minorEastAsia"/>
          <w:b w:val="0"/>
          <w:bCs/>
          <w:color w:val="auto"/>
          <w:sz w:val="24"/>
          <w:szCs w:val="24"/>
          <w:highlight w:val="none"/>
        </w:rPr>
        <w:t>服务人员应及时、认真做好工作日志、交接班记录、账册等记录工作，做到字迹清晰、数据准确。</w:t>
      </w:r>
    </w:p>
    <w:p>
      <w:pPr>
        <w:pStyle w:val="5"/>
        <w:pageBreakBefore w:val="0"/>
        <w:kinsoku/>
        <w:wordWrap/>
        <w:overflowPunct/>
        <w:topLinePunct w:val="0"/>
        <w:bidi w:val="0"/>
        <w:spacing w:line="360" w:lineRule="auto"/>
        <w:ind w:left="459" w:leftChars="214" w:hanging="10" w:hangingChars="4"/>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五、其他要求</w:t>
      </w:r>
    </w:p>
    <w:p>
      <w:pPr>
        <w:pStyle w:val="5"/>
        <w:pageBreakBefore w:val="0"/>
        <w:numPr>
          <w:ilvl w:val="0"/>
          <w:numId w:val="0"/>
        </w:numPr>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b w:val="0"/>
          <w:bCs w:val="0"/>
          <w:color w:val="auto"/>
          <w:sz w:val="24"/>
          <w:szCs w:val="24"/>
          <w:highlight w:val="none"/>
        </w:rPr>
        <w:t>根据本项目</w:t>
      </w:r>
      <w:r>
        <w:rPr>
          <w:rFonts w:hint="eastAsia" w:asciiTheme="minorEastAsia" w:hAnsiTheme="minorEastAsia" w:eastAsiaTheme="minorEastAsia" w:cstheme="minorEastAsia"/>
          <w:b w:val="0"/>
          <w:bCs w:val="0"/>
          <w:color w:val="auto"/>
          <w:sz w:val="24"/>
          <w:szCs w:val="24"/>
          <w:highlight w:val="none"/>
          <w:lang w:eastAsia="zh-CN"/>
        </w:rPr>
        <w:t>安保</w:t>
      </w:r>
      <w:r>
        <w:rPr>
          <w:rFonts w:hint="eastAsia" w:asciiTheme="minorEastAsia" w:hAnsiTheme="minorEastAsia" w:eastAsiaTheme="minorEastAsia" w:cstheme="minorEastAsia"/>
          <w:b w:val="0"/>
          <w:bCs w:val="0"/>
          <w:color w:val="auto"/>
          <w:sz w:val="24"/>
          <w:szCs w:val="24"/>
          <w:highlight w:val="none"/>
        </w:rPr>
        <w:t>使用特点提出合理的</w:t>
      </w:r>
      <w:r>
        <w:rPr>
          <w:rFonts w:hint="eastAsia" w:asciiTheme="minorEastAsia" w:hAnsiTheme="minorEastAsia" w:eastAsiaTheme="minorEastAsia" w:cstheme="minorEastAsia"/>
          <w:b w:val="0"/>
          <w:bCs w:val="0"/>
          <w:color w:val="auto"/>
          <w:sz w:val="24"/>
          <w:szCs w:val="24"/>
          <w:highlight w:val="none"/>
          <w:lang w:eastAsia="zh-CN"/>
        </w:rPr>
        <w:t>安保</w:t>
      </w:r>
      <w:r>
        <w:rPr>
          <w:rFonts w:hint="eastAsia" w:asciiTheme="minorEastAsia" w:hAnsiTheme="minorEastAsia" w:eastAsiaTheme="minorEastAsia" w:cstheme="minorEastAsia"/>
          <w:b w:val="0"/>
          <w:bCs w:val="0"/>
          <w:color w:val="auto"/>
          <w:sz w:val="24"/>
          <w:szCs w:val="24"/>
          <w:highlight w:val="none"/>
        </w:rPr>
        <w:t>管理服务理念、服务定位和目标，结合本项目安全性特点，提出针对性的切实可行的方案。有比较完善的组织架构及管理制度，清晰简练地列出主要管理流程，包括运作流程图、监督机制、自我约束机制、信息反馈及处理机制。</w:t>
      </w:r>
    </w:p>
    <w:p>
      <w:pPr>
        <w:pStyle w:val="5"/>
        <w:pageBreakBefore w:val="0"/>
        <w:numPr>
          <w:ilvl w:val="0"/>
          <w:numId w:val="0"/>
        </w:numPr>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2.</w:t>
      </w:r>
      <w:r>
        <w:rPr>
          <w:rFonts w:hint="eastAsia" w:asciiTheme="minorEastAsia" w:hAnsiTheme="minorEastAsia" w:eastAsiaTheme="minorEastAsia" w:cstheme="minorEastAsia"/>
          <w:b w:val="0"/>
          <w:bCs w:val="0"/>
          <w:color w:val="auto"/>
          <w:sz w:val="24"/>
          <w:szCs w:val="24"/>
          <w:highlight w:val="none"/>
        </w:rPr>
        <w:t>服务方须在合同签订前须提供</w:t>
      </w:r>
      <w:r>
        <w:rPr>
          <w:rFonts w:hint="eastAsia" w:asciiTheme="minorEastAsia" w:hAnsiTheme="minorEastAsia" w:eastAsiaTheme="minorEastAsia" w:cstheme="minorEastAsia"/>
          <w:b w:val="0"/>
          <w:bCs w:val="0"/>
          <w:color w:val="auto"/>
          <w:sz w:val="24"/>
          <w:szCs w:val="24"/>
          <w:highlight w:val="none"/>
          <w:lang w:val="en-US" w:eastAsia="zh-CN"/>
        </w:rPr>
        <w:t>项目总负责人、项目经理</w:t>
      </w:r>
      <w:r>
        <w:rPr>
          <w:rFonts w:hint="eastAsia" w:asciiTheme="minorEastAsia" w:hAnsiTheme="minorEastAsia" w:eastAsiaTheme="minorEastAsia" w:cstheme="minorEastAsia"/>
          <w:b w:val="0"/>
          <w:bCs w:val="0"/>
          <w:color w:val="auto"/>
          <w:sz w:val="24"/>
          <w:szCs w:val="24"/>
          <w:highlight w:val="none"/>
        </w:rPr>
        <w:t>、</w:t>
      </w:r>
      <w:r>
        <w:rPr>
          <w:rFonts w:hint="eastAsia" w:asciiTheme="minorEastAsia" w:hAnsiTheme="minorEastAsia" w:eastAsiaTheme="minorEastAsia" w:cstheme="minorEastAsia"/>
          <w:b w:val="0"/>
          <w:bCs w:val="0"/>
          <w:color w:val="auto"/>
          <w:sz w:val="24"/>
          <w:szCs w:val="24"/>
          <w:highlight w:val="none"/>
          <w:lang w:val="en-US" w:eastAsia="zh-CN"/>
        </w:rPr>
        <w:t>安保人员</w:t>
      </w:r>
      <w:r>
        <w:rPr>
          <w:rFonts w:hint="eastAsia" w:asciiTheme="minorEastAsia" w:hAnsiTheme="minorEastAsia" w:eastAsiaTheme="minorEastAsia" w:cstheme="minorEastAsia"/>
          <w:b w:val="0"/>
          <w:bCs w:val="0"/>
          <w:color w:val="auto"/>
          <w:sz w:val="24"/>
          <w:szCs w:val="24"/>
          <w:highlight w:val="none"/>
        </w:rPr>
        <w:t>等所有岗位人员的相关有效证件和信息，如果服务方不能提供，则采购单位有权终止合同签订。</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为提高物业管理服务水平，有完善的人员培训方案和管理制度。建立上岗前培训制度，物业服务各</w:t>
      </w:r>
      <w:r>
        <w:rPr>
          <w:rFonts w:hint="eastAsia" w:asciiTheme="minorEastAsia" w:hAnsiTheme="minorEastAsia" w:eastAsiaTheme="minorEastAsia" w:cstheme="minorEastAsia"/>
          <w:color w:val="auto"/>
          <w:sz w:val="24"/>
          <w:szCs w:val="24"/>
          <w:highlight w:val="none"/>
          <w:lang w:val="en-US" w:eastAsia="zh-CN"/>
        </w:rPr>
        <w:t>类</w:t>
      </w:r>
      <w:r>
        <w:rPr>
          <w:rFonts w:hint="eastAsia" w:asciiTheme="minorEastAsia" w:hAnsiTheme="minorEastAsia" w:eastAsiaTheme="minorEastAsia" w:cstheme="minorEastAsia"/>
          <w:color w:val="auto"/>
          <w:sz w:val="24"/>
          <w:szCs w:val="24"/>
          <w:highlight w:val="none"/>
        </w:rPr>
        <w:t>人员上岗前必须进行培训</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并</w:t>
      </w:r>
      <w:r>
        <w:rPr>
          <w:rFonts w:hint="eastAsia" w:asciiTheme="minorEastAsia" w:hAnsiTheme="minorEastAsia" w:eastAsiaTheme="minorEastAsia" w:cstheme="minorEastAsia"/>
          <w:color w:val="auto"/>
          <w:sz w:val="24"/>
          <w:szCs w:val="24"/>
          <w:highlight w:val="none"/>
        </w:rPr>
        <w:t>通过考试方式，经投标人同意准许上岗。所有管理服务人员在服务期间按岗位要求进行定期培训。</w:t>
      </w:r>
    </w:p>
    <w:p>
      <w:pPr>
        <w:pStyle w:val="5"/>
        <w:pageBreakBefore w:val="0"/>
        <w:kinsoku/>
        <w:wordWrap/>
        <w:overflowPunct/>
        <w:topLinePunct w:val="0"/>
        <w:bidi w:val="0"/>
        <w:spacing w:line="360" w:lineRule="auto"/>
        <w:ind w:left="0" w:leftChars="0"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4.</w:t>
      </w:r>
      <w:r>
        <w:rPr>
          <w:rFonts w:hint="eastAsia" w:asciiTheme="minorEastAsia" w:hAnsiTheme="minorEastAsia" w:eastAsiaTheme="minorEastAsia" w:cstheme="minorEastAsia"/>
          <w:b w:val="0"/>
          <w:bCs w:val="0"/>
          <w:color w:val="auto"/>
          <w:sz w:val="24"/>
          <w:szCs w:val="24"/>
          <w:highlight w:val="none"/>
        </w:rPr>
        <w:t>项目经理、业务主管及员工如需更换,须经招标方同意，项目主管需提前一个月、安保提前</w:t>
      </w:r>
      <w:r>
        <w:rPr>
          <w:rFonts w:hint="eastAsia" w:asciiTheme="minorEastAsia" w:hAnsiTheme="minorEastAsia" w:eastAsiaTheme="minorEastAsia" w:cstheme="minorEastAsia"/>
          <w:b w:val="0"/>
          <w:bCs w:val="0"/>
          <w:color w:val="auto"/>
          <w:sz w:val="24"/>
          <w:szCs w:val="24"/>
          <w:highlight w:val="none"/>
          <w:lang w:val="en-US" w:eastAsia="zh-CN"/>
        </w:rPr>
        <w:t>20</w:t>
      </w:r>
      <w:r>
        <w:rPr>
          <w:rFonts w:hint="eastAsia" w:asciiTheme="minorEastAsia" w:hAnsiTheme="minorEastAsia" w:eastAsiaTheme="minorEastAsia" w:cstheme="minorEastAsia"/>
          <w:b w:val="0"/>
          <w:bCs w:val="0"/>
          <w:color w:val="auto"/>
          <w:sz w:val="24"/>
          <w:szCs w:val="24"/>
          <w:highlight w:val="none"/>
        </w:rPr>
        <w:t>天告知</w:t>
      </w:r>
      <w:r>
        <w:rPr>
          <w:rFonts w:hint="eastAsia" w:asciiTheme="minorEastAsia" w:hAnsiTheme="minorEastAsia" w:eastAsiaTheme="minorEastAsia" w:cstheme="minorEastAsia"/>
          <w:b w:val="0"/>
          <w:bCs w:val="0"/>
          <w:color w:val="auto"/>
          <w:sz w:val="24"/>
          <w:szCs w:val="24"/>
          <w:highlight w:val="none"/>
          <w:lang w:eastAsia="zh-CN"/>
        </w:rPr>
        <w:t>采购方</w:t>
      </w:r>
      <w:r>
        <w:rPr>
          <w:rFonts w:hint="eastAsia" w:asciiTheme="minorEastAsia" w:hAnsiTheme="minorEastAsia" w:eastAsiaTheme="minorEastAsia" w:cstheme="minorEastAsia"/>
          <w:b w:val="0"/>
          <w:bCs w:val="0"/>
          <w:color w:val="auto"/>
          <w:sz w:val="24"/>
          <w:szCs w:val="24"/>
          <w:highlight w:val="none"/>
        </w:rPr>
        <w:t>并得到同意后才能更换，按要求及时补充相应人员，提前做好交接班。对</w:t>
      </w:r>
      <w:r>
        <w:rPr>
          <w:rFonts w:hint="eastAsia" w:asciiTheme="minorEastAsia" w:hAnsiTheme="minorEastAsia" w:eastAsiaTheme="minorEastAsia" w:cstheme="minorEastAsia"/>
          <w:b w:val="0"/>
          <w:bCs w:val="0"/>
          <w:color w:val="auto"/>
          <w:sz w:val="24"/>
          <w:szCs w:val="24"/>
          <w:highlight w:val="none"/>
          <w:lang w:eastAsia="zh-CN"/>
        </w:rPr>
        <w:t>采购方</w:t>
      </w:r>
      <w:r>
        <w:rPr>
          <w:rFonts w:hint="eastAsia" w:asciiTheme="minorEastAsia" w:hAnsiTheme="minorEastAsia" w:eastAsiaTheme="minorEastAsia" w:cstheme="minorEastAsia"/>
          <w:b w:val="0"/>
          <w:bCs w:val="0"/>
          <w:color w:val="auto"/>
          <w:sz w:val="24"/>
          <w:szCs w:val="24"/>
          <w:highlight w:val="none"/>
        </w:rPr>
        <w:t>认为无能力、工作失职或不合适人员，应立即更换。以确保</w:t>
      </w:r>
      <w:r>
        <w:rPr>
          <w:rFonts w:hint="eastAsia" w:asciiTheme="minorEastAsia" w:hAnsiTheme="minorEastAsia" w:eastAsiaTheme="minorEastAsia" w:cstheme="minorEastAsia"/>
          <w:b w:val="0"/>
          <w:bCs w:val="0"/>
          <w:color w:val="auto"/>
          <w:sz w:val="24"/>
          <w:szCs w:val="24"/>
          <w:highlight w:val="none"/>
          <w:lang w:val="en-US" w:eastAsia="zh-CN"/>
        </w:rPr>
        <w:t>服务人员相对</w:t>
      </w:r>
      <w:r>
        <w:rPr>
          <w:rFonts w:hint="eastAsia" w:asciiTheme="minorEastAsia" w:hAnsiTheme="minorEastAsia" w:eastAsiaTheme="minorEastAsia" w:cstheme="minorEastAsia"/>
          <w:b w:val="0"/>
          <w:bCs w:val="0"/>
          <w:color w:val="auto"/>
          <w:sz w:val="24"/>
          <w:szCs w:val="24"/>
          <w:highlight w:val="none"/>
        </w:rPr>
        <w:t>稳定性</w:t>
      </w:r>
      <w:r>
        <w:rPr>
          <w:rFonts w:hint="eastAsia" w:asciiTheme="minorEastAsia" w:hAnsiTheme="minorEastAsia" w:eastAsiaTheme="minorEastAsia" w:cstheme="minorEastAsia"/>
          <w:b w:val="0"/>
          <w:bCs w:val="0"/>
          <w:color w:val="auto"/>
          <w:sz w:val="24"/>
          <w:szCs w:val="24"/>
          <w:highlight w:val="none"/>
          <w:lang w:eastAsia="zh-CN"/>
        </w:rPr>
        <w:t>。</w:t>
      </w:r>
    </w:p>
    <w:p>
      <w:pPr>
        <w:pStyle w:val="128"/>
        <w:pageBreakBefore w:val="0"/>
        <w:kinsoku/>
        <w:wordWrap/>
        <w:overflowPunct/>
        <w:topLinePunct w:val="0"/>
        <w:bidi w:val="0"/>
        <w:adjustRightInd w:val="0"/>
        <w:snapToGrid w:val="0"/>
        <w:spacing w:before="0" w:beforeLines="0" w:afterAutospacing="0" w:line="360" w:lineRule="auto"/>
        <w:ind w:left="0" w:leftChars="0" w:firstLine="482"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b/>
          <w:bCs/>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按国家和当地政府有关劳动法规、条例，向</w:t>
      </w:r>
      <w:r>
        <w:rPr>
          <w:rFonts w:hint="eastAsia" w:asciiTheme="minorEastAsia" w:hAnsiTheme="minorEastAsia" w:eastAsiaTheme="minorEastAsia" w:cstheme="minorEastAsia"/>
          <w:color w:val="auto"/>
          <w:sz w:val="24"/>
          <w:szCs w:val="24"/>
          <w:highlight w:val="none"/>
          <w:lang w:eastAsia="zh-CN"/>
        </w:rPr>
        <w:t>保安</w:t>
      </w:r>
      <w:r>
        <w:rPr>
          <w:rFonts w:hint="eastAsia" w:asciiTheme="minorEastAsia" w:hAnsiTheme="minorEastAsia" w:eastAsiaTheme="minorEastAsia" w:cstheme="minorEastAsia"/>
          <w:color w:val="auto"/>
          <w:sz w:val="24"/>
          <w:szCs w:val="24"/>
          <w:highlight w:val="none"/>
        </w:rPr>
        <w:t>服务人员提供相应工种的劳动工资、加班工资、劳动保护等待遇。工资</w:t>
      </w:r>
      <w:r>
        <w:rPr>
          <w:rFonts w:hint="eastAsia" w:asciiTheme="minorEastAsia" w:hAnsiTheme="minorEastAsia" w:eastAsiaTheme="minorEastAsia" w:cstheme="minorEastAsia"/>
          <w:color w:val="auto"/>
          <w:sz w:val="24"/>
          <w:szCs w:val="24"/>
          <w:highlight w:val="none"/>
          <w:lang w:eastAsia="zh-CN"/>
        </w:rPr>
        <w:t>不得低于杭州市社会最低工资标准</w:t>
      </w:r>
      <w:r>
        <w:rPr>
          <w:rFonts w:hint="eastAsia" w:asciiTheme="minorEastAsia" w:hAnsiTheme="minorEastAsia" w:eastAsiaTheme="minorEastAsia" w:cstheme="minorEastAsia"/>
          <w:color w:val="auto"/>
          <w:sz w:val="24"/>
          <w:szCs w:val="24"/>
          <w:highlight w:val="none"/>
        </w:rPr>
        <w:t>。</w:t>
      </w:r>
      <w:r>
        <w:rPr>
          <w:rFonts w:hint="eastAsia" w:ascii="宋体" w:hAnsi="宋体" w:eastAsia="宋体" w:cs="宋体"/>
          <w:kern w:val="2"/>
          <w:sz w:val="24"/>
          <w:szCs w:val="24"/>
          <w:highlight w:val="none"/>
          <w:lang w:val="en-US" w:eastAsia="zh-CN" w:bidi="ar-SA"/>
        </w:rPr>
        <w:t>按国家劳动和社会保障部门规定按时、足额为服务人员缴纳包括但不仅限于员工养老保险、医疗保险、失业、工伤、生育保险等各项社会保</w:t>
      </w:r>
      <w:r>
        <w:rPr>
          <w:rFonts w:hint="eastAsia" w:ascii="宋体" w:hAnsi="宋体" w:cs="宋体"/>
          <w:kern w:val="2"/>
          <w:sz w:val="24"/>
          <w:szCs w:val="24"/>
          <w:highlight w:val="none"/>
          <w:lang w:val="en-US" w:eastAsia="zh-CN" w:bidi="ar-SA"/>
        </w:rPr>
        <w:t>险</w:t>
      </w:r>
      <w:r>
        <w:rPr>
          <w:rFonts w:hint="eastAsia" w:ascii="宋体" w:hAnsi="宋体" w:eastAsia="宋体" w:cs="宋体"/>
          <w:kern w:val="2"/>
          <w:sz w:val="24"/>
          <w:szCs w:val="24"/>
          <w:highlight w:val="none"/>
          <w:lang w:val="en-US" w:eastAsia="zh-CN" w:bidi="ar-SA"/>
        </w:rPr>
        <w:t>。</w:t>
      </w:r>
    </w:p>
    <w:p>
      <w:pPr>
        <w:pStyle w:val="128"/>
        <w:pageBreakBefore w:val="0"/>
        <w:kinsoku/>
        <w:wordWrap/>
        <w:overflowPunct/>
        <w:topLinePunct w:val="0"/>
        <w:bidi w:val="0"/>
        <w:adjustRightInd w:val="0"/>
        <w:snapToGrid w:val="0"/>
        <w:spacing w:before="0" w:beforeLines="0" w:afterAutospacing="0"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default" w:ascii="宋体" w:hAnsi="宋体" w:cs="宋体"/>
          <w:color w:val="auto"/>
          <w:kern w:val="2"/>
          <w:sz w:val="24"/>
          <w:szCs w:val="24"/>
          <w:highlight w:val="none"/>
          <w:lang w:eastAsia="zh-CN" w:bidi="ar-SA"/>
        </w:rPr>
        <w:t>6.</w:t>
      </w:r>
      <w:r>
        <w:rPr>
          <w:rFonts w:hint="eastAsia" w:asciiTheme="minorEastAsia" w:hAnsiTheme="minorEastAsia" w:eastAsiaTheme="minorEastAsia" w:cstheme="minorEastAsia"/>
          <w:color w:val="auto"/>
          <w:sz w:val="24"/>
          <w:szCs w:val="24"/>
          <w:highlight w:val="none"/>
        </w:rPr>
        <w:t>为保证服务人员的技能素质</w:t>
      </w:r>
      <w:r>
        <w:rPr>
          <w:rFonts w:hint="default" w:asciiTheme="minorEastAsia" w:hAnsiTheme="minorEastAsia" w:eastAsiaTheme="minorEastAsia" w:cstheme="minorEastAsia"/>
          <w:color w:val="auto"/>
          <w:sz w:val="24"/>
          <w:szCs w:val="24"/>
          <w:highlight w:val="none"/>
        </w:rPr>
        <w:t>和</w:t>
      </w:r>
      <w:r>
        <w:rPr>
          <w:rFonts w:hint="eastAsia" w:asciiTheme="minorEastAsia" w:hAnsiTheme="minorEastAsia" w:eastAsiaTheme="minorEastAsia" w:cstheme="minorEastAsia"/>
          <w:color w:val="auto"/>
          <w:sz w:val="24"/>
          <w:szCs w:val="24"/>
          <w:highlight w:val="none"/>
        </w:rPr>
        <w:t>队伍的相对稳定，</w:t>
      </w:r>
      <w:r>
        <w:rPr>
          <w:rFonts w:hint="default" w:asciiTheme="minorEastAsia" w:hAnsiTheme="minorEastAsia" w:eastAsiaTheme="minorEastAsia" w:cstheme="minorEastAsia"/>
          <w:color w:val="auto"/>
          <w:sz w:val="24"/>
          <w:szCs w:val="24"/>
          <w:highlight w:val="none"/>
        </w:rPr>
        <w:t>投标人</w:t>
      </w:r>
      <w:r>
        <w:rPr>
          <w:rFonts w:hint="eastAsia" w:asciiTheme="minorEastAsia" w:hAnsiTheme="minorEastAsia" w:eastAsiaTheme="minorEastAsia" w:cstheme="minorEastAsia"/>
          <w:color w:val="auto"/>
          <w:sz w:val="24"/>
          <w:szCs w:val="24"/>
          <w:highlight w:val="none"/>
        </w:rPr>
        <w:t>应建立</w:t>
      </w:r>
      <w:r>
        <w:rPr>
          <w:rFonts w:hint="default" w:asciiTheme="minorEastAsia" w:hAnsiTheme="minorEastAsia" w:eastAsiaTheme="minorEastAsia" w:cstheme="minorEastAsia"/>
          <w:color w:val="auto"/>
          <w:sz w:val="24"/>
          <w:szCs w:val="24"/>
          <w:highlight w:val="none"/>
        </w:rPr>
        <w:t>实际、有效的人员稳定性管理机制，以</w:t>
      </w:r>
      <w:r>
        <w:rPr>
          <w:rFonts w:hint="eastAsia" w:asciiTheme="minorEastAsia" w:hAnsiTheme="minorEastAsia" w:eastAsiaTheme="minorEastAsia" w:cstheme="minorEastAsia"/>
          <w:color w:val="auto"/>
          <w:sz w:val="24"/>
          <w:szCs w:val="24"/>
          <w:highlight w:val="none"/>
        </w:rPr>
        <w:t>提高员工对公司和甲方单位的忠诚度。</w:t>
      </w:r>
    </w:p>
    <w:p>
      <w:pPr>
        <w:keepNext w:val="0"/>
        <w:keepLines w:val="0"/>
        <w:pageBreakBefore w:val="0"/>
        <w:kinsoku/>
        <w:wordWrap/>
        <w:overflowPunct/>
        <w:topLinePunct w:val="0"/>
        <w:bidi w:val="0"/>
        <w:adjustRightInd w:val="0"/>
        <w:snapToGrid/>
        <w:spacing w:line="36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default" w:asciiTheme="minorEastAsia" w:hAnsiTheme="minorEastAsia" w:eastAsiaTheme="minorEastAsia" w:cstheme="minorEastAsia"/>
          <w:color w:val="auto"/>
          <w:sz w:val="24"/>
          <w:szCs w:val="24"/>
          <w:highlight w:val="none"/>
          <w:lang w:eastAsia="zh-CN"/>
        </w:rPr>
        <w:t>7</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突发事件处理</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每年组织不少于1次的突发事件应急演习，并按照要求制订突发事件应急预</w:t>
      </w:r>
      <w:r>
        <w:rPr>
          <w:rFonts w:hint="eastAsia" w:asciiTheme="minorEastAsia" w:hAnsiTheme="minorEastAsia" w:eastAsiaTheme="minorEastAsia" w:cstheme="minorEastAsia"/>
          <w:color w:val="auto"/>
          <w:sz w:val="24"/>
          <w:szCs w:val="24"/>
          <w:highlight w:val="none"/>
          <w:lang w:eastAsia="zh-CN"/>
        </w:rPr>
        <w:t>案。</w:t>
      </w:r>
      <w:r>
        <w:rPr>
          <w:rFonts w:hint="eastAsia" w:asciiTheme="minorEastAsia" w:hAnsiTheme="minorEastAsia" w:eastAsiaTheme="minorEastAsia" w:cstheme="minorEastAsia"/>
          <w:color w:val="auto"/>
          <w:sz w:val="24"/>
          <w:szCs w:val="24"/>
          <w:highlight w:val="none"/>
        </w:rPr>
        <w:t>安保人员必须按规定实行岗位警戒，根据不同突发事件的现场情况进行应变处理。在有关部门到达现场前，确保人身安全，减少财产损失，并全力协助处理相关事宜。定期检查各楼层固定位置悬挂疏散示意图及引导标识标牌，如发现破损及时报修。当发生台风、暴雨、雪灾等灾害性天气及其他突发事件时，对设备机房、停车场、露天设施进行检查和加固。</w:t>
      </w:r>
    </w:p>
    <w:p>
      <w:pPr>
        <w:pageBreakBefore w:val="0"/>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default" w:asciiTheme="minorEastAsia" w:hAnsiTheme="minorEastAsia" w:eastAsiaTheme="minorEastAsia" w:cstheme="minorEastAsia"/>
          <w:color w:val="auto"/>
          <w:sz w:val="24"/>
          <w:szCs w:val="24"/>
          <w:highlight w:val="none"/>
          <w:lang w:eastAsia="zh-CN"/>
        </w:rPr>
        <w:t>8</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中标方应承诺在合同期内，为承包区域内提供</w:t>
      </w:r>
      <w:r>
        <w:rPr>
          <w:rFonts w:hint="eastAsia" w:asciiTheme="minorEastAsia" w:hAnsiTheme="minorEastAsia" w:eastAsiaTheme="minorEastAsia" w:cstheme="minorEastAsia"/>
          <w:color w:val="auto"/>
          <w:sz w:val="24"/>
          <w:szCs w:val="24"/>
          <w:highlight w:val="none"/>
          <w:lang w:val="en-US" w:eastAsia="zh-CN"/>
        </w:rPr>
        <w:t>安保</w:t>
      </w:r>
      <w:r>
        <w:rPr>
          <w:rFonts w:hint="eastAsia" w:asciiTheme="minorEastAsia" w:hAnsiTheme="minorEastAsia" w:eastAsiaTheme="minorEastAsia" w:cstheme="minorEastAsia"/>
          <w:color w:val="auto"/>
          <w:sz w:val="24"/>
          <w:szCs w:val="24"/>
          <w:highlight w:val="none"/>
        </w:rPr>
        <w:t>相关服务中所引起</w:t>
      </w:r>
      <w:r>
        <w:rPr>
          <w:rFonts w:hint="eastAsia" w:asciiTheme="minorEastAsia" w:hAnsiTheme="minorEastAsia" w:eastAsiaTheme="minorEastAsia" w:cstheme="minorEastAsia"/>
          <w:color w:val="auto"/>
          <w:kern w:val="0"/>
          <w:sz w:val="24"/>
          <w:szCs w:val="24"/>
          <w:highlight w:val="none"/>
        </w:rPr>
        <w:t>劳动争议、工伤事故和意外伤害，以及由此带来的一切风险均由中标方自行全权负责，相关费用由中标方自行承担。</w:t>
      </w:r>
    </w:p>
    <w:p>
      <w:pPr>
        <w:pStyle w:val="5"/>
        <w:pageBreakBefore w:val="0"/>
        <w:kinsoku/>
        <w:wordWrap/>
        <w:overflowPunct/>
        <w:topLinePunct w:val="0"/>
        <w:bidi w:val="0"/>
        <w:spacing w:line="360" w:lineRule="auto"/>
        <w:ind w:left="0" w:leftChars="0"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default" w:asciiTheme="minorEastAsia" w:hAnsiTheme="minorEastAsia" w:eastAsiaTheme="minorEastAsia" w:cstheme="minorEastAsia"/>
          <w:b w:val="0"/>
          <w:bCs w:val="0"/>
          <w:color w:val="auto"/>
          <w:kern w:val="0"/>
          <w:sz w:val="24"/>
          <w:szCs w:val="24"/>
          <w:highlight w:val="none"/>
          <w:lang w:eastAsia="zh-CN"/>
        </w:rPr>
        <w:t>9</w:t>
      </w:r>
      <w:r>
        <w:rPr>
          <w:rFonts w:hint="eastAsia" w:asciiTheme="minorEastAsia" w:hAnsiTheme="minorEastAsia" w:eastAsiaTheme="minorEastAsia" w:cstheme="minorEastAsia"/>
          <w:b w:val="0"/>
          <w:bCs w:val="0"/>
          <w:color w:val="auto"/>
          <w:kern w:val="0"/>
          <w:sz w:val="24"/>
          <w:szCs w:val="24"/>
          <w:highlight w:val="none"/>
          <w:lang w:val="en-US" w:eastAsia="zh-CN"/>
        </w:rPr>
        <w:t>.</w:t>
      </w:r>
      <w:r>
        <w:rPr>
          <w:rFonts w:hint="eastAsia" w:asciiTheme="minorEastAsia" w:hAnsiTheme="minorEastAsia" w:eastAsiaTheme="minorEastAsia" w:cstheme="minorEastAsia"/>
          <w:b w:val="0"/>
          <w:bCs w:val="0"/>
          <w:color w:val="auto"/>
          <w:sz w:val="24"/>
          <w:szCs w:val="24"/>
          <w:highlight w:val="none"/>
        </w:rPr>
        <w:t>各投标人须按《杭州市物业管理条例》及其他国家有关标准和规范完成采购文件要求的物业管理工作。</w:t>
      </w:r>
    </w:p>
    <w:p>
      <w:pPr>
        <w:pageBreakBefore w:val="0"/>
        <w:tabs>
          <w:tab w:val="left" w:pos="360"/>
          <w:tab w:val="left" w:pos="1440"/>
        </w:tabs>
        <w:kinsoku/>
        <w:wordWrap/>
        <w:overflowPunct/>
        <w:topLinePunct w:val="0"/>
        <w:bidi w:val="0"/>
        <w:snapToGrid w:val="0"/>
        <w:spacing w:line="360" w:lineRule="auto"/>
        <w:ind w:firstLine="472" w:firstLineChars="197"/>
        <w:textAlignment w:val="auto"/>
        <w:rPr>
          <w:rFonts w:hint="eastAsia" w:asciiTheme="minorEastAsia" w:hAnsiTheme="minorEastAsia" w:eastAsiaTheme="minorEastAsia" w:cstheme="minorEastAsia"/>
          <w:b w:val="0"/>
          <w:bCs w:val="0"/>
          <w:color w:val="auto"/>
          <w:sz w:val="24"/>
          <w:szCs w:val="24"/>
          <w:highlight w:val="none"/>
        </w:rPr>
      </w:pPr>
      <w:r>
        <w:rPr>
          <w:rFonts w:hint="default" w:asciiTheme="minorEastAsia" w:hAnsiTheme="minorEastAsia" w:eastAsiaTheme="minorEastAsia" w:cstheme="minorEastAsia"/>
          <w:b w:val="0"/>
          <w:bCs w:val="0"/>
          <w:color w:val="auto"/>
          <w:sz w:val="24"/>
          <w:szCs w:val="24"/>
          <w:highlight w:val="none"/>
          <w:lang w:eastAsia="zh-CN"/>
        </w:rPr>
        <w:t>10</w:t>
      </w:r>
      <w:r>
        <w:rPr>
          <w:rFonts w:hint="eastAsia" w:asciiTheme="minorEastAsia" w:hAnsiTheme="minorEastAsia" w:eastAsiaTheme="minorEastAsia" w:cstheme="minorEastAsia"/>
          <w:b w:val="0"/>
          <w:bCs w:val="0"/>
          <w:color w:val="auto"/>
          <w:sz w:val="24"/>
          <w:szCs w:val="24"/>
          <w:highlight w:val="none"/>
          <w:lang w:val="en-US" w:eastAsia="zh-CN"/>
        </w:rPr>
        <w:t>.</w:t>
      </w:r>
      <w:r>
        <w:rPr>
          <w:rFonts w:hint="eastAsia" w:asciiTheme="minorEastAsia" w:hAnsiTheme="minorEastAsia" w:eastAsiaTheme="minorEastAsia" w:cstheme="minorEastAsia"/>
          <w:b w:val="0"/>
          <w:bCs w:val="0"/>
          <w:color w:val="auto"/>
          <w:sz w:val="24"/>
          <w:szCs w:val="24"/>
          <w:highlight w:val="none"/>
        </w:rPr>
        <w:t>投标人应制订具体的质量保证措施及质量保证及相关服务的承诺。</w:t>
      </w:r>
      <w:r>
        <w:rPr>
          <w:rFonts w:hint="eastAsia" w:asciiTheme="minorEastAsia" w:hAnsiTheme="minorEastAsia" w:eastAsiaTheme="minorEastAsia" w:cstheme="minorEastAsia"/>
          <w:color w:val="auto"/>
          <w:sz w:val="24"/>
          <w:szCs w:val="24"/>
          <w:highlight w:val="none"/>
        </w:rPr>
        <w:t>服务方所有的工作除应按服务方的内部流程实施外还应接受采购单位或第三方的检查。</w:t>
      </w:r>
      <w:r>
        <w:rPr>
          <w:rFonts w:hint="eastAsia" w:asciiTheme="minorEastAsia" w:hAnsiTheme="minorEastAsia" w:eastAsiaTheme="minorEastAsia" w:cstheme="minorEastAsia"/>
          <w:b w:val="0"/>
          <w:bCs w:val="0"/>
          <w:color w:val="auto"/>
          <w:sz w:val="24"/>
          <w:szCs w:val="24"/>
          <w:highlight w:val="none"/>
        </w:rPr>
        <w:t>如因服务质量未达到目标</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达不到采购单位</w:t>
      </w:r>
      <w:r>
        <w:rPr>
          <w:rFonts w:hint="eastAsia" w:asciiTheme="minorEastAsia" w:hAnsiTheme="minorEastAsia" w:eastAsiaTheme="minorEastAsia" w:cstheme="minorEastAsia"/>
          <w:color w:val="auto"/>
          <w:sz w:val="24"/>
          <w:szCs w:val="24"/>
          <w:highlight w:val="none"/>
          <w:lang w:val="en-US" w:eastAsia="zh-CN"/>
        </w:rPr>
        <w:t>的</w:t>
      </w:r>
      <w:r>
        <w:rPr>
          <w:rFonts w:hint="eastAsia" w:asciiTheme="minorEastAsia" w:hAnsiTheme="minorEastAsia" w:eastAsiaTheme="minorEastAsia" w:cstheme="minorEastAsia"/>
          <w:color w:val="auto"/>
          <w:sz w:val="24"/>
          <w:szCs w:val="24"/>
          <w:highlight w:val="none"/>
        </w:rPr>
        <w:t>要求及各项服务承诺，</w:t>
      </w:r>
      <w:r>
        <w:rPr>
          <w:rFonts w:hint="eastAsia" w:asciiTheme="minorEastAsia" w:hAnsiTheme="minorEastAsia" w:eastAsiaTheme="minorEastAsia" w:cstheme="minorEastAsia"/>
          <w:color w:val="auto"/>
          <w:sz w:val="24"/>
          <w:szCs w:val="24"/>
          <w:highlight w:val="none"/>
          <w:lang w:val="en-US" w:eastAsia="zh-CN"/>
        </w:rPr>
        <w:t>服务方</w:t>
      </w:r>
      <w:r>
        <w:rPr>
          <w:rFonts w:hint="eastAsia" w:asciiTheme="minorEastAsia" w:hAnsiTheme="minorEastAsia" w:eastAsiaTheme="minorEastAsia" w:cstheme="minorEastAsia"/>
          <w:b w:val="0"/>
          <w:bCs w:val="0"/>
          <w:color w:val="auto"/>
          <w:sz w:val="24"/>
          <w:szCs w:val="24"/>
          <w:highlight w:val="none"/>
        </w:rPr>
        <w:t>应承担责任和经济赔偿</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eastAsia="zh-CN"/>
        </w:rPr>
        <w:t>且</w:t>
      </w:r>
      <w:r>
        <w:rPr>
          <w:rFonts w:hint="eastAsia" w:asciiTheme="minorEastAsia" w:hAnsiTheme="minorEastAsia" w:eastAsiaTheme="minorEastAsia" w:cstheme="minorEastAsia"/>
          <w:color w:val="auto"/>
          <w:sz w:val="24"/>
          <w:szCs w:val="24"/>
          <w:highlight w:val="none"/>
        </w:rPr>
        <w:t>采购单位有权要求其整改，直至扣款或终止合同。</w:t>
      </w:r>
      <w:r>
        <w:rPr>
          <w:rFonts w:hint="eastAsia" w:asciiTheme="minorEastAsia" w:hAnsiTheme="minorEastAsia" w:eastAsiaTheme="minorEastAsia" w:cstheme="minorEastAsia"/>
          <w:b w:val="0"/>
          <w:bCs w:val="0"/>
          <w:color w:val="auto"/>
          <w:sz w:val="24"/>
          <w:szCs w:val="24"/>
          <w:highlight w:val="none"/>
        </w:rPr>
        <w:t>在维保范围项目，</w:t>
      </w:r>
      <w:r>
        <w:rPr>
          <w:rFonts w:hint="eastAsia" w:asciiTheme="minorEastAsia" w:hAnsiTheme="minorEastAsia" w:eastAsiaTheme="minorEastAsia" w:cstheme="minorEastAsia"/>
          <w:b w:val="0"/>
          <w:bCs w:val="0"/>
          <w:color w:val="auto"/>
          <w:sz w:val="24"/>
          <w:szCs w:val="24"/>
          <w:highlight w:val="none"/>
          <w:lang w:val="en-US" w:eastAsia="zh-CN"/>
        </w:rPr>
        <w:t>服务方</w:t>
      </w:r>
      <w:r>
        <w:rPr>
          <w:rFonts w:hint="eastAsia" w:asciiTheme="minorEastAsia" w:hAnsiTheme="minorEastAsia" w:eastAsiaTheme="minorEastAsia" w:cstheme="minorEastAsia"/>
          <w:b w:val="0"/>
          <w:bCs w:val="0"/>
          <w:color w:val="auto"/>
          <w:sz w:val="24"/>
          <w:szCs w:val="24"/>
          <w:highlight w:val="none"/>
        </w:rPr>
        <w:t>无任何理由拒绝保养维修。</w:t>
      </w:r>
    </w:p>
    <w:p>
      <w:pPr>
        <w:pageBreakBefore w:val="0"/>
        <w:widowControl/>
        <w:kinsoku/>
        <w:wordWrap/>
        <w:overflowPunct/>
        <w:topLinePunct w:val="0"/>
        <w:autoSpaceDE w:val="0"/>
        <w:autoSpaceDN w:val="0"/>
        <w:bidi w:val="0"/>
        <w:snapToGrid/>
        <w:spacing w:line="360" w:lineRule="auto"/>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 xml:space="preserve">    </w:t>
      </w:r>
      <w:r>
        <w:rPr>
          <w:rFonts w:hint="eastAsia" w:asciiTheme="minorEastAsia" w:hAnsiTheme="minorEastAsia" w:eastAsiaTheme="minorEastAsia" w:cstheme="minorEastAsia"/>
          <w:b/>
          <w:bCs/>
          <w:color w:val="auto"/>
          <w:sz w:val="24"/>
          <w:szCs w:val="24"/>
          <w:highlight w:val="none"/>
          <w:lang w:eastAsia="zh-CN"/>
        </w:rPr>
        <w:t>六</w:t>
      </w:r>
      <w:r>
        <w:rPr>
          <w:rFonts w:hint="eastAsia" w:asciiTheme="minorEastAsia" w:hAnsiTheme="minorEastAsia" w:eastAsiaTheme="minorEastAsia" w:cstheme="minorEastAsia"/>
          <w:b/>
          <w:bCs/>
          <w:color w:val="auto"/>
          <w:sz w:val="24"/>
          <w:szCs w:val="24"/>
          <w:highlight w:val="none"/>
        </w:rPr>
        <w:t>、管理服务应达到的各项指标</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1.安保人员上岗培训率达到100%；</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2.治安案件发生率为0；</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3.火灾责任事故、刑事案件率为0；</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4.包干卫生、安保器械清洁率达100%；</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5.消防、安防设备设施完好率100%；</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6.设备完好率100%；</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7.智能化系统运行正常率100%；</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w:t>
      </w:r>
      <w:r>
        <w:rPr>
          <w:rFonts w:hint="eastAsia" w:asciiTheme="minorEastAsia" w:hAnsiTheme="minorEastAsia" w:eastAsiaTheme="minorEastAsia" w:cstheme="minorEastAsia"/>
          <w:color w:val="auto"/>
          <w:sz w:val="24"/>
          <w:szCs w:val="24"/>
          <w:highlight w:val="none"/>
        </w:rPr>
        <w:t>服务有效投诉少于1%，处理率100%；</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服务满意率9</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eastAsia="zh-CN"/>
        </w:rPr>
        <w:t>以上</w:t>
      </w:r>
      <w:r>
        <w:rPr>
          <w:rFonts w:hint="eastAsia" w:ascii="宋体" w:hAnsi="宋体" w:eastAsia="宋体" w:cs="宋体"/>
          <w:sz w:val="24"/>
          <w:szCs w:val="24"/>
        </w:rPr>
        <w:t>。</w:t>
      </w:r>
    </w:p>
    <w:p>
      <w:pPr>
        <w:pageBreakBefore w:val="0"/>
        <w:widowControl w:val="0"/>
        <w:kinsoku/>
        <w:wordWrap/>
        <w:overflowPunct/>
        <w:topLinePunct w:val="0"/>
        <w:autoSpaceDE/>
        <w:autoSpaceDN/>
        <w:bidi w:val="0"/>
        <w:snapToGrid/>
        <w:spacing w:line="360" w:lineRule="auto"/>
        <w:ind w:firstLine="482"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eastAsia="zh-CN"/>
        </w:rPr>
        <w:t>七</w:t>
      </w:r>
      <w:r>
        <w:rPr>
          <w:rFonts w:hint="eastAsia" w:asciiTheme="minorEastAsia" w:hAnsiTheme="minorEastAsia" w:eastAsiaTheme="minorEastAsia" w:cstheme="minorEastAsia"/>
          <w:b/>
          <w:bCs/>
          <w:color w:val="auto"/>
          <w:sz w:val="24"/>
          <w:szCs w:val="24"/>
          <w:highlight w:val="none"/>
        </w:rPr>
        <w:t>、管理服务费用及财务管理要求</w:t>
      </w:r>
    </w:p>
    <w:p>
      <w:pPr>
        <w:pStyle w:val="5"/>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b w:val="0"/>
          <w:bCs w:val="0"/>
          <w:color w:val="auto"/>
          <w:sz w:val="24"/>
          <w:szCs w:val="24"/>
          <w:highlight w:val="none"/>
        </w:rPr>
        <w:t>本项目采用总价合同，</w:t>
      </w:r>
      <w:r>
        <w:rPr>
          <w:rFonts w:hint="eastAsia" w:asciiTheme="minorEastAsia" w:hAnsiTheme="minorEastAsia" w:eastAsiaTheme="minorEastAsia" w:cstheme="minorEastAsia"/>
          <w:b w:val="0"/>
          <w:bCs w:val="0"/>
          <w:color w:val="auto"/>
          <w:sz w:val="24"/>
          <w:szCs w:val="24"/>
          <w:highlight w:val="none"/>
          <w:lang w:eastAsia="zh-CN"/>
        </w:rPr>
        <w:t>安保</w:t>
      </w:r>
      <w:r>
        <w:rPr>
          <w:rFonts w:hint="eastAsia" w:asciiTheme="minorEastAsia" w:hAnsiTheme="minorEastAsia" w:eastAsiaTheme="minorEastAsia" w:cstheme="minorEastAsia"/>
          <w:b w:val="0"/>
          <w:bCs w:val="0"/>
          <w:color w:val="auto"/>
          <w:sz w:val="24"/>
          <w:szCs w:val="24"/>
          <w:highlight w:val="none"/>
        </w:rPr>
        <w:t>管理服务费用及结算方式以签订的合同为准，中标（成交）供应商的投标报价是履行合同的最终价格，报价应包括完成合同所涉及的全部内容，以及中标后中标供应商因本项目合同履行产生的税金、人工、管理、合理利润等一切成本及费用，成交后不允许擅自改变服务内容、质量标准、期限与追加项目预算。</w:t>
      </w:r>
    </w:p>
    <w:p>
      <w:pPr>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服务方需承担</w:t>
      </w:r>
      <w:r>
        <w:rPr>
          <w:rFonts w:hint="eastAsia" w:asciiTheme="minorEastAsia" w:hAnsiTheme="minorEastAsia" w:eastAsiaTheme="minorEastAsia" w:cstheme="minorEastAsia"/>
          <w:color w:val="auto"/>
          <w:sz w:val="24"/>
          <w:szCs w:val="24"/>
          <w:highlight w:val="none"/>
          <w:lang w:val="en-US" w:eastAsia="zh-CN"/>
        </w:rPr>
        <w:t>保安人员的标准制服。</w:t>
      </w:r>
      <w:r>
        <w:rPr>
          <w:rFonts w:hint="eastAsia" w:ascii="宋体" w:hAnsi="宋体" w:eastAsia="宋体" w:cs="宋体"/>
          <w:color w:val="auto"/>
          <w:sz w:val="24"/>
          <w:szCs w:val="24"/>
          <w:highlight w:val="none"/>
        </w:rPr>
        <w:t>保安员按照《保安员装备配备与管理要求》配置的器材和装备由采购单位提供，并按规定佩戴或放置。如有人为损毁或遗失，由保安服务供应商照价赔偿</w:t>
      </w:r>
      <w:r>
        <w:rPr>
          <w:rFonts w:hint="eastAsia" w:asciiTheme="minorEastAsia" w:hAnsiTheme="minorEastAsia" w:eastAsiaTheme="minorEastAsia" w:cstheme="minorEastAsia"/>
          <w:color w:val="auto"/>
          <w:sz w:val="24"/>
          <w:szCs w:val="24"/>
          <w:highlight w:val="none"/>
        </w:rPr>
        <w:t>。</w:t>
      </w:r>
    </w:p>
    <w:p>
      <w:pPr>
        <w:pageBreakBefore w:val="0"/>
        <w:tabs>
          <w:tab w:val="left" w:pos="840"/>
        </w:tabs>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宋体" w:hAnsi="宋体" w:eastAsia="宋体" w:cs="宋体"/>
          <w:sz w:val="24"/>
          <w:szCs w:val="24"/>
          <w:lang w:val="en-US" w:eastAsia="zh-CN"/>
        </w:rPr>
        <w:t>3.</w:t>
      </w:r>
      <w:r>
        <w:rPr>
          <w:rFonts w:hint="eastAsia" w:ascii="宋体" w:hAnsi="宋体" w:eastAsia="宋体" w:cs="宋体"/>
          <w:sz w:val="24"/>
          <w:szCs w:val="24"/>
        </w:rPr>
        <w:t>人员缺岗的，</w:t>
      </w:r>
      <w:r>
        <w:rPr>
          <w:rFonts w:hint="eastAsia" w:asciiTheme="minorEastAsia" w:hAnsiTheme="minorEastAsia" w:eastAsiaTheme="minorEastAsia" w:cstheme="minorEastAsia"/>
          <w:color w:val="auto"/>
          <w:sz w:val="24"/>
          <w:szCs w:val="24"/>
          <w:highlight w:val="none"/>
        </w:rPr>
        <w:t>按其岗位平均每月人员开支的标准扣除服务费。扣除的费用可用于其他顶岗人员的加班或奖励费用</w:t>
      </w:r>
      <w:r>
        <w:rPr>
          <w:rFonts w:hint="eastAsia" w:ascii="宋体" w:hAnsi="宋体" w:eastAsia="宋体" w:cs="宋体"/>
          <w:color w:val="auto"/>
          <w:sz w:val="24"/>
          <w:szCs w:val="24"/>
          <w:highlight w:val="none"/>
        </w:rPr>
        <w:t>（不得违反劳动法的有关规定）</w:t>
      </w:r>
      <w:r>
        <w:rPr>
          <w:rFonts w:hint="eastAsia" w:asciiTheme="minorEastAsia" w:hAnsiTheme="minorEastAsia" w:eastAsiaTheme="minorEastAsia" w:cstheme="minorEastAsia"/>
          <w:color w:val="auto"/>
          <w:sz w:val="24"/>
          <w:szCs w:val="24"/>
          <w:highlight w:val="none"/>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因采购单位原因，需要保安人员加班的，加班工资按有关法律的规定执行，并另行签订补充合同予以确认。</w:t>
      </w:r>
    </w:p>
    <w:p>
      <w:pPr>
        <w:pageBreakBefore w:val="0"/>
        <w:kinsoku/>
        <w:wordWrap/>
        <w:overflowPunct/>
        <w:topLinePunct w:val="0"/>
        <w:bidi w:val="0"/>
        <w:spacing w:line="360" w:lineRule="auto"/>
        <w:ind w:firstLine="482"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eastAsia="zh-CN"/>
        </w:rPr>
        <w:t>八</w:t>
      </w:r>
      <w:r>
        <w:rPr>
          <w:rFonts w:hint="eastAsia" w:asciiTheme="minorEastAsia" w:hAnsiTheme="minorEastAsia" w:eastAsiaTheme="minorEastAsia" w:cstheme="minorEastAsia"/>
          <w:b/>
          <w:bCs/>
          <w:color w:val="auto"/>
          <w:sz w:val="24"/>
          <w:szCs w:val="24"/>
          <w:highlight w:val="none"/>
        </w:rPr>
        <w:t>、服务期限：</w:t>
      </w:r>
      <w:r>
        <w:rPr>
          <w:rFonts w:hint="eastAsia" w:asciiTheme="minorEastAsia" w:hAnsiTheme="minorEastAsia" w:eastAsiaTheme="minorEastAsia" w:cstheme="minorEastAsia"/>
          <w:color w:val="auto"/>
          <w:sz w:val="24"/>
          <w:szCs w:val="24"/>
          <w:highlight w:val="none"/>
        </w:rPr>
        <w:t>自合同签订起</w:t>
      </w:r>
      <w:r>
        <w:rPr>
          <w:rFonts w:hint="eastAsia" w:asciiTheme="minorEastAsia" w:hAnsiTheme="minorEastAsia" w:eastAsiaTheme="minorEastAsia" w:cstheme="minorEastAsia"/>
          <w:color w:val="auto"/>
          <w:sz w:val="24"/>
          <w:szCs w:val="24"/>
          <w:highlight w:val="none"/>
          <w:lang w:val="en-US" w:eastAsia="zh-CN"/>
        </w:rPr>
        <w:t>1年</w:t>
      </w:r>
      <w:r>
        <w:rPr>
          <w:rFonts w:hint="eastAsia" w:asciiTheme="minorEastAsia" w:hAnsiTheme="minorEastAsia" w:eastAsiaTheme="minorEastAsia" w:cstheme="minorEastAsia"/>
          <w:color w:val="auto"/>
          <w:sz w:val="24"/>
          <w:szCs w:val="24"/>
          <w:highlight w:val="none"/>
        </w:rPr>
        <w:t>。</w:t>
      </w:r>
    </w:p>
    <w:p>
      <w:pPr>
        <w:pageBreakBefore w:val="0"/>
        <w:kinsoku/>
        <w:wordWrap/>
        <w:overflowPunct/>
        <w:topLinePunct w:val="0"/>
        <w:bidi w:val="0"/>
        <w:spacing w:line="360" w:lineRule="auto"/>
        <w:textAlignment w:val="auto"/>
        <w:outlineLvl w:val="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   九</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color w:val="auto"/>
          <w:sz w:val="24"/>
          <w:szCs w:val="24"/>
          <w:highlight w:val="none"/>
        </w:rPr>
        <w:t>采购人提供的相关场地</w:t>
      </w:r>
    </w:p>
    <w:p>
      <w:pPr>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采购单位免费提供</w:t>
      </w:r>
      <w:r>
        <w:rPr>
          <w:rFonts w:hint="eastAsia" w:asciiTheme="minorEastAsia" w:hAnsiTheme="minorEastAsia" w:eastAsiaTheme="minorEastAsia" w:cstheme="minorEastAsia"/>
          <w:color w:val="auto"/>
          <w:sz w:val="24"/>
          <w:szCs w:val="24"/>
          <w:highlight w:val="none"/>
          <w:lang w:eastAsia="zh-CN"/>
        </w:rPr>
        <w:t>安保</w:t>
      </w:r>
      <w:r>
        <w:rPr>
          <w:rFonts w:hint="eastAsia" w:asciiTheme="minorEastAsia" w:hAnsiTheme="minorEastAsia" w:eastAsiaTheme="minorEastAsia" w:cstheme="minorEastAsia"/>
          <w:color w:val="auto"/>
          <w:sz w:val="24"/>
          <w:szCs w:val="24"/>
          <w:highlight w:val="none"/>
        </w:rPr>
        <w:t>管理的办公场地，但办公用品（指办公桌、电脑、打印机、对讲机、文件柜等自身使用的等公用品）由投标人自行解决。</w:t>
      </w:r>
    </w:p>
    <w:p>
      <w:pPr>
        <w:pageBreakBefore w:val="0"/>
        <w:kinsoku/>
        <w:wordWrap/>
        <w:overflowPunct/>
        <w:topLinePunct w:val="0"/>
        <w:bidi w:val="0"/>
        <w:spacing w:line="360" w:lineRule="auto"/>
        <w:textAlignment w:val="auto"/>
        <w:rPr>
          <w:rFonts w:hint="eastAsia" w:asciiTheme="minorEastAsia" w:hAnsiTheme="minorEastAsia" w:eastAsiaTheme="minorEastAsia" w:cstheme="minorEastAsia"/>
          <w:b/>
          <w:snapToGrid w:val="0"/>
          <w:color w:val="auto"/>
          <w:kern w:val="0"/>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b/>
          <w:snapToGrid w:val="0"/>
          <w:color w:val="auto"/>
          <w:kern w:val="0"/>
          <w:sz w:val="24"/>
          <w:szCs w:val="24"/>
          <w:highlight w:val="none"/>
          <w:lang w:eastAsia="zh-CN"/>
        </w:rPr>
        <w:t>十</w:t>
      </w:r>
      <w:r>
        <w:rPr>
          <w:rFonts w:hint="eastAsia" w:asciiTheme="minorEastAsia" w:hAnsiTheme="minorEastAsia" w:eastAsiaTheme="minorEastAsia" w:cstheme="minorEastAsia"/>
          <w:b/>
          <w:snapToGrid w:val="0"/>
          <w:color w:val="auto"/>
          <w:kern w:val="0"/>
          <w:sz w:val="24"/>
          <w:szCs w:val="24"/>
          <w:highlight w:val="none"/>
        </w:rPr>
        <w:t>、检查与考核</w:t>
      </w:r>
    </w:p>
    <w:p>
      <w:pPr>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1.</w:t>
      </w:r>
      <w:r>
        <w:rPr>
          <w:rFonts w:hint="eastAsia" w:asciiTheme="minorEastAsia" w:hAnsiTheme="minorEastAsia" w:eastAsiaTheme="minorEastAsia" w:cstheme="minorEastAsia"/>
          <w:color w:val="auto"/>
          <w:kern w:val="0"/>
          <w:sz w:val="24"/>
          <w:szCs w:val="24"/>
          <w:highlight w:val="none"/>
          <w:lang w:eastAsia="zh-CN"/>
        </w:rPr>
        <w:t>安保</w:t>
      </w:r>
      <w:r>
        <w:rPr>
          <w:rFonts w:hint="eastAsia" w:asciiTheme="minorEastAsia" w:hAnsiTheme="minorEastAsia" w:eastAsiaTheme="minorEastAsia" w:cstheme="minorEastAsia"/>
          <w:color w:val="auto"/>
          <w:kern w:val="0"/>
          <w:sz w:val="24"/>
          <w:szCs w:val="24"/>
          <w:highlight w:val="none"/>
        </w:rPr>
        <w:t>管理监督由</w:t>
      </w:r>
      <w:r>
        <w:rPr>
          <w:rFonts w:hint="eastAsia" w:asciiTheme="minorEastAsia" w:hAnsiTheme="minorEastAsia" w:eastAsiaTheme="minorEastAsia" w:cstheme="minorEastAsia"/>
          <w:color w:val="auto"/>
          <w:kern w:val="0"/>
          <w:sz w:val="24"/>
          <w:szCs w:val="24"/>
          <w:highlight w:val="none"/>
          <w:lang w:val="en-US" w:eastAsia="zh-CN"/>
        </w:rPr>
        <w:t>学校后勤</w:t>
      </w:r>
      <w:r>
        <w:rPr>
          <w:rFonts w:hint="eastAsia" w:asciiTheme="minorEastAsia" w:hAnsiTheme="minorEastAsia" w:eastAsiaTheme="minorEastAsia" w:cstheme="minorEastAsia"/>
          <w:color w:val="auto"/>
          <w:kern w:val="0"/>
          <w:sz w:val="24"/>
          <w:szCs w:val="24"/>
          <w:highlight w:val="none"/>
        </w:rPr>
        <w:t>全面负责，</w:t>
      </w:r>
      <w:r>
        <w:rPr>
          <w:rFonts w:hint="eastAsia" w:asciiTheme="minorEastAsia" w:hAnsiTheme="minorEastAsia" w:eastAsiaTheme="minorEastAsia" w:cstheme="minorEastAsia"/>
          <w:color w:val="auto"/>
          <w:kern w:val="0"/>
          <w:sz w:val="24"/>
          <w:szCs w:val="24"/>
          <w:highlight w:val="none"/>
          <w:lang w:val="en-US" w:eastAsia="zh-CN"/>
        </w:rPr>
        <w:t>服务方</w:t>
      </w:r>
      <w:r>
        <w:rPr>
          <w:rFonts w:hint="eastAsia" w:asciiTheme="minorEastAsia" w:hAnsiTheme="minorEastAsia" w:eastAsiaTheme="minorEastAsia" w:cstheme="minorEastAsia"/>
          <w:color w:val="auto"/>
          <w:kern w:val="0"/>
          <w:sz w:val="24"/>
          <w:szCs w:val="24"/>
          <w:highlight w:val="none"/>
        </w:rPr>
        <w:t>应无条件接受采购人定期或不定期</w:t>
      </w:r>
      <w:r>
        <w:rPr>
          <w:rFonts w:hint="eastAsia" w:asciiTheme="minorEastAsia" w:hAnsiTheme="minorEastAsia" w:eastAsiaTheme="minorEastAsia" w:cstheme="minorEastAsia"/>
          <w:color w:val="auto"/>
          <w:sz w:val="24"/>
          <w:szCs w:val="24"/>
          <w:highlight w:val="none"/>
        </w:rPr>
        <w:t>质量监控</w:t>
      </w:r>
      <w:r>
        <w:rPr>
          <w:rFonts w:hint="eastAsia" w:asciiTheme="minorEastAsia" w:hAnsiTheme="minorEastAsia" w:eastAsiaTheme="minorEastAsia" w:cstheme="minorEastAsia"/>
          <w:color w:val="auto"/>
          <w:sz w:val="24"/>
          <w:szCs w:val="24"/>
          <w:highlight w:val="none"/>
          <w:lang w:val="en-US" w:eastAsia="zh-CN"/>
        </w:rPr>
        <w:t>和</w:t>
      </w:r>
      <w:r>
        <w:rPr>
          <w:rFonts w:hint="eastAsia" w:asciiTheme="minorEastAsia" w:hAnsiTheme="minorEastAsia" w:eastAsiaTheme="minorEastAsia" w:cstheme="minorEastAsia"/>
          <w:color w:val="auto"/>
          <w:kern w:val="0"/>
          <w:sz w:val="24"/>
          <w:szCs w:val="24"/>
          <w:highlight w:val="none"/>
        </w:rPr>
        <w:t>检查监督。</w:t>
      </w:r>
      <w:r>
        <w:rPr>
          <w:rFonts w:hint="eastAsia" w:asciiTheme="minorEastAsia" w:hAnsiTheme="minorEastAsia" w:eastAsiaTheme="minorEastAsia" w:cstheme="minorEastAsia"/>
          <w:color w:val="auto"/>
          <w:kern w:val="0"/>
          <w:sz w:val="24"/>
          <w:szCs w:val="24"/>
          <w:highlight w:val="none"/>
          <w:lang w:val="en-US" w:eastAsia="zh-CN"/>
        </w:rPr>
        <w:t>服务</w:t>
      </w:r>
      <w:r>
        <w:rPr>
          <w:rFonts w:hint="eastAsia" w:asciiTheme="minorEastAsia" w:hAnsiTheme="minorEastAsia" w:eastAsiaTheme="minorEastAsia" w:cstheme="minorEastAsia"/>
          <w:color w:val="auto"/>
          <w:sz w:val="24"/>
          <w:szCs w:val="24"/>
          <w:highlight w:val="none"/>
        </w:rPr>
        <w:t>方未执行合同规定任务的，或对</w:t>
      </w:r>
      <w:r>
        <w:rPr>
          <w:rFonts w:hint="eastAsia" w:asciiTheme="minorEastAsia" w:hAnsiTheme="minorEastAsia" w:eastAsiaTheme="minorEastAsia" w:cstheme="minorEastAsia"/>
          <w:color w:val="auto"/>
          <w:sz w:val="24"/>
          <w:szCs w:val="24"/>
          <w:highlight w:val="none"/>
          <w:lang w:val="en-US" w:eastAsia="zh-CN"/>
        </w:rPr>
        <w:t>采购人</w:t>
      </w:r>
      <w:r>
        <w:rPr>
          <w:rFonts w:hint="eastAsia" w:asciiTheme="minorEastAsia" w:hAnsiTheme="minorEastAsia" w:eastAsiaTheme="minorEastAsia" w:cstheme="minorEastAsia"/>
          <w:color w:val="auto"/>
          <w:sz w:val="24"/>
          <w:szCs w:val="24"/>
          <w:highlight w:val="none"/>
        </w:rPr>
        <w:t>要求整改的问题未在规定时间内完成整改的，</w:t>
      </w:r>
      <w:r>
        <w:rPr>
          <w:rFonts w:hint="eastAsia" w:asciiTheme="minorEastAsia" w:hAnsiTheme="minorEastAsia" w:eastAsiaTheme="minorEastAsia" w:cstheme="minorEastAsia"/>
          <w:color w:val="auto"/>
          <w:sz w:val="24"/>
          <w:szCs w:val="24"/>
          <w:highlight w:val="none"/>
          <w:lang w:val="en-US" w:eastAsia="zh-CN"/>
        </w:rPr>
        <w:t>采购人</w:t>
      </w:r>
      <w:r>
        <w:rPr>
          <w:rFonts w:hint="eastAsia" w:asciiTheme="minorEastAsia" w:hAnsiTheme="minorEastAsia" w:eastAsiaTheme="minorEastAsia" w:cstheme="minorEastAsia"/>
          <w:color w:val="auto"/>
          <w:sz w:val="24"/>
          <w:szCs w:val="24"/>
          <w:highlight w:val="none"/>
        </w:rPr>
        <w:t>按每人次或每项任务</w:t>
      </w:r>
      <w:r>
        <w:rPr>
          <w:rFonts w:hint="eastAsia" w:asciiTheme="minorEastAsia" w:hAnsiTheme="minorEastAsia" w:eastAsiaTheme="minorEastAsia" w:cstheme="minorEastAsia"/>
          <w:color w:val="auto"/>
          <w:sz w:val="24"/>
          <w:szCs w:val="24"/>
          <w:highlight w:val="none"/>
          <w:lang w:val="en-US" w:eastAsia="zh-CN"/>
        </w:rPr>
        <w:t>进行扣分和</w:t>
      </w:r>
      <w:r>
        <w:rPr>
          <w:rFonts w:hint="eastAsia" w:asciiTheme="minorEastAsia" w:hAnsiTheme="minorEastAsia" w:eastAsiaTheme="minorEastAsia" w:cstheme="minorEastAsia"/>
          <w:color w:val="auto"/>
          <w:sz w:val="24"/>
          <w:szCs w:val="24"/>
          <w:highlight w:val="none"/>
        </w:rPr>
        <w:t>扣减月物业管理服务费，</w:t>
      </w:r>
      <w:r>
        <w:rPr>
          <w:rFonts w:hint="eastAsia" w:asciiTheme="minorEastAsia" w:hAnsiTheme="minorEastAsia" w:eastAsiaTheme="minorEastAsia" w:cstheme="minorEastAsia"/>
          <w:color w:val="auto"/>
          <w:kern w:val="0"/>
          <w:sz w:val="24"/>
          <w:szCs w:val="24"/>
          <w:highlight w:val="none"/>
          <w:lang w:val="en-US" w:eastAsia="zh-CN"/>
        </w:rPr>
        <w:t>并</w:t>
      </w:r>
      <w:r>
        <w:rPr>
          <w:rFonts w:hint="eastAsia" w:asciiTheme="minorEastAsia" w:hAnsiTheme="minorEastAsia" w:eastAsiaTheme="minorEastAsia" w:cstheme="minorEastAsia"/>
          <w:color w:val="auto"/>
          <w:kern w:val="0"/>
          <w:sz w:val="24"/>
          <w:szCs w:val="24"/>
          <w:highlight w:val="none"/>
        </w:rPr>
        <w:t>以通知单形式告知供应商，经项目负责人签字确认</w:t>
      </w:r>
      <w:r>
        <w:rPr>
          <w:rFonts w:hint="eastAsia" w:asciiTheme="minorEastAsia" w:hAnsiTheme="minorEastAsia" w:eastAsiaTheme="minorEastAsia" w:cstheme="minorEastAsia"/>
          <w:color w:val="auto"/>
          <w:kern w:val="0"/>
          <w:sz w:val="24"/>
          <w:szCs w:val="24"/>
          <w:highlight w:val="none"/>
          <w:lang w:eastAsia="zh-CN"/>
        </w:rPr>
        <w:t>，</w:t>
      </w:r>
      <w:r>
        <w:rPr>
          <w:rFonts w:hint="eastAsia" w:asciiTheme="minorEastAsia" w:hAnsiTheme="minorEastAsia" w:eastAsiaTheme="minorEastAsia" w:cstheme="minorEastAsia"/>
          <w:color w:val="auto"/>
          <w:sz w:val="24"/>
          <w:szCs w:val="24"/>
          <w:highlight w:val="none"/>
        </w:rPr>
        <w:t>直至执行整改为止</w:t>
      </w:r>
      <w:r>
        <w:rPr>
          <w:rFonts w:hint="eastAsia" w:asciiTheme="minorEastAsia" w:hAnsiTheme="minorEastAsia" w:eastAsiaTheme="minorEastAsia" w:cstheme="minorEastAsia"/>
          <w:color w:val="auto"/>
          <w:kern w:val="0"/>
          <w:sz w:val="24"/>
          <w:szCs w:val="24"/>
          <w:highlight w:val="none"/>
        </w:rPr>
        <w:t>。</w:t>
      </w:r>
      <w:r>
        <w:rPr>
          <w:rFonts w:hint="eastAsia" w:asciiTheme="minorEastAsia" w:hAnsiTheme="minorEastAsia" w:eastAsiaTheme="minorEastAsia" w:cstheme="minorEastAsia"/>
          <w:color w:val="auto"/>
          <w:sz w:val="24"/>
          <w:szCs w:val="24"/>
          <w:highlight w:val="none"/>
        </w:rPr>
        <w:t>拒不执行或整改造成重大事故的，招标方有权解除合同。</w:t>
      </w:r>
    </w:p>
    <w:p>
      <w:pPr>
        <w:pageBreakBefore w:val="0"/>
        <w:kinsoku/>
        <w:wordWrap/>
        <w:overflowPunct/>
        <w:topLinePunct w:val="0"/>
        <w:bidi w:val="0"/>
        <w:snapToGrid w:val="0"/>
        <w:spacing w:line="360" w:lineRule="auto"/>
        <w:ind w:firstLine="480" w:firstLineChars="200"/>
        <w:textAlignment w:val="auto"/>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lang w:val="en-US" w:eastAsia="zh-CN"/>
        </w:rPr>
        <w:t>2.</w:t>
      </w:r>
      <w:r>
        <w:rPr>
          <w:rFonts w:hint="eastAsia" w:asciiTheme="minorEastAsia" w:hAnsiTheme="minorEastAsia" w:eastAsiaTheme="minorEastAsia" w:cstheme="minorEastAsia"/>
          <w:snapToGrid w:val="0"/>
          <w:color w:val="auto"/>
          <w:kern w:val="0"/>
          <w:sz w:val="24"/>
          <w:szCs w:val="24"/>
          <w:highlight w:val="none"/>
        </w:rPr>
        <w:t>采购人不定期抽查</w:t>
      </w:r>
      <w:r>
        <w:rPr>
          <w:rFonts w:hint="eastAsia" w:asciiTheme="minorEastAsia" w:hAnsiTheme="minorEastAsia" w:eastAsiaTheme="minorEastAsia" w:cstheme="minorEastAsia"/>
          <w:snapToGrid w:val="0"/>
          <w:color w:val="auto"/>
          <w:kern w:val="0"/>
          <w:sz w:val="24"/>
          <w:szCs w:val="24"/>
          <w:highlight w:val="none"/>
          <w:lang w:val="en-US" w:eastAsia="zh-CN"/>
        </w:rPr>
        <w:t>服务方</w:t>
      </w:r>
      <w:r>
        <w:rPr>
          <w:rFonts w:hint="eastAsia" w:asciiTheme="minorEastAsia" w:hAnsiTheme="minorEastAsia" w:eastAsiaTheme="minorEastAsia" w:cstheme="minorEastAsia"/>
          <w:snapToGrid w:val="0"/>
          <w:color w:val="auto"/>
          <w:kern w:val="0"/>
          <w:sz w:val="24"/>
          <w:szCs w:val="24"/>
          <w:highlight w:val="none"/>
        </w:rPr>
        <w:t>投入的人员数量，如果抽查时发现</w:t>
      </w:r>
      <w:r>
        <w:rPr>
          <w:rFonts w:hint="eastAsia" w:asciiTheme="minorEastAsia" w:hAnsiTheme="minorEastAsia" w:eastAsiaTheme="minorEastAsia" w:cstheme="minorEastAsia"/>
          <w:snapToGrid w:val="0"/>
          <w:color w:val="auto"/>
          <w:kern w:val="0"/>
          <w:sz w:val="24"/>
          <w:szCs w:val="24"/>
          <w:highlight w:val="none"/>
          <w:lang w:val="en-US" w:eastAsia="zh-CN"/>
        </w:rPr>
        <w:t>服务方</w:t>
      </w:r>
      <w:r>
        <w:rPr>
          <w:rFonts w:hint="eastAsia" w:asciiTheme="minorEastAsia" w:hAnsiTheme="minorEastAsia" w:eastAsiaTheme="minorEastAsia" w:cstheme="minorEastAsia"/>
          <w:snapToGrid w:val="0"/>
          <w:color w:val="auto"/>
          <w:kern w:val="0"/>
          <w:sz w:val="24"/>
          <w:szCs w:val="24"/>
          <w:highlight w:val="none"/>
        </w:rPr>
        <w:t>投入的人员数量少于合同约定的数量，采购人可以按缺少人数每人1000元/次累计扣除当月合同款。</w:t>
      </w:r>
      <w:r>
        <w:rPr>
          <w:rFonts w:hint="eastAsia" w:asciiTheme="minorEastAsia" w:hAnsiTheme="minorEastAsia" w:eastAsiaTheme="minorEastAsia" w:cstheme="minorEastAsia"/>
          <w:snapToGrid w:val="0"/>
          <w:color w:val="auto"/>
          <w:kern w:val="0"/>
          <w:sz w:val="24"/>
          <w:szCs w:val="24"/>
          <w:highlight w:val="none"/>
          <w:lang w:val="en-US" w:eastAsia="zh-CN"/>
        </w:rPr>
        <w:t>服务方</w:t>
      </w:r>
      <w:r>
        <w:rPr>
          <w:rFonts w:hint="eastAsia" w:asciiTheme="minorEastAsia" w:hAnsiTheme="minorEastAsia" w:eastAsiaTheme="minorEastAsia" w:cstheme="minorEastAsia"/>
          <w:snapToGrid w:val="0"/>
          <w:color w:val="auto"/>
          <w:kern w:val="0"/>
          <w:sz w:val="24"/>
          <w:szCs w:val="24"/>
          <w:highlight w:val="none"/>
        </w:rPr>
        <w:t>聘用的工作人员必须符合劳动部门有关用工规定，并经</w:t>
      </w:r>
      <w:r>
        <w:rPr>
          <w:rFonts w:hint="eastAsia" w:asciiTheme="minorEastAsia" w:hAnsiTheme="minorEastAsia" w:eastAsiaTheme="minorEastAsia" w:cstheme="minorEastAsia"/>
          <w:snapToGrid w:val="0"/>
          <w:color w:val="auto"/>
          <w:kern w:val="0"/>
          <w:sz w:val="24"/>
          <w:szCs w:val="24"/>
          <w:highlight w:val="none"/>
          <w:lang w:val="en-US" w:eastAsia="zh-CN"/>
        </w:rPr>
        <w:t>服务方</w:t>
      </w:r>
      <w:r>
        <w:rPr>
          <w:rFonts w:hint="eastAsia" w:asciiTheme="minorEastAsia" w:hAnsiTheme="minorEastAsia" w:eastAsiaTheme="minorEastAsia" w:cstheme="minorEastAsia"/>
          <w:snapToGrid w:val="0"/>
          <w:color w:val="auto"/>
          <w:kern w:val="0"/>
          <w:sz w:val="24"/>
          <w:szCs w:val="24"/>
          <w:highlight w:val="none"/>
        </w:rPr>
        <w:t>相关专业考核合格后持证上岗，采购人有权进行审核，该类费用开支由</w:t>
      </w:r>
      <w:r>
        <w:rPr>
          <w:rFonts w:hint="eastAsia" w:asciiTheme="minorEastAsia" w:hAnsiTheme="minorEastAsia" w:eastAsiaTheme="minorEastAsia" w:cstheme="minorEastAsia"/>
          <w:snapToGrid w:val="0"/>
          <w:color w:val="auto"/>
          <w:kern w:val="0"/>
          <w:sz w:val="24"/>
          <w:szCs w:val="24"/>
          <w:highlight w:val="none"/>
          <w:lang w:val="en-US" w:eastAsia="zh-CN"/>
        </w:rPr>
        <w:t>服务方</w:t>
      </w:r>
      <w:r>
        <w:rPr>
          <w:rFonts w:hint="eastAsia" w:asciiTheme="minorEastAsia" w:hAnsiTheme="minorEastAsia" w:eastAsiaTheme="minorEastAsia" w:cstheme="minorEastAsia"/>
          <w:snapToGrid w:val="0"/>
          <w:color w:val="auto"/>
          <w:kern w:val="0"/>
          <w:sz w:val="24"/>
          <w:szCs w:val="24"/>
          <w:highlight w:val="none"/>
        </w:rPr>
        <w:t>负担。</w:t>
      </w:r>
    </w:p>
    <w:p>
      <w:pPr>
        <w:pageBreakBefore w:val="0"/>
        <w:numPr>
          <w:ilvl w:val="0"/>
          <w:numId w:val="0"/>
        </w:numPr>
        <w:kinsoku/>
        <w:wordWrap/>
        <w:overflowPunct/>
        <w:topLinePunct w:val="0"/>
        <w:bidi w:val="0"/>
        <w:spacing w:line="360" w:lineRule="auto"/>
        <w:ind w:firstLine="482" w:firstLineChars="200"/>
        <w:textAlignment w:val="auto"/>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lang w:eastAsia="zh-CN"/>
        </w:rPr>
        <w:t>十一、</w:t>
      </w:r>
      <w:r>
        <w:rPr>
          <w:rFonts w:hint="eastAsia" w:asciiTheme="minorEastAsia" w:hAnsiTheme="minorEastAsia" w:eastAsiaTheme="minorEastAsia" w:cstheme="minorEastAsia"/>
          <w:b/>
          <w:bCs/>
          <w:color w:val="auto"/>
          <w:kern w:val="0"/>
          <w:sz w:val="24"/>
          <w:szCs w:val="24"/>
          <w:highlight w:val="none"/>
        </w:rPr>
        <w:t>特别说明</w:t>
      </w:r>
    </w:p>
    <w:p>
      <w:pPr>
        <w:pageBreakBefore w:val="0"/>
        <w:numPr>
          <w:ilvl w:val="0"/>
          <w:numId w:val="0"/>
        </w:numPr>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供应商可自行进行了解项目相关信息及查阅有关资料，不另行统一安排，未进行了解项目相关信息所造成的一切风险由投标方自行承担。采购单位联系人及联系电话详见招标公告。</w:t>
      </w:r>
    </w:p>
    <w:p>
      <w:pPr>
        <w:numPr>
          <w:ilvl w:val="0"/>
          <w:numId w:val="0"/>
        </w:numPr>
        <w:rPr>
          <w:rFonts w:ascii="楷体" w:hAnsi="楷体" w:eastAsia="楷体"/>
          <w:b/>
          <w:bCs/>
          <w:color w:val="auto"/>
          <w:sz w:val="28"/>
          <w:szCs w:val="28"/>
          <w:highlight w:val="none"/>
        </w:rPr>
      </w:pPr>
    </w:p>
    <w:p>
      <w:pPr>
        <w:pStyle w:val="4"/>
        <w:rPr>
          <w:rFonts w:ascii="楷体" w:hAnsi="楷体" w:eastAsia="楷体"/>
          <w:b/>
          <w:bCs/>
          <w:color w:val="auto"/>
          <w:sz w:val="28"/>
          <w:szCs w:val="28"/>
          <w:highlight w:val="none"/>
        </w:rPr>
      </w:pPr>
    </w:p>
    <w:p>
      <w:pPr>
        <w:rPr>
          <w:rFonts w:ascii="楷体" w:hAnsi="楷体" w:eastAsia="楷体"/>
          <w:b/>
          <w:bCs/>
          <w:color w:val="auto"/>
          <w:sz w:val="28"/>
          <w:szCs w:val="28"/>
          <w:highlight w:val="none"/>
        </w:rPr>
      </w:pPr>
    </w:p>
    <w:p>
      <w:pPr>
        <w:pStyle w:val="4"/>
        <w:rPr>
          <w:rFonts w:ascii="楷体" w:hAnsi="楷体" w:eastAsia="楷体"/>
          <w:b/>
          <w:bCs/>
          <w:color w:val="auto"/>
          <w:sz w:val="28"/>
          <w:szCs w:val="28"/>
          <w:highlight w:val="none"/>
        </w:rPr>
      </w:pPr>
    </w:p>
    <w:p>
      <w:pPr>
        <w:rPr>
          <w:rFonts w:ascii="楷体" w:hAnsi="楷体" w:eastAsia="楷体"/>
          <w:b/>
          <w:bCs/>
          <w:color w:val="auto"/>
          <w:sz w:val="28"/>
          <w:szCs w:val="28"/>
          <w:highlight w:val="none"/>
        </w:rPr>
      </w:pPr>
    </w:p>
    <w:p>
      <w:pPr>
        <w:pStyle w:val="4"/>
        <w:rPr>
          <w:rFonts w:ascii="楷体" w:hAnsi="楷体" w:eastAsia="楷体"/>
          <w:b/>
          <w:bCs/>
          <w:color w:val="auto"/>
          <w:sz w:val="28"/>
          <w:szCs w:val="28"/>
          <w:highlight w:val="none"/>
        </w:rPr>
      </w:pPr>
    </w:p>
    <w:p>
      <w:pPr>
        <w:rPr>
          <w:rFonts w:ascii="楷体" w:hAnsi="楷体" w:eastAsia="楷体"/>
          <w:b/>
          <w:bCs/>
          <w:color w:val="auto"/>
          <w:sz w:val="28"/>
          <w:szCs w:val="28"/>
          <w:highlight w:val="none"/>
        </w:rPr>
      </w:pPr>
    </w:p>
    <w:p>
      <w:pPr>
        <w:pStyle w:val="4"/>
        <w:rPr>
          <w:rFonts w:ascii="楷体" w:hAnsi="楷体" w:eastAsia="楷体"/>
          <w:b/>
          <w:bCs/>
          <w:color w:val="auto"/>
          <w:sz w:val="28"/>
          <w:szCs w:val="28"/>
          <w:highlight w:val="none"/>
        </w:rPr>
      </w:pPr>
    </w:p>
    <w:p>
      <w:pPr>
        <w:rPr>
          <w:rFonts w:ascii="楷体" w:hAnsi="楷体" w:eastAsia="楷体"/>
          <w:b/>
          <w:bCs/>
          <w:color w:val="auto"/>
          <w:sz w:val="28"/>
          <w:szCs w:val="28"/>
          <w:highlight w:val="none"/>
        </w:rPr>
      </w:pPr>
    </w:p>
    <w:p>
      <w:pPr>
        <w:pStyle w:val="4"/>
        <w:rPr>
          <w:rFonts w:ascii="楷体" w:hAnsi="楷体" w:eastAsia="楷体"/>
          <w:b/>
          <w:bCs/>
          <w:color w:val="auto"/>
          <w:sz w:val="28"/>
          <w:szCs w:val="28"/>
          <w:highlight w:val="none"/>
        </w:rPr>
      </w:pPr>
    </w:p>
    <w:p>
      <w:pPr>
        <w:rPr>
          <w:rFonts w:ascii="楷体" w:hAnsi="楷体" w:eastAsia="楷体"/>
          <w:b/>
          <w:bCs/>
          <w:color w:val="auto"/>
          <w:sz w:val="28"/>
          <w:szCs w:val="28"/>
          <w:highlight w:val="none"/>
        </w:rPr>
      </w:pPr>
    </w:p>
    <w:p>
      <w:pPr>
        <w:pStyle w:val="4"/>
        <w:rPr>
          <w:rFonts w:ascii="楷体" w:hAnsi="楷体" w:eastAsia="楷体"/>
          <w:b/>
          <w:bCs/>
          <w:color w:val="auto"/>
          <w:sz w:val="28"/>
          <w:szCs w:val="28"/>
          <w:highlight w:val="none"/>
        </w:rPr>
      </w:pPr>
    </w:p>
    <w:p>
      <w:pPr>
        <w:rPr>
          <w:rFonts w:ascii="楷体" w:hAnsi="楷体" w:eastAsia="楷体"/>
          <w:b/>
          <w:bCs/>
          <w:color w:val="auto"/>
          <w:sz w:val="28"/>
          <w:szCs w:val="28"/>
          <w:highlight w:val="none"/>
        </w:rPr>
      </w:pPr>
    </w:p>
    <w:p>
      <w:pPr>
        <w:spacing w:line="360" w:lineRule="auto"/>
        <w:jc w:val="both"/>
        <w:outlineLvl w:val="0"/>
        <w:rPr>
          <w:rFonts w:hint="eastAsia" w:ascii="宋体" w:hAnsi="宋体" w:cs="宋体"/>
          <w:b/>
          <w:color w:val="auto"/>
          <w:sz w:val="36"/>
          <w:szCs w:val="36"/>
          <w:highlight w:val="none"/>
        </w:r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28" w:name="_Toc184310293"/>
      <w:bookmarkEnd w:id="28"/>
      <w:bookmarkStart w:id="29" w:name="_Toc184310283"/>
      <w:bookmarkEnd w:id="29"/>
      <w:bookmarkStart w:id="30" w:name="_Toc184313273"/>
      <w:bookmarkEnd w:id="30"/>
      <w:bookmarkStart w:id="31" w:name="_Toc184308038"/>
      <w:bookmarkEnd w:id="31"/>
      <w:bookmarkStart w:id="32" w:name="_Toc184312095"/>
      <w:bookmarkEnd w:id="32"/>
      <w:bookmarkStart w:id="33" w:name="_Toc184310344"/>
      <w:bookmarkEnd w:id="33"/>
      <w:bookmarkStart w:id="34" w:name="_Toc184310305"/>
      <w:bookmarkEnd w:id="34"/>
      <w:bookmarkStart w:id="35" w:name="_Toc184308064"/>
      <w:bookmarkEnd w:id="35"/>
      <w:bookmarkStart w:id="36" w:name="_Toc184312132"/>
      <w:bookmarkEnd w:id="36"/>
      <w:bookmarkStart w:id="37" w:name="_Toc184312082"/>
      <w:bookmarkEnd w:id="37"/>
      <w:bookmarkStart w:id="38" w:name="_Toc184314439"/>
      <w:bookmarkEnd w:id="38"/>
      <w:bookmarkStart w:id="39" w:name="_Toc184314465"/>
      <w:bookmarkEnd w:id="39"/>
      <w:bookmarkStart w:id="40" w:name="_Toc184313279"/>
      <w:bookmarkEnd w:id="40"/>
      <w:bookmarkStart w:id="41" w:name="_Toc184310300"/>
      <w:bookmarkEnd w:id="41"/>
      <w:bookmarkStart w:id="42" w:name="_Toc184312139"/>
      <w:bookmarkEnd w:id="42"/>
      <w:bookmarkStart w:id="43" w:name="_Toc184313257"/>
      <w:bookmarkEnd w:id="43"/>
      <w:bookmarkStart w:id="44" w:name="_Toc184308106"/>
      <w:bookmarkEnd w:id="44"/>
      <w:bookmarkStart w:id="45" w:name="_Toc184313296"/>
      <w:bookmarkEnd w:id="45"/>
      <w:bookmarkStart w:id="46" w:name="_Toc184308048"/>
      <w:bookmarkEnd w:id="46"/>
      <w:bookmarkStart w:id="47" w:name="_Toc184314437"/>
      <w:bookmarkEnd w:id="47"/>
      <w:bookmarkStart w:id="48" w:name="_Toc184313301"/>
      <w:bookmarkEnd w:id="48"/>
      <w:bookmarkStart w:id="49" w:name="_Toc184310314"/>
      <w:bookmarkEnd w:id="49"/>
      <w:bookmarkStart w:id="50" w:name="_Toc184310330"/>
      <w:bookmarkEnd w:id="50"/>
      <w:bookmarkStart w:id="51" w:name="_Toc184308036"/>
      <w:bookmarkEnd w:id="51"/>
      <w:bookmarkStart w:id="52" w:name="_Toc184310328"/>
      <w:bookmarkEnd w:id="52"/>
      <w:bookmarkStart w:id="53" w:name="_Toc184314440"/>
      <w:bookmarkEnd w:id="53"/>
      <w:bookmarkStart w:id="54" w:name="_Toc184314454"/>
      <w:bookmarkEnd w:id="54"/>
      <w:bookmarkStart w:id="55" w:name="_Toc184313307"/>
      <w:bookmarkEnd w:id="55"/>
      <w:bookmarkStart w:id="56" w:name="_Toc184313271"/>
      <w:bookmarkEnd w:id="56"/>
      <w:bookmarkStart w:id="57" w:name="_Toc184312138"/>
      <w:bookmarkEnd w:id="57"/>
      <w:bookmarkStart w:id="58" w:name="_Toc184308075"/>
      <w:bookmarkEnd w:id="58"/>
      <w:bookmarkStart w:id="59" w:name="_Toc184310313"/>
      <w:bookmarkEnd w:id="59"/>
      <w:bookmarkStart w:id="60" w:name="_Toc184308086"/>
      <w:bookmarkEnd w:id="60"/>
      <w:bookmarkStart w:id="61" w:name="_Toc184313247"/>
      <w:bookmarkEnd w:id="61"/>
      <w:bookmarkStart w:id="62" w:name="_Toc184313269"/>
      <w:bookmarkEnd w:id="62"/>
      <w:bookmarkStart w:id="63" w:name="_Toc184308087"/>
      <w:bookmarkEnd w:id="63"/>
      <w:bookmarkStart w:id="64" w:name="_Toc184308039"/>
      <w:bookmarkEnd w:id="64"/>
      <w:bookmarkStart w:id="65" w:name="_Toc184312092"/>
      <w:bookmarkEnd w:id="65"/>
      <w:bookmarkStart w:id="66" w:name="_Toc184308107"/>
      <w:bookmarkEnd w:id="66"/>
      <w:bookmarkStart w:id="67" w:name="_Toc184312087"/>
      <w:bookmarkEnd w:id="67"/>
      <w:bookmarkStart w:id="68" w:name="_Toc184310343"/>
      <w:bookmarkEnd w:id="68"/>
      <w:bookmarkStart w:id="69" w:name="_Toc184310294"/>
      <w:bookmarkEnd w:id="69"/>
      <w:bookmarkStart w:id="70" w:name="_Toc184310329"/>
      <w:bookmarkEnd w:id="70"/>
      <w:bookmarkStart w:id="71" w:name="_Toc184314450"/>
      <w:bookmarkEnd w:id="71"/>
      <w:bookmarkStart w:id="72" w:name="_Toc184308053"/>
      <w:bookmarkEnd w:id="72"/>
      <w:bookmarkStart w:id="73" w:name="_Toc184314477"/>
      <w:bookmarkEnd w:id="73"/>
      <w:bookmarkStart w:id="74" w:name="_Toc184310272"/>
      <w:bookmarkEnd w:id="74"/>
      <w:bookmarkStart w:id="75" w:name="_Toc184314455"/>
      <w:bookmarkEnd w:id="75"/>
      <w:bookmarkStart w:id="76" w:name="_Toc184313299"/>
      <w:bookmarkEnd w:id="76"/>
      <w:bookmarkStart w:id="77" w:name="_Toc184310282"/>
      <w:bookmarkEnd w:id="77"/>
      <w:bookmarkStart w:id="78" w:name="_Toc184312070"/>
      <w:bookmarkEnd w:id="78"/>
      <w:bookmarkStart w:id="79" w:name="_Toc184310280"/>
      <w:bookmarkEnd w:id="79"/>
      <w:bookmarkStart w:id="80" w:name="_Toc184310279"/>
      <w:bookmarkEnd w:id="80"/>
      <w:bookmarkStart w:id="81" w:name="_Toc184314452"/>
      <w:bookmarkEnd w:id="81"/>
      <w:bookmarkStart w:id="82" w:name="_Toc184310304"/>
      <w:bookmarkEnd w:id="82"/>
      <w:bookmarkStart w:id="83" w:name="_Toc184313267"/>
      <w:bookmarkEnd w:id="83"/>
      <w:bookmarkStart w:id="84" w:name="_Toc184308079"/>
      <w:bookmarkEnd w:id="84"/>
      <w:bookmarkStart w:id="85" w:name="_Toc184314482"/>
      <w:bookmarkEnd w:id="85"/>
      <w:bookmarkStart w:id="86" w:name="_Toc184313263"/>
      <w:bookmarkEnd w:id="86"/>
      <w:bookmarkStart w:id="87" w:name="_Toc184314413"/>
      <w:bookmarkEnd w:id="87"/>
      <w:bookmarkStart w:id="88" w:name="_Toc184314461"/>
      <w:bookmarkEnd w:id="88"/>
      <w:bookmarkStart w:id="89" w:name="_Toc184310338"/>
      <w:bookmarkEnd w:id="89"/>
      <w:bookmarkStart w:id="90" w:name="_Toc184310290"/>
      <w:bookmarkEnd w:id="90"/>
      <w:bookmarkStart w:id="91" w:name="_Toc184312103"/>
      <w:bookmarkEnd w:id="91"/>
      <w:bookmarkStart w:id="92" w:name="_Toc184312100"/>
      <w:bookmarkEnd w:id="92"/>
      <w:bookmarkStart w:id="93" w:name="_Toc184312093"/>
      <w:bookmarkEnd w:id="93"/>
      <w:bookmarkStart w:id="94" w:name="_Toc184310326"/>
      <w:bookmarkEnd w:id="94"/>
      <w:bookmarkStart w:id="95" w:name="_Toc184308070"/>
      <w:bookmarkEnd w:id="95"/>
      <w:bookmarkStart w:id="96" w:name="_Toc184314417"/>
      <w:bookmarkEnd w:id="96"/>
      <w:bookmarkStart w:id="97" w:name="_Toc184312125"/>
      <w:bookmarkEnd w:id="97"/>
      <w:bookmarkStart w:id="98" w:name="_Toc184312109"/>
      <w:bookmarkEnd w:id="98"/>
      <w:bookmarkStart w:id="99" w:name="_Toc184314420"/>
      <w:bookmarkEnd w:id="99"/>
      <w:bookmarkStart w:id="100" w:name="_Toc184310273"/>
      <w:bookmarkEnd w:id="100"/>
      <w:bookmarkStart w:id="101" w:name="_Toc184308043"/>
      <w:bookmarkEnd w:id="101"/>
      <w:bookmarkStart w:id="102" w:name="_Toc184312128"/>
      <w:bookmarkEnd w:id="102"/>
      <w:bookmarkStart w:id="103" w:name="_Toc184310315"/>
      <w:bookmarkEnd w:id="103"/>
      <w:bookmarkStart w:id="104" w:name="_Toc184314441"/>
      <w:bookmarkEnd w:id="104"/>
      <w:bookmarkStart w:id="105" w:name="_Toc184312136"/>
      <w:bookmarkEnd w:id="105"/>
      <w:bookmarkStart w:id="106" w:name="_Toc184308047"/>
      <w:bookmarkEnd w:id="106"/>
      <w:bookmarkStart w:id="107" w:name="_Toc184312096"/>
      <w:bookmarkEnd w:id="107"/>
      <w:bookmarkStart w:id="108" w:name="_Toc184313239"/>
      <w:bookmarkEnd w:id="108"/>
      <w:bookmarkStart w:id="109" w:name="_Toc184314434"/>
      <w:bookmarkEnd w:id="109"/>
      <w:bookmarkStart w:id="110" w:name="_Toc184313255"/>
      <w:bookmarkEnd w:id="110"/>
      <w:bookmarkStart w:id="111" w:name="_Toc184312105"/>
      <w:bookmarkEnd w:id="111"/>
      <w:bookmarkStart w:id="112" w:name="_Toc184308096"/>
      <w:bookmarkEnd w:id="112"/>
      <w:bookmarkStart w:id="113" w:name="_Toc184312099"/>
      <w:bookmarkEnd w:id="113"/>
      <w:bookmarkStart w:id="114" w:name="_Toc184313292"/>
      <w:bookmarkEnd w:id="114"/>
      <w:bookmarkStart w:id="115" w:name="_Toc184308072"/>
      <w:bookmarkEnd w:id="115"/>
      <w:bookmarkStart w:id="116" w:name="_Toc184308041"/>
      <w:bookmarkEnd w:id="116"/>
      <w:bookmarkStart w:id="117" w:name="_Toc184308098"/>
      <w:bookmarkEnd w:id="117"/>
      <w:bookmarkStart w:id="118" w:name="_Toc184310301"/>
      <w:bookmarkEnd w:id="118"/>
      <w:bookmarkStart w:id="119" w:name="_Toc184310322"/>
      <w:bookmarkEnd w:id="119"/>
      <w:bookmarkStart w:id="120" w:name="_Toc184314424"/>
      <w:bookmarkEnd w:id="120"/>
      <w:bookmarkStart w:id="121" w:name="_Toc184308091"/>
      <w:bookmarkEnd w:id="121"/>
      <w:bookmarkStart w:id="122" w:name="_Toc184312120"/>
      <w:bookmarkEnd w:id="122"/>
      <w:bookmarkStart w:id="123" w:name="_Toc184308057"/>
      <w:bookmarkEnd w:id="123"/>
      <w:bookmarkStart w:id="124" w:name="_Toc184312115"/>
      <w:bookmarkEnd w:id="124"/>
      <w:bookmarkStart w:id="125" w:name="_Toc184312119"/>
      <w:bookmarkEnd w:id="125"/>
      <w:bookmarkStart w:id="126" w:name="_Toc184313305"/>
      <w:bookmarkEnd w:id="126"/>
      <w:bookmarkStart w:id="127" w:name="_Toc184314453"/>
      <w:bookmarkEnd w:id="127"/>
      <w:bookmarkStart w:id="128" w:name="_Toc184308045"/>
      <w:bookmarkEnd w:id="128"/>
      <w:bookmarkStart w:id="129" w:name="_Toc184312101"/>
      <w:bookmarkEnd w:id="129"/>
      <w:bookmarkStart w:id="130" w:name="_Toc184308092"/>
      <w:bookmarkEnd w:id="130"/>
      <w:bookmarkStart w:id="131" w:name="_Toc184314456"/>
      <w:bookmarkEnd w:id="131"/>
      <w:bookmarkStart w:id="132" w:name="_Toc184308051"/>
      <w:bookmarkEnd w:id="132"/>
      <w:bookmarkStart w:id="133" w:name="_Toc184310278"/>
      <w:bookmarkEnd w:id="133"/>
      <w:bookmarkStart w:id="134" w:name="_Toc184314481"/>
      <w:bookmarkEnd w:id="134"/>
      <w:bookmarkStart w:id="135" w:name="_Toc184308050"/>
      <w:bookmarkEnd w:id="135"/>
      <w:bookmarkStart w:id="136" w:name="_Toc184312131"/>
      <w:bookmarkEnd w:id="136"/>
      <w:bookmarkStart w:id="137" w:name="_Toc184310316"/>
      <w:bookmarkEnd w:id="137"/>
      <w:bookmarkStart w:id="138" w:name="_Toc184314471"/>
      <w:bookmarkEnd w:id="138"/>
      <w:bookmarkStart w:id="139" w:name="_Toc184312073"/>
      <w:bookmarkEnd w:id="139"/>
      <w:bookmarkStart w:id="140" w:name="_Toc184312117"/>
      <w:bookmarkEnd w:id="140"/>
      <w:bookmarkStart w:id="141" w:name="_Toc184313259"/>
      <w:bookmarkEnd w:id="141"/>
      <w:bookmarkStart w:id="142" w:name="_Toc184312069"/>
      <w:bookmarkEnd w:id="142"/>
      <w:bookmarkStart w:id="143" w:name="_Toc184312113"/>
      <w:bookmarkEnd w:id="143"/>
      <w:bookmarkStart w:id="144" w:name="_Toc184313283"/>
      <w:bookmarkEnd w:id="144"/>
      <w:bookmarkStart w:id="145" w:name="_Toc184310295"/>
      <w:bookmarkEnd w:id="145"/>
      <w:bookmarkStart w:id="146" w:name="_Toc184313240"/>
      <w:bookmarkEnd w:id="146"/>
      <w:bookmarkStart w:id="147" w:name="_Toc184308077"/>
      <w:bookmarkEnd w:id="147"/>
      <w:bookmarkStart w:id="148" w:name="_Toc184310312"/>
      <w:bookmarkEnd w:id="148"/>
      <w:bookmarkStart w:id="149" w:name="_Toc184313254"/>
      <w:bookmarkEnd w:id="149"/>
      <w:bookmarkStart w:id="150" w:name="_Toc184310307"/>
      <w:bookmarkEnd w:id="150"/>
      <w:bookmarkStart w:id="151" w:name="_Toc184314458"/>
      <w:bookmarkEnd w:id="151"/>
      <w:bookmarkStart w:id="152" w:name="_Toc184314446"/>
      <w:bookmarkEnd w:id="152"/>
      <w:bookmarkStart w:id="153" w:name="_Toc184310335"/>
      <w:bookmarkEnd w:id="153"/>
      <w:bookmarkStart w:id="154" w:name="_Toc184308078"/>
      <w:bookmarkEnd w:id="154"/>
      <w:bookmarkStart w:id="155" w:name="_Toc184314466"/>
      <w:bookmarkEnd w:id="155"/>
      <w:bookmarkStart w:id="156" w:name="_Toc184312090"/>
      <w:bookmarkEnd w:id="156"/>
      <w:bookmarkStart w:id="157" w:name="_Toc184312067"/>
      <w:bookmarkEnd w:id="157"/>
      <w:bookmarkStart w:id="158" w:name="_Toc184313290"/>
      <w:bookmarkEnd w:id="158"/>
      <w:bookmarkStart w:id="159" w:name="_Toc184314431"/>
      <w:bookmarkEnd w:id="159"/>
      <w:bookmarkStart w:id="160" w:name="_Toc184310341"/>
      <w:bookmarkEnd w:id="160"/>
      <w:bookmarkStart w:id="161" w:name="_Toc184308083"/>
      <w:bookmarkEnd w:id="161"/>
      <w:bookmarkStart w:id="162" w:name="_Toc184308060"/>
      <w:bookmarkEnd w:id="162"/>
      <w:bookmarkStart w:id="163" w:name="_Toc184313248"/>
      <w:bookmarkEnd w:id="163"/>
      <w:bookmarkStart w:id="164" w:name="_Toc184312130"/>
      <w:bookmarkEnd w:id="164"/>
      <w:bookmarkStart w:id="165" w:name="_Toc184314443"/>
      <w:bookmarkEnd w:id="165"/>
      <w:bookmarkStart w:id="166" w:name="_Toc184314410"/>
      <w:bookmarkEnd w:id="166"/>
      <w:bookmarkStart w:id="167" w:name="_Toc184314464"/>
      <w:bookmarkEnd w:id="167"/>
      <w:bookmarkStart w:id="168" w:name="_Toc184313265"/>
      <w:bookmarkEnd w:id="168"/>
      <w:bookmarkStart w:id="169" w:name="_Toc184314448"/>
      <w:bookmarkEnd w:id="169"/>
      <w:bookmarkStart w:id="170" w:name="_Toc184314445"/>
      <w:bookmarkEnd w:id="170"/>
      <w:bookmarkStart w:id="171" w:name="_Toc184312094"/>
      <w:bookmarkEnd w:id="171"/>
      <w:bookmarkStart w:id="172" w:name="_Toc184314425"/>
      <w:bookmarkEnd w:id="172"/>
      <w:bookmarkStart w:id="173" w:name="_Toc184312074"/>
      <w:bookmarkEnd w:id="173"/>
      <w:bookmarkStart w:id="174" w:name="_Toc184312071"/>
      <w:bookmarkEnd w:id="174"/>
      <w:bookmarkStart w:id="175" w:name="_Toc184308080"/>
      <w:bookmarkEnd w:id="175"/>
      <w:bookmarkStart w:id="176" w:name="_Toc184314438"/>
      <w:bookmarkEnd w:id="176"/>
      <w:bookmarkStart w:id="177" w:name="_Toc184308088"/>
      <w:bookmarkEnd w:id="177"/>
      <w:bookmarkStart w:id="178" w:name="_Toc184313241"/>
      <w:bookmarkEnd w:id="178"/>
      <w:bookmarkStart w:id="179" w:name="_Toc184308103"/>
      <w:bookmarkEnd w:id="179"/>
      <w:bookmarkStart w:id="180" w:name="_Toc184313242"/>
      <w:bookmarkEnd w:id="180"/>
      <w:bookmarkStart w:id="181" w:name="_Toc184312116"/>
      <w:bookmarkEnd w:id="181"/>
      <w:bookmarkStart w:id="182" w:name="_Toc184308056"/>
      <w:bookmarkEnd w:id="182"/>
      <w:bookmarkStart w:id="183" w:name="_Toc184310291"/>
      <w:bookmarkEnd w:id="183"/>
      <w:bookmarkStart w:id="184" w:name="_Toc184314444"/>
      <w:bookmarkEnd w:id="184"/>
      <w:bookmarkStart w:id="185" w:name="_Toc184310339"/>
      <w:bookmarkEnd w:id="185"/>
      <w:bookmarkStart w:id="186" w:name="_Toc184312081"/>
      <w:bookmarkEnd w:id="186"/>
      <w:bookmarkStart w:id="187" w:name="_Toc184308065"/>
      <w:bookmarkEnd w:id="187"/>
      <w:bookmarkStart w:id="188" w:name="_Toc184314451"/>
      <w:bookmarkEnd w:id="188"/>
      <w:bookmarkStart w:id="189" w:name="_Toc184312102"/>
      <w:bookmarkEnd w:id="189"/>
      <w:bookmarkStart w:id="190" w:name="_Toc184314429"/>
      <w:bookmarkEnd w:id="190"/>
      <w:bookmarkStart w:id="191" w:name="_Toc184312118"/>
      <w:bookmarkEnd w:id="191"/>
      <w:bookmarkStart w:id="192" w:name="_Toc184313284"/>
      <w:bookmarkEnd w:id="192"/>
      <w:bookmarkStart w:id="193" w:name="_Toc184313300"/>
      <w:bookmarkEnd w:id="193"/>
      <w:bookmarkStart w:id="194" w:name="_Toc184308089"/>
      <w:bookmarkEnd w:id="194"/>
      <w:bookmarkStart w:id="195" w:name="_Toc184312083"/>
      <w:bookmarkEnd w:id="195"/>
      <w:bookmarkStart w:id="196" w:name="_Toc184308095"/>
      <w:bookmarkEnd w:id="196"/>
      <w:bookmarkStart w:id="197" w:name="_Toc184313261"/>
      <w:bookmarkEnd w:id="197"/>
      <w:bookmarkStart w:id="198" w:name="_Toc184313262"/>
      <w:bookmarkEnd w:id="198"/>
      <w:bookmarkStart w:id="199" w:name="_Toc184314433"/>
      <w:bookmarkEnd w:id="199"/>
      <w:bookmarkStart w:id="200" w:name="_Toc184308082"/>
      <w:bookmarkEnd w:id="200"/>
      <w:bookmarkStart w:id="201" w:name="_Toc184314472"/>
      <w:bookmarkEnd w:id="201"/>
      <w:bookmarkStart w:id="202" w:name="_Toc184314421"/>
      <w:bookmarkEnd w:id="202"/>
      <w:bookmarkStart w:id="203" w:name="_Toc184313253"/>
      <w:bookmarkEnd w:id="203"/>
      <w:bookmarkStart w:id="204" w:name="_Toc184312122"/>
      <w:bookmarkEnd w:id="204"/>
      <w:bookmarkStart w:id="205" w:name="_Toc184308094"/>
      <w:bookmarkEnd w:id="205"/>
      <w:bookmarkStart w:id="206" w:name="_Toc184312126"/>
      <w:bookmarkEnd w:id="206"/>
      <w:bookmarkStart w:id="207" w:name="_Toc184312086"/>
      <w:bookmarkEnd w:id="207"/>
      <w:bookmarkStart w:id="208" w:name="_Toc184308093"/>
      <w:bookmarkEnd w:id="208"/>
      <w:bookmarkStart w:id="209" w:name="_Toc184308100"/>
      <w:bookmarkEnd w:id="209"/>
      <w:bookmarkStart w:id="210" w:name="_Toc184314411"/>
      <w:bookmarkEnd w:id="210"/>
      <w:bookmarkStart w:id="211" w:name="_Toc184313244"/>
      <w:bookmarkEnd w:id="211"/>
      <w:bookmarkStart w:id="212" w:name="_Toc184313245"/>
      <w:bookmarkEnd w:id="212"/>
      <w:bookmarkStart w:id="213" w:name="_Toc184314476"/>
      <w:bookmarkEnd w:id="213"/>
      <w:bookmarkStart w:id="214" w:name="_Toc184312114"/>
      <w:bookmarkEnd w:id="214"/>
      <w:bookmarkStart w:id="215" w:name="_Toc184310287"/>
      <w:bookmarkEnd w:id="215"/>
      <w:bookmarkStart w:id="216" w:name="_Toc184314474"/>
      <w:bookmarkEnd w:id="216"/>
      <w:bookmarkStart w:id="217" w:name="_Toc184312104"/>
      <w:bookmarkEnd w:id="217"/>
      <w:bookmarkStart w:id="218" w:name="_Toc184308069"/>
      <w:bookmarkEnd w:id="218"/>
      <w:bookmarkStart w:id="219" w:name="_Toc184313287"/>
      <w:bookmarkEnd w:id="219"/>
      <w:bookmarkStart w:id="220" w:name="_Toc184313298"/>
      <w:bookmarkEnd w:id="220"/>
      <w:bookmarkStart w:id="221" w:name="_Toc184308063"/>
      <w:bookmarkEnd w:id="221"/>
      <w:bookmarkStart w:id="222" w:name="_Toc184313295"/>
      <w:bookmarkEnd w:id="222"/>
      <w:bookmarkStart w:id="223" w:name="_Toc184312068"/>
      <w:bookmarkEnd w:id="223"/>
      <w:bookmarkStart w:id="224" w:name="_Toc184312106"/>
      <w:bookmarkEnd w:id="224"/>
      <w:bookmarkStart w:id="225" w:name="_Toc184313252"/>
      <w:bookmarkEnd w:id="225"/>
      <w:bookmarkStart w:id="226" w:name="_Toc184313282"/>
      <w:bookmarkEnd w:id="226"/>
      <w:bookmarkStart w:id="227" w:name="_Toc184308081"/>
      <w:bookmarkEnd w:id="227"/>
      <w:bookmarkStart w:id="228" w:name="_Toc184313266"/>
      <w:bookmarkEnd w:id="228"/>
      <w:bookmarkStart w:id="229" w:name="_Toc184314459"/>
      <w:bookmarkEnd w:id="229"/>
      <w:bookmarkStart w:id="230" w:name="_Toc184308067"/>
      <w:bookmarkEnd w:id="230"/>
      <w:bookmarkStart w:id="231" w:name="_Toc184313275"/>
      <w:bookmarkEnd w:id="231"/>
      <w:bookmarkStart w:id="232" w:name="_Toc184313246"/>
      <w:bookmarkEnd w:id="232"/>
      <w:bookmarkStart w:id="233" w:name="_Toc184313276"/>
      <w:bookmarkEnd w:id="233"/>
      <w:bookmarkStart w:id="234" w:name="_Toc184314467"/>
      <w:bookmarkEnd w:id="234"/>
      <w:bookmarkStart w:id="235" w:name="_Toc184314435"/>
      <w:bookmarkEnd w:id="235"/>
      <w:bookmarkStart w:id="236" w:name="_Toc184312072"/>
      <w:bookmarkEnd w:id="236"/>
      <w:bookmarkStart w:id="237" w:name="_Toc184312137"/>
      <w:bookmarkEnd w:id="237"/>
      <w:bookmarkStart w:id="238" w:name="_Toc184310292"/>
      <w:bookmarkEnd w:id="238"/>
      <w:bookmarkStart w:id="239" w:name="_Toc184310281"/>
      <w:bookmarkEnd w:id="239"/>
      <w:bookmarkStart w:id="240" w:name="_Toc184310319"/>
      <w:bookmarkEnd w:id="240"/>
      <w:bookmarkStart w:id="241" w:name="_Toc184310336"/>
      <w:bookmarkEnd w:id="241"/>
      <w:bookmarkStart w:id="242" w:name="_Toc184312112"/>
      <w:bookmarkEnd w:id="242"/>
      <w:bookmarkStart w:id="243" w:name="_Toc184310323"/>
      <w:bookmarkEnd w:id="243"/>
      <w:bookmarkStart w:id="244" w:name="_Toc184314426"/>
      <w:bookmarkEnd w:id="244"/>
      <w:bookmarkStart w:id="245" w:name="_Toc184313297"/>
      <w:bookmarkEnd w:id="245"/>
      <w:bookmarkStart w:id="246" w:name="_Toc184314468"/>
      <w:bookmarkEnd w:id="246"/>
      <w:bookmarkStart w:id="247" w:name="_Toc184308049"/>
      <w:bookmarkEnd w:id="247"/>
      <w:bookmarkStart w:id="248" w:name="_Toc184314473"/>
      <w:bookmarkEnd w:id="248"/>
      <w:bookmarkStart w:id="249" w:name="_Toc184308071"/>
      <w:bookmarkEnd w:id="249"/>
      <w:bookmarkStart w:id="250" w:name="_Toc184312076"/>
      <w:bookmarkEnd w:id="250"/>
      <w:bookmarkStart w:id="251" w:name="_Toc184308104"/>
      <w:bookmarkEnd w:id="251"/>
      <w:bookmarkStart w:id="252" w:name="_Toc184310296"/>
      <w:bookmarkEnd w:id="252"/>
      <w:bookmarkStart w:id="253" w:name="_Toc184314475"/>
      <w:bookmarkEnd w:id="253"/>
      <w:bookmarkStart w:id="254" w:name="_Toc184312089"/>
      <w:bookmarkEnd w:id="254"/>
      <w:bookmarkStart w:id="255" w:name="_Toc184312129"/>
      <w:bookmarkEnd w:id="255"/>
      <w:bookmarkStart w:id="256" w:name="_Toc184313291"/>
      <w:bookmarkEnd w:id="256"/>
      <w:bookmarkStart w:id="257" w:name="_Toc184312135"/>
      <w:bookmarkEnd w:id="257"/>
      <w:bookmarkStart w:id="258" w:name="_Toc184313258"/>
      <w:bookmarkEnd w:id="258"/>
      <w:bookmarkStart w:id="259" w:name="_Toc184313280"/>
      <w:bookmarkEnd w:id="259"/>
      <w:bookmarkStart w:id="260" w:name="_Toc184310303"/>
      <w:bookmarkEnd w:id="260"/>
      <w:bookmarkStart w:id="261" w:name="_Toc184313281"/>
      <w:bookmarkEnd w:id="261"/>
      <w:bookmarkStart w:id="262" w:name="_Toc184313270"/>
      <w:bookmarkEnd w:id="262"/>
      <w:bookmarkStart w:id="263" w:name="_Toc184308061"/>
      <w:bookmarkEnd w:id="263"/>
      <w:bookmarkStart w:id="264" w:name="_Toc184308040"/>
      <w:bookmarkEnd w:id="264"/>
      <w:bookmarkStart w:id="265" w:name="_Toc184314447"/>
      <w:bookmarkEnd w:id="265"/>
      <w:bookmarkStart w:id="266" w:name="_Toc184313238"/>
      <w:bookmarkEnd w:id="266"/>
      <w:bookmarkStart w:id="267" w:name="_Toc184308099"/>
      <w:bookmarkEnd w:id="267"/>
      <w:bookmarkStart w:id="268" w:name="_Toc184310308"/>
      <w:bookmarkEnd w:id="268"/>
      <w:bookmarkStart w:id="269" w:name="_Toc184313304"/>
      <w:bookmarkEnd w:id="269"/>
      <w:bookmarkStart w:id="270" w:name="_Toc184314419"/>
      <w:bookmarkEnd w:id="270"/>
      <w:bookmarkStart w:id="271" w:name="_Toc184310331"/>
      <w:bookmarkEnd w:id="271"/>
      <w:bookmarkStart w:id="272" w:name="_Toc184312127"/>
      <w:bookmarkEnd w:id="272"/>
      <w:bookmarkStart w:id="273" w:name="_Toc184313250"/>
      <w:bookmarkEnd w:id="273"/>
      <w:bookmarkStart w:id="274" w:name="_Toc184310274"/>
      <w:bookmarkEnd w:id="274"/>
      <w:bookmarkStart w:id="275" w:name="_Toc184310310"/>
      <w:bookmarkEnd w:id="275"/>
      <w:bookmarkStart w:id="276" w:name="_Toc184308037"/>
      <w:bookmarkEnd w:id="276"/>
      <w:bookmarkStart w:id="277" w:name="_Toc184313251"/>
      <w:bookmarkEnd w:id="277"/>
      <w:bookmarkStart w:id="278" w:name="_Toc184314480"/>
      <w:bookmarkEnd w:id="278"/>
      <w:bookmarkStart w:id="279" w:name="_Toc184313293"/>
      <w:bookmarkEnd w:id="279"/>
      <w:bookmarkStart w:id="280" w:name="_Toc184314449"/>
      <w:bookmarkEnd w:id="280"/>
      <w:bookmarkStart w:id="281" w:name="_Toc184312133"/>
      <w:bookmarkEnd w:id="281"/>
      <w:bookmarkStart w:id="282" w:name="_Toc184310306"/>
      <w:bookmarkEnd w:id="282"/>
      <w:bookmarkStart w:id="283" w:name="_Toc184310277"/>
      <w:bookmarkEnd w:id="283"/>
      <w:bookmarkStart w:id="284" w:name="_Toc184314422"/>
      <w:bookmarkEnd w:id="284"/>
      <w:bookmarkStart w:id="285" w:name="_Toc184312080"/>
      <w:bookmarkEnd w:id="285"/>
      <w:bookmarkStart w:id="286" w:name="_Toc184310318"/>
      <w:bookmarkEnd w:id="286"/>
      <w:bookmarkStart w:id="287" w:name="_Toc184308090"/>
      <w:bookmarkEnd w:id="287"/>
      <w:bookmarkStart w:id="288" w:name="_Toc184308042"/>
      <w:bookmarkEnd w:id="288"/>
      <w:bookmarkStart w:id="289" w:name="_Toc184312084"/>
      <w:bookmarkEnd w:id="289"/>
      <w:bookmarkStart w:id="290" w:name="_Toc184308059"/>
      <w:bookmarkEnd w:id="290"/>
      <w:bookmarkStart w:id="291" w:name="_Toc184314418"/>
      <w:bookmarkEnd w:id="291"/>
      <w:bookmarkStart w:id="292" w:name="_Toc184313243"/>
      <w:bookmarkEnd w:id="292"/>
      <w:bookmarkStart w:id="293" w:name="_Toc184314423"/>
      <w:bookmarkEnd w:id="293"/>
      <w:bookmarkStart w:id="294" w:name="_Toc184313256"/>
      <w:bookmarkEnd w:id="294"/>
      <w:bookmarkStart w:id="295" w:name="_Toc184308055"/>
      <w:bookmarkEnd w:id="295"/>
      <w:bookmarkStart w:id="296" w:name="_Toc184313285"/>
      <w:bookmarkEnd w:id="296"/>
      <w:bookmarkStart w:id="297" w:name="_Toc184312110"/>
      <w:bookmarkEnd w:id="297"/>
      <w:bookmarkStart w:id="298" w:name="_Toc184313288"/>
      <w:bookmarkEnd w:id="298"/>
      <w:bookmarkStart w:id="299" w:name="_Toc184314460"/>
      <w:bookmarkEnd w:id="299"/>
      <w:bookmarkStart w:id="300" w:name="_Toc184308101"/>
      <w:bookmarkEnd w:id="300"/>
      <w:bookmarkStart w:id="301" w:name="_Toc184312121"/>
      <w:bookmarkEnd w:id="301"/>
      <w:bookmarkStart w:id="302" w:name="_Toc184313278"/>
      <w:bookmarkEnd w:id="302"/>
      <w:bookmarkStart w:id="303" w:name="_Toc184308102"/>
      <w:bookmarkEnd w:id="303"/>
      <w:bookmarkStart w:id="304" w:name="_Toc184308066"/>
      <w:bookmarkEnd w:id="304"/>
      <w:bookmarkStart w:id="305" w:name="_Toc184310333"/>
      <w:bookmarkEnd w:id="305"/>
      <w:bookmarkStart w:id="306" w:name="_Toc184313272"/>
      <w:bookmarkEnd w:id="306"/>
      <w:bookmarkStart w:id="307" w:name="_Toc184308076"/>
      <w:bookmarkEnd w:id="307"/>
      <w:bookmarkStart w:id="308" w:name="_Toc184310286"/>
      <w:bookmarkEnd w:id="308"/>
      <w:bookmarkStart w:id="309" w:name="_Toc184310320"/>
      <w:bookmarkEnd w:id="309"/>
      <w:bookmarkStart w:id="310" w:name="_Toc184313260"/>
      <w:bookmarkEnd w:id="310"/>
      <w:bookmarkStart w:id="311" w:name="_Toc184310289"/>
      <w:bookmarkEnd w:id="311"/>
      <w:bookmarkStart w:id="312" w:name="_Toc184313309"/>
      <w:bookmarkEnd w:id="312"/>
      <w:bookmarkStart w:id="313" w:name="_Toc184308046"/>
      <w:bookmarkEnd w:id="313"/>
      <w:bookmarkStart w:id="314" w:name="_Toc184310297"/>
      <w:bookmarkEnd w:id="314"/>
      <w:bookmarkStart w:id="315" w:name="_Toc184314416"/>
      <w:bookmarkEnd w:id="315"/>
      <w:bookmarkStart w:id="316" w:name="_Toc184310284"/>
      <w:bookmarkEnd w:id="316"/>
      <w:bookmarkStart w:id="317" w:name="_Toc184314478"/>
      <w:bookmarkEnd w:id="317"/>
      <w:bookmarkStart w:id="318" w:name="_Toc184313268"/>
      <w:bookmarkEnd w:id="318"/>
      <w:bookmarkStart w:id="319" w:name="_Toc184310302"/>
      <w:bookmarkEnd w:id="319"/>
      <w:bookmarkStart w:id="320" w:name="_Toc184308073"/>
      <w:bookmarkEnd w:id="320"/>
      <w:bookmarkStart w:id="321" w:name="_Toc184310342"/>
      <w:bookmarkEnd w:id="321"/>
      <w:bookmarkStart w:id="322" w:name="_Toc184310276"/>
      <w:bookmarkEnd w:id="322"/>
      <w:bookmarkStart w:id="323" w:name="_Toc184308084"/>
      <w:bookmarkEnd w:id="323"/>
      <w:bookmarkStart w:id="324" w:name="_Toc184312111"/>
      <w:bookmarkEnd w:id="324"/>
      <w:bookmarkStart w:id="325" w:name="_Toc184314430"/>
      <w:bookmarkEnd w:id="325"/>
      <w:bookmarkStart w:id="326" w:name="_Toc184313277"/>
      <w:bookmarkEnd w:id="326"/>
      <w:bookmarkStart w:id="327" w:name="_Toc184310275"/>
      <w:bookmarkEnd w:id="327"/>
      <w:bookmarkStart w:id="328" w:name="_Toc184310321"/>
      <w:bookmarkEnd w:id="328"/>
      <w:bookmarkStart w:id="329" w:name="_Toc184308074"/>
      <w:bookmarkEnd w:id="329"/>
      <w:bookmarkStart w:id="330" w:name="_Toc184314462"/>
      <w:bookmarkEnd w:id="330"/>
      <w:bookmarkStart w:id="331" w:name="_Toc184312078"/>
      <w:bookmarkEnd w:id="331"/>
      <w:bookmarkStart w:id="332" w:name="_Toc184312098"/>
      <w:bookmarkEnd w:id="332"/>
      <w:bookmarkStart w:id="333" w:name="_Toc184313302"/>
      <w:bookmarkEnd w:id="333"/>
      <w:bookmarkStart w:id="334" w:name="_Toc184308108"/>
      <w:bookmarkEnd w:id="334"/>
      <w:bookmarkStart w:id="335" w:name="_Toc184308105"/>
      <w:bookmarkEnd w:id="335"/>
      <w:bookmarkStart w:id="336" w:name="_Toc184310325"/>
      <w:bookmarkEnd w:id="336"/>
      <w:bookmarkStart w:id="337" w:name="_Toc184312088"/>
      <w:bookmarkEnd w:id="337"/>
      <w:bookmarkStart w:id="338" w:name="_Toc184314428"/>
      <w:bookmarkEnd w:id="338"/>
      <w:bookmarkStart w:id="339" w:name="_Toc184310334"/>
      <w:bookmarkEnd w:id="339"/>
      <w:bookmarkStart w:id="340" w:name="_Toc184312134"/>
      <w:bookmarkEnd w:id="340"/>
      <w:bookmarkStart w:id="341" w:name="_Toc184314457"/>
      <w:bookmarkEnd w:id="341"/>
      <w:bookmarkStart w:id="342" w:name="_Toc184308058"/>
      <w:bookmarkEnd w:id="342"/>
      <w:bookmarkStart w:id="343" w:name="_Toc184310337"/>
      <w:bookmarkEnd w:id="343"/>
      <w:bookmarkStart w:id="344" w:name="_Toc184310340"/>
      <w:bookmarkEnd w:id="344"/>
      <w:bookmarkStart w:id="345" w:name="_Toc184312091"/>
      <w:bookmarkEnd w:id="345"/>
      <w:bookmarkStart w:id="346" w:name="_Toc184314436"/>
      <w:bookmarkEnd w:id="346"/>
      <w:bookmarkStart w:id="347" w:name="_Toc184308068"/>
      <w:bookmarkEnd w:id="347"/>
      <w:bookmarkStart w:id="348" w:name="_Toc184314442"/>
      <w:bookmarkEnd w:id="348"/>
      <w:bookmarkStart w:id="349" w:name="_Toc184310332"/>
      <w:bookmarkEnd w:id="349"/>
      <w:bookmarkStart w:id="350" w:name="_Toc184313274"/>
      <w:bookmarkEnd w:id="350"/>
      <w:bookmarkStart w:id="351" w:name="_Toc184310299"/>
      <w:bookmarkEnd w:id="351"/>
      <w:bookmarkStart w:id="352" w:name="_Toc184314427"/>
      <w:bookmarkEnd w:id="352"/>
      <w:bookmarkStart w:id="353" w:name="_Toc184312123"/>
      <w:bookmarkEnd w:id="353"/>
      <w:bookmarkStart w:id="354" w:name="_Toc184308052"/>
      <w:bookmarkEnd w:id="354"/>
      <w:bookmarkStart w:id="355" w:name="_Toc184312108"/>
      <w:bookmarkEnd w:id="355"/>
      <w:bookmarkStart w:id="356" w:name="_Toc184312107"/>
      <w:bookmarkEnd w:id="356"/>
      <w:bookmarkStart w:id="357" w:name="_Toc184308054"/>
      <w:bookmarkEnd w:id="357"/>
      <w:bookmarkStart w:id="358" w:name="_Toc184314414"/>
      <w:bookmarkEnd w:id="358"/>
      <w:bookmarkStart w:id="359" w:name="_Toc184313289"/>
      <w:bookmarkEnd w:id="359"/>
      <w:bookmarkStart w:id="360" w:name="_Toc184313303"/>
      <w:bookmarkEnd w:id="360"/>
      <w:bookmarkStart w:id="361" w:name="_Toc184314479"/>
      <w:bookmarkEnd w:id="361"/>
      <w:bookmarkStart w:id="362" w:name="_Toc184312085"/>
      <w:bookmarkEnd w:id="362"/>
      <w:bookmarkStart w:id="363" w:name="_Toc184313310"/>
      <w:bookmarkEnd w:id="363"/>
      <w:bookmarkStart w:id="364" w:name="_Toc184310324"/>
      <w:bookmarkEnd w:id="364"/>
      <w:bookmarkStart w:id="365" w:name="_Toc184310317"/>
      <w:bookmarkEnd w:id="365"/>
      <w:bookmarkStart w:id="366" w:name="_Toc184314432"/>
      <w:bookmarkEnd w:id="366"/>
      <w:bookmarkStart w:id="367" w:name="_Toc184313264"/>
      <w:bookmarkEnd w:id="367"/>
      <w:bookmarkStart w:id="368" w:name="_Toc184312075"/>
      <w:bookmarkEnd w:id="368"/>
      <w:bookmarkStart w:id="369" w:name="_Toc184310298"/>
      <w:bookmarkEnd w:id="369"/>
      <w:bookmarkStart w:id="370" w:name="_Toc184312124"/>
      <w:bookmarkEnd w:id="370"/>
      <w:bookmarkStart w:id="371" w:name="_Toc184314470"/>
      <w:bookmarkEnd w:id="371"/>
      <w:bookmarkStart w:id="372" w:name="_Toc184313306"/>
      <w:bookmarkEnd w:id="372"/>
      <w:bookmarkStart w:id="373" w:name="_Toc184308044"/>
      <w:bookmarkEnd w:id="373"/>
      <w:bookmarkStart w:id="374" w:name="_Toc184308097"/>
      <w:bookmarkEnd w:id="374"/>
      <w:bookmarkStart w:id="375" w:name="_Toc184308085"/>
      <w:bookmarkEnd w:id="375"/>
      <w:bookmarkStart w:id="376" w:name="_Toc184312077"/>
      <w:bookmarkEnd w:id="376"/>
      <w:bookmarkStart w:id="377" w:name="_Toc184312097"/>
      <w:bookmarkEnd w:id="377"/>
      <w:bookmarkStart w:id="378" w:name="_Toc184313308"/>
      <w:bookmarkEnd w:id="378"/>
      <w:bookmarkStart w:id="379" w:name="_Toc184308062"/>
      <w:bookmarkEnd w:id="379"/>
      <w:bookmarkStart w:id="380" w:name="_Toc184310309"/>
      <w:bookmarkEnd w:id="380"/>
      <w:bookmarkStart w:id="381" w:name="_Toc184313294"/>
      <w:bookmarkEnd w:id="381"/>
      <w:bookmarkStart w:id="382" w:name="_Toc184310288"/>
      <w:bookmarkEnd w:id="382"/>
      <w:bookmarkStart w:id="383" w:name="_Toc184310311"/>
      <w:bookmarkEnd w:id="383"/>
      <w:bookmarkStart w:id="384" w:name="_Toc184314463"/>
      <w:bookmarkEnd w:id="384"/>
      <w:bookmarkStart w:id="385" w:name="_Toc184313249"/>
      <w:bookmarkEnd w:id="385"/>
      <w:bookmarkStart w:id="386" w:name="_Toc184314415"/>
      <w:bookmarkEnd w:id="386"/>
      <w:bookmarkStart w:id="387" w:name="_Toc184313286"/>
      <w:bookmarkEnd w:id="387"/>
      <w:bookmarkStart w:id="388" w:name="_Toc184314469"/>
      <w:bookmarkEnd w:id="388"/>
      <w:bookmarkStart w:id="389" w:name="_Toc184314412"/>
      <w:bookmarkEnd w:id="389"/>
      <w:bookmarkStart w:id="390" w:name="_Toc184310327"/>
      <w:bookmarkEnd w:id="390"/>
      <w:bookmarkStart w:id="391" w:name="_Toc184312079"/>
      <w:bookmarkEnd w:id="391"/>
      <w:bookmarkStart w:id="392" w:name="_Toc184310285"/>
      <w:bookmarkEnd w:id="392"/>
      <w:r>
        <w:rPr>
          <w:rFonts w:hint="eastAsia" w:ascii="宋体" w:hAnsi="宋体" w:cs="宋体"/>
          <w:b/>
          <w:color w:val="auto"/>
          <w:sz w:val="36"/>
          <w:szCs w:val="36"/>
          <w:highlight w:val="none"/>
        </w:rPr>
        <w:t>评标办法</w:t>
      </w:r>
    </w:p>
    <w:p>
      <w:pPr>
        <w:snapToGrid w:val="0"/>
        <w:spacing w:line="360" w:lineRule="auto"/>
        <w:jc w:val="center"/>
        <w:outlineLvl w:val="1"/>
        <w:rPr>
          <w:rFonts w:hint="eastAsia"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3"/>
        <w:tblW w:w="5845" w:type="pct"/>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5120"/>
        <w:gridCol w:w="769"/>
        <w:gridCol w:w="1163"/>
        <w:gridCol w:w="1608"/>
        <w:gridCol w:w="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4" w:type="pct"/>
          <w:trHeight w:val="925" w:hRule="atLeast"/>
        </w:trPr>
        <w:tc>
          <w:tcPr>
            <w:tcW w:w="385"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序号</w:t>
            </w:r>
          </w:p>
        </w:tc>
        <w:tc>
          <w:tcPr>
            <w:tcW w:w="2577" w:type="pct"/>
            <w:vAlign w:val="center"/>
          </w:tcPr>
          <w:p>
            <w:pPr>
              <w:pageBreakBefore w:val="0"/>
              <w:kinsoku/>
              <w:wordWrap/>
              <w:overflowPunct/>
              <w:topLinePunct w:val="0"/>
              <w:bidi w:val="0"/>
              <w:snapToGrid w:val="0"/>
              <w:spacing w:line="360" w:lineRule="auto"/>
              <w:ind w:firstLine="48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评标标准</w:t>
            </w:r>
          </w:p>
        </w:tc>
        <w:tc>
          <w:tcPr>
            <w:tcW w:w="387"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最高</w:t>
            </w:r>
          </w:p>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分值</w:t>
            </w:r>
          </w:p>
        </w:tc>
        <w:tc>
          <w:tcPr>
            <w:tcW w:w="585"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主观分/客观分属性</w:t>
            </w:r>
          </w:p>
        </w:tc>
        <w:tc>
          <w:tcPr>
            <w:tcW w:w="809" w:type="pct"/>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4" w:type="pct"/>
          <w:trHeight w:val="2973" w:hRule="atLeast"/>
        </w:trPr>
        <w:tc>
          <w:tcPr>
            <w:tcW w:w="385"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w:t>
            </w:r>
          </w:p>
        </w:tc>
        <w:tc>
          <w:tcPr>
            <w:tcW w:w="2577" w:type="pct"/>
          </w:tcPr>
          <w:p>
            <w:pPr>
              <w:pageBreakBefore w:val="0"/>
              <w:kinsoku/>
              <w:wordWrap/>
              <w:overflowPunct/>
              <w:topLinePunct w:val="0"/>
              <w:bidi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有效期内的体系认证：质量管理体系认证、职业健康安全认证、环境管理体系认证。（每符合1个得</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分，最高得</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 xml:space="preserve">分）（提供证书原件扫描件，全国认证认可信息公共服务平台查询截图，原件备查）  </w:t>
            </w:r>
          </w:p>
          <w:p>
            <w:pPr>
              <w:pageBreakBefore w:val="0"/>
              <w:kinsoku/>
              <w:wordWrap/>
              <w:overflowPunct/>
              <w:topLinePunct w:val="0"/>
              <w:bidi w:val="0"/>
              <w:snapToGrid w:val="0"/>
              <w:spacing w:line="360" w:lineRule="auto"/>
              <w:ind w:firstLine="200"/>
              <w:jc w:val="left"/>
              <w:textAlignment w:val="auto"/>
              <w:rPr>
                <w:rFonts w:hint="eastAsia"/>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HYPERLINK "http://cx.cnca.cn/CertECloud/result/skipResultList"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http://cx.cnca.cn/CertECloud/result/skipResultList</w:t>
            </w:r>
            <w:r>
              <w:rPr>
                <w:rFonts w:hint="eastAsia" w:asciiTheme="minorEastAsia" w:hAnsiTheme="minorEastAsia" w:eastAsiaTheme="minorEastAsia" w:cstheme="minorEastAsia"/>
                <w:color w:val="auto"/>
                <w:sz w:val="24"/>
                <w:szCs w:val="24"/>
                <w:highlight w:val="none"/>
              </w:rPr>
              <w:fldChar w:fldCharType="end"/>
            </w:r>
          </w:p>
        </w:tc>
        <w:tc>
          <w:tcPr>
            <w:tcW w:w="387"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3</w:t>
            </w:r>
          </w:p>
        </w:tc>
        <w:tc>
          <w:tcPr>
            <w:tcW w:w="585"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客观分</w:t>
            </w:r>
          </w:p>
        </w:tc>
        <w:tc>
          <w:tcPr>
            <w:tcW w:w="809" w:type="pct"/>
            <w:vAlign w:val="center"/>
          </w:tcPr>
          <w:p>
            <w:pPr>
              <w:pageBreakBefore w:val="0"/>
              <w:kinsoku/>
              <w:wordWrap/>
              <w:overflowPunct/>
              <w:topLinePunct w:val="0"/>
              <w:bidi w:val="0"/>
              <w:snapToGrid w:val="0"/>
              <w:spacing w:line="360" w:lineRule="auto"/>
              <w:jc w:val="center"/>
              <w:textAlignment w:val="auto"/>
              <w:rPr>
                <w:rFonts w:hint="eastAsia"/>
                <w:color w:val="auto"/>
                <w:highlight w:val="none"/>
                <w:lang w:val="en-US" w:eastAsia="zh-CN"/>
              </w:rPr>
            </w:pPr>
            <w:r>
              <w:rPr>
                <w:rFonts w:hint="eastAsia"/>
                <w:color w:val="auto"/>
                <w:highlight w:val="none"/>
                <w:lang w:val="en-US" w:eastAsia="zh-CN"/>
              </w:rPr>
              <w:t>体系</w:t>
            </w:r>
          </w:p>
          <w:p>
            <w:pPr>
              <w:pageBreakBefore w:val="0"/>
              <w:kinsoku/>
              <w:wordWrap/>
              <w:overflowPunct/>
              <w:topLinePunct w:val="0"/>
              <w:bidi w:val="0"/>
              <w:snapToGrid w:val="0"/>
              <w:spacing w:line="360" w:lineRule="auto"/>
              <w:jc w:val="center"/>
              <w:textAlignment w:val="auto"/>
              <w:rPr>
                <w:rFonts w:hint="eastAsia"/>
                <w:color w:val="auto"/>
                <w:highlight w:val="none"/>
                <w:lang w:val="en-US" w:eastAsia="zh-CN"/>
              </w:rPr>
            </w:pPr>
            <w:r>
              <w:rPr>
                <w:rFonts w:hint="eastAsia"/>
                <w:color w:val="auto"/>
                <w:highlight w:val="none"/>
                <w:lang w:val="en-US" w:eastAsia="zh-CN"/>
              </w:rPr>
              <w:t>认证</w:t>
            </w:r>
          </w:p>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4" w:type="pct"/>
          <w:trHeight w:val="2551" w:hRule="atLeast"/>
        </w:trPr>
        <w:tc>
          <w:tcPr>
            <w:tcW w:w="385"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2</w:t>
            </w:r>
          </w:p>
        </w:tc>
        <w:tc>
          <w:tcPr>
            <w:tcW w:w="2577" w:type="pct"/>
          </w:tcPr>
          <w:p>
            <w:pPr>
              <w:pStyle w:val="21"/>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投标人自2020年1月1日以来有类似项目成功实施案例的，每提供一项有效业绩得</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分，最高得</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分，以签订时间为准，须提供合同复印件，不提供不得分。</w:t>
            </w:r>
            <w:r>
              <w:rPr>
                <w:rFonts w:hint="eastAsia" w:asciiTheme="minorEastAsia" w:hAnsiTheme="minorEastAsia" w:eastAsiaTheme="minorEastAsia" w:cstheme="minorEastAsia"/>
                <w:color w:val="auto"/>
                <w:sz w:val="24"/>
                <w:szCs w:val="24"/>
                <w:highlight w:val="none"/>
                <w:lang w:val="en-US" w:eastAsia="zh-CN"/>
              </w:rPr>
              <w:t>（注：一个项目分年度多次签订的案例，记1个案例；同一个项目，分两期或以上建设完成的，记1个案例）</w:t>
            </w:r>
          </w:p>
        </w:tc>
        <w:tc>
          <w:tcPr>
            <w:tcW w:w="387"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585"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客观分</w:t>
            </w:r>
          </w:p>
        </w:tc>
        <w:tc>
          <w:tcPr>
            <w:tcW w:w="809" w:type="pct"/>
            <w:vAlign w:val="center"/>
          </w:tcPr>
          <w:p>
            <w:pPr>
              <w:pageBreakBefore w:val="0"/>
              <w:kinsoku/>
              <w:wordWrap/>
              <w:overflowPunct/>
              <w:topLinePunct w:val="0"/>
              <w:bidi w:val="0"/>
              <w:snapToGrid w:val="0"/>
              <w:spacing w:line="360" w:lineRule="auto"/>
              <w:jc w:val="center"/>
              <w:textAlignment w:val="auto"/>
              <w:rPr>
                <w:rFonts w:hint="default"/>
                <w:color w:val="auto"/>
                <w:sz w:val="24"/>
                <w:szCs w:val="24"/>
                <w:highlight w:val="none"/>
                <w:lang w:val="en-US" w:eastAsia="zh-CN"/>
              </w:rPr>
            </w:pPr>
            <w:r>
              <w:rPr>
                <w:rFonts w:hint="eastAsia"/>
                <w:color w:val="auto"/>
                <w:sz w:val="24"/>
                <w:szCs w:val="24"/>
                <w:highlight w:val="none"/>
                <w:lang w:val="en-US" w:eastAsia="zh-CN"/>
              </w:rPr>
              <w:t>业绩</w:t>
            </w:r>
          </w:p>
          <w:p>
            <w:pPr>
              <w:pageBreakBefore w:val="0"/>
              <w:kinsoku/>
              <w:wordWrap/>
              <w:overflowPunct/>
              <w:topLinePunct w:val="0"/>
              <w:bidi w:val="0"/>
              <w:snapToGrid w:val="0"/>
              <w:spacing w:line="360" w:lineRule="auto"/>
              <w:jc w:val="center"/>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385" w:type="pct"/>
            <w:vAlign w:val="center"/>
          </w:tcPr>
          <w:p>
            <w:pPr>
              <w:pageBreakBefore w:val="0"/>
              <w:kinsoku/>
              <w:wordWrap/>
              <w:overflowPunct/>
              <w:topLinePunct w:val="0"/>
              <w:bidi w:val="0"/>
              <w:snapToGrid w:val="0"/>
              <w:spacing w:line="360" w:lineRule="auto"/>
              <w:jc w:val="center"/>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w:t>
            </w:r>
          </w:p>
        </w:tc>
        <w:tc>
          <w:tcPr>
            <w:tcW w:w="2577" w:type="pct"/>
          </w:tcPr>
          <w:p>
            <w:pPr>
              <w:keepNext w:val="0"/>
              <w:keepLines w:val="0"/>
              <w:pageBreakBefore w:val="0"/>
              <w:widowControl w:val="0"/>
              <w:kinsoku/>
              <w:wordWrap/>
              <w:overflowPunct/>
              <w:topLinePunct w:val="0"/>
              <w:autoSpaceDE/>
              <w:autoSpaceDN/>
              <w:bidi w:val="0"/>
              <w:adjustRightInd w:val="0"/>
              <w:snapToGrid w:val="0"/>
              <w:spacing w:line="336"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根据本项目物业使用特点提出合理的物业管理服务理念、服务定位和目标，结合本项目安全性特点，提出针对性的切实可行的方案。合理性、可行性高的得</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分；合理性、可行性一般的得</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分，可行性差</w:t>
            </w:r>
            <w:r>
              <w:rPr>
                <w:rFonts w:hint="eastAsia" w:asciiTheme="minorEastAsia" w:hAnsiTheme="minorEastAsia" w:eastAsiaTheme="minorEastAsia" w:cstheme="minorEastAsia"/>
                <w:color w:val="auto"/>
                <w:sz w:val="24"/>
                <w:szCs w:val="24"/>
                <w:highlight w:val="none"/>
                <w:lang w:val="en-US" w:eastAsia="zh-CN"/>
              </w:rPr>
              <w:t>或者不提供的得0分</w:t>
            </w:r>
            <w:r>
              <w:rPr>
                <w:rFonts w:hint="eastAsia" w:asciiTheme="minorEastAsia" w:hAnsiTheme="minorEastAsia" w:eastAsiaTheme="minorEastAsia" w:cstheme="minorEastAsia"/>
                <w:color w:val="auto"/>
                <w:sz w:val="24"/>
                <w:szCs w:val="24"/>
                <w:highlight w:val="none"/>
              </w:rPr>
              <w:t>。</w:t>
            </w:r>
          </w:p>
        </w:tc>
        <w:tc>
          <w:tcPr>
            <w:tcW w:w="387"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585"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主观分</w:t>
            </w:r>
          </w:p>
        </w:tc>
        <w:tc>
          <w:tcPr>
            <w:tcW w:w="809" w:type="pct"/>
            <w:vMerge w:val="restar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lang w:eastAsia="zh-CN"/>
              </w:rPr>
            </w:pPr>
          </w:p>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服务</w:t>
            </w:r>
          </w:p>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理念</w:t>
            </w:r>
          </w:p>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rPr>
            </w:pPr>
          </w:p>
        </w:tc>
        <w:tc>
          <w:tcPr>
            <w:tcW w:w="254" w:type="pct"/>
            <w:vMerge w:val="restart"/>
            <w:tcBorders>
              <w:top w:val="nil"/>
              <w:right w:val="nil"/>
            </w:tcBorders>
            <w:vAlign w:val="center"/>
          </w:tcPr>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pct"/>
            <w:vAlign w:val="center"/>
          </w:tcPr>
          <w:p>
            <w:pPr>
              <w:pageBreakBefore w:val="0"/>
              <w:kinsoku/>
              <w:wordWrap/>
              <w:overflowPunct/>
              <w:topLinePunct w:val="0"/>
              <w:bidi w:val="0"/>
              <w:snapToGrid w:val="0"/>
              <w:spacing w:line="360" w:lineRule="auto"/>
              <w:jc w:val="center"/>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w:t>
            </w:r>
          </w:p>
        </w:tc>
        <w:tc>
          <w:tcPr>
            <w:tcW w:w="2577" w:type="pct"/>
          </w:tcPr>
          <w:p>
            <w:pPr>
              <w:pStyle w:val="2"/>
              <w:rPr>
                <w:rFonts w:hint="eastAsia"/>
              </w:rPr>
            </w:pPr>
            <w:r>
              <w:rPr>
                <w:rFonts w:hint="eastAsia" w:asciiTheme="minorEastAsia" w:hAnsiTheme="minorEastAsia" w:eastAsiaTheme="minorEastAsia" w:cstheme="minorEastAsia"/>
                <w:color w:val="auto"/>
                <w:sz w:val="24"/>
                <w:szCs w:val="24"/>
                <w:highlight w:val="none"/>
              </w:rPr>
              <w:t>针对本项目有比较完善的组织架构及管理制度，清晰简练地列出主要管理流程，包括运作流程图、监督机制、自我约束机制、信息反馈及处理机制。合理性、可行性高的得</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分；合理性、可行性一般的可得</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分；可行性差</w:t>
            </w:r>
            <w:r>
              <w:rPr>
                <w:rFonts w:hint="eastAsia" w:asciiTheme="minorEastAsia" w:hAnsiTheme="minorEastAsia" w:eastAsiaTheme="minorEastAsia" w:cstheme="minorEastAsia"/>
                <w:color w:val="auto"/>
                <w:sz w:val="24"/>
                <w:szCs w:val="24"/>
                <w:highlight w:val="none"/>
                <w:lang w:val="en-US" w:eastAsia="zh-CN"/>
              </w:rPr>
              <w:t>或者不提供的得0分。</w:t>
            </w:r>
          </w:p>
        </w:tc>
        <w:tc>
          <w:tcPr>
            <w:tcW w:w="387"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585"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主观分</w:t>
            </w:r>
          </w:p>
        </w:tc>
        <w:tc>
          <w:tcPr>
            <w:tcW w:w="809" w:type="pct"/>
            <w:vMerge w:val="continue"/>
            <w:vAlign w:val="center"/>
          </w:tcPr>
          <w:p>
            <w:pPr>
              <w:pageBreakBefore w:val="0"/>
              <w:kinsoku/>
              <w:wordWrap/>
              <w:overflowPunct/>
              <w:topLinePunct w:val="0"/>
              <w:bidi w:val="0"/>
              <w:spacing w:line="360" w:lineRule="auto"/>
              <w:ind w:firstLine="480"/>
              <w:jc w:val="center"/>
              <w:textAlignment w:val="auto"/>
              <w:outlineLvl w:val="0"/>
              <w:rPr>
                <w:rFonts w:hint="eastAsia" w:asciiTheme="minorEastAsia" w:hAnsiTheme="minorEastAsia" w:eastAsiaTheme="minorEastAsia" w:cstheme="minorEastAsia"/>
                <w:color w:val="auto"/>
                <w:sz w:val="24"/>
                <w:szCs w:val="24"/>
                <w:highlight w:val="none"/>
              </w:rPr>
            </w:pPr>
          </w:p>
        </w:tc>
        <w:tc>
          <w:tcPr>
            <w:tcW w:w="254" w:type="pct"/>
            <w:vMerge w:val="continue"/>
            <w:tcBorders>
              <w:top w:val="nil"/>
              <w:bottom w:val="nil"/>
              <w:right w:val="nil"/>
            </w:tcBorders>
            <w:vAlign w:val="center"/>
          </w:tcPr>
          <w:p>
            <w:pPr>
              <w:pageBreakBefore w:val="0"/>
              <w:kinsoku/>
              <w:wordWrap/>
              <w:overflowPunct/>
              <w:topLinePunct w:val="0"/>
              <w:bidi w:val="0"/>
              <w:spacing w:line="360" w:lineRule="auto"/>
              <w:ind w:firstLine="480"/>
              <w:jc w:val="center"/>
              <w:textAlignment w:val="auto"/>
              <w:outlineLvl w:val="0"/>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5"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2577" w:type="pct"/>
          </w:tcPr>
          <w:p>
            <w:pPr>
              <w:keepNext w:val="0"/>
              <w:keepLines w:val="0"/>
              <w:pageBreakBefore w:val="0"/>
              <w:shd w:val="clear"/>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拟派项目经理:</w:t>
            </w:r>
          </w:p>
          <w:p>
            <w:pPr>
              <w:keepNext w:val="0"/>
              <w:keepLines w:val="0"/>
              <w:pageBreakBefore w:val="0"/>
              <w:numPr>
                <w:ilvl w:val="0"/>
                <w:numId w:val="2"/>
              </w:numPr>
              <w:shd w:val="clear"/>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bCs/>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截止投标时间年龄</w:t>
            </w:r>
            <w:r>
              <w:rPr>
                <w:rFonts w:hint="eastAsia" w:asciiTheme="minorEastAsia" w:hAnsiTheme="minorEastAsia" w:eastAsiaTheme="minorEastAsia" w:cstheme="minorEastAsia"/>
                <w:color w:val="auto"/>
                <w:sz w:val="24"/>
                <w:szCs w:val="24"/>
                <w:highlight w:val="none"/>
                <w:lang w:val="en-US" w:eastAsia="zh-CN"/>
              </w:rPr>
              <w:t>50</w:t>
            </w:r>
            <w:r>
              <w:rPr>
                <w:rFonts w:hint="eastAsia" w:asciiTheme="minorEastAsia" w:hAnsiTheme="minorEastAsia" w:eastAsiaTheme="minorEastAsia" w:cstheme="minorEastAsia"/>
                <w:color w:val="auto"/>
                <w:sz w:val="24"/>
                <w:szCs w:val="24"/>
                <w:highlight w:val="none"/>
              </w:rPr>
              <w:t>周岁（含）以下，得1分；</w:t>
            </w:r>
            <w:r>
              <w:rPr>
                <w:rFonts w:hint="eastAsia" w:asciiTheme="minorEastAsia" w:hAnsiTheme="minorEastAsia" w:eastAsiaTheme="minorEastAsia" w:cstheme="minorEastAsia"/>
                <w:bCs/>
                <w:color w:val="000000"/>
                <w:sz w:val="24"/>
                <w:szCs w:val="24"/>
                <w:highlight w:val="none"/>
              </w:rPr>
              <w:t>(2)</w:t>
            </w:r>
            <w:r>
              <w:rPr>
                <w:rFonts w:hint="eastAsia" w:asciiTheme="minorEastAsia" w:hAnsiTheme="minorEastAsia" w:eastAsiaTheme="minorEastAsia" w:cstheme="minorEastAsia"/>
                <w:bCs/>
                <w:color w:val="000000"/>
                <w:sz w:val="24"/>
                <w:szCs w:val="24"/>
                <w:highlight w:val="none"/>
                <w:lang w:eastAsia="zh-CN"/>
              </w:rPr>
              <w:t>大专</w:t>
            </w:r>
            <w:r>
              <w:rPr>
                <w:rFonts w:hint="eastAsia" w:asciiTheme="minorEastAsia" w:hAnsiTheme="minorEastAsia" w:eastAsiaTheme="minorEastAsia" w:cstheme="minorEastAsia"/>
                <w:color w:val="000000"/>
                <w:sz w:val="24"/>
                <w:szCs w:val="24"/>
                <w:highlight w:val="none"/>
              </w:rPr>
              <w:t>（含）以上学历的得</w:t>
            </w:r>
            <w:r>
              <w:rPr>
                <w:rFonts w:hint="eastAsia" w:asciiTheme="minorEastAsia" w:hAnsiTheme="minorEastAsia" w:eastAsiaTheme="minorEastAsia" w:cstheme="minorEastAsia"/>
                <w:color w:val="000000"/>
                <w:sz w:val="24"/>
                <w:szCs w:val="24"/>
                <w:highlight w:val="none"/>
                <w:lang w:val="en-US" w:eastAsia="zh-CN"/>
              </w:rPr>
              <w:t>1</w:t>
            </w:r>
            <w:r>
              <w:rPr>
                <w:rFonts w:hint="eastAsia" w:asciiTheme="minorEastAsia" w:hAnsiTheme="minorEastAsia" w:eastAsiaTheme="minorEastAsia" w:cstheme="minorEastAsia"/>
                <w:color w:val="000000"/>
                <w:sz w:val="24"/>
                <w:szCs w:val="24"/>
                <w:highlight w:val="none"/>
              </w:rPr>
              <w:t>分；</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bCs/>
                <w:color w:val="auto"/>
                <w:sz w:val="24"/>
                <w:szCs w:val="24"/>
                <w:highlight w:val="none"/>
                <w:lang w:val="en-US" w:eastAsia="zh-CN"/>
              </w:rPr>
              <w:t>2021年1月1日以来连续在物业管理岗位工作</w:t>
            </w:r>
            <w:r>
              <w:rPr>
                <w:rFonts w:hint="default" w:asciiTheme="minorEastAsia" w:hAnsiTheme="minorEastAsia" w:eastAsiaTheme="minorEastAsia" w:cstheme="minorEastAsia"/>
                <w:bCs/>
                <w:color w:val="auto"/>
                <w:sz w:val="24"/>
                <w:szCs w:val="24"/>
                <w:highlight w:val="none"/>
                <w:lang w:eastAsia="zh-CN"/>
              </w:rPr>
              <w:t>满二年的</w:t>
            </w:r>
            <w:r>
              <w:rPr>
                <w:rFonts w:hint="eastAsia" w:asciiTheme="minorEastAsia" w:hAnsiTheme="minorEastAsia" w:eastAsiaTheme="minorEastAsia" w:cstheme="minorEastAsia"/>
                <w:color w:val="auto"/>
                <w:sz w:val="24"/>
                <w:szCs w:val="24"/>
                <w:highlight w:val="none"/>
              </w:rPr>
              <w:t>得</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分</w:t>
            </w:r>
            <w:r>
              <w:rPr>
                <w:rFonts w:hint="default" w:asciiTheme="minorEastAsia" w:hAnsiTheme="minorEastAsia" w:eastAsiaTheme="minorEastAsia" w:cstheme="minorEastAsia"/>
                <w:color w:val="auto"/>
                <w:sz w:val="24"/>
                <w:szCs w:val="24"/>
                <w:highlight w:val="none"/>
              </w:rPr>
              <w:t>；</w:t>
            </w:r>
          </w:p>
          <w:p>
            <w:pPr>
              <w:keepNext w:val="0"/>
              <w:keepLines w:val="0"/>
              <w:pageBreakBefore w:val="0"/>
              <w:widowControl/>
              <w:shd w:val="clear" w:color="auto"/>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须提供配置的人员的身份证、学历证书、近三年来在物业管理岗位从业的相关证明材料，以及</w:t>
            </w:r>
            <w:r>
              <w:rPr>
                <w:rFonts w:hint="eastAsia" w:asciiTheme="minorEastAsia" w:hAnsiTheme="minorEastAsia" w:eastAsiaTheme="minorEastAsia" w:cstheme="minorEastAsia"/>
                <w:color w:val="auto"/>
                <w:sz w:val="24"/>
                <w:szCs w:val="24"/>
                <w:highlight w:val="none"/>
              </w:rPr>
              <w:t>开标前最近连续</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个月的社保部门缴费证明，不提供不得分。）</w:t>
            </w:r>
          </w:p>
        </w:tc>
        <w:tc>
          <w:tcPr>
            <w:tcW w:w="387"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w:t>
            </w:r>
          </w:p>
        </w:tc>
        <w:tc>
          <w:tcPr>
            <w:tcW w:w="585"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客观分</w:t>
            </w:r>
          </w:p>
        </w:tc>
        <w:tc>
          <w:tcPr>
            <w:tcW w:w="809" w:type="pct"/>
            <w:vMerge w:val="restart"/>
            <w:vAlign w:val="center"/>
          </w:tcPr>
          <w:p>
            <w:pPr>
              <w:pStyle w:val="2"/>
              <w:pageBreakBefore w:val="0"/>
              <w:kinsoku/>
              <w:wordWrap/>
              <w:overflowPunct/>
              <w:topLinePunct w:val="0"/>
              <w:bidi w:val="0"/>
              <w:spacing w:line="360" w:lineRule="auto"/>
              <w:ind w:left="0" w:leftChars="0" w:firstLine="0" w:firstLineChars="0"/>
              <w:jc w:val="center"/>
              <w:textAlignment w:val="auto"/>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人员</w:t>
            </w:r>
          </w:p>
          <w:p>
            <w:pPr>
              <w:pStyle w:val="2"/>
              <w:pageBreakBefore w:val="0"/>
              <w:kinsoku/>
              <w:wordWrap/>
              <w:overflowPunct/>
              <w:topLinePunct w:val="0"/>
              <w:bidi w:val="0"/>
              <w:spacing w:line="360" w:lineRule="auto"/>
              <w:ind w:left="0" w:leftChars="0" w:firstLine="0" w:firstLineChars="0"/>
              <w:jc w:val="center"/>
              <w:textAlignment w:val="auto"/>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配置</w:t>
            </w:r>
          </w:p>
          <w:p>
            <w:pPr>
              <w:pStyle w:val="2"/>
              <w:pageBreakBefore w:val="0"/>
              <w:kinsoku/>
              <w:wordWrap/>
              <w:overflowPunct/>
              <w:topLinePunct w:val="0"/>
              <w:bidi w:val="0"/>
              <w:spacing w:line="360" w:lineRule="auto"/>
              <w:ind w:left="0" w:leftChars="0" w:firstLine="0" w:firstLineChars="0"/>
              <w:jc w:val="center"/>
              <w:textAlignment w:val="auto"/>
              <w:rPr>
                <w:rFonts w:hint="eastAsia" w:asciiTheme="minorEastAsia" w:hAnsiTheme="minorEastAsia" w:eastAsiaTheme="minorEastAsia" w:cstheme="minorEastAsia"/>
                <w:color w:val="auto"/>
                <w:sz w:val="24"/>
                <w:szCs w:val="24"/>
                <w:highlight w:val="none"/>
              </w:rPr>
            </w:pPr>
          </w:p>
        </w:tc>
        <w:tc>
          <w:tcPr>
            <w:tcW w:w="254" w:type="pct"/>
            <w:vMerge w:val="continue"/>
            <w:tcBorders>
              <w:top w:val="nil"/>
              <w:bottom w:val="nil"/>
              <w:right w:val="nil"/>
            </w:tcBorders>
            <w:vAlign w:val="center"/>
          </w:tcPr>
          <w:p>
            <w:pPr>
              <w:pageBreakBefore w:val="0"/>
              <w:kinsoku/>
              <w:wordWrap/>
              <w:overflowPunct/>
              <w:topLinePunct w:val="0"/>
              <w:bidi w:val="0"/>
              <w:spacing w:line="360" w:lineRule="auto"/>
              <w:ind w:firstLine="420"/>
              <w:jc w:val="center"/>
              <w:textAlignment w:val="auto"/>
              <w:outlineLvl w:val="0"/>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385" w:type="pct"/>
            <w:vAlign w:val="center"/>
          </w:tcPr>
          <w:p>
            <w:pPr>
              <w:pageBreakBefore w:val="0"/>
              <w:kinsoku/>
              <w:wordWrap/>
              <w:overflowPunct/>
              <w:topLinePunct w:val="0"/>
              <w:bidi w:val="0"/>
              <w:snapToGrid w:val="0"/>
              <w:spacing w:line="360" w:lineRule="auto"/>
              <w:jc w:val="center"/>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w:t>
            </w:r>
          </w:p>
        </w:tc>
        <w:tc>
          <w:tcPr>
            <w:tcW w:w="2577" w:type="pct"/>
          </w:tcPr>
          <w:p>
            <w:pPr>
              <w:keepNext w:val="0"/>
              <w:keepLines w:val="0"/>
              <w:pageBreakBefore w:val="0"/>
              <w:widowControl/>
              <w:shd w:val="clear" w:color="auto" w:fill="FFFFFF"/>
              <w:kinsoku/>
              <w:wordWrap/>
              <w:overflowPunct/>
              <w:topLinePunct w:val="0"/>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rPr>
              <w:t>拟派</w:t>
            </w:r>
            <w:r>
              <w:rPr>
                <w:rFonts w:hint="eastAsia" w:asciiTheme="minorEastAsia" w:hAnsiTheme="minorEastAsia" w:eastAsiaTheme="minorEastAsia" w:cstheme="minorEastAsia"/>
                <w:color w:val="auto"/>
                <w:sz w:val="24"/>
                <w:szCs w:val="24"/>
                <w:highlight w:val="none"/>
                <w:lang w:val="en-US" w:eastAsia="zh-CN"/>
              </w:rPr>
              <w:t>安保人员：</w:t>
            </w:r>
          </w:p>
          <w:p>
            <w:pPr>
              <w:keepNext w:val="0"/>
              <w:keepLines w:val="0"/>
              <w:pageBreakBefore w:val="0"/>
              <w:widowControl/>
              <w:numPr>
                <w:ilvl w:val="0"/>
                <w:numId w:val="0"/>
              </w:numPr>
              <w:shd w:val="clear" w:color="auto" w:fill="FFFFFF"/>
              <w:kinsoku/>
              <w:wordWrap/>
              <w:overflowPunct/>
              <w:topLinePunct w:val="0"/>
              <w:bidi w:val="0"/>
              <w:adjustRightInd/>
              <w:snapToGrid/>
              <w:spacing w:line="360" w:lineRule="auto"/>
              <w:jc w:val="left"/>
              <w:textAlignment w:val="auto"/>
              <w:rPr>
                <w:rFonts w:hint="eastAsia" w:asciiTheme="minorEastAsia" w:hAnsiTheme="minorEastAsia" w:eastAsiaTheme="minorEastAsia" w:cstheme="minorEastAsia"/>
                <w:bCs/>
                <w:color w:val="auto"/>
                <w:sz w:val="24"/>
                <w:highlight w:val="none"/>
                <w:lang w:val="en-US" w:eastAsia="zh-CN" w:bidi="ar"/>
              </w:rPr>
            </w:pPr>
            <w:r>
              <w:rPr>
                <w:rFonts w:hint="eastAsia" w:asciiTheme="minorEastAsia" w:hAnsiTheme="minorEastAsia" w:eastAsiaTheme="minorEastAsia" w:cstheme="minorEastAsia"/>
                <w:color w:val="auto"/>
                <w:sz w:val="24"/>
                <w:szCs w:val="24"/>
                <w:highlight w:val="none"/>
                <w:lang w:val="en-US" w:eastAsia="zh-CN"/>
              </w:rPr>
              <w:t xml:space="preserve">   (1)</w:t>
            </w:r>
            <w:r>
              <w:rPr>
                <w:rFonts w:hint="eastAsia" w:asciiTheme="minorEastAsia" w:hAnsiTheme="minorEastAsia" w:eastAsiaTheme="minorEastAsia" w:cstheme="minorEastAsia"/>
                <w:color w:val="auto"/>
                <w:sz w:val="24"/>
                <w:szCs w:val="24"/>
                <w:highlight w:val="none"/>
              </w:rPr>
              <w:t>截止投标时间</w:t>
            </w:r>
            <w:r>
              <w:rPr>
                <w:rFonts w:hint="eastAsia" w:asciiTheme="minorEastAsia" w:hAnsiTheme="minorEastAsia" w:eastAsiaTheme="minorEastAsia" w:cstheme="minorEastAsia"/>
                <w:bCs/>
                <w:color w:val="auto"/>
                <w:sz w:val="24"/>
                <w:highlight w:val="none"/>
                <w:lang w:bidi="ar"/>
              </w:rPr>
              <w:t>拟派安保人员</w:t>
            </w:r>
            <w:r>
              <w:rPr>
                <w:rFonts w:hint="eastAsia" w:asciiTheme="minorEastAsia" w:hAnsiTheme="minorEastAsia" w:eastAsiaTheme="minorEastAsia" w:cstheme="minorEastAsia"/>
                <w:bCs/>
                <w:color w:val="auto"/>
                <w:sz w:val="24"/>
                <w:highlight w:val="none"/>
                <w:lang w:eastAsia="zh-CN" w:bidi="ar"/>
              </w:rPr>
              <w:t>，</w:t>
            </w:r>
            <w:r>
              <w:rPr>
                <w:rFonts w:hint="eastAsia" w:asciiTheme="minorEastAsia" w:hAnsiTheme="minorEastAsia" w:eastAsiaTheme="minorEastAsia" w:cstheme="minorEastAsia"/>
                <w:bCs/>
                <w:color w:val="auto"/>
                <w:sz w:val="24"/>
                <w:highlight w:val="none"/>
                <w:lang w:val="en-US" w:eastAsia="zh-CN" w:bidi="ar"/>
              </w:rPr>
              <w:t>男性且50</w:t>
            </w:r>
            <w:r>
              <w:rPr>
                <w:rFonts w:hint="eastAsia" w:asciiTheme="minorEastAsia" w:hAnsiTheme="minorEastAsia" w:eastAsiaTheme="minorEastAsia" w:cstheme="minorEastAsia"/>
                <w:bCs/>
                <w:color w:val="auto"/>
                <w:sz w:val="24"/>
                <w:highlight w:val="none"/>
                <w:lang w:bidi="ar"/>
              </w:rPr>
              <w:t>周岁（含）以下</w:t>
            </w:r>
            <w:r>
              <w:rPr>
                <w:rFonts w:hint="eastAsia" w:asciiTheme="minorEastAsia" w:hAnsiTheme="minorEastAsia" w:eastAsiaTheme="minorEastAsia" w:cstheme="minorEastAsia"/>
                <w:bCs/>
                <w:color w:val="auto"/>
                <w:sz w:val="24"/>
                <w:highlight w:val="none"/>
                <w:lang w:val="en-US" w:eastAsia="zh-CN" w:bidi="ar"/>
              </w:rPr>
              <w:t>每人得0.5分，此项最高5分；</w:t>
            </w:r>
          </w:p>
          <w:p>
            <w:pPr>
              <w:keepNext w:val="0"/>
              <w:keepLines w:val="0"/>
              <w:pageBreakBefore w:val="0"/>
              <w:widowControl/>
              <w:numPr>
                <w:ilvl w:val="0"/>
                <w:numId w:val="0"/>
              </w:numPr>
              <w:shd w:val="clear" w:color="auto" w:fill="FFFFFF"/>
              <w:kinsoku/>
              <w:wordWrap/>
              <w:overflowPunct/>
              <w:topLinePunct w:val="0"/>
              <w:bidi w:val="0"/>
              <w:adjustRightInd/>
              <w:snapToGrid/>
              <w:spacing w:line="360" w:lineRule="auto"/>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lang w:val="en-US" w:eastAsia="zh-CN"/>
              </w:rPr>
              <w:t xml:space="preserve">  </w:t>
            </w:r>
            <w:r>
              <w:rPr>
                <w:rFonts w:hint="eastAsia" w:asciiTheme="minorEastAsia" w:hAnsiTheme="minorEastAsia" w:eastAsiaTheme="minorEastAsia" w:cstheme="minorEastAsia"/>
                <w:color w:val="auto"/>
                <w:sz w:val="24"/>
                <w:szCs w:val="24"/>
                <w:highlight w:val="none"/>
                <w:lang w:val="en-US" w:eastAsia="zh-CN"/>
              </w:rPr>
              <w:t xml:space="preserve"> （2）具有高中及以上学历，每人得0.5分，此项最高</w:t>
            </w:r>
            <w:r>
              <w:rPr>
                <w:rFonts w:hint="default" w:asciiTheme="minorEastAsia" w:hAnsiTheme="minorEastAsia" w:eastAsiaTheme="minorEastAsia" w:cstheme="minorEastAsia"/>
                <w:color w:val="auto"/>
                <w:sz w:val="24"/>
                <w:szCs w:val="24"/>
                <w:highlight w:val="none"/>
                <w:lang w:eastAsia="zh-CN"/>
              </w:rPr>
              <w:t>3</w:t>
            </w:r>
            <w:r>
              <w:rPr>
                <w:rFonts w:hint="eastAsia" w:asciiTheme="minorEastAsia" w:hAnsiTheme="minorEastAsia" w:eastAsiaTheme="minorEastAsia" w:cstheme="minorEastAsia"/>
                <w:color w:val="auto"/>
                <w:sz w:val="24"/>
                <w:szCs w:val="24"/>
                <w:highlight w:val="none"/>
                <w:lang w:val="en-US" w:eastAsia="zh-CN"/>
              </w:rPr>
              <w:t>分。</w:t>
            </w:r>
          </w:p>
          <w:p>
            <w:pPr>
              <w:keepNext w:val="0"/>
              <w:keepLines w:val="0"/>
              <w:pageBreakBefore w:val="0"/>
              <w:widowControl/>
              <w:numPr>
                <w:ilvl w:val="0"/>
                <w:numId w:val="0"/>
              </w:numPr>
              <w:shd w:val="clear" w:color="auto" w:fill="FFFFFF"/>
              <w:kinsoku/>
              <w:wordWrap/>
              <w:overflowPunct/>
              <w:topLinePunct w:val="0"/>
              <w:bidi w:val="0"/>
              <w:adjustRightInd/>
              <w:snapToGrid/>
              <w:spacing w:line="360" w:lineRule="auto"/>
              <w:ind w:firstLine="480" w:firstLineChars="200"/>
              <w:jc w:val="left"/>
              <w:textAlignment w:val="auto"/>
              <w:rPr>
                <w:rFonts w:hint="eastAsia"/>
                <w:color w:val="auto"/>
                <w:lang w:val="en-US" w:eastAsia="zh-CN"/>
              </w:rPr>
            </w:pPr>
            <w:r>
              <w:rPr>
                <w:rFonts w:hint="eastAsia" w:asciiTheme="minorEastAsia" w:hAnsiTheme="minorEastAsia" w:eastAsiaTheme="minorEastAsia" w:cstheme="minorEastAsia"/>
                <w:color w:val="auto"/>
                <w:sz w:val="24"/>
                <w:szCs w:val="24"/>
                <w:highlight w:val="none"/>
                <w:lang w:eastAsia="zh-CN"/>
              </w:rPr>
              <w:t>（</w:t>
            </w:r>
            <w:r>
              <w:rPr>
                <w:rFonts w:hint="default" w:asciiTheme="minorEastAsia" w:hAnsiTheme="minorEastAsia" w:eastAsiaTheme="minorEastAsia" w:cstheme="minorEastAsia"/>
                <w:color w:val="auto"/>
                <w:sz w:val="24"/>
                <w:szCs w:val="24"/>
                <w:highlight w:val="none"/>
                <w:lang w:eastAsia="zh-CN"/>
              </w:rPr>
              <w:t>3</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截止投标时间</w:t>
            </w:r>
            <w:r>
              <w:rPr>
                <w:rFonts w:hint="eastAsia" w:asciiTheme="minorEastAsia" w:hAnsiTheme="minorEastAsia" w:eastAsiaTheme="minorEastAsia" w:cstheme="minorEastAsia"/>
                <w:bCs/>
                <w:color w:val="auto"/>
                <w:sz w:val="24"/>
                <w:highlight w:val="none"/>
                <w:lang w:val="en-US" w:eastAsia="zh-CN" w:bidi="ar"/>
              </w:rPr>
              <w:t>拟派保安人员有三年及以上保安工作经验的，每人得0.5分，此项最高</w:t>
            </w:r>
            <w:r>
              <w:rPr>
                <w:rFonts w:hint="default" w:asciiTheme="minorEastAsia" w:hAnsiTheme="minorEastAsia" w:eastAsiaTheme="minorEastAsia" w:cstheme="minorEastAsia"/>
                <w:bCs/>
                <w:color w:val="auto"/>
                <w:sz w:val="24"/>
                <w:highlight w:val="none"/>
                <w:lang w:eastAsia="zh-CN" w:bidi="ar"/>
              </w:rPr>
              <w:t>3</w:t>
            </w:r>
            <w:r>
              <w:rPr>
                <w:rFonts w:hint="eastAsia" w:asciiTheme="minorEastAsia" w:hAnsiTheme="minorEastAsia" w:eastAsiaTheme="minorEastAsia" w:cstheme="minorEastAsia"/>
                <w:bCs/>
                <w:color w:val="auto"/>
                <w:sz w:val="24"/>
                <w:highlight w:val="none"/>
                <w:lang w:val="en-US" w:eastAsia="zh-CN" w:bidi="ar"/>
              </w:rPr>
              <w:t>分。</w:t>
            </w:r>
          </w:p>
          <w:p>
            <w:pPr>
              <w:pStyle w:val="2"/>
              <w:numPr>
                <w:ilvl w:val="0"/>
                <w:numId w:val="0"/>
              </w:numPr>
              <w:ind w:firstLine="480" w:firstLineChars="200"/>
              <w:rPr>
                <w:rFonts w:hint="default"/>
                <w:lang w:val="en-US" w:eastAsia="zh-CN"/>
              </w:rPr>
            </w:pPr>
            <w:r>
              <w:rPr>
                <w:rFonts w:hint="eastAsia" w:asciiTheme="minorEastAsia" w:hAnsiTheme="minorEastAsia" w:eastAsiaTheme="minorEastAsia" w:cstheme="minorEastAsia"/>
                <w:color w:val="auto"/>
                <w:sz w:val="24"/>
                <w:szCs w:val="24"/>
                <w:highlight w:val="none"/>
                <w:lang w:eastAsia="zh-CN"/>
              </w:rPr>
              <w:t>（</w:t>
            </w:r>
            <w:r>
              <w:rPr>
                <w:rFonts w:hint="default" w:asciiTheme="minorEastAsia" w:hAnsiTheme="minorEastAsia" w:eastAsiaTheme="minorEastAsia" w:cstheme="minorEastAsia"/>
                <w:color w:val="auto"/>
                <w:sz w:val="24"/>
                <w:szCs w:val="24"/>
                <w:highlight w:val="none"/>
                <w:lang w:eastAsia="zh-CN"/>
              </w:rPr>
              <w:t>4</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截止投标时间</w:t>
            </w:r>
            <w:r>
              <w:rPr>
                <w:rFonts w:hint="eastAsia" w:asciiTheme="minorEastAsia" w:hAnsiTheme="minorEastAsia" w:eastAsiaTheme="minorEastAsia" w:cstheme="minorEastAsia"/>
                <w:bCs/>
                <w:color w:val="auto"/>
                <w:sz w:val="24"/>
                <w:highlight w:val="none"/>
                <w:lang w:val="en-US" w:eastAsia="zh-CN" w:bidi="ar"/>
              </w:rPr>
              <w:t>拟派保安人员有退伍军人的，每人得0.5分，此项最高1分</w:t>
            </w:r>
            <w:r>
              <w:rPr>
                <w:rFonts w:hint="eastAsia" w:asciiTheme="minorEastAsia" w:hAnsiTheme="minorEastAsia" w:eastAsiaTheme="minorEastAsia" w:cstheme="minorEastAsia"/>
                <w:bCs/>
                <w:color w:val="auto"/>
                <w:sz w:val="24"/>
                <w:highlight w:val="none"/>
                <w:lang w:eastAsia="zh-CN" w:bidi="ar"/>
              </w:rPr>
              <w:t>。</w:t>
            </w:r>
          </w:p>
          <w:p>
            <w:pPr>
              <w:keepNext w:val="0"/>
              <w:keepLines w:val="0"/>
              <w:pageBreakBefore w:val="0"/>
              <w:widowControl/>
              <w:shd w:val="clear" w:color="auto" w:fill="FFFFFF"/>
              <w:kinsoku/>
              <w:wordWrap/>
              <w:overflowPunct/>
              <w:topLinePunct w:val="0"/>
              <w:bidi w:val="0"/>
              <w:adjustRightInd/>
              <w:snapToGrid/>
              <w:spacing w:line="360" w:lineRule="auto"/>
              <w:jc w:val="left"/>
              <w:textAlignment w:val="auto"/>
              <w:rPr>
                <w:rFonts w:hint="eastAsia"/>
                <w:lang w:eastAsia="zh-CN"/>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须提供配置的人员的身份证、学历证书、相关证书复印件和工作经验证明，以及</w:t>
            </w:r>
            <w:r>
              <w:rPr>
                <w:rFonts w:hint="eastAsia" w:asciiTheme="minorEastAsia" w:hAnsiTheme="minorEastAsia" w:eastAsiaTheme="minorEastAsia" w:cstheme="minorEastAsia"/>
                <w:color w:val="auto"/>
                <w:sz w:val="24"/>
                <w:szCs w:val="24"/>
                <w:highlight w:val="none"/>
              </w:rPr>
              <w:t>开标前最近连续三个月的社保部门缴费证明，不提供不得分。</w:t>
            </w:r>
            <w:bookmarkStart w:id="516" w:name="_GoBack"/>
            <w:bookmarkEnd w:id="516"/>
          </w:p>
        </w:tc>
        <w:tc>
          <w:tcPr>
            <w:tcW w:w="387" w:type="pct"/>
            <w:vAlign w:val="center"/>
          </w:tcPr>
          <w:p>
            <w:pPr>
              <w:pageBreakBefore w:val="0"/>
              <w:kinsoku/>
              <w:wordWrap/>
              <w:overflowPunct/>
              <w:topLinePunct w:val="0"/>
              <w:bidi w:val="0"/>
              <w:spacing w:line="360" w:lineRule="auto"/>
              <w:jc w:val="center"/>
              <w:textAlignment w:val="auto"/>
              <w:outlineLvl w:val="0"/>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12</w:t>
            </w:r>
          </w:p>
        </w:tc>
        <w:tc>
          <w:tcPr>
            <w:tcW w:w="585"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客观分</w:t>
            </w:r>
          </w:p>
        </w:tc>
        <w:tc>
          <w:tcPr>
            <w:tcW w:w="809" w:type="pct"/>
            <w:vMerge w:val="continue"/>
            <w:vAlign w:val="center"/>
          </w:tcPr>
          <w:p>
            <w:pPr>
              <w:pStyle w:val="2"/>
              <w:pageBreakBefore w:val="0"/>
              <w:kinsoku/>
              <w:wordWrap/>
              <w:overflowPunct/>
              <w:topLinePunct w:val="0"/>
              <w:bidi w:val="0"/>
              <w:spacing w:line="360" w:lineRule="auto"/>
              <w:ind w:left="0" w:leftChars="0" w:firstLine="0" w:firstLineChars="0"/>
              <w:jc w:val="center"/>
              <w:textAlignment w:val="auto"/>
              <w:rPr>
                <w:rFonts w:hint="eastAsia" w:asciiTheme="minorEastAsia" w:hAnsiTheme="minorEastAsia" w:eastAsiaTheme="minorEastAsia" w:cstheme="minorEastAsia"/>
                <w:color w:val="auto"/>
                <w:sz w:val="24"/>
                <w:szCs w:val="24"/>
                <w:highlight w:val="none"/>
                <w:lang w:val="en-US"/>
              </w:rPr>
            </w:pPr>
          </w:p>
        </w:tc>
        <w:tc>
          <w:tcPr>
            <w:tcW w:w="254" w:type="pct"/>
            <w:vMerge w:val="continue"/>
            <w:tcBorders>
              <w:top w:val="nil"/>
              <w:bottom w:val="nil"/>
              <w:right w:val="nil"/>
            </w:tcBorders>
            <w:vAlign w:val="center"/>
          </w:tcPr>
          <w:p>
            <w:pPr>
              <w:pageBreakBefore w:val="0"/>
              <w:kinsoku/>
              <w:wordWrap/>
              <w:overflowPunct/>
              <w:topLinePunct w:val="0"/>
              <w:bidi w:val="0"/>
              <w:spacing w:line="360" w:lineRule="auto"/>
              <w:ind w:firstLine="420"/>
              <w:jc w:val="center"/>
              <w:textAlignment w:val="auto"/>
              <w:outlineLvl w:val="0"/>
              <w:rPr>
                <w:rFonts w:hint="eastAsia"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5" w:type="pct"/>
            <w:vAlign w:val="center"/>
          </w:tcPr>
          <w:p>
            <w:pPr>
              <w:pageBreakBefore w:val="0"/>
              <w:kinsoku/>
              <w:wordWrap/>
              <w:overflowPunct/>
              <w:topLinePunct w:val="0"/>
              <w:bidi w:val="0"/>
              <w:snapToGrid w:val="0"/>
              <w:spacing w:line="360" w:lineRule="auto"/>
              <w:jc w:val="center"/>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7</w:t>
            </w:r>
          </w:p>
        </w:tc>
        <w:tc>
          <w:tcPr>
            <w:tcW w:w="2577" w:type="pct"/>
            <w:vAlign w:val="center"/>
          </w:tcPr>
          <w:p>
            <w:pPr>
              <w:pageBreakBefore w:val="0"/>
              <w:numPr>
                <w:ilvl w:val="0"/>
                <w:numId w:val="0"/>
              </w:numPr>
              <w:kinsoku/>
              <w:wordWrap/>
              <w:overflowPunct/>
              <w:topLinePunct w:val="0"/>
              <w:bidi w:val="0"/>
              <w:spacing w:line="360" w:lineRule="auto"/>
              <w:jc w:val="left"/>
              <w:textAlignment w:val="auto"/>
              <w:rPr>
                <w:rFonts w:hint="eastAsia" w:asciiTheme="minorEastAsia" w:hAnsiTheme="minorEastAsia" w:eastAsiaTheme="minorEastAsia" w:cstheme="minorEastAsia"/>
                <w:color w:val="auto"/>
                <w:spacing w:val="-6"/>
                <w:sz w:val="24"/>
                <w:szCs w:val="24"/>
                <w:highlight w:val="none"/>
                <w:lang w:val="en-US" w:eastAsia="zh-CN"/>
              </w:rPr>
            </w:pPr>
            <w:r>
              <w:rPr>
                <w:rFonts w:hint="eastAsia" w:asciiTheme="minorEastAsia" w:hAnsiTheme="minorEastAsia" w:eastAsiaTheme="minorEastAsia" w:cstheme="minorEastAsia"/>
                <w:color w:val="auto"/>
                <w:spacing w:val="-6"/>
                <w:sz w:val="24"/>
                <w:szCs w:val="24"/>
                <w:highlight w:val="none"/>
                <w:lang w:val="en-US" w:eastAsia="zh-CN"/>
              </w:rPr>
              <w:t>制定安保管理方案。</w:t>
            </w:r>
          </w:p>
          <w:p>
            <w:pPr>
              <w:pStyle w:val="2"/>
              <w:rPr>
                <w:rFonts w:hint="eastAsia"/>
                <w:lang w:val="en-US" w:eastAsia="zh-CN"/>
              </w:rPr>
            </w:pPr>
            <w:r>
              <w:rPr>
                <w:rFonts w:hint="eastAsia" w:asciiTheme="minorEastAsia" w:hAnsiTheme="minorEastAsia" w:eastAsiaTheme="minorEastAsia" w:cstheme="minorEastAsia"/>
                <w:color w:val="auto"/>
                <w:spacing w:val="-6"/>
                <w:sz w:val="24"/>
                <w:szCs w:val="24"/>
                <w:highlight w:val="none"/>
              </w:rPr>
              <w:t>方案及管理制度内容具体合理，贴合采购实际，可行性高的得</w:t>
            </w:r>
            <w:r>
              <w:rPr>
                <w:rFonts w:hint="eastAsia" w:asciiTheme="minorEastAsia" w:hAnsiTheme="minorEastAsia" w:eastAsiaTheme="minorEastAsia" w:cstheme="minorEastAsia"/>
                <w:color w:val="auto"/>
                <w:spacing w:val="-6"/>
                <w:sz w:val="24"/>
                <w:szCs w:val="24"/>
                <w:highlight w:val="none"/>
                <w:lang w:val="en-US" w:eastAsia="zh-CN"/>
              </w:rPr>
              <w:t>4</w:t>
            </w:r>
            <w:r>
              <w:rPr>
                <w:rFonts w:hint="eastAsia" w:asciiTheme="minorEastAsia" w:hAnsiTheme="minorEastAsia" w:eastAsiaTheme="minorEastAsia" w:cstheme="minorEastAsia"/>
                <w:color w:val="auto"/>
                <w:spacing w:val="-6"/>
                <w:sz w:val="24"/>
                <w:szCs w:val="24"/>
                <w:highlight w:val="none"/>
              </w:rPr>
              <w:t>分；方案及管理制度内容基本合理，可行性一般的得</w:t>
            </w:r>
            <w:r>
              <w:rPr>
                <w:rFonts w:hint="eastAsia" w:asciiTheme="minorEastAsia" w:hAnsiTheme="minorEastAsia" w:eastAsiaTheme="minorEastAsia" w:cstheme="minorEastAsia"/>
                <w:color w:val="auto"/>
                <w:spacing w:val="-6"/>
                <w:sz w:val="24"/>
                <w:szCs w:val="24"/>
                <w:highlight w:val="none"/>
                <w:lang w:val="en-US" w:eastAsia="zh-CN"/>
              </w:rPr>
              <w:t>2</w:t>
            </w:r>
            <w:r>
              <w:rPr>
                <w:rFonts w:hint="eastAsia" w:asciiTheme="minorEastAsia" w:hAnsiTheme="minorEastAsia" w:eastAsiaTheme="minorEastAsia" w:cstheme="minorEastAsia"/>
                <w:color w:val="auto"/>
                <w:spacing w:val="-6"/>
                <w:sz w:val="24"/>
                <w:szCs w:val="24"/>
                <w:highlight w:val="none"/>
              </w:rPr>
              <w:t>分，</w:t>
            </w:r>
            <w:r>
              <w:rPr>
                <w:rFonts w:hint="eastAsia" w:asciiTheme="minorEastAsia" w:hAnsiTheme="minorEastAsia" w:eastAsiaTheme="minorEastAsia" w:cstheme="minorEastAsia"/>
                <w:color w:val="auto"/>
                <w:sz w:val="24"/>
                <w:szCs w:val="24"/>
                <w:highlight w:val="none"/>
              </w:rPr>
              <w:t>可行性差得0分。</w:t>
            </w:r>
          </w:p>
        </w:tc>
        <w:tc>
          <w:tcPr>
            <w:tcW w:w="387"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4</w:t>
            </w:r>
          </w:p>
        </w:tc>
        <w:tc>
          <w:tcPr>
            <w:tcW w:w="585"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主观分</w:t>
            </w:r>
          </w:p>
        </w:tc>
        <w:tc>
          <w:tcPr>
            <w:tcW w:w="809" w:type="pct"/>
            <w:vMerge w:val="restart"/>
            <w:vAlign w:val="center"/>
          </w:tcPr>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spacing w:val="-6"/>
                <w:sz w:val="24"/>
                <w:szCs w:val="24"/>
                <w:highlight w:val="none"/>
              </w:rPr>
              <w:t>技术</w:t>
            </w:r>
          </w:p>
          <w:p>
            <w:pPr>
              <w:pageBreakBefore w:val="0"/>
              <w:kinsoku/>
              <w:wordWrap/>
              <w:overflowPunct/>
              <w:topLinePunct w:val="0"/>
              <w:bidi w:val="0"/>
              <w:spacing w:line="360" w:lineRule="auto"/>
              <w:jc w:val="center"/>
              <w:textAlignment w:val="auto"/>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spacing w:val="-6"/>
                <w:sz w:val="24"/>
                <w:szCs w:val="24"/>
                <w:highlight w:val="none"/>
              </w:rPr>
              <w:t>方案</w:t>
            </w:r>
          </w:p>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pacing w:val="-6"/>
                <w:sz w:val="24"/>
                <w:szCs w:val="24"/>
                <w:highlight w:val="none"/>
              </w:rPr>
            </w:pPr>
          </w:p>
          <w:p>
            <w:pPr>
              <w:bidi w:val="0"/>
              <w:jc w:val="center"/>
              <w:rPr>
                <w:rFonts w:hint="eastAsia"/>
                <w:color w:val="auto"/>
                <w:sz w:val="24"/>
                <w:szCs w:val="24"/>
                <w:highlight w:val="none"/>
              </w:rPr>
            </w:pPr>
          </w:p>
          <w:p>
            <w:pPr>
              <w:bidi w:val="0"/>
              <w:jc w:val="center"/>
              <w:rPr>
                <w:rFonts w:hint="eastAsia" w:asciiTheme="minorEastAsia" w:hAnsiTheme="minorEastAsia" w:eastAsiaTheme="minorEastAsia" w:cstheme="minorEastAsia"/>
                <w:color w:val="auto"/>
                <w:szCs w:val="24"/>
                <w:highlight w:val="none"/>
              </w:rPr>
            </w:pPr>
          </w:p>
        </w:tc>
        <w:tc>
          <w:tcPr>
            <w:tcW w:w="254" w:type="pct"/>
            <w:vMerge w:val="continue"/>
            <w:tcBorders>
              <w:top w:val="nil"/>
              <w:bottom w:val="nil"/>
              <w:right w:val="nil"/>
            </w:tcBorders>
            <w:vAlign w:val="center"/>
          </w:tcPr>
          <w:p>
            <w:pPr>
              <w:pageBreakBefore w:val="0"/>
              <w:kinsoku/>
              <w:wordWrap/>
              <w:overflowPunct/>
              <w:topLinePunct w:val="0"/>
              <w:bidi w:val="0"/>
              <w:spacing w:line="360" w:lineRule="auto"/>
              <w:ind w:firstLine="396"/>
              <w:jc w:val="center"/>
              <w:textAlignment w:val="auto"/>
              <w:outlineLvl w:val="0"/>
              <w:rPr>
                <w:rFonts w:hint="eastAsia" w:asciiTheme="minorEastAsia" w:hAnsiTheme="minorEastAsia" w:eastAsiaTheme="minorEastAsia" w:cstheme="minorEastAsia"/>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385" w:type="pct"/>
            <w:vAlign w:val="center"/>
          </w:tcPr>
          <w:p>
            <w:pPr>
              <w:pageBreakBefore w:val="0"/>
              <w:kinsoku/>
              <w:wordWrap/>
              <w:overflowPunct/>
              <w:topLinePunct w:val="0"/>
              <w:bidi w:val="0"/>
              <w:snapToGrid w:val="0"/>
              <w:spacing w:line="360" w:lineRule="auto"/>
              <w:jc w:val="center"/>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8</w:t>
            </w:r>
          </w:p>
        </w:tc>
        <w:tc>
          <w:tcPr>
            <w:tcW w:w="2577" w:type="pct"/>
            <w:vAlign w:val="center"/>
          </w:tcPr>
          <w:p>
            <w:pPr>
              <w:pageBreakBefore w:val="0"/>
              <w:kinsoku/>
              <w:wordWrap/>
              <w:overflowPunct/>
              <w:topLinePunct w:val="0"/>
              <w:bidi w:val="0"/>
              <w:spacing w:line="360" w:lineRule="auto"/>
              <w:jc w:val="left"/>
              <w:textAlignment w:val="auto"/>
              <w:rPr>
                <w:rFonts w:hint="eastAsia" w:asciiTheme="minorEastAsia" w:hAnsiTheme="minorEastAsia" w:eastAsiaTheme="minorEastAsia" w:cstheme="minorEastAsia"/>
                <w:color w:val="auto"/>
                <w:spacing w:val="-6"/>
                <w:sz w:val="24"/>
                <w:szCs w:val="24"/>
                <w:highlight w:val="none"/>
                <w:lang w:eastAsia="zh-CN"/>
              </w:rPr>
            </w:pPr>
            <w:r>
              <w:rPr>
                <w:rFonts w:hint="eastAsia" w:asciiTheme="minorEastAsia" w:hAnsiTheme="minorEastAsia" w:eastAsiaTheme="minorEastAsia" w:cstheme="minorEastAsia"/>
                <w:color w:val="auto"/>
                <w:spacing w:val="-6"/>
                <w:sz w:val="24"/>
                <w:szCs w:val="24"/>
                <w:highlight w:val="none"/>
              </w:rPr>
              <w:t>人员稳定性方案</w:t>
            </w:r>
            <w:r>
              <w:rPr>
                <w:rFonts w:hint="eastAsia" w:asciiTheme="minorEastAsia" w:hAnsiTheme="minorEastAsia" w:eastAsiaTheme="minorEastAsia" w:cstheme="minorEastAsia"/>
                <w:color w:val="auto"/>
                <w:spacing w:val="-6"/>
                <w:sz w:val="24"/>
                <w:szCs w:val="24"/>
                <w:highlight w:val="none"/>
                <w:lang w:eastAsia="zh-CN"/>
              </w:rPr>
              <w:t>。</w:t>
            </w:r>
          </w:p>
          <w:p>
            <w:pPr>
              <w:pageBreakBefore w:val="0"/>
              <w:kinsoku/>
              <w:wordWrap/>
              <w:overflowPunct/>
              <w:topLinePunct w:val="0"/>
              <w:bidi w:val="0"/>
              <w:spacing w:line="360" w:lineRule="auto"/>
              <w:jc w:val="left"/>
              <w:textAlignment w:val="auto"/>
              <w:rPr>
                <w:rFonts w:hint="eastAsia" w:asciiTheme="minorEastAsia" w:hAnsiTheme="minorEastAsia" w:eastAsiaTheme="minorEastAsia" w:cstheme="minorEastAsia"/>
                <w:color w:val="auto"/>
                <w:spacing w:val="-6"/>
                <w:kern w:val="2"/>
                <w:sz w:val="24"/>
                <w:szCs w:val="24"/>
                <w:highlight w:val="none"/>
                <w:lang w:val="en-US" w:eastAsia="zh-CN" w:bidi="ar-SA"/>
              </w:rPr>
            </w:pPr>
            <w:r>
              <w:rPr>
                <w:rFonts w:hint="eastAsia" w:asciiTheme="minorEastAsia" w:hAnsiTheme="minorEastAsia" w:eastAsiaTheme="minorEastAsia" w:cstheme="minorEastAsia"/>
                <w:color w:val="auto"/>
                <w:spacing w:val="-6"/>
                <w:sz w:val="24"/>
                <w:szCs w:val="24"/>
                <w:highlight w:val="none"/>
              </w:rPr>
              <w:t>方案内容具体合理，贴合采购实际，可行性高的得</w:t>
            </w:r>
            <w:r>
              <w:rPr>
                <w:rFonts w:hint="eastAsia" w:asciiTheme="minorEastAsia" w:hAnsiTheme="minorEastAsia" w:eastAsiaTheme="minorEastAsia" w:cstheme="minorEastAsia"/>
                <w:color w:val="auto"/>
                <w:spacing w:val="-6"/>
                <w:sz w:val="24"/>
                <w:szCs w:val="24"/>
                <w:highlight w:val="none"/>
                <w:lang w:val="en-US" w:eastAsia="zh-CN"/>
              </w:rPr>
              <w:t>4</w:t>
            </w:r>
            <w:r>
              <w:rPr>
                <w:rFonts w:hint="eastAsia" w:asciiTheme="minorEastAsia" w:hAnsiTheme="minorEastAsia" w:eastAsiaTheme="minorEastAsia" w:cstheme="minorEastAsia"/>
                <w:color w:val="auto"/>
                <w:spacing w:val="-6"/>
                <w:sz w:val="24"/>
                <w:szCs w:val="24"/>
                <w:highlight w:val="none"/>
              </w:rPr>
              <w:t>分；方案及管理制度内容基本合理，可行性一般的得</w:t>
            </w:r>
            <w:r>
              <w:rPr>
                <w:rFonts w:hint="eastAsia" w:asciiTheme="minorEastAsia" w:hAnsiTheme="minorEastAsia" w:eastAsiaTheme="minorEastAsia" w:cstheme="minorEastAsia"/>
                <w:color w:val="auto"/>
                <w:spacing w:val="-6"/>
                <w:sz w:val="24"/>
                <w:szCs w:val="24"/>
                <w:highlight w:val="none"/>
                <w:lang w:val="en-US" w:eastAsia="zh-CN"/>
              </w:rPr>
              <w:t>2</w:t>
            </w:r>
            <w:r>
              <w:rPr>
                <w:rFonts w:hint="eastAsia" w:asciiTheme="minorEastAsia" w:hAnsiTheme="minorEastAsia" w:eastAsiaTheme="minorEastAsia" w:cstheme="minorEastAsia"/>
                <w:color w:val="auto"/>
                <w:spacing w:val="-6"/>
                <w:sz w:val="24"/>
                <w:szCs w:val="24"/>
                <w:highlight w:val="none"/>
              </w:rPr>
              <w:t>分，</w:t>
            </w:r>
            <w:r>
              <w:rPr>
                <w:rFonts w:hint="eastAsia" w:asciiTheme="minorEastAsia" w:hAnsiTheme="minorEastAsia" w:eastAsiaTheme="minorEastAsia" w:cstheme="minorEastAsia"/>
                <w:color w:val="auto"/>
                <w:sz w:val="24"/>
                <w:szCs w:val="24"/>
                <w:highlight w:val="none"/>
              </w:rPr>
              <w:t>可行性差得0分。</w:t>
            </w:r>
          </w:p>
        </w:tc>
        <w:tc>
          <w:tcPr>
            <w:tcW w:w="387"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4</w:t>
            </w:r>
          </w:p>
        </w:tc>
        <w:tc>
          <w:tcPr>
            <w:tcW w:w="585"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主观分</w:t>
            </w:r>
          </w:p>
        </w:tc>
        <w:tc>
          <w:tcPr>
            <w:tcW w:w="809" w:type="pct"/>
            <w:vMerge w:val="continue"/>
            <w:vAlign w:val="center"/>
          </w:tcPr>
          <w:p>
            <w:pPr>
              <w:pageBreakBefore w:val="0"/>
              <w:kinsoku/>
              <w:wordWrap/>
              <w:overflowPunct/>
              <w:topLinePunct w:val="0"/>
              <w:bidi w:val="0"/>
              <w:spacing w:line="360" w:lineRule="auto"/>
              <w:ind w:firstLine="396"/>
              <w:jc w:val="center"/>
              <w:textAlignment w:val="auto"/>
              <w:outlineLvl w:val="0"/>
              <w:rPr>
                <w:rFonts w:hint="eastAsia" w:asciiTheme="minorEastAsia" w:hAnsiTheme="minorEastAsia" w:eastAsiaTheme="minorEastAsia" w:cstheme="minorEastAsia"/>
                <w:color w:val="auto"/>
                <w:spacing w:val="-6"/>
                <w:sz w:val="24"/>
                <w:szCs w:val="24"/>
                <w:highlight w:val="none"/>
              </w:rPr>
            </w:pPr>
          </w:p>
        </w:tc>
        <w:tc>
          <w:tcPr>
            <w:tcW w:w="254" w:type="pct"/>
            <w:vMerge w:val="continue"/>
            <w:tcBorders>
              <w:top w:val="nil"/>
              <w:bottom w:val="nil"/>
              <w:right w:val="nil"/>
            </w:tcBorders>
            <w:vAlign w:val="center"/>
          </w:tcPr>
          <w:p>
            <w:pPr>
              <w:pageBreakBefore w:val="0"/>
              <w:kinsoku/>
              <w:wordWrap/>
              <w:overflowPunct/>
              <w:topLinePunct w:val="0"/>
              <w:bidi w:val="0"/>
              <w:spacing w:line="360" w:lineRule="auto"/>
              <w:ind w:firstLine="396"/>
              <w:jc w:val="center"/>
              <w:textAlignment w:val="auto"/>
              <w:outlineLvl w:val="0"/>
              <w:rPr>
                <w:rFonts w:hint="eastAsia" w:asciiTheme="minorEastAsia" w:hAnsiTheme="minorEastAsia" w:eastAsiaTheme="minorEastAsia" w:cstheme="minorEastAsia"/>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385" w:type="pct"/>
            <w:vAlign w:val="center"/>
          </w:tcPr>
          <w:p>
            <w:pPr>
              <w:pageBreakBefore w:val="0"/>
              <w:kinsoku/>
              <w:wordWrap/>
              <w:overflowPunct/>
              <w:topLinePunct w:val="0"/>
              <w:bidi w:val="0"/>
              <w:snapToGrid w:val="0"/>
              <w:spacing w:line="360" w:lineRule="auto"/>
              <w:jc w:val="center"/>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w:t>
            </w:r>
          </w:p>
        </w:tc>
        <w:tc>
          <w:tcPr>
            <w:tcW w:w="2577" w:type="pct"/>
            <w:vAlign w:val="center"/>
          </w:tcPr>
          <w:p>
            <w:pPr>
              <w:pageBreakBefore w:val="0"/>
              <w:kinsoku/>
              <w:wordWrap/>
              <w:overflowPunct/>
              <w:topLinePunct w:val="0"/>
              <w:bidi w:val="0"/>
              <w:spacing w:line="360" w:lineRule="auto"/>
              <w:jc w:val="left"/>
              <w:textAlignment w:val="auto"/>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spacing w:val="-6"/>
                <w:sz w:val="24"/>
                <w:szCs w:val="24"/>
                <w:highlight w:val="none"/>
              </w:rPr>
              <w:t>培训方案及管理制度。</w:t>
            </w:r>
          </w:p>
          <w:p>
            <w:pPr>
              <w:pageBreakBefore w:val="0"/>
              <w:kinsoku/>
              <w:wordWrap/>
              <w:overflowPunct/>
              <w:topLinePunct w:val="0"/>
              <w:bidi w:val="0"/>
              <w:spacing w:line="360" w:lineRule="auto"/>
              <w:jc w:val="left"/>
              <w:textAlignment w:val="auto"/>
              <w:rPr>
                <w:rFonts w:hint="eastAsia" w:asciiTheme="minorEastAsia" w:hAnsiTheme="minorEastAsia" w:eastAsiaTheme="minorEastAsia" w:cstheme="minorEastAsia"/>
                <w:color w:val="auto"/>
                <w:spacing w:val="-6"/>
                <w:kern w:val="2"/>
                <w:sz w:val="24"/>
                <w:szCs w:val="24"/>
                <w:highlight w:val="none"/>
                <w:lang w:val="en-US" w:eastAsia="zh-CN" w:bidi="ar-SA"/>
              </w:rPr>
            </w:pPr>
            <w:r>
              <w:rPr>
                <w:rFonts w:hint="eastAsia" w:asciiTheme="minorEastAsia" w:hAnsiTheme="minorEastAsia" w:eastAsiaTheme="minorEastAsia" w:cstheme="minorEastAsia"/>
                <w:color w:val="auto"/>
                <w:spacing w:val="-6"/>
                <w:sz w:val="24"/>
                <w:szCs w:val="24"/>
                <w:highlight w:val="none"/>
              </w:rPr>
              <w:t>方案及管理制度内容具体合理，贴合采购实际，可行性高的得</w:t>
            </w:r>
            <w:r>
              <w:rPr>
                <w:rFonts w:hint="eastAsia" w:asciiTheme="minorEastAsia" w:hAnsiTheme="minorEastAsia" w:eastAsiaTheme="minorEastAsia" w:cstheme="minorEastAsia"/>
                <w:color w:val="auto"/>
                <w:spacing w:val="-6"/>
                <w:sz w:val="24"/>
                <w:szCs w:val="24"/>
                <w:highlight w:val="none"/>
                <w:lang w:val="en-US" w:eastAsia="zh-CN"/>
              </w:rPr>
              <w:t>4</w:t>
            </w:r>
            <w:r>
              <w:rPr>
                <w:rFonts w:hint="eastAsia" w:asciiTheme="minorEastAsia" w:hAnsiTheme="minorEastAsia" w:eastAsiaTheme="minorEastAsia" w:cstheme="minorEastAsia"/>
                <w:color w:val="auto"/>
                <w:spacing w:val="-6"/>
                <w:sz w:val="24"/>
                <w:szCs w:val="24"/>
                <w:highlight w:val="none"/>
              </w:rPr>
              <w:t>分；方案及管理制度内容基本合理，可行性一般的得</w:t>
            </w:r>
            <w:r>
              <w:rPr>
                <w:rFonts w:hint="eastAsia" w:asciiTheme="minorEastAsia" w:hAnsiTheme="minorEastAsia" w:eastAsiaTheme="minorEastAsia" w:cstheme="minorEastAsia"/>
                <w:color w:val="auto"/>
                <w:spacing w:val="-6"/>
                <w:sz w:val="24"/>
                <w:szCs w:val="24"/>
                <w:highlight w:val="none"/>
                <w:lang w:val="en-US" w:eastAsia="zh-CN"/>
              </w:rPr>
              <w:t>2</w:t>
            </w:r>
            <w:r>
              <w:rPr>
                <w:rFonts w:hint="eastAsia" w:asciiTheme="minorEastAsia" w:hAnsiTheme="minorEastAsia" w:eastAsiaTheme="minorEastAsia" w:cstheme="minorEastAsia"/>
                <w:color w:val="auto"/>
                <w:spacing w:val="-6"/>
                <w:sz w:val="24"/>
                <w:szCs w:val="24"/>
                <w:highlight w:val="none"/>
              </w:rPr>
              <w:t>分，</w:t>
            </w:r>
            <w:r>
              <w:rPr>
                <w:rFonts w:hint="eastAsia" w:asciiTheme="minorEastAsia" w:hAnsiTheme="minorEastAsia" w:eastAsiaTheme="minorEastAsia" w:cstheme="minorEastAsia"/>
                <w:color w:val="auto"/>
                <w:sz w:val="24"/>
                <w:szCs w:val="24"/>
                <w:highlight w:val="none"/>
              </w:rPr>
              <w:t>可行性差得0分。</w:t>
            </w:r>
          </w:p>
        </w:tc>
        <w:tc>
          <w:tcPr>
            <w:tcW w:w="387"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4</w:t>
            </w:r>
          </w:p>
        </w:tc>
        <w:tc>
          <w:tcPr>
            <w:tcW w:w="585"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主观分</w:t>
            </w:r>
          </w:p>
        </w:tc>
        <w:tc>
          <w:tcPr>
            <w:tcW w:w="809" w:type="pct"/>
            <w:vMerge w:val="continue"/>
            <w:vAlign w:val="center"/>
          </w:tcPr>
          <w:p>
            <w:pPr>
              <w:pageBreakBefore w:val="0"/>
              <w:kinsoku/>
              <w:wordWrap/>
              <w:overflowPunct/>
              <w:topLinePunct w:val="0"/>
              <w:bidi w:val="0"/>
              <w:spacing w:line="360" w:lineRule="auto"/>
              <w:ind w:firstLine="396"/>
              <w:jc w:val="center"/>
              <w:textAlignment w:val="auto"/>
              <w:outlineLvl w:val="0"/>
              <w:rPr>
                <w:rFonts w:hint="eastAsia" w:asciiTheme="minorEastAsia" w:hAnsiTheme="minorEastAsia" w:eastAsiaTheme="minorEastAsia" w:cstheme="minorEastAsia"/>
                <w:color w:val="auto"/>
                <w:spacing w:val="-6"/>
                <w:sz w:val="24"/>
                <w:szCs w:val="24"/>
                <w:highlight w:val="none"/>
              </w:rPr>
            </w:pPr>
          </w:p>
        </w:tc>
        <w:tc>
          <w:tcPr>
            <w:tcW w:w="254" w:type="pct"/>
            <w:vMerge w:val="continue"/>
            <w:tcBorders>
              <w:top w:val="nil"/>
              <w:bottom w:val="nil"/>
              <w:right w:val="nil"/>
            </w:tcBorders>
            <w:vAlign w:val="center"/>
          </w:tcPr>
          <w:p>
            <w:pPr>
              <w:pageBreakBefore w:val="0"/>
              <w:kinsoku/>
              <w:wordWrap/>
              <w:overflowPunct/>
              <w:topLinePunct w:val="0"/>
              <w:bidi w:val="0"/>
              <w:spacing w:line="360" w:lineRule="auto"/>
              <w:ind w:firstLine="396"/>
              <w:jc w:val="center"/>
              <w:textAlignment w:val="auto"/>
              <w:outlineLvl w:val="0"/>
              <w:rPr>
                <w:rFonts w:hint="eastAsia" w:asciiTheme="minorEastAsia" w:hAnsiTheme="minorEastAsia" w:eastAsiaTheme="minorEastAsia" w:cstheme="minorEastAsia"/>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4" w:type="pct"/>
        </w:trPr>
        <w:tc>
          <w:tcPr>
            <w:tcW w:w="385" w:type="pct"/>
            <w:vAlign w:val="center"/>
          </w:tcPr>
          <w:p>
            <w:pPr>
              <w:pageBreakBefore w:val="0"/>
              <w:kinsoku/>
              <w:wordWrap/>
              <w:overflowPunct/>
              <w:topLinePunct w:val="0"/>
              <w:bidi w:val="0"/>
              <w:snapToGrid w:val="0"/>
              <w:spacing w:line="360" w:lineRule="auto"/>
              <w:jc w:val="center"/>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10</w:t>
            </w:r>
          </w:p>
        </w:tc>
        <w:tc>
          <w:tcPr>
            <w:tcW w:w="2577" w:type="pct"/>
            <w:vAlign w:val="center"/>
          </w:tcPr>
          <w:p>
            <w:pPr>
              <w:pageBreakBefore w:val="0"/>
              <w:kinsoku/>
              <w:wordWrap/>
              <w:overflowPunct/>
              <w:topLinePunct w:val="0"/>
              <w:bidi w:val="0"/>
              <w:spacing w:line="360" w:lineRule="auto"/>
              <w:jc w:val="left"/>
              <w:textAlignment w:val="auto"/>
              <w:rPr>
                <w:rFonts w:hint="eastAsia" w:asciiTheme="minorEastAsia" w:hAnsiTheme="minorEastAsia" w:eastAsiaTheme="minorEastAsia" w:cstheme="minorEastAsia"/>
                <w:color w:val="auto"/>
                <w:spacing w:val="-6"/>
                <w:sz w:val="24"/>
                <w:szCs w:val="24"/>
                <w:highlight w:val="none"/>
              </w:rPr>
            </w:pPr>
            <w:r>
              <w:rPr>
                <w:rFonts w:hint="eastAsia" w:asciiTheme="minorEastAsia" w:hAnsiTheme="minorEastAsia" w:eastAsiaTheme="minorEastAsia" w:cstheme="minorEastAsia"/>
                <w:color w:val="auto"/>
                <w:spacing w:val="-6"/>
                <w:sz w:val="24"/>
                <w:szCs w:val="24"/>
                <w:highlight w:val="none"/>
              </w:rPr>
              <w:t>物业服务应急预案，根据投标人提供的突发事件应急措施进行打分：应急措施具体合理，可行性高的得</w:t>
            </w:r>
            <w:r>
              <w:rPr>
                <w:rFonts w:hint="eastAsia" w:asciiTheme="minorEastAsia" w:hAnsiTheme="minorEastAsia" w:eastAsiaTheme="minorEastAsia" w:cstheme="minorEastAsia"/>
                <w:color w:val="auto"/>
                <w:spacing w:val="-6"/>
                <w:sz w:val="24"/>
                <w:szCs w:val="24"/>
                <w:highlight w:val="none"/>
                <w:lang w:val="en-US" w:eastAsia="zh-CN"/>
              </w:rPr>
              <w:t>5</w:t>
            </w:r>
            <w:r>
              <w:rPr>
                <w:rFonts w:hint="eastAsia" w:asciiTheme="minorEastAsia" w:hAnsiTheme="minorEastAsia" w:eastAsiaTheme="minorEastAsia" w:cstheme="minorEastAsia"/>
                <w:color w:val="auto"/>
                <w:spacing w:val="-6"/>
                <w:sz w:val="24"/>
                <w:szCs w:val="24"/>
                <w:highlight w:val="none"/>
              </w:rPr>
              <w:t>分；应急措施基本合理，可行性一般的得</w:t>
            </w:r>
            <w:r>
              <w:rPr>
                <w:rFonts w:hint="eastAsia" w:asciiTheme="minorEastAsia" w:hAnsiTheme="minorEastAsia" w:eastAsiaTheme="minorEastAsia" w:cstheme="minorEastAsia"/>
                <w:color w:val="auto"/>
                <w:spacing w:val="-6"/>
                <w:sz w:val="24"/>
                <w:szCs w:val="24"/>
                <w:highlight w:val="none"/>
                <w:lang w:val="en-US" w:eastAsia="zh-CN"/>
              </w:rPr>
              <w:t>3</w:t>
            </w:r>
            <w:r>
              <w:rPr>
                <w:rFonts w:hint="eastAsia" w:asciiTheme="minorEastAsia" w:hAnsiTheme="minorEastAsia" w:eastAsiaTheme="minorEastAsia" w:cstheme="minorEastAsia"/>
                <w:color w:val="auto"/>
                <w:spacing w:val="-6"/>
                <w:sz w:val="24"/>
                <w:szCs w:val="24"/>
                <w:highlight w:val="none"/>
              </w:rPr>
              <w:t>分，</w:t>
            </w:r>
            <w:r>
              <w:rPr>
                <w:rFonts w:hint="eastAsia" w:asciiTheme="minorEastAsia" w:hAnsiTheme="minorEastAsia" w:eastAsiaTheme="minorEastAsia" w:cstheme="minorEastAsia"/>
                <w:color w:val="auto"/>
                <w:sz w:val="24"/>
                <w:szCs w:val="24"/>
                <w:highlight w:val="none"/>
              </w:rPr>
              <w:t>可行性差得0分。</w:t>
            </w:r>
          </w:p>
        </w:tc>
        <w:tc>
          <w:tcPr>
            <w:tcW w:w="387" w:type="pct"/>
            <w:vAlign w:val="center"/>
          </w:tcPr>
          <w:p>
            <w:pPr>
              <w:pageBreakBefore w:val="0"/>
              <w:kinsoku/>
              <w:wordWrap/>
              <w:overflowPunct/>
              <w:topLinePunct w:val="0"/>
              <w:bidi w:val="0"/>
              <w:spacing w:line="360" w:lineRule="auto"/>
              <w:jc w:val="center"/>
              <w:textAlignment w:val="auto"/>
              <w:outlineLvl w:val="0"/>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585" w:type="pct"/>
            <w:vAlign w:val="center"/>
          </w:tcPr>
          <w:p>
            <w:pPr>
              <w:pageBreakBefore w:val="0"/>
              <w:kinsoku/>
              <w:wordWrap/>
              <w:overflowPunct/>
              <w:topLinePunct w:val="0"/>
              <w:bidi w:val="0"/>
              <w:spacing w:line="360" w:lineRule="auto"/>
              <w:jc w:val="center"/>
              <w:textAlignment w:val="auto"/>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主观分</w:t>
            </w:r>
          </w:p>
        </w:tc>
        <w:tc>
          <w:tcPr>
            <w:tcW w:w="809" w:type="pct"/>
            <w:vAlign w:val="center"/>
          </w:tcPr>
          <w:p>
            <w:pPr>
              <w:bidi w:val="0"/>
              <w:jc w:val="center"/>
              <w:rPr>
                <w:rFonts w:hint="eastAsia" w:asciiTheme="minorEastAsia" w:hAnsiTheme="minorEastAsia" w:eastAsiaTheme="minorEastAsia" w:cstheme="minorEastAsia"/>
                <w:color w:val="auto"/>
                <w:szCs w:val="24"/>
                <w:highlight w:val="none"/>
              </w:rPr>
            </w:pPr>
            <w:r>
              <w:rPr>
                <w:rFonts w:hint="eastAsia"/>
                <w:color w:val="auto"/>
                <w:sz w:val="24"/>
                <w:szCs w:val="24"/>
                <w:highlight w:val="none"/>
              </w:rPr>
              <w:t>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4" w:type="pct"/>
        </w:trPr>
        <w:tc>
          <w:tcPr>
            <w:tcW w:w="385" w:type="pct"/>
            <w:vAlign w:val="center"/>
          </w:tcPr>
          <w:p>
            <w:pPr>
              <w:pageBreakBefore w:val="0"/>
              <w:kinsoku/>
              <w:wordWrap/>
              <w:overflowPunct/>
              <w:topLinePunct w:val="0"/>
              <w:bidi w:val="0"/>
              <w:snapToGrid w:val="0"/>
              <w:spacing w:line="360" w:lineRule="auto"/>
              <w:jc w:val="center"/>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11</w:t>
            </w:r>
          </w:p>
        </w:tc>
        <w:tc>
          <w:tcPr>
            <w:tcW w:w="2577" w:type="pct"/>
            <w:vAlign w:val="center"/>
          </w:tcPr>
          <w:p>
            <w:pPr>
              <w:pStyle w:val="21"/>
              <w:pageBreakBefore w:val="0"/>
              <w:kinsoku/>
              <w:wordWrap/>
              <w:overflowPunct/>
              <w:topLinePunct w:val="0"/>
              <w:bidi w:val="0"/>
              <w:spacing w:line="360" w:lineRule="auto"/>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有效投标报价的最低价作为评标基准价，其最低报价为满分；按［投标报价得分=（评标基准价/投标报价）*最高分值］的计算公式计算。</w:t>
            </w:r>
          </w:p>
          <w:p>
            <w:pPr>
              <w:pStyle w:val="21"/>
              <w:pageBreakBefore w:val="0"/>
              <w:kinsoku/>
              <w:wordWrap/>
              <w:overflowPunct/>
              <w:topLinePunct w:val="0"/>
              <w:bidi w:val="0"/>
              <w:spacing w:line="360" w:lineRule="auto"/>
              <w:textAlignment w:val="auto"/>
              <w:rPr>
                <w:rFonts w:hint="eastAsia" w:ascii="宋体" w:hAnsi="宋体" w:eastAsia="宋体"/>
                <w:color w:val="auto"/>
                <w:sz w:val="24"/>
                <w:highlight w:val="none"/>
                <w:lang w:eastAsia="zh-CN"/>
              </w:rPr>
            </w:pPr>
            <w:r>
              <w:rPr>
                <w:rFonts w:hint="eastAsia" w:ascii="宋体" w:hAnsi="宋体"/>
                <w:color w:val="auto"/>
                <w:sz w:val="24"/>
                <w:highlight w:val="none"/>
              </w:rPr>
              <w:t>评标过程中，不得去掉报价中的最高报价和最低报价。</w:t>
            </w:r>
          </w:p>
          <w:p>
            <w:pPr>
              <w:pStyle w:val="21"/>
              <w:pageBreakBefore w:val="0"/>
              <w:kinsoku/>
              <w:wordWrap/>
              <w:overflowPunct/>
              <w:topLinePunct w:val="0"/>
              <w:bidi w:val="0"/>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宋体" w:hAnsi="宋体"/>
                <w:color w:val="auto"/>
                <w:sz w:val="24"/>
                <w:highlight w:val="none"/>
              </w:rPr>
              <w:t>对于未预留份额专门面向中小企业的政府采购服务项目，以及预留份额政府采购服务项目中的非预留部分标项，对小型和微型企业的投标报价给予X%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X%的扣除，用扣除后的价格参加评审。</w:t>
            </w:r>
          </w:p>
        </w:tc>
        <w:tc>
          <w:tcPr>
            <w:tcW w:w="387" w:type="pct"/>
            <w:vAlign w:val="top"/>
          </w:tcPr>
          <w:p>
            <w:pPr>
              <w:pageBreakBefore w:val="0"/>
              <w:kinsoku/>
              <w:wordWrap/>
              <w:overflowPunct/>
              <w:topLinePunct w:val="0"/>
              <w:bidi w:val="0"/>
              <w:snapToGrid w:val="0"/>
              <w:spacing w:line="360" w:lineRule="auto"/>
              <w:ind w:firstLine="480"/>
              <w:jc w:val="center"/>
              <w:textAlignment w:val="auto"/>
              <w:rPr>
                <w:rFonts w:hint="eastAsia" w:asciiTheme="minorEastAsia" w:hAnsiTheme="minorEastAsia" w:eastAsiaTheme="minorEastAsia" w:cstheme="minorEastAsia"/>
                <w:color w:val="auto"/>
                <w:sz w:val="24"/>
                <w:szCs w:val="24"/>
                <w:highlight w:val="none"/>
              </w:rPr>
            </w:pPr>
          </w:p>
          <w:p>
            <w:pPr>
              <w:pStyle w:val="4"/>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p>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sz w:val="24"/>
                <w:szCs w:val="24"/>
                <w:highlight w:val="none"/>
              </w:rPr>
            </w:pPr>
          </w:p>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50</w:t>
            </w:r>
          </w:p>
        </w:tc>
        <w:tc>
          <w:tcPr>
            <w:tcW w:w="585" w:type="pct"/>
            <w:vAlign w:val="center"/>
          </w:tcPr>
          <w:p>
            <w:pPr>
              <w:pageBreakBefore w:val="0"/>
              <w:kinsoku/>
              <w:wordWrap/>
              <w:overflowPunct/>
              <w:topLinePunct w:val="0"/>
              <w:bidi w:val="0"/>
              <w:snapToGrid w:val="0"/>
              <w:spacing w:line="36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客观分</w:t>
            </w:r>
          </w:p>
        </w:tc>
        <w:tc>
          <w:tcPr>
            <w:tcW w:w="809" w:type="pct"/>
            <w:vAlign w:val="center"/>
          </w:tcPr>
          <w:p>
            <w:pPr>
              <w:pageBreakBefore w:val="0"/>
              <w:kinsoku/>
              <w:wordWrap/>
              <w:overflowPunct/>
              <w:topLinePunct w:val="0"/>
              <w:autoSpaceDE w:val="0"/>
              <w:autoSpaceDN w:val="0"/>
              <w:bidi w:val="0"/>
              <w:spacing w:line="360" w:lineRule="auto"/>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价格</w:t>
            </w: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outlineLvl w:val="1"/>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outlineLvl w:val="1"/>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1"/>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outlineLvl w:val="1"/>
        <w:rPr>
          <w:rFonts w:ascii="宋体" w:hAnsi="宋体" w:cs="宋体"/>
          <w:b/>
          <w:sz w:val="32"/>
        </w:rPr>
      </w:pPr>
      <w:r>
        <w:rPr>
          <w:rFonts w:hint="eastAsia" w:ascii="宋体" w:hAnsi="宋体" w:cs="宋体"/>
          <w:b/>
          <w:sz w:val="32"/>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rPr>
        <w:t>4.2.12投标人仅提交备份投标文件，未在电子交易平台传输递交投标文件</w:t>
      </w:r>
      <w:r>
        <w:rPr>
          <w:rFonts w:hint="eastAsia" w:ascii="宋体" w:hAnsi="宋体" w:cs="宋体"/>
          <w:kern w:val="0"/>
          <w:sz w:val="24"/>
          <w:highlight w:val="none"/>
        </w:rPr>
        <w:t>的，投标无效；</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4.2.13投标人未提供样品或提供的样品不满足采购需求实质性条件的，投标无效；</w:t>
      </w:r>
    </w:p>
    <w:p>
      <w:pPr>
        <w:tabs>
          <w:tab w:val="left" w:pos="432"/>
        </w:tabs>
        <w:ind w:left="430" w:leftChars="205"/>
        <w:outlineLvl w:val="9"/>
        <w:rPr>
          <w:rFonts w:ascii="宋体" w:hAnsi="宋体" w:eastAsia="宋体" w:cs="宋体"/>
          <w:b w:val="0"/>
          <w:bCs w:val="0"/>
          <w:kern w:val="0"/>
          <w:sz w:val="24"/>
          <w:szCs w:val="24"/>
          <w:highlight w:val="none"/>
          <w:lang w:val="en-US"/>
        </w:rPr>
      </w:pPr>
      <w:r>
        <w:rPr>
          <w:rFonts w:hint="eastAsia" w:ascii="宋体" w:hAnsi="宋体" w:eastAsia="宋体" w:cs="宋体"/>
          <w:b w:val="0"/>
          <w:bCs w:val="0"/>
          <w:kern w:val="0"/>
          <w:sz w:val="24"/>
          <w:szCs w:val="24"/>
          <w:highlight w:val="none"/>
          <w:lang w:val="en-US"/>
        </w:rPr>
        <w:t>4.2.14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highlight w:val="none"/>
        </w:rPr>
        <w:t>4.2.15法律、</w:t>
      </w:r>
      <w:r>
        <w:rPr>
          <w:rFonts w:hint="eastAsia" w:ascii="宋体" w:hAnsi="宋体" w:cs="宋体"/>
          <w:kern w:val="0"/>
          <w:sz w:val="24"/>
        </w:rPr>
        <w:t>法规、规章（适用本市的）及省级以上规范性文件（适用本市的）规定的其他无效情形。</w:t>
      </w:r>
    </w:p>
    <w:p>
      <w:pPr>
        <w:pStyle w:val="25"/>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5"/>
        <w:snapToGrid w:val="0"/>
        <w:spacing w:line="360" w:lineRule="auto"/>
        <w:rPr>
          <w:rFonts w:cs="宋体"/>
        </w:rPr>
      </w:pPr>
      <w:r>
        <w:rPr>
          <w:rFonts w:hint="eastAsia" w:cs="宋体"/>
        </w:rPr>
        <w:t>5.1符合专业条件的供应商或者对招标文件作实质响应的供应商不足3家的；</w:t>
      </w:r>
    </w:p>
    <w:p>
      <w:pPr>
        <w:pStyle w:val="25"/>
        <w:snapToGrid w:val="0"/>
        <w:spacing w:line="360" w:lineRule="auto"/>
        <w:rPr>
          <w:rFonts w:cs="宋体"/>
        </w:rPr>
      </w:pPr>
      <w:r>
        <w:rPr>
          <w:rFonts w:hint="eastAsia" w:cs="宋体"/>
        </w:rPr>
        <w:t>5.2出现影响采购公正的违法、违规行为的；</w:t>
      </w:r>
    </w:p>
    <w:p>
      <w:pPr>
        <w:pStyle w:val="25"/>
        <w:snapToGrid w:val="0"/>
        <w:spacing w:line="360" w:lineRule="auto"/>
        <w:rPr>
          <w:rFonts w:cs="宋体"/>
        </w:rPr>
      </w:pPr>
      <w:r>
        <w:rPr>
          <w:rFonts w:hint="eastAsia" w:cs="宋体"/>
        </w:rPr>
        <w:t>5.3投标人的报价均超过了采购预算，采购人不能支付的；</w:t>
      </w:r>
    </w:p>
    <w:p>
      <w:pPr>
        <w:pStyle w:val="25"/>
        <w:snapToGrid w:val="0"/>
        <w:spacing w:line="360" w:lineRule="auto"/>
        <w:rPr>
          <w:rFonts w:cs="宋体"/>
        </w:rPr>
      </w:pPr>
      <w:r>
        <w:rPr>
          <w:rFonts w:hint="eastAsia" w:cs="宋体"/>
        </w:rPr>
        <w:t>5.4因重大变故，采购任务取消的。</w:t>
      </w:r>
    </w:p>
    <w:p>
      <w:pPr>
        <w:pStyle w:val="25"/>
        <w:snapToGrid w:val="0"/>
        <w:spacing w:line="360" w:lineRule="auto"/>
        <w:rPr>
          <w:rFonts w:cs="宋体"/>
        </w:rPr>
      </w:pPr>
      <w:r>
        <w:rPr>
          <w:rFonts w:hint="eastAsia" w:cs="宋体"/>
        </w:rPr>
        <w:t>废标后，采购机构应当将废标理由通知所有投标人。</w:t>
      </w:r>
    </w:p>
    <w:p>
      <w:pPr>
        <w:pStyle w:val="25"/>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5"/>
        <w:snapToGrid w:val="0"/>
        <w:spacing w:line="360" w:lineRule="auto"/>
        <w:rPr>
          <w:rFonts w:cs="宋体"/>
        </w:rPr>
      </w:pPr>
      <w:r>
        <w:rPr>
          <w:rFonts w:hint="eastAsia" w:cs="宋体"/>
        </w:rPr>
        <w:t>7.1未确定中标供应商的，终止本次政府采购活动，重新开展政府采购活动。</w:t>
      </w:r>
    </w:p>
    <w:p>
      <w:pPr>
        <w:pStyle w:val="25"/>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7.4政府采购合同已经履行，给采购人、供应商造成损失的，由责任人承担赔偿责任。</w:t>
      </w:r>
    </w:p>
    <w:p>
      <w:pPr>
        <w:pStyle w:val="25"/>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cs="宋体"/>
        </w:rPr>
      </w:pPr>
    </w:p>
    <w:bookmarkEnd w:id="27"/>
    <w:p>
      <w:pPr>
        <w:widowControl/>
        <w:adjustRightInd/>
        <w:jc w:val="left"/>
        <w:rPr>
          <w:rFonts w:ascii="宋体" w:hAnsi="宋体" w:cs="宋体"/>
          <w:b/>
          <w:sz w:val="36"/>
          <w:szCs w:val="36"/>
        </w:rPr>
      </w:pPr>
      <w:bookmarkStart w:id="393" w:name="第五部分"/>
      <w:bookmarkStart w:id="394" w:name="_Toc86217003"/>
      <w:r>
        <w:rPr>
          <w:rFonts w:ascii="宋体" w:hAnsi="宋体" w:cs="宋体"/>
          <w:b/>
          <w:sz w:val="36"/>
          <w:szCs w:val="36"/>
        </w:rPr>
        <w:br w:type="page"/>
      </w: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outlineLvl w:val="1"/>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699"/>
        <w:ind w:firstLine="2843" w:firstLineChars="1180"/>
        <w:outlineLvl w:val="1"/>
        <w:rPr>
          <w:rFonts w:ascii="宋体" w:hAnsi="宋体" w:cs="宋体"/>
          <w:b/>
          <w:color w:val="auto"/>
          <w:szCs w:val="24"/>
        </w:rPr>
      </w:pPr>
      <w:r>
        <w:rPr>
          <w:rFonts w:hint="eastAsia" w:ascii="宋体" w:hAnsi="宋体" w:cs="宋体"/>
          <w:b/>
          <w:color w:val="auto"/>
          <w:szCs w:val="24"/>
        </w:rPr>
        <w:t>第一部分 合同书</w:t>
      </w:r>
    </w:p>
    <w:p>
      <w:pPr>
        <w:spacing w:before="120" w:line="22" w:lineRule="atLeast"/>
        <w:rPr>
          <w:rFonts w:ascii="宋体" w:hAnsi="宋体" w:cs="宋体"/>
          <w:color w:val="auto"/>
          <w:sz w:val="24"/>
        </w:rPr>
      </w:pPr>
    </w:p>
    <w:p>
      <w:pPr>
        <w:tabs>
          <w:tab w:val="left" w:pos="432"/>
        </w:tabs>
        <w:outlineLvl w:val="9"/>
        <w:rPr>
          <w:color w:val="auto"/>
        </w:rPr>
      </w:pPr>
    </w:p>
    <w:p>
      <w:pPr>
        <w:spacing w:before="120" w:line="22" w:lineRule="atLeast"/>
        <w:ind w:left="960"/>
        <w:rPr>
          <w:rFonts w:ascii="宋体" w:hAnsi="宋体" w:cs="宋体"/>
          <w:color w:val="auto"/>
          <w:sz w:val="24"/>
        </w:rPr>
      </w:pPr>
      <w:r>
        <w:rPr>
          <w:rFonts w:hint="eastAsia" w:ascii="宋体" w:hAnsi="宋体" w:cs="宋体"/>
          <w:color w:val="auto"/>
          <w:sz w:val="24"/>
        </w:rPr>
        <w:t>项目名称：</w:t>
      </w:r>
      <w:r>
        <w:rPr>
          <w:rFonts w:hint="eastAsia" w:ascii="宋体" w:hAnsi="宋体" w:cs="宋体"/>
          <w:color w:val="auto"/>
          <w:sz w:val="24"/>
          <w:u w:val="single"/>
        </w:rPr>
        <w:t xml:space="preserve">                                   </w:t>
      </w:r>
    </w:p>
    <w:p>
      <w:pPr>
        <w:pStyle w:val="596"/>
        <w:spacing w:before="120" w:line="22" w:lineRule="atLeast"/>
        <w:rPr>
          <w:rFonts w:ascii="宋体" w:hAnsi="宋体" w:eastAsia="宋体" w:cs="宋体"/>
          <w:color w:val="auto"/>
          <w:szCs w:val="24"/>
        </w:rPr>
      </w:pPr>
    </w:p>
    <w:p>
      <w:pPr>
        <w:pStyle w:val="596"/>
        <w:spacing w:before="120" w:line="22" w:lineRule="atLeast"/>
        <w:rPr>
          <w:rFonts w:ascii="宋体" w:hAnsi="宋体" w:eastAsia="宋体" w:cs="宋体"/>
          <w:color w:val="auto"/>
          <w:szCs w:val="24"/>
        </w:rPr>
      </w:pPr>
    </w:p>
    <w:p>
      <w:pPr>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甲方：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乙方：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签订地：</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widowControl/>
        <w:jc w:val="left"/>
        <w:rPr>
          <w:rFonts w:ascii="宋体" w:hAnsi="宋体" w:cs="宋体"/>
          <w:color w:val="auto"/>
          <w:kern w:val="0"/>
          <w:sz w:val="24"/>
        </w:rPr>
        <w:sectPr>
          <w:pgSz w:w="11907" w:h="16840"/>
          <w:pgMar w:top="1474" w:right="1814" w:bottom="1474" w:left="1814" w:header="851" w:footer="851" w:gutter="0"/>
          <w:cols w:space="720" w:num="1"/>
        </w:sectPr>
      </w:pP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u w:val="single"/>
          <w:lang w:val="zh-CN"/>
        </w:rPr>
        <w:t xml:space="preserve">        </w:t>
      </w:r>
      <w:r>
        <w:rPr>
          <w:rFonts w:hint="eastAsia" w:asciiTheme="minorEastAsia" w:hAnsiTheme="minorEastAsia" w:eastAsiaTheme="minorEastAsia"/>
          <w:color w:val="auto"/>
          <w:sz w:val="24"/>
          <w:lang w:val="zh-CN"/>
        </w:rPr>
        <w:t>年</w:t>
      </w:r>
      <w:r>
        <w:rPr>
          <w:rFonts w:asciiTheme="minorEastAsia" w:hAnsiTheme="minorEastAsia" w:eastAsiaTheme="minorEastAsia"/>
          <w:color w:val="auto"/>
          <w:sz w:val="24"/>
          <w:u w:val="single"/>
          <w:lang w:val="zh-CN"/>
        </w:rPr>
        <w:t xml:space="preserve">    </w:t>
      </w:r>
      <w:r>
        <w:rPr>
          <w:rFonts w:hint="eastAsia" w:asciiTheme="minorEastAsia" w:hAnsiTheme="minorEastAsia" w:eastAsiaTheme="minorEastAsia"/>
          <w:color w:val="auto"/>
          <w:sz w:val="24"/>
          <w:lang w:val="zh-CN"/>
        </w:rPr>
        <w:t>月</w:t>
      </w:r>
      <w:r>
        <w:rPr>
          <w:rFonts w:asciiTheme="minorEastAsia" w:hAnsiTheme="minorEastAsia" w:eastAsiaTheme="minorEastAsia"/>
          <w:color w:val="auto"/>
          <w:sz w:val="24"/>
          <w:u w:val="single"/>
          <w:lang w:val="zh-CN"/>
        </w:rPr>
        <w:t xml:space="preserve">    </w:t>
      </w:r>
      <w:r>
        <w:rPr>
          <w:rFonts w:hint="eastAsia" w:asciiTheme="minorEastAsia" w:hAnsiTheme="minorEastAsia" w:eastAsiaTheme="minorEastAsia"/>
          <w:color w:val="auto"/>
          <w:sz w:val="24"/>
          <w:lang w:val="zh-CN"/>
        </w:rPr>
        <w:t>日</w:t>
      </w:r>
      <w:r>
        <w:rPr>
          <w:rFonts w:hint="eastAsia" w:asciiTheme="minorEastAsia" w:hAnsiTheme="minorEastAsia" w:eastAsiaTheme="minorEastAsia"/>
          <w:color w:val="auto"/>
          <w:sz w:val="24"/>
        </w:rPr>
        <w:t>，</w:t>
      </w:r>
      <w:r>
        <w:rPr>
          <w:rFonts w:asciiTheme="minorEastAsia" w:hAnsiTheme="minorEastAsia" w:eastAsiaTheme="minorEastAsia"/>
          <w:color w:val="auto"/>
          <w:sz w:val="24"/>
          <w:u w:val="single"/>
        </w:rPr>
        <w:t xml:space="preserve">   </w:t>
      </w:r>
      <w:r>
        <w:rPr>
          <w:rFonts w:hint="eastAsia" w:ascii="宋体" w:hAnsi="宋体" w:cs="宋体"/>
          <w:color w:val="auto"/>
          <w:sz w:val="24"/>
          <w:u w:val="single"/>
        </w:rPr>
        <w:t>（采购人）</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以</w:t>
      </w:r>
      <w:r>
        <w:rPr>
          <w:rFonts w:asciiTheme="minorEastAsia" w:hAnsiTheme="minorEastAsia" w:eastAsiaTheme="minorEastAsia"/>
          <w:color w:val="auto"/>
          <w:sz w:val="24"/>
          <w:u w:val="single"/>
        </w:rPr>
        <w:t xml:space="preserve">   （政府采购方式）  </w:t>
      </w:r>
      <w:r>
        <w:rPr>
          <w:rFonts w:hint="eastAsia" w:asciiTheme="minorEastAsia" w:hAnsiTheme="minorEastAsia" w:eastAsiaTheme="minorEastAsia"/>
          <w:color w:val="auto"/>
          <w:sz w:val="24"/>
        </w:rPr>
        <w:t>对</w:t>
      </w:r>
      <w:r>
        <w:rPr>
          <w:rFonts w:asciiTheme="minorEastAsia" w:hAnsiTheme="minorEastAsia" w:eastAsiaTheme="minorEastAsia"/>
          <w:color w:val="auto"/>
          <w:sz w:val="24"/>
          <w:u w:val="single"/>
        </w:rPr>
        <w:t xml:space="preserve">  </w:t>
      </w:r>
      <w:r>
        <w:rPr>
          <w:rFonts w:hint="eastAsia" w:ascii="宋体" w:hAnsi="宋体" w:cs="宋体"/>
          <w:color w:val="auto"/>
          <w:sz w:val="24"/>
          <w:u w:val="single"/>
        </w:rPr>
        <w:t xml:space="preserve">（项目名称）  </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项目进行了采购。经</w:t>
      </w:r>
      <w:r>
        <w:rPr>
          <w:rFonts w:asciiTheme="minorEastAsia" w:hAnsiTheme="minorEastAsia" w:eastAsiaTheme="minorEastAsia"/>
          <w:color w:val="auto"/>
          <w:sz w:val="24"/>
          <w:u w:val="single"/>
        </w:rPr>
        <w:t xml:space="preserve">   （相关评定主体名称）   </w:t>
      </w:r>
      <w:r>
        <w:rPr>
          <w:rFonts w:hint="eastAsia" w:asciiTheme="minorEastAsia" w:hAnsiTheme="minorEastAsia" w:eastAsiaTheme="minorEastAsia"/>
          <w:color w:val="auto"/>
          <w:sz w:val="24"/>
        </w:rPr>
        <w:t>评定，</w:t>
      </w:r>
      <w:r>
        <w:rPr>
          <w:rFonts w:asciiTheme="minorEastAsia" w:hAnsiTheme="minorEastAsia" w:eastAsiaTheme="minorEastAsia"/>
          <w:color w:val="auto"/>
          <w:sz w:val="24"/>
          <w:u w:val="single"/>
        </w:rPr>
        <w:t xml:space="preserve">   （中标供应商名称） </w:t>
      </w:r>
      <w:r>
        <w:rPr>
          <w:rFonts w:hint="eastAsia" w:asciiTheme="minorEastAsia" w:hAnsiTheme="minorEastAsia" w:eastAsiaTheme="minorEastAsia"/>
          <w:color w:val="auto"/>
          <w:sz w:val="24"/>
        </w:rPr>
        <w:t>为该项目中标供应商。现于中标通知书发出之日起10个工作日内，按照采购文件确定的事项签订本合同。</w:t>
      </w:r>
    </w:p>
    <w:p>
      <w:pPr>
        <w:spacing w:line="56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lang w:val="zh-CN"/>
        </w:rPr>
        <w:t>根据《中华人民共和国民法典》《中华人民共和国政府采购法》等相关法律法规之规定，按照平等、自愿、公平和诚实信用的原则，经</w:t>
      </w:r>
      <w:r>
        <w:rPr>
          <w:rFonts w:asciiTheme="minorEastAsia" w:hAnsiTheme="minorEastAsia" w:eastAsiaTheme="minorEastAsia"/>
          <w:color w:val="auto"/>
          <w:sz w:val="24"/>
          <w:u w:val="single"/>
        </w:rPr>
        <w:t xml:space="preserve">   （采购人）   </w:t>
      </w:r>
      <w:r>
        <w:rPr>
          <w:rFonts w:asciiTheme="minorEastAsia" w:hAnsiTheme="minorEastAsia" w:eastAsiaTheme="minorEastAsia"/>
          <w:color w:val="auto"/>
          <w:sz w:val="24"/>
          <w:lang w:val="zh-CN"/>
        </w:rPr>
        <w:t>(以下简称：甲方)和</w:t>
      </w:r>
      <w:r>
        <w:rPr>
          <w:rFonts w:asciiTheme="minorEastAsia" w:hAnsiTheme="minorEastAsia" w:eastAsiaTheme="minorEastAsia"/>
          <w:color w:val="auto"/>
          <w:sz w:val="24"/>
          <w:u w:val="single"/>
        </w:rPr>
        <w:t xml:space="preserve">   （中标供应商名称）   </w:t>
      </w:r>
      <w:r>
        <w:rPr>
          <w:rFonts w:asciiTheme="minorEastAsia" w:hAnsiTheme="minorEastAsia" w:eastAsiaTheme="minorEastAsia"/>
          <w:color w:val="auto"/>
          <w:sz w:val="24"/>
          <w:lang w:val="zh-CN"/>
        </w:rPr>
        <w:t>(以下简称：乙方)协商一致，约定以下合同</w:t>
      </w:r>
      <w:r>
        <w:rPr>
          <w:rFonts w:hint="eastAsia" w:asciiTheme="minorEastAsia" w:hAnsiTheme="minorEastAsia" w:eastAsiaTheme="minorEastAsia"/>
          <w:color w:val="auto"/>
          <w:sz w:val="24"/>
        </w:rPr>
        <w:t>条款，以兹共同遵守、全面履行。</w:t>
      </w:r>
    </w:p>
    <w:p>
      <w:pPr>
        <w:spacing w:line="560" w:lineRule="exact"/>
        <w:ind w:firstLine="482" w:firstLineChars="200"/>
        <w:outlineLvl w:val="2"/>
        <w:rPr>
          <w:rFonts w:asciiTheme="minorEastAsia" w:hAnsiTheme="minorEastAsia" w:eastAsiaTheme="minorEastAsia"/>
          <w:color w:val="auto"/>
          <w:sz w:val="24"/>
        </w:rPr>
      </w:pPr>
      <w:bookmarkStart w:id="395" w:name="_Toc28855"/>
      <w:bookmarkStart w:id="396" w:name="_Toc20421"/>
      <w:bookmarkStart w:id="397" w:name="_Toc19273"/>
      <w:bookmarkStart w:id="398" w:name="_Toc22967"/>
      <w:bookmarkStart w:id="399" w:name="_Toc15367"/>
      <w:r>
        <w:rPr>
          <w:rFonts w:asciiTheme="minorEastAsia" w:hAnsiTheme="minorEastAsia" w:eastAsiaTheme="minorEastAsia"/>
          <w:b/>
          <w:color w:val="auto"/>
          <w:sz w:val="24"/>
        </w:rPr>
        <w:t xml:space="preserve">1.1 </w:t>
      </w:r>
      <w:r>
        <w:rPr>
          <w:rFonts w:hint="eastAsia" w:asciiTheme="minorEastAsia" w:hAnsiTheme="minorEastAsia" w:eastAsiaTheme="minorEastAsia"/>
          <w:b/>
          <w:color w:val="auto"/>
          <w:sz w:val="24"/>
        </w:rPr>
        <w:t>合同组成部分</w:t>
      </w:r>
      <w:bookmarkEnd w:id="395"/>
      <w:bookmarkEnd w:id="396"/>
      <w:bookmarkEnd w:id="397"/>
      <w:bookmarkEnd w:id="398"/>
      <w:bookmarkEnd w:id="399"/>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1.1.1 </w:t>
      </w:r>
      <w:r>
        <w:rPr>
          <w:rFonts w:hint="eastAsia" w:asciiTheme="minorEastAsia" w:hAnsiTheme="minorEastAsia" w:eastAsiaTheme="minorEastAsia"/>
          <w:sz w:val="24"/>
        </w:rPr>
        <w:t>本合同及其补充合同、变更协议；</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1.1.2 </w:t>
      </w:r>
      <w:r>
        <w:rPr>
          <w:rFonts w:hint="eastAsia" w:asciiTheme="minorEastAsia" w:hAnsiTheme="minorEastAsia" w:eastAsiaTheme="minorEastAsia"/>
          <w:sz w:val="24"/>
        </w:rPr>
        <w:t>中标通知书；</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1.1.3 </w:t>
      </w:r>
      <w:r>
        <w:rPr>
          <w:rFonts w:hint="eastAsia" w:asciiTheme="minorEastAsia" w:hAnsiTheme="minorEastAsia" w:eastAsiaTheme="minorEastAsia"/>
          <w:sz w:val="24"/>
        </w:rPr>
        <w:t>投标文件（含澄清或者说明文件）；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1.1.4 </w:t>
      </w:r>
      <w:r>
        <w:rPr>
          <w:rFonts w:hint="eastAsia" w:asciiTheme="minorEastAsia" w:hAnsiTheme="minorEastAsia" w:eastAsiaTheme="minorEastAsia"/>
          <w:sz w:val="24"/>
        </w:rPr>
        <w:t>招标文件（含澄清或者修改文件）；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1.1.5 </w:t>
      </w:r>
      <w:r>
        <w:rPr>
          <w:rFonts w:hint="eastAsia" w:asciiTheme="minorEastAsia" w:hAnsiTheme="minorEastAsia" w:eastAsiaTheme="minorEastAsia"/>
          <w:sz w:val="24"/>
        </w:rPr>
        <w:t>其他相关采购文件。</w:t>
      </w:r>
    </w:p>
    <w:p>
      <w:pPr>
        <w:spacing w:line="560" w:lineRule="exact"/>
        <w:ind w:firstLine="482" w:firstLineChars="200"/>
        <w:outlineLvl w:val="2"/>
        <w:rPr>
          <w:rFonts w:asciiTheme="minorEastAsia" w:hAnsiTheme="minorEastAsia" w:eastAsiaTheme="minorEastAsia"/>
          <w:b/>
          <w:sz w:val="24"/>
        </w:rPr>
      </w:pPr>
      <w:bookmarkStart w:id="400" w:name="_Toc18585"/>
      <w:bookmarkStart w:id="401" w:name="_Toc6773"/>
      <w:bookmarkStart w:id="402" w:name="_Toc22185"/>
      <w:bookmarkStart w:id="403" w:name="_Toc6311"/>
      <w:bookmarkStart w:id="404" w:name="_Toc2918"/>
      <w:r>
        <w:rPr>
          <w:rFonts w:asciiTheme="minorEastAsia" w:hAnsiTheme="minorEastAsia" w:eastAsiaTheme="minorEastAsia"/>
          <w:b/>
          <w:sz w:val="24"/>
        </w:rPr>
        <w:t xml:space="preserve">1.2 </w:t>
      </w:r>
      <w:r>
        <w:rPr>
          <w:rFonts w:hint="eastAsia" w:asciiTheme="minorEastAsia" w:hAnsiTheme="minorEastAsia" w:eastAsiaTheme="minorEastAsia"/>
          <w:b/>
          <w:sz w:val="24"/>
        </w:rPr>
        <w:t>标的</w:t>
      </w:r>
      <w:bookmarkEnd w:id="400"/>
      <w:bookmarkEnd w:id="401"/>
      <w:bookmarkEnd w:id="402"/>
      <w:bookmarkEnd w:id="403"/>
      <w:bookmarkEnd w:id="404"/>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1.2.1 </w:t>
      </w:r>
      <w:r>
        <w:rPr>
          <w:rFonts w:hint="eastAsia" w:asciiTheme="minorEastAsia" w:hAnsiTheme="minorEastAsia" w:eastAsiaTheme="minorEastAsia"/>
          <w:sz w:val="24"/>
        </w:rPr>
        <w:t>标的</w:t>
      </w:r>
      <w:r>
        <w:rPr>
          <w:rFonts w:asciiTheme="minorEastAsia" w:hAnsiTheme="minorEastAsia" w:eastAsiaTheme="minorEastAsia"/>
          <w:sz w:val="24"/>
        </w:rPr>
        <w:t>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1.2.2 </w:t>
      </w:r>
      <w:r>
        <w:rPr>
          <w:rFonts w:hint="eastAsia" w:asciiTheme="minorEastAsia" w:hAnsiTheme="minorEastAsia" w:eastAsiaTheme="minorEastAsia"/>
          <w:sz w:val="24"/>
        </w:rPr>
        <w:t>标的</w:t>
      </w:r>
      <w:r>
        <w:rPr>
          <w:rFonts w:asciiTheme="minorEastAsia" w:hAnsiTheme="minorEastAsia" w:eastAsiaTheme="minorEastAsia"/>
          <w:sz w:val="24"/>
        </w:rPr>
        <w:t>数量：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1.2.3 </w:t>
      </w:r>
      <w:r>
        <w:rPr>
          <w:rFonts w:hint="eastAsia" w:asciiTheme="minorEastAsia" w:hAnsiTheme="minorEastAsia" w:eastAsiaTheme="minorEastAsia"/>
          <w:sz w:val="24"/>
        </w:rPr>
        <w:t>标的质量：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2" w:firstLineChars="200"/>
        <w:outlineLvl w:val="2"/>
        <w:rPr>
          <w:rFonts w:asciiTheme="minorEastAsia" w:hAnsiTheme="minorEastAsia" w:eastAsiaTheme="minorEastAsia"/>
          <w:b/>
          <w:sz w:val="24"/>
        </w:rPr>
      </w:pPr>
      <w:bookmarkStart w:id="405" w:name="_Toc1386"/>
      <w:bookmarkStart w:id="406" w:name="_Toc5635"/>
      <w:bookmarkStart w:id="407" w:name="_Toc4929"/>
      <w:bookmarkStart w:id="408" w:name="_Toc21124"/>
      <w:bookmarkStart w:id="409" w:name="_Toc13918"/>
      <w:r>
        <w:rPr>
          <w:rFonts w:asciiTheme="minorEastAsia" w:hAnsiTheme="minorEastAsia" w:eastAsiaTheme="minorEastAsia"/>
          <w:b/>
          <w:sz w:val="24"/>
        </w:rPr>
        <w:t>1.3 价款</w:t>
      </w:r>
      <w:bookmarkEnd w:id="405"/>
      <w:bookmarkEnd w:id="406"/>
      <w:bookmarkEnd w:id="407"/>
      <w:bookmarkEnd w:id="408"/>
      <w:bookmarkEnd w:id="40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本合同总价为</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w:t>
      </w:r>
      <w:r>
        <w:rPr>
          <w:rFonts w:asciiTheme="minorEastAsia" w:hAnsiTheme="minorEastAsia" w:eastAsiaTheme="minorEastAsia"/>
          <w:sz w:val="24"/>
        </w:rPr>
        <w:t>元</w:t>
      </w:r>
      <w:r>
        <w:rPr>
          <w:rFonts w:hint="eastAsia" w:asciiTheme="minorEastAsia" w:hAnsiTheme="minorEastAsia" w:eastAsiaTheme="minorEastAsia"/>
          <w:sz w:val="24"/>
        </w:rPr>
        <w:t>（大写：</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元人民币）</w:t>
      </w:r>
      <w:r>
        <w:rPr>
          <w:rFonts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序号</w:t>
            </w:r>
          </w:p>
        </w:tc>
        <w:tc>
          <w:tcPr>
            <w:tcW w:w="3402" w:type="dxa"/>
            <w:vAlign w:val="center"/>
          </w:tcPr>
          <w:p>
            <w:pPr>
              <w:pStyle w:val="317"/>
              <w:spacing w:line="560" w:lineRule="exact"/>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分项名称</w:t>
            </w:r>
          </w:p>
        </w:tc>
        <w:tc>
          <w:tcPr>
            <w:tcW w:w="2552" w:type="dxa"/>
            <w:vAlign w:val="center"/>
          </w:tcPr>
          <w:p>
            <w:pPr>
              <w:pStyle w:val="317"/>
              <w:spacing w:line="56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Theme="minorEastAsia" w:hAnsiTheme="minorEastAsia" w:eastAsiaTheme="minorEastAsia"/>
                <w:sz w:val="24"/>
                <w:szCs w:val="24"/>
              </w:rPr>
            </w:pPr>
          </w:p>
        </w:tc>
        <w:tc>
          <w:tcPr>
            <w:tcW w:w="3402" w:type="dxa"/>
            <w:vAlign w:val="center"/>
          </w:tcPr>
          <w:p>
            <w:pPr>
              <w:pStyle w:val="317"/>
              <w:spacing w:line="560" w:lineRule="exact"/>
              <w:ind w:firstLine="200"/>
              <w:jc w:val="center"/>
              <w:rPr>
                <w:rFonts w:asciiTheme="minorEastAsia" w:hAnsiTheme="minorEastAsia" w:eastAsiaTheme="minorEastAsia"/>
                <w:sz w:val="24"/>
                <w:szCs w:val="24"/>
              </w:rPr>
            </w:pPr>
          </w:p>
        </w:tc>
        <w:tc>
          <w:tcPr>
            <w:tcW w:w="2552" w:type="dxa"/>
            <w:vAlign w:val="center"/>
          </w:tcPr>
          <w:p>
            <w:pPr>
              <w:pStyle w:val="317"/>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Theme="minorEastAsia" w:hAnsiTheme="minorEastAsia" w:eastAsiaTheme="minorEastAsia"/>
                <w:sz w:val="24"/>
                <w:szCs w:val="24"/>
              </w:rPr>
            </w:pPr>
          </w:p>
        </w:tc>
        <w:tc>
          <w:tcPr>
            <w:tcW w:w="3402" w:type="dxa"/>
            <w:vAlign w:val="center"/>
          </w:tcPr>
          <w:p>
            <w:pPr>
              <w:pStyle w:val="317"/>
              <w:spacing w:line="560" w:lineRule="exact"/>
              <w:ind w:firstLine="200"/>
              <w:jc w:val="center"/>
              <w:rPr>
                <w:rFonts w:asciiTheme="minorEastAsia" w:hAnsiTheme="minorEastAsia" w:eastAsiaTheme="minorEastAsia"/>
                <w:sz w:val="24"/>
                <w:szCs w:val="24"/>
              </w:rPr>
            </w:pPr>
          </w:p>
        </w:tc>
        <w:tc>
          <w:tcPr>
            <w:tcW w:w="2552" w:type="dxa"/>
            <w:vAlign w:val="center"/>
          </w:tcPr>
          <w:p>
            <w:pPr>
              <w:pStyle w:val="317"/>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Theme="minorEastAsia" w:hAnsiTheme="minorEastAsia" w:eastAsiaTheme="minorEastAsia"/>
                <w:sz w:val="24"/>
                <w:szCs w:val="24"/>
              </w:rPr>
            </w:pPr>
          </w:p>
        </w:tc>
        <w:tc>
          <w:tcPr>
            <w:tcW w:w="3402" w:type="dxa"/>
            <w:vAlign w:val="center"/>
          </w:tcPr>
          <w:p>
            <w:pPr>
              <w:pStyle w:val="317"/>
              <w:spacing w:line="560" w:lineRule="exact"/>
              <w:ind w:firstLine="200"/>
              <w:jc w:val="center"/>
              <w:rPr>
                <w:rFonts w:asciiTheme="minorEastAsia" w:hAnsiTheme="minorEastAsia" w:eastAsiaTheme="minorEastAsia"/>
                <w:sz w:val="24"/>
                <w:szCs w:val="24"/>
              </w:rPr>
            </w:pPr>
          </w:p>
        </w:tc>
        <w:tc>
          <w:tcPr>
            <w:tcW w:w="2552" w:type="dxa"/>
            <w:vAlign w:val="center"/>
          </w:tcPr>
          <w:p>
            <w:pPr>
              <w:pStyle w:val="317"/>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asciiTheme="minorEastAsia" w:hAnsiTheme="minorEastAsia" w:eastAsiaTheme="minorEastAsia"/>
                <w:sz w:val="24"/>
                <w:szCs w:val="24"/>
              </w:rPr>
            </w:pPr>
          </w:p>
        </w:tc>
        <w:tc>
          <w:tcPr>
            <w:tcW w:w="3402" w:type="dxa"/>
            <w:vAlign w:val="center"/>
          </w:tcPr>
          <w:p>
            <w:pPr>
              <w:pStyle w:val="317"/>
              <w:spacing w:line="560" w:lineRule="exact"/>
              <w:ind w:firstLine="200"/>
              <w:jc w:val="center"/>
              <w:rPr>
                <w:rFonts w:asciiTheme="minorEastAsia" w:hAnsiTheme="minorEastAsia" w:eastAsiaTheme="minorEastAsia"/>
                <w:sz w:val="24"/>
                <w:szCs w:val="24"/>
              </w:rPr>
            </w:pPr>
          </w:p>
        </w:tc>
        <w:tc>
          <w:tcPr>
            <w:tcW w:w="2552" w:type="dxa"/>
            <w:vAlign w:val="center"/>
          </w:tcPr>
          <w:p>
            <w:pPr>
              <w:pStyle w:val="317"/>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总价</w:t>
            </w:r>
          </w:p>
        </w:tc>
        <w:tc>
          <w:tcPr>
            <w:tcW w:w="2552" w:type="dxa"/>
            <w:vAlign w:val="center"/>
          </w:tcPr>
          <w:p>
            <w:pPr>
              <w:pStyle w:val="317"/>
              <w:spacing w:line="560" w:lineRule="exact"/>
              <w:ind w:firstLine="200"/>
              <w:jc w:val="center"/>
              <w:rPr>
                <w:rFonts w:asciiTheme="minorEastAsia" w:hAnsiTheme="minorEastAsia" w:eastAsiaTheme="minorEastAsia"/>
                <w:sz w:val="24"/>
                <w:szCs w:val="24"/>
              </w:rPr>
            </w:pPr>
          </w:p>
        </w:tc>
      </w:tr>
    </w:tbl>
    <w:p>
      <w:pPr>
        <w:spacing w:line="560" w:lineRule="exact"/>
        <w:ind w:firstLine="482" w:firstLineChars="200"/>
        <w:outlineLvl w:val="2"/>
        <w:rPr>
          <w:rFonts w:asciiTheme="minorEastAsia" w:hAnsiTheme="minorEastAsia" w:eastAsiaTheme="minorEastAsia"/>
          <w:b/>
          <w:sz w:val="24"/>
        </w:rPr>
      </w:pPr>
      <w:bookmarkStart w:id="410" w:name="_Toc26916"/>
      <w:bookmarkStart w:id="411" w:name="_Toc30506"/>
      <w:bookmarkStart w:id="412" w:name="_Toc30158"/>
      <w:bookmarkStart w:id="413" w:name="_Toc14993"/>
      <w:bookmarkStart w:id="414" w:name="_Toc3654"/>
      <w:r>
        <w:rPr>
          <w:rFonts w:asciiTheme="minorEastAsia" w:hAnsiTheme="minorEastAsia" w:eastAsiaTheme="minorEastAsia"/>
          <w:b/>
          <w:sz w:val="24"/>
        </w:rPr>
        <w:t>1.4 付款方式和发票开具方式</w:t>
      </w:r>
      <w:bookmarkEnd w:id="410"/>
      <w:bookmarkEnd w:id="411"/>
      <w:bookmarkEnd w:id="412"/>
      <w:bookmarkEnd w:id="413"/>
      <w:bookmarkEnd w:id="414"/>
    </w:p>
    <w:p>
      <w:pPr>
        <w:pStyle w:val="957"/>
        <w:spacing w:before="0" w:beforeAutospacing="0" w:after="0" w:afterAutospacing="0" w:line="360" w:lineRule="auto"/>
        <w:ind w:firstLine="480"/>
        <w:rPr>
          <w:rFonts w:cs="Times New Roman" w:asciiTheme="minorEastAsia" w:hAnsiTheme="minorEastAsia" w:eastAsiaTheme="minorEastAsia"/>
        </w:rPr>
      </w:pPr>
      <w:r>
        <w:rPr>
          <w:rFonts w:cs="Times New Roman" w:asciiTheme="minorEastAsia" w:hAnsiTheme="minorEastAsia" w:eastAsiaTheme="minorEastAsia"/>
        </w:rPr>
        <w:t>1.4.1</w:t>
      </w:r>
      <w:r>
        <w:rPr>
          <w:rFonts w:hint="eastAsia" w:cs="Times New Roman" w:asciiTheme="minorEastAsia" w:hAnsiTheme="minorEastAsia" w:eastAsiaTheme="minorEastAsia"/>
        </w:rPr>
        <w:t>甲方应严格履行合同，及时组织验收，验收合格后及时将合同款支付完毕。对于满足合同约定支付条件的，甲方自收到发票后</w:t>
      </w:r>
      <w:r>
        <w:rPr>
          <w:rFonts w:cs="Times New Roman" w:asciiTheme="minorEastAsia" w:hAnsiTheme="minorEastAsia" w:eastAsiaTheme="minorEastAsia"/>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1.4.2 </w:t>
      </w:r>
      <w:r>
        <w:rPr>
          <w:rFonts w:hint="eastAsia" w:asciiTheme="minorEastAsia" w:hAnsiTheme="minorEastAsia" w:eastAsiaTheme="minorEastAsia"/>
          <w:sz w:val="24"/>
        </w:rPr>
        <w:t>合同预付款比例为合同金额的</w:t>
      </w:r>
      <w:r>
        <w:rPr>
          <w:rFonts w:asciiTheme="minorEastAsia" w:hAnsiTheme="minorEastAsia" w:eastAsiaTheme="minorEastAsia"/>
          <w:sz w:val="24"/>
        </w:rPr>
        <w:t>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hint="eastAsia" w:asciiTheme="minorEastAsia" w:hAnsiTheme="minorEastAsia" w:eastAsiaTheme="minorEastAsia"/>
          <w:sz w:val="24"/>
        </w:rPr>
        <w:t>5</w:t>
      </w:r>
      <w:r>
        <w:rPr>
          <w:rFonts w:asciiTheme="minorEastAsia" w:hAnsiTheme="minorEastAsia" w:eastAsiaTheme="minorEastAsia"/>
          <w:sz w:val="24"/>
        </w:rPr>
        <w:t>个工作日内支付。</w:t>
      </w:r>
      <w:r>
        <w:rPr>
          <w:rFonts w:hint="eastAsia" w:asciiTheme="minorEastAsia" w:hAnsiTheme="minorEastAsia" w:eastAsiaTheme="minorEastAsia"/>
          <w:sz w:val="24"/>
        </w:rPr>
        <w:t>政府采购工程以及与工程建设有关的货物、服务，采用招标方式采购的，预付款从其相关规定。乙方可登录政采云前台大厅选择金融服务</w:t>
      </w:r>
      <w:r>
        <w:rPr>
          <w:rFonts w:asciiTheme="minorEastAsia" w:hAnsiTheme="minorEastAsia" w:eastAsiaTheme="minorEastAsia"/>
          <w:sz w:val="24"/>
        </w:rPr>
        <w:t xml:space="preserve"> - </w:t>
      </w:r>
      <w:r>
        <w:rPr>
          <w:rFonts w:hint="eastAsia" w:asciiTheme="minorEastAsia" w:hAnsiTheme="minorEastAsia" w:eastAsiaTheme="minorEastAsia"/>
          <w:sz w:val="24"/>
        </w:rPr>
        <w:t>【保函保险服务】出具预付款保函，具体步骤：选择产品—填写供应商信息—选择中标项目—确认信息—等待保险</w:t>
      </w:r>
      <w:r>
        <w:rPr>
          <w:rFonts w:asciiTheme="minorEastAsia" w:hAnsiTheme="minorEastAsia" w:eastAsiaTheme="minorEastAsia"/>
          <w:sz w:val="24"/>
        </w:rPr>
        <w:t>/保函受理—确认保单—支付保费—成功出单。政</w:t>
      </w:r>
      <w:r>
        <w:rPr>
          <w:rFonts w:hint="eastAsia" w:asciiTheme="minorEastAsia" w:hAnsiTheme="minorEastAsia" w:eastAsiaTheme="minorEastAsia"/>
          <w:sz w:val="24"/>
        </w:rPr>
        <w:t>采云金融专线</w:t>
      </w:r>
      <w:r>
        <w:rPr>
          <w:rFonts w:asciiTheme="minorEastAsia" w:hAnsiTheme="minorEastAsia" w:eastAsiaTheme="minorEastAsia"/>
          <w:sz w:val="24"/>
        </w:rPr>
        <w:t>400-903-9583。</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1.4.3</w:t>
      </w:r>
      <w:r>
        <w:rPr>
          <w:rFonts w:hint="eastAsia" w:asciiTheme="minorEastAsia" w:hAnsiTheme="minorEastAsia" w:eastAsiaTheme="minorEastAsia"/>
          <w:sz w:val="24"/>
        </w:rPr>
        <w:t>甲方迟延支付乙方款项的，向乙方支付逾期利息。双方可以在合同专用条款中约定逾期利率，约定利率不得低于合同订立时</w:t>
      </w:r>
      <w:r>
        <w:rPr>
          <w:rFonts w:asciiTheme="minorEastAsia" w:hAnsiTheme="minorEastAsia" w:eastAsiaTheme="minorEastAsia"/>
          <w:sz w:val="24"/>
        </w:rPr>
        <w:t>1年</w:t>
      </w:r>
      <w:r>
        <w:rPr>
          <w:rFonts w:hint="eastAsia" w:asciiTheme="minorEastAsia" w:hAnsiTheme="minorEastAsia" w:eastAsiaTheme="minorEastAsia"/>
          <w:sz w:val="24"/>
        </w:rPr>
        <w:t>期贷款市场报价利率；未作约定的，按照每日利率万分之五支付逾期利息。</w:t>
      </w:r>
    </w:p>
    <w:p>
      <w:pPr>
        <w:spacing w:line="560" w:lineRule="exact"/>
        <w:ind w:firstLine="480" w:firstLineChars="200"/>
        <w:outlineLvl w:val="2"/>
        <w:rPr>
          <w:rFonts w:asciiTheme="minorEastAsia" w:hAnsiTheme="minorEastAsia" w:eastAsiaTheme="minorEastAsia"/>
          <w:sz w:val="24"/>
        </w:rPr>
      </w:pPr>
      <w:r>
        <w:rPr>
          <w:rFonts w:asciiTheme="minorEastAsia" w:hAnsiTheme="minorEastAsia" w:eastAsiaTheme="minorEastAsia"/>
          <w:sz w:val="24"/>
        </w:rPr>
        <w:t>1.4.4资金支付的方式、时间和条件详见</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outlineLvl w:val="2"/>
        <w:rPr>
          <w:rFonts w:asciiTheme="minorEastAsia" w:hAnsiTheme="minorEastAsia" w:eastAsiaTheme="minorEastAsia"/>
          <w:sz w:val="24"/>
        </w:rPr>
      </w:pPr>
      <w:r>
        <w:rPr>
          <w:rFonts w:asciiTheme="minorEastAsia" w:hAnsiTheme="minorEastAsia" w:eastAsiaTheme="minorEastAsia"/>
          <w:sz w:val="24"/>
        </w:rPr>
        <w:t>1.4.5</w:t>
      </w:r>
      <w:r>
        <w:rPr>
          <w:rFonts w:hint="eastAsia" w:asciiTheme="minorEastAsia" w:hAnsiTheme="minorEastAsia" w:eastAsiaTheme="minorEastAsia"/>
          <w:sz w:val="24"/>
        </w:rPr>
        <w:t>乙方</w:t>
      </w:r>
      <w:r>
        <w:rPr>
          <w:rFonts w:asciiTheme="minorEastAsia" w:hAnsiTheme="minorEastAsia" w:eastAsiaTheme="minorEastAsia"/>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Theme="minorEastAsia" w:hAnsiTheme="minorEastAsia" w:eastAsiaTheme="minorEastAsia"/>
          <w:sz w:val="24"/>
        </w:rPr>
        <w:t>杭财采监〔</w:t>
      </w:r>
      <w:r>
        <w:rPr>
          <w:rFonts w:asciiTheme="minorEastAsia" w:hAnsiTheme="minorEastAsia" w:eastAsiaTheme="minorEastAsia"/>
          <w:sz w:val="24"/>
        </w:rPr>
        <w:t>2021〕17号）。</w:t>
      </w:r>
    </w:p>
    <w:p>
      <w:pPr>
        <w:spacing w:line="560" w:lineRule="exact"/>
        <w:ind w:firstLine="482" w:firstLineChars="200"/>
        <w:outlineLvl w:val="2"/>
        <w:rPr>
          <w:rFonts w:asciiTheme="minorEastAsia" w:hAnsiTheme="minorEastAsia" w:eastAsiaTheme="minorEastAsia"/>
          <w:b/>
          <w:sz w:val="24"/>
        </w:rPr>
      </w:pPr>
      <w:bookmarkStart w:id="415" w:name="_Toc31421"/>
      <w:bookmarkStart w:id="416" w:name="_Toc3625"/>
      <w:bookmarkStart w:id="417" w:name="_Toc8772"/>
      <w:bookmarkStart w:id="418" w:name="_Toc4760"/>
      <w:bookmarkStart w:id="419" w:name="_Toc11108"/>
      <w:r>
        <w:rPr>
          <w:rFonts w:asciiTheme="minorEastAsia" w:hAnsiTheme="minorEastAsia" w:eastAsiaTheme="minorEastAsia"/>
          <w:b/>
          <w:sz w:val="24"/>
        </w:rPr>
        <w:t>1.5 履行期限</w:t>
      </w:r>
      <w:r>
        <w:rPr>
          <w:rFonts w:hint="eastAsia" w:asciiTheme="minorEastAsia" w:hAnsiTheme="minorEastAsia" w:eastAsiaTheme="minorEastAsia"/>
          <w:b/>
          <w:sz w:val="24"/>
        </w:rPr>
        <w:t>、地点和方式</w:t>
      </w:r>
      <w:bookmarkEnd w:id="415"/>
      <w:bookmarkEnd w:id="416"/>
      <w:bookmarkEnd w:id="417"/>
      <w:bookmarkEnd w:id="418"/>
      <w:bookmarkEnd w:id="419"/>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1.5.1 </w:t>
      </w:r>
      <w:r>
        <w:rPr>
          <w:rFonts w:hint="eastAsia" w:asciiTheme="minorEastAsia" w:hAnsiTheme="minorEastAsia" w:eastAsiaTheme="minorEastAsia"/>
          <w:sz w:val="24"/>
        </w:rPr>
        <w:t>履行期限</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1.5.2 </w:t>
      </w:r>
      <w:r>
        <w:rPr>
          <w:rFonts w:hint="eastAsia" w:asciiTheme="minorEastAsia" w:hAnsiTheme="minorEastAsia" w:eastAsiaTheme="minorEastAsia"/>
          <w:sz w:val="24"/>
        </w:rPr>
        <w:t>履行地点</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1.5.3 </w:t>
      </w:r>
      <w:r>
        <w:rPr>
          <w:rFonts w:hint="eastAsia" w:asciiTheme="minorEastAsia" w:hAnsiTheme="minorEastAsia" w:eastAsiaTheme="minorEastAsia"/>
          <w:sz w:val="24"/>
        </w:rPr>
        <w:t>履行方式：</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2" w:firstLineChars="200"/>
        <w:outlineLvl w:val="2"/>
        <w:rPr>
          <w:rFonts w:asciiTheme="minorEastAsia" w:hAnsiTheme="minorEastAsia" w:eastAsiaTheme="minorEastAsia"/>
          <w:sz w:val="24"/>
          <w:u w:val="single"/>
        </w:rPr>
      </w:pPr>
      <w:bookmarkStart w:id="420" w:name="_Toc24662"/>
      <w:bookmarkStart w:id="421" w:name="_Toc2375"/>
      <w:bookmarkStart w:id="422" w:name="_Toc5698"/>
      <w:bookmarkStart w:id="423" w:name="_Toc3079"/>
      <w:bookmarkStart w:id="424" w:name="_Toc8586"/>
      <w:r>
        <w:rPr>
          <w:rFonts w:asciiTheme="minorEastAsia" w:hAnsiTheme="minorEastAsia" w:eastAsiaTheme="minorEastAsia"/>
          <w:b/>
          <w:sz w:val="24"/>
        </w:rPr>
        <w:t xml:space="preserve">1.6 </w:t>
      </w:r>
      <w:r>
        <w:rPr>
          <w:rFonts w:hint="eastAsia" w:asciiTheme="minorEastAsia" w:hAnsiTheme="minorEastAsia" w:eastAsiaTheme="minorEastAsia"/>
          <w:b/>
          <w:sz w:val="24"/>
        </w:rPr>
        <w:t>违约责任</w:t>
      </w:r>
      <w:bookmarkEnd w:id="420"/>
      <w:bookmarkEnd w:id="421"/>
      <w:bookmarkEnd w:id="422"/>
      <w:bookmarkEnd w:id="423"/>
      <w:bookmarkEnd w:id="424"/>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1.6.1 除不可抗力外，如果乙方没有按照本合同约定的期限</w:t>
      </w:r>
      <w:r>
        <w:rPr>
          <w:rFonts w:hint="eastAsia" w:asciiTheme="minorEastAsia" w:hAnsiTheme="minorEastAsia" w:eastAsiaTheme="minorEastAsia"/>
          <w:sz w:val="24"/>
        </w:rPr>
        <w:t>、</w:t>
      </w:r>
      <w:r>
        <w:rPr>
          <w:rFonts w:asciiTheme="minorEastAsia" w:hAnsiTheme="minorEastAsia" w:eastAsiaTheme="minorEastAsia"/>
          <w:sz w:val="24"/>
        </w:rPr>
        <w:t>地点和方式</w:t>
      </w:r>
      <w:r>
        <w:rPr>
          <w:rFonts w:hint="eastAsia" w:asciiTheme="minorEastAsia" w:hAnsiTheme="minorEastAsia" w:eastAsiaTheme="minorEastAsia"/>
          <w:sz w:val="24"/>
        </w:rPr>
        <w:t>履行</w:t>
      </w:r>
      <w:r>
        <w:rPr>
          <w:rFonts w:asciiTheme="minorEastAsia" w:hAnsiTheme="minorEastAsia" w:eastAsiaTheme="minorEastAsia"/>
          <w:sz w:val="24"/>
        </w:rPr>
        <w:t>，那么甲方可要求乙方支付违约金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履行</w:t>
      </w:r>
      <w:r>
        <w:rPr>
          <w:rFonts w:asciiTheme="minorEastAsia" w:hAnsiTheme="minorEastAsia" w:eastAsiaTheme="minorEastAsia"/>
          <w:sz w:val="24"/>
        </w:rPr>
        <w:t>一日的应提供而未</w:t>
      </w:r>
      <w:r>
        <w:rPr>
          <w:rFonts w:hint="eastAsia" w:asciiTheme="minorEastAsia" w:hAnsiTheme="minorEastAsia" w:eastAsiaTheme="minorEastAsia"/>
          <w:sz w:val="24"/>
        </w:rPr>
        <w:t>提供</w:t>
      </w:r>
      <w:r>
        <w:rPr>
          <w:rFonts w:asciiTheme="minorEastAsia" w:hAnsiTheme="minorEastAsia" w:eastAsiaTheme="minorEastAsia"/>
          <w:sz w:val="24"/>
        </w:rPr>
        <w:t>服务价格的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合同总价的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履行</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w:t>
      </w:r>
      <w:r>
        <w:rPr>
          <w:rFonts w:asciiTheme="minorEastAsia" w:hAnsiTheme="minorEastAsia" w:eastAsiaTheme="minorEastAsia"/>
          <w:sz w:val="24"/>
        </w:rPr>
        <w:t>甲方有权在要求乙方支付违约金的同时</w:t>
      </w:r>
      <w:r>
        <w:rPr>
          <w:rFonts w:hint="eastAsia" w:asciiTheme="minorEastAsia" w:hAnsiTheme="minorEastAsia" w:eastAsiaTheme="minorEastAsia"/>
          <w:sz w:val="24"/>
        </w:rPr>
        <w:t>，书面通知乙方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1.6.2 除不可抗力外，如果甲方没有按照本合同约定的付款方式付款，那么乙方可要求甲方支付违约金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付款</w:t>
      </w:r>
      <w:r>
        <w:rPr>
          <w:rFonts w:asciiTheme="minorEastAsia" w:hAnsiTheme="minorEastAsia" w:eastAsiaTheme="minorEastAsia"/>
          <w:sz w:val="24"/>
        </w:rPr>
        <w:t>一日的应付而未付款的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合同总价的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付款</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，乙</w:t>
      </w:r>
      <w:r>
        <w:rPr>
          <w:rFonts w:asciiTheme="minorEastAsia" w:hAnsiTheme="minorEastAsia" w:eastAsiaTheme="minorEastAsia"/>
          <w:sz w:val="24"/>
        </w:rPr>
        <w:t>方有权在要求甲方支付违约金的同时</w:t>
      </w:r>
      <w:r>
        <w:rPr>
          <w:rFonts w:hint="eastAsia" w:asciiTheme="minorEastAsia" w:hAnsiTheme="minorEastAsia" w:eastAsiaTheme="minorEastAsia"/>
          <w:sz w:val="24"/>
        </w:rPr>
        <w:t>，书面通知甲方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1.6.3 </w:t>
      </w:r>
      <w:r>
        <w:rPr>
          <w:rFonts w:hint="eastAsia" w:asciiTheme="minorEastAsia" w:hAnsiTheme="minorEastAsia" w:eastAsiaTheme="minor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1.6.4 </w:t>
      </w:r>
      <w:r>
        <w:rPr>
          <w:rFonts w:hint="eastAsia" w:asciiTheme="minorEastAsia" w:hAnsiTheme="minorEastAsia" w:eastAsiaTheme="minor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1.6.5 </w:t>
      </w:r>
      <w:r>
        <w:rPr>
          <w:rFonts w:hint="eastAsia" w:asciiTheme="minorEastAsia" w:hAnsiTheme="minorEastAsia" w:eastAsiaTheme="minor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1.6.6 </w:t>
      </w:r>
      <w:r>
        <w:rPr>
          <w:rFonts w:hint="eastAsia" w:asciiTheme="minorEastAsia" w:hAnsiTheme="minorEastAsia" w:eastAsiaTheme="minorEastAsia"/>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Theme="minorEastAsia" w:hAnsiTheme="minorEastAsia" w:eastAsiaTheme="minorEastAsia"/>
        </w:rPr>
      </w:pPr>
      <w:r>
        <w:rPr>
          <w:rFonts w:asciiTheme="minorEastAsia" w:hAnsiTheme="minorEastAsia" w:eastAsiaTheme="minorEastAsia"/>
          <w:sz w:val="24"/>
        </w:rPr>
        <w:t>1.6.7违约责任</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另有约定的，从其约定。</w:t>
      </w:r>
    </w:p>
    <w:p>
      <w:pPr>
        <w:spacing w:line="560" w:lineRule="exact"/>
        <w:ind w:firstLine="482" w:firstLineChars="200"/>
        <w:outlineLvl w:val="2"/>
        <w:rPr>
          <w:rFonts w:asciiTheme="minorEastAsia" w:hAnsiTheme="minorEastAsia" w:eastAsiaTheme="minorEastAsia"/>
          <w:b/>
          <w:sz w:val="24"/>
        </w:rPr>
      </w:pPr>
      <w:bookmarkStart w:id="425" w:name="_Toc32454"/>
      <w:bookmarkStart w:id="426" w:name="_Toc30329"/>
      <w:bookmarkStart w:id="427" w:name="_Toc26807"/>
      <w:bookmarkStart w:id="428" w:name="_Toc9497"/>
      <w:bookmarkStart w:id="429" w:name="_Toc18683"/>
      <w:r>
        <w:rPr>
          <w:rFonts w:asciiTheme="minorEastAsia" w:hAnsiTheme="minorEastAsia" w:eastAsiaTheme="minorEastAsia"/>
          <w:b/>
          <w:sz w:val="24"/>
        </w:rPr>
        <w:t xml:space="preserve">1.7 </w:t>
      </w:r>
      <w:r>
        <w:rPr>
          <w:rFonts w:hint="eastAsia" w:asciiTheme="minorEastAsia" w:hAnsiTheme="minorEastAsia" w:eastAsiaTheme="minorEastAsia"/>
          <w:b/>
          <w:sz w:val="24"/>
        </w:rPr>
        <w:t>合同</w:t>
      </w:r>
      <w:r>
        <w:rPr>
          <w:rFonts w:asciiTheme="minorEastAsia" w:hAnsiTheme="minorEastAsia" w:eastAsiaTheme="minorEastAsia"/>
          <w:b/>
          <w:sz w:val="24"/>
        </w:rPr>
        <w:t>争议的解决</w:t>
      </w:r>
      <w:bookmarkEnd w:id="425"/>
      <w:bookmarkEnd w:id="426"/>
      <w:bookmarkEnd w:id="427"/>
      <w:bookmarkEnd w:id="428"/>
      <w:bookmarkEnd w:id="429"/>
    </w:p>
    <w:p>
      <w:pPr>
        <w:spacing w:line="560" w:lineRule="exact"/>
        <w:ind w:left="-61" w:leftChars="-29" w:right="-420" w:rightChars="-200" w:firstLine="240" w:firstLineChars="100"/>
        <w:rPr>
          <w:rFonts w:asciiTheme="minorEastAsia" w:hAnsiTheme="minorEastAsia" w:eastAsiaTheme="minorEastAsia"/>
          <w:sz w:val="24"/>
        </w:rPr>
      </w:pPr>
      <w:r>
        <w:rPr>
          <w:rFonts w:hint="eastAsia" w:asciiTheme="minorEastAsia" w:hAnsiTheme="minorEastAsia" w:eastAsiaTheme="minorEastAsia"/>
          <w:sz w:val="24"/>
        </w:rPr>
        <w:t>本合同履行过程中发生的任何争议，双方当事人均可通过和解或者调解解决；不愿和解、调解或者和解、调解不成的，可以选择以下第</w:t>
      </w:r>
      <w:r>
        <w:rPr>
          <w:rFonts w:asciiTheme="minorEastAsia" w:hAnsiTheme="minorEastAsia" w:eastAsiaTheme="minorEastAsia"/>
          <w:b/>
          <w:i/>
          <w:sz w:val="24"/>
          <w:u w:val="single"/>
        </w:rPr>
        <w:t xml:space="preserve"> 合同专用条款  </w:t>
      </w:r>
      <w:r>
        <w:rPr>
          <w:rFonts w:hint="eastAsia" w:asciiTheme="minorEastAsia" w:hAnsiTheme="minorEastAsia" w:eastAsiaTheme="minorEastAsia"/>
          <w:sz w:val="24"/>
        </w:rPr>
        <w:t>条款规定的方式解决：</w:t>
      </w:r>
    </w:p>
    <w:p>
      <w:pPr>
        <w:spacing w:line="560" w:lineRule="exact"/>
        <w:ind w:left="-420" w:leftChars="-200" w:right="-42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1.7.1 </w:t>
      </w:r>
      <w:r>
        <w:rPr>
          <w:rFonts w:hint="eastAsia" w:asciiTheme="minorEastAsia" w:hAnsiTheme="minorEastAsia" w:eastAsiaTheme="minorEastAsia"/>
          <w:sz w:val="24"/>
        </w:rPr>
        <w:t>将争议提交</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仲裁委员会依申请仲裁时其现行有效的仲裁规则裁决；</w:t>
      </w:r>
    </w:p>
    <w:p>
      <w:pPr>
        <w:spacing w:line="560" w:lineRule="exact"/>
        <w:ind w:left="-420" w:leftChars="-200" w:right="-42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1.7.2 </w:t>
      </w:r>
      <w:r>
        <w:rPr>
          <w:rFonts w:hint="eastAsia" w:asciiTheme="minorEastAsia" w:hAnsiTheme="minorEastAsia" w:eastAsiaTheme="minorEastAsia"/>
          <w:sz w:val="24"/>
        </w:rPr>
        <w:t>向</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人民法院起诉。</w:t>
      </w:r>
    </w:p>
    <w:p>
      <w:pPr>
        <w:spacing w:line="560" w:lineRule="exact"/>
        <w:ind w:firstLine="241" w:firstLineChars="100"/>
        <w:outlineLvl w:val="2"/>
        <w:rPr>
          <w:rFonts w:asciiTheme="minorEastAsia" w:hAnsiTheme="minorEastAsia" w:eastAsiaTheme="minorEastAsia"/>
          <w:b/>
          <w:sz w:val="24"/>
        </w:rPr>
      </w:pPr>
      <w:bookmarkStart w:id="430" w:name="_Toc12273"/>
      <w:bookmarkStart w:id="431" w:name="_Toc16417"/>
      <w:bookmarkStart w:id="432" w:name="_Toc26227"/>
      <w:bookmarkStart w:id="433" w:name="_Toc23784"/>
      <w:bookmarkStart w:id="434" w:name="_Toc15827"/>
      <w:r>
        <w:rPr>
          <w:rFonts w:asciiTheme="minorEastAsia" w:hAnsiTheme="minorEastAsia" w:eastAsiaTheme="minorEastAsia"/>
          <w:b/>
          <w:sz w:val="24"/>
        </w:rPr>
        <w:t>1.8 合同生效</w:t>
      </w:r>
      <w:bookmarkEnd w:id="430"/>
      <w:bookmarkEnd w:id="431"/>
      <w:bookmarkEnd w:id="432"/>
      <w:bookmarkEnd w:id="433"/>
      <w:bookmarkEnd w:id="434"/>
    </w:p>
    <w:p>
      <w:pPr>
        <w:spacing w:line="56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本合同自</w:t>
      </w:r>
      <w:r>
        <w:rPr>
          <w:rFonts w:hint="eastAsia" w:asciiTheme="minorEastAsia" w:hAnsiTheme="minorEastAsia" w:eastAsiaTheme="minorEastAsia"/>
          <w:sz w:val="24"/>
        </w:rPr>
        <w:t>双方当事人盖章或者签字时</w:t>
      </w:r>
      <w:r>
        <w:rPr>
          <w:rFonts w:asciiTheme="minorEastAsia" w:hAnsiTheme="minorEastAsia" w:eastAsiaTheme="minorEastAsia"/>
          <w:sz w:val="24"/>
        </w:rPr>
        <w:t>生效。</w:t>
      </w:r>
    </w:p>
    <w:p>
      <w:pPr>
        <w:autoSpaceDE w:val="0"/>
        <w:autoSpaceDN w:val="0"/>
        <w:spacing w:line="560" w:lineRule="exact"/>
        <w:rPr>
          <w:rFonts w:asciiTheme="minorEastAsia" w:hAnsiTheme="minorEastAsia" w:eastAsiaTheme="minorEastAsia"/>
          <w:sz w:val="24"/>
          <w:lang w:val="zh-CN"/>
        </w:rPr>
      </w:pP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b/>
          <w:sz w:val="24"/>
          <w:lang w:val="zh-CN"/>
        </w:rPr>
        <w:t>甲方</w:t>
      </w:r>
      <w:r>
        <w:rPr>
          <w:rFonts w:hint="eastAsia" w:asciiTheme="minorEastAsia" w:hAnsiTheme="minorEastAsia" w:eastAsiaTheme="minorEastAsia"/>
          <w:sz w:val="24"/>
          <w:lang w:val="zh-CN"/>
        </w:rPr>
        <w:t>：</w:t>
      </w:r>
      <w:r>
        <w:rPr>
          <w:rFonts w:asciiTheme="minorEastAsia" w:hAnsiTheme="minorEastAsia" w:eastAsiaTheme="minorEastAsia"/>
          <w:sz w:val="24"/>
          <w:lang w:val="zh-CN"/>
        </w:rPr>
        <w:t xml:space="preserve">                             </w:t>
      </w:r>
      <w:r>
        <w:rPr>
          <w:rFonts w:asciiTheme="minorEastAsia" w:hAnsiTheme="minorEastAsia" w:eastAsiaTheme="minorEastAsia"/>
          <w:b/>
          <w:sz w:val="24"/>
          <w:lang w:val="zh-CN"/>
        </w:rPr>
        <w:t xml:space="preserve">      乙方</w:t>
      </w:r>
      <w:r>
        <w:rPr>
          <w:rFonts w:hint="eastAsia" w:asciiTheme="minorEastAsia" w:hAnsiTheme="minorEastAsia" w:eastAsiaTheme="minorEastAsia"/>
          <w:sz w:val="24"/>
          <w:lang w:val="zh-CN"/>
        </w:rPr>
        <w:t>：</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统一社会信用代码：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统一社会信用代码或身份证号码：</w:t>
      </w:r>
    </w:p>
    <w:p>
      <w:pPr>
        <w:autoSpaceDE w:val="0"/>
        <w:autoSpaceDN w:val="0"/>
        <w:spacing w:line="560" w:lineRule="exact"/>
        <w:rPr>
          <w:rFonts w:asciiTheme="minorEastAsia" w:hAnsiTheme="minorEastAsia" w:eastAsiaTheme="minorEastAsia"/>
          <w:sz w:val="24"/>
          <w:lang w:val="zh-CN"/>
        </w:rPr>
      </w:pP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住所：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住所：</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法定代表人或</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法定代表人或</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授权代表（签字）：</w:t>
      </w:r>
      <w:r>
        <w:rPr>
          <w:rFonts w:asciiTheme="minorEastAsia" w:hAnsiTheme="minorEastAsia" w:eastAsiaTheme="minorEastAsia"/>
          <w:sz w:val="24"/>
          <w:lang w:val="zh-CN"/>
        </w:rPr>
        <w:t xml:space="preserve">                       授权代表（签字）: </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联系人：</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联系人：</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约定送达地址：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约定送达地址：</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邮政编码：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邮政编码：</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电话</w:t>
      </w:r>
      <w:r>
        <w:rPr>
          <w:rFonts w:asciiTheme="minorEastAsia" w:hAnsiTheme="minorEastAsia" w:eastAsiaTheme="minorEastAsia"/>
          <w:sz w:val="24"/>
          <w:lang w:val="zh-CN"/>
        </w:rPr>
        <w:t xml:space="preserve">:                                    电话: </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lang w:val="zh-CN"/>
        </w:rPr>
        <w:t>电子邮箱：</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电子邮箱：</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开户银行：</w:t>
      </w:r>
      <w:r>
        <w:rPr>
          <w:rFonts w:asciiTheme="minorEastAsia" w:hAnsiTheme="minorEastAsia" w:eastAsiaTheme="minorEastAsia"/>
          <w:sz w:val="24"/>
        </w:rPr>
        <w:t xml:space="preserve">                               开户银行： </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开户名称：</w:t>
      </w:r>
      <w:r>
        <w:rPr>
          <w:rFonts w:asciiTheme="minorEastAsia" w:hAnsiTheme="minorEastAsia" w:eastAsiaTheme="minorEastAsia"/>
          <w:sz w:val="24"/>
        </w:rPr>
        <w:t xml:space="preserve">                               开户名称： </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开户账号：</w:t>
      </w:r>
      <w:r>
        <w:rPr>
          <w:rFonts w:asciiTheme="minorEastAsia" w:hAnsiTheme="minorEastAsia" w:eastAsiaTheme="minorEastAsia"/>
          <w:sz w:val="24"/>
          <w:lang w:val="zh-CN"/>
        </w:rPr>
        <w:t xml:space="preserve">                               </w:t>
      </w:r>
      <w:r>
        <w:rPr>
          <w:rFonts w:hint="eastAsia" w:asciiTheme="minorEastAsia" w:hAnsiTheme="minorEastAsia" w:eastAsiaTheme="minorEastAsia"/>
          <w:sz w:val="24"/>
        </w:rPr>
        <w:t>开户账号：</w:t>
      </w:r>
    </w:p>
    <w:p>
      <w:pPr>
        <w:widowControl/>
        <w:spacing w:line="560" w:lineRule="exact"/>
        <w:jc w:val="left"/>
        <w:rPr>
          <w:rFonts w:asciiTheme="minorEastAsia" w:hAnsiTheme="minorEastAsia" w:eastAsiaTheme="minorEastAsia"/>
          <w:b/>
          <w:sz w:val="24"/>
        </w:rPr>
      </w:pPr>
    </w:p>
    <w:p>
      <w:pPr>
        <w:widowControl/>
        <w:adjustRightInd/>
        <w:jc w:val="left"/>
        <w:rPr>
          <w:rFonts w:asciiTheme="minorEastAsia" w:hAnsiTheme="minorEastAsia" w:eastAsiaTheme="minorEastAsia"/>
          <w:b/>
          <w:sz w:val="24"/>
        </w:rPr>
      </w:pPr>
      <w:r>
        <w:rPr>
          <w:rFonts w:asciiTheme="minorEastAsia" w:hAnsiTheme="minorEastAsia" w:eastAsiaTheme="minorEastAsia"/>
          <w:b/>
        </w:rPr>
        <w:br w:type="page"/>
      </w:r>
    </w:p>
    <w:p>
      <w:pPr>
        <w:pStyle w:val="699"/>
        <w:spacing w:line="560" w:lineRule="exact"/>
        <w:ind w:firstLine="482"/>
        <w:jc w:val="center"/>
        <w:outlineLvl w:val="1"/>
        <w:rPr>
          <w:rFonts w:asciiTheme="minorEastAsia" w:hAnsiTheme="minorEastAsia" w:eastAsiaTheme="minorEastAsia"/>
          <w:b/>
          <w:szCs w:val="24"/>
        </w:rPr>
      </w:pPr>
      <w:r>
        <w:rPr>
          <w:rFonts w:hint="eastAsia" w:asciiTheme="minorEastAsia" w:hAnsiTheme="minorEastAsia" w:eastAsiaTheme="minorEastAsia"/>
          <w:b/>
          <w:szCs w:val="24"/>
        </w:rPr>
        <w:t>第二部分</w:t>
      </w:r>
      <w:r>
        <w:rPr>
          <w:rFonts w:asciiTheme="minorEastAsia" w:hAnsiTheme="minorEastAsia" w:eastAsiaTheme="minorEastAsia"/>
          <w:b/>
          <w:szCs w:val="24"/>
        </w:rPr>
        <w:t xml:space="preserve"> </w:t>
      </w:r>
      <w:r>
        <w:rPr>
          <w:rFonts w:hint="eastAsia" w:asciiTheme="minorEastAsia" w:hAnsiTheme="minorEastAsia" w:eastAsiaTheme="minorEastAsia"/>
          <w:b/>
          <w:szCs w:val="24"/>
        </w:rPr>
        <w:t>合同一般条款</w:t>
      </w:r>
    </w:p>
    <w:p>
      <w:pPr>
        <w:spacing w:line="560" w:lineRule="exact"/>
        <w:ind w:firstLine="482" w:firstLineChars="200"/>
        <w:outlineLvl w:val="2"/>
        <w:rPr>
          <w:rFonts w:asciiTheme="minorEastAsia" w:hAnsiTheme="minorEastAsia" w:eastAsiaTheme="minorEastAsia"/>
          <w:b/>
          <w:sz w:val="24"/>
        </w:rPr>
      </w:pPr>
      <w:bookmarkStart w:id="435" w:name="_Toc5228"/>
      <w:bookmarkStart w:id="436" w:name="_Toc19680"/>
      <w:bookmarkStart w:id="437" w:name="_Toc31297"/>
      <w:bookmarkStart w:id="438" w:name="_Toc25079"/>
      <w:bookmarkStart w:id="439" w:name="_Toc14021"/>
      <w:r>
        <w:rPr>
          <w:rFonts w:asciiTheme="minorEastAsia" w:hAnsiTheme="minorEastAsia" w:eastAsiaTheme="minorEastAsia"/>
          <w:b/>
          <w:sz w:val="24"/>
        </w:rPr>
        <w:t>2.1 定义</w:t>
      </w:r>
      <w:bookmarkEnd w:id="435"/>
      <w:bookmarkEnd w:id="436"/>
      <w:bookmarkEnd w:id="437"/>
      <w:bookmarkEnd w:id="438"/>
      <w:bookmarkEnd w:id="43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本合同中的下列</w:t>
      </w:r>
      <w:r>
        <w:rPr>
          <w:rFonts w:hint="eastAsia" w:asciiTheme="minorEastAsia" w:hAnsiTheme="minorEastAsia" w:eastAsiaTheme="minorEastAsia"/>
          <w:sz w:val="24"/>
        </w:rPr>
        <w:t>词</w:t>
      </w:r>
      <w:r>
        <w:rPr>
          <w:rFonts w:asciiTheme="minorEastAsia" w:hAnsiTheme="minorEastAsia" w:eastAsiaTheme="minorEastAsia"/>
          <w:sz w:val="24"/>
        </w:rPr>
        <w:t>语应</w:t>
      </w:r>
      <w:r>
        <w:rPr>
          <w:rFonts w:hint="eastAsia" w:asciiTheme="minorEastAsia" w:hAnsiTheme="minorEastAsia" w:eastAsiaTheme="minorEastAsia"/>
          <w:sz w:val="24"/>
        </w:rPr>
        <w:t>按以下内容进行</w:t>
      </w:r>
      <w:r>
        <w:rPr>
          <w:rFonts w:asciiTheme="minorEastAsia" w:hAnsiTheme="minorEastAsia" w:eastAsiaTheme="minorEastAsia"/>
          <w:sz w:val="24"/>
        </w:rPr>
        <w:t>解释：</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 “合同”系指采购人和中标供应商签订的载明双方当事人所达成的协议，并包括所有的附件、附录和构成合同的其他文件。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2.1.2 “合同价”系指根据合同约定，中标供应商在完全履行合同义务后</w:t>
      </w:r>
      <w:r>
        <w:rPr>
          <w:rFonts w:hint="eastAsia" w:asciiTheme="minorEastAsia" w:hAnsiTheme="minorEastAsia" w:eastAsiaTheme="minorEastAsia"/>
          <w:sz w:val="24"/>
        </w:rPr>
        <w:t>，</w:t>
      </w:r>
      <w:r>
        <w:rPr>
          <w:rFonts w:asciiTheme="minorEastAsia" w:hAnsiTheme="minorEastAsia" w:eastAsiaTheme="minorEastAsia"/>
          <w:sz w:val="24"/>
        </w:rPr>
        <w:t>采购人应支付给中标供应商的价格。</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2.1.3 “</w:t>
      </w:r>
      <w:r>
        <w:rPr>
          <w:rFonts w:hint="eastAsia" w:asciiTheme="minorEastAsia" w:hAnsiTheme="minorEastAsia" w:eastAsiaTheme="minorEastAsia"/>
          <w:sz w:val="24"/>
        </w:rPr>
        <w:t>服务</w:t>
      </w:r>
      <w:r>
        <w:rPr>
          <w:rFonts w:asciiTheme="minorEastAsia" w:hAnsiTheme="minorEastAsia" w:eastAsiaTheme="minorEastAsia"/>
          <w:sz w:val="24"/>
        </w:rPr>
        <w:t>”系指</w:t>
      </w:r>
      <w:r>
        <w:rPr>
          <w:rFonts w:hint="eastAsia" w:asciiTheme="minorEastAsia" w:hAnsiTheme="minorEastAsia" w:eastAsiaTheme="minorEastAsia"/>
          <w:sz w:val="24"/>
        </w:rPr>
        <w:t>中标供应商</w:t>
      </w:r>
      <w:r>
        <w:rPr>
          <w:rFonts w:asciiTheme="minorEastAsia" w:hAnsiTheme="minorEastAsia" w:eastAsiaTheme="minorEastAsia"/>
          <w:sz w:val="24"/>
        </w:rPr>
        <w:t>根据合同约定应向采购人</w:t>
      </w:r>
      <w:r>
        <w:rPr>
          <w:rFonts w:hint="eastAsia" w:asciiTheme="minorEastAsia" w:hAnsiTheme="minorEastAsia" w:eastAsiaTheme="minorEastAsia"/>
          <w:sz w:val="24"/>
        </w:rPr>
        <w:t>履行</w:t>
      </w:r>
      <w:r>
        <w:rPr>
          <w:rFonts w:asciiTheme="minorEastAsia" w:hAnsiTheme="minorEastAsia" w:eastAsiaTheme="minorEastAsia"/>
          <w:sz w:val="24"/>
        </w:rPr>
        <w:t>的</w:t>
      </w:r>
      <w:r>
        <w:rPr>
          <w:rFonts w:hint="eastAsia" w:asciiTheme="minorEastAsia" w:hAnsiTheme="minorEastAsia" w:eastAsiaTheme="minorEastAsia"/>
          <w:sz w:val="24"/>
        </w:rPr>
        <w:t>除货物和工程以外的其他政府采购对象，包括采购人自身需要的服务和向社会公众提供的公共服务。</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2.1.4 “</w:t>
      </w:r>
      <w:r>
        <w:rPr>
          <w:rFonts w:hint="eastAsia" w:asciiTheme="minorEastAsia" w:hAnsiTheme="minorEastAsia" w:eastAsiaTheme="minorEastAsia"/>
          <w:sz w:val="24"/>
        </w:rPr>
        <w:t>甲方</w:t>
      </w:r>
      <w:r>
        <w:rPr>
          <w:rFonts w:asciiTheme="minorEastAsia" w:hAnsiTheme="minorEastAsia" w:eastAsiaTheme="minorEastAsia"/>
          <w:sz w:val="24"/>
        </w:rPr>
        <w:t>”系指与</w:t>
      </w:r>
      <w:r>
        <w:rPr>
          <w:rFonts w:hint="eastAsia" w:asciiTheme="minorEastAsia" w:hAnsiTheme="minorEastAsia" w:eastAsiaTheme="minorEastAsia"/>
          <w:sz w:val="24"/>
        </w:rPr>
        <w:t>中标供应商</w:t>
      </w:r>
      <w:r>
        <w:rPr>
          <w:rFonts w:asciiTheme="minorEastAsia" w:hAnsiTheme="minorEastAsia" w:eastAsiaTheme="minorEastAsia"/>
          <w:sz w:val="24"/>
        </w:rPr>
        <w:t>签署合同的采购人</w:t>
      </w:r>
      <w:r>
        <w:rPr>
          <w:rFonts w:hint="eastAsia" w:asciiTheme="minorEastAsia" w:hAnsiTheme="minorEastAsia" w:eastAsiaTheme="minorEastAsia"/>
          <w:sz w:val="24"/>
        </w:rPr>
        <w:t>；采购人委托采购代理机构代表其与乙方签订合同的，采购人的授权委托书作为合同附件。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2.1.5 “乙方”系指根据合同约定提供服务的中标供应商</w:t>
      </w:r>
      <w:r>
        <w:rPr>
          <w:rFonts w:hint="eastAsia" w:asciiTheme="minorEastAsia" w:hAnsiTheme="minorEastAsia" w:eastAsiaTheme="minor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2.1.6 “现场”系指合同约定提供服务的地点。</w:t>
      </w:r>
    </w:p>
    <w:p>
      <w:pPr>
        <w:spacing w:line="560" w:lineRule="exact"/>
        <w:ind w:firstLine="482" w:firstLineChars="200"/>
        <w:outlineLvl w:val="2"/>
        <w:rPr>
          <w:rFonts w:asciiTheme="minorEastAsia" w:hAnsiTheme="minorEastAsia" w:eastAsiaTheme="minorEastAsia"/>
          <w:b/>
          <w:sz w:val="24"/>
        </w:rPr>
      </w:pPr>
      <w:bookmarkStart w:id="440" w:name="_Toc16752"/>
      <w:bookmarkStart w:id="441" w:name="_Toc23289"/>
      <w:bookmarkStart w:id="442" w:name="_Toc31402"/>
      <w:bookmarkStart w:id="443" w:name="_Toc3769"/>
      <w:bookmarkStart w:id="444" w:name="_Toc19539"/>
      <w:r>
        <w:rPr>
          <w:rFonts w:asciiTheme="minorEastAsia" w:hAnsiTheme="minorEastAsia" w:eastAsiaTheme="minorEastAsia"/>
          <w:b/>
          <w:sz w:val="24"/>
        </w:rPr>
        <w:t>2.2 技术规范</w:t>
      </w:r>
      <w:bookmarkEnd w:id="440"/>
      <w:bookmarkEnd w:id="441"/>
      <w:bookmarkEnd w:id="442"/>
      <w:bookmarkEnd w:id="443"/>
      <w:bookmarkEnd w:id="444"/>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服务</w:t>
      </w:r>
      <w:r>
        <w:rPr>
          <w:rFonts w:asciiTheme="minorEastAsia" w:hAnsiTheme="minorEastAsia" w:eastAsiaTheme="minorEastAsia"/>
          <w:sz w:val="24"/>
        </w:rPr>
        <w:t>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sz w:val="24"/>
        </w:rPr>
        <w:t>；</w:t>
      </w:r>
      <w:r>
        <w:rPr>
          <w:rFonts w:asciiTheme="minorEastAsia" w:hAnsiTheme="minorEastAsia" w:eastAsiaTheme="minorEastAsia"/>
          <w:sz w:val="24"/>
        </w:rPr>
        <w:t>如果采购文件中没有技术规范的相应说明，那么应以国家有关部门最新颁布的相应标准</w:t>
      </w:r>
      <w:r>
        <w:rPr>
          <w:rFonts w:hint="eastAsia" w:asciiTheme="minorEastAsia" w:hAnsiTheme="minorEastAsia" w:eastAsiaTheme="minorEastAsia"/>
          <w:sz w:val="24"/>
        </w:rPr>
        <w:t>和</w:t>
      </w:r>
      <w:r>
        <w:rPr>
          <w:rFonts w:asciiTheme="minorEastAsia" w:hAnsiTheme="minorEastAsia" w:eastAsiaTheme="minorEastAsia"/>
          <w:sz w:val="24"/>
        </w:rPr>
        <w:t>规范为准。</w:t>
      </w:r>
    </w:p>
    <w:p>
      <w:pPr>
        <w:spacing w:line="560" w:lineRule="exact"/>
        <w:ind w:firstLine="482" w:firstLineChars="200"/>
        <w:outlineLvl w:val="2"/>
        <w:rPr>
          <w:rFonts w:asciiTheme="minorEastAsia" w:hAnsiTheme="minorEastAsia" w:eastAsiaTheme="minorEastAsia"/>
          <w:b/>
          <w:sz w:val="24"/>
        </w:rPr>
      </w:pPr>
      <w:bookmarkStart w:id="445" w:name="_Toc12412"/>
      <w:bookmarkStart w:id="446" w:name="_Toc4133"/>
      <w:bookmarkStart w:id="447" w:name="_Toc13673"/>
      <w:bookmarkStart w:id="448" w:name="_Toc27945"/>
      <w:bookmarkStart w:id="449" w:name="_Toc9161"/>
      <w:r>
        <w:rPr>
          <w:rFonts w:asciiTheme="minorEastAsia" w:hAnsiTheme="minorEastAsia" w:eastAsiaTheme="minorEastAsia"/>
          <w:b/>
          <w:sz w:val="24"/>
        </w:rPr>
        <w:t>2.3 知识产权</w:t>
      </w:r>
      <w:bookmarkEnd w:id="445"/>
      <w:bookmarkEnd w:id="446"/>
      <w:bookmarkEnd w:id="447"/>
      <w:bookmarkEnd w:id="448"/>
      <w:bookmarkEnd w:id="44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2.3.1 </w:t>
      </w:r>
      <w:r>
        <w:rPr>
          <w:rFonts w:hint="eastAsia" w:asciiTheme="minorEastAsia" w:hAnsiTheme="minorEastAsia" w:eastAsiaTheme="minorEastAsia"/>
          <w:sz w:val="24"/>
        </w:rPr>
        <w:t>乙</w:t>
      </w:r>
      <w:r>
        <w:rPr>
          <w:rFonts w:asciiTheme="minorEastAsia" w:hAnsiTheme="minorEastAsia" w:eastAsiaTheme="minorEastAsia"/>
          <w:sz w:val="24"/>
        </w:rPr>
        <w:t>方应保证</w:t>
      </w:r>
      <w:r>
        <w:rPr>
          <w:rFonts w:hint="eastAsia" w:asciiTheme="minorEastAsia" w:hAnsiTheme="minorEastAsia" w:eastAsiaTheme="minorEastAsia"/>
          <w:sz w:val="24"/>
        </w:rPr>
        <w:t>其提供的服务</w:t>
      </w:r>
      <w:r>
        <w:rPr>
          <w:rFonts w:asciiTheme="minorEastAsia" w:hAnsiTheme="minorEastAsia" w:eastAsiaTheme="minorEastAsia"/>
          <w:sz w:val="24"/>
        </w:rPr>
        <w:t>不受任何第三方提出的侵犯其著作权、商标权、专利权等知识产权方面的起诉</w:t>
      </w:r>
      <w:r>
        <w:rPr>
          <w:rFonts w:hint="eastAsia" w:asciiTheme="minorEastAsia" w:hAnsiTheme="minorEastAsia" w:eastAsiaTheme="minorEastAsia"/>
          <w:sz w:val="24"/>
        </w:rPr>
        <w:t>；</w:t>
      </w:r>
      <w:r>
        <w:rPr>
          <w:rFonts w:asciiTheme="minorEastAsia" w:hAnsiTheme="minorEastAsia" w:eastAsiaTheme="minorEastAsia"/>
          <w:sz w:val="24"/>
        </w:rPr>
        <w:t>如果任何第三方提出侵权</w:t>
      </w:r>
      <w:r>
        <w:rPr>
          <w:rFonts w:hint="eastAsia" w:asciiTheme="minorEastAsia" w:hAnsiTheme="minorEastAsia" w:eastAsiaTheme="minorEastAsia"/>
          <w:sz w:val="24"/>
        </w:rPr>
        <w:t>指控</w:t>
      </w:r>
      <w:r>
        <w:rPr>
          <w:rFonts w:asciiTheme="minorEastAsia" w:hAnsiTheme="minorEastAsia" w:eastAsiaTheme="minorEastAsia"/>
          <w:sz w:val="24"/>
        </w:rPr>
        <w:t>，那么乙方须与该第三方交涉并承担由此发生的一切责任、费用和赔偿</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2.3.2 </w:t>
      </w:r>
      <w:r>
        <w:rPr>
          <w:rFonts w:hint="eastAsia" w:asciiTheme="minorEastAsia" w:hAnsiTheme="minorEastAsia" w:eastAsiaTheme="minorEastAsia"/>
          <w:sz w:val="24"/>
        </w:rPr>
        <w:t>合同涉及技术成果的归属和收益的分成办法的，</w:t>
      </w: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5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2.4 </w:t>
      </w:r>
      <w:r>
        <w:rPr>
          <w:rFonts w:hint="eastAsia" w:asciiTheme="minorEastAsia" w:hAnsiTheme="minorEastAsia" w:eastAsiaTheme="minorEastAsia"/>
          <w:b/>
          <w:sz w:val="24"/>
        </w:rPr>
        <w:t>履约检查和问题反馈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2.4.1甲方</w:t>
      </w:r>
      <w:r>
        <w:rPr>
          <w:rFonts w:hint="eastAsia" w:asciiTheme="minorEastAsia" w:hAnsiTheme="minorEastAsia" w:eastAsiaTheme="minorEastAsia"/>
          <w:sz w:val="24"/>
        </w:rPr>
        <w:t>有权</w:t>
      </w:r>
      <w:r>
        <w:rPr>
          <w:rFonts w:asciiTheme="minorEastAsia" w:hAnsiTheme="minorEastAsia" w:eastAsiaTheme="minorEastAsia"/>
          <w:sz w:val="24"/>
        </w:rPr>
        <w:t>在其认为必要时</w:t>
      </w:r>
      <w:r>
        <w:rPr>
          <w:rFonts w:hint="eastAsia" w:asciiTheme="minorEastAsia" w:hAnsiTheme="minorEastAsia" w:eastAsiaTheme="minorEastAsia"/>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2.4.2 </w:t>
      </w:r>
      <w:r>
        <w:rPr>
          <w:rFonts w:hint="eastAsia" w:asciiTheme="minorEastAsia" w:hAnsiTheme="minorEastAsia" w:eastAsiaTheme="minorEastAsia"/>
          <w:sz w:val="24"/>
        </w:rPr>
        <w:t>合同履行期间，甲方有权将履行过程中出现的问题反馈给乙方，双方当事人应以书面形式约定需要完善和改进的内容。</w:t>
      </w:r>
    </w:p>
    <w:p>
      <w:pPr>
        <w:spacing w:line="560" w:lineRule="exact"/>
        <w:ind w:firstLine="482" w:firstLineChars="200"/>
        <w:outlineLvl w:val="2"/>
        <w:rPr>
          <w:rFonts w:asciiTheme="minorEastAsia" w:hAnsiTheme="minorEastAsia" w:eastAsiaTheme="minorEastAsia"/>
          <w:b/>
          <w:sz w:val="24"/>
        </w:rPr>
      </w:pPr>
      <w:bookmarkStart w:id="450" w:name="_Toc15447"/>
      <w:bookmarkStart w:id="451" w:name="_Toc22011"/>
      <w:bookmarkStart w:id="452" w:name="_Toc26555"/>
      <w:bookmarkStart w:id="453" w:name="_Toc31233"/>
      <w:bookmarkStart w:id="454" w:name="_Toc32670"/>
      <w:r>
        <w:rPr>
          <w:rFonts w:asciiTheme="minorEastAsia" w:hAnsiTheme="minorEastAsia" w:eastAsiaTheme="minorEastAsia"/>
          <w:b/>
          <w:sz w:val="24"/>
        </w:rPr>
        <w:t>2.5 结算方式和付款条件</w:t>
      </w:r>
      <w:bookmarkEnd w:id="450"/>
      <w:bookmarkEnd w:id="451"/>
      <w:bookmarkEnd w:id="452"/>
      <w:bookmarkEnd w:id="453"/>
      <w:bookmarkEnd w:id="454"/>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560" w:lineRule="exact"/>
        <w:ind w:firstLine="482" w:firstLineChars="200"/>
        <w:outlineLvl w:val="2"/>
        <w:rPr>
          <w:rFonts w:asciiTheme="minorEastAsia" w:hAnsiTheme="minorEastAsia" w:eastAsiaTheme="minorEastAsia"/>
          <w:b/>
          <w:sz w:val="24"/>
        </w:rPr>
      </w:pPr>
      <w:bookmarkStart w:id="455" w:name="_Toc30507"/>
      <w:bookmarkStart w:id="456" w:name="_Toc18990"/>
      <w:bookmarkStart w:id="457" w:name="_Toc13467"/>
      <w:bookmarkStart w:id="458" w:name="_Toc16163"/>
      <w:bookmarkStart w:id="459" w:name="_Toc13154"/>
      <w:r>
        <w:rPr>
          <w:rFonts w:asciiTheme="minorEastAsia" w:hAnsiTheme="minorEastAsia" w:eastAsiaTheme="minorEastAsia"/>
          <w:b/>
          <w:sz w:val="24"/>
        </w:rPr>
        <w:t>2.6 技术资料和保密义务</w:t>
      </w:r>
      <w:bookmarkEnd w:id="455"/>
      <w:bookmarkEnd w:id="456"/>
      <w:bookmarkEnd w:id="457"/>
      <w:bookmarkEnd w:id="458"/>
      <w:bookmarkEnd w:id="45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2.6.1 乙方有权依据合同约定和项目需要，向甲方了解有关情况，调阅有关资料等，甲方应予积极配合；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2.6.2 </w:t>
      </w:r>
      <w:r>
        <w:rPr>
          <w:rFonts w:hint="eastAsia" w:asciiTheme="minorEastAsia" w:hAnsiTheme="minorEastAsia" w:eastAsiaTheme="minorEastAsia"/>
          <w:sz w:val="24"/>
        </w:rPr>
        <w:t>乙方有义务妥善保管和保护由甲方提供的前款信息和资料等；</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2.6.3 </w:t>
      </w:r>
      <w:r>
        <w:rPr>
          <w:rFonts w:hint="eastAsia" w:asciiTheme="minorEastAsia" w:hAnsiTheme="minorEastAsia" w:eastAsiaTheme="minorEastAsia"/>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sz w:val="24"/>
        </w:rPr>
        <w:t>技术情报</w:t>
      </w:r>
      <w:r>
        <w:rPr>
          <w:rFonts w:hint="eastAsia" w:asciiTheme="minorEastAsia" w:hAnsiTheme="minorEastAsia" w:eastAsiaTheme="minorEastAsia"/>
          <w:sz w:val="24"/>
        </w:rPr>
        <w:t>、</w:t>
      </w:r>
      <w:r>
        <w:rPr>
          <w:rFonts w:asciiTheme="minorEastAsia" w:hAnsiTheme="minorEastAsia" w:eastAsiaTheme="minorEastAsia"/>
          <w:sz w:val="24"/>
        </w:rPr>
        <w:t>技术资料</w:t>
      </w:r>
      <w:r>
        <w:rPr>
          <w:rFonts w:hint="eastAsia" w:asciiTheme="minorEastAsia" w:hAnsiTheme="minorEastAsia" w:eastAsiaTheme="minorEastAsia"/>
          <w:sz w:val="24"/>
        </w:rPr>
        <w:t>、商业秘密和商业信息等，并采取一切合理和必要措施和方式防止任何第三方接触到对方当事人的上述保密信息和资料。</w:t>
      </w:r>
    </w:p>
    <w:p>
      <w:pPr>
        <w:spacing w:line="560" w:lineRule="exact"/>
        <w:ind w:firstLine="482" w:firstLineChars="200"/>
        <w:outlineLvl w:val="2"/>
        <w:rPr>
          <w:rFonts w:asciiTheme="minorEastAsia" w:hAnsiTheme="minorEastAsia" w:eastAsiaTheme="minorEastAsia"/>
          <w:b/>
          <w:sz w:val="24"/>
        </w:rPr>
      </w:pPr>
      <w:bookmarkStart w:id="460" w:name="_Toc19069"/>
      <w:r>
        <w:rPr>
          <w:rFonts w:asciiTheme="minorEastAsia" w:hAnsiTheme="minorEastAsia" w:eastAsiaTheme="minorEastAsia"/>
          <w:b/>
          <w:sz w:val="24"/>
        </w:rPr>
        <w:t xml:space="preserve">2.7 </w:t>
      </w:r>
      <w:r>
        <w:rPr>
          <w:rFonts w:hint="eastAsia" w:asciiTheme="minorEastAsia" w:hAnsiTheme="minorEastAsia" w:eastAsiaTheme="minorEastAsia"/>
          <w:b/>
          <w:sz w:val="24"/>
        </w:rPr>
        <w:t>质量保证</w:t>
      </w:r>
      <w:bookmarkEnd w:id="460"/>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2.7.1 </w:t>
      </w:r>
      <w:r>
        <w:rPr>
          <w:rFonts w:hint="eastAsia" w:asciiTheme="minorEastAsia" w:hAnsiTheme="minorEastAsia" w:eastAsiaTheme="minorEastAsia"/>
          <w:sz w:val="24"/>
        </w:rPr>
        <w:t>乙方应建立和完善履行合同的内部质量保证体系，并提供相关内部规章制度给甲方，以便甲方进行监督检查；</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2.7.2 </w:t>
      </w:r>
      <w:r>
        <w:rPr>
          <w:rFonts w:hint="eastAsia" w:asciiTheme="minorEastAsia" w:hAnsiTheme="minorEastAsia" w:eastAsiaTheme="minorEastAsia"/>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2"/>
        <w:rPr>
          <w:rFonts w:asciiTheme="minorEastAsia" w:hAnsiTheme="minorEastAsia" w:eastAsiaTheme="minorEastAsia"/>
          <w:b/>
          <w:sz w:val="24"/>
        </w:rPr>
      </w:pPr>
      <w:bookmarkStart w:id="461" w:name="_Toc22267"/>
      <w:r>
        <w:rPr>
          <w:rFonts w:asciiTheme="minorEastAsia" w:hAnsiTheme="minorEastAsia" w:eastAsiaTheme="minorEastAsia"/>
          <w:b/>
          <w:sz w:val="24"/>
        </w:rPr>
        <w:t xml:space="preserve">2.8 </w:t>
      </w:r>
      <w:r>
        <w:rPr>
          <w:rFonts w:hint="eastAsia" w:asciiTheme="minorEastAsia" w:hAnsiTheme="minorEastAsia" w:eastAsiaTheme="minorEastAsia"/>
          <w:b/>
          <w:sz w:val="24"/>
        </w:rPr>
        <w:t>延迟履行</w:t>
      </w:r>
      <w:bookmarkEnd w:id="461"/>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在合同履行过程中，如果乙方遇到不能按时</w:t>
      </w:r>
      <w:r>
        <w:rPr>
          <w:rFonts w:hint="eastAsia" w:asciiTheme="minorEastAsia" w:hAnsiTheme="minorEastAsia" w:eastAsiaTheme="minorEastAsia"/>
          <w:sz w:val="24"/>
        </w:rPr>
        <w:t>提供服务</w:t>
      </w:r>
      <w:r>
        <w:rPr>
          <w:rFonts w:asciiTheme="minorEastAsia" w:hAnsiTheme="minorEastAsia" w:eastAsiaTheme="minorEastAsia"/>
          <w:sz w:val="24"/>
        </w:rPr>
        <w:t>的情况，应及时以书面形式将不能按时</w:t>
      </w:r>
      <w:r>
        <w:rPr>
          <w:rFonts w:hint="eastAsia" w:asciiTheme="minorEastAsia" w:hAnsiTheme="minorEastAsia" w:eastAsiaTheme="minorEastAsia"/>
          <w:sz w:val="24"/>
        </w:rPr>
        <w:t>提供服务</w:t>
      </w:r>
      <w:r>
        <w:rPr>
          <w:rFonts w:asciiTheme="minorEastAsia" w:hAnsiTheme="minorEastAsia" w:eastAsiaTheme="minorEastAsia"/>
          <w:sz w:val="24"/>
        </w:rPr>
        <w:t>的理由、预期延误时间通知甲方</w:t>
      </w:r>
      <w:r>
        <w:rPr>
          <w:rFonts w:hint="eastAsia" w:asciiTheme="minorEastAsia" w:hAnsiTheme="minorEastAsia" w:eastAsiaTheme="minorEastAsia"/>
          <w:sz w:val="24"/>
        </w:rPr>
        <w:t>；甲</w:t>
      </w:r>
      <w:r>
        <w:rPr>
          <w:rFonts w:asciiTheme="minorEastAsia" w:hAnsiTheme="minorEastAsia" w:eastAsiaTheme="minorEastAsia"/>
          <w:sz w:val="24"/>
        </w:rPr>
        <w:t>方收到乙方通知后，认为其理由正当的，可以书面形式酌情同意乙方可以延长</w:t>
      </w:r>
      <w:r>
        <w:rPr>
          <w:rFonts w:hint="eastAsia" w:asciiTheme="minorEastAsia" w:hAnsiTheme="minorEastAsia" w:eastAsiaTheme="minorEastAsia"/>
          <w:sz w:val="24"/>
        </w:rPr>
        <w:t>履行</w:t>
      </w:r>
      <w:r>
        <w:rPr>
          <w:rFonts w:asciiTheme="minorEastAsia" w:hAnsiTheme="minorEastAsia" w:eastAsiaTheme="minorEastAsia"/>
          <w:sz w:val="24"/>
        </w:rPr>
        <w:t>的具体时间。</w:t>
      </w:r>
    </w:p>
    <w:p>
      <w:pPr>
        <w:spacing w:line="560" w:lineRule="exact"/>
        <w:ind w:firstLine="482" w:firstLineChars="200"/>
        <w:outlineLvl w:val="2"/>
        <w:rPr>
          <w:rFonts w:asciiTheme="minorEastAsia" w:hAnsiTheme="minorEastAsia" w:eastAsiaTheme="minorEastAsia"/>
          <w:b/>
          <w:sz w:val="24"/>
        </w:rPr>
      </w:pPr>
      <w:bookmarkStart w:id="462" w:name="_Toc10611"/>
      <w:r>
        <w:rPr>
          <w:rFonts w:asciiTheme="minorEastAsia" w:hAnsiTheme="minorEastAsia" w:eastAsiaTheme="minorEastAsia"/>
          <w:b/>
          <w:sz w:val="24"/>
        </w:rPr>
        <w:t xml:space="preserve">2.9 </w:t>
      </w:r>
      <w:r>
        <w:rPr>
          <w:rFonts w:hint="eastAsia" w:asciiTheme="minorEastAsia" w:hAnsiTheme="minorEastAsia" w:eastAsiaTheme="minorEastAsia"/>
          <w:b/>
          <w:sz w:val="24"/>
        </w:rPr>
        <w:t>合同变更</w:t>
      </w:r>
      <w:bookmarkEnd w:id="462"/>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2"/>
        <w:rPr>
          <w:rFonts w:asciiTheme="minorEastAsia" w:hAnsiTheme="minorEastAsia" w:eastAsiaTheme="minorEastAsia"/>
          <w:b/>
          <w:sz w:val="24"/>
        </w:rPr>
      </w:pPr>
      <w:bookmarkStart w:id="463" w:name="_Toc23368"/>
      <w:bookmarkStart w:id="464" w:name="_Toc21830"/>
      <w:bookmarkStart w:id="465" w:name="_Toc10663"/>
      <w:bookmarkStart w:id="466" w:name="_Toc26689"/>
      <w:bookmarkStart w:id="467" w:name="_Toc42"/>
      <w:r>
        <w:rPr>
          <w:rFonts w:asciiTheme="minorEastAsia" w:hAnsiTheme="minorEastAsia" w:eastAsiaTheme="minorEastAsia"/>
          <w:b/>
          <w:sz w:val="24"/>
        </w:rPr>
        <w:t>2.10 合同转让和分包</w:t>
      </w:r>
      <w:bookmarkEnd w:id="463"/>
      <w:bookmarkEnd w:id="464"/>
      <w:bookmarkEnd w:id="465"/>
      <w:bookmarkEnd w:id="466"/>
      <w:bookmarkEnd w:id="467"/>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合同的权利义务依法不</w:t>
      </w:r>
      <w:r>
        <w:rPr>
          <w:rFonts w:hint="eastAsia" w:asciiTheme="minorEastAsia" w:hAnsiTheme="minorEastAsia" w:eastAsiaTheme="minorEastAsia"/>
          <w:sz w:val="24"/>
        </w:rPr>
        <w:t>得</w:t>
      </w:r>
      <w:r>
        <w:rPr>
          <w:rFonts w:asciiTheme="minorEastAsia" w:hAnsiTheme="minorEastAsia" w:eastAsiaTheme="minorEastAsia"/>
          <w:sz w:val="24"/>
        </w:rPr>
        <w:t>转让</w:t>
      </w:r>
      <w:r>
        <w:rPr>
          <w:rFonts w:hint="eastAsia" w:asciiTheme="minorEastAsia" w:hAnsiTheme="minorEastAsia" w:eastAsiaTheme="minorEastAsia"/>
          <w:sz w:val="24"/>
        </w:rPr>
        <w:t>，</w:t>
      </w:r>
      <w:r>
        <w:rPr>
          <w:rFonts w:asciiTheme="minorEastAsia" w:hAnsiTheme="minorEastAsia" w:eastAsiaTheme="minorEastAsia"/>
          <w:sz w:val="24"/>
        </w:rPr>
        <w:t>但经甲方</w:t>
      </w:r>
      <w:r>
        <w:rPr>
          <w:rFonts w:hint="eastAsia" w:asciiTheme="minorEastAsia" w:hAnsiTheme="minorEastAsia" w:eastAsiaTheme="minorEastAsia"/>
          <w:sz w:val="24"/>
        </w:rPr>
        <w:t>同意，乙方可以依法采取分包方式履行合同，即：依法可以</w:t>
      </w:r>
      <w:r>
        <w:rPr>
          <w:rFonts w:asciiTheme="minorEastAsia" w:hAnsiTheme="minorEastAsia" w:eastAsiaTheme="minorEastAsia"/>
          <w:sz w:val="24"/>
        </w:rPr>
        <w:t>将合同项下的部分非主体、非关键性工作分包给他人完成</w:t>
      </w:r>
      <w:r>
        <w:rPr>
          <w:rFonts w:hint="eastAsia" w:asciiTheme="minorEastAsia" w:hAnsiTheme="minorEastAsia" w:eastAsiaTheme="minorEastAsia"/>
          <w:sz w:val="24"/>
        </w:rPr>
        <w:t>，</w:t>
      </w:r>
      <w:r>
        <w:rPr>
          <w:rFonts w:asciiTheme="minorEastAsia" w:hAnsiTheme="minorEastAsia" w:eastAsiaTheme="minorEastAsia"/>
          <w:sz w:val="24"/>
        </w:rPr>
        <w:t>接受分包的人应当具备相应的资格条件，并不得再次分包</w:t>
      </w:r>
      <w:r>
        <w:rPr>
          <w:rFonts w:hint="eastAsia" w:asciiTheme="minorEastAsia" w:hAnsiTheme="minorEastAsia" w:eastAsiaTheme="minorEastAsia"/>
          <w:sz w:val="24"/>
        </w:rPr>
        <w:t>，</w:t>
      </w:r>
      <w:r>
        <w:rPr>
          <w:rFonts w:asciiTheme="minorEastAsia" w:hAnsiTheme="minorEastAsia" w:eastAsiaTheme="minorEastAsia"/>
          <w:sz w:val="24"/>
        </w:rPr>
        <w:t>且乙方应就分包项目向甲方负责</w:t>
      </w:r>
      <w:r>
        <w:rPr>
          <w:rFonts w:hint="eastAsia" w:asciiTheme="minorEastAsia" w:hAnsiTheme="minorEastAsia" w:eastAsiaTheme="minorEastAsia"/>
          <w:sz w:val="24"/>
        </w:rPr>
        <w:t>，</w:t>
      </w:r>
      <w:r>
        <w:rPr>
          <w:rFonts w:asciiTheme="minorEastAsia" w:hAnsiTheme="minorEastAsia" w:eastAsiaTheme="minorEastAsia"/>
          <w:sz w:val="24"/>
        </w:rPr>
        <w:t>并</w:t>
      </w:r>
      <w:r>
        <w:rPr>
          <w:rFonts w:hint="eastAsia" w:asciiTheme="minorEastAsia" w:hAnsiTheme="minorEastAsia" w:eastAsiaTheme="minorEastAsia"/>
          <w:sz w:val="24"/>
        </w:rPr>
        <w:t>与分包供应商就分包项目向甲方承担连带责任。</w:t>
      </w:r>
    </w:p>
    <w:p>
      <w:pPr>
        <w:spacing w:line="560" w:lineRule="exact"/>
        <w:ind w:firstLine="482" w:firstLineChars="200"/>
        <w:outlineLvl w:val="2"/>
        <w:rPr>
          <w:rFonts w:asciiTheme="minorEastAsia" w:hAnsiTheme="minorEastAsia" w:eastAsiaTheme="minorEastAsia"/>
          <w:b/>
          <w:sz w:val="24"/>
        </w:rPr>
      </w:pPr>
      <w:bookmarkStart w:id="468" w:name="_Toc14371"/>
      <w:bookmarkStart w:id="469" w:name="_Toc32494"/>
      <w:bookmarkStart w:id="470" w:name="_Toc25571"/>
      <w:bookmarkStart w:id="471" w:name="_Toc4720"/>
      <w:bookmarkStart w:id="472" w:name="_Toc26633"/>
      <w:r>
        <w:rPr>
          <w:rFonts w:asciiTheme="minorEastAsia" w:hAnsiTheme="minorEastAsia" w:eastAsiaTheme="minorEastAsia"/>
          <w:b/>
          <w:sz w:val="24"/>
        </w:rPr>
        <w:t>2.11 不可抗力</w:t>
      </w:r>
      <w:bookmarkEnd w:id="468"/>
      <w:bookmarkEnd w:id="469"/>
      <w:bookmarkEnd w:id="470"/>
      <w:bookmarkEnd w:id="471"/>
      <w:bookmarkEnd w:id="472"/>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2.11.2 </w:t>
      </w:r>
      <w:r>
        <w:rPr>
          <w:rFonts w:hint="eastAsia" w:asciiTheme="minorEastAsia" w:hAnsiTheme="minorEastAsia" w:eastAsiaTheme="minorEastAsia"/>
          <w:sz w:val="24"/>
        </w:rPr>
        <w:t>因不可抗力致使不能实现合同目的的，当事人可以解除合同；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2.11.3 </w:t>
      </w:r>
      <w:r>
        <w:rPr>
          <w:rFonts w:hint="eastAsia" w:asciiTheme="minorEastAsia" w:hAnsiTheme="minorEastAsia" w:eastAsiaTheme="minorEastAsia"/>
          <w:sz w:val="24"/>
        </w:rPr>
        <w:t>因</w:t>
      </w:r>
      <w:r>
        <w:rPr>
          <w:rFonts w:asciiTheme="minorEastAsia" w:hAnsiTheme="minorEastAsia" w:eastAsiaTheme="minorEastAsia"/>
          <w:sz w:val="24"/>
        </w:rPr>
        <w:t>不可抗力致使合同有变更必要的，双方当事人应在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约定时间内以书面形式变更合同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2.11.4受</w:t>
      </w:r>
      <w:r>
        <w:rPr>
          <w:rFonts w:hint="eastAsia" w:asciiTheme="minorEastAsia" w:hAnsiTheme="minorEastAsia" w:eastAsiaTheme="minorEastAsia"/>
          <w:sz w:val="24"/>
        </w:rPr>
        <w:t>不可抗力</w:t>
      </w:r>
      <w:r>
        <w:rPr>
          <w:rFonts w:asciiTheme="minorEastAsia" w:hAnsiTheme="minorEastAsia" w:eastAsiaTheme="minorEastAsia"/>
          <w:sz w:val="24"/>
        </w:rPr>
        <w:t>影响的一方在不可抗力发生后</w:t>
      </w:r>
      <w:r>
        <w:rPr>
          <w:rFonts w:hint="eastAsia" w:asciiTheme="minorEastAsia" w:hAnsiTheme="minorEastAsia" w:eastAsiaTheme="minorEastAsia"/>
          <w:sz w:val="24"/>
        </w:rPr>
        <w:t>，</w:t>
      </w:r>
      <w:r>
        <w:rPr>
          <w:rFonts w:asciiTheme="minorEastAsia" w:hAnsiTheme="minorEastAsia" w:eastAsiaTheme="minorEastAsia"/>
          <w:sz w:val="24"/>
        </w:rPr>
        <w:t>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约定时间内以书面形式通知</w:t>
      </w:r>
      <w:r>
        <w:rPr>
          <w:rFonts w:hint="eastAsia" w:asciiTheme="minorEastAsia" w:hAnsiTheme="minorEastAsia" w:eastAsiaTheme="minorEastAsia"/>
          <w:sz w:val="24"/>
        </w:rPr>
        <w:t>对</w:t>
      </w:r>
      <w:r>
        <w:rPr>
          <w:rFonts w:asciiTheme="minorEastAsia" w:hAnsiTheme="minorEastAsia" w:eastAsiaTheme="minorEastAsia"/>
          <w:sz w:val="24"/>
        </w:rPr>
        <w:t>方当事人，并在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约定时间内，将有关部门出具的证明文件送达</w:t>
      </w:r>
      <w:r>
        <w:rPr>
          <w:rFonts w:hint="eastAsia" w:asciiTheme="minorEastAsia" w:hAnsiTheme="minorEastAsia" w:eastAsiaTheme="minorEastAsia"/>
          <w:sz w:val="24"/>
        </w:rPr>
        <w:t>对方当事人</w:t>
      </w:r>
      <w:r>
        <w:rPr>
          <w:rFonts w:asciiTheme="minorEastAsia" w:hAnsiTheme="minorEastAsia" w:eastAsiaTheme="minorEastAsia"/>
          <w:sz w:val="24"/>
        </w:rPr>
        <w:t>。</w:t>
      </w:r>
    </w:p>
    <w:p>
      <w:pPr>
        <w:spacing w:line="560" w:lineRule="exact"/>
        <w:ind w:firstLine="482" w:firstLineChars="200"/>
        <w:outlineLvl w:val="2"/>
        <w:rPr>
          <w:rFonts w:asciiTheme="minorEastAsia" w:hAnsiTheme="minorEastAsia" w:eastAsiaTheme="minorEastAsia"/>
          <w:b/>
          <w:sz w:val="24"/>
        </w:rPr>
      </w:pPr>
      <w:bookmarkStart w:id="473" w:name="_Toc14115"/>
      <w:bookmarkStart w:id="474" w:name="_Toc24465"/>
      <w:bookmarkStart w:id="475" w:name="_Toc25783"/>
      <w:bookmarkStart w:id="476" w:name="_Toc23854"/>
      <w:bookmarkStart w:id="477" w:name="_Toc3638"/>
      <w:r>
        <w:rPr>
          <w:rFonts w:asciiTheme="minorEastAsia" w:hAnsiTheme="minorEastAsia" w:eastAsiaTheme="minorEastAsia"/>
          <w:b/>
          <w:sz w:val="24"/>
        </w:rPr>
        <w:t>2.12 税费</w:t>
      </w:r>
      <w:bookmarkEnd w:id="473"/>
      <w:bookmarkEnd w:id="474"/>
      <w:bookmarkEnd w:id="475"/>
      <w:bookmarkEnd w:id="476"/>
      <w:bookmarkEnd w:id="477"/>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与合同有关的一切税费</w:t>
      </w:r>
      <w:r>
        <w:rPr>
          <w:rFonts w:hint="eastAsia" w:asciiTheme="minorEastAsia" w:hAnsiTheme="minorEastAsia" w:eastAsiaTheme="minorEastAsia"/>
          <w:sz w:val="24"/>
        </w:rPr>
        <w:t>，</w:t>
      </w:r>
      <w:r>
        <w:rPr>
          <w:rFonts w:asciiTheme="minorEastAsia" w:hAnsiTheme="minorEastAsia" w:eastAsiaTheme="minorEastAsia"/>
          <w:sz w:val="24"/>
        </w:rPr>
        <w:t>均按照中华人民共和国法律的相关规定缴纳。</w:t>
      </w:r>
    </w:p>
    <w:p>
      <w:pPr>
        <w:spacing w:line="560" w:lineRule="exact"/>
        <w:ind w:firstLine="482" w:firstLineChars="200"/>
        <w:outlineLvl w:val="2"/>
        <w:rPr>
          <w:rFonts w:asciiTheme="minorEastAsia" w:hAnsiTheme="minorEastAsia" w:eastAsiaTheme="minorEastAsia"/>
          <w:b/>
          <w:sz w:val="24"/>
        </w:rPr>
      </w:pPr>
      <w:bookmarkStart w:id="478" w:name="_Toc26883"/>
      <w:bookmarkStart w:id="479" w:name="_Toc30105"/>
      <w:bookmarkStart w:id="480" w:name="_Toc7315"/>
      <w:bookmarkStart w:id="481" w:name="_Toc14814"/>
      <w:bookmarkStart w:id="482" w:name="_Toc25525"/>
      <w:r>
        <w:rPr>
          <w:rFonts w:asciiTheme="minorEastAsia" w:hAnsiTheme="minorEastAsia" w:eastAsiaTheme="minorEastAsia"/>
          <w:b/>
          <w:sz w:val="24"/>
        </w:rPr>
        <w:t>2.13 乙方破产</w:t>
      </w:r>
      <w:bookmarkEnd w:id="478"/>
      <w:bookmarkEnd w:id="479"/>
      <w:bookmarkEnd w:id="480"/>
      <w:bookmarkEnd w:id="481"/>
      <w:bookmarkEnd w:id="482"/>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如果乙方破产导致合同无法履行时，甲方可以书面形式通知乙方终止合同且不给予乙方任何补偿和赔偿</w:t>
      </w:r>
      <w:r>
        <w:rPr>
          <w:rFonts w:hint="eastAsia" w:asciiTheme="minorEastAsia" w:hAnsiTheme="minorEastAsia" w:eastAsiaTheme="minorEastAsia"/>
          <w:sz w:val="24"/>
        </w:rPr>
        <w:t>，但合同的</w:t>
      </w:r>
      <w:r>
        <w:rPr>
          <w:rFonts w:asciiTheme="minorEastAsia" w:hAnsiTheme="minorEastAsia" w:eastAsiaTheme="minorEastAsia"/>
          <w:sz w:val="24"/>
        </w:rPr>
        <w:t>终止不损害或不影响甲方已经采取或将要采取的任何要求乙方支付违约金</w:t>
      </w:r>
      <w:r>
        <w:rPr>
          <w:rFonts w:hint="eastAsia" w:asciiTheme="minorEastAsia" w:hAnsiTheme="minorEastAsia" w:eastAsiaTheme="minorEastAsia"/>
          <w:sz w:val="24"/>
        </w:rPr>
        <w:t>、</w:t>
      </w:r>
      <w:r>
        <w:rPr>
          <w:rFonts w:asciiTheme="minorEastAsia" w:hAnsiTheme="minorEastAsia" w:eastAsiaTheme="minorEastAsia"/>
          <w:sz w:val="24"/>
        </w:rPr>
        <w:t>赔偿损失等的行动或补救措施的权利</w:t>
      </w:r>
      <w:r>
        <w:rPr>
          <w:rFonts w:hint="eastAsia" w:asciiTheme="minorEastAsia" w:hAnsiTheme="minorEastAsia" w:eastAsiaTheme="minorEastAsia"/>
          <w:sz w:val="24"/>
        </w:rPr>
        <w:t>。</w:t>
      </w:r>
    </w:p>
    <w:p>
      <w:pPr>
        <w:spacing w:line="560" w:lineRule="exact"/>
        <w:ind w:firstLine="482" w:firstLineChars="200"/>
        <w:outlineLvl w:val="2"/>
        <w:rPr>
          <w:rFonts w:asciiTheme="minorEastAsia" w:hAnsiTheme="minorEastAsia" w:eastAsiaTheme="minorEastAsia"/>
          <w:b/>
          <w:sz w:val="24"/>
        </w:rPr>
      </w:pPr>
      <w:bookmarkStart w:id="483" w:name="_Toc23323"/>
      <w:bookmarkStart w:id="484" w:name="_Toc2016"/>
      <w:bookmarkStart w:id="485" w:name="_Toc1123"/>
      <w:r>
        <w:rPr>
          <w:rFonts w:asciiTheme="minorEastAsia" w:hAnsiTheme="minorEastAsia" w:eastAsiaTheme="minorEastAsia"/>
          <w:b/>
          <w:sz w:val="24"/>
        </w:rPr>
        <w:t>2.14 合同中止、终止</w:t>
      </w:r>
      <w:bookmarkEnd w:id="483"/>
      <w:bookmarkEnd w:id="484"/>
      <w:bookmarkEnd w:id="485"/>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2.14.1 </w:t>
      </w:r>
      <w:r>
        <w:rPr>
          <w:rFonts w:hint="eastAsia" w:asciiTheme="minorEastAsia" w:hAnsiTheme="minorEastAsia" w:eastAsiaTheme="minorEastAsia"/>
          <w:sz w:val="24"/>
        </w:rPr>
        <w:t>双方当事人不得擅自中止或者终止合同；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2"/>
        <w:rPr>
          <w:rFonts w:asciiTheme="minorEastAsia" w:hAnsiTheme="minorEastAsia" w:eastAsiaTheme="minorEastAsia"/>
          <w:b/>
          <w:sz w:val="24"/>
        </w:rPr>
      </w:pPr>
      <w:bookmarkStart w:id="486" w:name="_Toc1969"/>
      <w:bookmarkStart w:id="487" w:name="_Toc17363"/>
      <w:bookmarkStart w:id="488" w:name="_Toc14525"/>
      <w:r>
        <w:rPr>
          <w:rFonts w:asciiTheme="minorEastAsia" w:hAnsiTheme="minorEastAsia" w:eastAsiaTheme="minorEastAsia"/>
          <w:b/>
          <w:sz w:val="24"/>
        </w:rPr>
        <w:t>2.15 检验和验收</w:t>
      </w:r>
      <w:bookmarkEnd w:id="486"/>
      <w:bookmarkEnd w:id="487"/>
      <w:bookmarkEnd w:id="488"/>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2.15.1 </w:t>
      </w:r>
      <w:r>
        <w:rPr>
          <w:rFonts w:hint="eastAsia" w:asciiTheme="minorEastAsia" w:hAnsiTheme="minorEastAsia" w:eastAsiaTheme="minorEastAsia"/>
          <w:sz w:val="24"/>
        </w:rPr>
        <w:t>乙方按照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w:t>
      </w:r>
      <w:r>
        <w:rPr>
          <w:rFonts w:hint="eastAsia" w:asciiTheme="minorEastAsia" w:hAnsiTheme="minorEastAsia" w:eastAsiaTheme="minorEastAsia"/>
          <w:sz w:val="24"/>
        </w:rPr>
        <w:t>，</w:t>
      </w:r>
      <w:r>
        <w:rPr>
          <w:rFonts w:asciiTheme="minorEastAsia" w:hAnsiTheme="minorEastAsia" w:eastAsiaTheme="minorEastAsia"/>
          <w:sz w:val="24"/>
        </w:rPr>
        <w:t>定期提交服务报告</w:t>
      </w:r>
      <w:r>
        <w:rPr>
          <w:rFonts w:hint="eastAsia" w:asciiTheme="minorEastAsia" w:hAnsiTheme="minorEastAsia" w:eastAsiaTheme="minorEastAsia"/>
          <w:sz w:val="24"/>
        </w:rPr>
        <w:t>，甲方按照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的约定进行定期验收</w:t>
      </w:r>
      <w:r>
        <w:rPr>
          <w:rFonts w:hint="eastAsia" w:asciiTheme="minorEastAsia" w:hAnsiTheme="minorEastAsia" w:eastAsiaTheme="minorEastAsia"/>
          <w:sz w:val="24"/>
        </w:rPr>
        <w:t>；</w:t>
      </w:r>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2.15.2 </w:t>
      </w:r>
      <w:r>
        <w:rPr>
          <w:rFonts w:hint="eastAsia" w:asciiTheme="minorEastAsia" w:hAnsiTheme="minorEastAsia" w:eastAsiaTheme="minor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2.15.3 </w:t>
      </w:r>
      <w:r>
        <w:rPr>
          <w:rFonts w:hint="eastAsia" w:asciiTheme="minorEastAsia" w:hAnsiTheme="minorEastAsia" w:eastAsiaTheme="minorEastAsia"/>
          <w:sz w:val="24"/>
        </w:rPr>
        <w:t>检验和验收标准、程序等具体内容以及前述验收书的效力详见</w:t>
      </w:r>
      <w:r>
        <w:rPr>
          <w:rFonts w:asciiTheme="minorEastAsia" w:hAnsiTheme="minorEastAsia" w:eastAsiaTheme="minorEastAsia"/>
          <w:b/>
          <w:i/>
          <w:sz w:val="24"/>
          <w:u w:val="single"/>
        </w:rPr>
        <w:t>合同专用条款</w:t>
      </w:r>
      <w:r>
        <w:rPr>
          <w:rFonts w:hint="eastAsia" w:asciiTheme="minorEastAsia" w:hAnsiTheme="minorEastAsia" w:eastAsiaTheme="minorEastAsia"/>
          <w:i/>
          <w:sz w:val="24"/>
        </w:rPr>
        <w:t>。</w:t>
      </w:r>
    </w:p>
    <w:p>
      <w:pPr>
        <w:spacing w:line="560" w:lineRule="exact"/>
        <w:ind w:firstLine="482" w:firstLineChars="200"/>
        <w:outlineLvl w:val="2"/>
        <w:rPr>
          <w:rFonts w:asciiTheme="minorEastAsia" w:hAnsiTheme="minorEastAsia" w:eastAsiaTheme="minorEastAsia"/>
          <w:b/>
          <w:sz w:val="24"/>
        </w:rPr>
      </w:pPr>
      <w:bookmarkStart w:id="489" w:name="_Toc31892"/>
      <w:bookmarkStart w:id="490" w:name="_Toc9808"/>
      <w:bookmarkStart w:id="491" w:name="_Toc12666"/>
      <w:bookmarkStart w:id="492" w:name="_Toc2308"/>
      <w:bookmarkStart w:id="493" w:name="_Toc25198"/>
      <w:r>
        <w:rPr>
          <w:rFonts w:asciiTheme="minorEastAsia" w:hAnsiTheme="minorEastAsia" w:eastAsiaTheme="minorEastAsia"/>
          <w:b/>
          <w:sz w:val="24"/>
        </w:rPr>
        <w:t>2.16 通知和送达</w:t>
      </w:r>
      <w:bookmarkEnd w:id="489"/>
      <w:bookmarkEnd w:id="490"/>
      <w:bookmarkEnd w:id="491"/>
      <w:bookmarkEnd w:id="492"/>
      <w:bookmarkEnd w:id="493"/>
    </w:p>
    <w:p>
      <w:pPr>
        <w:spacing w:line="560" w:lineRule="exact"/>
        <w:ind w:firstLine="480" w:firstLineChars="200"/>
        <w:rPr>
          <w:rFonts w:asciiTheme="minorEastAsia" w:hAnsiTheme="minorEastAsia" w:eastAsiaTheme="minorEastAsia"/>
          <w:sz w:val="24"/>
        </w:rPr>
      </w:pPr>
      <w:bookmarkStart w:id="494" w:name="_Toc27674"/>
      <w:bookmarkStart w:id="495" w:name="_Toc18401"/>
      <w:r>
        <w:rPr>
          <w:rFonts w:asciiTheme="minorEastAsia" w:hAnsiTheme="minorEastAsia" w:eastAsiaTheme="minorEastAsia"/>
          <w:sz w:val="24"/>
        </w:rPr>
        <w:t>2.17.1</w:t>
      </w:r>
      <w:r>
        <w:rPr>
          <w:rFonts w:hint="eastAsia" w:asciiTheme="minorEastAsia" w:hAnsiTheme="minorEastAsia" w:eastAsiaTheme="minorEastAsia"/>
          <w:sz w:val="24"/>
        </w:rPr>
        <w:t>任何一方因履行合同而以合同第一部分尾部所列明的传真或电子邮件</w:t>
      </w:r>
      <w:r>
        <w:rPr>
          <w:rFonts w:asciiTheme="minorEastAsia" w:hAnsiTheme="minorEastAsia" w:eastAsiaTheme="minorEastAsia"/>
          <w:sz w:val="24"/>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发出的所有通知、文件、材料，均视为已向对方当事人送达；任何一方变更上述送达方式或者地址的，应于</w:t>
      </w:r>
      <w:r>
        <w:rPr>
          <w:rFonts w:asciiTheme="minorEastAsia" w:hAnsiTheme="minorEastAsia" w:eastAsiaTheme="minorEastAsia"/>
          <w:sz w:val="24"/>
          <w:u w:val="single"/>
        </w:rPr>
        <w:t>3</w:t>
      </w:r>
      <w:r>
        <w:rPr>
          <w:rFonts w:hint="eastAsia" w:asciiTheme="minorEastAsia" w:hAnsiTheme="minorEastAsia" w:eastAsiaTheme="minorEastAsia"/>
          <w:sz w:val="24"/>
        </w:rPr>
        <w:t>个工作日内书面通知对方当事人，在对方当事人收到有关变更通知之前，变更前的约定送达方式或者地址仍视为有效。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2.17.2以当面交付方式送达的，交付之时视为送达；以电子邮件方式送达的，发出电子邮件之时视为送达；以传真方式送达的，发出传真之时视为送达；以邮寄方式送达</w:t>
      </w:r>
      <w:r>
        <w:rPr>
          <w:rFonts w:hint="eastAsia" w:asciiTheme="minorEastAsia" w:hAnsiTheme="minorEastAsia" w:eastAsiaTheme="minorEastAsia"/>
          <w:sz w:val="24"/>
        </w:rPr>
        <w:t>的，邮件挂号寄出或者交邮之日之次日视为送达。</w:t>
      </w:r>
      <w:bookmarkEnd w:id="494"/>
      <w:bookmarkEnd w:id="495"/>
    </w:p>
    <w:p>
      <w:pPr>
        <w:spacing w:line="560" w:lineRule="exact"/>
        <w:ind w:firstLine="482" w:firstLineChars="200"/>
        <w:outlineLvl w:val="2"/>
        <w:rPr>
          <w:rFonts w:asciiTheme="minorEastAsia" w:hAnsiTheme="minorEastAsia" w:eastAsiaTheme="minorEastAsia"/>
          <w:b/>
          <w:sz w:val="24"/>
        </w:rPr>
      </w:pPr>
      <w:bookmarkStart w:id="496" w:name="_Toc12254"/>
      <w:bookmarkStart w:id="497" w:name="_Toc28906"/>
      <w:bookmarkStart w:id="498" w:name="_Toc20808"/>
      <w:bookmarkStart w:id="499" w:name="_Toc5063"/>
      <w:bookmarkStart w:id="500" w:name="_Toc27644"/>
      <w:r>
        <w:rPr>
          <w:rFonts w:asciiTheme="minorEastAsia" w:hAnsiTheme="minorEastAsia" w:eastAsiaTheme="minorEastAsia"/>
          <w:b/>
          <w:sz w:val="24"/>
        </w:rPr>
        <w:t xml:space="preserve">2.17 </w:t>
      </w:r>
      <w:r>
        <w:rPr>
          <w:rFonts w:hint="eastAsia" w:asciiTheme="minorEastAsia" w:hAnsiTheme="minorEastAsia" w:eastAsiaTheme="minorEastAsia"/>
          <w:b/>
          <w:sz w:val="24"/>
        </w:rPr>
        <w:t>合同使用的文字和</w:t>
      </w:r>
      <w:r>
        <w:rPr>
          <w:rFonts w:asciiTheme="minorEastAsia" w:hAnsiTheme="minorEastAsia" w:eastAsiaTheme="minorEastAsia"/>
          <w:b/>
          <w:sz w:val="24"/>
        </w:rPr>
        <w:t>适用的法律</w:t>
      </w:r>
      <w:bookmarkEnd w:id="496"/>
      <w:bookmarkEnd w:id="497"/>
      <w:bookmarkEnd w:id="498"/>
      <w:bookmarkEnd w:id="499"/>
      <w:bookmarkEnd w:id="500"/>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2.17.1 合同使用汉语书就</w:t>
      </w:r>
      <w:r>
        <w:rPr>
          <w:rFonts w:hint="eastAsia" w:asciiTheme="minorEastAsia" w:hAnsiTheme="minorEastAsia" w:eastAsiaTheme="minorEastAsia"/>
          <w:sz w:val="24"/>
        </w:rPr>
        <w:t>、</w:t>
      </w:r>
      <w:r>
        <w:rPr>
          <w:rFonts w:asciiTheme="minorEastAsia" w:hAnsiTheme="minorEastAsia" w:eastAsiaTheme="minorEastAsia"/>
          <w:sz w:val="24"/>
        </w:rPr>
        <w:t>变更和解释</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2.17.2 </w:t>
      </w:r>
      <w:r>
        <w:rPr>
          <w:rFonts w:hint="eastAsia" w:asciiTheme="minorEastAsia" w:hAnsiTheme="minorEastAsia" w:eastAsiaTheme="minorEastAsia"/>
          <w:sz w:val="24"/>
        </w:rPr>
        <w:t>合同适用</w:t>
      </w:r>
      <w:r>
        <w:rPr>
          <w:rFonts w:asciiTheme="minorEastAsia" w:hAnsiTheme="minorEastAsia" w:eastAsiaTheme="minorEastAsia"/>
          <w:sz w:val="24"/>
        </w:rPr>
        <w:t>中华人民共和国法律。</w:t>
      </w:r>
    </w:p>
    <w:p>
      <w:pPr>
        <w:spacing w:line="560" w:lineRule="exact"/>
        <w:ind w:firstLine="482" w:firstLineChars="200"/>
        <w:outlineLvl w:val="2"/>
        <w:rPr>
          <w:rFonts w:asciiTheme="minorEastAsia" w:hAnsiTheme="minorEastAsia" w:eastAsiaTheme="minorEastAsia"/>
          <w:b/>
          <w:sz w:val="24"/>
        </w:rPr>
      </w:pPr>
      <w:bookmarkStart w:id="501" w:name="_Toc22266"/>
      <w:bookmarkStart w:id="502" w:name="_Toc30096"/>
      <w:bookmarkStart w:id="503" w:name="_Toc1492"/>
      <w:bookmarkStart w:id="504" w:name="_Toc27127"/>
      <w:bookmarkStart w:id="505" w:name="_Toc27403"/>
      <w:r>
        <w:rPr>
          <w:rFonts w:asciiTheme="minorEastAsia" w:hAnsiTheme="minorEastAsia" w:eastAsiaTheme="minorEastAsia"/>
          <w:b/>
          <w:sz w:val="24"/>
        </w:rPr>
        <w:t>2.18 履约保证金</w:t>
      </w:r>
      <w:bookmarkEnd w:id="501"/>
      <w:bookmarkEnd w:id="502"/>
      <w:bookmarkEnd w:id="503"/>
      <w:bookmarkEnd w:id="504"/>
      <w:bookmarkEnd w:id="505"/>
    </w:p>
    <w:p>
      <w:pPr>
        <w:pStyle w:val="957"/>
        <w:spacing w:before="0" w:beforeAutospacing="0" w:after="0" w:afterAutospacing="0" w:line="360" w:lineRule="auto"/>
        <w:ind w:firstLine="420"/>
        <w:rPr>
          <w:rFonts w:asciiTheme="minorEastAsia" w:hAnsiTheme="minorEastAsia" w:eastAsiaTheme="minorEastAsia"/>
        </w:rPr>
      </w:pPr>
      <w:r>
        <w:rPr>
          <w:rFonts w:asciiTheme="minorEastAsia" w:hAnsiTheme="minorEastAsia" w:eastAsiaTheme="minorEastAsia"/>
        </w:rPr>
        <w:t xml:space="preserve">2.18.1 </w:t>
      </w:r>
      <w:r>
        <w:rPr>
          <w:rFonts w:hint="eastAsia" w:asciiTheme="minorEastAsia" w:hAnsiTheme="minorEastAsia" w:eastAsiaTheme="minorEastAsia"/>
        </w:rPr>
        <w:t>采购文件要求乙方提交履约保证金的，乙方应按</w:t>
      </w:r>
      <w:r>
        <w:rPr>
          <w:rFonts w:hint="eastAsia" w:asciiTheme="minorEastAsia" w:hAnsiTheme="minorEastAsia" w:eastAsiaTheme="minorEastAsia"/>
          <w:b/>
          <w:i/>
          <w:u w:val="single"/>
        </w:rPr>
        <w:t>合同专用条款</w:t>
      </w:r>
      <w:r>
        <w:rPr>
          <w:rFonts w:hint="eastAsia" w:asciiTheme="minorEastAsia" w:hAnsiTheme="minorEastAsia" w:eastAsiaTheme="minorEastAsia"/>
        </w:rPr>
        <w:t>约定的方式，以支票、汇票、本票或者金融机构、担保机构出具的保函等非现金形式，提交不超过合同金额</w:t>
      </w:r>
      <w:r>
        <w:rPr>
          <w:rFonts w:asciiTheme="minorEastAsia" w:hAnsiTheme="minorEastAsia" w:eastAsiaTheme="minorEastAsia"/>
        </w:rPr>
        <w:t>1%的履约保证金；鼓励和支持乙方以银行、保险公司出具的保函形式提供履约保证</w:t>
      </w:r>
      <w:r>
        <w:rPr>
          <w:rFonts w:hint="eastAsia" w:asciiTheme="minorEastAsia" w:hAnsiTheme="minorEastAsia" w:eastAsiaTheme="minorEastAsia"/>
        </w:rPr>
        <w:t>，乙方以银行、保险公司出具保函形式提交履约保证金的，甲方不得拒收。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2.18.2  </w:t>
      </w:r>
      <w:r>
        <w:rPr>
          <w:rFonts w:hint="eastAsia" w:asciiTheme="minorEastAsia" w:hAnsiTheme="minorEastAsia" w:eastAsiaTheme="minorEastAsia"/>
          <w:sz w:val="24"/>
        </w:rPr>
        <w:t>甲方在项目验收结束后及时退还履约保证金。</w:t>
      </w:r>
      <w:r>
        <w:rPr>
          <w:rFonts w:hint="eastAsia" w:ascii="宋体" w:hAnsi="宋体" w:cs="宋体"/>
          <w:sz w:val="24"/>
        </w:rPr>
        <w:t>甲方在项目通过验收之日起</w:t>
      </w:r>
      <w:r>
        <w:rPr>
          <w:rFonts w:hint="eastAsia" w:ascii="宋体" w:hAnsi="宋体" w:cs="宋体"/>
          <w:sz w:val="24"/>
          <w:u w:val="single"/>
        </w:rPr>
        <w:t xml:space="preserve"> </w:t>
      </w:r>
      <w:r>
        <w:rPr>
          <w:rFonts w:hint="eastAsia" w:ascii="宋体" w:hAnsi="宋体" w:cs="宋体"/>
          <w:b/>
          <w:i/>
          <w:sz w:val="24"/>
          <w:u w:val="single"/>
        </w:rPr>
        <w:t>合同专用条款</w:t>
      </w:r>
      <w:r>
        <w:rPr>
          <w:rFonts w:hint="eastAsia" w:ascii="宋体" w:hAnsi="宋体" w:cs="宋体"/>
          <w:sz w:val="24"/>
          <w:u w:val="single"/>
        </w:rPr>
        <w:t xml:space="preserve"> </w:t>
      </w:r>
      <w:r>
        <w:rPr>
          <w:rFonts w:hint="eastAsia" w:ascii="宋体" w:hAnsi="宋体" w:cs="宋体"/>
          <w:sz w:val="24"/>
        </w:rPr>
        <w:t>个工作日内将履约保证金退还乙方，逾期退还的，</w:t>
      </w:r>
      <w:r>
        <w:rPr>
          <w:rFonts w:hint="eastAsia" w:asciiTheme="minorEastAsia" w:hAnsiTheme="minorEastAsia" w:eastAsiaTheme="minorEastAsia"/>
          <w:sz w:val="24"/>
        </w:rPr>
        <w:t>乙方可要求甲方支付违约金，违约金按每迟延退还一日的应退还而未退还金额的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%计算，最高限额为本合同履约保证金的</w:t>
      </w:r>
      <w:r>
        <w:rPr>
          <w:rFonts w:asciiTheme="minorEastAsia" w:hAnsiTheme="minorEastAsia" w:eastAsiaTheme="minorEastAsia"/>
          <w:sz w:val="24"/>
          <w:u w:val="single"/>
        </w:rPr>
        <w:t xml:space="preserve">  20   </w:t>
      </w:r>
      <w:r>
        <w:rPr>
          <w:rFonts w:asciiTheme="minorEastAsia" w:hAnsiTheme="minorEastAsia" w:eastAsiaTheme="minorEastAsia"/>
          <w:sz w:val="24"/>
        </w:rPr>
        <w:t xml:space="preserve">%； </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2.18.3 </w:t>
      </w:r>
      <w:r>
        <w:rPr>
          <w:rFonts w:hint="eastAsia" w:asciiTheme="minorEastAsia" w:hAnsiTheme="minorEastAsia" w:eastAsiaTheme="minor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Theme="minorEastAsia" w:hAnsiTheme="minorEastAsia" w:eastAsiaTheme="minorEastAsia"/>
        </w:rPr>
      </w:pPr>
      <w:r>
        <w:rPr>
          <w:rFonts w:asciiTheme="minorEastAsia" w:hAnsiTheme="minorEastAsia" w:eastAsiaTheme="minorEastAsia"/>
          <w:sz w:val="24"/>
        </w:rPr>
        <w:t>2.18.4</w:t>
      </w:r>
      <w:r>
        <w:rPr>
          <w:rFonts w:hint="eastAsia" w:asciiTheme="minorEastAsia" w:hAnsiTheme="minorEastAsia" w:eastAsiaTheme="minorEastAsia"/>
          <w:sz w:val="24"/>
        </w:rPr>
        <w:t> 甲方</w:t>
      </w:r>
      <w:r>
        <w:rPr>
          <w:rFonts w:asciiTheme="minorEastAsia" w:hAnsiTheme="minorEastAsia" w:eastAsiaTheme="minorEastAsia"/>
          <w:sz w:val="24"/>
        </w:rPr>
        <w:t>在</w:t>
      </w:r>
      <w:r>
        <w:rPr>
          <w:rFonts w:hint="eastAsia" w:asciiTheme="minorEastAsia" w:hAnsiTheme="minorEastAsia" w:eastAsiaTheme="minorEastAsia"/>
          <w:sz w:val="24"/>
        </w:rPr>
        <w:t>乙方</w:t>
      </w:r>
      <w:r>
        <w:rPr>
          <w:rFonts w:asciiTheme="minorEastAsia" w:hAnsiTheme="minorEastAsia" w:eastAsiaTheme="minorEastAsia"/>
          <w:sz w:val="24"/>
        </w:rPr>
        <w:t>履行完合同约定义务事项后及时退还，延迟退还的，应当按照合同约定和法律规定承担相应的赔偿责任。</w:t>
      </w:r>
    </w:p>
    <w:p>
      <w:pPr>
        <w:spacing w:line="560" w:lineRule="exact"/>
        <w:ind w:firstLine="482" w:firstLineChars="200"/>
        <w:rPr>
          <w:rFonts w:asciiTheme="minorEastAsia" w:hAnsiTheme="minorEastAsia" w:eastAsiaTheme="minorEastAsia"/>
          <w:sz w:val="24"/>
        </w:rPr>
      </w:pPr>
      <w:r>
        <w:rPr>
          <w:rFonts w:asciiTheme="minorEastAsia" w:hAnsiTheme="minorEastAsia" w:eastAsiaTheme="minorEastAsia"/>
          <w:b/>
          <w:bCs/>
          <w:sz w:val="24"/>
        </w:rPr>
        <w:t>2.19</w:t>
      </w:r>
      <w:r>
        <w:rPr>
          <w:rFonts w:asciiTheme="minorEastAsia" w:hAnsiTheme="minorEastAsia" w:eastAsiaTheme="minorEastAsia"/>
          <w:sz w:val="24"/>
        </w:rPr>
        <w:t>对于因甲方原因导致变更、中止或者终止政府采购合同的，甲方应当依照合同约定对供应商受到的损失予以赔偿或者补偿</w:t>
      </w:r>
      <w:r>
        <w:rPr>
          <w:rFonts w:hint="eastAsia" w:asciiTheme="minorEastAsia" w:hAnsiTheme="minorEastAsia" w:eastAsiaTheme="minorEastAsia"/>
          <w:sz w:val="24"/>
        </w:rPr>
        <w:t>。</w:t>
      </w:r>
    </w:p>
    <w:p>
      <w:pPr>
        <w:spacing w:line="560" w:lineRule="exact"/>
        <w:ind w:firstLine="482" w:firstLineChars="200"/>
        <w:outlineLvl w:val="2"/>
        <w:rPr>
          <w:rFonts w:asciiTheme="minorEastAsia" w:hAnsiTheme="minorEastAsia" w:eastAsiaTheme="minorEastAsia"/>
          <w:b/>
          <w:sz w:val="24"/>
        </w:rPr>
      </w:pPr>
      <w:r>
        <w:rPr>
          <w:rFonts w:asciiTheme="minorEastAsia" w:hAnsiTheme="minorEastAsia" w:eastAsiaTheme="minorEastAsia"/>
          <w:b/>
          <w:sz w:val="24"/>
        </w:rPr>
        <w:t>2.20合同份数</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合同份数按</w:t>
      </w:r>
      <w:r>
        <w:rPr>
          <w:rFonts w:asciiTheme="minorEastAsia" w:hAnsiTheme="minorEastAsia" w:eastAsiaTheme="minorEastAsia"/>
          <w:b/>
          <w:i/>
          <w:sz w:val="24"/>
          <w:u w:val="single"/>
        </w:rPr>
        <w:t>合同专用条款</w:t>
      </w:r>
      <w:r>
        <w:rPr>
          <w:rFonts w:asciiTheme="minorEastAsia" w:hAnsiTheme="minorEastAsia" w:eastAsiaTheme="minorEastAsia"/>
          <w:sz w:val="24"/>
        </w:rPr>
        <w:t>规定</w:t>
      </w:r>
      <w:r>
        <w:rPr>
          <w:rFonts w:hint="eastAsia" w:asciiTheme="minorEastAsia" w:hAnsiTheme="minorEastAsia" w:eastAsiaTheme="minorEastAsia"/>
          <w:sz w:val="24"/>
        </w:rPr>
        <w:t>，</w:t>
      </w:r>
      <w:r>
        <w:rPr>
          <w:rFonts w:asciiTheme="minorEastAsia" w:hAnsiTheme="minorEastAsia" w:eastAsiaTheme="minorEastAsia"/>
          <w:sz w:val="24"/>
        </w:rPr>
        <w:t>每份均具有同等法律效力</w:t>
      </w:r>
      <w:r>
        <w:rPr>
          <w:rFonts w:hint="eastAsia" w:asciiTheme="minorEastAsia" w:hAnsiTheme="minorEastAsia" w:eastAsiaTheme="minorEastAsia"/>
          <w:sz w:val="24"/>
        </w:rPr>
        <w:t>。</w:t>
      </w:r>
    </w:p>
    <w:p>
      <w:pPr>
        <w:spacing w:line="360" w:lineRule="auto"/>
        <w:jc w:val="center"/>
        <w:outlineLvl w:val="1"/>
        <w:rPr>
          <w:rFonts w:ascii="宋体" w:hAnsi="宋体" w:cs="宋体"/>
          <w:b/>
          <w:sz w:val="24"/>
        </w:rPr>
      </w:pPr>
      <w:r>
        <w:rPr>
          <w:rFonts w:hint="eastAsia" w:ascii="宋体" w:hAnsi="宋体" w:cs="宋体"/>
          <w:kern w:val="0"/>
        </w:rPr>
        <w:br w:type="page"/>
      </w:r>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highlight w:val="none"/>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条款号</w:t>
            </w:r>
          </w:p>
        </w:tc>
        <w:tc>
          <w:tcPr>
            <w:tcW w:w="8275"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1.4.4</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 xml:space="preserve">1.5.1 </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1.5.2</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 xml:space="preserve">1.5.3 </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1.6.7</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1.7.1</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1.7.2</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2.3.2</w:t>
            </w:r>
          </w:p>
        </w:tc>
        <w:tc>
          <w:tcPr>
            <w:tcW w:w="8275" w:type="dxa"/>
            <w:vAlign w:val="center"/>
          </w:tcPr>
          <w:p>
            <w:pPr>
              <w:spacing w:line="360" w:lineRule="auto"/>
              <w:ind w:left="-420" w:leftChars="-200" w:right="-420" w:rightChars="-200" w:firstLine="480" w:firstLineChars="200"/>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5</w:t>
            </w:r>
          </w:p>
        </w:tc>
        <w:tc>
          <w:tcPr>
            <w:tcW w:w="8275" w:type="dxa"/>
            <w:vAlign w:val="center"/>
          </w:tcPr>
          <w:p>
            <w:pPr>
              <w:spacing w:line="360" w:lineRule="auto"/>
              <w:ind w:left="-420" w:leftChars="-200" w:right="-420" w:rightChars="-200" w:firstLine="480" w:firstLineChars="200"/>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11</w:t>
            </w:r>
            <w:r>
              <w:rPr>
                <w:rFonts w:hint="eastAsia" w:ascii="宋体" w:hAnsi="宋体" w:cs="宋体"/>
                <w:sz w:val="24"/>
                <w:highlight w:val="none"/>
              </w:rPr>
              <w:t>.</w:t>
            </w:r>
            <w:r>
              <w:rPr>
                <w:rFonts w:ascii="宋体" w:hAnsi="宋体" w:cs="宋体"/>
                <w:sz w:val="24"/>
                <w:highlight w:val="none"/>
              </w:rPr>
              <w:t>3</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11.4</w:t>
            </w:r>
            <w:r>
              <w:rPr>
                <w:rFonts w:hint="eastAsia" w:ascii="宋体" w:hAnsi="宋体" w:cs="宋体"/>
                <w:sz w:val="24"/>
                <w:highlight w:val="none"/>
              </w:rPr>
              <w:t xml:space="preserve"> </w:t>
            </w:r>
          </w:p>
        </w:tc>
        <w:tc>
          <w:tcPr>
            <w:tcW w:w="8275" w:type="dxa"/>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15</w:t>
            </w:r>
            <w:r>
              <w:rPr>
                <w:rFonts w:hint="eastAsia" w:ascii="宋体" w:hAnsi="宋体" w:cs="宋体"/>
                <w:sz w:val="24"/>
                <w:highlight w:val="none"/>
              </w:rPr>
              <w:t>.</w:t>
            </w:r>
            <w:r>
              <w:rPr>
                <w:rFonts w:ascii="宋体" w:hAnsi="宋体" w:cs="宋体"/>
                <w:sz w:val="24"/>
                <w:highlight w:val="none"/>
              </w:rPr>
              <w:t>1</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15</w:t>
            </w:r>
            <w:r>
              <w:rPr>
                <w:rFonts w:hint="eastAsia" w:ascii="宋体" w:hAnsi="宋体" w:cs="宋体"/>
                <w:sz w:val="24"/>
                <w:highlight w:val="none"/>
              </w:rPr>
              <w:t>.</w:t>
            </w:r>
            <w:r>
              <w:rPr>
                <w:rFonts w:ascii="宋体" w:hAnsi="宋体" w:cs="宋体"/>
                <w:sz w:val="24"/>
                <w:highlight w:val="none"/>
              </w:rPr>
              <w:t>3</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2.1</w:t>
            </w:r>
            <w:r>
              <w:rPr>
                <w:rFonts w:ascii="宋体" w:hAnsi="宋体" w:cs="宋体"/>
                <w:sz w:val="24"/>
                <w:highlight w:val="none"/>
              </w:rPr>
              <w:t>8</w:t>
            </w:r>
            <w:r>
              <w:rPr>
                <w:rFonts w:hint="eastAsia" w:ascii="宋体" w:hAnsi="宋体" w:cs="宋体"/>
                <w:sz w:val="24"/>
                <w:highlight w:val="none"/>
              </w:rPr>
              <w:t>.1</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2.1</w:t>
            </w:r>
            <w:r>
              <w:rPr>
                <w:rFonts w:ascii="宋体" w:hAnsi="宋体" w:cs="宋体"/>
                <w:sz w:val="24"/>
                <w:highlight w:val="none"/>
              </w:rPr>
              <w:t>8</w:t>
            </w:r>
            <w:r>
              <w:rPr>
                <w:rFonts w:hint="eastAsia" w:ascii="宋体" w:hAnsi="宋体" w:cs="宋体"/>
                <w:sz w:val="24"/>
                <w:highlight w:val="none"/>
              </w:rPr>
              <w:t>.</w:t>
            </w:r>
            <w:r>
              <w:rPr>
                <w:rFonts w:ascii="宋体" w:hAnsi="宋体" w:cs="宋体"/>
                <w:sz w:val="24"/>
                <w:highlight w:val="none"/>
              </w:rPr>
              <w:t>2</w:t>
            </w:r>
          </w:p>
        </w:tc>
        <w:tc>
          <w:tcPr>
            <w:tcW w:w="8275" w:type="dxa"/>
            <w:vAlign w:val="center"/>
          </w:tcPr>
          <w:p>
            <w:pPr>
              <w:spacing w:line="360" w:lineRule="auto"/>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ascii="宋体" w:hAnsi="宋体" w:cs="宋体"/>
                <w:sz w:val="24"/>
                <w:highlight w:val="none"/>
              </w:rPr>
            </w:pPr>
            <w:r>
              <w:rPr>
                <w:rFonts w:hint="eastAsia" w:ascii="宋体" w:hAnsi="宋体" w:cs="宋体"/>
                <w:sz w:val="24"/>
                <w:highlight w:val="none"/>
              </w:rPr>
              <w:t>2.20</w:t>
            </w:r>
          </w:p>
        </w:tc>
        <w:tc>
          <w:tcPr>
            <w:tcW w:w="8275" w:type="dxa"/>
          </w:tcPr>
          <w:p>
            <w:pPr>
              <w:spacing w:line="360" w:lineRule="auto"/>
              <w:rPr>
                <w:rFonts w:ascii="宋体" w:hAnsi="宋体" w:cs="宋体"/>
                <w:sz w:val="24"/>
                <w:highlight w:val="none"/>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rPr>
          <w:rFonts w:ascii="宋体" w:hAnsi="宋体" w:cs="宋体"/>
          <w:sz w:val="24"/>
        </w:rPr>
      </w:pPr>
    </w:p>
    <w:p>
      <w:pPr>
        <w:spacing w:line="360" w:lineRule="auto"/>
        <w:ind w:left="-420" w:leftChars="-200" w:right="-420" w:rightChars="-200" w:firstLine="480" w:firstLineChars="200"/>
        <w:jc w:val="center"/>
        <w:outlineLvl w:val="9"/>
        <w:rPr>
          <w:rFonts w:ascii="宋体" w:hAnsi="宋体" w:cs="宋体"/>
          <w:sz w:val="24"/>
        </w:rPr>
      </w:pPr>
    </w:p>
    <w:p>
      <w:pPr>
        <w:spacing w:line="360" w:lineRule="auto"/>
        <w:ind w:left="-420" w:leftChars="-200" w:right="-420" w:rightChars="-200" w:firstLine="480" w:firstLineChars="200"/>
        <w:jc w:val="center"/>
        <w:outlineLvl w:val="9"/>
        <w:rPr>
          <w:rFonts w:ascii="宋体" w:hAnsi="宋体" w:cs="宋体"/>
          <w:sz w:val="24"/>
        </w:rPr>
      </w:pPr>
    </w:p>
    <w:p>
      <w:pPr>
        <w:widowControl/>
        <w:adjustRightInd/>
        <w:jc w:val="left"/>
        <w:outlineLvl w:val="9"/>
        <w:rPr>
          <w:rFonts w:ascii="宋体" w:hAnsi="宋体" w:cs="宋体"/>
          <w:b/>
          <w:sz w:val="36"/>
          <w:szCs w:val="20"/>
        </w:rPr>
      </w:pPr>
      <w:r>
        <w:rPr>
          <w:rFonts w:ascii="宋体" w:hAnsi="宋体" w:cs="宋体"/>
          <w:b/>
          <w:sz w:val="36"/>
          <w:szCs w:val="20"/>
        </w:rPr>
        <w:br w:type="page"/>
      </w:r>
    </w:p>
    <w:p>
      <w:pPr>
        <w:spacing w:line="360" w:lineRule="auto"/>
        <w:jc w:val="center"/>
        <w:outlineLvl w:val="0"/>
        <w:rPr>
          <w:rFonts w:ascii="宋体" w:hAnsi="宋体" w:cs="宋体"/>
          <w:b/>
          <w:sz w:val="36"/>
          <w:szCs w:val="20"/>
        </w:rPr>
      </w:pPr>
      <w:r>
        <w:rPr>
          <w:rFonts w:hint="eastAsia" w:ascii="宋体" w:hAnsi="宋体" w:cs="宋体"/>
          <w:b/>
          <w:sz w:val="36"/>
          <w:szCs w:val="20"/>
        </w:rPr>
        <w:t>第六部分</w:t>
      </w:r>
      <w:bookmarkEnd w:id="393"/>
      <w:r>
        <w:rPr>
          <w:rFonts w:hint="eastAsia" w:ascii="宋体" w:hAnsi="宋体" w:cs="宋体"/>
          <w:b/>
          <w:sz w:val="36"/>
          <w:szCs w:val="20"/>
        </w:rPr>
        <w:t xml:space="preserve"> </w:t>
      </w:r>
      <w:bookmarkEnd w:id="394"/>
      <w:r>
        <w:rPr>
          <w:rFonts w:hint="eastAsia" w:ascii="宋体" w:hAnsi="宋体" w:cs="宋体"/>
          <w:b/>
          <w:sz w:val="36"/>
          <w:szCs w:val="20"/>
        </w:rPr>
        <w:t>应提交的有关格式范例</w:t>
      </w:r>
    </w:p>
    <w:p>
      <w:pPr>
        <w:spacing w:line="360" w:lineRule="auto"/>
        <w:jc w:val="center"/>
        <w:outlineLvl w:val="9"/>
        <w:rPr>
          <w:rFonts w:ascii="宋体" w:hAnsi="宋体" w:cs="宋体"/>
          <w:b/>
          <w:kern w:val="0"/>
          <w:sz w:val="36"/>
          <w:szCs w:val="36"/>
        </w:rPr>
      </w:pPr>
    </w:p>
    <w:p>
      <w:pPr>
        <w:spacing w:line="360" w:lineRule="auto"/>
        <w:jc w:val="center"/>
        <w:outlineLvl w:val="1"/>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9"/>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9"/>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outlineLvl w:val="2"/>
        <w:rPr>
          <w:rFonts w:ascii="宋体" w:hAnsi="宋体" w:cs="宋体"/>
          <w:b/>
          <w:color w:val="auto"/>
          <w:kern w:val="0"/>
          <w:sz w:val="32"/>
          <w:szCs w:val="32"/>
        </w:rPr>
      </w:pPr>
      <w:r>
        <w:rPr>
          <w:rFonts w:hint="eastAsia" w:ascii="宋体" w:hAnsi="宋体" w:cs="宋体"/>
          <w:kern w:val="0"/>
          <w:sz w:val="24"/>
        </w:rPr>
        <w:br w:type="page"/>
      </w:r>
      <w:r>
        <w:rPr>
          <w:rFonts w:hint="eastAsia" w:ascii="宋体" w:hAnsi="宋体" w:cs="宋体"/>
          <w:b/>
          <w:color w:val="auto"/>
          <w:kern w:val="0"/>
          <w:sz w:val="32"/>
          <w:szCs w:val="32"/>
        </w:rPr>
        <w:t>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我方参与（项目名称）【招标编号：（采购编号）】政府采购活动，郑重承诺：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firstLine="480" w:firstLineChars="200"/>
        <w:jc w:val="left"/>
        <w:rPr>
          <w:rFonts w:ascii="宋体" w:hAnsi="宋体" w:cs="宋体"/>
          <w:b/>
          <w:kern w:val="0"/>
          <w:sz w:val="32"/>
          <w:szCs w:val="32"/>
          <w:highlight w:val="none"/>
        </w:rPr>
      </w:pPr>
      <w:r>
        <w:rPr>
          <w:rFonts w:hint="eastAsia" w:cs="仿宋_GB2312" w:asciiTheme="minorEastAsia" w:hAnsiTheme="minorEastAsia" w:eastAsiaTheme="minorEastAsia"/>
          <w:sz w:val="24"/>
          <w:highlight w:val="none"/>
        </w:rPr>
        <w:t>注：根据《</w:t>
      </w:r>
      <w:r>
        <w:rPr>
          <w:rFonts w:cs="仿宋_GB2312" w:asciiTheme="minorEastAsia" w:hAnsiTheme="minorEastAsia" w:eastAsiaTheme="minorEastAsia"/>
          <w:sz w:val="24"/>
          <w:highlight w:val="none"/>
        </w:rPr>
        <w:t>关于规范政府采购供应商资格设定及资格审查的通知</w:t>
      </w:r>
      <w:r>
        <w:rPr>
          <w:rFonts w:hint="eastAsia" w:cs="仿宋_GB2312" w:asciiTheme="minorEastAsia" w:hAnsiTheme="minorEastAsia" w:eastAsiaTheme="minorEastAsia"/>
          <w:sz w:val="24"/>
          <w:highlight w:val="none"/>
        </w:rPr>
        <w:t>》（</w:t>
      </w:r>
      <w:r>
        <w:rPr>
          <w:rFonts w:cs="仿宋_GB2312" w:asciiTheme="minorEastAsia" w:hAnsiTheme="minorEastAsia" w:eastAsiaTheme="minorEastAsia"/>
          <w:sz w:val="24"/>
          <w:highlight w:val="none"/>
        </w:rPr>
        <w:t>浙财采监[2013]24号</w:t>
      </w:r>
      <w:r>
        <w:rPr>
          <w:rFonts w:hint="eastAsia" w:cs="仿宋_GB2312" w:asciiTheme="minorEastAsia" w:hAnsiTheme="minorEastAsia" w:eastAsiaTheme="minorEastAsia"/>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jc w:val="left"/>
        <w:rPr>
          <w:rFonts w:ascii="宋体" w:hAnsi="宋体" w:cs="宋体"/>
          <w:b/>
          <w:kern w:val="0"/>
          <w:sz w:val="32"/>
          <w:szCs w:val="32"/>
          <w:highlight w:val="none"/>
        </w:rPr>
      </w:pPr>
      <w:r>
        <w:rPr>
          <w:rFonts w:ascii="宋体" w:hAnsi="宋体" w:cs="宋体"/>
          <w:b/>
          <w:kern w:val="0"/>
          <w:sz w:val="32"/>
          <w:szCs w:val="32"/>
          <w:highlight w:val="none"/>
        </w:rPr>
        <w:br w:type="page"/>
      </w:r>
    </w:p>
    <w:p>
      <w:pPr>
        <w:widowControl/>
        <w:spacing w:line="360" w:lineRule="auto"/>
        <w:ind w:firstLine="643" w:firstLineChars="200"/>
        <w:jc w:val="center"/>
        <w:outlineLvl w:val="2"/>
        <w:rPr>
          <w:rFonts w:ascii="宋体" w:hAnsi="宋体" w:cs="宋体"/>
          <w:b/>
          <w:color w:val="auto"/>
          <w:kern w:val="0"/>
          <w:sz w:val="32"/>
          <w:szCs w:val="32"/>
        </w:rPr>
      </w:pPr>
      <w:r>
        <w:rPr>
          <w:rFonts w:hint="eastAsia" w:ascii="宋体" w:hAnsi="宋体" w:cs="宋体"/>
          <w:b/>
          <w:color w:val="auto"/>
          <w:kern w:val="0"/>
          <w:sz w:val="32"/>
          <w:szCs w:val="32"/>
        </w:rPr>
        <w:t>二、联合协议（如果有）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outlineLvl w:val="2"/>
        <w:rPr>
          <w:rFonts w:ascii="宋体" w:hAnsi="宋体" w:cs="宋体"/>
          <w:b/>
          <w:color w:val="auto"/>
          <w:kern w:val="0"/>
          <w:sz w:val="32"/>
          <w:szCs w:val="32"/>
        </w:rPr>
      </w:pPr>
      <w:r>
        <w:rPr>
          <w:rFonts w:hint="eastAsia" w:ascii="宋体" w:hAnsi="宋体" w:cs="宋体"/>
          <w:b/>
          <w:color w:val="auto"/>
          <w:kern w:val="0"/>
          <w:sz w:val="32"/>
          <w:szCs w:val="32"/>
        </w:rPr>
        <w:t>三、落实政府采购政策需满足的资格要求（如果有）</w:t>
      </w:r>
    </w:p>
    <w:p>
      <w:pPr>
        <w:spacing w:line="360" w:lineRule="auto"/>
        <w:rPr>
          <w:rFonts w:ascii="宋体" w:hAnsi="宋体" w:cs="宋体"/>
          <w:color w:val="auto"/>
          <w:sz w:val="24"/>
        </w:rPr>
      </w:pPr>
      <w:r>
        <w:rPr>
          <w:rFonts w:hint="eastAsia" w:ascii="宋体" w:hAnsi="宋体" w:cs="宋体"/>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rPr>
      </w:pPr>
      <w:r>
        <w:rPr>
          <w:rFonts w:hint="eastAsia" w:ascii="宋体" w:hAnsi="宋体" w:cs="宋体"/>
          <w:b/>
          <w:color w:val="auto"/>
          <w:sz w:val="24"/>
        </w:rPr>
        <w:t>A</w:t>
      </w:r>
      <w:r>
        <w:rPr>
          <w:rFonts w:hint="eastAsia" w:ascii="宋体" w:hAnsi="宋体" w:cs="宋体"/>
          <w:color w:val="auto"/>
          <w:sz w:val="24"/>
        </w:rPr>
        <w:t>.专门面向中小企业，服务全部由符合政策要求的中小企业（或小微企业）承接的，提供相应的中小企业声明函（附件</w:t>
      </w:r>
      <w:r>
        <w:rPr>
          <w:rFonts w:ascii="宋体" w:hAnsi="宋体" w:cs="宋体"/>
          <w:color w:val="auto"/>
          <w:sz w:val="24"/>
        </w:rPr>
        <w:t>7</w:t>
      </w:r>
      <w:r>
        <w:rPr>
          <w:rFonts w:hint="eastAsia" w:ascii="宋体" w:hAnsi="宋体" w:cs="宋体"/>
          <w:color w:val="auto"/>
          <w:sz w:val="24"/>
        </w:rPr>
        <w:t xml:space="preserve">）。 </w:t>
      </w:r>
    </w:p>
    <w:p>
      <w:pPr>
        <w:widowControl/>
        <w:spacing w:line="360" w:lineRule="auto"/>
        <w:ind w:firstLine="480"/>
        <w:jc w:val="left"/>
        <w:rPr>
          <w:rFonts w:ascii="宋体" w:hAnsi="宋体" w:cs="宋体"/>
          <w:color w:val="auto"/>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color w:val="auto"/>
          <w:sz w:val="24"/>
        </w:rPr>
        <w:t>B.</w:t>
      </w:r>
      <w:r>
        <w:rPr>
          <w:rFonts w:hint="eastAsia" w:ascii="宋体" w:hAnsi="宋体" w:cs="宋体"/>
          <w:color w:val="auto"/>
          <w:sz w:val="24"/>
        </w:rPr>
        <w:t>要求以联合体形式参加的，提供联合协议（附件</w:t>
      </w:r>
      <w:r>
        <w:rPr>
          <w:rFonts w:ascii="宋体" w:hAnsi="宋体" w:cs="宋体"/>
          <w:color w:val="auto"/>
          <w:sz w:val="24"/>
        </w:rPr>
        <w:t>5</w:t>
      </w:r>
      <w:r>
        <w:rPr>
          <w:rFonts w:hint="eastAsia" w:ascii="宋体" w:hAnsi="宋体" w:cs="宋体"/>
          <w:color w:val="auto"/>
          <w:sz w:val="24"/>
        </w:rPr>
        <w:t>）和中小企业声明函（附件</w:t>
      </w:r>
      <w:r>
        <w:rPr>
          <w:rFonts w:ascii="宋体" w:hAnsi="宋体" w:cs="宋体"/>
          <w:color w:val="auto"/>
          <w:sz w:val="24"/>
        </w:rPr>
        <w:t>7</w:t>
      </w:r>
      <w:r>
        <w:rPr>
          <w:rFonts w:hint="eastAsia" w:ascii="宋体" w:hAnsi="宋体" w:cs="宋体"/>
          <w:color w:val="auto"/>
          <w:sz w:val="24"/>
        </w:rPr>
        <w:t>），联合协议中中小企业合同金额应当达到招标公告载明的比例；如果供应商本身提供所有标的均由中小企业承接的，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rPr>
      </w:pPr>
    </w:p>
    <w:p>
      <w:pPr>
        <w:widowControl/>
        <w:spacing w:line="360" w:lineRule="auto"/>
        <w:ind w:left="150"/>
        <w:jc w:val="center"/>
        <w:outlineLvl w:val="2"/>
        <w:rPr>
          <w:rFonts w:ascii="宋体" w:hAnsi="宋体" w:cs="宋体"/>
          <w:b/>
          <w:color w:val="auto"/>
          <w:kern w:val="0"/>
          <w:sz w:val="32"/>
          <w:szCs w:val="32"/>
        </w:rPr>
      </w:pPr>
      <w:r>
        <w:rPr>
          <w:rFonts w:hint="eastAsia" w:ascii="宋体" w:hAnsi="宋体" w:cs="宋体"/>
          <w:b/>
          <w:color w:val="auto"/>
          <w:kern w:val="0"/>
          <w:sz w:val="32"/>
          <w:szCs w:val="32"/>
        </w:rPr>
        <w:t>四、本项目的特定资格要求（如果有）</w:t>
      </w:r>
    </w:p>
    <w:p>
      <w:pPr>
        <w:spacing w:line="360" w:lineRule="auto"/>
        <w:jc w:val="center"/>
        <w:rPr>
          <w:rFonts w:ascii="宋体" w:hAnsi="宋体" w:cs="宋体"/>
          <w:color w:val="auto"/>
          <w:sz w:val="24"/>
        </w:rPr>
      </w:pPr>
      <w:r>
        <w:rPr>
          <w:rFonts w:hint="eastAsia" w:ascii="宋体" w:hAnsi="宋体" w:cs="宋体"/>
          <w:color w:val="auto"/>
          <w:sz w:val="24"/>
        </w:rPr>
        <w:t>（根据招标公告本项目的特定资格要求提供相应的材料；未要求的，无需提供）</w:t>
      </w:r>
    </w:p>
    <w:p>
      <w:pPr>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widowControl/>
        <w:adjustRightInd/>
        <w:jc w:val="left"/>
        <w:rPr>
          <w:rFonts w:ascii="宋体" w:hAnsi="宋体" w:cs="宋体"/>
          <w:b/>
          <w:color w:val="auto"/>
          <w:kern w:val="0"/>
          <w:sz w:val="36"/>
          <w:szCs w:val="36"/>
        </w:rPr>
      </w:pPr>
      <w:r>
        <w:rPr>
          <w:rFonts w:ascii="宋体" w:hAnsi="宋体" w:cs="宋体"/>
          <w:b/>
          <w:color w:val="auto"/>
          <w:kern w:val="0"/>
          <w:sz w:val="36"/>
          <w:szCs w:val="36"/>
        </w:rPr>
        <w:br w:type="page"/>
      </w:r>
    </w:p>
    <w:p>
      <w:pPr>
        <w:spacing w:line="360" w:lineRule="auto"/>
        <w:jc w:val="center"/>
        <w:outlineLvl w:val="1"/>
        <w:rPr>
          <w:rFonts w:ascii="宋体" w:hAnsi="宋体" w:cs="宋体"/>
          <w:b/>
          <w:color w:val="auto"/>
          <w:kern w:val="0"/>
          <w:sz w:val="36"/>
          <w:szCs w:val="36"/>
        </w:rPr>
      </w:pPr>
      <w:r>
        <w:rPr>
          <w:rFonts w:hint="eastAsia" w:ascii="宋体" w:hAnsi="宋体" w:cs="宋体"/>
          <w:b/>
          <w:color w:val="auto"/>
          <w:kern w:val="0"/>
          <w:sz w:val="36"/>
          <w:szCs w:val="36"/>
        </w:rPr>
        <w:t>商务技术文件部分</w:t>
      </w:r>
    </w:p>
    <w:p>
      <w:pPr>
        <w:spacing w:line="360" w:lineRule="auto"/>
        <w:jc w:val="center"/>
        <w:outlineLvl w:val="9"/>
        <w:rPr>
          <w:rFonts w:ascii="宋体" w:hAnsi="宋体" w:cs="宋体"/>
          <w:b/>
          <w:color w:val="auto"/>
          <w:kern w:val="0"/>
          <w:sz w:val="24"/>
        </w:rPr>
      </w:pPr>
    </w:p>
    <w:p>
      <w:pPr>
        <w:spacing w:line="360" w:lineRule="auto"/>
        <w:jc w:val="center"/>
        <w:outlineLvl w:val="9"/>
        <w:rPr>
          <w:rFonts w:ascii="宋体" w:hAnsi="宋体" w:cs="宋体"/>
          <w:b/>
          <w:color w:val="auto"/>
          <w:kern w:val="0"/>
          <w:sz w:val="28"/>
          <w:szCs w:val="28"/>
        </w:rPr>
      </w:pPr>
      <w:r>
        <w:rPr>
          <w:rFonts w:hint="eastAsia" w:ascii="宋体" w:hAnsi="宋体" w:cs="宋体"/>
          <w:b/>
          <w:color w:val="auto"/>
          <w:kern w:val="0"/>
          <w:sz w:val="28"/>
          <w:szCs w:val="28"/>
        </w:rPr>
        <w:t>目录</w:t>
      </w:r>
    </w:p>
    <w:p>
      <w:pPr>
        <w:snapToGrid w:val="0"/>
        <w:spacing w:line="360" w:lineRule="auto"/>
        <w:ind w:left="479" w:leftChars="228"/>
        <w:rPr>
          <w:rFonts w:ascii="宋体" w:hAnsi="宋体" w:cs="宋体"/>
          <w:color w:val="auto"/>
        </w:rPr>
      </w:pPr>
      <w:r>
        <w:rPr>
          <w:rFonts w:hint="eastAsia" w:ascii="宋体" w:hAnsi="宋体" w:cs="宋体"/>
          <w:color w:val="auto"/>
          <w:sz w:val="24"/>
        </w:rPr>
        <w:t>（1）投标函</w:t>
      </w:r>
      <w:r>
        <w:rPr>
          <w:rFonts w:hint="eastAsia" w:ascii="宋体" w:hAnsi="宋体" w:cs="宋体"/>
          <w:color w:val="auto"/>
        </w:rPr>
        <w:t>…………………………………………………………………………………（页码）</w:t>
      </w:r>
      <w:r>
        <w:rPr>
          <w:rFonts w:hint="eastAsia" w:ascii="宋体" w:hAnsi="宋体" w:cs="宋体"/>
          <w:color w:val="auto"/>
          <w:sz w:val="24"/>
        </w:rPr>
        <w:t>（2）授权委托书或法定代表人（单位负责人、自然人本人）身份证明</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color w:val="auto"/>
        </w:rPr>
        <w:t>…………………………………………………………………………（页码）</w:t>
      </w:r>
    </w:p>
    <w:p>
      <w:pPr>
        <w:snapToGrid w:val="0"/>
        <w:spacing w:line="360" w:lineRule="auto"/>
        <w:ind w:firstLine="480" w:firstLineChars="200"/>
        <w:rPr>
          <w:rFonts w:ascii="宋体" w:hAnsi="宋体" w:cs="宋体"/>
          <w:color w:val="auto"/>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）符合性审查资料</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）评标标准相应的商务技术资料</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）投标标的清单</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7</w:t>
      </w:r>
      <w:r>
        <w:rPr>
          <w:rFonts w:hint="eastAsia" w:ascii="宋体" w:hAnsi="宋体" w:cs="宋体"/>
          <w:color w:val="auto"/>
          <w:sz w:val="24"/>
        </w:rPr>
        <w:t>）商务技术偏离表</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r>
        <w:rPr>
          <w:rFonts w:hint="eastAsia" w:ascii="宋体" w:hAnsi="宋体" w:cs="宋体"/>
          <w:color w:val="auto"/>
        </w:rPr>
        <w:t>…………………………………………………（页码）</w:t>
      </w: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2"/>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506" w:name="_Hlk101257010"/>
      <w:r>
        <w:rPr>
          <w:rFonts w:hint="eastAsia" w:ascii="宋体" w:hAnsi="宋体" w:cs="宋体"/>
          <w:color w:val="auto"/>
          <w:sz w:val="24"/>
        </w:rPr>
        <w:t>（如果有)</w:t>
      </w:r>
      <w:bookmarkEnd w:id="506"/>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4.3按照招标文件要求提交履约保证金；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3600" w:firstLineChars="1500"/>
        <w:rPr>
          <w:rFonts w:ascii="宋体" w:hAnsi="宋体" w:cs="宋体"/>
          <w:color w:val="auto"/>
          <w:sz w:val="24"/>
        </w:rPr>
      </w:pPr>
      <w:r>
        <w:rPr>
          <w:rFonts w:hint="eastAsia" w:ascii="宋体" w:hAnsi="宋体" w:cs="宋体"/>
          <w:color w:val="auto"/>
          <w:sz w:val="24"/>
        </w:rPr>
        <w:t xml:space="preserve">投标人名称（电子签名）：                          </w:t>
      </w:r>
    </w:p>
    <w:p>
      <w:pPr>
        <w:spacing w:line="360" w:lineRule="auto"/>
        <w:jc w:val="center"/>
        <w:rPr>
          <w:rFonts w:ascii="宋体" w:hAnsi="宋体" w:cs="宋体"/>
          <w:color w:val="auto"/>
          <w:sz w:val="24"/>
        </w:rPr>
      </w:pPr>
      <w:r>
        <w:rPr>
          <w:rFonts w:hint="eastAsia" w:ascii="宋体" w:hAnsi="宋体" w:cs="宋体"/>
          <w:color w:val="auto"/>
          <w:sz w:val="24"/>
        </w:rPr>
        <w:t xml:space="preserve">     日期：  年   月   日</w:t>
      </w:r>
    </w:p>
    <w:p>
      <w:pPr>
        <w:snapToGrid w:val="0"/>
        <w:spacing w:line="360" w:lineRule="auto"/>
        <w:ind w:left="420" w:leftChars="200" w:firstLine="4200" w:firstLineChars="1750"/>
        <w:rPr>
          <w:rFonts w:ascii="宋体" w:hAnsi="宋体" w:cs="宋体"/>
          <w:color w:val="auto"/>
          <w:kern w:val="0"/>
          <w:sz w:val="24"/>
          <w:u w:val="single"/>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napToGrid w:val="0"/>
        <w:spacing w:line="360" w:lineRule="auto"/>
        <w:jc w:val="center"/>
        <w:rPr>
          <w:rFonts w:ascii="宋体" w:hAnsi="宋体" w:cs="宋体"/>
          <w:b/>
          <w:color w:val="auto"/>
          <w:kern w:val="0"/>
          <w:sz w:val="32"/>
          <w:szCs w:val="32"/>
        </w:rPr>
      </w:pP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tabs>
          <w:tab w:val="left" w:pos="432"/>
        </w:tabs>
        <w:outlineLvl w:val="9"/>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jc w:val="center"/>
        <w:outlineLvl w:val="2"/>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snapToGrid w:val="0"/>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6"/>
        <w:spacing w:line="360" w:lineRule="auto"/>
        <w:rPr>
          <w:rFonts w:hAnsi="宋体" w:cs="宋体"/>
          <w:bCs/>
          <w:sz w:val="24"/>
        </w:rPr>
      </w:pP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                                 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outlineLvl w:val="2"/>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auto"/>
          <w:kern w:val="0"/>
          <w:sz w:val="32"/>
          <w:szCs w:val="32"/>
        </w:rPr>
        <w:t>（如果有）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snapToGrid w:val="0"/>
        <w:spacing w:line="360" w:lineRule="auto"/>
        <w:jc w:val="center"/>
        <w:outlineLvl w:val="2"/>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jc w:val="center"/>
        <w:outlineLvl w:val="2"/>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jc w:val="center"/>
        <w:outlineLvl w:val="2"/>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jc w:val="center"/>
        <w:outlineLvl w:val="2"/>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snapToGrid w:val="0"/>
        <w:spacing w:line="360" w:lineRule="auto"/>
        <w:jc w:val="center"/>
        <w:outlineLvl w:val="2"/>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1"/>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9"/>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9"/>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2"/>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0000FF"/>
          <w:sz w:val="24"/>
        </w:rPr>
        <w:t>（项目名称）</w:t>
      </w:r>
      <w:r>
        <w:rPr>
          <w:rFonts w:hint="eastAsia" w:ascii="宋体" w:hAnsi="宋体" w:cs="宋体"/>
          <w:kern w:val="0"/>
          <w:sz w:val="24"/>
          <w:lang w:val="zh-CN"/>
        </w:rPr>
        <w:t>【招标编号：</w:t>
      </w:r>
      <w:r>
        <w:rPr>
          <w:rFonts w:hint="eastAsia" w:ascii="宋体" w:hAnsi="宋体" w:cs="宋体"/>
          <w:color w:val="FF0000"/>
          <w:sz w:val="24"/>
        </w:rPr>
        <w:t>（采购编号）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992"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2268"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410" w:type="dxa"/>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268" w:type="dxa"/>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126"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2127"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服务人数</w:t>
            </w:r>
          </w:p>
        </w:tc>
        <w:tc>
          <w:tcPr>
            <w:tcW w:w="2126"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1</w:t>
            </w:r>
          </w:p>
        </w:tc>
        <w:tc>
          <w:tcPr>
            <w:tcW w:w="992"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2</w:t>
            </w:r>
          </w:p>
        </w:tc>
        <w:tc>
          <w:tcPr>
            <w:tcW w:w="992"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w:t>
            </w:r>
          </w:p>
        </w:tc>
        <w:tc>
          <w:tcPr>
            <w:tcW w:w="992" w:type="dxa"/>
            <w:vAlign w:val="center"/>
          </w:tcPr>
          <w:p>
            <w:pPr>
              <w:snapToGrid w:val="0"/>
              <w:spacing w:line="360" w:lineRule="auto"/>
              <w:jc w:val="center"/>
              <w:rPr>
                <w:rFonts w:ascii="宋体" w:hAnsi="宋体" w:cs="宋体"/>
                <w:color w:val="0000FF"/>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4"/>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4"/>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1、投标人需按本表格式填写</w:t>
      </w:r>
      <w:r>
        <w:rPr>
          <w:rFonts w:hint="eastAsia" w:ascii="宋体" w:hAnsi="宋体" w:cs="宋体"/>
          <w:b/>
          <w:kern w:val="0"/>
          <w:sz w:val="24"/>
          <w:highlight w:val="none"/>
          <w:lang w:val="zh-CN"/>
        </w:rPr>
        <w:t>，</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投标文件含有采购人不能接受的附加条件，投标无效</w:t>
      </w:r>
      <w:r>
        <w:rPr>
          <w:rFonts w:hint="eastAsia" w:ascii="宋体" w:hAnsi="宋体" w:cs="宋体"/>
          <w:b/>
          <w:kern w:val="0"/>
          <w:sz w:val="24"/>
          <w:highlight w:val="none"/>
          <w:lang w:val="zh-CN"/>
        </w:rPr>
        <w:t>；</w:t>
      </w:r>
      <w:r>
        <w:rPr>
          <w:rFonts w:hint="eastAsia" w:ascii="宋体" w:hAnsi="宋体" w:cs="宋体"/>
          <w:kern w:val="0"/>
          <w:sz w:val="24"/>
          <w:highlight w:val="none"/>
          <w:lang w:val="zh-CN"/>
        </w:rPr>
        <w:t>。</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lang w:val="zh-CN"/>
        </w:rPr>
        <w:t>2、有关本项目实施所涉及的一切费用均计入报价。合同总价不为零，报价明细表中部分产品、服务单价为零的，视作已包含在总价中。</w:t>
      </w:r>
      <w:r>
        <w:rPr>
          <w:rFonts w:hint="eastAsia" w:ascii="宋体" w:hAnsi="宋体" w:cs="宋体"/>
          <w:b/>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kern w:val="0"/>
          <w:sz w:val="24"/>
          <w:highlight w:val="none"/>
        </w:rPr>
        <w:t>视为</w:t>
      </w:r>
      <w:r>
        <w:rPr>
          <w:rFonts w:hint="eastAsia" w:ascii="宋体" w:hAnsi="宋体" w:cs="宋体"/>
          <w:b/>
          <w:sz w:val="24"/>
          <w:highlight w:val="none"/>
        </w:rPr>
        <w:t>投标文件含有采购人不能接受的附加条件的，投标无效。</w:t>
      </w:r>
    </w:p>
    <w:p>
      <w:pPr>
        <w:snapToGrid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FF0000"/>
          <w:kern w:val="0"/>
          <w:sz w:val="24"/>
          <w:highlight w:val="none"/>
          <w:lang w:val="zh-CN"/>
        </w:rPr>
      </w:pPr>
      <w:r>
        <w:rPr>
          <w:rFonts w:ascii="宋体" w:hAnsi="宋体" w:cs="宋体"/>
          <w:color w:val="FF0000"/>
          <w:kern w:val="0"/>
          <w:sz w:val="24"/>
          <w:szCs w:val="22"/>
          <w:highlight w:val="none"/>
          <w:lang w:val="zh-CN"/>
        </w:rPr>
        <w:t>4</w:t>
      </w:r>
      <w:r>
        <w:rPr>
          <w:rFonts w:hint="eastAsia" w:ascii="宋体" w:hAnsi="宋体" w:cs="宋体"/>
          <w:color w:val="FF0000"/>
          <w:kern w:val="0"/>
          <w:sz w:val="24"/>
          <w:szCs w:val="22"/>
          <w:highlight w:val="none"/>
          <w:lang w:val="zh-CN"/>
        </w:rPr>
        <w:t>、</w:t>
      </w:r>
      <w:r>
        <w:rPr>
          <w:rFonts w:hint="eastAsia" w:ascii="宋体" w:hAnsi="宋体" w:cs="宋体"/>
          <w:color w:val="FF0000"/>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5、特别说明：▲供应商报价低于项目预算50%的，应当在报价文件中详细阐述不影响产品质量或者诚信履约的具体原因。</w:t>
      </w:r>
    </w:p>
    <w:p>
      <w:pPr>
        <w:spacing w:line="360" w:lineRule="auto"/>
        <w:ind w:firstLine="482" w:firstLineChars="200"/>
        <w:rPr>
          <w:rFonts w:ascii="宋体" w:hAnsi="宋体" w:cs="宋体"/>
          <w:b/>
          <w:kern w:val="0"/>
          <w:sz w:val="24"/>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2"/>
        <w:rPr>
          <w:rFonts w:ascii="宋体" w:hAnsi="宋体" w:eastAsia="宋体" w:cs="宋体"/>
          <w:color w:val="FF0000"/>
          <w:sz w:val="32"/>
          <w:szCs w:val="32"/>
        </w:rPr>
      </w:pPr>
      <w:r>
        <w:rPr>
          <w:rFonts w:hint="eastAsia" w:ascii="宋体" w:hAnsi="宋体" w:eastAsia="宋体" w:cs="宋体"/>
          <w:color w:val="FF0000"/>
          <w:kern w:val="2"/>
          <w:sz w:val="32"/>
          <w:szCs w:val="32"/>
        </w:rPr>
        <w:t>二、</w:t>
      </w:r>
      <w:r>
        <w:rPr>
          <w:rFonts w:hint="eastAsia" w:ascii="宋体" w:hAnsi="宋体" w:eastAsia="宋体" w:cs="宋体"/>
          <w:color w:val="FF0000"/>
          <w:sz w:val="32"/>
          <w:szCs w:val="32"/>
        </w:rPr>
        <w:t>中小企业声明函（如果有）</w:t>
      </w:r>
    </w:p>
    <w:p>
      <w:pPr>
        <w:widowControl/>
        <w:spacing w:line="360" w:lineRule="auto"/>
        <w:ind w:firstLine="120" w:firstLineChars="50"/>
        <w:jc w:val="left"/>
        <w:rPr>
          <w:rFonts w:ascii="宋体" w:hAnsi="宋体" w:cs="宋体"/>
          <w:b/>
          <w:color w:val="FF0000"/>
          <w:sz w:val="24"/>
        </w:rPr>
      </w:pPr>
      <w:r>
        <w:rPr>
          <w:rFonts w:hint="eastAsia" w:ascii="宋体" w:hAnsi="宋体" w:cs="宋体"/>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FF0000"/>
          <w:sz w:val="24"/>
        </w:rPr>
        <w:t>7</w:t>
      </w:r>
      <w:r>
        <w:rPr>
          <w:rFonts w:hint="eastAsia" w:ascii="宋体" w:hAnsi="宋体" w:cs="宋体"/>
          <w:b/>
          <w:color w:val="FF0000"/>
          <w:sz w:val="24"/>
        </w:rPr>
        <w:t>）。]</w:t>
      </w:r>
    </w:p>
    <w:p>
      <w:pPr>
        <w:pStyle w:val="690"/>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outlineLvl w:val="1"/>
        <w:rPr>
          <w:rFonts w:ascii="宋体" w:hAnsi="宋体" w:cs="宋体"/>
          <w:b/>
          <w:spacing w:val="6"/>
          <w:sz w:val="32"/>
          <w:szCs w:val="32"/>
        </w:rPr>
      </w:pPr>
      <w:r>
        <w:rPr>
          <w:rFonts w:hint="eastAsia" w:ascii="宋体" w:hAnsi="宋体" w:cs="宋体"/>
          <w:b/>
          <w:spacing w:val="6"/>
          <w:sz w:val="32"/>
          <w:szCs w:val="32"/>
        </w:rPr>
        <w:t>附件1：残疾人福利性单位声明函</w:t>
      </w:r>
    </w:p>
    <w:p>
      <w:pPr>
        <w:spacing w:line="360" w:lineRule="auto"/>
        <w:jc w:val="center"/>
        <w:rPr>
          <w:rFonts w:ascii="宋体" w:hAnsi="宋体" w:cs="宋体"/>
          <w:b/>
          <w:spacing w:val="6"/>
          <w:sz w:val="32"/>
          <w:szCs w:val="32"/>
        </w:rPr>
      </w:pPr>
      <w:bookmarkStart w:id="507" w:name="OLE_LINK14"/>
      <w:bookmarkStart w:id="508" w:name="OLE_LINK13"/>
      <w:r>
        <w:rPr>
          <w:rFonts w:hint="eastAsia" w:ascii="宋体" w:hAnsi="宋体" w:cs="宋体"/>
          <w:b/>
          <w:spacing w:val="6"/>
          <w:sz w:val="32"/>
          <w:szCs w:val="32"/>
        </w:rPr>
        <w:t>残疾人福利性单位声明函</w:t>
      </w:r>
    </w:p>
    <w:bookmarkEnd w:id="507"/>
    <w:bookmarkEnd w:id="508"/>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0000FF"/>
          <w:sz w:val="24"/>
          <w:u w:val="single"/>
        </w:rPr>
        <w:t>（采购人）</w:t>
      </w:r>
      <w:r>
        <w:rPr>
          <w:rFonts w:hint="eastAsia" w:ascii="宋体" w:hAnsi="宋体" w:cs="宋体"/>
          <w:sz w:val="24"/>
        </w:rPr>
        <w:t>单位的</w:t>
      </w:r>
      <w:r>
        <w:rPr>
          <w:rFonts w:hint="eastAsia" w:ascii="宋体" w:hAnsi="宋体" w:cs="宋体"/>
          <w:color w:val="0000FF"/>
          <w:sz w:val="24"/>
          <w:u w:val="single"/>
        </w:rPr>
        <w:t>（项目名称）</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outlineLvl w:val="1"/>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outlineLvl w:val="1"/>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center"/>
        <w:outlineLvl w:val="1"/>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color w:val="0000FF"/>
          <w:sz w:val="24"/>
          <w:u w:val="single"/>
        </w:rPr>
        <w:t>（采购人）</w:t>
      </w:r>
      <w:r>
        <w:rPr>
          <w:rFonts w:hint="eastAsia" w:ascii="宋体" w:hAnsi="宋体" w:cs="宋体"/>
          <w:sz w:val="24"/>
          <w:u w:val="single"/>
        </w:rPr>
        <w:t>、（采购代理机构）：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outlineLvl w:val="1"/>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09"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09"/>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0"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0"/>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1"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1"/>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outlineLvl w:val="1"/>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tabs>
          <w:tab w:val="left" w:pos="432"/>
        </w:tabs>
        <w:ind w:left="664" w:leftChars="316" w:firstLine="228" w:firstLineChars="95"/>
        <w:outlineLvl w:val="9"/>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1"/>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color w:val="0000FF"/>
          <w:sz w:val="24"/>
          <w:u w:val="single"/>
        </w:rPr>
        <w:t xml:space="preserve"> （项目名称） </w:t>
      </w:r>
      <w:r>
        <w:rPr>
          <w:rFonts w:hint="eastAsia" w:ascii="宋体" w:hAnsi="宋体" w:cs="宋体"/>
          <w:sz w:val="24"/>
        </w:rPr>
        <w:t>采购活动，</w:t>
      </w:r>
      <w:r>
        <w:rPr>
          <w:rFonts w:hint="eastAsia" w:ascii="宋体" w:hAnsi="宋体" w:cs="宋体"/>
          <w:color w:val="FF0000"/>
          <w:sz w:val="24"/>
        </w:rPr>
        <w:t>服务全部由符合政策要求的中小企业承接</w:t>
      </w:r>
      <w:r>
        <w:rPr>
          <w:rFonts w:hint="eastAsia" w:ascii="宋体" w:hAnsi="宋体" w:cs="宋体"/>
          <w:sz w:val="24"/>
        </w:rPr>
        <w:t>。相关企业（含联合体中的中小企业、签订分包意向协议的中小企业）的具体情况如下：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，属于</w:t>
      </w:r>
      <w:r>
        <w:rPr>
          <w:rFonts w:hint="eastAsia" w:ascii="宋体" w:hAnsi="宋体" w:cs="宋体"/>
          <w:color w:val="0000FF"/>
          <w:sz w:val="24"/>
          <w:u w:val="single"/>
        </w:rPr>
        <w:t xml:space="preserve"> （采购文件中明确的所属行业）</w:t>
      </w:r>
      <w:r>
        <w:rPr>
          <w:rFonts w:hint="eastAsia" w:ascii="宋体" w:hAnsi="宋体" w:cs="宋体"/>
          <w:sz w:val="24"/>
        </w:rPr>
        <w:t xml:space="preserve"> ；</w:t>
      </w:r>
      <w:r>
        <w:rPr>
          <w:rFonts w:hint="eastAsia" w:ascii="宋体" w:hAnsi="宋体" w:cs="宋体"/>
          <w:color w:val="FF0000"/>
          <w:sz w:val="24"/>
        </w:rPr>
        <w:t>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color w:val="0000FF"/>
          <w:sz w:val="24"/>
          <w:u w:val="single"/>
        </w:rPr>
        <w:t xml:space="preserve"> （标的名称），</w:t>
      </w:r>
      <w:r>
        <w:rPr>
          <w:rFonts w:hint="eastAsia" w:ascii="宋体" w:hAnsi="宋体" w:cs="宋体"/>
          <w:sz w:val="24"/>
        </w:rPr>
        <w:t xml:space="preserve">属于 </w:t>
      </w:r>
      <w:r>
        <w:rPr>
          <w:rFonts w:hint="eastAsia" w:ascii="宋体" w:hAnsi="宋体" w:cs="宋体"/>
          <w:color w:val="0000FF"/>
          <w:sz w:val="24"/>
          <w:u w:val="single"/>
        </w:rPr>
        <w:t xml:space="preserve">（采购文件中明确的所属行业） </w:t>
      </w:r>
      <w:r>
        <w:rPr>
          <w:rFonts w:hint="eastAsia" w:ascii="宋体" w:hAnsi="宋体" w:cs="宋体"/>
          <w:sz w:val="24"/>
        </w:rPr>
        <w:t>；</w:t>
      </w:r>
      <w:r>
        <w:rPr>
          <w:rFonts w:hint="eastAsia" w:ascii="宋体" w:hAnsi="宋体" w:cs="宋体"/>
          <w:color w:val="FF0000"/>
          <w:sz w:val="24"/>
        </w:rPr>
        <w:t>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tabs>
          <w:tab w:val="left" w:pos="432"/>
        </w:tabs>
        <w:outlineLvl w:val="9"/>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Arial"/>
    <w:panose1 w:val="00000000000000000000"/>
    <w:charset w:val="00"/>
    <w:family w:val="decorative"/>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decorative"/>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00006FF" w:usb1="4000205B" w:usb2="00000010" w:usb3="00000000" w:csb0="2000019F" w:csb1="00000000"/>
  </w:font>
  <w:font w:name="ˎ̥">
    <w:altName w:val="微软雅黑"/>
    <w:panose1 w:val="00000000000000000000"/>
    <w:charset w:val="00"/>
    <w:family w:val="moder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decorative"/>
    <w:pitch w:val="default"/>
    <w:sig w:usb0="00000000" w:usb1="00000000" w:usb2="00000010" w:usb3="00000000" w:csb0="00040000" w:csb1="00000000"/>
  </w:font>
  <w:font w:name="Arial (W1)">
    <w:altName w:val="Arial"/>
    <w:panose1 w:val="00000000000000000000"/>
    <w:charset w:val="00"/>
    <w:family w:val="decorative"/>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swiss"/>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decorative"/>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Century Gothic">
    <w:altName w:val="Arial"/>
    <w:panose1 w:val="020B0502020202020204"/>
    <w:charset w:val="00"/>
    <w:family w:val="swiss"/>
    <w:pitch w:val="default"/>
    <w:sig w:usb0="00000000" w:usb1="00000000" w:usb2="00000000" w:usb3="00000000" w:csb0="2000009F" w:csb1="DFD70000"/>
  </w:font>
  <w:font w:name="Aldine401 BT">
    <w:altName w:val="Arial"/>
    <w:panose1 w:val="00000000000000000000"/>
    <w:charset w:val="00"/>
    <w:family w:val="modern"/>
    <w:pitch w:val="default"/>
    <w:sig w:usb0="00000000" w:usb1="00000000" w:usb2="00000000" w:usb3="00000000" w:csb0="00000011" w:csb1="00000000"/>
  </w:font>
  <w:font w:name=".PingFang SC">
    <w:altName w:val="微软雅黑"/>
    <w:panose1 w:val="00000000000000000000"/>
    <w:charset w:val="00"/>
    <w:family w:val="swiss"/>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512" w:name="_Toc164085800"/>
    <w:bookmarkStart w:id="513" w:name="_Toc131845147"/>
    <w:bookmarkStart w:id="514" w:name="_Toc36110187"/>
    <w:bookmarkStart w:id="515" w:name="_Toc91899912"/>
    <w:r>
      <w:rPr>
        <w:rFonts w:hint="eastAsia" w:ascii="仿宋_GB2312" w:eastAsia="仿宋_GB2312"/>
        <w:kern w:val="0"/>
        <w:szCs w:val="21"/>
      </w:rPr>
      <w:t xml:space="preserve"> 页</w:t>
    </w:r>
    <w:bookmarkEnd w:id="512"/>
    <w:bookmarkEnd w:id="513"/>
    <w:bookmarkEnd w:id="514"/>
    <w:bookmarkEnd w:id="51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B4CC46"/>
    <w:multiLevelType w:val="singleLevel"/>
    <w:tmpl w:val="4DB4CC46"/>
    <w:lvl w:ilvl="0" w:tentative="0">
      <w:start w:val="2"/>
      <w:numFmt w:val="decimal"/>
      <w:lvlText w:val="%1."/>
      <w:lvlJc w:val="left"/>
      <w:pPr>
        <w:tabs>
          <w:tab w:val="left" w:pos="312"/>
        </w:tabs>
      </w:pPr>
    </w:lvl>
  </w:abstractNum>
  <w:abstractNum w:abstractNumId="1">
    <w:nsid w:val="6949D938"/>
    <w:multiLevelType w:val="singleLevel"/>
    <w:tmpl w:val="6949D938"/>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2ZGI0YTkxMmExMWZiYjFiZGFlMGE2MTdjYjJhNjc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BCF"/>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4C7"/>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0A3"/>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88"/>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22F"/>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6EB9"/>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17C"/>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6D2"/>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3FF4"/>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6D"/>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0C0"/>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3CDD"/>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5E4"/>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17A91"/>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43"/>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379A8"/>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27FB"/>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3F5C"/>
    <w:rsid w:val="00B3412E"/>
    <w:rsid w:val="00B343E0"/>
    <w:rsid w:val="00B35B6D"/>
    <w:rsid w:val="00B35D53"/>
    <w:rsid w:val="00B367C4"/>
    <w:rsid w:val="00B36D3E"/>
    <w:rsid w:val="00B37B8E"/>
    <w:rsid w:val="00B40222"/>
    <w:rsid w:val="00B404C3"/>
    <w:rsid w:val="00B41938"/>
    <w:rsid w:val="00B41A04"/>
    <w:rsid w:val="00B42743"/>
    <w:rsid w:val="00B42F49"/>
    <w:rsid w:val="00B430E9"/>
    <w:rsid w:val="00B4311F"/>
    <w:rsid w:val="00B431AE"/>
    <w:rsid w:val="00B44288"/>
    <w:rsid w:val="00B448BF"/>
    <w:rsid w:val="00B45A59"/>
    <w:rsid w:val="00B45D35"/>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28"/>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255"/>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42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72B"/>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CBE"/>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4AB"/>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36AB6"/>
    <w:rsid w:val="011F6449"/>
    <w:rsid w:val="01236AFB"/>
    <w:rsid w:val="01654456"/>
    <w:rsid w:val="019F7441"/>
    <w:rsid w:val="01AE3368"/>
    <w:rsid w:val="01B37585"/>
    <w:rsid w:val="01D55165"/>
    <w:rsid w:val="01DF6BF8"/>
    <w:rsid w:val="01E054EB"/>
    <w:rsid w:val="01EC2C57"/>
    <w:rsid w:val="025340DF"/>
    <w:rsid w:val="025D4C8D"/>
    <w:rsid w:val="025F0711"/>
    <w:rsid w:val="026B2E25"/>
    <w:rsid w:val="027A5940"/>
    <w:rsid w:val="02824D4D"/>
    <w:rsid w:val="02DC4B10"/>
    <w:rsid w:val="02DD76CE"/>
    <w:rsid w:val="02EC3C93"/>
    <w:rsid w:val="02F36323"/>
    <w:rsid w:val="02F5619C"/>
    <w:rsid w:val="0326446A"/>
    <w:rsid w:val="032D5555"/>
    <w:rsid w:val="035B490F"/>
    <w:rsid w:val="036634D2"/>
    <w:rsid w:val="03906A9D"/>
    <w:rsid w:val="03DD35E4"/>
    <w:rsid w:val="04076900"/>
    <w:rsid w:val="041A5A3B"/>
    <w:rsid w:val="042311BA"/>
    <w:rsid w:val="042B157A"/>
    <w:rsid w:val="048F763B"/>
    <w:rsid w:val="049F330E"/>
    <w:rsid w:val="04AA775C"/>
    <w:rsid w:val="04AF1889"/>
    <w:rsid w:val="04F66F48"/>
    <w:rsid w:val="04FC43EA"/>
    <w:rsid w:val="05251E14"/>
    <w:rsid w:val="05A16594"/>
    <w:rsid w:val="05A7762D"/>
    <w:rsid w:val="060E5941"/>
    <w:rsid w:val="06110FAF"/>
    <w:rsid w:val="06493CA7"/>
    <w:rsid w:val="065A6178"/>
    <w:rsid w:val="066F1CF3"/>
    <w:rsid w:val="06930BB8"/>
    <w:rsid w:val="07245D42"/>
    <w:rsid w:val="07264C62"/>
    <w:rsid w:val="075F5A26"/>
    <w:rsid w:val="0779354C"/>
    <w:rsid w:val="08061376"/>
    <w:rsid w:val="080B3940"/>
    <w:rsid w:val="08452D77"/>
    <w:rsid w:val="086401F8"/>
    <w:rsid w:val="08680F7B"/>
    <w:rsid w:val="08751CAA"/>
    <w:rsid w:val="087E4C40"/>
    <w:rsid w:val="08831581"/>
    <w:rsid w:val="08A871D0"/>
    <w:rsid w:val="08D66AD6"/>
    <w:rsid w:val="08DA33A3"/>
    <w:rsid w:val="08DA76DE"/>
    <w:rsid w:val="08E71F9B"/>
    <w:rsid w:val="08E80F13"/>
    <w:rsid w:val="09335624"/>
    <w:rsid w:val="093A65B1"/>
    <w:rsid w:val="0944690F"/>
    <w:rsid w:val="09535675"/>
    <w:rsid w:val="095F057D"/>
    <w:rsid w:val="09642282"/>
    <w:rsid w:val="09733572"/>
    <w:rsid w:val="09772C16"/>
    <w:rsid w:val="097F0841"/>
    <w:rsid w:val="098353B5"/>
    <w:rsid w:val="09A92330"/>
    <w:rsid w:val="09B06B87"/>
    <w:rsid w:val="09C13146"/>
    <w:rsid w:val="09E04166"/>
    <w:rsid w:val="0A1C0718"/>
    <w:rsid w:val="0A1E281C"/>
    <w:rsid w:val="0A3E7710"/>
    <w:rsid w:val="0A5B7E63"/>
    <w:rsid w:val="0A955578"/>
    <w:rsid w:val="0AA374A5"/>
    <w:rsid w:val="0AAB7649"/>
    <w:rsid w:val="0ABC5606"/>
    <w:rsid w:val="0AF53FF2"/>
    <w:rsid w:val="0B30404E"/>
    <w:rsid w:val="0B4C6C14"/>
    <w:rsid w:val="0B542123"/>
    <w:rsid w:val="0B547599"/>
    <w:rsid w:val="0B631A88"/>
    <w:rsid w:val="0B683D45"/>
    <w:rsid w:val="0B7F3F11"/>
    <w:rsid w:val="0B884417"/>
    <w:rsid w:val="0BF6188C"/>
    <w:rsid w:val="0BF669FF"/>
    <w:rsid w:val="0BF73C91"/>
    <w:rsid w:val="0BF8604E"/>
    <w:rsid w:val="0C170175"/>
    <w:rsid w:val="0C186DDE"/>
    <w:rsid w:val="0C28597F"/>
    <w:rsid w:val="0C571A41"/>
    <w:rsid w:val="0C5B4ED4"/>
    <w:rsid w:val="0C5C1171"/>
    <w:rsid w:val="0C5E1CBC"/>
    <w:rsid w:val="0C615B50"/>
    <w:rsid w:val="0C673F23"/>
    <w:rsid w:val="0C8445DA"/>
    <w:rsid w:val="0C87121B"/>
    <w:rsid w:val="0CC007F7"/>
    <w:rsid w:val="0CC617AC"/>
    <w:rsid w:val="0CE618DF"/>
    <w:rsid w:val="0CFD203B"/>
    <w:rsid w:val="0CFE707A"/>
    <w:rsid w:val="0D04213F"/>
    <w:rsid w:val="0D063BDA"/>
    <w:rsid w:val="0D08375F"/>
    <w:rsid w:val="0D184CFB"/>
    <w:rsid w:val="0D4A7419"/>
    <w:rsid w:val="0D827401"/>
    <w:rsid w:val="0D84094E"/>
    <w:rsid w:val="0D8A00E9"/>
    <w:rsid w:val="0D8D589E"/>
    <w:rsid w:val="0DA01C73"/>
    <w:rsid w:val="0DD63300"/>
    <w:rsid w:val="0DF1760D"/>
    <w:rsid w:val="0DF50604"/>
    <w:rsid w:val="0DF702FE"/>
    <w:rsid w:val="0DF742E8"/>
    <w:rsid w:val="0E060E51"/>
    <w:rsid w:val="0E4B5086"/>
    <w:rsid w:val="0E5604B2"/>
    <w:rsid w:val="0E6D5D79"/>
    <w:rsid w:val="0E9D0089"/>
    <w:rsid w:val="0EB803EE"/>
    <w:rsid w:val="0EF94D4B"/>
    <w:rsid w:val="0F4958DC"/>
    <w:rsid w:val="0F515DF7"/>
    <w:rsid w:val="0F596BA8"/>
    <w:rsid w:val="0F6248D2"/>
    <w:rsid w:val="0F693536"/>
    <w:rsid w:val="0F7B0511"/>
    <w:rsid w:val="0F7B76D9"/>
    <w:rsid w:val="0F816ACD"/>
    <w:rsid w:val="0F9832DB"/>
    <w:rsid w:val="0F987405"/>
    <w:rsid w:val="0FB513D3"/>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6537C"/>
    <w:rsid w:val="127723A9"/>
    <w:rsid w:val="12862074"/>
    <w:rsid w:val="12883966"/>
    <w:rsid w:val="129E45B4"/>
    <w:rsid w:val="12D81596"/>
    <w:rsid w:val="13072A44"/>
    <w:rsid w:val="132A37DE"/>
    <w:rsid w:val="135F4BE2"/>
    <w:rsid w:val="139B1A0A"/>
    <w:rsid w:val="139D25C7"/>
    <w:rsid w:val="13BF3CE4"/>
    <w:rsid w:val="141008D8"/>
    <w:rsid w:val="14125FE6"/>
    <w:rsid w:val="146D271E"/>
    <w:rsid w:val="14982588"/>
    <w:rsid w:val="149A5AD9"/>
    <w:rsid w:val="14A7619D"/>
    <w:rsid w:val="14B172EF"/>
    <w:rsid w:val="150536C3"/>
    <w:rsid w:val="150C1963"/>
    <w:rsid w:val="151447A0"/>
    <w:rsid w:val="15314652"/>
    <w:rsid w:val="154A6454"/>
    <w:rsid w:val="15762120"/>
    <w:rsid w:val="157B5510"/>
    <w:rsid w:val="16096967"/>
    <w:rsid w:val="16877182"/>
    <w:rsid w:val="16A8729C"/>
    <w:rsid w:val="16B33777"/>
    <w:rsid w:val="16BC70A7"/>
    <w:rsid w:val="16C6339E"/>
    <w:rsid w:val="1722228F"/>
    <w:rsid w:val="172F2D79"/>
    <w:rsid w:val="17557BEF"/>
    <w:rsid w:val="17557FCD"/>
    <w:rsid w:val="177B5642"/>
    <w:rsid w:val="17D349C1"/>
    <w:rsid w:val="1830729E"/>
    <w:rsid w:val="1870062C"/>
    <w:rsid w:val="18817102"/>
    <w:rsid w:val="18830A15"/>
    <w:rsid w:val="18852B28"/>
    <w:rsid w:val="188B5321"/>
    <w:rsid w:val="1928660E"/>
    <w:rsid w:val="19932372"/>
    <w:rsid w:val="19A20DD5"/>
    <w:rsid w:val="19AE03F1"/>
    <w:rsid w:val="19BC1F42"/>
    <w:rsid w:val="1A071A03"/>
    <w:rsid w:val="1A0E6ACF"/>
    <w:rsid w:val="1A1F16AE"/>
    <w:rsid w:val="1A3B5C77"/>
    <w:rsid w:val="1A69031C"/>
    <w:rsid w:val="1A984BAD"/>
    <w:rsid w:val="1AB8220E"/>
    <w:rsid w:val="1AE4166C"/>
    <w:rsid w:val="1AF06CFB"/>
    <w:rsid w:val="1AF11B8D"/>
    <w:rsid w:val="1B11359C"/>
    <w:rsid w:val="1B2A271F"/>
    <w:rsid w:val="1B2E1D0C"/>
    <w:rsid w:val="1B530544"/>
    <w:rsid w:val="1B713184"/>
    <w:rsid w:val="1BA209CF"/>
    <w:rsid w:val="1BB4777D"/>
    <w:rsid w:val="1BD75AB8"/>
    <w:rsid w:val="1C0459C2"/>
    <w:rsid w:val="1C1B3B4A"/>
    <w:rsid w:val="1C200EAE"/>
    <w:rsid w:val="1C816C72"/>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EF0460A"/>
    <w:rsid w:val="1F0A0FF3"/>
    <w:rsid w:val="1F5771FF"/>
    <w:rsid w:val="1FE868A9"/>
    <w:rsid w:val="20034907"/>
    <w:rsid w:val="20173E4B"/>
    <w:rsid w:val="20194AB6"/>
    <w:rsid w:val="204E48BC"/>
    <w:rsid w:val="208921B3"/>
    <w:rsid w:val="20973DEB"/>
    <w:rsid w:val="20A36A92"/>
    <w:rsid w:val="20B26522"/>
    <w:rsid w:val="20B44310"/>
    <w:rsid w:val="211116EB"/>
    <w:rsid w:val="21452025"/>
    <w:rsid w:val="216133FC"/>
    <w:rsid w:val="21676C37"/>
    <w:rsid w:val="21D56769"/>
    <w:rsid w:val="21DD349D"/>
    <w:rsid w:val="21E52EF3"/>
    <w:rsid w:val="21FB5D7B"/>
    <w:rsid w:val="22015E94"/>
    <w:rsid w:val="220B1C3D"/>
    <w:rsid w:val="22103503"/>
    <w:rsid w:val="221D1D20"/>
    <w:rsid w:val="22334A87"/>
    <w:rsid w:val="22BE6801"/>
    <w:rsid w:val="22D95913"/>
    <w:rsid w:val="233500BF"/>
    <w:rsid w:val="23377FF7"/>
    <w:rsid w:val="234731C4"/>
    <w:rsid w:val="236B425F"/>
    <w:rsid w:val="23836192"/>
    <w:rsid w:val="23901F29"/>
    <w:rsid w:val="239C0061"/>
    <w:rsid w:val="23B908A4"/>
    <w:rsid w:val="23E95BEF"/>
    <w:rsid w:val="23EE4181"/>
    <w:rsid w:val="23FD0064"/>
    <w:rsid w:val="241F08AE"/>
    <w:rsid w:val="245375B0"/>
    <w:rsid w:val="24642C0A"/>
    <w:rsid w:val="24B22173"/>
    <w:rsid w:val="24B95AD9"/>
    <w:rsid w:val="24BE24DA"/>
    <w:rsid w:val="24CF5825"/>
    <w:rsid w:val="24D663E6"/>
    <w:rsid w:val="24D77F2B"/>
    <w:rsid w:val="24F95938"/>
    <w:rsid w:val="258B00E2"/>
    <w:rsid w:val="25A917A6"/>
    <w:rsid w:val="25BE27CC"/>
    <w:rsid w:val="25F74A5C"/>
    <w:rsid w:val="2628662C"/>
    <w:rsid w:val="262D45DE"/>
    <w:rsid w:val="26871DC8"/>
    <w:rsid w:val="26A53EF9"/>
    <w:rsid w:val="26A94201"/>
    <w:rsid w:val="26AC274F"/>
    <w:rsid w:val="27044A29"/>
    <w:rsid w:val="270C5CCA"/>
    <w:rsid w:val="27160EE4"/>
    <w:rsid w:val="271D34C8"/>
    <w:rsid w:val="274676FC"/>
    <w:rsid w:val="276142BF"/>
    <w:rsid w:val="27783712"/>
    <w:rsid w:val="27907362"/>
    <w:rsid w:val="28333E1D"/>
    <w:rsid w:val="28454BD6"/>
    <w:rsid w:val="28455253"/>
    <w:rsid w:val="28551971"/>
    <w:rsid w:val="28566EDF"/>
    <w:rsid w:val="285B1C53"/>
    <w:rsid w:val="289F7086"/>
    <w:rsid w:val="28BD3A65"/>
    <w:rsid w:val="28C32028"/>
    <w:rsid w:val="28CC490F"/>
    <w:rsid w:val="28DE40AA"/>
    <w:rsid w:val="29345E77"/>
    <w:rsid w:val="294C65AD"/>
    <w:rsid w:val="29806583"/>
    <w:rsid w:val="298B3C4C"/>
    <w:rsid w:val="29F26D24"/>
    <w:rsid w:val="2A0D40A5"/>
    <w:rsid w:val="2A15033F"/>
    <w:rsid w:val="2A1662C1"/>
    <w:rsid w:val="2A1C7367"/>
    <w:rsid w:val="2A2815FA"/>
    <w:rsid w:val="2A40035E"/>
    <w:rsid w:val="2A6D6092"/>
    <w:rsid w:val="2A7D76B4"/>
    <w:rsid w:val="2AA56FC6"/>
    <w:rsid w:val="2AD33150"/>
    <w:rsid w:val="2B437463"/>
    <w:rsid w:val="2B7807EE"/>
    <w:rsid w:val="2B861D0B"/>
    <w:rsid w:val="2BA50BF7"/>
    <w:rsid w:val="2BBF00EC"/>
    <w:rsid w:val="2BC37CFD"/>
    <w:rsid w:val="2BD5237F"/>
    <w:rsid w:val="2BE536CE"/>
    <w:rsid w:val="2BE758D9"/>
    <w:rsid w:val="2C09049E"/>
    <w:rsid w:val="2C0A653C"/>
    <w:rsid w:val="2C191F85"/>
    <w:rsid w:val="2C251BC9"/>
    <w:rsid w:val="2CD260A0"/>
    <w:rsid w:val="2CE82D6F"/>
    <w:rsid w:val="2D343236"/>
    <w:rsid w:val="2DD15014"/>
    <w:rsid w:val="2DF72DE4"/>
    <w:rsid w:val="2E0220AF"/>
    <w:rsid w:val="2E4B082A"/>
    <w:rsid w:val="2E5D4E86"/>
    <w:rsid w:val="2E5D790B"/>
    <w:rsid w:val="2E6B559E"/>
    <w:rsid w:val="2E9A3C18"/>
    <w:rsid w:val="2EBB0FEE"/>
    <w:rsid w:val="2EC63002"/>
    <w:rsid w:val="2EDE2C2F"/>
    <w:rsid w:val="2F0A6B38"/>
    <w:rsid w:val="2F946CCB"/>
    <w:rsid w:val="2F951E73"/>
    <w:rsid w:val="2FD25781"/>
    <w:rsid w:val="2FDC745C"/>
    <w:rsid w:val="2FFD7934"/>
    <w:rsid w:val="30733ACD"/>
    <w:rsid w:val="307742E4"/>
    <w:rsid w:val="308C3862"/>
    <w:rsid w:val="309379D8"/>
    <w:rsid w:val="30A270F7"/>
    <w:rsid w:val="30DF1478"/>
    <w:rsid w:val="30EC586F"/>
    <w:rsid w:val="313E5C07"/>
    <w:rsid w:val="319C6071"/>
    <w:rsid w:val="31AC537E"/>
    <w:rsid w:val="31E3679B"/>
    <w:rsid w:val="31E732FD"/>
    <w:rsid w:val="322C284E"/>
    <w:rsid w:val="32517576"/>
    <w:rsid w:val="32BE5C2C"/>
    <w:rsid w:val="32D42E86"/>
    <w:rsid w:val="32FB6478"/>
    <w:rsid w:val="33263B3F"/>
    <w:rsid w:val="33527747"/>
    <w:rsid w:val="336963EB"/>
    <w:rsid w:val="33816EEB"/>
    <w:rsid w:val="33A1422B"/>
    <w:rsid w:val="33E331D7"/>
    <w:rsid w:val="33EB55CD"/>
    <w:rsid w:val="33EC4C02"/>
    <w:rsid w:val="340B5B88"/>
    <w:rsid w:val="340D2360"/>
    <w:rsid w:val="3410665D"/>
    <w:rsid w:val="341C2C0D"/>
    <w:rsid w:val="34211214"/>
    <w:rsid w:val="342E63AB"/>
    <w:rsid w:val="34880F47"/>
    <w:rsid w:val="34950E68"/>
    <w:rsid w:val="34986E94"/>
    <w:rsid w:val="34AF62C9"/>
    <w:rsid w:val="34CB4388"/>
    <w:rsid w:val="34FA6E12"/>
    <w:rsid w:val="35297F44"/>
    <w:rsid w:val="354D7158"/>
    <w:rsid w:val="357E0CC8"/>
    <w:rsid w:val="358D5588"/>
    <w:rsid w:val="36130B24"/>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13629"/>
    <w:rsid w:val="38D87D1C"/>
    <w:rsid w:val="38E1635E"/>
    <w:rsid w:val="39636459"/>
    <w:rsid w:val="396B7F6C"/>
    <w:rsid w:val="39B417A9"/>
    <w:rsid w:val="39FC5695"/>
    <w:rsid w:val="3A006D8E"/>
    <w:rsid w:val="3A0B4AF4"/>
    <w:rsid w:val="3A3651E5"/>
    <w:rsid w:val="3A744481"/>
    <w:rsid w:val="3A8C7BEF"/>
    <w:rsid w:val="3A906246"/>
    <w:rsid w:val="3AA36ADA"/>
    <w:rsid w:val="3B2349B7"/>
    <w:rsid w:val="3B432623"/>
    <w:rsid w:val="3B616CFF"/>
    <w:rsid w:val="3B6259F6"/>
    <w:rsid w:val="3B812AE3"/>
    <w:rsid w:val="3B976654"/>
    <w:rsid w:val="3B9A4359"/>
    <w:rsid w:val="3BC01EFC"/>
    <w:rsid w:val="3BCA786A"/>
    <w:rsid w:val="3BD31E2F"/>
    <w:rsid w:val="3BF15831"/>
    <w:rsid w:val="3C105946"/>
    <w:rsid w:val="3C471448"/>
    <w:rsid w:val="3C5F759A"/>
    <w:rsid w:val="3C6C525A"/>
    <w:rsid w:val="3CCE23CB"/>
    <w:rsid w:val="3CD17D17"/>
    <w:rsid w:val="3D2E5330"/>
    <w:rsid w:val="3D3C7F39"/>
    <w:rsid w:val="3D440F09"/>
    <w:rsid w:val="3D4504A0"/>
    <w:rsid w:val="3D8734BB"/>
    <w:rsid w:val="3D9A11D4"/>
    <w:rsid w:val="3DA16D89"/>
    <w:rsid w:val="3DA364BE"/>
    <w:rsid w:val="3DE041CB"/>
    <w:rsid w:val="3E0D48F6"/>
    <w:rsid w:val="3E1868B4"/>
    <w:rsid w:val="3E377251"/>
    <w:rsid w:val="3E42664B"/>
    <w:rsid w:val="3E5A7334"/>
    <w:rsid w:val="3E7464B5"/>
    <w:rsid w:val="3E7B5D6B"/>
    <w:rsid w:val="3E843E66"/>
    <w:rsid w:val="3E8F51FE"/>
    <w:rsid w:val="3E926F87"/>
    <w:rsid w:val="3E9A59DE"/>
    <w:rsid w:val="3EAF4836"/>
    <w:rsid w:val="3EC33DFA"/>
    <w:rsid w:val="3F060E16"/>
    <w:rsid w:val="3F17428F"/>
    <w:rsid w:val="3F1D1096"/>
    <w:rsid w:val="3F2F0234"/>
    <w:rsid w:val="3F6363FE"/>
    <w:rsid w:val="3F756B8F"/>
    <w:rsid w:val="3F95482B"/>
    <w:rsid w:val="400109B8"/>
    <w:rsid w:val="4019356B"/>
    <w:rsid w:val="403F4FF6"/>
    <w:rsid w:val="40592157"/>
    <w:rsid w:val="406E1CAE"/>
    <w:rsid w:val="40A0133A"/>
    <w:rsid w:val="40C31A53"/>
    <w:rsid w:val="40FF545D"/>
    <w:rsid w:val="410067C8"/>
    <w:rsid w:val="414766C1"/>
    <w:rsid w:val="415A0FC6"/>
    <w:rsid w:val="418F0D2A"/>
    <w:rsid w:val="419633AA"/>
    <w:rsid w:val="41D01505"/>
    <w:rsid w:val="41E719A3"/>
    <w:rsid w:val="42474939"/>
    <w:rsid w:val="424C3C57"/>
    <w:rsid w:val="42613FF3"/>
    <w:rsid w:val="42660D96"/>
    <w:rsid w:val="428667D2"/>
    <w:rsid w:val="429F5DD9"/>
    <w:rsid w:val="42CD1CE0"/>
    <w:rsid w:val="42E1381E"/>
    <w:rsid w:val="42ED6459"/>
    <w:rsid w:val="42FE58DD"/>
    <w:rsid w:val="43174B3D"/>
    <w:rsid w:val="434B790E"/>
    <w:rsid w:val="4360274F"/>
    <w:rsid w:val="43833705"/>
    <w:rsid w:val="43977AB6"/>
    <w:rsid w:val="43A3342B"/>
    <w:rsid w:val="43AA2C88"/>
    <w:rsid w:val="43C77C27"/>
    <w:rsid w:val="43DE09EE"/>
    <w:rsid w:val="43F6331F"/>
    <w:rsid w:val="44002FAD"/>
    <w:rsid w:val="449101DD"/>
    <w:rsid w:val="44DE1391"/>
    <w:rsid w:val="45060392"/>
    <w:rsid w:val="451B225C"/>
    <w:rsid w:val="452410C9"/>
    <w:rsid w:val="45317DFB"/>
    <w:rsid w:val="456D3CE4"/>
    <w:rsid w:val="4579042C"/>
    <w:rsid w:val="457F0571"/>
    <w:rsid w:val="45851176"/>
    <w:rsid w:val="45C63B94"/>
    <w:rsid w:val="46023FB8"/>
    <w:rsid w:val="460E7DA5"/>
    <w:rsid w:val="462369A1"/>
    <w:rsid w:val="46422483"/>
    <w:rsid w:val="4659254A"/>
    <w:rsid w:val="465B0637"/>
    <w:rsid w:val="465E3F0D"/>
    <w:rsid w:val="466A16E6"/>
    <w:rsid w:val="46893F2B"/>
    <w:rsid w:val="46C4686E"/>
    <w:rsid w:val="47174AD8"/>
    <w:rsid w:val="47394A4E"/>
    <w:rsid w:val="477B778F"/>
    <w:rsid w:val="478203EC"/>
    <w:rsid w:val="47B025FA"/>
    <w:rsid w:val="4809698F"/>
    <w:rsid w:val="4811697D"/>
    <w:rsid w:val="487A3E25"/>
    <w:rsid w:val="488B5503"/>
    <w:rsid w:val="48937E21"/>
    <w:rsid w:val="489A0361"/>
    <w:rsid w:val="48B94FF3"/>
    <w:rsid w:val="48E37AAB"/>
    <w:rsid w:val="48F758F4"/>
    <w:rsid w:val="48FD4B4C"/>
    <w:rsid w:val="490A68E0"/>
    <w:rsid w:val="491055FE"/>
    <w:rsid w:val="49132CB8"/>
    <w:rsid w:val="49190EEC"/>
    <w:rsid w:val="495F5B3E"/>
    <w:rsid w:val="496F77D7"/>
    <w:rsid w:val="497654FD"/>
    <w:rsid w:val="49B64211"/>
    <w:rsid w:val="49F6167F"/>
    <w:rsid w:val="4A064FA0"/>
    <w:rsid w:val="4A16615C"/>
    <w:rsid w:val="4A1E1CDA"/>
    <w:rsid w:val="4A1E7F2C"/>
    <w:rsid w:val="4A4424D7"/>
    <w:rsid w:val="4A8E77DA"/>
    <w:rsid w:val="4AB82D0F"/>
    <w:rsid w:val="4AEB7664"/>
    <w:rsid w:val="4AF802B1"/>
    <w:rsid w:val="4AFD7C19"/>
    <w:rsid w:val="4B0567D1"/>
    <w:rsid w:val="4B236AAE"/>
    <w:rsid w:val="4B540714"/>
    <w:rsid w:val="4B707271"/>
    <w:rsid w:val="4B9739F7"/>
    <w:rsid w:val="4BA17F19"/>
    <w:rsid w:val="4BEE2503"/>
    <w:rsid w:val="4C2343F8"/>
    <w:rsid w:val="4C245A30"/>
    <w:rsid w:val="4CB6685F"/>
    <w:rsid w:val="4CC367FE"/>
    <w:rsid w:val="4D077F3C"/>
    <w:rsid w:val="4D102D7B"/>
    <w:rsid w:val="4D123355"/>
    <w:rsid w:val="4D1B69A4"/>
    <w:rsid w:val="4D2A3B31"/>
    <w:rsid w:val="4D312C52"/>
    <w:rsid w:val="4D565C2E"/>
    <w:rsid w:val="4D905305"/>
    <w:rsid w:val="4D964A72"/>
    <w:rsid w:val="4D9C1254"/>
    <w:rsid w:val="4E793892"/>
    <w:rsid w:val="4E800872"/>
    <w:rsid w:val="4EC569ED"/>
    <w:rsid w:val="4ED50EA1"/>
    <w:rsid w:val="4EEC050C"/>
    <w:rsid w:val="4F104EC3"/>
    <w:rsid w:val="4F47354A"/>
    <w:rsid w:val="4F8F4ABC"/>
    <w:rsid w:val="4F911C54"/>
    <w:rsid w:val="4FE625E0"/>
    <w:rsid w:val="4FF359B6"/>
    <w:rsid w:val="5021480F"/>
    <w:rsid w:val="505A594B"/>
    <w:rsid w:val="5095081C"/>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274EE"/>
    <w:rsid w:val="51B7396D"/>
    <w:rsid w:val="52077FA0"/>
    <w:rsid w:val="52226A4C"/>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7A7572"/>
    <w:rsid w:val="54B3506A"/>
    <w:rsid w:val="54CA0D16"/>
    <w:rsid w:val="54DD4057"/>
    <w:rsid w:val="54E7490F"/>
    <w:rsid w:val="550764A4"/>
    <w:rsid w:val="550B2BF6"/>
    <w:rsid w:val="55214EB5"/>
    <w:rsid w:val="55364EFD"/>
    <w:rsid w:val="55552C0B"/>
    <w:rsid w:val="555D4828"/>
    <w:rsid w:val="557A4C8B"/>
    <w:rsid w:val="558931E1"/>
    <w:rsid w:val="55923347"/>
    <w:rsid w:val="55925180"/>
    <w:rsid w:val="55983B1B"/>
    <w:rsid w:val="55A8376B"/>
    <w:rsid w:val="55DC29B6"/>
    <w:rsid w:val="55DD4241"/>
    <w:rsid w:val="56546263"/>
    <w:rsid w:val="566B44E1"/>
    <w:rsid w:val="566B6D1E"/>
    <w:rsid w:val="57032A2C"/>
    <w:rsid w:val="570F5219"/>
    <w:rsid w:val="572C6094"/>
    <w:rsid w:val="575D12B5"/>
    <w:rsid w:val="57610A87"/>
    <w:rsid w:val="57767C85"/>
    <w:rsid w:val="577B1140"/>
    <w:rsid w:val="577B7F21"/>
    <w:rsid w:val="577F181B"/>
    <w:rsid w:val="57921984"/>
    <w:rsid w:val="579737F0"/>
    <w:rsid w:val="57AB7B30"/>
    <w:rsid w:val="57AF5251"/>
    <w:rsid w:val="57B26373"/>
    <w:rsid w:val="57B63F04"/>
    <w:rsid w:val="57CD20C2"/>
    <w:rsid w:val="57D675AB"/>
    <w:rsid w:val="57D95FDD"/>
    <w:rsid w:val="58704048"/>
    <w:rsid w:val="58917D2F"/>
    <w:rsid w:val="5894085C"/>
    <w:rsid w:val="58AE4F0C"/>
    <w:rsid w:val="58B85899"/>
    <w:rsid w:val="58E363A9"/>
    <w:rsid w:val="59392CC1"/>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0E6829"/>
    <w:rsid w:val="5B2E1A1D"/>
    <w:rsid w:val="5B843A1C"/>
    <w:rsid w:val="5B873E3F"/>
    <w:rsid w:val="5C02690E"/>
    <w:rsid w:val="5C196DA7"/>
    <w:rsid w:val="5C2A048C"/>
    <w:rsid w:val="5C80234E"/>
    <w:rsid w:val="5C8A680C"/>
    <w:rsid w:val="5C9D1184"/>
    <w:rsid w:val="5CBE269B"/>
    <w:rsid w:val="5D0C4701"/>
    <w:rsid w:val="5D0F0395"/>
    <w:rsid w:val="5D221076"/>
    <w:rsid w:val="5D397964"/>
    <w:rsid w:val="5D5A391C"/>
    <w:rsid w:val="5D5F10C0"/>
    <w:rsid w:val="5D891B7B"/>
    <w:rsid w:val="5D937F7C"/>
    <w:rsid w:val="5DAD38EE"/>
    <w:rsid w:val="5E006862"/>
    <w:rsid w:val="5E0207B9"/>
    <w:rsid w:val="5E1834A1"/>
    <w:rsid w:val="5E261785"/>
    <w:rsid w:val="5E4A7017"/>
    <w:rsid w:val="5E552BBA"/>
    <w:rsid w:val="5E611C10"/>
    <w:rsid w:val="5E7A0F3F"/>
    <w:rsid w:val="5E933D20"/>
    <w:rsid w:val="5E95783A"/>
    <w:rsid w:val="5EFC7377"/>
    <w:rsid w:val="5F06174D"/>
    <w:rsid w:val="5F3A3602"/>
    <w:rsid w:val="5F45733B"/>
    <w:rsid w:val="5F6277C6"/>
    <w:rsid w:val="5F6D0B1D"/>
    <w:rsid w:val="5F8D0B82"/>
    <w:rsid w:val="5FCC5339"/>
    <w:rsid w:val="5FE34A5B"/>
    <w:rsid w:val="5FFE1E36"/>
    <w:rsid w:val="601D0BAF"/>
    <w:rsid w:val="60232584"/>
    <w:rsid w:val="607330CE"/>
    <w:rsid w:val="60825176"/>
    <w:rsid w:val="608E53F7"/>
    <w:rsid w:val="609F2AC4"/>
    <w:rsid w:val="60AB5609"/>
    <w:rsid w:val="60FA2EE8"/>
    <w:rsid w:val="61054A27"/>
    <w:rsid w:val="610A52BC"/>
    <w:rsid w:val="611D2366"/>
    <w:rsid w:val="61421856"/>
    <w:rsid w:val="615227C4"/>
    <w:rsid w:val="61654E3F"/>
    <w:rsid w:val="616615DF"/>
    <w:rsid w:val="6182292A"/>
    <w:rsid w:val="619913BF"/>
    <w:rsid w:val="619F7F92"/>
    <w:rsid w:val="61A22D98"/>
    <w:rsid w:val="61BA4976"/>
    <w:rsid w:val="61F94C26"/>
    <w:rsid w:val="62000E56"/>
    <w:rsid w:val="624F3E49"/>
    <w:rsid w:val="62632286"/>
    <w:rsid w:val="62885958"/>
    <w:rsid w:val="62D52D32"/>
    <w:rsid w:val="62DA3354"/>
    <w:rsid w:val="62F40B65"/>
    <w:rsid w:val="62FC2CFE"/>
    <w:rsid w:val="63024505"/>
    <w:rsid w:val="632D11C2"/>
    <w:rsid w:val="63411C1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B15AE"/>
    <w:rsid w:val="662E75B1"/>
    <w:rsid w:val="66342C2E"/>
    <w:rsid w:val="663E784C"/>
    <w:rsid w:val="666164A5"/>
    <w:rsid w:val="66751F24"/>
    <w:rsid w:val="668B6A45"/>
    <w:rsid w:val="66AB06EA"/>
    <w:rsid w:val="672F3F24"/>
    <w:rsid w:val="673E055F"/>
    <w:rsid w:val="67551CE3"/>
    <w:rsid w:val="67A22552"/>
    <w:rsid w:val="67B22DCC"/>
    <w:rsid w:val="67BE71AA"/>
    <w:rsid w:val="67D90273"/>
    <w:rsid w:val="67DE5875"/>
    <w:rsid w:val="67E55852"/>
    <w:rsid w:val="67EB1AB4"/>
    <w:rsid w:val="67FA1285"/>
    <w:rsid w:val="67FD1073"/>
    <w:rsid w:val="68210EBB"/>
    <w:rsid w:val="68551F4F"/>
    <w:rsid w:val="687C10C9"/>
    <w:rsid w:val="68840C16"/>
    <w:rsid w:val="68876EFB"/>
    <w:rsid w:val="68884654"/>
    <w:rsid w:val="689F444F"/>
    <w:rsid w:val="68B96DBB"/>
    <w:rsid w:val="68CA2805"/>
    <w:rsid w:val="68E937A3"/>
    <w:rsid w:val="693E15D3"/>
    <w:rsid w:val="69627681"/>
    <w:rsid w:val="6977531D"/>
    <w:rsid w:val="69A049DA"/>
    <w:rsid w:val="69CC2BFF"/>
    <w:rsid w:val="69FD55B8"/>
    <w:rsid w:val="6A0B1C62"/>
    <w:rsid w:val="6A2406C8"/>
    <w:rsid w:val="6ADE0BD1"/>
    <w:rsid w:val="6AE96859"/>
    <w:rsid w:val="6B147746"/>
    <w:rsid w:val="6B24787C"/>
    <w:rsid w:val="6B573233"/>
    <w:rsid w:val="6B5B6274"/>
    <w:rsid w:val="6B935D53"/>
    <w:rsid w:val="6BCB7ABB"/>
    <w:rsid w:val="6C196F71"/>
    <w:rsid w:val="6C226FCB"/>
    <w:rsid w:val="6C31226F"/>
    <w:rsid w:val="6C552F0B"/>
    <w:rsid w:val="6C573C4E"/>
    <w:rsid w:val="6C8C67B7"/>
    <w:rsid w:val="6C9D744C"/>
    <w:rsid w:val="6CA200F0"/>
    <w:rsid w:val="6D167928"/>
    <w:rsid w:val="6D26299B"/>
    <w:rsid w:val="6D4772EC"/>
    <w:rsid w:val="6D7640A6"/>
    <w:rsid w:val="6D9078AF"/>
    <w:rsid w:val="6DAA3FEF"/>
    <w:rsid w:val="6DAC2C8A"/>
    <w:rsid w:val="6DC0172B"/>
    <w:rsid w:val="6DCB690C"/>
    <w:rsid w:val="6DD41A5B"/>
    <w:rsid w:val="6DD673C5"/>
    <w:rsid w:val="6DF43C2E"/>
    <w:rsid w:val="6DF51CA3"/>
    <w:rsid w:val="6DF7F431"/>
    <w:rsid w:val="6E680311"/>
    <w:rsid w:val="6E8335BD"/>
    <w:rsid w:val="6E8C1058"/>
    <w:rsid w:val="6E8E12EF"/>
    <w:rsid w:val="6E972936"/>
    <w:rsid w:val="6ED446C5"/>
    <w:rsid w:val="6F2A7D94"/>
    <w:rsid w:val="6F4E5101"/>
    <w:rsid w:val="6F817F36"/>
    <w:rsid w:val="6F8331F1"/>
    <w:rsid w:val="6FAE1A09"/>
    <w:rsid w:val="6FBF795B"/>
    <w:rsid w:val="6FD75BF8"/>
    <w:rsid w:val="70406F24"/>
    <w:rsid w:val="707723D0"/>
    <w:rsid w:val="70F5661B"/>
    <w:rsid w:val="71360107"/>
    <w:rsid w:val="713B688E"/>
    <w:rsid w:val="71D43752"/>
    <w:rsid w:val="71F1796A"/>
    <w:rsid w:val="72154626"/>
    <w:rsid w:val="721F3278"/>
    <w:rsid w:val="72262B5D"/>
    <w:rsid w:val="72283FF7"/>
    <w:rsid w:val="722E7212"/>
    <w:rsid w:val="72364E74"/>
    <w:rsid w:val="723A0474"/>
    <w:rsid w:val="725923E4"/>
    <w:rsid w:val="72864BF7"/>
    <w:rsid w:val="729023FC"/>
    <w:rsid w:val="72FA6ED8"/>
    <w:rsid w:val="73087C18"/>
    <w:rsid w:val="73561E8C"/>
    <w:rsid w:val="73C0646E"/>
    <w:rsid w:val="73EA5D66"/>
    <w:rsid w:val="742222F5"/>
    <w:rsid w:val="7426061C"/>
    <w:rsid w:val="74476126"/>
    <w:rsid w:val="74706664"/>
    <w:rsid w:val="747F3682"/>
    <w:rsid w:val="749C4185"/>
    <w:rsid w:val="74FD2BE4"/>
    <w:rsid w:val="75067759"/>
    <w:rsid w:val="752E6DCD"/>
    <w:rsid w:val="7551380D"/>
    <w:rsid w:val="75600BE5"/>
    <w:rsid w:val="7564475C"/>
    <w:rsid w:val="7583797F"/>
    <w:rsid w:val="75D20F1D"/>
    <w:rsid w:val="75DA2C18"/>
    <w:rsid w:val="75EB0D5A"/>
    <w:rsid w:val="75F54412"/>
    <w:rsid w:val="761D08E0"/>
    <w:rsid w:val="762D23AA"/>
    <w:rsid w:val="763943FC"/>
    <w:rsid w:val="765508B1"/>
    <w:rsid w:val="765D347C"/>
    <w:rsid w:val="76826699"/>
    <w:rsid w:val="76976CAD"/>
    <w:rsid w:val="76C87133"/>
    <w:rsid w:val="76CD08D5"/>
    <w:rsid w:val="76DB4B92"/>
    <w:rsid w:val="77052AA4"/>
    <w:rsid w:val="77136511"/>
    <w:rsid w:val="77340A39"/>
    <w:rsid w:val="77351FD0"/>
    <w:rsid w:val="77472422"/>
    <w:rsid w:val="777F31F2"/>
    <w:rsid w:val="778B2686"/>
    <w:rsid w:val="77A61681"/>
    <w:rsid w:val="77B02123"/>
    <w:rsid w:val="77D1700D"/>
    <w:rsid w:val="77EC04CC"/>
    <w:rsid w:val="780B2500"/>
    <w:rsid w:val="78775729"/>
    <w:rsid w:val="78A42DB0"/>
    <w:rsid w:val="78A656AB"/>
    <w:rsid w:val="78B2245C"/>
    <w:rsid w:val="78E172CC"/>
    <w:rsid w:val="78EA1D1F"/>
    <w:rsid w:val="78F55302"/>
    <w:rsid w:val="7904172F"/>
    <w:rsid w:val="790F7E27"/>
    <w:rsid w:val="792A231A"/>
    <w:rsid w:val="79316829"/>
    <w:rsid w:val="79386762"/>
    <w:rsid w:val="797E66A9"/>
    <w:rsid w:val="798518A4"/>
    <w:rsid w:val="79A97383"/>
    <w:rsid w:val="79B80F53"/>
    <w:rsid w:val="79E27E8B"/>
    <w:rsid w:val="79F850CE"/>
    <w:rsid w:val="79FD443C"/>
    <w:rsid w:val="7A1D1975"/>
    <w:rsid w:val="7A3E5150"/>
    <w:rsid w:val="7A4670D6"/>
    <w:rsid w:val="7A534B63"/>
    <w:rsid w:val="7A615382"/>
    <w:rsid w:val="7A67303B"/>
    <w:rsid w:val="7A924604"/>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DF73F6"/>
    <w:rsid w:val="7DE60973"/>
    <w:rsid w:val="7DEF0916"/>
    <w:rsid w:val="7E1E5218"/>
    <w:rsid w:val="7E3F05E2"/>
    <w:rsid w:val="7E9A4E1F"/>
    <w:rsid w:val="7EA7723A"/>
    <w:rsid w:val="7EBA74A7"/>
    <w:rsid w:val="7EF56FBB"/>
    <w:rsid w:val="7F0768EB"/>
    <w:rsid w:val="7F143BEC"/>
    <w:rsid w:val="7F2F3E50"/>
    <w:rsid w:val="7F715AF2"/>
    <w:rsid w:val="7F886E69"/>
    <w:rsid w:val="7FA572FD"/>
    <w:rsid w:val="BB7FA927"/>
    <w:rsid w:val="BEFF4034"/>
    <w:rsid w:val="F5FFD31F"/>
    <w:rsid w:val="FF7C0AB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318"/>
    <w:qFormat/>
    <w:uiPriority w:val="0"/>
    <w:pPr>
      <w:ind w:firstLine="420"/>
    </w:pPr>
    <w:rPr>
      <w:rFonts w:hAnsi="Calibri" w:cs="Times New Roman"/>
      <w:snapToGrid/>
      <w:szCs w:val="20"/>
    </w:rPr>
  </w:style>
  <w:style w:type="paragraph" w:styleId="3">
    <w:name w:val="Body Text"/>
    <w:basedOn w:val="1"/>
    <w:next w:val="1"/>
    <w:link w:val="427"/>
    <w:qFormat/>
    <w:uiPriority w:val="0"/>
    <w:pPr>
      <w:autoSpaceDE w:val="0"/>
      <w:autoSpaceDN w:val="0"/>
      <w:spacing w:line="360" w:lineRule="auto"/>
    </w:pPr>
    <w:rPr>
      <w:rFonts w:ascii="宋体" w:hAnsi="Arial" w:cs="Arial"/>
      <w:snapToGrid w:val="0"/>
      <w:sz w:val="24"/>
      <w:szCs w:val="21"/>
      <w:lang w:val="zh-CN"/>
    </w:rPr>
  </w:style>
  <w:style w:type="paragraph" w:styleId="7">
    <w:name w:val="Normal Indent"/>
    <w:basedOn w:val="1"/>
    <w:next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6"/>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199"/>
    <w:qFormat/>
    <w:uiPriority w:val="0"/>
    <w:pPr>
      <w:shd w:val="clear" w:color="auto" w:fill="000080"/>
    </w:pPr>
  </w:style>
  <w:style w:type="paragraph" w:styleId="21">
    <w:name w:val="annotation text"/>
    <w:basedOn w:val="1"/>
    <w:link w:val="341"/>
    <w:qFormat/>
    <w:uiPriority w:val="99"/>
    <w:pPr>
      <w:jc w:val="left"/>
    </w:pPr>
  </w:style>
  <w:style w:type="paragraph" w:styleId="22">
    <w:name w:val="Salutation"/>
    <w:basedOn w:val="1"/>
    <w:next w:val="1"/>
    <w:link w:val="295"/>
    <w:qFormat/>
    <w:uiPriority w:val="0"/>
    <w:rPr>
      <w:rFonts w:ascii="仿宋_GB2312" w:eastAsia="仿宋_GB2312"/>
      <w:sz w:val="28"/>
      <w:szCs w:val="20"/>
    </w:rPr>
  </w:style>
  <w:style w:type="paragraph" w:styleId="23">
    <w:name w:val="Body Text 3"/>
    <w:basedOn w:val="1"/>
    <w:link w:val="327"/>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7"/>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3"/>
    <w:qFormat/>
    <w:uiPriority w:val="0"/>
    <w:rPr>
      <w:b/>
      <w:bCs/>
    </w:rPr>
  </w:style>
  <w:style w:type="paragraph" w:styleId="61">
    <w:name w:val="Body Text First Indent 2"/>
    <w:basedOn w:val="25"/>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10"/>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5"/>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3"/>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7"/>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20"/>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8"/>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8"/>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4"/>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9"/>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2"/>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8"/>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1"/>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8"/>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3"/>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1"/>
    <w:qFormat/>
    <w:uiPriority w:val="99"/>
    <w:rPr>
      <w:kern w:val="2"/>
      <w:sz w:val="21"/>
      <w:szCs w:val="24"/>
    </w:rPr>
  </w:style>
  <w:style w:type="character" w:customStyle="1" w:styleId="342">
    <w:name w:val="签名 Char"/>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2"/>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7"/>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8"/>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5"/>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6"/>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9"/>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6"/>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8"/>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4"/>
    <w:qFormat/>
    <w:uiPriority w:val="0"/>
    <w:pPr>
      <w:tabs>
        <w:tab w:val="left" w:pos="840"/>
      </w:tabs>
      <w:adjustRightInd/>
      <w:ind w:left="840" w:hanging="420"/>
    </w:pPr>
  </w:style>
  <w:style w:type="paragraph" w:customStyle="1" w:styleId="62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8"/>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6"/>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69</Pages>
  <Words>5940</Words>
  <Characters>33862</Characters>
  <Lines>282</Lines>
  <Paragraphs>79</Paragraphs>
  <TotalTime>0</TotalTime>
  <ScaleCrop>false</ScaleCrop>
  <LinksUpToDate>false</LinksUpToDate>
  <CharactersWithSpaces>39723</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2021-07-31T08:22:00Z</dcterms:created>
  <dc:creator>玥</dc:creator>
  <cp:lastModifiedBy>初夏</cp:lastModifiedBy>
  <cp:lastPrinted>2024-02-21T18:11:00Z</cp:lastPrinted>
  <dcterms:modified xsi:type="dcterms:W3CDTF">2024-04-19T05:28:34Z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003502FAC6954C5D9B1C43F5AEF746C4_13</vt:lpwstr>
  </property>
</Properties>
</file>