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44129">
      <w:pPr>
        <w:pStyle w:val="3"/>
        <w:rPr>
          <w:rFonts w:hint="eastAsia" w:ascii="宋体" w:hAnsi="宋体" w:eastAsia="宋体" w:cs="宋体"/>
          <w:highlight w:val="none"/>
          <w:lang w:val="en-US" w:eastAsia="zh-CN"/>
        </w:rPr>
      </w:pPr>
      <w:bookmarkStart w:id="0" w:name="_Toc26684"/>
    </w:p>
    <w:bookmarkEnd w:id="0"/>
    <w:p w14:paraId="6D1725EB">
      <w:pPr>
        <w:spacing w:line="1200" w:lineRule="exact"/>
        <w:ind w:right="-241" w:rightChars="-115"/>
        <w:jc w:val="center"/>
        <w:outlineLvl w:val="0"/>
        <w:rPr>
          <w:rFonts w:hint="eastAsia" w:ascii="宋体" w:hAnsi="宋体" w:eastAsia="宋体" w:cs="宋体"/>
          <w:color w:val="auto"/>
          <w:sz w:val="44"/>
          <w:szCs w:val="44"/>
          <w:highlight w:val="none"/>
          <w:u w:val="none"/>
          <w:lang w:val="en-US" w:eastAsia="zh-CN"/>
        </w:rPr>
      </w:pPr>
      <w:r>
        <w:rPr>
          <w:rFonts w:hint="eastAsia" w:ascii="宋体" w:hAnsi="宋体" w:eastAsia="宋体" w:cs="宋体"/>
          <w:b/>
          <w:bCs/>
          <w:color w:val="auto"/>
          <w:sz w:val="40"/>
          <w:szCs w:val="40"/>
          <w:highlight w:val="none"/>
          <w:u w:val="none"/>
          <w:lang w:val="en-US" w:eastAsia="zh-CN"/>
        </w:rPr>
        <w:t>罗樟源水库工程及道路改复建工程征收范围房屋评估第三方服务采购</w:t>
      </w:r>
    </w:p>
    <w:p w14:paraId="4AC5C3C4">
      <w:pPr>
        <w:pStyle w:val="3"/>
        <w:ind w:firstLine="210"/>
        <w:rPr>
          <w:rFonts w:hint="eastAsia" w:ascii="宋体" w:hAnsi="宋体" w:eastAsia="宋体" w:cs="宋体"/>
          <w:color w:val="auto"/>
          <w:highlight w:val="none"/>
        </w:rPr>
      </w:pPr>
    </w:p>
    <w:p w14:paraId="12AE9774">
      <w:pPr>
        <w:rPr>
          <w:rFonts w:hint="eastAsia" w:ascii="宋体" w:hAnsi="宋体" w:eastAsia="宋体" w:cs="宋体"/>
          <w:color w:val="auto"/>
          <w:highlight w:val="none"/>
        </w:rPr>
      </w:pPr>
    </w:p>
    <w:p w14:paraId="4453DE13">
      <w:pPr>
        <w:pStyle w:val="3"/>
        <w:ind w:left="0" w:leftChars="0" w:firstLine="0" w:firstLineChars="0"/>
        <w:jc w:val="center"/>
        <w:rPr>
          <w:rFonts w:hint="eastAsia" w:ascii="宋体" w:hAnsi="宋体" w:eastAsia="宋体" w:cs="宋体"/>
          <w:color w:val="auto"/>
          <w:highlight w:val="none"/>
        </w:rPr>
      </w:pPr>
      <w:r>
        <w:rPr>
          <w:rFonts w:hint="eastAsia" w:ascii="宋体" w:hAnsi="宋体" w:eastAsia="宋体" w:cs="宋体"/>
          <w:highlight w:val="none"/>
        </w:rPr>
        <w:drawing>
          <wp:inline distT="0" distB="0" distL="114300" distR="114300">
            <wp:extent cx="2607945" cy="2597150"/>
            <wp:effectExtent l="0" t="0" r="190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607945" cy="2597150"/>
                    </a:xfrm>
                    <a:prstGeom prst="rect">
                      <a:avLst/>
                    </a:prstGeom>
                    <a:noFill/>
                    <a:ln>
                      <a:noFill/>
                    </a:ln>
                  </pic:spPr>
                </pic:pic>
              </a:graphicData>
            </a:graphic>
          </wp:inline>
        </w:drawing>
      </w:r>
    </w:p>
    <w:p w14:paraId="225FDCCE">
      <w:pPr>
        <w:rPr>
          <w:rFonts w:hint="eastAsia" w:ascii="宋体" w:hAnsi="宋体" w:eastAsia="宋体" w:cs="宋体"/>
          <w:color w:val="auto"/>
          <w:highlight w:val="none"/>
        </w:rPr>
      </w:pPr>
    </w:p>
    <w:p w14:paraId="321681E8">
      <w:pPr>
        <w:rPr>
          <w:rFonts w:hint="eastAsia" w:ascii="宋体" w:hAnsi="宋体" w:eastAsia="宋体" w:cs="宋体"/>
          <w:color w:val="auto"/>
          <w:highlight w:val="none"/>
        </w:rPr>
      </w:pPr>
    </w:p>
    <w:p w14:paraId="32F420D5">
      <w:pPr>
        <w:pStyle w:val="3"/>
        <w:rPr>
          <w:rFonts w:hint="eastAsia" w:ascii="宋体" w:hAnsi="宋体" w:eastAsia="宋体" w:cs="宋体"/>
          <w:color w:val="auto"/>
          <w:highlight w:val="none"/>
        </w:rPr>
      </w:pPr>
    </w:p>
    <w:p w14:paraId="78928336">
      <w:pPr>
        <w:snapToGrid w:val="0"/>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采购</w:t>
      </w:r>
      <w:r>
        <w:rPr>
          <w:rFonts w:hint="eastAsia" w:ascii="宋体" w:hAnsi="宋体" w:eastAsia="宋体" w:cs="宋体"/>
          <w:b/>
          <w:bCs/>
          <w:color w:val="auto"/>
          <w:sz w:val="52"/>
          <w:szCs w:val="52"/>
          <w:highlight w:val="none"/>
        </w:rPr>
        <w:t>文件</w:t>
      </w:r>
    </w:p>
    <w:p w14:paraId="2E1E9B62">
      <w:pPr>
        <w:pStyle w:val="3"/>
        <w:ind w:firstLine="210"/>
        <w:rPr>
          <w:rFonts w:hint="eastAsia" w:ascii="宋体" w:hAnsi="宋体" w:eastAsia="宋体" w:cs="宋体"/>
          <w:color w:val="auto"/>
          <w:highlight w:val="none"/>
        </w:rPr>
      </w:pPr>
    </w:p>
    <w:p w14:paraId="53FDC1AE">
      <w:pPr>
        <w:rPr>
          <w:rFonts w:hint="eastAsia" w:ascii="宋体" w:hAnsi="宋体" w:eastAsia="宋体" w:cs="宋体"/>
          <w:color w:val="auto"/>
          <w:highlight w:val="none"/>
        </w:rPr>
      </w:pPr>
    </w:p>
    <w:p w14:paraId="70B918BA">
      <w:pPr>
        <w:pStyle w:val="7"/>
        <w:rPr>
          <w:rFonts w:hint="eastAsia" w:ascii="宋体" w:hAnsi="宋体" w:eastAsia="宋体" w:cs="宋体"/>
          <w:color w:val="auto"/>
          <w:highlight w:val="none"/>
        </w:rPr>
      </w:pPr>
    </w:p>
    <w:p w14:paraId="49C6A042">
      <w:pPr>
        <w:spacing w:line="360" w:lineRule="auto"/>
        <w:jc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lang w:val="en-US" w:eastAsia="zh-CN"/>
        </w:rPr>
        <w:t>采  购  人</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eastAsia="zh-CN"/>
        </w:rPr>
        <w:t>衢州市衢江区大洲镇人民政府</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（盖章）</w:t>
      </w:r>
    </w:p>
    <w:p w14:paraId="20DAA2DC">
      <w:pPr>
        <w:spacing w:line="360" w:lineRule="auto"/>
        <w:jc w:val="both"/>
        <w:rPr>
          <w:rFonts w:hint="eastAsia" w:ascii="宋体" w:hAnsi="宋体" w:eastAsia="宋体" w:cs="宋体"/>
          <w:color w:val="auto"/>
          <w:sz w:val="30"/>
          <w:szCs w:val="30"/>
          <w:highlight w:val="none"/>
        </w:rPr>
      </w:pPr>
    </w:p>
    <w:p w14:paraId="6FF27954">
      <w:pPr>
        <w:spacing w:line="360" w:lineRule="auto"/>
        <w:jc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lang w:val="en-US" w:eastAsia="zh-CN"/>
        </w:rPr>
        <w:t>采购</w:t>
      </w:r>
      <w:r>
        <w:rPr>
          <w:rFonts w:hint="eastAsia" w:ascii="宋体" w:hAnsi="宋体" w:eastAsia="宋体" w:cs="宋体"/>
          <w:color w:val="auto"/>
          <w:sz w:val="30"/>
          <w:szCs w:val="30"/>
          <w:highlight w:val="none"/>
        </w:rPr>
        <w:t>代理机构：</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浙江天平投资咨询有限公司 </w:t>
      </w:r>
      <w:r>
        <w:rPr>
          <w:rFonts w:hint="eastAsia" w:ascii="宋体" w:hAnsi="宋体" w:eastAsia="宋体" w:cs="宋体"/>
          <w:color w:val="auto"/>
          <w:sz w:val="30"/>
          <w:szCs w:val="30"/>
          <w:highlight w:val="none"/>
          <w:u w:val="single"/>
        </w:rPr>
        <w:t>（盖章）</w:t>
      </w:r>
    </w:p>
    <w:p w14:paraId="09A80156">
      <w:pPr>
        <w:spacing w:line="360" w:lineRule="auto"/>
        <w:jc w:val="center"/>
        <w:rPr>
          <w:rFonts w:hint="eastAsia" w:ascii="宋体" w:hAnsi="宋体" w:eastAsia="宋体" w:cs="宋体"/>
          <w:color w:val="auto"/>
          <w:sz w:val="32"/>
          <w:szCs w:val="32"/>
          <w:highlight w:val="none"/>
          <w:u w:val="single"/>
          <w:lang w:val="en-US" w:eastAsia="zh-CN"/>
        </w:rPr>
      </w:pPr>
    </w:p>
    <w:p w14:paraId="218AC7A1">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val="en-US" w:eastAsia="zh-CN"/>
        </w:rPr>
        <w:t xml:space="preserve"> 2025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7</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月</w:t>
      </w:r>
    </w:p>
    <w:sdt>
      <w:sdtPr>
        <w:rPr>
          <w:rFonts w:hint="eastAsia" w:ascii="宋体" w:hAnsi="宋体" w:eastAsia="宋体" w:cs="宋体"/>
          <w:kern w:val="2"/>
          <w:sz w:val="28"/>
          <w:szCs w:val="32"/>
          <w:highlight w:val="none"/>
          <w:lang w:val="en-US" w:eastAsia="zh-CN" w:bidi="ar-SA"/>
        </w:rPr>
        <w:id w:val="147461656"/>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205DAEF8">
          <w:pPr>
            <w:spacing w:before="0" w:beforeLines="0" w:after="0" w:afterLines="0" w:line="240" w:lineRule="auto"/>
            <w:ind w:left="0" w:leftChars="0" w:right="0" w:rightChars="0" w:firstLine="0" w:firstLineChars="0"/>
            <w:jc w:val="center"/>
            <w:rPr>
              <w:rFonts w:hint="eastAsia" w:ascii="宋体" w:hAnsi="宋体" w:eastAsia="宋体" w:cs="宋体"/>
              <w:sz w:val="28"/>
              <w:szCs w:val="32"/>
              <w:highlight w:val="none"/>
            </w:rPr>
          </w:pPr>
          <w:r>
            <w:rPr>
              <w:rFonts w:hint="eastAsia" w:ascii="宋体" w:hAnsi="宋体" w:eastAsia="宋体" w:cs="宋体"/>
              <w:sz w:val="28"/>
              <w:szCs w:val="32"/>
              <w:highlight w:val="none"/>
            </w:rPr>
            <w:t>目录</w:t>
          </w:r>
        </w:p>
        <w:p w14:paraId="16022961">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TOC \o "1-1" \h \u </w:instrText>
          </w:r>
          <w:r>
            <w:rPr>
              <w:rFonts w:hint="eastAsia" w:ascii="宋体" w:hAnsi="宋体" w:eastAsia="宋体" w:cs="宋体"/>
              <w:highlight w:val="none"/>
              <w:lang w:eastAsia="zh-CN"/>
            </w:rPr>
            <w:fldChar w:fldCharType="separate"/>
          </w: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_Toc8961 </w:instrText>
          </w:r>
          <w:r>
            <w:rPr>
              <w:rFonts w:hint="eastAsia" w:ascii="宋体" w:hAnsi="宋体" w:eastAsia="宋体" w:cs="宋体"/>
              <w:highlight w:val="none"/>
              <w:lang w:eastAsia="zh-CN"/>
            </w:rPr>
            <w:fldChar w:fldCharType="separate"/>
          </w:r>
          <w:r>
            <w:rPr>
              <w:rFonts w:hint="eastAsia" w:ascii="宋体" w:hAnsi="宋体" w:eastAsia="宋体" w:cs="宋体"/>
              <w:szCs w:val="32"/>
              <w:highlight w:val="none"/>
            </w:rPr>
            <w:t>第一</w:t>
          </w:r>
          <w:r>
            <w:rPr>
              <w:rFonts w:hint="eastAsia" w:ascii="宋体" w:hAnsi="宋体" w:eastAsia="宋体" w:cs="宋体"/>
              <w:szCs w:val="32"/>
              <w:highlight w:val="none"/>
              <w:lang w:val="en-US" w:eastAsia="zh-CN"/>
            </w:rPr>
            <w:t>章</w:t>
          </w:r>
          <w:r>
            <w:rPr>
              <w:rFonts w:hint="eastAsia" w:ascii="宋体" w:hAnsi="宋体" w:eastAsia="宋体" w:cs="宋体"/>
              <w:szCs w:val="32"/>
              <w:highlight w:val="none"/>
            </w:rPr>
            <w:t xml:space="preserve"> 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_Toc8961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1C9EC448">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_Toc32019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第二章  投标须知前附表及投标须知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_Toc32019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6E61DA60">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_Toc24091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 xml:space="preserve">第三章 </w:t>
          </w:r>
          <w:r>
            <w:rPr>
              <w:rFonts w:hint="eastAsia" w:ascii="宋体" w:hAnsi="宋体" w:eastAsia="宋体" w:cs="宋体"/>
              <w:szCs w:val="28"/>
              <w:highlight w:val="none"/>
            </w:rPr>
            <w:t>采购内容及要求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_Toc24091 \h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5E27D333">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_Toc9656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第四章 合同主要条款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_Toc9656 \h </w:instrText>
          </w:r>
          <w:r>
            <w:rPr>
              <w:rFonts w:hint="eastAsia" w:ascii="宋体" w:hAnsi="宋体" w:eastAsia="宋体" w:cs="宋体"/>
              <w:highlight w:val="none"/>
            </w:rPr>
            <w:fldChar w:fldCharType="separate"/>
          </w:r>
          <w:r>
            <w:rPr>
              <w:rFonts w:hint="eastAsia" w:ascii="宋体" w:hAnsi="宋体" w:eastAsia="宋体" w:cs="宋体"/>
              <w:highlight w:val="none"/>
            </w:rPr>
            <w:t>37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4700B4EA">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_Toc5592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第五章  应提交的有关格式范例</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_Toc5592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1FEDC880">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_Toc2416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zh-CN" w:eastAsia="zh-CN"/>
            </w:rPr>
            <w:t>第六章</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val="zh-CN" w:eastAsia="zh-CN"/>
            </w:rPr>
            <w:t>评标办法及开标程序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_Toc2416 \h </w:instrText>
          </w:r>
          <w:r>
            <w:rPr>
              <w:rFonts w:hint="eastAsia" w:ascii="宋体" w:hAnsi="宋体" w:eastAsia="宋体" w:cs="宋体"/>
              <w:highlight w:val="none"/>
            </w:rPr>
            <w:fldChar w:fldCharType="separate"/>
          </w:r>
          <w:r>
            <w:rPr>
              <w:rFonts w:hint="eastAsia" w:ascii="宋体" w:hAnsi="宋体" w:eastAsia="宋体" w:cs="宋体"/>
              <w:highlight w:val="none"/>
            </w:rPr>
            <w:t>62</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735ABD7E">
          <w:pPr>
            <w:rPr>
              <w:rFonts w:hint="eastAsia" w:ascii="宋体" w:hAnsi="宋体" w:eastAsia="宋体" w:cs="宋体"/>
              <w:kern w:val="2"/>
              <w:sz w:val="21"/>
              <w:szCs w:val="22"/>
              <w:highlight w:val="none"/>
              <w:lang w:val="en-US" w:eastAsia="zh-CN" w:bidi="ar-SA"/>
            </w:rPr>
          </w:pPr>
          <w:r>
            <w:rPr>
              <w:rFonts w:hint="eastAsia" w:ascii="宋体" w:hAnsi="宋体" w:eastAsia="宋体" w:cs="宋体"/>
              <w:highlight w:val="none"/>
              <w:lang w:eastAsia="zh-CN"/>
            </w:rPr>
            <w:fldChar w:fldCharType="end"/>
          </w:r>
        </w:p>
      </w:sdtContent>
    </w:sdt>
    <w:p w14:paraId="7917076A">
      <w:pPr>
        <w:pStyle w:val="10"/>
        <w:rPr>
          <w:rFonts w:hint="eastAsia" w:ascii="宋体" w:hAnsi="宋体" w:eastAsia="宋体" w:cs="宋体"/>
          <w:highlight w:val="none"/>
          <w:lang w:val="en-US" w:eastAsia="zh-CN"/>
        </w:rPr>
      </w:pPr>
    </w:p>
    <w:p w14:paraId="3B939BD3">
      <w:pPr>
        <w:pStyle w:val="3"/>
        <w:rPr>
          <w:rFonts w:hint="eastAsia" w:ascii="宋体" w:hAnsi="宋体" w:eastAsia="宋体" w:cs="宋体"/>
          <w:color w:val="auto"/>
          <w:highlight w:val="none"/>
          <w:lang w:eastAsia="zh-CN"/>
        </w:rPr>
      </w:pPr>
    </w:p>
    <w:p w14:paraId="1353FB54">
      <w:pPr>
        <w:rPr>
          <w:rFonts w:hint="eastAsia" w:ascii="宋体" w:hAnsi="宋体" w:eastAsia="宋体" w:cs="宋体"/>
          <w:color w:val="auto"/>
          <w:highlight w:val="none"/>
          <w:lang w:eastAsia="zh-CN"/>
        </w:rPr>
      </w:pPr>
    </w:p>
    <w:p w14:paraId="6D59438C">
      <w:pPr>
        <w:pStyle w:val="3"/>
        <w:rPr>
          <w:rFonts w:hint="eastAsia" w:ascii="宋体" w:hAnsi="宋体" w:eastAsia="宋体" w:cs="宋体"/>
          <w:color w:val="auto"/>
          <w:highlight w:val="none"/>
          <w:lang w:eastAsia="zh-CN"/>
        </w:rPr>
      </w:pPr>
    </w:p>
    <w:p w14:paraId="6BA6A06D">
      <w:pPr>
        <w:rPr>
          <w:rFonts w:hint="eastAsia" w:ascii="宋体" w:hAnsi="宋体" w:eastAsia="宋体" w:cs="宋体"/>
          <w:color w:val="auto"/>
          <w:highlight w:val="none"/>
          <w:lang w:eastAsia="zh-CN"/>
        </w:rPr>
      </w:pPr>
    </w:p>
    <w:p w14:paraId="0E0829C6">
      <w:pPr>
        <w:pStyle w:val="3"/>
        <w:rPr>
          <w:rFonts w:hint="eastAsia" w:ascii="宋体" w:hAnsi="宋体" w:eastAsia="宋体" w:cs="宋体"/>
          <w:color w:val="auto"/>
          <w:highlight w:val="none"/>
          <w:lang w:eastAsia="zh-CN"/>
        </w:rPr>
      </w:pPr>
    </w:p>
    <w:p w14:paraId="3627A8B2">
      <w:pPr>
        <w:rPr>
          <w:rFonts w:hint="eastAsia" w:ascii="宋体" w:hAnsi="宋体" w:eastAsia="宋体" w:cs="宋体"/>
          <w:color w:val="auto"/>
          <w:highlight w:val="none"/>
          <w:lang w:eastAsia="zh-CN"/>
        </w:rPr>
      </w:pPr>
    </w:p>
    <w:p w14:paraId="78F64C8A">
      <w:pPr>
        <w:pStyle w:val="3"/>
        <w:rPr>
          <w:rFonts w:hint="eastAsia" w:ascii="宋体" w:hAnsi="宋体" w:eastAsia="宋体" w:cs="宋体"/>
          <w:color w:val="auto"/>
          <w:highlight w:val="none"/>
          <w:lang w:eastAsia="zh-CN"/>
        </w:rPr>
      </w:pPr>
    </w:p>
    <w:p w14:paraId="170403B6">
      <w:pPr>
        <w:rPr>
          <w:rFonts w:hint="eastAsia" w:ascii="宋体" w:hAnsi="宋体" w:eastAsia="宋体" w:cs="宋体"/>
          <w:color w:val="auto"/>
          <w:highlight w:val="none"/>
          <w:lang w:eastAsia="zh-CN"/>
        </w:rPr>
      </w:pPr>
    </w:p>
    <w:p w14:paraId="630C2143">
      <w:pPr>
        <w:pStyle w:val="3"/>
        <w:rPr>
          <w:rFonts w:hint="eastAsia" w:ascii="宋体" w:hAnsi="宋体" w:eastAsia="宋体" w:cs="宋体"/>
          <w:color w:val="auto"/>
          <w:highlight w:val="none"/>
          <w:lang w:eastAsia="zh-CN"/>
        </w:rPr>
      </w:pPr>
    </w:p>
    <w:p w14:paraId="29AF2253">
      <w:pPr>
        <w:rPr>
          <w:rFonts w:hint="eastAsia" w:ascii="宋体" w:hAnsi="宋体" w:eastAsia="宋体" w:cs="宋体"/>
          <w:color w:val="auto"/>
          <w:highlight w:val="none"/>
          <w:lang w:eastAsia="zh-CN"/>
        </w:rPr>
      </w:pPr>
    </w:p>
    <w:p w14:paraId="11D901EF">
      <w:pPr>
        <w:pStyle w:val="3"/>
        <w:rPr>
          <w:rFonts w:hint="eastAsia" w:ascii="宋体" w:hAnsi="宋体" w:eastAsia="宋体" w:cs="宋体"/>
          <w:color w:val="auto"/>
          <w:highlight w:val="none"/>
          <w:lang w:eastAsia="zh-CN"/>
        </w:rPr>
      </w:pPr>
    </w:p>
    <w:p w14:paraId="2C55F9DD">
      <w:pPr>
        <w:rPr>
          <w:rFonts w:hint="eastAsia" w:ascii="宋体" w:hAnsi="宋体" w:eastAsia="宋体" w:cs="宋体"/>
          <w:color w:val="auto"/>
          <w:highlight w:val="none"/>
          <w:lang w:eastAsia="zh-CN"/>
        </w:rPr>
      </w:pPr>
    </w:p>
    <w:p w14:paraId="4F48B287">
      <w:pPr>
        <w:pStyle w:val="3"/>
        <w:rPr>
          <w:rFonts w:hint="eastAsia" w:ascii="宋体" w:hAnsi="宋体" w:eastAsia="宋体" w:cs="宋体"/>
          <w:color w:val="auto"/>
          <w:highlight w:val="none"/>
          <w:lang w:eastAsia="zh-CN"/>
        </w:rPr>
      </w:pPr>
    </w:p>
    <w:p w14:paraId="25FB8485">
      <w:pPr>
        <w:rPr>
          <w:rFonts w:hint="eastAsia" w:ascii="宋体" w:hAnsi="宋体" w:eastAsia="宋体" w:cs="宋体"/>
          <w:color w:val="auto"/>
          <w:highlight w:val="none"/>
          <w:lang w:eastAsia="zh-CN"/>
        </w:rPr>
      </w:pPr>
    </w:p>
    <w:p w14:paraId="1062D6DC">
      <w:pPr>
        <w:pStyle w:val="3"/>
        <w:rPr>
          <w:rFonts w:hint="eastAsia" w:ascii="宋体" w:hAnsi="宋体" w:eastAsia="宋体" w:cs="宋体"/>
          <w:color w:val="auto"/>
          <w:highlight w:val="none"/>
          <w:lang w:eastAsia="zh-CN"/>
        </w:rPr>
      </w:pPr>
    </w:p>
    <w:p w14:paraId="46FF56F2">
      <w:pPr>
        <w:rPr>
          <w:rFonts w:hint="eastAsia" w:ascii="宋体" w:hAnsi="宋体" w:eastAsia="宋体" w:cs="宋体"/>
          <w:color w:val="auto"/>
          <w:highlight w:val="none"/>
          <w:lang w:eastAsia="zh-CN"/>
        </w:rPr>
      </w:pPr>
    </w:p>
    <w:p w14:paraId="3DF121A4">
      <w:pPr>
        <w:pStyle w:val="3"/>
        <w:rPr>
          <w:rFonts w:hint="eastAsia" w:ascii="宋体" w:hAnsi="宋体" w:eastAsia="宋体" w:cs="宋体"/>
          <w:color w:val="auto"/>
          <w:highlight w:val="none"/>
          <w:lang w:eastAsia="zh-CN"/>
        </w:rPr>
      </w:pPr>
    </w:p>
    <w:p w14:paraId="42902CF2">
      <w:pPr>
        <w:rPr>
          <w:rFonts w:hint="eastAsia" w:ascii="宋体" w:hAnsi="宋体" w:eastAsia="宋体" w:cs="宋体"/>
          <w:color w:val="auto"/>
          <w:highlight w:val="none"/>
          <w:lang w:eastAsia="zh-CN"/>
        </w:rPr>
      </w:pPr>
    </w:p>
    <w:p w14:paraId="58CBF6B2">
      <w:pPr>
        <w:pStyle w:val="3"/>
        <w:rPr>
          <w:rFonts w:hint="eastAsia" w:ascii="宋体" w:hAnsi="宋体" w:eastAsia="宋体" w:cs="宋体"/>
          <w:color w:val="auto"/>
          <w:highlight w:val="none"/>
          <w:lang w:eastAsia="zh-CN"/>
        </w:rPr>
      </w:pPr>
    </w:p>
    <w:p w14:paraId="1B5AB683">
      <w:pPr>
        <w:rPr>
          <w:rFonts w:hint="eastAsia" w:ascii="宋体" w:hAnsi="宋体" w:eastAsia="宋体" w:cs="宋体"/>
          <w:color w:val="auto"/>
          <w:highlight w:val="none"/>
          <w:lang w:eastAsia="zh-CN"/>
        </w:rPr>
      </w:pPr>
    </w:p>
    <w:p w14:paraId="5BBEF92E">
      <w:pPr>
        <w:pStyle w:val="3"/>
        <w:rPr>
          <w:rFonts w:hint="eastAsia" w:ascii="宋体" w:hAnsi="宋体" w:eastAsia="宋体" w:cs="宋体"/>
          <w:color w:val="auto"/>
          <w:highlight w:val="none"/>
          <w:lang w:eastAsia="zh-CN"/>
        </w:rPr>
      </w:pPr>
    </w:p>
    <w:p w14:paraId="3B2E8161">
      <w:pPr>
        <w:rPr>
          <w:rFonts w:hint="eastAsia" w:ascii="宋体" w:hAnsi="宋体" w:eastAsia="宋体" w:cs="宋体"/>
          <w:color w:val="auto"/>
          <w:highlight w:val="none"/>
          <w:lang w:eastAsia="zh-CN"/>
        </w:rPr>
      </w:pPr>
    </w:p>
    <w:p w14:paraId="13BEF57B">
      <w:pPr>
        <w:pStyle w:val="3"/>
        <w:ind w:left="0" w:leftChars="0" w:firstLine="0" w:firstLineChars="0"/>
        <w:rPr>
          <w:rFonts w:hint="eastAsia" w:ascii="宋体" w:hAnsi="宋体" w:eastAsia="宋体" w:cs="宋体"/>
          <w:color w:val="auto"/>
          <w:highlight w:val="none"/>
          <w:lang w:eastAsia="zh-CN"/>
        </w:rPr>
      </w:pPr>
    </w:p>
    <w:p w14:paraId="453886C7">
      <w:pPr>
        <w:rPr>
          <w:rFonts w:hint="eastAsia" w:ascii="宋体" w:hAnsi="宋体" w:eastAsia="宋体" w:cs="宋体"/>
          <w:highlight w:val="none"/>
          <w:lang w:eastAsia="zh-CN"/>
        </w:rPr>
      </w:pPr>
    </w:p>
    <w:p w14:paraId="5FF57A5E">
      <w:pPr>
        <w:rPr>
          <w:rFonts w:hint="eastAsia" w:ascii="宋体" w:hAnsi="宋体" w:eastAsia="宋体" w:cs="宋体"/>
          <w:highlight w:val="none"/>
          <w:lang w:eastAsia="zh-CN"/>
        </w:rPr>
      </w:pPr>
    </w:p>
    <w:p w14:paraId="35F28A2E">
      <w:pPr>
        <w:keepNext w:val="0"/>
        <w:keepLines w:val="0"/>
        <w:pageBreakBefore w:val="0"/>
        <w:widowControl w:val="0"/>
        <w:kinsoku/>
        <w:wordWrap/>
        <w:overflowPunct/>
        <w:topLinePunct w:val="0"/>
        <w:autoSpaceDE/>
        <w:autoSpaceDN/>
        <w:bidi w:val="0"/>
        <w:adjustRightInd/>
        <w:spacing w:line="500" w:lineRule="exact"/>
        <w:jc w:val="center"/>
        <w:textAlignment w:val="auto"/>
        <w:outlineLvl w:val="0"/>
        <w:rPr>
          <w:rFonts w:hint="eastAsia" w:ascii="宋体" w:hAnsi="宋体" w:eastAsia="宋体" w:cs="宋体"/>
          <w:b/>
          <w:color w:val="auto"/>
          <w:sz w:val="32"/>
          <w:szCs w:val="32"/>
          <w:highlight w:val="none"/>
        </w:rPr>
      </w:pPr>
      <w:bookmarkStart w:id="1" w:name="_Toc8961"/>
      <w:r>
        <w:rPr>
          <w:rFonts w:hint="eastAsia" w:ascii="宋体" w:hAnsi="宋体" w:eastAsia="宋体" w:cs="宋体"/>
          <w:b/>
          <w:color w:val="auto"/>
          <w:sz w:val="32"/>
          <w:szCs w:val="32"/>
          <w:highlight w:val="none"/>
        </w:rPr>
        <w:t>第一</w:t>
      </w:r>
      <w:r>
        <w:rPr>
          <w:rFonts w:hint="eastAsia" w:ascii="宋体" w:hAnsi="宋体" w:eastAsia="宋体" w:cs="宋体"/>
          <w:b/>
          <w:color w:val="auto"/>
          <w:sz w:val="32"/>
          <w:szCs w:val="32"/>
          <w:highlight w:val="none"/>
          <w:lang w:val="en-US" w:eastAsia="zh-CN"/>
        </w:rPr>
        <w:t>章</w:t>
      </w:r>
      <w:r>
        <w:rPr>
          <w:rFonts w:hint="eastAsia" w:ascii="宋体" w:hAnsi="宋体" w:eastAsia="宋体" w:cs="宋体"/>
          <w:b/>
          <w:color w:val="auto"/>
          <w:sz w:val="32"/>
          <w:szCs w:val="32"/>
          <w:highlight w:val="none"/>
        </w:rPr>
        <w:t xml:space="preserve"> 招标公告</w:t>
      </w:r>
      <w:bookmarkEnd w:id="1"/>
    </w:p>
    <w:p w14:paraId="205FE7BD">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D2F9429">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罗樟源水库工程及道路改复建工程征收范围房屋评估第三方服务采购</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23"/>
          <w:rFonts w:hint="eastAsia" w:ascii="宋体" w:hAnsi="宋体" w:eastAsia="宋体" w:cs="宋体"/>
          <w:snapToGrid/>
          <w:color w:val="auto"/>
          <w:kern w:val="2"/>
          <w:sz w:val="24"/>
          <w:szCs w:val="24"/>
          <w:highlight w:val="none"/>
        </w:rPr>
        <w:t>https://www.zcygov.cn/）获取（下载）招标文件，并于202</w:t>
      </w:r>
      <w:r>
        <w:rPr>
          <w:rStyle w:val="23"/>
          <w:rFonts w:hint="eastAsia" w:ascii="宋体" w:hAnsi="宋体" w:eastAsia="宋体" w:cs="宋体"/>
          <w:snapToGrid/>
          <w:color w:val="auto"/>
          <w:kern w:val="2"/>
          <w:sz w:val="24"/>
          <w:szCs w:val="24"/>
          <w:highlight w:val="none"/>
          <w:lang w:val="en-US" w:eastAsia="zh-CN"/>
        </w:rPr>
        <w:t>5</w:t>
      </w:r>
      <w:r>
        <w:rPr>
          <w:rStyle w:val="23"/>
          <w:rFonts w:hint="eastAsia" w:ascii="宋体" w:hAnsi="宋体" w:eastAsia="宋体" w:cs="宋体"/>
          <w:snapToGrid/>
          <w:color w:val="auto"/>
          <w:kern w:val="2"/>
          <w:sz w:val="24"/>
          <w:szCs w:val="24"/>
          <w:highlight w:val="none"/>
        </w:rPr>
        <w:t>年</w:t>
      </w:r>
      <w:r>
        <w:rPr>
          <w:rStyle w:val="23"/>
          <w:rFonts w:hint="eastAsia" w:ascii="宋体" w:hAnsi="宋体" w:cs="宋体"/>
          <w:snapToGrid/>
          <w:color w:val="auto"/>
          <w:kern w:val="2"/>
          <w:sz w:val="24"/>
          <w:szCs w:val="24"/>
          <w:highlight w:val="none"/>
          <w:lang w:val="en-US" w:eastAsia="zh-CN"/>
        </w:rPr>
        <w:t>8</w:t>
      </w:r>
      <w:r>
        <w:rPr>
          <w:rStyle w:val="23"/>
          <w:rFonts w:hint="eastAsia" w:ascii="宋体" w:hAnsi="宋体" w:eastAsia="宋体" w:cs="宋体"/>
          <w:snapToGrid/>
          <w:color w:val="auto"/>
          <w:kern w:val="2"/>
          <w:sz w:val="24"/>
          <w:szCs w:val="24"/>
          <w:highlight w:val="none"/>
        </w:rPr>
        <w:t>月</w:t>
      </w:r>
      <w:r>
        <w:rPr>
          <w:rStyle w:val="23"/>
          <w:rFonts w:hint="eastAsia" w:ascii="宋体" w:hAnsi="宋体" w:cs="宋体"/>
          <w:snapToGrid/>
          <w:color w:val="auto"/>
          <w:kern w:val="2"/>
          <w:sz w:val="24"/>
          <w:szCs w:val="24"/>
          <w:highlight w:val="none"/>
          <w:lang w:val="en-US" w:eastAsia="zh-CN"/>
        </w:rPr>
        <w:t>4</w:t>
      </w:r>
      <w:r>
        <w:rPr>
          <w:rStyle w:val="23"/>
          <w:rFonts w:hint="eastAsia" w:ascii="宋体" w:hAnsi="宋体" w:eastAsia="宋体" w:cs="宋体"/>
          <w:snapToGrid/>
          <w:color w:val="auto"/>
          <w:kern w:val="2"/>
          <w:sz w:val="24"/>
          <w:szCs w:val="24"/>
          <w:highlight w:val="none"/>
        </w:rPr>
        <w:t>日</w:t>
      </w:r>
      <w:r>
        <w:rPr>
          <w:rStyle w:val="23"/>
          <w:rFonts w:hint="eastAsia" w:ascii="宋体" w:hAnsi="宋体" w:cs="宋体"/>
          <w:snapToGrid/>
          <w:color w:val="auto"/>
          <w:kern w:val="2"/>
          <w:sz w:val="24"/>
          <w:szCs w:val="24"/>
          <w:highlight w:val="none"/>
          <w:lang w:val="en-US" w:eastAsia="zh-CN"/>
        </w:rPr>
        <w:t>09</w:t>
      </w:r>
      <w:r>
        <w:rPr>
          <w:rStyle w:val="23"/>
          <w:rFonts w:hint="eastAsia" w:ascii="宋体" w:hAnsi="宋体" w:eastAsia="宋体" w:cs="宋体"/>
          <w:snapToGrid/>
          <w:color w:val="auto"/>
          <w:kern w:val="2"/>
          <w:sz w:val="24"/>
          <w:szCs w:val="24"/>
          <w:highlight w:val="none"/>
        </w:rPr>
        <w:t>点</w:t>
      </w:r>
      <w:r>
        <w:rPr>
          <w:rStyle w:val="23"/>
          <w:rFonts w:hint="eastAsia" w:ascii="宋体" w:hAnsi="宋体" w:cs="宋体"/>
          <w:snapToGrid/>
          <w:color w:val="auto"/>
          <w:kern w:val="2"/>
          <w:sz w:val="24"/>
          <w:szCs w:val="24"/>
          <w:highlight w:val="none"/>
          <w:lang w:val="en-US" w:eastAsia="zh-CN"/>
        </w:rPr>
        <w:t>30</w:t>
      </w:r>
      <w:r>
        <w:rPr>
          <w:rStyle w:val="23"/>
          <w:rFonts w:hint="eastAsia" w:ascii="宋体" w:hAnsi="宋体" w:eastAsia="宋体" w:cs="宋体"/>
          <w:snapToGrid/>
          <w:color w:val="auto"/>
          <w:kern w:val="2"/>
          <w:sz w:val="24"/>
          <w:szCs w:val="24"/>
          <w:highlight w:val="none"/>
        </w:rPr>
        <w:t>分</w:t>
      </w:r>
      <w:r>
        <w:rPr>
          <w:rStyle w:val="23"/>
          <w:rFonts w:hint="eastAsia" w:ascii="宋体" w:hAnsi="宋体" w:cs="宋体"/>
          <w:bCs/>
          <w:snapToGrid/>
          <w:color w:val="auto"/>
          <w:kern w:val="2"/>
          <w:sz w:val="24"/>
          <w:szCs w:val="24"/>
          <w:highlight w:val="none"/>
          <w:lang w:val="en-US" w:eastAsia="zh-CN"/>
        </w:rPr>
        <w:t>00</w:t>
      </w:r>
      <w:r>
        <w:rPr>
          <w:rStyle w:val="23"/>
          <w:rFonts w:hint="eastAsia" w:ascii="宋体" w:hAnsi="宋体" w:eastAsia="宋体" w:cs="宋体"/>
          <w:bCs/>
          <w:snapToGrid/>
          <w:color w:val="auto"/>
          <w:kern w:val="2"/>
          <w:sz w:val="24"/>
          <w:szCs w:val="24"/>
          <w:highlight w:val="none"/>
        </w:rPr>
        <w:t>秒</w:t>
      </w:r>
      <w:r>
        <w:rPr>
          <w:rStyle w:val="23"/>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15B5C22A">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585A2140">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eastAsia="宋体" w:cs="宋体"/>
          <w:b w:val="0"/>
          <w:bCs/>
          <w:color w:val="auto"/>
          <w:sz w:val="24"/>
          <w:szCs w:val="24"/>
          <w:highlight w:val="none"/>
          <w:lang w:eastAsia="zh-CN"/>
        </w:rPr>
        <w:t>ZJTP-QZF-2025035</w:t>
      </w:r>
    </w:p>
    <w:p w14:paraId="5A80DB51">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eastAsia="宋体" w:cs="宋体"/>
          <w:b w:val="0"/>
          <w:bCs/>
          <w:color w:val="auto"/>
          <w:sz w:val="24"/>
          <w:szCs w:val="24"/>
          <w:highlight w:val="none"/>
          <w:lang w:eastAsia="zh-CN"/>
        </w:rPr>
        <w:t>罗樟源水库工程及道路改复建工程征收范围房屋评估第三方服务采购</w:t>
      </w:r>
    </w:p>
    <w:p w14:paraId="1AE08CCC">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eastAsia="宋体" w:cs="宋体"/>
          <w:b w:val="0"/>
          <w:bCs/>
          <w:color w:val="auto"/>
          <w:sz w:val="24"/>
          <w:szCs w:val="24"/>
          <w:highlight w:val="none"/>
          <w:lang w:val="en-US" w:eastAsia="zh-CN"/>
        </w:rPr>
        <w:t>680000元</w:t>
      </w:r>
      <w:r>
        <w:rPr>
          <w:rFonts w:hint="eastAsia" w:ascii="宋体" w:hAnsi="宋体" w:eastAsia="宋体" w:cs="宋体"/>
          <w:b w:val="0"/>
          <w:bCs/>
          <w:color w:val="auto"/>
          <w:sz w:val="24"/>
          <w:szCs w:val="24"/>
          <w:highlight w:val="none"/>
        </w:rPr>
        <w:t xml:space="preserve"> </w:t>
      </w:r>
    </w:p>
    <w:p w14:paraId="73A815AC">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color w:val="auto"/>
          <w:sz w:val="24"/>
          <w:szCs w:val="24"/>
          <w:highlight w:val="none"/>
          <w:lang w:val="en-US"/>
        </w:rPr>
      </w:pPr>
      <w:r>
        <w:rPr>
          <w:rFonts w:hint="eastAsia" w:ascii="宋体" w:hAnsi="宋体" w:eastAsia="宋体" w:cs="宋体"/>
          <w:b/>
          <w:color w:val="auto"/>
          <w:sz w:val="24"/>
          <w:szCs w:val="24"/>
          <w:highlight w:val="none"/>
        </w:rPr>
        <w:t>最高限价（</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lang w:val="en-US" w:eastAsia="zh-CN"/>
        </w:rPr>
        <w:t>680000元。</w:t>
      </w:r>
    </w:p>
    <w:p w14:paraId="0DBFE8E6">
      <w:pPr>
        <w:pStyle w:val="7"/>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 w:val="0"/>
          <w:bCs/>
          <w:color w:val="auto"/>
          <w:sz w:val="24"/>
          <w:szCs w:val="24"/>
          <w:highlight w:val="none"/>
        </w:rPr>
        <w:t>（内容、用途、数量、简要技术要求等）</w:t>
      </w:r>
      <w:r>
        <w:rPr>
          <w:rFonts w:hint="eastAsia" w:ascii="宋体" w:hAnsi="宋体" w:eastAsia="宋体" w:cs="宋体"/>
          <w:b/>
          <w:color w:val="auto"/>
          <w:sz w:val="24"/>
          <w:szCs w:val="24"/>
          <w:highlight w:val="none"/>
        </w:rPr>
        <w:t>：</w:t>
      </w:r>
    </w:p>
    <w:tbl>
      <w:tblPr>
        <w:tblStyle w:val="19"/>
        <w:tblW w:w="5088" w:type="pct"/>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6"/>
        <w:gridCol w:w="2942"/>
        <w:gridCol w:w="854"/>
        <w:gridCol w:w="4464"/>
        <w:gridCol w:w="772"/>
      </w:tblGrid>
      <w:tr w14:paraId="57E5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00" w:type="pct"/>
            <w:tcBorders>
              <w:top w:val="single" w:color="auto" w:sz="4" w:space="0"/>
              <w:left w:val="single" w:color="auto" w:sz="4" w:space="0"/>
              <w:bottom w:val="single" w:color="auto" w:sz="4" w:space="0"/>
              <w:right w:val="single" w:color="auto" w:sz="4" w:space="0"/>
            </w:tcBorders>
            <w:vAlign w:val="center"/>
          </w:tcPr>
          <w:p w14:paraId="184077E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w:t>
            </w:r>
          </w:p>
        </w:tc>
        <w:tc>
          <w:tcPr>
            <w:tcW w:w="1498" w:type="pct"/>
            <w:tcBorders>
              <w:top w:val="single" w:color="auto" w:sz="4" w:space="0"/>
              <w:left w:val="single" w:color="auto" w:sz="4" w:space="0"/>
              <w:bottom w:val="single" w:color="auto" w:sz="4" w:space="0"/>
              <w:right w:val="single" w:color="auto" w:sz="4" w:space="0"/>
            </w:tcBorders>
            <w:vAlign w:val="center"/>
          </w:tcPr>
          <w:p w14:paraId="0A66CD2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标项内容</w:t>
            </w:r>
          </w:p>
        </w:tc>
        <w:tc>
          <w:tcPr>
            <w:tcW w:w="435" w:type="pct"/>
            <w:tcBorders>
              <w:top w:val="single" w:color="auto" w:sz="4" w:space="0"/>
              <w:left w:val="single" w:color="auto" w:sz="4" w:space="0"/>
              <w:bottom w:val="single" w:color="auto" w:sz="4" w:space="0"/>
              <w:right w:val="single" w:color="auto" w:sz="4" w:space="0"/>
            </w:tcBorders>
            <w:vAlign w:val="center"/>
          </w:tcPr>
          <w:p w14:paraId="6678D67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2273" w:type="pct"/>
            <w:tcBorders>
              <w:top w:val="single" w:color="auto" w:sz="4" w:space="0"/>
              <w:left w:val="single" w:color="auto" w:sz="4" w:space="0"/>
              <w:bottom w:val="single" w:color="auto" w:sz="4" w:space="0"/>
              <w:right w:val="single" w:color="auto" w:sz="4" w:space="0"/>
            </w:tcBorders>
            <w:vAlign w:val="center"/>
          </w:tcPr>
          <w:p w14:paraId="51646A6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简要技术、服务要求</w:t>
            </w:r>
          </w:p>
        </w:tc>
        <w:tc>
          <w:tcPr>
            <w:tcW w:w="393" w:type="pct"/>
            <w:tcBorders>
              <w:top w:val="single" w:color="auto" w:sz="4" w:space="0"/>
              <w:left w:val="single" w:color="auto" w:sz="4" w:space="0"/>
              <w:bottom w:val="single" w:color="auto" w:sz="4" w:space="0"/>
              <w:right w:val="single" w:color="auto" w:sz="4" w:space="0"/>
            </w:tcBorders>
            <w:vAlign w:val="center"/>
          </w:tcPr>
          <w:p w14:paraId="3C368CA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5F73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trPr>
        <w:tc>
          <w:tcPr>
            <w:tcW w:w="400" w:type="pct"/>
            <w:tcBorders>
              <w:top w:val="single" w:color="auto" w:sz="4" w:space="0"/>
              <w:left w:val="single" w:color="auto" w:sz="4" w:space="0"/>
              <w:bottom w:val="single" w:color="auto" w:sz="4" w:space="0"/>
              <w:right w:val="single" w:color="auto" w:sz="4" w:space="0"/>
            </w:tcBorders>
            <w:vAlign w:val="center"/>
          </w:tcPr>
          <w:p w14:paraId="72655EA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498" w:type="pct"/>
            <w:tcBorders>
              <w:top w:val="single" w:color="auto" w:sz="4" w:space="0"/>
              <w:left w:val="single" w:color="auto" w:sz="4" w:space="0"/>
              <w:bottom w:val="single" w:color="auto" w:sz="4" w:space="0"/>
              <w:right w:val="single" w:color="auto" w:sz="4" w:space="0"/>
            </w:tcBorders>
            <w:vAlign w:val="center"/>
          </w:tcPr>
          <w:p w14:paraId="7FDDE4F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auto"/>
                <w:sz w:val="24"/>
                <w:szCs w:val="24"/>
                <w:highlight w:val="none"/>
                <w:lang w:eastAsia="zh-CN"/>
              </w:rPr>
              <w:t>罗樟源水库工程及道路改复建工程征收范围房屋评估第三方服务采购</w:t>
            </w:r>
          </w:p>
        </w:tc>
        <w:tc>
          <w:tcPr>
            <w:tcW w:w="435" w:type="pct"/>
            <w:tcBorders>
              <w:top w:val="single" w:color="auto" w:sz="4" w:space="0"/>
              <w:left w:val="single" w:color="auto" w:sz="4" w:space="0"/>
              <w:bottom w:val="single" w:color="auto" w:sz="4" w:space="0"/>
              <w:right w:val="single" w:color="auto" w:sz="4" w:space="0"/>
            </w:tcBorders>
            <w:vAlign w:val="center"/>
          </w:tcPr>
          <w:p w14:paraId="3A9CB3A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w:t>
            </w:r>
          </w:p>
        </w:tc>
        <w:tc>
          <w:tcPr>
            <w:tcW w:w="2273" w:type="pct"/>
            <w:tcBorders>
              <w:top w:val="single" w:color="auto" w:sz="4" w:space="0"/>
              <w:left w:val="single" w:color="auto" w:sz="4" w:space="0"/>
              <w:bottom w:val="single" w:color="auto" w:sz="4" w:space="0"/>
              <w:right w:val="single" w:color="auto" w:sz="4" w:space="0"/>
            </w:tcBorders>
            <w:vAlign w:val="center"/>
          </w:tcPr>
          <w:p w14:paraId="1D79BD15">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现场查勘、并统计各征收户前屋后附属房及附属设施、室内外装修和其它附属于房屋不可移动设施的项目、种类和数量,并评估征收补偿金额，具体详见第三章采购内容及要求。</w:t>
            </w:r>
          </w:p>
        </w:tc>
        <w:tc>
          <w:tcPr>
            <w:tcW w:w="393" w:type="pct"/>
            <w:tcBorders>
              <w:left w:val="single" w:color="auto" w:sz="4" w:space="0"/>
              <w:right w:val="single" w:color="auto" w:sz="4" w:space="0"/>
            </w:tcBorders>
            <w:vAlign w:val="center"/>
          </w:tcPr>
          <w:p w14:paraId="0618499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p>
        </w:tc>
      </w:tr>
    </w:tbl>
    <w:p w14:paraId="2B03276B">
      <w:pPr>
        <w:pStyle w:val="28"/>
        <w:keepNext w:val="0"/>
        <w:keepLines w:val="0"/>
        <w:pageBreakBefore w:val="0"/>
        <w:widowControl w:val="0"/>
        <w:kinsoku/>
        <w:wordWrap/>
        <w:overflowPunct/>
        <w:topLinePunct w:val="0"/>
        <w:autoSpaceDE/>
        <w:autoSpaceDN/>
        <w:bidi w:val="0"/>
        <w:adjustRightInd/>
        <w:spacing w:before="0" w:line="500" w:lineRule="exact"/>
        <w:ind w:firstLine="482"/>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lang w:val="en-US" w:eastAsia="zh-CN"/>
        </w:rPr>
        <w:t>合同签订生效之日起至本项目征收范围内所有房屋及附属物评估工作完成为止</w:t>
      </w:r>
      <w:r>
        <w:rPr>
          <w:rFonts w:hint="eastAsia" w:ascii="宋体" w:hAnsi="宋体" w:eastAsia="宋体" w:cs="宋体"/>
          <w:b w:val="0"/>
          <w:bCs/>
          <w:color w:val="auto"/>
          <w:sz w:val="24"/>
          <w:szCs w:val="24"/>
          <w:highlight w:val="none"/>
        </w:rPr>
        <w:t>。</w:t>
      </w:r>
    </w:p>
    <w:p w14:paraId="10FF4BB6">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bookmarkStart w:id="2" w:name="_Hlk101132948"/>
      <w:r>
        <w:rPr>
          <w:rFonts w:hint="eastAsia" w:ascii="宋体" w:hAnsi="宋体" w:eastAsia="宋体" w:cs="宋体"/>
          <w:b/>
          <w:color w:val="auto"/>
          <w:sz w:val="24"/>
          <w:szCs w:val="24"/>
          <w:highlight w:val="none"/>
        </w:rPr>
        <w:t>申请人的资格要求</w:t>
      </w:r>
      <w:bookmarkEnd w:id="2"/>
      <w:r>
        <w:rPr>
          <w:rFonts w:hint="eastAsia" w:ascii="宋体" w:hAnsi="宋体" w:eastAsia="宋体" w:cs="宋体"/>
          <w:b/>
          <w:color w:val="auto"/>
          <w:sz w:val="24"/>
          <w:szCs w:val="24"/>
          <w:highlight w:val="none"/>
        </w:rPr>
        <w:t>：</w:t>
      </w:r>
    </w:p>
    <w:p w14:paraId="0EFB462B">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FCFBBF6">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.落实政府采购政策需满足的资格要求：</w:t>
      </w:r>
      <w:r>
        <w:rPr>
          <w:rFonts w:hint="eastAsia" w:ascii="宋体" w:hAnsi="宋体" w:eastAsia="宋体" w:cs="宋体"/>
          <w:snapToGrid w:val="0"/>
          <w:color w:val="auto"/>
          <w:kern w:val="28"/>
          <w:sz w:val="24"/>
          <w:szCs w:val="24"/>
          <w:highlight w:val="none"/>
          <w:u w:val="single"/>
        </w:rPr>
        <w:t>本项目属于专门面向中小企业采购的项目，要求供应商为中小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是指满足《政府采购促进中小企业发展管理办法》（财库〔2020〕46号）第二条规定的企业。监狱企业、残疾人福利性单位视为小微企业。供应商需上传《中小企业声明函》等；本项目属于【租赁和商务服务业】行业,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3256DF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val="en-US" w:eastAsia="zh-CN"/>
        </w:rPr>
        <w:t>具有有效的</w:t>
      </w:r>
      <w:r>
        <w:rPr>
          <w:rFonts w:hint="eastAsia" w:ascii="宋体" w:hAnsi="宋体" w:eastAsia="宋体" w:cs="宋体"/>
          <w:color w:val="auto"/>
          <w:sz w:val="24"/>
          <w:szCs w:val="24"/>
          <w:highlight w:val="none"/>
        </w:rPr>
        <w:t>房地产估价机构资质等级</w:t>
      </w:r>
      <w:r>
        <w:rPr>
          <w:rFonts w:hint="eastAsia" w:ascii="宋体" w:hAnsi="宋体" w:eastAsia="宋体" w:cs="宋体"/>
          <w:color w:val="auto"/>
          <w:sz w:val="24"/>
          <w:szCs w:val="24"/>
          <w:highlight w:val="none"/>
          <w:lang w:val="en-US" w:eastAsia="zh-CN"/>
        </w:rPr>
        <w:t>三级（或以上）证书</w:t>
      </w:r>
      <w:r>
        <w:rPr>
          <w:rFonts w:hint="eastAsia" w:ascii="宋体" w:hAnsi="宋体" w:eastAsia="宋体" w:cs="宋体"/>
          <w:color w:val="auto"/>
          <w:sz w:val="24"/>
          <w:szCs w:val="24"/>
          <w:highlight w:val="none"/>
        </w:rPr>
        <w:t>；</w:t>
      </w:r>
    </w:p>
    <w:p w14:paraId="6538A9A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B9F7A3">
      <w:pPr>
        <w:pStyle w:val="24"/>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6.不是公益一类事业单位、使用事业编制且由财政拨款保障的群团组织。</w:t>
      </w:r>
    </w:p>
    <w:p w14:paraId="269DF448">
      <w:pPr>
        <w:pStyle w:val="24"/>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7.本项目接受联合体投标：否。</w:t>
      </w:r>
    </w:p>
    <w:p w14:paraId="253BE94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3F4B90D4">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lang w:val="en-US" w:eastAsia="zh-CN"/>
        </w:rPr>
        <w:t>招标公告发布之日起</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1E0A866D">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09C42734">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3493621A">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7C08A7BB">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01317A8E">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秒</w:t>
      </w:r>
      <w:r>
        <w:rPr>
          <w:rFonts w:hint="eastAsia" w:ascii="宋体" w:hAnsi="宋体" w:eastAsia="宋体" w:cs="宋体"/>
          <w:color w:val="auto"/>
          <w:sz w:val="24"/>
          <w:szCs w:val="24"/>
          <w:highlight w:val="none"/>
        </w:rPr>
        <w:t>（北京时间）</w:t>
      </w:r>
    </w:p>
    <w:p w14:paraId="06255A1A">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政采云平台（https://www.zcygov.cn/）</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6EEDEDE4">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秒</w:t>
      </w:r>
    </w:p>
    <w:p w14:paraId="36ECCE3C">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b w:val="0"/>
          <w:bCs/>
          <w:color w:val="auto"/>
          <w:sz w:val="24"/>
          <w:szCs w:val="24"/>
          <w:highlight w:val="none"/>
        </w:rPr>
        <w:t>衢江区公共资源交易中心</w:t>
      </w: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2</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号评标室（衢江区水利局5楼）；同步在“政采云远程开标大厅”（https://www.zcygov.cn/）在线</w:t>
      </w:r>
      <w:r>
        <w:rPr>
          <w:rFonts w:hint="eastAsia" w:ascii="宋体" w:hAnsi="宋体" w:eastAsia="宋体" w:cs="宋体"/>
          <w:b w:val="0"/>
          <w:bCs/>
          <w:color w:val="auto"/>
          <w:sz w:val="24"/>
          <w:szCs w:val="24"/>
          <w:highlight w:val="none"/>
          <w:lang w:val="en-US" w:eastAsia="zh-CN"/>
        </w:rPr>
        <w:t>开标。</w:t>
      </w:r>
    </w:p>
    <w:p w14:paraId="0E04446A">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40FD51E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6FBC4C74">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56D2E6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512FA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5813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7095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宋体" w:hAnsi="宋体" w:eastAsia="宋体" w:cs="宋体"/>
          <w:b/>
          <w:bCs/>
          <w:color w:val="auto"/>
          <w:sz w:val="24"/>
          <w:szCs w:val="24"/>
          <w:highlight w:val="none"/>
          <w:u w:val="single"/>
        </w:rPr>
        <w:t>还可以在投标截止时间前直接提交或者以快递方式递交备份投标文件1份。备份投标文件的制作、存储、密封详见招标文件第二部分第</w:t>
      </w:r>
      <w:r>
        <w:rPr>
          <w:rFonts w:hint="eastAsia" w:ascii="宋体" w:hAnsi="宋体" w:eastAsia="宋体" w:cs="宋体"/>
          <w:b/>
          <w:bCs/>
          <w:color w:val="auto"/>
          <w:sz w:val="24"/>
          <w:szCs w:val="24"/>
          <w:highlight w:val="none"/>
          <w:u w:val="single"/>
          <w:lang w:val="en-US" w:eastAsia="zh-CN"/>
        </w:rPr>
        <w:t>17</w:t>
      </w:r>
      <w:r>
        <w:rPr>
          <w:rFonts w:hint="eastAsia" w:ascii="宋体" w:hAnsi="宋体" w:eastAsia="宋体" w:cs="宋体"/>
          <w:b/>
          <w:bCs/>
          <w:color w:val="auto"/>
          <w:sz w:val="24"/>
          <w:szCs w:val="24"/>
          <w:highlight w:val="none"/>
          <w:u w:val="single"/>
        </w:rPr>
        <w:t>点—“备份投标文件要求”</w:t>
      </w:r>
      <w:r>
        <w:rPr>
          <w:rFonts w:hint="eastAsia" w:ascii="宋体" w:hAnsi="宋体" w:eastAsia="宋体" w:cs="宋体"/>
          <w:color w:val="auto"/>
          <w:sz w:val="24"/>
          <w:szCs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A394D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160AA75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4F3C974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w:t>
      </w:r>
      <w:r>
        <w:rPr>
          <w:rFonts w:hint="eastAsia" w:ascii="宋体" w:hAnsi="宋体" w:eastAsia="宋体" w:cs="宋体"/>
          <w:color w:val="auto"/>
          <w:sz w:val="24"/>
          <w:szCs w:val="24"/>
          <w:highlight w:val="none"/>
          <w:lang w:eastAsia="zh-CN"/>
        </w:rPr>
        <w:t>衢州市衢江区大洲镇人民政府</w:t>
      </w:r>
      <w:r>
        <w:rPr>
          <w:rFonts w:hint="eastAsia" w:ascii="宋体" w:hAnsi="宋体" w:eastAsia="宋体" w:cs="宋体"/>
          <w:color w:val="auto"/>
          <w:sz w:val="24"/>
          <w:szCs w:val="24"/>
          <w:highlight w:val="none"/>
        </w:rPr>
        <w:t xml:space="preserve"> </w:t>
      </w:r>
    </w:p>
    <w:p w14:paraId="6DD4293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lang w:eastAsia="zh-CN"/>
        </w:rPr>
        <w:t>衢州市衢江区大洲镇二村</w:t>
      </w:r>
      <w:r>
        <w:rPr>
          <w:rFonts w:hint="eastAsia" w:ascii="宋体" w:hAnsi="宋体" w:eastAsia="宋体" w:cs="宋体"/>
          <w:color w:val="auto"/>
          <w:sz w:val="24"/>
          <w:szCs w:val="24"/>
          <w:highlight w:val="none"/>
        </w:rPr>
        <w:t xml:space="preserve">       </w:t>
      </w:r>
    </w:p>
    <w:p w14:paraId="3E322521">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lang w:val="en-US" w:eastAsia="zh-CN"/>
        </w:rPr>
        <w:t>/</w:t>
      </w:r>
    </w:p>
    <w:p w14:paraId="7ECC3923">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王女士</w:t>
      </w:r>
    </w:p>
    <w:p w14:paraId="23CDCB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lang w:val="en-US" w:eastAsia="zh-CN"/>
        </w:rPr>
        <w:t>15869051832</w:t>
      </w:r>
    </w:p>
    <w:p w14:paraId="4351CFD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lang w:val="en-US" w:eastAsia="zh-CN"/>
        </w:rPr>
        <w:t>王女士</w:t>
      </w:r>
    </w:p>
    <w:p w14:paraId="109870C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质疑联系方式：</w:t>
      </w:r>
      <w:r>
        <w:rPr>
          <w:rFonts w:hint="eastAsia" w:ascii="宋体" w:hAnsi="宋体" w:eastAsia="宋体" w:cs="宋体"/>
          <w:color w:val="auto"/>
          <w:sz w:val="24"/>
          <w:szCs w:val="24"/>
          <w:highlight w:val="none"/>
          <w:lang w:val="en-US" w:eastAsia="zh-CN"/>
        </w:rPr>
        <w:t>15869051832</w:t>
      </w:r>
    </w:p>
    <w:p w14:paraId="3C7C161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0D30C73E">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浙江天平投资咨询有限公司</w:t>
      </w:r>
    </w:p>
    <w:p w14:paraId="3D2A33BF">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浙江省衢州市衢江区东方广场7号楼405室</w:t>
      </w:r>
    </w:p>
    <w:p w14:paraId="52F925C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lang w:val="en-US" w:eastAsia="zh-CN"/>
        </w:rPr>
        <w:t>0570-8033087</w:t>
      </w:r>
    </w:p>
    <w:p w14:paraId="62C84EE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项目联系人（询问）：</w:t>
      </w:r>
      <w:r>
        <w:rPr>
          <w:rFonts w:hint="eastAsia" w:ascii="宋体" w:hAnsi="宋体" w:eastAsia="宋体" w:cs="宋体"/>
          <w:color w:val="auto"/>
          <w:sz w:val="24"/>
          <w:szCs w:val="24"/>
          <w:highlight w:val="none"/>
          <w:lang w:val="en-US" w:eastAsia="zh-CN"/>
        </w:rPr>
        <w:t>李先生</w:t>
      </w:r>
    </w:p>
    <w:p w14:paraId="57C691D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lang w:val="en-US" w:eastAsia="zh-CN"/>
        </w:rPr>
        <w:t>0570-8033087</w:t>
      </w:r>
    </w:p>
    <w:p w14:paraId="147413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lang w:val="en-US" w:eastAsia="zh-CN"/>
        </w:rPr>
        <w:t>余先生</w:t>
      </w:r>
    </w:p>
    <w:p w14:paraId="1A1FDED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质疑联系方式：</w:t>
      </w:r>
      <w:r>
        <w:rPr>
          <w:rFonts w:hint="eastAsia" w:ascii="宋体" w:hAnsi="宋体" w:eastAsia="宋体" w:cs="宋体"/>
          <w:color w:val="auto"/>
          <w:sz w:val="24"/>
          <w:szCs w:val="24"/>
          <w:highlight w:val="none"/>
          <w:lang w:val="en-US" w:eastAsia="zh-CN"/>
        </w:rPr>
        <w:t>0570-8033086</w:t>
      </w:r>
    </w:p>
    <w:p w14:paraId="11A552AB">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3.同级政府采购监管部门：</w:t>
      </w:r>
      <w:r>
        <w:rPr>
          <w:rFonts w:hint="eastAsia" w:ascii="宋体" w:hAnsi="宋体" w:eastAsia="宋体" w:cs="宋体"/>
          <w:color w:val="auto"/>
          <w:sz w:val="24"/>
          <w:szCs w:val="24"/>
          <w:highlight w:val="none"/>
          <w:lang w:eastAsia="zh-CN"/>
        </w:rPr>
        <w:t>衢州市衢江区财政局</w:t>
      </w:r>
      <w:r>
        <w:rPr>
          <w:rFonts w:hint="eastAsia" w:ascii="宋体" w:hAnsi="宋体" w:eastAsia="宋体" w:cs="宋体"/>
          <w:color w:val="auto"/>
          <w:sz w:val="24"/>
          <w:szCs w:val="24"/>
          <w:highlight w:val="none"/>
        </w:rPr>
        <w:t>；</w:t>
      </w:r>
    </w:p>
    <w:p w14:paraId="5A168069">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联系人：杨女士；</w:t>
      </w:r>
    </w:p>
    <w:p w14:paraId="02DC317D">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监督投诉电话：0570-8762709；</w:t>
      </w:r>
    </w:p>
    <w:p w14:paraId="5B88977C">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地址：衢州市衢江区政和路6号。</w:t>
      </w:r>
    </w:p>
    <w:p w14:paraId="69430440">
      <w:pPr>
        <w:pStyle w:val="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p>
    <w:p w14:paraId="363F51CA">
      <w:pPr>
        <w:pStyle w:val="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0E3E2919">
      <w:pPr>
        <w:pStyle w:val="4"/>
        <w:keepNext/>
        <w:keepLines/>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rPr>
      </w:pPr>
      <w:bookmarkStart w:id="3" w:name="_Toc8838"/>
      <w:bookmarkStart w:id="4" w:name="_Toc32019"/>
      <w:r>
        <w:rPr>
          <w:rFonts w:hint="eastAsia" w:ascii="宋体" w:hAnsi="宋体" w:eastAsia="宋体" w:cs="宋体"/>
          <w:color w:val="auto"/>
          <w:sz w:val="28"/>
          <w:szCs w:val="28"/>
          <w:highlight w:val="none"/>
        </w:rPr>
        <w:t xml:space="preserve"> 投标须知前附表及投标须知</w:t>
      </w:r>
      <w:bookmarkEnd w:id="3"/>
      <w:bookmarkEnd w:id="4"/>
    </w:p>
    <w:p w14:paraId="518C8F27">
      <w:pPr>
        <w:pageBreakBefore w:val="0"/>
        <w:widowControl w:val="0"/>
        <w:kinsoku/>
        <w:wordWrap/>
        <w:overflowPunct/>
        <w:topLinePunct w:val="0"/>
        <w:autoSpaceDE/>
        <w:autoSpaceDN/>
        <w:bidi w:val="0"/>
        <w:adjustRightInd/>
        <w:snapToGrid w:val="0"/>
        <w:spacing w:before="120" w:beforeLines="50" w:after="120" w:afterLines="50" w:line="400" w:lineRule="exact"/>
        <w:ind w:left="567"/>
        <w:jc w:val="center"/>
        <w:textAlignment w:val="auto"/>
        <w:outlineLvl w:val="0"/>
        <w:rPr>
          <w:rFonts w:hint="eastAsia" w:ascii="宋体" w:hAnsi="宋体" w:eastAsia="宋体" w:cs="宋体"/>
          <w:highlight w:val="none"/>
        </w:rPr>
      </w:pPr>
      <w:r>
        <w:rPr>
          <w:rFonts w:hint="eastAsia" w:ascii="宋体" w:hAnsi="宋体" w:eastAsia="宋体" w:cs="宋体"/>
          <w:b/>
          <w:color w:val="auto"/>
          <w:sz w:val="28"/>
          <w:szCs w:val="28"/>
          <w:highlight w:val="none"/>
        </w:rPr>
        <w:t>第一部分、投标须知前附表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200"/>
        <w:gridCol w:w="6538"/>
      </w:tblGrid>
      <w:tr w14:paraId="7D7D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87" w:type="dxa"/>
            <w:vAlign w:val="center"/>
          </w:tcPr>
          <w:p w14:paraId="0BE024E0">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highlight w:val="none"/>
              </w:rPr>
            </w:pPr>
            <w:bookmarkStart w:id="5" w:name="_Toc9451"/>
            <w:bookmarkStart w:id="6" w:name="_Toc356371431"/>
            <w:bookmarkStart w:id="7" w:name="_Toc5312"/>
            <w:bookmarkStart w:id="8" w:name="_Toc29801"/>
            <w:bookmarkStart w:id="9" w:name="_Toc18294"/>
            <w:bookmarkStart w:id="10" w:name="_Toc30763"/>
            <w:bookmarkStart w:id="11" w:name="_Toc32117"/>
            <w:r>
              <w:rPr>
                <w:rStyle w:val="29"/>
                <w:rFonts w:hint="eastAsia" w:ascii="宋体" w:hAnsi="宋体" w:eastAsia="宋体" w:cs="宋体"/>
                <w:b/>
                <w:sz w:val="24"/>
                <w:szCs w:val="24"/>
                <w:highlight w:val="none"/>
              </w:rPr>
              <w:t>序号</w:t>
            </w:r>
          </w:p>
        </w:tc>
        <w:tc>
          <w:tcPr>
            <w:tcW w:w="2200" w:type="dxa"/>
            <w:vAlign w:val="center"/>
          </w:tcPr>
          <w:p w14:paraId="7F18D299">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highlight w:val="none"/>
              </w:rPr>
            </w:pPr>
            <w:r>
              <w:rPr>
                <w:rStyle w:val="29"/>
                <w:rFonts w:hint="eastAsia" w:ascii="宋体" w:hAnsi="宋体" w:eastAsia="宋体" w:cs="宋体"/>
                <w:b/>
                <w:sz w:val="24"/>
                <w:szCs w:val="24"/>
                <w:highlight w:val="none"/>
              </w:rPr>
              <w:t>内  容</w:t>
            </w:r>
          </w:p>
        </w:tc>
        <w:tc>
          <w:tcPr>
            <w:tcW w:w="6538" w:type="dxa"/>
            <w:vAlign w:val="center"/>
          </w:tcPr>
          <w:p w14:paraId="63912A62">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sz w:val="24"/>
                <w:szCs w:val="24"/>
                <w:highlight w:val="none"/>
              </w:rPr>
            </w:pPr>
            <w:r>
              <w:rPr>
                <w:rStyle w:val="29"/>
                <w:rFonts w:hint="eastAsia" w:ascii="宋体" w:hAnsi="宋体" w:eastAsia="宋体" w:cs="宋体"/>
                <w:b/>
                <w:sz w:val="24"/>
                <w:szCs w:val="24"/>
                <w:highlight w:val="none"/>
              </w:rPr>
              <w:t>说明与要求</w:t>
            </w:r>
          </w:p>
        </w:tc>
      </w:tr>
      <w:tr w14:paraId="2E00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48CC64F">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2200" w:type="dxa"/>
            <w:vAlign w:val="center"/>
          </w:tcPr>
          <w:p w14:paraId="273EFFB4">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项目名称</w:t>
            </w:r>
          </w:p>
        </w:tc>
        <w:tc>
          <w:tcPr>
            <w:tcW w:w="6538" w:type="dxa"/>
            <w:vAlign w:val="center"/>
          </w:tcPr>
          <w:p w14:paraId="3375A61A">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罗樟源水库工程及道路改复建工程征收范围房屋评估第三方服务采购</w:t>
            </w:r>
          </w:p>
        </w:tc>
      </w:tr>
      <w:tr w14:paraId="56C4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32CE62A">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2200" w:type="dxa"/>
            <w:vAlign w:val="center"/>
          </w:tcPr>
          <w:p w14:paraId="29AA8B9A">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采购人</w:t>
            </w:r>
          </w:p>
        </w:tc>
        <w:tc>
          <w:tcPr>
            <w:tcW w:w="6538" w:type="dxa"/>
            <w:vAlign w:val="center"/>
          </w:tcPr>
          <w:p w14:paraId="7CC85810">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衢州市衢江区大洲镇人民政府</w:t>
            </w:r>
          </w:p>
        </w:tc>
      </w:tr>
      <w:tr w14:paraId="3961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B903491">
            <w:pPr>
              <w:pStyle w:val="11"/>
              <w:keepNext w:val="0"/>
              <w:keepLines w:val="0"/>
              <w:pageBreakBefore w:val="0"/>
              <w:widowControl w:val="0"/>
              <w:tabs>
                <w:tab w:val="center" w:pos="384"/>
                <w:tab w:val="left" w:pos="52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2200" w:type="dxa"/>
            <w:vAlign w:val="center"/>
          </w:tcPr>
          <w:p w14:paraId="342491E8">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采购标的及其对应的中小企业划分标准所属行业</w:t>
            </w:r>
          </w:p>
        </w:tc>
        <w:tc>
          <w:tcPr>
            <w:tcW w:w="6538" w:type="dxa"/>
            <w:vAlign w:val="center"/>
          </w:tcPr>
          <w:p w14:paraId="6B2D6505">
            <w:pPr>
              <w:pStyle w:val="11"/>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项目属性：</w:t>
            </w:r>
            <w:r>
              <w:rPr>
                <w:rFonts w:hint="eastAsia" w:ascii="宋体" w:hAnsi="宋体" w:eastAsia="宋体" w:cs="宋体"/>
                <w:color w:val="auto"/>
                <w:sz w:val="24"/>
                <w:szCs w:val="24"/>
                <w:highlight w:val="none"/>
                <w:u w:val="single"/>
                <w:lang w:val="en-US" w:eastAsia="zh-CN"/>
              </w:rPr>
              <w:t>服务类</w:t>
            </w:r>
          </w:p>
          <w:p w14:paraId="766126BF">
            <w:pPr>
              <w:pStyle w:val="11"/>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u w:val="single"/>
                <w:lang w:val="en-US" w:eastAsia="zh-CN"/>
              </w:rPr>
              <w:t xml:space="preserve"> 罗樟源水库工程及道路改复建工程征收范围房屋评估第三方服务采购 </w:t>
            </w:r>
            <w:r>
              <w:rPr>
                <w:rFonts w:hint="eastAsia" w:ascii="宋体" w:hAnsi="宋体" w:eastAsia="宋体" w:cs="宋体"/>
                <w:color w:val="auto"/>
                <w:sz w:val="24"/>
                <w:szCs w:val="24"/>
                <w:highlight w:val="none"/>
                <w:lang w:eastAsia="zh-CN"/>
              </w:rPr>
              <w:t>；</w:t>
            </w:r>
          </w:p>
          <w:p w14:paraId="269B5437">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napToGrid w:val="0"/>
                <w:color w:val="auto"/>
                <w:kern w:val="28"/>
                <w:sz w:val="24"/>
                <w:szCs w:val="24"/>
                <w:highlight w:val="none"/>
                <w:u w:val="single"/>
              </w:rPr>
              <w:t>租赁和商务服务业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lang w:eastAsia="zh-CN"/>
              </w:rPr>
              <w:t>行业；</w:t>
            </w:r>
          </w:p>
        </w:tc>
      </w:tr>
      <w:tr w14:paraId="0908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1601638">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200" w:type="dxa"/>
            <w:vAlign w:val="center"/>
          </w:tcPr>
          <w:p w14:paraId="4CF83D0F">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合同履约期限</w:t>
            </w:r>
          </w:p>
        </w:tc>
        <w:tc>
          <w:tcPr>
            <w:tcW w:w="6538" w:type="dxa"/>
            <w:vAlign w:val="center"/>
          </w:tcPr>
          <w:p w14:paraId="5C4C0F71">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合同签订生效之日起至本项目征收范围内所有房屋及附属物评估工作完成为止</w:t>
            </w:r>
          </w:p>
        </w:tc>
      </w:tr>
      <w:tr w14:paraId="3A41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4257F9E">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2200" w:type="dxa"/>
            <w:vAlign w:val="center"/>
          </w:tcPr>
          <w:p w14:paraId="545B34D2">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采购方式</w:t>
            </w:r>
          </w:p>
        </w:tc>
        <w:tc>
          <w:tcPr>
            <w:tcW w:w="6538" w:type="dxa"/>
            <w:vAlign w:val="center"/>
          </w:tcPr>
          <w:p w14:paraId="2814673D">
            <w:pPr>
              <w:pStyle w:val="11"/>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公开招标。</w:t>
            </w:r>
          </w:p>
        </w:tc>
      </w:tr>
      <w:tr w14:paraId="3A5C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F3ED7EB">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2200" w:type="dxa"/>
            <w:vAlign w:val="center"/>
          </w:tcPr>
          <w:p w14:paraId="371D3E71">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评标办法</w:t>
            </w:r>
          </w:p>
        </w:tc>
        <w:tc>
          <w:tcPr>
            <w:tcW w:w="6538" w:type="dxa"/>
            <w:vAlign w:val="center"/>
          </w:tcPr>
          <w:p w14:paraId="48DE1B8B">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本次招标的评标办法采用：</w:t>
            </w:r>
          </w:p>
          <w:p w14:paraId="48522A15">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kern w:val="2"/>
                <w:sz w:val="24"/>
                <w:szCs w:val="24"/>
                <w:highlight w:val="none"/>
                <w:lang w:val="en-US" w:eastAsia="zh-CN"/>
              </w:rPr>
              <w:t>百分制综合评分法，根据本项目招标文件的要求，按照本办法规定的内容和分值设置，资格审查采用合格制，商务技术分值为</w:t>
            </w:r>
            <w:r>
              <w:rPr>
                <w:rFonts w:hint="eastAsia" w:ascii="宋体" w:hAnsi="宋体" w:eastAsia="宋体" w:cs="宋体"/>
                <w:color w:val="auto"/>
                <w:kern w:val="2"/>
                <w:sz w:val="24"/>
                <w:szCs w:val="24"/>
                <w:highlight w:val="none"/>
                <w:u w:val="single"/>
                <w:lang w:val="en-US" w:eastAsia="zh-CN"/>
              </w:rPr>
              <w:t xml:space="preserve"> 90 </w:t>
            </w:r>
            <w:r>
              <w:rPr>
                <w:rFonts w:hint="eastAsia" w:ascii="宋体" w:hAnsi="宋体" w:eastAsia="宋体" w:cs="宋体"/>
                <w:color w:val="auto"/>
                <w:kern w:val="2"/>
                <w:sz w:val="24"/>
                <w:szCs w:val="24"/>
                <w:highlight w:val="none"/>
                <w:lang w:val="en-US" w:eastAsia="zh-CN"/>
              </w:rPr>
              <w:t>分，报价文件分值为</w:t>
            </w:r>
            <w:r>
              <w:rPr>
                <w:rFonts w:hint="eastAsia" w:ascii="宋体" w:hAnsi="宋体" w:eastAsia="宋体" w:cs="宋体"/>
                <w:color w:val="auto"/>
                <w:kern w:val="2"/>
                <w:sz w:val="24"/>
                <w:szCs w:val="24"/>
                <w:highlight w:val="none"/>
                <w:u w:val="single"/>
                <w:lang w:val="en-US" w:eastAsia="zh-CN"/>
              </w:rPr>
              <w:t xml:space="preserve"> 10 </w:t>
            </w:r>
            <w:r>
              <w:rPr>
                <w:rFonts w:hint="eastAsia" w:ascii="宋体" w:hAnsi="宋体" w:eastAsia="宋体" w:cs="宋体"/>
                <w:color w:val="auto"/>
                <w:kern w:val="2"/>
                <w:sz w:val="24"/>
                <w:szCs w:val="24"/>
                <w:highlight w:val="none"/>
                <w:lang w:val="en-US" w:eastAsia="zh-CN"/>
              </w:rPr>
              <w:t>分，对供应商的投标文件中的商务技术、报价等内容进行评分，最终得出综合得分。</w:t>
            </w:r>
          </w:p>
        </w:tc>
      </w:tr>
      <w:tr w14:paraId="4014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750D23F">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w:t>
            </w:r>
          </w:p>
        </w:tc>
        <w:tc>
          <w:tcPr>
            <w:tcW w:w="2200" w:type="dxa"/>
            <w:vAlign w:val="center"/>
          </w:tcPr>
          <w:p w14:paraId="6F495880">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是否允许分包</w:t>
            </w:r>
          </w:p>
        </w:tc>
        <w:tc>
          <w:tcPr>
            <w:tcW w:w="6538" w:type="dxa"/>
            <w:vAlign w:val="center"/>
          </w:tcPr>
          <w:p w14:paraId="16C9CBF6">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不允许</w:t>
            </w:r>
          </w:p>
        </w:tc>
      </w:tr>
      <w:tr w14:paraId="2CBB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9928698">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p>
        </w:tc>
        <w:tc>
          <w:tcPr>
            <w:tcW w:w="2200" w:type="dxa"/>
            <w:vAlign w:val="center"/>
          </w:tcPr>
          <w:p w14:paraId="5B069F46">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踏勘现场</w:t>
            </w:r>
          </w:p>
        </w:tc>
        <w:tc>
          <w:tcPr>
            <w:tcW w:w="6538" w:type="dxa"/>
            <w:vAlign w:val="center"/>
          </w:tcPr>
          <w:p w14:paraId="076F9DF1">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不组织，投标人如有需要可自行前往踏勘，联系方式见招标公告。</w:t>
            </w:r>
          </w:p>
        </w:tc>
      </w:tr>
      <w:tr w14:paraId="641E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4778C05">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p>
        </w:tc>
        <w:tc>
          <w:tcPr>
            <w:tcW w:w="2200" w:type="dxa"/>
            <w:vAlign w:val="center"/>
          </w:tcPr>
          <w:p w14:paraId="4DB7EC4E">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投标预备答疑会</w:t>
            </w:r>
          </w:p>
        </w:tc>
        <w:tc>
          <w:tcPr>
            <w:tcW w:w="6538" w:type="dxa"/>
            <w:vAlign w:val="center"/>
          </w:tcPr>
          <w:p w14:paraId="401E683C">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不召开</w:t>
            </w:r>
          </w:p>
        </w:tc>
      </w:tr>
      <w:tr w14:paraId="28B6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9BEC0D9">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2200" w:type="dxa"/>
            <w:vAlign w:val="center"/>
          </w:tcPr>
          <w:p w14:paraId="6410F5F6">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是否接受联合体投标</w:t>
            </w:r>
          </w:p>
        </w:tc>
        <w:tc>
          <w:tcPr>
            <w:tcW w:w="6538" w:type="dxa"/>
            <w:vAlign w:val="center"/>
          </w:tcPr>
          <w:p w14:paraId="57814F3F">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否。</w:t>
            </w:r>
          </w:p>
        </w:tc>
      </w:tr>
      <w:tr w14:paraId="3E7F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6D9ED92">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p>
        </w:tc>
        <w:tc>
          <w:tcPr>
            <w:tcW w:w="2200" w:type="dxa"/>
            <w:vAlign w:val="center"/>
          </w:tcPr>
          <w:p w14:paraId="75E14A80">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6538" w:type="dxa"/>
            <w:vAlign w:val="center"/>
          </w:tcPr>
          <w:p w14:paraId="0EE19122">
            <w:pPr>
              <w:pStyle w:val="11"/>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投标文件递交截止之日起90天</w:t>
            </w:r>
          </w:p>
        </w:tc>
      </w:tr>
      <w:tr w14:paraId="44CA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5C7329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w:t>
            </w:r>
          </w:p>
        </w:tc>
        <w:tc>
          <w:tcPr>
            <w:tcW w:w="2200" w:type="dxa"/>
            <w:vAlign w:val="center"/>
          </w:tcPr>
          <w:p w14:paraId="100FA2F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6538" w:type="dxa"/>
            <w:vAlign w:val="center"/>
          </w:tcPr>
          <w:p w14:paraId="35BB3D6B">
            <w:pPr>
              <w:pStyle w:val="11"/>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sz w:val="24"/>
                <w:szCs w:val="24"/>
                <w:highlight w:val="none"/>
              </w:rPr>
              <w:t>本项目不需要缴纳投标保证金，若</w:t>
            </w:r>
            <w:r>
              <w:rPr>
                <w:rFonts w:hint="eastAsia" w:ascii="宋体" w:hAnsi="宋体" w:eastAsia="宋体" w:cs="宋体"/>
                <w:b/>
                <w:bCs/>
                <w:color w:val="auto"/>
                <w:sz w:val="24"/>
                <w:szCs w:val="24"/>
                <w:highlight w:val="none"/>
              </w:rPr>
              <w:t>供应商</w:t>
            </w:r>
            <w:r>
              <w:rPr>
                <w:rFonts w:hint="eastAsia" w:ascii="宋体" w:hAnsi="宋体" w:eastAsia="宋体" w:cs="宋体"/>
                <w:b/>
                <w:color w:val="auto"/>
                <w:sz w:val="24"/>
                <w:szCs w:val="24"/>
                <w:highlight w:val="none"/>
              </w:rPr>
              <w:t>在采购过程中存在违规行为给采购人造成损失的，须赔偿全部损失</w:t>
            </w:r>
            <w:r>
              <w:rPr>
                <w:rFonts w:hint="eastAsia" w:ascii="宋体" w:hAnsi="宋体" w:eastAsia="宋体" w:cs="宋体"/>
                <w:b/>
                <w:color w:val="auto"/>
                <w:sz w:val="24"/>
                <w:szCs w:val="24"/>
                <w:highlight w:val="none"/>
                <w:lang w:eastAsia="zh-CN"/>
              </w:rPr>
              <w:t>。</w:t>
            </w:r>
          </w:p>
        </w:tc>
      </w:tr>
      <w:tr w14:paraId="671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0DAB1C6">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w:t>
            </w:r>
          </w:p>
        </w:tc>
        <w:tc>
          <w:tcPr>
            <w:tcW w:w="2200" w:type="dxa"/>
            <w:vAlign w:val="center"/>
          </w:tcPr>
          <w:p w14:paraId="093E04B8">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是否允许进口产品投标</w:t>
            </w:r>
          </w:p>
        </w:tc>
        <w:tc>
          <w:tcPr>
            <w:tcW w:w="6538" w:type="dxa"/>
            <w:vAlign w:val="center"/>
          </w:tcPr>
          <w:p w14:paraId="0CEFE596">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不允许。</w:t>
            </w:r>
          </w:p>
        </w:tc>
      </w:tr>
      <w:tr w14:paraId="10E0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21ED527">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14</w:t>
            </w:r>
          </w:p>
        </w:tc>
        <w:tc>
          <w:tcPr>
            <w:tcW w:w="2200" w:type="dxa"/>
            <w:vAlign w:val="center"/>
          </w:tcPr>
          <w:p w14:paraId="4B88671E">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投标文件的组成和编制</w:t>
            </w:r>
          </w:p>
        </w:tc>
        <w:tc>
          <w:tcPr>
            <w:tcW w:w="6538" w:type="dxa"/>
            <w:vAlign w:val="center"/>
          </w:tcPr>
          <w:p w14:paraId="724DEECB">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本项目完整的《投标文件》由“资格审查文件”、“商务技术文件”和“报价文件”三个部分组成。</w:t>
            </w:r>
          </w:p>
          <w:p w14:paraId="1416DB0B">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投标人应先安装“政采云电子交易客户端”，并按照本招标文件和“政府采购云平台”的要求，通过“政采云电子交易客户端”编制并加密投标文件。</w:t>
            </w:r>
          </w:p>
        </w:tc>
      </w:tr>
      <w:tr w14:paraId="6F01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EB0AB65">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15</w:t>
            </w:r>
          </w:p>
        </w:tc>
        <w:tc>
          <w:tcPr>
            <w:tcW w:w="2200" w:type="dxa"/>
            <w:vAlign w:val="center"/>
          </w:tcPr>
          <w:p w14:paraId="13D728C6">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投标文件的签章 </w:t>
            </w:r>
          </w:p>
        </w:tc>
        <w:tc>
          <w:tcPr>
            <w:tcW w:w="6538" w:type="dxa"/>
            <w:vAlign w:val="center"/>
          </w:tcPr>
          <w:p w14:paraId="768D8EDD">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电子签章（公章），其中法定代表人</w:t>
            </w:r>
            <w:r>
              <w:rPr>
                <w:rFonts w:hint="eastAsia" w:ascii="宋体" w:hAnsi="宋体" w:eastAsia="宋体" w:cs="宋体"/>
                <w:color w:val="auto"/>
                <w:kern w:val="0"/>
                <w:sz w:val="24"/>
                <w:szCs w:val="24"/>
                <w:highlight w:val="none"/>
                <w:lang w:val="en-US" w:eastAsia="zh-CN"/>
              </w:rPr>
              <w:t>(或负责人)</w:t>
            </w:r>
            <w:r>
              <w:rPr>
                <w:rFonts w:hint="eastAsia" w:ascii="宋体" w:hAnsi="宋体" w:eastAsia="宋体" w:cs="宋体"/>
                <w:color w:val="auto"/>
                <w:kern w:val="2"/>
                <w:sz w:val="24"/>
                <w:szCs w:val="24"/>
                <w:highlight w:val="none"/>
                <w:lang w:val="en-US" w:eastAsia="zh-CN"/>
              </w:rPr>
              <w:t>和授权代表签字（或盖章）可书面签订（或盖章）后，扫描至电子投标文件中上传；凡投标格式文件明确有签字盖章处均应符合。</w:t>
            </w:r>
          </w:p>
        </w:tc>
      </w:tr>
      <w:tr w14:paraId="4FE6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1875831">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16</w:t>
            </w:r>
          </w:p>
        </w:tc>
        <w:tc>
          <w:tcPr>
            <w:tcW w:w="2200" w:type="dxa"/>
            <w:vAlign w:val="center"/>
          </w:tcPr>
          <w:p w14:paraId="61C01229">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投标文件份数</w:t>
            </w:r>
          </w:p>
        </w:tc>
        <w:tc>
          <w:tcPr>
            <w:tcW w:w="6538" w:type="dxa"/>
            <w:vAlign w:val="center"/>
          </w:tcPr>
          <w:p w14:paraId="5584C1D0">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（1）“电子加密投标文件”：在线上传递交、一份。</w:t>
            </w:r>
          </w:p>
          <w:p w14:paraId="673F5B73">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w:t>
            </w:r>
            <w:r>
              <w:rPr>
                <w:rFonts w:hint="eastAsia" w:ascii="宋体" w:hAnsi="宋体" w:eastAsia="宋体" w:cs="宋体"/>
                <w:b/>
                <w:bCs/>
                <w:color w:val="auto"/>
                <w:kern w:val="2"/>
                <w:sz w:val="24"/>
                <w:szCs w:val="24"/>
                <w:highlight w:val="none"/>
                <w:u w:val="single"/>
                <w:lang w:val="en-US" w:eastAsia="zh-CN"/>
              </w:rPr>
              <w:t>（非强制要求）</w:t>
            </w:r>
            <w:r>
              <w:rPr>
                <w:rFonts w:hint="eastAsia" w:ascii="宋体" w:hAnsi="宋体" w:eastAsia="宋体" w:cs="宋体"/>
                <w:color w:val="auto"/>
                <w:kern w:val="2"/>
                <w:sz w:val="24"/>
                <w:szCs w:val="24"/>
                <w:highlight w:val="none"/>
                <w:lang w:val="en-US" w:eastAsia="zh-CN"/>
              </w:rPr>
              <w:t>：密封包装后投标截止时间前递交一份。</w:t>
            </w:r>
          </w:p>
        </w:tc>
      </w:tr>
      <w:tr w14:paraId="55CD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C5E00DB">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17</w:t>
            </w:r>
          </w:p>
        </w:tc>
        <w:tc>
          <w:tcPr>
            <w:tcW w:w="2200" w:type="dxa"/>
            <w:vAlign w:val="center"/>
          </w:tcPr>
          <w:p w14:paraId="054212BA">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备份投标文件要求</w:t>
            </w:r>
          </w:p>
        </w:tc>
        <w:tc>
          <w:tcPr>
            <w:tcW w:w="6538" w:type="dxa"/>
            <w:vAlign w:val="center"/>
          </w:tcPr>
          <w:p w14:paraId="52745E63">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供应商可以（</w:t>
            </w:r>
            <w:r>
              <w:rPr>
                <w:rFonts w:hint="eastAsia" w:ascii="宋体" w:hAnsi="宋体" w:eastAsia="宋体" w:cs="宋体"/>
                <w:b/>
                <w:bCs/>
                <w:color w:val="auto"/>
                <w:kern w:val="2"/>
                <w:sz w:val="24"/>
                <w:szCs w:val="24"/>
                <w:highlight w:val="none"/>
                <w:lang w:val="en-US" w:eastAsia="zh-CN"/>
              </w:rPr>
              <w:t>非强制性要求</w:t>
            </w:r>
            <w:r>
              <w:rPr>
                <w:rFonts w:hint="eastAsia" w:ascii="宋体" w:hAnsi="宋体" w:eastAsia="宋体" w:cs="宋体"/>
                <w:color w:val="auto"/>
                <w:kern w:val="2"/>
                <w:sz w:val="24"/>
                <w:szCs w:val="24"/>
                <w:highlight w:val="none"/>
                <w:lang w:val="en-US" w:eastAsia="zh-CN"/>
              </w:rPr>
              <w:t>，推荐EMS或顺丰邮寄形式）递交以介质（U盘）存储的数据电文形式的“备份投标文件”（与“电子加密投标文件”同时生成的数据电文形式的电子文件），“备份投标文件”应当密封包装并在包装上标注投标项目名称、投标人名称并加盖公章。</w:t>
            </w:r>
          </w:p>
          <w:p w14:paraId="7B7CF70B">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注：“备份投标文件”接收地址为</w:t>
            </w:r>
            <w:r>
              <w:rPr>
                <w:rFonts w:hint="eastAsia" w:ascii="宋体" w:hAnsi="宋体" w:eastAsia="宋体" w:cs="宋体"/>
                <w:color w:val="auto"/>
                <w:kern w:val="2"/>
                <w:sz w:val="24"/>
                <w:szCs w:val="24"/>
                <w:highlight w:val="none"/>
                <w:u w:val="single"/>
                <w:lang w:val="en-US" w:eastAsia="zh-CN"/>
              </w:rPr>
              <w:t xml:space="preserve"> 浙江省衢州市衢江区东方广场7号楼405室 </w:t>
            </w:r>
            <w:r>
              <w:rPr>
                <w:rFonts w:hint="eastAsia" w:ascii="宋体" w:hAnsi="宋体" w:eastAsia="宋体" w:cs="宋体"/>
                <w:color w:val="auto"/>
                <w:kern w:val="2"/>
                <w:sz w:val="24"/>
                <w:szCs w:val="24"/>
                <w:highlight w:val="none"/>
                <w:lang w:val="en-US" w:eastAsia="zh-CN"/>
              </w:rPr>
              <w:t>，联系人：</w:t>
            </w:r>
            <w:r>
              <w:rPr>
                <w:rFonts w:hint="eastAsia" w:ascii="宋体" w:hAnsi="宋体" w:eastAsia="宋体" w:cs="宋体"/>
                <w:color w:val="auto"/>
                <w:kern w:val="2"/>
                <w:sz w:val="24"/>
                <w:szCs w:val="24"/>
                <w:highlight w:val="none"/>
                <w:u w:val="single"/>
                <w:lang w:val="en-US" w:eastAsia="zh-CN"/>
              </w:rPr>
              <w:t xml:space="preserve"> 李先生 </w:t>
            </w:r>
            <w:r>
              <w:rPr>
                <w:rFonts w:hint="eastAsia" w:ascii="宋体" w:hAnsi="宋体" w:eastAsia="宋体" w:cs="宋体"/>
                <w:color w:val="auto"/>
                <w:kern w:val="2"/>
                <w:sz w:val="24"/>
                <w:szCs w:val="24"/>
                <w:highlight w:val="none"/>
                <w:lang w:val="en-US" w:eastAsia="zh-CN"/>
              </w:rPr>
              <w:t>，联系电话：</w:t>
            </w:r>
            <w:r>
              <w:rPr>
                <w:rFonts w:hint="eastAsia" w:ascii="宋体" w:hAnsi="宋体" w:eastAsia="宋体" w:cs="宋体"/>
                <w:color w:val="auto"/>
                <w:kern w:val="2"/>
                <w:sz w:val="24"/>
                <w:szCs w:val="24"/>
                <w:highlight w:val="none"/>
                <w:u w:val="single"/>
                <w:lang w:val="en-US" w:eastAsia="zh-CN"/>
              </w:rPr>
              <w:t>13735093979</w:t>
            </w:r>
            <w:r>
              <w:rPr>
                <w:rFonts w:hint="eastAsia" w:ascii="宋体" w:hAnsi="宋体" w:eastAsia="宋体" w:cs="宋体"/>
                <w:color w:val="auto"/>
                <w:kern w:val="2"/>
                <w:sz w:val="24"/>
                <w:szCs w:val="24"/>
                <w:highlight w:val="none"/>
                <w:lang w:val="en-US" w:eastAsia="zh-CN"/>
              </w:rPr>
              <w:t>，“备份投标文件”递交截止时间为提交投标文件截止时间。供应商邮寄后可将邮件单号发送至代理机构电子邮箱（电子邮箱：</w:t>
            </w:r>
            <w:r>
              <w:rPr>
                <w:rFonts w:hint="eastAsia" w:ascii="宋体" w:hAnsi="宋体" w:eastAsia="宋体" w:cs="宋体"/>
                <w:color w:val="auto"/>
                <w:kern w:val="2"/>
                <w:sz w:val="24"/>
                <w:szCs w:val="24"/>
                <w:highlight w:val="none"/>
                <w:u w:val="single"/>
                <w:lang w:val="en-US" w:eastAsia="zh-CN"/>
              </w:rPr>
              <w:t xml:space="preserve"> 915482302@qq.com </w:t>
            </w:r>
            <w:r>
              <w:rPr>
                <w:rFonts w:hint="eastAsia" w:ascii="宋体" w:hAnsi="宋体" w:eastAsia="宋体" w:cs="宋体"/>
                <w:color w:val="auto"/>
                <w:kern w:val="2"/>
                <w:sz w:val="24"/>
                <w:szCs w:val="24"/>
                <w:highlight w:val="none"/>
                <w:lang w:val="en-US" w:eastAsia="zh-CN"/>
              </w:rPr>
              <w:t>），以便采购代理机构查询物流记录。各供应商应当确保“备份投标文件”的密封包装在邮寄过程保持完好，因邮寄造成“备份投标文件”密封破损而不符合采购文件对“备份投标文件”的密封要求、或邮寄过程中导致“备份投标文件”未按招标公告规定时限前送达的，代理机构将拒绝其“备份投标文件”。各供应商自行考虑邮寄在途时间，“备份投标文件”送达时间以代理机构工作人员实际签收时间为准。</w:t>
            </w:r>
          </w:p>
        </w:tc>
      </w:tr>
      <w:tr w14:paraId="264F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71ED3F0">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kern w:val="2"/>
                <w:sz w:val="21"/>
                <w:szCs w:val="21"/>
                <w:highlight w:val="none"/>
                <w:lang w:val="en-US" w:eastAsia="zh-CN" w:bidi="ar-SA"/>
              </w:rPr>
            </w:pPr>
            <w:r>
              <w:rPr>
                <w:rStyle w:val="29"/>
                <w:rFonts w:hint="eastAsia" w:ascii="宋体" w:hAnsi="宋体" w:eastAsia="宋体" w:cs="宋体"/>
                <w:highlight w:val="none"/>
                <w:lang w:val="en-US" w:eastAsia="zh-CN"/>
              </w:rPr>
              <w:t>18</w:t>
            </w:r>
          </w:p>
        </w:tc>
        <w:tc>
          <w:tcPr>
            <w:tcW w:w="2200" w:type="dxa"/>
            <w:vAlign w:val="center"/>
          </w:tcPr>
          <w:p w14:paraId="32F1A78A">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投标文件有效期</w:t>
            </w:r>
          </w:p>
        </w:tc>
        <w:tc>
          <w:tcPr>
            <w:tcW w:w="6538" w:type="dxa"/>
            <w:vAlign w:val="center"/>
          </w:tcPr>
          <w:p w14:paraId="4D43E3DF">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自投标截止时间起不少于90天。</w:t>
            </w:r>
          </w:p>
        </w:tc>
      </w:tr>
      <w:tr w14:paraId="4378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F310631">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19</w:t>
            </w:r>
          </w:p>
        </w:tc>
        <w:tc>
          <w:tcPr>
            <w:tcW w:w="2200" w:type="dxa"/>
            <w:vAlign w:val="center"/>
          </w:tcPr>
          <w:p w14:paraId="3E0C8972">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投标文件的形式</w:t>
            </w:r>
          </w:p>
        </w:tc>
        <w:tc>
          <w:tcPr>
            <w:tcW w:w="6538" w:type="dxa"/>
            <w:vAlign w:val="center"/>
          </w:tcPr>
          <w:p w14:paraId="2C3E52E7">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电子投标文件（包括“电子加密投标文件”和“备份投标文件”，在投标文件编制完成后同时生成）；</w:t>
            </w:r>
          </w:p>
          <w:p w14:paraId="07F109E0">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（1）“电子加密投标文件”是指通过“政采云电子交易客户端”完成投标文件编制后生成并加密的数据电文形式的投标文件。</w:t>
            </w:r>
          </w:p>
          <w:p w14:paraId="0D323D09">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（2）“备份投标文件”是指与“电子加密投标文件”同时生成的数据电文形式的电子文件（备份标书），其他方式编制的备份投标文件视为无效备份投标文件。</w:t>
            </w:r>
          </w:p>
        </w:tc>
      </w:tr>
      <w:tr w14:paraId="4197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1FAF206">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20</w:t>
            </w:r>
          </w:p>
        </w:tc>
        <w:tc>
          <w:tcPr>
            <w:tcW w:w="2200" w:type="dxa"/>
            <w:vAlign w:val="center"/>
          </w:tcPr>
          <w:p w14:paraId="5E0FE052">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投标样品</w:t>
            </w:r>
          </w:p>
        </w:tc>
        <w:tc>
          <w:tcPr>
            <w:tcW w:w="6538" w:type="dxa"/>
            <w:vAlign w:val="center"/>
          </w:tcPr>
          <w:p w14:paraId="207A3F27">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1、本项目是否需要样品：</w:t>
            </w:r>
            <w:r>
              <w:rPr>
                <w:rFonts w:hint="eastAsia" w:ascii="宋体" w:hAnsi="宋体" w:eastAsia="宋体" w:cs="宋体"/>
                <w:color w:val="auto"/>
                <w:kern w:val="2"/>
                <w:sz w:val="24"/>
                <w:szCs w:val="24"/>
                <w:highlight w:val="none"/>
                <w:lang w:val="zh-CN" w:eastAsia="zh-CN"/>
              </w:rPr>
              <w:t>否；</w:t>
            </w:r>
          </w:p>
        </w:tc>
      </w:tr>
      <w:tr w14:paraId="1CBA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839F87D">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21</w:t>
            </w:r>
          </w:p>
        </w:tc>
        <w:tc>
          <w:tcPr>
            <w:tcW w:w="2200" w:type="dxa"/>
            <w:vAlign w:val="center"/>
          </w:tcPr>
          <w:p w14:paraId="738DB362">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投标文件的上传和递交</w:t>
            </w:r>
          </w:p>
        </w:tc>
        <w:tc>
          <w:tcPr>
            <w:tcW w:w="6538" w:type="dxa"/>
            <w:vAlign w:val="center"/>
          </w:tcPr>
          <w:p w14:paraId="4EF34CA7">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（1）“电子加密投标文件”的上传、递交：</w:t>
            </w:r>
          </w:p>
          <w:p w14:paraId="7E1AD3FE">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a.投标供应商应在投标截止时间前将“电子加密投标文件”成功上传递交至“政采云平台”，否则投标无效。</w:t>
            </w:r>
          </w:p>
          <w:p w14:paraId="6A9BC8F8">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b.“电子加密投标文件”成功上传递交后，供应商可自行打印投标文件接收回执。</w:t>
            </w:r>
          </w:p>
          <w:p w14:paraId="7264C928">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（2）“备份投标文件”递交：</w:t>
            </w:r>
          </w:p>
          <w:p w14:paraId="11641D86">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a.“备份投标文件”的递交：</w:t>
            </w:r>
            <w:r>
              <w:rPr>
                <w:rFonts w:hint="eastAsia" w:ascii="宋体" w:hAnsi="宋体" w:eastAsia="宋体" w:cs="宋体"/>
                <w:color w:val="auto"/>
                <w:kern w:val="2"/>
                <w:sz w:val="24"/>
                <w:szCs w:val="24"/>
                <w:highlight w:val="none"/>
                <w:lang w:val="en-US" w:eastAsia="zh-CN"/>
              </w:rPr>
              <w:fldChar w:fldCharType="begin"/>
            </w:r>
            <w:r>
              <w:rPr>
                <w:rFonts w:hint="eastAsia" w:ascii="宋体" w:hAnsi="宋体" w:eastAsia="宋体" w:cs="宋体"/>
                <w:color w:val="auto"/>
                <w:kern w:val="2"/>
                <w:sz w:val="24"/>
                <w:szCs w:val="24"/>
                <w:highlight w:val="none"/>
                <w:lang w:val="en-US" w:eastAsia="zh-CN"/>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ascii="宋体" w:hAnsi="宋体" w:eastAsia="宋体" w:cs="宋体"/>
                <w:color w:val="auto"/>
                <w:kern w:val="2"/>
                <w:sz w:val="24"/>
                <w:szCs w:val="24"/>
                <w:highlight w:val="none"/>
                <w:lang w:val="en-US" w:eastAsia="zh-CN"/>
              </w:rPr>
              <w:fldChar w:fldCharType="separate"/>
            </w:r>
            <w:r>
              <w:rPr>
                <w:rFonts w:hint="eastAsia" w:ascii="宋体" w:hAnsi="宋体" w:eastAsia="宋体" w:cs="宋体"/>
                <w:color w:val="auto"/>
                <w:kern w:val="2"/>
                <w:sz w:val="24"/>
                <w:szCs w:val="24"/>
                <w:highlight w:val="none"/>
                <w:lang w:val="en-US" w:eastAsia="zh-CN"/>
              </w:rPr>
              <w:t>供应商在系统里上传好加密标书后，可以（</w:t>
            </w:r>
            <w:r>
              <w:rPr>
                <w:rFonts w:hint="eastAsia" w:ascii="宋体" w:hAnsi="宋体" w:eastAsia="宋体" w:cs="宋体"/>
                <w:b/>
                <w:bCs/>
                <w:color w:val="auto"/>
                <w:kern w:val="2"/>
                <w:sz w:val="24"/>
                <w:szCs w:val="24"/>
                <w:highlight w:val="none"/>
                <w:u w:val="single"/>
                <w:lang w:val="en-US" w:eastAsia="zh-CN"/>
              </w:rPr>
              <w:t>非强制要求</w:t>
            </w:r>
            <w:r>
              <w:rPr>
                <w:rFonts w:hint="eastAsia" w:ascii="宋体" w:hAnsi="宋体" w:eastAsia="宋体" w:cs="宋体"/>
                <w:color w:val="auto"/>
                <w:kern w:val="2"/>
                <w:sz w:val="24"/>
                <w:szCs w:val="24"/>
                <w:highlight w:val="none"/>
                <w:lang w:val="en-US" w:eastAsia="zh-CN"/>
              </w:rPr>
              <w:t>）在投标截止时间前将系统生成的备份标书（后缀格式为.bfbs），备份投标文件要求详见投标须知前附表第17条。</w:t>
            </w:r>
            <w:r>
              <w:rPr>
                <w:rFonts w:hint="eastAsia" w:ascii="宋体" w:hAnsi="宋体" w:eastAsia="宋体" w:cs="宋体"/>
                <w:color w:val="auto"/>
                <w:kern w:val="2"/>
                <w:sz w:val="24"/>
                <w:szCs w:val="24"/>
                <w:highlight w:val="none"/>
                <w:lang w:val="en-US" w:eastAsia="zh-CN"/>
              </w:rPr>
              <w:fldChar w:fldCharType="end"/>
            </w:r>
          </w:p>
          <w:p w14:paraId="655B0D55">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b.通过“政府采购云平台”上传递交的“电子加密投标文件”无法按时解密，投标供应商递交了备份投标文件的，以备份投标文件为依据，否则视为投标文件撤回。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14:paraId="329BEDEC">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供应商需保证上传的电子加密投标文件与提交的备份投标文件必须同时生成且内容完全一致；</w:t>
            </w:r>
          </w:p>
        </w:tc>
      </w:tr>
      <w:tr w14:paraId="36FA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BB91471">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22</w:t>
            </w:r>
          </w:p>
        </w:tc>
        <w:tc>
          <w:tcPr>
            <w:tcW w:w="2200" w:type="dxa"/>
            <w:vAlign w:val="center"/>
          </w:tcPr>
          <w:p w14:paraId="6CFA64D6">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电子加密投标文件的解密和异常情况处理</w:t>
            </w:r>
          </w:p>
        </w:tc>
        <w:tc>
          <w:tcPr>
            <w:tcW w:w="6538" w:type="dxa"/>
            <w:vAlign w:val="center"/>
          </w:tcPr>
          <w:p w14:paraId="5A5FA9CF">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（1）开标后，采购组织机构将向各投标供应商发出“电子加密投标文件”的解密通知，各投标供应商代表应当在接到解密通知后30分钟内自行完成“电子加密投标文件”的在线解密。</w:t>
            </w:r>
          </w:p>
          <w:p w14:paraId="7CFA7B4E">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699FFAA7">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（3）投标截止时间前，投标供应商仅递交了“备份投标文件”而未将电子加密投标文件上传至“政采云平台”的，投标无效。</w:t>
            </w:r>
          </w:p>
        </w:tc>
      </w:tr>
      <w:tr w14:paraId="4690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C43044D">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p>
        </w:tc>
        <w:tc>
          <w:tcPr>
            <w:tcW w:w="2200" w:type="dxa"/>
            <w:vAlign w:val="center"/>
          </w:tcPr>
          <w:p w14:paraId="1F161402">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sz w:val="24"/>
                <w:szCs w:val="24"/>
                <w:highlight w:val="none"/>
              </w:rPr>
              <w:t>开标地点</w:t>
            </w:r>
          </w:p>
        </w:tc>
        <w:tc>
          <w:tcPr>
            <w:tcW w:w="6538" w:type="dxa"/>
            <w:vAlign w:val="center"/>
          </w:tcPr>
          <w:p w14:paraId="210BD712">
            <w:pPr>
              <w:pStyle w:val="11"/>
              <w:keepNext w:val="0"/>
              <w:keepLines w:val="0"/>
              <w:pageBreakBefore w:val="0"/>
              <w:widowControl w:val="0"/>
              <w:kinsoku/>
              <w:wordWrap/>
              <w:overflowPunct/>
              <w:topLinePunct w:val="0"/>
              <w:autoSpaceDE/>
              <w:autoSpaceDN/>
              <w:bidi w:val="0"/>
              <w:adjustRightInd/>
              <w:snapToGrid w:val="0"/>
              <w:spacing w:line="500" w:lineRule="exact"/>
              <w:ind w:left="14" w:leftChars="0" w:hanging="14" w:hangingChars="6"/>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color w:val="auto"/>
                <w:sz w:val="24"/>
                <w:szCs w:val="24"/>
                <w:highlight w:val="none"/>
              </w:rPr>
              <w:t>衢江区公共资源交易中心</w:t>
            </w:r>
            <w:r>
              <w:rPr>
                <w:rFonts w:hint="eastAsia" w:ascii="宋体" w:hAnsi="宋体" w:eastAsia="宋体" w:cs="宋体"/>
                <w:b w:val="0"/>
                <w:bCs/>
                <w:color w:val="auto"/>
                <w:sz w:val="24"/>
                <w:szCs w:val="24"/>
                <w:highlight w:val="none"/>
                <w:u w:val="single"/>
              </w:rPr>
              <w:t xml:space="preserve"> </w:t>
            </w:r>
            <w:r>
              <w:rPr>
                <w:rFonts w:hint="eastAsia" w:hAnsi="宋体" w:cs="宋体"/>
                <w:b w:val="0"/>
                <w:bCs/>
                <w:color w:val="auto"/>
                <w:sz w:val="24"/>
                <w:szCs w:val="24"/>
                <w:highlight w:val="none"/>
                <w:u w:val="single"/>
                <w:lang w:val="en-US" w:eastAsia="zh-CN"/>
              </w:rPr>
              <w:t>2</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号评标室（衢江区水利局5楼）；同步在“政采云远程开标大厅”（http</w:t>
            </w:r>
            <w:bookmarkStart w:id="83" w:name="_GoBack"/>
            <w:bookmarkEnd w:id="83"/>
            <w:r>
              <w:rPr>
                <w:rFonts w:hint="eastAsia" w:ascii="宋体" w:hAnsi="宋体" w:eastAsia="宋体" w:cs="宋体"/>
                <w:b w:val="0"/>
                <w:bCs/>
                <w:color w:val="auto"/>
                <w:sz w:val="24"/>
                <w:szCs w:val="24"/>
                <w:highlight w:val="none"/>
              </w:rPr>
              <w:t>s://www.zcygov.cn/）在线</w:t>
            </w:r>
            <w:r>
              <w:rPr>
                <w:rFonts w:hint="eastAsia" w:ascii="宋体" w:hAnsi="宋体" w:eastAsia="宋体" w:cs="宋体"/>
                <w:b w:val="0"/>
                <w:bCs/>
                <w:color w:val="auto"/>
                <w:sz w:val="24"/>
                <w:szCs w:val="24"/>
                <w:highlight w:val="none"/>
                <w:lang w:val="en-US" w:eastAsia="zh-CN"/>
              </w:rPr>
              <w:t>开标</w:t>
            </w:r>
            <w:r>
              <w:rPr>
                <w:rFonts w:hint="eastAsia" w:ascii="宋体" w:hAnsi="宋体" w:eastAsia="宋体" w:cs="宋体"/>
                <w:color w:val="auto"/>
                <w:sz w:val="24"/>
                <w:szCs w:val="24"/>
                <w:highlight w:val="none"/>
              </w:rPr>
              <w:t>。</w:t>
            </w:r>
          </w:p>
        </w:tc>
      </w:tr>
      <w:tr w14:paraId="4819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D305618">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24</w:t>
            </w:r>
          </w:p>
        </w:tc>
        <w:tc>
          <w:tcPr>
            <w:tcW w:w="2200" w:type="dxa"/>
            <w:vAlign w:val="center"/>
          </w:tcPr>
          <w:p w14:paraId="33D0C02B">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开标时间</w:t>
            </w:r>
          </w:p>
        </w:tc>
        <w:tc>
          <w:tcPr>
            <w:tcW w:w="6538" w:type="dxa"/>
            <w:vAlign w:val="center"/>
          </w:tcPr>
          <w:p w14:paraId="27B53AB3">
            <w:pPr>
              <w:pStyle w:val="11"/>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（北京时间）   </w:t>
            </w:r>
          </w:p>
        </w:tc>
      </w:tr>
      <w:tr w14:paraId="016B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F6FAF6C">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200" w:type="dxa"/>
            <w:vAlign w:val="center"/>
          </w:tcPr>
          <w:p w14:paraId="412CE03A">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评标委员会推荐中标候选人的</w:t>
            </w:r>
            <w:r>
              <w:rPr>
                <w:rFonts w:hint="eastAsia" w:ascii="宋体" w:hAnsi="宋体" w:eastAsia="宋体" w:cs="宋体"/>
                <w:color w:val="auto"/>
                <w:sz w:val="24"/>
                <w:szCs w:val="24"/>
                <w:highlight w:val="none"/>
                <w:lang w:val="en-US" w:eastAsia="zh-CN"/>
              </w:rPr>
              <w:t>数量</w:t>
            </w:r>
          </w:p>
        </w:tc>
        <w:tc>
          <w:tcPr>
            <w:tcW w:w="6538" w:type="dxa"/>
            <w:vAlign w:val="center"/>
          </w:tcPr>
          <w:p w14:paraId="622819FE">
            <w:pPr>
              <w:pStyle w:val="11"/>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 本项目由评标委员会推荐3名中标候选人 </w:t>
            </w:r>
          </w:p>
        </w:tc>
      </w:tr>
      <w:tr w14:paraId="05D5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FB11CF2">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26</w:t>
            </w:r>
          </w:p>
        </w:tc>
        <w:tc>
          <w:tcPr>
            <w:tcW w:w="2200" w:type="dxa"/>
            <w:vAlign w:val="center"/>
          </w:tcPr>
          <w:p w14:paraId="155AB3E5">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中标结果公示期限</w:t>
            </w:r>
          </w:p>
        </w:tc>
        <w:tc>
          <w:tcPr>
            <w:tcW w:w="6538" w:type="dxa"/>
            <w:vAlign w:val="center"/>
          </w:tcPr>
          <w:p w14:paraId="2D963792">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公示1个工作日</w:t>
            </w:r>
          </w:p>
        </w:tc>
      </w:tr>
      <w:tr w14:paraId="19BF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1F970CE">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27</w:t>
            </w:r>
          </w:p>
        </w:tc>
        <w:tc>
          <w:tcPr>
            <w:tcW w:w="2200" w:type="dxa"/>
            <w:vAlign w:val="center"/>
          </w:tcPr>
          <w:p w14:paraId="2723A35D">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签订合同</w:t>
            </w:r>
          </w:p>
        </w:tc>
        <w:tc>
          <w:tcPr>
            <w:tcW w:w="6538" w:type="dxa"/>
            <w:vAlign w:val="center"/>
          </w:tcPr>
          <w:p w14:paraId="08ABE1BD">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中标通知书发出后30日内，与采购人签订合同。</w:t>
            </w:r>
          </w:p>
        </w:tc>
      </w:tr>
      <w:tr w14:paraId="3F67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F4A7EEB">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28</w:t>
            </w:r>
          </w:p>
        </w:tc>
        <w:tc>
          <w:tcPr>
            <w:tcW w:w="2200" w:type="dxa"/>
            <w:vAlign w:val="center"/>
          </w:tcPr>
          <w:p w14:paraId="50193236">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履约保证金</w:t>
            </w:r>
          </w:p>
        </w:tc>
        <w:tc>
          <w:tcPr>
            <w:tcW w:w="6538" w:type="dxa"/>
            <w:vAlign w:val="center"/>
          </w:tcPr>
          <w:p w14:paraId="1A0C91EE">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Cs/>
                <w:sz w:val="24"/>
                <w:highlight w:val="none"/>
                <w:lang w:val="en-US" w:eastAsia="zh-CN"/>
              </w:rPr>
              <w:t>合同签订之日起15个工作日内</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应</w:t>
            </w:r>
            <w:r>
              <w:rPr>
                <w:rFonts w:hint="eastAsia" w:ascii="宋体" w:hAnsi="宋体" w:eastAsia="宋体" w:cs="宋体"/>
                <w:bCs/>
                <w:sz w:val="24"/>
                <w:highlight w:val="none"/>
              </w:rPr>
              <w:t>通过基本账户以银行转账方式缴纳或采用银行保函或保险公司保函</w:t>
            </w:r>
            <w:r>
              <w:rPr>
                <w:rFonts w:hint="eastAsia" w:ascii="宋体" w:hAnsi="宋体" w:eastAsia="宋体" w:cs="宋体"/>
                <w:snapToGrid w:val="0"/>
                <w:color w:val="auto"/>
                <w:kern w:val="0"/>
                <w:sz w:val="24"/>
                <w:szCs w:val="24"/>
                <w:highlight w:val="none"/>
              </w:rPr>
              <w:t>向采购人交纳</w:t>
            </w:r>
            <w:r>
              <w:rPr>
                <w:rFonts w:hint="eastAsia" w:ascii="宋体" w:hAnsi="宋体" w:eastAsia="宋体" w:cs="宋体"/>
                <w:b/>
                <w:bCs/>
                <w:snapToGrid w:val="0"/>
                <w:color w:val="auto"/>
                <w:kern w:val="0"/>
                <w:sz w:val="24"/>
                <w:szCs w:val="24"/>
                <w:highlight w:val="none"/>
                <w:u w:val="single"/>
                <w:lang w:val="en-US" w:eastAsia="zh-CN"/>
              </w:rPr>
              <w:t>中标价（暂定合同价）</w:t>
            </w:r>
            <w:r>
              <w:rPr>
                <w:rFonts w:hint="eastAsia" w:ascii="宋体" w:hAnsi="宋体" w:eastAsia="宋体" w:cs="宋体"/>
                <w:snapToGrid w:val="0"/>
                <w:color w:val="auto"/>
                <w:kern w:val="0"/>
                <w:sz w:val="24"/>
                <w:szCs w:val="24"/>
                <w:highlight w:val="none"/>
              </w:rPr>
              <w:t>1%的履约保证金</w:t>
            </w:r>
            <w:r>
              <w:rPr>
                <w:rFonts w:hint="eastAsia" w:ascii="宋体" w:hAnsi="宋体" w:eastAsia="宋体" w:cs="宋体"/>
                <w:kern w:val="0"/>
                <w:sz w:val="24"/>
                <w:highlight w:val="none"/>
                <w:lang w:eastAsia="zh-CN"/>
              </w:rPr>
              <w:t>。</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具体要求详见第三章采购内容及要求、第四章合同主要条款规定。</w:t>
            </w:r>
            <w:r>
              <w:rPr>
                <w:rFonts w:hint="eastAsia" w:ascii="宋体" w:hAnsi="宋体" w:eastAsia="宋体" w:cs="宋体"/>
                <w:b/>
                <w:bCs/>
                <w:snapToGrid w:val="0"/>
                <w:color w:val="auto"/>
                <w:kern w:val="0"/>
                <w:sz w:val="24"/>
                <w:szCs w:val="24"/>
                <w:highlight w:val="none"/>
                <w:u w:val="single"/>
                <w:lang w:eastAsia="zh-CN"/>
              </w:rPr>
              <w:t>）</w:t>
            </w:r>
          </w:p>
        </w:tc>
      </w:tr>
      <w:tr w14:paraId="2917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810A0C9">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29</w:t>
            </w:r>
          </w:p>
        </w:tc>
        <w:tc>
          <w:tcPr>
            <w:tcW w:w="2200" w:type="dxa"/>
            <w:vAlign w:val="center"/>
          </w:tcPr>
          <w:p w14:paraId="2269A6D9">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发布网址</w:t>
            </w:r>
          </w:p>
        </w:tc>
        <w:tc>
          <w:tcPr>
            <w:tcW w:w="6538" w:type="dxa"/>
            <w:vAlign w:val="center"/>
          </w:tcPr>
          <w:p w14:paraId="46C9F324">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https://zfcg.czt.zj.gov.cn/</w:t>
            </w:r>
          </w:p>
        </w:tc>
      </w:tr>
      <w:tr w14:paraId="5819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E4BC24A">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30</w:t>
            </w:r>
          </w:p>
        </w:tc>
        <w:tc>
          <w:tcPr>
            <w:tcW w:w="2200" w:type="dxa"/>
            <w:vAlign w:val="center"/>
          </w:tcPr>
          <w:p w14:paraId="55863AB4">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采购代理服务费</w:t>
            </w:r>
          </w:p>
        </w:tc>
        <w:tc>
          <w:tcPr>
            <w:tcW w:w="6538" w:type="dxa"/>
            <w:vAlign w:val="center"/>
          </w:tcPr>
          <w:p w14:paraId="3DBCFD7C">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本项目的采购代理服务费、公证费（如有，按实计取）由中标人支付。采购代理服务费参照原国家计委关于印发《招标代理服务收费管理暂行办法》的通知（计价格[2002]1980号）服务招标收费标准向中标供应商收取招标代理服务费，其他相关费用可咨询招标代理机构。</w:t>
            </w:r>
          </w:p>
          <w:p w14:paraId="077FA578">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1）收款单位（户名）：浙江天平投资咨询有限公司衢州工程咨询分公司</w:t>
            </w:r>
          </w:p>
          <w:p w14:paraId="662D33FC">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2）开  户：浙江衢州衢江农村商业银行股份有限公司樟潭支</w:t>
            </w:r>
          </w:p>
          <w:p w14:paraId="5E64129A">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行浮石分理处</w:t>
            </w:r>
          </w:p>
          <w:p w14:paraId="1FE6B0C6">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3）账  号：201000249766899</w:t>
            </w:r>
          </w:p>
          <w:p w14:paraId="7C724CF8">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2、以上费用均不在报价中单列，请投标人在报价中予以考虑。</w:t>
            </w:r>
          </w:p>
          <w:p w14:paraId="5400CA59">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3、结算方式及时间为：在领取中标通知书时由中标供应商一次性向招标代理机构付清。</w:t>
            </w:r>
          </w:p>
          <w:p w14:paraId="67F3135D">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《招标代理服务费管理暂行办法》的通知规定的收费标准</w:t>
            </w:r>
          </w:p>
          <w:tbl>
            <w:tblPr>
              <w:tblStyle w:val="19"/>
              <w:tblW w:w="6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00"/>
              <w:gridCol w:w="2600"/>
            </w:tblGrid>
            <w:tr w14:paraId="7BFB7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00" w:type="dxa"/>
                </w:tcPr>
                <w:p w14:paraId="072A713A">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中标金额（万元）</w:t>
                  </w:r>
                </w:p>
              </w:tc>
              <w:tc>
                <w:tcPr>
                  <w:tcW w:w="2600" w:type="dxa"/>
                </w:tcPr>
                <w:p w14:paraId="71021E07">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费率</w:t>
                  </w:r>
                </w:p>
              </w:tc>
            </w:tr>
            <w:tr w14:paraId="7B9AF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3700" w:type="dxa"/>
                </w:tcPr>
                <w:p w14:paraId="0880EF8B">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100以下</w:t>
                  </w:r>
                </w:p>
              </w:tc>
              <w:tc>
                <w:tcPr>
                  <w:tcW w:w="2600" w:type="dxa"/>
                </w:tcPr>
                <w:p w14:paraId="2345DAB6">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r>
            <w:tr w14:paraId="2D75C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28D18A99">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100-500</w:t>
                  </w:r>
                </w:p>
              </w:tc>
              <w:tc>
                <w:tcPr>
                  <w:tcW w:w="2600" w:type="dxa"/>
                </w:tcPr>
                <w:p w14:paraId="0F10A081">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0.8%</w:t>
                  </w:r>
                </w:p>
              </w:tc>
            </w:tr>
          </w:tbl>
          <w:p w14:paraId="175C18D6">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kern w:val="2"/>
                <w:sz w:val="24"/>
                <w:szCs w:val="24"/>
                <w:highlight w:val="none"/>
                <w:lang w:val="en-US" w:eastAsia="zh-CN"/>
              </w:rPr>
            </w:pPr>
          </w:p>
        </w:tc>
      </w:tr>
      <w:tr w14:paraId="5950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25AD7E0">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31</w:t>
            </w:r>
          </w:p>
        </w:tc>
        <w:tc>
          <w:tcPr>
            <w:tcW w:w="2200" w:type="dxa"/>
            <w:vAlign w:val="center"/>
          </w:tcPr>
          <w:p w14:paraId="4D41E1B6">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在线提起询问、质疑、投诉方式</w:t>
            </w:r>
          </w:p>
        </w:tc>
        <w:tc>
          <w:tcPr>
            <w:tcW w:w="6538" w:type="dxa"/>
            <w:vAlign w:val="center"/>
          </w:tcPr>
          <w:p w14:paraId="3A2CF307">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w:t>
            </w:r>
          </w:p>
        </w:tc>
      </w:tr>
      <w:tr w14:paraId="7839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62DB7C4">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32</w:t>
            </w:r>
          </w:p>
        </w:tc>
        <w:tc>
          <w:tcPr>
            <w:tcW w:w="2200" w:type="dxa"/>
            <w:vAlign w:val="center"/>
          </w:tcPr>
          <w:p w14:paraId="048F7033">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其他注意事项</w:t>
            </w:r>
          </w:p>
        </w:tc>
        <w:tc>
          <w:tcPr>
            <w:tcW w:w="6538" w:type="dxa"/>
            <w:vAlign w:val="center"/>
          </w:tcPr>
          <w:p w14:paraId="2A8EB353">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招标文件中部分加“▲”的条款，属于招标文件的实质性要求和条件，着重提醒各投标人注意，并认真查看招标文件中的每一个条款及要求，因误读招标文件而造成的后果，采购人概不负责。</w:t>
            </w:r>
          </w:p>
        </w:tc>
      </w:tr>
      <w:tr w14:paraId="5D3F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088DF70">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33</w:t>
            </w:r>
          </w:p>
        </w:tc>
        <w:tc>
          <w:tcPr>
            <w:tcW w:w="2200" w:type="dxa"/>
            <w:vAlign w:val="center"/>
          </w:tcPr>
          <w:p w14:paraId="491E2215">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融资政策</w:t>
            </w:r>
          </w:p>
        </w:tc>
        <w:tc>
          <w:tcPr>
            <w:tcW w:w="6538" w:type="dxa"/>
            <w:vAlign w:val="center"/>
          </w:tcPr>
          <w:p w14:paraId="21406CF3">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p w14:paraId="56784472">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根据浙江省财政厅《关于坚决打赢疫情防控狙击战进一步做好政府采购资金支持发展工作的通知》（浙财采监【2020】3号）和《中国人民银行衢州市中心银行、衢州市财政局关于衢州市政府采购进一步支持中小企业质押融资的实施意见》（衢银发【2020】4号文）文件精神，各中标供应商可通过浙江政府采购网（https://zfcg.czt.zj.gov.cn/）首页的“浙江政采贷”模块进入申请，还可以通过政府采购云平台（https://www.zcygov.cn/）首页的“金融服务”模块进入申请。</w:t>
            </w:r>
          </w:p>
          <w:p w14:paraId="282072BE">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3、取得衢州市政府采购合同的供应商，均可凭政府采购合同及应收账款收益权，向银行申请质押融资。申请质押融资在合同签订后七个工作日内将合同向同级政府采购监管部门备案。</w:t>
            </w:r>
          </w:p>
        </w:tc>
      </w:tr>
      <w:tr w14:paraId="33E4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29B4AA5">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34</w:t>
            </w:r>
          </w:p>
        </w:tc>
        <w:tc>
          <w:tcPr>
            <w:tcW w:w="2200" w:type="dxa"/>
            <w:vAlign w:val="center"/>
          </w:tcPr>
          <w:p w14:paraId="131CC514">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信用查询</w:t>
            </w:r>
          </w:p>
        </w:tc>
        <w:tc>
          <w:tcPr>
            <w:tcW w:w="6538" w:type="dxa"/>
            <w:vAlign w:val="center"/>
          </w:tcPr>
          <w:p w14:paraId="6422FFAD">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根据《关于在政府采购活动中查询及使用信用记录有关问题的通知》财库[2016]125号的规定：</w:t>
            </w:r>
          </w:p>
          <w:p w14:paraId="4ECF7D57">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1）采购人或采购代理机构将对本项目投标人的信用记录进行查询。查询渠道为信用中国网站（www.creditchina.gov.cn）、中国政府采购网（www.ccgp.gov.cn）；</w:t>
            </w:r>
          </w:p>
          <w:p w14:paraId="314B36D8">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2）截止时点：提交投标文件（响应文件）截止时间前3年内；</w:t>
            </w:r>
          </w:p>
          <w:p w14:paraId="3CC8C5A5">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3）查询记录和证据的留存：信用信息查询记录和证据以网页截图等方式留存。</w:t>
            </w:r>
          </w:p>
          <w:p w14:paraId="0AABC75F">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4）使用规则：被列入失信被执行人、税收违法黑名单、政府采购严重违法失信行为记录名单及其它不符合《中华人民共和国政府采购法》第二十二条规定条件的，其投标将被拒绝。</w:t>
            </w:r>
          </w:p>
          <w:p w14:paraId="1089E7DE">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5）联合体成员任意一方存在不良信用记录的，视同联合体存在不良信用记录。（本项目不适用）</w:t>
            </w:r>
          </w:p>
        </w:tc>
      </w:tr>
      <w:tr w14:paraId="7670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7B7169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35</w:t>
            </w:r>
          </w:p>
        </w:tc>
        <w:tc>
          <w:tcPr>
            <w:tcW w:w="2200" w:type="dxa"/>
            <w:vAlign w:val="center"/>
          </w:tcPr>
          <w:p w14:paraId="2C896464">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特别提醒</w:t>
            </w:r>
          </w:p>
        </w:tc>
        <w:tc>
          <w:tcPr>
            <w:tcW w:w="6538" w:type="dxa"/>
            <w:vAlign w:val="center"/>
          </w:tcPr>
          <w:p w14:paraId="55A34954">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1.所有询标流程，均在线上完成，请各投标人务必不要离开电脑太久，并留意手机短信。（请提前检查“政采云”内，关于“项目采购”的岗位权限是否已勾选上。如有问题，请致电400-8817190）</w:t>
            </w:r>
          </w:p>
          <w:p w14:paraId="56D730C2">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2.投标人无须到开标现场，只需自备电脑在规定时间前进行在线解密文件即可。</w:t>
            </w:r>
          </w:p>
        </w:tc>
      </w:tr>
      <w:bookmarkEnd w:id="5"/>
      <w:bookmarkEnd w:id="6"/>
      <w:bookmarkEnd w:id="7"/>
      <w:bookmarkEnd w:id="8"/>
      <w:bookmarkEnd w:id="9"/>
      <w:bookmarkEnd w:id="10"/>
      <w:bookmarkEnd w:id="11"/>
    </w:tbl>
    <w:p w14:paraId="2D6D94A2">
      <w:pPr>
        <w:keepNext w:val="0"/>
        <w:keepLines w:val="0"/>
        <w:pageBreakBefore w:val="0"/>
        <w:widowControl w:val="0"/>
        <w:kinsoku/>
        <w:wordWrap/>
        <w:overflowPunct/>
        <w:topLinePunct w:val="0"/>
        <w:autoSpaceDE/>
        <w:autoSpaceDN/>
        <w:bidi w:val="0"/>
        <w:snapToGrid w:val="0"/>
        <w:spacing w:before="120" w:beforeLines="50" w:after="120" w:afterLines="50" w:line="480" w:lineRule="exact"/>
        <w:jc w:val="center"/>
        <w:textAlignment w:val="auto"/>
        <w:outlineLvl w:val="0"/>
        <w:rPr>
          <w:rFonts w:hint="eastAsia" w:ascii="宋体" w:hAnsi="宋体" w:eastAsia="宋体" w:cs="宋体"/>
          <w:b/>
          <w:color w:val="auto"/>
          <w:sz w:val="28"/>
          <w:szCs w:val="28"/>
          <w:highlight w:val="none"/>
        </w:rPr>
      </w:pPr>
      <w:bookmarkStart w:id="12" w:name="_Toc27765"/>
      <w:bookmarkStart w:id="13" w:name="_Toc9488"/>
      <w:r>
        <w:rPr>
          <w:rFonts w:hint="eastAsia" w:ascii="宋体" w:hAnsi="宋体" w:eastAsia="宋体" w:cs="宋体"/>
          <w:b/>
          <w:color w:val="auto"/>
          <w:sz w:val="28"/>
          <w:szCs w:val="28"/>
          <w:highlight w:val="none"/>
        </w:rPr>
        <w:t>第二部分、投标须知</w:t>
      </w:r>
      <w:bookmarkEnd w:id="12"/>
      <w:bookmarkEnd w:id="13"/>
    </w:p>
    <w:p w14:paraId="78288471">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rPr>
      </w:pPr>
      <w:bookmarkStart w:id="14" w:name="_Toc251566650"/>
      <w:bookmarkStart w:id="15" w:name="_Toc12000"/>
      <w:bookmarkStart w:id="16" w:name="_Toc5241"/>
      <w:bookmarkStart w:id="17" w:name="_Toc240450077"/>
      <w:bookmarkStart w:id="18" w:name="_Toc12860"/>
      <w:r>
        <w:rPr>
          <w:rFonts w:hint="eastAsia" w:ascii="宋体" w:hAnsi="宋体" w:eastAsia="宋体" w:cs="宋体"/>
          <w:b/>
          <w:bCs/>
          <w:color w:val="auto"/>
          <w:sz w:val="28"/>
          <w:szCs w:val="24"/>
          <w:highlight w:val="none"/>
        </w:rPr>
        <w:t>一、总则</w:t>
      </w:r>
      <w:bookmarkEnd w:id="14"/>
      <w:bookmarkEnd w:id="15"/>
      <w:bookmarkEnd w:id="16"/>
      <w:bookmarkEnd w:id="17"/>
      <w:bookmarkEnd w:id="18"/>
    </w:p>
    <w:p w14:paraId="2609046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本次招标工作是按照《中华人民共和国政府采购法》、《中华人民共和国政府采购法实施条例》、《政府采购货物和服务招标投标管理办法》等相关法律法规组织和实施，并接受同级政府采购监督管理部门监督。</w:t>
      </w:r>
    </w:p>
    <w:p w14:paraId="18B448FF">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1</w:t>
      </w:r>
      <w:r>
        <w:rPr>
          <w:rFonts w:hint="eastAsia" w:ascii="宋体" w:hAnsi="宋体" w:eastAsia="宋体" w:cs="宋体"/>
          <w:b/>
          <w:snapToGrid w:val="0"/>
          <w:color w:val="auto"/>
          <w:kern w:val="0"/>
          <w:sz w:val="28"/>
          <w:szCs w:val="28"/>
          <w:highlight w:val="none"/>
          <w:lang w:val="en-US" w:eastAsia="zh-CN"/>
        </w:rPr>
        <w:t>.</w:t>
      </w:r>
      <w:r>
        <w:rPr>
          <w:rFonts w:hint="eastAsia" w:ascii="宋体" w:hAnsi="宋体" w:eastAsia="宋体" w:cs="宋体"/>
          <w:b/>
          <w:snapToGrid w:val="0"/>
          <w:color w:val="auto"/>
          <w:kern w:val="0"/>
          <w:sz w:val="28"/>
          <w:szCs w:val="28"/>
          <w:highlight w:val="none"/>
        </w:rPr>
        <w:t>适用范围</w:t>
      </w:r>
    </w:p>
    <w:p w14:paraId="6BE4B41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1.1本采购文件仅适用于本次招标项目。</w:t>
      </w:r>
    </w:p>
    <w:p w14:paraId="78CDD70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1.2本项目采购方式为公开招标。</w:t>
      </w:r>
    </w:p>
    <w:p w14:paraId="4520819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1.3投标须知为招标文件的通用条款，如通用条款与前附表、采购内容及要求、合同条款等特定条款不一致的，请按特定条款执行。</w:t>
      </w:r>
    </w:p>
    <w:p w14:paraId="60701218">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2</w:t>
      </w:r>
      <w:r>
        <w:rPr>
          <w:rFonts w:hint="eastAsia" w:ascii="宋体" w:hAnsi="宋体" w:eastAsia="宋体" w:cs="宋体"/>
          <w:b/>
          <w:snapToGrid w:val="0"/>
          <w:color w:val="auto"/>
          <w:kern w:val="0"/>
          <w:sz w:val="28"/>
          <w:szCs w:val="28"/>
          <w:highlight w:val="none"/>
          <w:lang w:eastAsia="zh-CN"/>
        </w:rPr>
        <w:t>、</w:t>
      </w:r>
      <w:r>
        <w:rPr>
          <w:rFonts w:hint="eastAsia" w:ascii="宋体" w:hAnsi="宋体" w:eastAsia="宋体" w:cs="宋体"/>
          <w:b/>
          <w:snapToGrid w:val="0"/>
          <w:color w:val="auto"/>
          <w:kern w:val="0"/>
          <w:sz w:val="28"/>
          <w:szCs w:val="28"/>
          <w:highlight w:val="none"/>
        </w:rPr>
        <w:t>定义</w:t>
      </w:r>
    </w:p>
    <w:p w14:paraId="5D6DE15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2.1采购人</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snapToGrid w:val="0"/>
          <w:color w:val="auto"/>
          <w:kern w:val="0"/>
          <w:sz w:val="24"/>
          <w:szCs w:val="24"/>
          <w:highlight w:val="none"/>
          <w:u w:val="single"/>
          <w:lang w:val="en-US" w:eastAsia="zh-CN"/>
        </w:rPr>
        <w:t xml:space="preserve"> 衢州市衢江区大洲镇人民政府 </w:t>
      </w:r>
      <w:r>
        <w:rPr>
          <w:rFonts w:hint="eastAsia" w:ascii="宋体" w:hAnsi="宋体" w:eastAsia="宋体" w:cs="宋体"/>
          <w:color w:val="auto"/>
          <w:sz w:val="24"/>
          <w:szCs w:val="24"/>
          <w:highlight w:val="none"/>
        </w:rPr>
        <w:t>（合同中的甲方）</w:t>
      </w:r>
      <w:r>
        <w:rPr>
          <w:rFonts w:hint="eastAsia" w:ascii="宋体" w:hAnsi="宋体" w:eastAsia="宋体" w:cs="宋体"/>
          <w:snapToGrid w:val="0"/>
          <w:color w:val="auto"/>
          <w:kern w:val="0"/>
          <w:sz w:val="24"/>
          <w:szCs w:val="24"/>
          <w:highlight w:val="none"/>
        </w:rPr>
        <w:t>。</w:t>
      </w:r>
    </w:p>
    <w:p w14:paraId="2F5AF66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w:t>
      </w:r>
      <w:r>
        <w:rPr>
          <w:rFonts w:hint="eastAsia" w:ascii="宋体" w:hAnsi="宋体" w:eastAsia="宋体" w:cs="宋体"/>
          <w:snapToGrid w:val="0"/>
          <w:color w:val="auto"/>
          <w:kern w:val="0"/>
          <w:sz w:val="24"/>
          <w:szCs w:val="24"/>
          <w:highlight w:val="none"/>
          <w:lang w:eastAsia="zh-CN"/>
        </w:rPr>
        <w:t>招标（</w:t>
      </w:r>
      <w:r>
        <w:rPr>
          <w:rFonts w:hint="eastAsia" w:ascii="宋体" w:hAnsi="宋体" w:eastAsia="宋体" w:cs="宋体"/>
          <w:snapToGrid w:val="0"/>
          <w:color w:val="auto"/>
          <w:kern w:val="0"/>
          <w:sz w:val="24"/>
          <w:szCs w:val="24"/>
          <w:highlight w:val="none"/>
        </w:rPr>
        <w:t>采购</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代理机构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color w:val="auto"/>
          <w:sz w:val="24"/>
          <w:szCs w:val="24"/>
          <w:highlight w:val="none"/>
          <w:u w:val="single"/>
          <w:lang w:val="en-US" w:eastAsia="zh-CN"/>
        </w:rPr>
        <w:t xml:space="preserve"> 浙江天平投资咨询有限公司 </w:t>
      </w:r>
      <w:r>
        <w:rPr>
          <w:rFonts w:hint="eastAsia" w:ascii="宋体" w:hAnsi="宋体" w:eastAsia="宋体" w:cs="宋体"/>
          <w:snapToGrid w:val="0"/>
          <w:color w:val="auto"/>
          <w:kern w:val="0"/>
          <w:sz w:val="24"/>
          <w:szCs w:val="24"/>
          <w:highlight w:val="none"/>
        </w:rPr>
        <w:t>。</w:t>
      </w:r>
    </w:p>
    <w:p w14:paraId="4C4715B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2.3同级政府采购监督管理部门</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snapToGrid w:val="0"/>
          <w:color w:val="auto"/>
          <w:kern w:val="0"/>
          <w:sz w:val="24"/>
          <w:szCs w:val="24"/>
          <w:highlight w:val="none"/>
          <w:u w:val="single"/>
          <w:lang w:val="en-US" w:eastAsia="zh-CN"/>
        </w:rPr>
        <w:t xml:space="preserve"> 衢州市衢江区财政局 </w:t>
      </w:r>
      <w:r>
        <w:rPr>
          <w:rFonts w:hint="eastAsia" w:ascii="宋体" w:hAnsi="宋体" w:eastAsia="宋体" w:cs="宋体"/>
          <w:snapToGrid w:val="0"/>
          <w:color w:val="auto"/>
          <w:kern w:val="0"/>
          <w:sz w:val="24"/>
          <w:szCs w:val="24"/>
          <w:highlight w:val="none"/>
        </w:rPr>
        <w:t>。</w:t>
      </w:r>
    </w:p>
    <w:p w14:paraId="1547CE2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2.4供应商</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系指响应本次招标，参加本次投标的独立法人。</w:t>
      </w:r>
    </w:p>
    <w:p w14:paraId="31B1C32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2.5服务</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指采购文件或合同规定投标人须承担的服务以及其他类似的义务。</w:t>
      </w:r>
    </w:p>
    <w:p w14:paraId="6D336CC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2.6</w:t>
      </w:r>
      <w:r>
        <w:rPr>
          <w:rFonts w:hint="eastAsia" w:ascii="宋体" w:hAnsi="宋体" w:eastAsia="宋体" w:cs="宋体"/>
          <w:snapToGrid w:val="0"/>
          <w:color w:val="auto"/>
          <w:kern w:val="0"/>
          <w:sz w:val="24"/>
          <w:szCs w:val="24"/>
          <w:highlight w:val="none"/>
          <w:lang w:eastAsia="zh-CN"/>
        </w:rPr>
        <w:t>中标人、</w:t>
      </w:r>
      <w:r>
        <w:rPr>
          <w:rFonts w:hint="eastAsia" w:ascii="宋体" w:hAnsi="宋体" w:eastAsia="宋体" w:cs="宋体"/>
          <w:snapToGrid w:val="0"/>
          <w:color w:val="auto"/>
          <w:kern w:val="0"/>
          <w:sz w:val="24"/>
          <w:szCs w:val="24"/>
          <w:highlight w:val="none"/>
          <w:lang w:val="en-US" w:eastAsia="zh-CN"/>
        </w:rPr>
        <w:t>中标供应商</w:t>
      </w:r>
      <w:r>
        <w:rPr>
          <w:rFonts w:hint="eastAsia" w:ascii="宋体" w:hAnsi="宋体" w:eastAsia="宋体" w:cs="宋体"/>
          <w:snapToGrid w:val="0"/>
          <w:color w:val="auto"/>
          <w:kern w:val="0"/>
          <w:sz w:val="24"/>
          <w:szCs w:val="24"/>
          <w:highlight w:val="none"/>
          <w:lang w:eastAsia="zh-CN"/>
        </w:rPr>
        <w:t>：指经评审获得本项目最终合同签订资格的投标人</w:t>
      </w:r>
    </w:p>
    <w:p w14:paraId="165E083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val="zh-CN" w:eastAsia="zh-CN"/>
        </w:rPr>
        <w:t>投标人代表：指全权代表投标人参加招标活动并签署投标文件的人。本次投标的投标人代表必须是投标人的法定代表人(或负责人)或其授权委托人，如投标人代表不是法定代表人(或负责人)，须有法定代表人(或负责人)出具的授权委托书。</w:t>
      </w:r>
    </w:p>
    <w:p w14:paraId="7775206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lang w:val="zh-CN"/>
        </w:rPr>
        <w:t>联合体：指两个以上供应商组成联合体，以一个供应商的身份参加投标。</w:t>
      </w:r>
    </w:p>
    <w:p w14:paraId="310647D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lang w:val="zh-CN"/>
        </w:rPr>
        <w:t>制造商：拥有投标产品自主知识产权的单位。</w:t>
      </w:r>
    </w:p>
    <w:p w14:paraId="2CD38DC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2.10</w:t>
      </w:r>
      <w:r>
        <w:rPr>
          <w:rFonts w:hint="eastAsia" w:ascii="宋体" w:hAnsi="宋体" w:eastAsia="宋体" w:cs="宋体"/>
          <w:snapToGrid w:val="0"/>
          <w:color w:val="auto"/>
          <w:kern w:val="0"/>
          <w:sz w:val="24"/>
          <w:szCs w:val="24"/>
          <w:highlight w:val="none"/>
        </w:rPr>
        <w:t>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指供方按</w:t>
      </w:r>
      <w:r>
        <w:rPr>
          <w:rFonts w:hint="eastAsia" w:ascii="宋体" w:hAnsi="宋体" w:eastAsia="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规定，须向采购人提供的一切设备、保险、税金、备品备件、工具、手册及其它有关技术资料和材料。</w:t>
      </w:r>
    </w:p>
    <w:p w14:paraId="6742C85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2.11</w:t>
      </w:r>
      <w:r>
        <w:rPr>
          <w:rFonts w:hint="eastAsia" w:ascii="宋体" w:hAnsi="宋体" w:eastAsia="宋体" w:cs="宋体"/>
          <w:snapToGrid w:val="0"/>
          <w:color w:val="auto"/>
          <w:kern w:val="0"/>
          <w:sz w:val="24"/>
          <w:szCs w:val="24"/>
          <w:highlight w:val="none"/>
        </w:rPr>
        <w:t>项目</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指投标人按</w:t>
      </w:r>
      <w:r>
        <w:rPr>
          <w:rFonts w:hint="eastAsia" w:ascii="宋体" w:hAnsi="宋体" w:eastAsia="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规定向采购人提供的产品和服务。</w:t>
      </w:r>
    </w:p>
    <w:p w14:paraId="7F2C819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2.12</w:t>
      </w:r>
      <w:r>
        <w:rPr>
          <w:rFonts w:hint="eastAsia" w:ascii="宋体" w:hAnsi="宋体" w:eastAsia="宋体" w:cs="宋体"/>
          <w:snapToGrid w:val="0"/>
          <w:color w:val="auto"/>
          <w:kern w:val="0"/>
          <w:sz w:val="24"/>
          <w:szCs w:val="24"/>
          <w:highlight w:val="none"/>
        </w:rPr>
        <w:t>书面形式</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zh-CN"/>
        </w:rPr>
        <w:t>包括纸质文件、电子邮件、传真、信函、电报等</w:t>
      </w:r>
      <w:r>
        <w:rPr>
          <w:rFonts w:hint="eastAsia" w:ascii="宋体" w:hAnsi="宋体" w:eastAsia="宋体" w:cs="宋体"/>
          <w:snapToGrid w:val="0"/>
          <w:color w:val="auto"/>
          <w:kern w:val="0"/>
          <w:sz w:val="24"/>
          <w:szCs w:val="24"/>
          <w:highlight w:val="none"/>
        </w:rPr>
        <w:t>。</w:t>
      </w:r>
    </w:p>
    <w:p w14:paraId="6515CEA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2.</w:t>
      </w: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lang w:eastAsia="zh-CN"/>
        </w:rPr>
        <w:t>官方指定网站公示的内容视为书面告知。</w:t>
      </w:r>
    </w:p>
    <w:p w14:paraId="13CF8F7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2.14</w:t>
      </w:r>
      <w:r>
        <w:rPr>
          <w:rFonts w:hint="eastAsia" w:ascii="宋体" w:hAnsi="宋体" w:eastAsia="宋体" w:cs="宋体"/>
          <w:snapToGrid w:val="0"/>
          <w:color w:val="auto"/>
          <w:kern w:val="0"/>
          <w:sz w:val="24"/>
          <w:szCs w:val="24"/>
          <w:highlight w:val="none"/>
        </w:rPr>
        <w:t>电子签名</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指数据电文中以电子形式所含、所附用于识别签名人身份并表明签名人认可其中内容的数据；“公章”系指单位法定名称章。</w:t>
      </w:r>
    </w:p>
    <w:p w14:paraId="4BEE18B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rPr>
      </w:pPr>
      <w:r>
        <w:rPr>
          <w:rFonts w:hint="eastAsia" w:ascii="宋体" w:hAnsi="宋体" w:eastAsia="宋体" w:cs="宋体"/>
          <w:snapToGrid w:val="0"/>
          <w:color w:val="auto"/>
          <w:kern w:val="0"/>
          <w:sz w:val="24"/>
          <w:szCs w:val="24"/>
          <w:highlight w:val="none"/>
          <w:lang w:val="en-US" w:eastAsia="zh-CN"/>
        </w:rPr>
        <w:t>2.15“电子交易平台”系指本项目政府采购活动所依托的政府采购云平台（https://www.zcygov.cn/）。</w:t>
      </w:r>
    </w:p>
    <w:p w14:paraId="609A726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2.16</w:t>
      </w:r>
      <w:r>
        <w:rPr>
          <w:rFonts w:hint="eastAsia" w:ascii="宋体" w:hAnsi="宋体" w:eastAsia="宋体" w:cs="宋体"/>
          <w:snapToGrid w:val="0"/>
          <w:color w:val="auto"/>
          <w:kern w:val="0"/>
          <w:sz w:val="24"/>
          <w:szCs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0EFCA31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2.17</w:t>
      </w:r>
      <w:r>
        <w:rPr>
          <w:rFonts w:hint="eastAsia" w:ascii="宋体" w:hAnsi="宋体" w:eastAsia="宋体" w:cs="宋体"/>
          <w:snapToGrid w:val="0"/>
          <w:color w:val="auto"/>
          <w:kern w:val="0"/>
          <w:sz w:val="24"/>
          <w:szCs w:val="24"/>
          <w:highlight w:val="none"/>
          <w:lang w:val="zh-CN"/>
        </w:rPr>
        <w:t>培训：系指按招标文件规定，向采购人提供操作使用培训、系统管理培训和其他相关培训等。</w:t>
      </w:r>
    </w:p>
    <w:p w14:paraId="76BAB41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2.18</w:t>
      </w:r>
      <w:r>
        <w:rPr>
          <w:rFonts w:hint="eastAsia" w:ascii="宋体" w:hAnsi="宋体" w:eastAsia="宋体" w:cs="宋体"/>
          <w:snapToGrid w:val="0"/>
          <w:color w:val="auto"/>
          <w:kern w:val="0"/>
          <w:sz w:val="24"/>
          <w:szCs w:val="24"/>
          <w:highlight w:val="none"/>
          <w:lang w:val="zh-CN"/>
        </w:rPr>
        <w:t>实质性响应：系指投标文件符合招标文件规定的实质性内容、条件和规定。</w:t>
      </w:r>
    </w:p>
    <w:p w14:paraId="1D04136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2.19</w:t>
      </w:r>
      <w:r>
        <w:rPr>
          <w:rFonts w:hint="eastAsia" w:ascii="宋体" w:hAnsi="宋体" w:eastAsia="宋体" w:cs="宋体"/>
          <w:snapToGrid w:val="0"/>
          <w:color w:val="auto"/>
          <w:kern w:val="0"/>
          <w:sz w:val="24"/>
          <w:szCs w:val="24"/>
          <w:highlight w:val="none"/>
          <w:lang w:val="zh-CN"/>
        </w:rPr>
        <w:t>重大偏离或保留：系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0792CEF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细微偏离：系指投标文件对招标文件的非实质性内容存在不完全响应或不响应。</w:t>
      </w:r>
    </w:p>
    <w:p w14:paraId="2B144A6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2.20“</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系指实质性的要求条款。</w:t>
      </w:r>
    </w:p>
    <w:p w14:paraId="3864247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2.21“</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系指投标人应特别关注的条款。</w:t>
      </w:r>
    </w:p>
    <w:p w14:paraId="1D29D7E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2.22政府采购政府要求说明</w:t>
      </w:r>
    </w:p>
    <w:p w14:paraId="165B751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zh-CN" w:eastAsia="zh-CN" w:bidi="ar-SA"/>
        </w:rPr>
        <w:t>、▲本项目采购本国生产的货物、工程和服务，不允许采购进口产品。</w:t>
      </w:r>
    </w:p>
    <w:p w14:paraId="7FADC8B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zh-CN" w:eastAsia="zh-CN" w:bidi="ar-SA"/>
        </w:rPr>
        <w:t>、支持绿色发展</w:t>
      </w:r>
    </w:p>
    <w:p w14:paraId="36CAAB9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highlight w:val="none"/>
          <w:lang w:val="zh-CN" w:eastAsia="zh-CN"/>
        </w:rPr>
      </w:pPr>
      <w:r>
        <w:rPr>
          <w:rFonts w:hint="eastAsia" w:ascii="宋体" w:hAnsi="宋体" w:eastAsia="宋体" w:cs="宋体"/>
          <w:snapToGrid w:val="0"/>
          <w:color w:val="auto"/>
          <w:kern w:val="0"/>
          <w:sz w:val="24"/>
          <w:szCs w:val="24"/>
          <w:highlight w:val="none"/>
          <w:lang w:val="zh-CN" w:eastAsia="zh-CN" w:bidi="ar-SA"/>
        </w:rPr>
        <w:t>（</w:t>
      </w: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zh-CN" w:eastAsia="zh-CN" w:bidi="ar-SA"/>
        </w:rPr>
        <w:t>）▲节能产品的强制采购政策：【</w:t>
      </w:r>
      <w:r>
        <w:rPr>
          <w:rFonts w:hint="eastAsia" w:ascii="宋体" w:hAnsi="宋体" w:eastAsia="宋体" w:cs="宋体"/>
          <w:snapToGrid w:val="0"/>
          <w:color w:val="auto"/>
          <w:kern w:val="0"/>
          <w:sz w:val="24"/>
          <w:szCs w:val="24"/>
          <w:highlight w:val="none"/>
          <w:lang w:val="en-US" w:eastAsia="zh-CN" w:bidi="ar-SA"/>
        </w:rPr>
        <w:t>本项目不涉及强制节能产品</w:t>
      </w:r>
      <w:r>
        <w:rPr>
          <w:rFonts w:hint="eastAsia" w:ascii="宋体" w:hAnsi="宋体" w:eastAsia="宋体" w:cs="宋体"/>
          <w:snapToGrid w:val="0"/>
          <w:color w:val="auto"/>
          <w:kern w:val="0"/>
          <w:sz w:val="24"/>
          <w:szCs w:val="24"/>
          <w:highlight w:val="none"/>
          <w:lang w:val="zh-CN" w:eastAsia="zh-CN" w:bidi="ar-SA"/>
        </w:rPr>
        <w:t>】；</w:t>
      </w:r>
    </w:p>
    <w:p w14:paraId="3BF6C1A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（2）节能产品、环境标志产品的优先采购政策：【</w:t>
      </w:r>
      <w:r>
        <w:rPr>
          <w:rFonts w:hint="eastAsia" w:ascii="宋体" w:hAnsi="宋体" w:eastAsia="宋体" w:cs="宋体"/>
          <w:snapToGrid w:val="0"/>
          <w:kern w:val="0"/>
          <w:sz w:val="24"/>
          <w:szCs w:val="24"/>
          <w:highlight w:val="none"/>
          <w:lang w:val="zh-CN"/>
        </w:rPr>
        <w:t>本项目不涉及节能产品、环境标志产品</w:t>
      </w:r>
      <w:r>
        <w:rPr>
          <w:rFonts w:hint="eastAsia" w:ascii="宋体" w:hAnsi="宋体" w:eastAsia="宋体" w:cs="宋体"/>
          <w:snapToGrid w:val="0"/>
          <w:color w:val="auto"/>
          <w:kern w:val="0"/>
          <w:sz w:val="24"/>
          <w:szCs w:val="24"/>
          <w:highlight w:val="none"/>
          <w:lang w:val="zh-CN" w:eastAsia="zh-CN" w:bidi="ar-SA"/>
        </w:rPr>
        <w:t>】；</w:t>
      </w:r>
    </w:p>
    <w:p w14:paraId="35BDF1D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（3）修缮、装修类项目采购建材的，供应商应按采购文件和合同规定的绿色建筑和绿色建材性能、指标进行采购。【本项目不涉及建材】；</w:t>
      </w:r>
    </w:p>
    <w:p w14:paraId="723CE9B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本项目不涉及商品包装和快递包装】；</w:t>
      </w:r>
    </w:p>
    <w:p w14:paraId="513F785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3、支持创新发展</w:t>
      </w:r>
    </w:p>
    <w:p w14:paraId="21D3717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（1）采购人优先采购被认定为首台套产品和“制造精品”的自主创新产品。【</w:t>
      </w:r>
      <w:r>
        <w:rPr>
          <w:rFonts w:hint="eastAsia" w:ascii="宋体" w:hAnsi="宋体" w:eastAsia="宋体" w:cs="宋体"/>
          <w:snapToGrid w:val="0"/>
          <w:kern w:val="0"/>
          <w:sz w:val="24"/>
          <w:szCs w:val="24"/>
          <w:highlight w:val="none"/>
          <w:lang w:val="zh-CN"/>
        </w:rPr>
        <w:t>本项目不涉及</w:t>
      </w:r>
      <w:r>
        <w:rPr>
          <w:rFonts w:hint="eastAsia" w:ascii="宋体" w:hAnsi="宋体" w:eastAsia="宋体" w:cs="宋体"/>
          <w:snapToGrid w:val="0"/>
          <w:color w:val="auto"/>
          <w:kern w:val="0"/>
          <w:sz w:val="24"/>
          <w:szCs w:val="24"/>
          <w:highlight w:val="none"/>
          <w:lang w:val="zh-CN" w:eastAsia="zh-CN" w:bidi="ar-SA"/>
        </w:rPr>
        <w:t>】</w:t>
      </w:r>
    </w:p>
    <w:p w14:paraId="5A6E8C8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lang w:val="zh-CN" w:eastAsia="zh-CN" w:bidi="ar-SA"/>
        </w:rPr>
        <w:t>、支持中小企业发展</w:t>
      </w:r>
    </w:p>
    <w:p w14:paraId="555CA6C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（1）根据财政部、工业和信息化部关于印发《政府采购促进中小企业发展管理办法》的通知（财库〔2020〕46号）的规定</w:t>
      </w:r>
      <w:r>
        <w:rPr>
          <w:rFonts w:hint="eastAsia" w:ascii="宋体" w:hAnsi="宋体" w:eastAsia="宋体" w:cs="宋体"/>
          <w:b w:val="0"/>
          <w:bCs w:val="0"/>
          <w:snapToGrid w:val="0"/>
          <w:color w:val="auto"/>
          <w:kern w:val="0"/>
          <w:sz w:val="24"/>
          <w:szCs w:val="24"/>
          <w:highlight w:val="none"/>
          <w:u w:val="none"/>
          <w:lang w:val="zh-CN" w:eastAsia="zh-CN" w:bidi="ar-SA"/>
        </w:rPr>
        <w:t>，</w:t>
      </w:r>
      <w:r>
        <w:rPr>
          <w:rFonts w:hint="eastAsia" w:ascii="宋体" w:hAnsi="宋体" w:eastAsia="宋体" w:cs="宋体"/>
          <w:b/>
          <w:bCs/>
          <w:snapToGrid w:val="0"/>
          <w:color w:val="auto"/>
          <w:kern w:val="0"/>
          <w:sz w:val="24"/>
          <w:szCs w:val="24"/>
          <w:highlight w:val="none"/>
          <w:u w:val="single"/>
          <w:lang w:val="zh-CN" w:eastAsia="zh-CN" w:bidi="ar-SA"/>
        </w:rPr>
        <w:t>本项目</w:t>
      </w:r>
      <w:r>
        <w:rPr>
          <w:rFonts w:hint="eastAsia" w:ascii="宋体" w:hAnsi="宋体" w:eastAsia="宋体" w:cs="宋体"/>
          <w:b/>
          <w:bCs/>
          <w:snapToGrid w:val="0"/>
          <w:color w:val="auto"/>
          <w:kern w:val="0"/>
          <w:sz w:val="24"/>
          <w:szCs w:val="24"/>
          <w:highlight w:val="none"/>
          <w:u w:val="single"/>
          <w:lang w:val="en-US" w:eastAsia="zh-CN" w:bidi="ar-SA"/>
        </w:rPr>
        <w:t>属于</w:t>
      </w:r>
      <w:r>
        <w:rPr>
          <w:rFonts w:hint="eastAsia" w:ascii="宋体" w:hAnsi="宋体" w:eastAsia="宋体" w:cs="宋体"/>
          <w:b/>
          <w:bCs/>
          <w:snapToGrid w:val="0"/>
          <w:color w:val="auto"/>
          <w:kern w:val="0"/>
          <w:sz w:val="24"/>
          <w:szCs w:val="24"/>
          <w:highlight w:val="none"/>
          <w:u w:val="single"/>
          <w:lang w:val="zh-CN" w:eastAsia="zh-CN" w:bidi="ar-SA"/>
        </w:rPr>
        <w:t>预留份额专门面向</w:t>
      </w:r>
      <w:r>
        <w:rPr>
          <w:rFonts w:hint="eastAsia" w:ascii="宋体" w:hAnsi="宋体" w:eastAsia="宋体" w:cs="宋体"/>
          <w:b/>
          <w:bCs/>
          <w:snapToGrid w:val="0"/>
          <w:color w:val="auto"/>
          <w:kern w:val="0"/>
          <w:sz w:val="24"/>
          <w:szCs w:val="24"/>
          <w:highlight w:val="none"/>
          <w:u w:val="single"/>
          <w:lang w:val="en-US" w:eastAsia="zh-CN" w:bidi="ar-SA"/>
        </w:rPr>
        <w:t>中小微</w:t>
      </w:r>
      <w:r>
        <w:rPr>
          <w:rFonts w:hint="eastAsia" w:ascii="宋体" w:hAnsi="宋体" w:eastAsia="宋体" w:cs="宋体"/>
          <w:b/>
          <w:bCs/>
          <w:snapToGrid w:val="0"/>
          <w:color w:val="auto"/>
          <w:kern w:val="0"/>
          <w:sz w:val="24"/>
          <w:szCs w:val="24"/>
          <w:highlight w:val="none"/>
          <w:u w:val="single"/>
          <w:lang w:val="zh-CN" w:eastAsia="zh-CN" w:bidi="ar-SA"/>
        </w:rPr>
        <w:t>企业采购项目；对于专门面向中、小、微型企业或者监狱企业或者残疾人福利性单位的政府采购货物或服务项目或工程项目，符合资格条件的不再执行价格评审优惠的扶持政策。</w:t>
      </w:r>
    </w:p>
    <w:p w14:paraId="5B3908C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采购标的对应的中小</w:t>
      </w:r>
      <w:r>
        <w:rPr>
          <w:rFonts w:hint="eastAsia" w:ascii="宋体" w:hAnsi="宋体" w:eastAsia="宋体" w:cs="宋体"/>
          <w:snapToGrid w:val="0"/>
          <w:color w:val="auto"/>
          <w:kern w:val="0"/>
          <w:sz w:val="24"/>
          <w:szCs w:val="24"/>
          <w:highlight w:val="none"/>
          <w:lang w:val="en-US" w:eastAsia="zh-CN" w:bidi="ar-SA"/>
        </w:rPr>
        <w:t>微</w:t>
      </w:r>
      <w:r>
        <w:rPr>
          <w:rFonts w:hint="eastAsia" w:ascii="宋体" w:hAnsi="宋体" w:eastAsia="宋体" w:cs="宋体"/>
          <w:snapToGrid w:val="0"/>
          <w:color w:val="auto"/>
          <w:kern w:val="0"/>
          <w:sz w:val="24"/>
          <w:szCs w:val="24"/>
          <w:highlight w:val="none"/>
          <w:lang w:val="zh-CN" w:eastAsia="zh-CN" w:bidi="ar-SA"/>
        </w:rPr>
        <w:t>企业划分标准所属行业：</w:t>
      </w:r>
      <w:r>
        <w:rPr>
          <w:rFonts w:hint="eastAsia" w:ascii="宋体" w:hAnsi="宋体" w:eastAsia="宋体" w:cs="宋体"/>
          <w:snapToGrid w:val="0"/>
          <w:color w:val="auto"/>
          <w:kern w:val="0"/>
          <w:sz w:val="24"/>
          <w:szCs w:val="24"/>
          <w:highlight w:val="none"/>
          <w:u w:val="single"/>
          <w:lang w:val="en-US" w:eastAsia="zh-CN" w:bidi="ar-SA"/>
        </w:rPr>
        <w:t xml:space="preserve"> 租赁和商务服务业 </w:t>
      </w:r>
      <w:r>
        <w:rPr>
          <w:rFonts w:hint="eastAsia" w:ascii="宋体" w:hAnsi="宋体" w:eastAsia="宋体" w:cs="宋体"/>
          <w:snapToGrid w:val="0"/>
          <w:color w:val="auto"/>
          <w:kern w:val="0"/>
          <w:sz w:val="24"/>
          <w:szCs w:val="24"/>
          <w:highlight w:val="none"/>
          <w:u w:val="none"/>
          <w:lang w:val="en-US" w:eastAsia="zh-CN" w:bidi="ar-SA"/>
        </w:rPr>
        <w:t>行业</w:t>
      </w:r>
      <w:r>
        <w:rPr>
          <w:rFonts w:hint="eastAsia" w:ascii="宋体" w:hAnsi="宋体" w:eastAsia="宋体" w:cs="宋体"/>
          <w:snapToGrid w:val="0"/>
          <w:color w:val="auto"/>
          <w:kern w:val="0"/>
          <w:sz w:val="24"/>
          <w:szCs w:val="24"/>
          <w:highlight w:val="none"/>
          <w:lang w:val="zh-CN" w:eastAsia="zh-CN" w:bidi="ar-SA"/>
        </w:rPr>
        <w:t>；</w:t>
      </w:r>
    </w:p>
    <w:p w14:paraId="0265881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中小</w:t>
      </w:r>
      <w:r>
        <w:rPr>
          <w:rFonts w:hint="eastAsia" w:ascii="宋体" w:hAnsi="宋体" w:eastAsia="宋体" w:cs="宋体"/>
          <w:snapToGrid w:val="0"/>
          <w:color w:val="auto"/>
          <w:kern w:val="0"/>
          <w:sz w:val="24"/>
          <w:szCs w:val="24"/>
          <w:highlight w:val="none"/>
          <w:lang w:val="en-US" w:eastAsia="zh-CN" w:bidi="ar-SA"/>
        </w:rPr>
        <w:t>微</w:t>
      </w:r>
      <w:r>
        <w:rPr>
          <w:rFonts w:hint="eastAsia" w:ascii="宋体" w:hAnsi="宋体" w:eastAsia="宋体" w:cs="宋体"/>
          <w:snapToGrid w:val="0"/>
          <w:color w:val="auto"/>
          <w:kern w:val="0"/>
          <w:sz w:val="24"/>
          <w:szCs w:val="24"/>
          <w:highlight w:val="none"/>
          <w:lang w:val="zh-CN" w:eastAsia="zh-CN" w:bidi="ar-SA"/>
        </w:rPr>
        <w:t>企业划分标准：《中小企业划分标准》（工信部联企业[2011]300号）。</w:t>
      </w:r>
    </w:p>
    <w:p w14:paraId="02259AB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中</w:t>
      </w:r>
      <w:r>
        <w:rPr>
          <w:rFonts w:hint="eastAsia" w:ascii="宋体" w:hAnsi="宋体" w:eastAsia="宋体" w:cs="宋体"/>
          <w:snapToGrid w:val="0"/>
          <w:color w:val="auto"/>
          <w:kern w:val="0"/>
          <w:sz w:val="24"/>
          <w:szCs w:val="24"/>
          <w:highlight w:val="none"/>
          <w:lang w:val="zh-CN" w:eastAsia="zh-CN" w:bidi="ar-SA"/>
        </w:rPr>
        <w:t>小微企业划分标准：</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28"/>
          <w:sz w:val="24"/>
          <w:szCs w:val="24"/>
          <w:highlight w:val="none"/>
          <w:u w:val="singl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zh-CN" w:eastAsia="zh-CN" w:bidi="ar-SA"/>
        </w:rPr>
        <w:t>。</w:t>
      </w:r>
    </w:p>
    <w:p w14:paraId="0C8D7BE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2）根据财政部、司法部关于政府采购支持监狱企业发展有关问题的通知（财库〔2014〕68号）的规定，监狱企业【提供《监狱企业声明函》（格式详见第五章“应提交的有关格式范例”）及由省级以上监狱管理局、戒毒管理局（含新疆生产建设兵团）出具的属于监狱企业的证明文件】视同小型、微型企业。</w:t>
      </w:r>
    </w:p>
    <w:p w14:paraId="5CA4E08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根据财政部、民政部、中国残疾人联合会关于促进残疾人就业政府采购政策的通知（财库〔2017〕141号）的规定，残疾人福利性单位【提供《残疾人福利性单位声明函》（格式详见第五章“应提交的有关格式范例”）】视同小型、微型企业。</w:t>
      </w:r>
    </w:p>
    <w:p w14:paraId="5268B11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3</w:t>
      </w:r>
      <w:r>
        <w:rPr>
          <w:rFonts w:hint="eastAsia" w:ascii="宋体" w:hAnsi="宋体" w:eastAsia="宋体" w:cs="宋体"/>
          <w:b/>
          <w:snapToGrid w:val="0"/>
          <w:color w:val="auto"/>
          <w:kern w:val="0"/>
          <w:sz w:val="28"/>
          <w:szCs w:val="28"/>
          <w:highlight w:val="none"/>
          <w:lang w:val="en-US" w:eastAsia="zh-CN"/>
        </w:rPr>
        <w:t>.</w:t>
      </w:r>
      <w:r>
        <w:rPr>
          <w:rFonts w:hint="eastAsia" w:ascii="宋体" w:hAnsi="宋体" w:eastAsia="宋体" w:cs="宋体"/>
          <w:b/>
          <w:snapToGrid w:val="0"/>
          <w:color w:val="auto"/>
          <w:kern w:val="0"/>
          <w:sz w:val="28"/>
          <w:szCs w:val="28"/>
          <w:highlight w:val="none"/>
        </w:rPr>
        <w:t>合格的投标人及合格的投标货物和服务</w:t>
      </w:r>
    </w:p>
    <w:p w14:paraId="4090F456">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snapToGrid w:val="0"/>
          <w:color w:val="auto"/>
          <w:kern w:val="0"/>
          <w:sz w:val="28"/>
          <w:szCs w:val="28"/>
          <w:highlight w:val="none"/>
          <w:lang w:val="en-US" w:eastAsia="zh-CN"/>
        </w:rPr>
      </w:pPr>
      <w:r>
        <w:rPr>
          <w:rFonts w:hint="eastAsia" w:ascii="宋体" w:hAnsi="宋体" w:eastAsia="宋体" w:cs="宋体"/>
          <w:b/>
          <w:snapToGrid w:val="0"/>
          <w:color w:val="auto"/>
          <w:kern w:val="0"/>
          <w:sz w:val="28"/>
          <w:szCs w:val="28"/>
          <w:highlight w:val="none"/>
        </w:rPr>
        <w:t>3.1合格的投标人</w:t>
      </w:r>
      <w:r>
        <w:rPr>
          <w:rFonts w:hint="eastAsia" w:ascii="宋体" w:hAnsi="宋体" w:eastAsia="宋体" w:cs="宋体"/>
          <w:b/>
          <w:snapToGrid w:val="0"/>
          <w:color w:val="auto"/>
          <w:kern w:val="0"/>
          <w:sz w:val="28"/>
          <w:szCs w:val="28"/>
          <w:highlight w:val="none"/>
          <w:lang w:val="en-US" w:eastAsia="zh-CN"/>
        </w:rPr>
        <w:t xml:space="preserve"> </w:t>
      </w:r>
    </w:p>
    <w:p w14:paraId="1C569B0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bCs/>
          <w:color w:val="auto"/>
          <w:highlight w:val="none"/>
          <w:u w:val="single"/>
          <w:lang w:val="en-US" w:eastAsia="zh-CN"/>
        </w:rPr>
      </w:pPr>
      <w:r>
        <w:rPr>
          <w:rFonts w:hint="eastAsia" w:ascii="宋体" w:hAnsi="宋体" w:eastAsia="宋体" w:cs="宋体"/>
          <w:snapToGrid w:val="0"/>
          <w:color w:val="auto"/>
          <w:kern w:val="0"/>
          <w:sz w:val="24"/>
          <w:szCs w:val="24"/>
          <w:highlight w:val="none"/>
        </w:rPr>
        <w:t>详见采购公告</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二、申请人的资格要求</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规定的投标人必须具备的资格条件并经评标委员会审查通过的。</w:t>
      </w:r>
    </w:p>
    <w:p w14:paraId="406CF992">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3.</w:t>
      </w:r>
      <w:r>
        <w:rPr>
          <w:rFonts w:hint="eastAsia" w:ascii="宋体" w:hAnsi="宋体" w:eastAsia="宋体" w:cs="宋体"/>
          <w:b/>
          <w:bCs/>
          <w:snapToGrid w:val="0"/>
          <w:color w:val="auto"/>
          <w:kern w:val="0"/>
          <w:sz w:val="28"/>
          <w:szCs w:val="28"/>
          <w:highlight w:val="none"/>
          <w:lang w:val="en-US" w:eastAsia="zh-CN"/>
        </w:rPr>
        <w:t>2</w:t>
      </w:r>
      <w:r>
        <w:rPr>
          <w:rFonts w:hint="eastAsia" w:ascii="宋体" w:hAnsi="宋体" w:eastAsia="宋体" w:cs="宋体"/>
          <w:b/>
          <w:bCs/>
          <w:snapToGrid w:val="0"/>
          <w:color w:val="auto"/>
          <w:kern w:val="0"/>
          <w:sz w:val="28"/>
          <w:szCs w:val="28"/>
          <w:highlight w:val="none"/>
        </w:rPr>
        <w:t>对投标人的限制</w:t>
      </w:r>
    </w:p>
    <w:p w14:paraId="138712E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21249C8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.2为本项目提供过整体设计、规范编制或者项目管理、监理、检测等服务的供应商，不得再参加该采购项目的其他采购活动（不包括为该项目提供整体设计、规范编制或者项目管理、监理、检测等服务）；</w:t>
      </w:r>
    </w:p>
    <w:p w14:paraId="04A4CDF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.3以联合体形式参加政府采购活动的，联合体各方不得再单独参加或者与其他供应商另外组成联合体参加同一合同项下的政府采购活动；</w:t>
      </w:r>
    </w:p>
    <w:p w14:paraId="188359F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.4为证明投标人拥有的业绩、荣誉、知识产权、项目案例等而在投标文件中提供的证明材料必须为供应商自身所有。不同法人、其他组织的资料与供应商无关。</w:t>
      </w:r>
    </w:p>
    <w:p w14:paraId="54F6D8A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.5在政府采购活动中，采购人员及相关人员与供应商有下列利害关系之一的，应当回避：</w:t>
      </w:r>
    </w:p>
    <w:p w14:paraId="6C600B0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）参加采购活动前3年内与供应商存在劳动关系；</w:t>
      </w:r>
    </w:p>
    <w:p w14:paraId="323470F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）参加采购活动前3年内担任供应商的董事、监事；</w:t>
      </w:r>
    </w:p>
    <w:p w14:paraId="53F562D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）参加采购活动前3年内是供应商的控股股东或者实际控制人；</w:t>
      </w:r>
    </w:p>
    <w:p w14:paraId="2B96C4C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）与供应商的法定代表人或者负责人有夫妻、直系血亲、三代以内旁系血亲或者近姻亲关系；</w:t>
      </w:r>
    </w:p>
    <w:p w14:paraId="72DD203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）法定代表人或负责人或实际控制人存在股份控制或实际控制关系；</w:t>
      </w:r>
    </w:p>
    <w:p w14:paraId="109F71C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）存在共同直接或间接投资设立子公司、联营企业和合营企业情况；</w:t>
      </w:r>
    </w:p>
    <w:p w14:paraId="11622FF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）存在分级代理或代销关系、同一生产制造商关系、管理关系、重要业务（占主营业务收入 50%以 上）或重要财务往来关系（如融资）等其他实质性控制关系；</w:t>
      </w:r>
    </w:p>
    <w:p w14:paraId="6862B96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与供应商有其他可能影响政府采购活动公平、公正进行的关系。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C7E7AE">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4.</w:t>
      </w:r>
      <w:r>
        <w:rPr>
          <w:rFonts w:hint="eastAsia" w:ascii="宋体" w:hAnsi="宋体" w:eastAsia="宋体" w:cs="宋体"/>
          <w:b/>
          <w:snapToGrid w:val="0"/>
          <w:color w:val="auto"/>
          <w:kern w:val="0"/>
          <w:sz w:val="28"/>
          <w:szCs w:val="28"/>
          <w:highlight w:val="none"/>
        </w:rPr>
        <w:t>相关说明</w:t>
      </w:r>
    </w:p>
    <w:p w14:paraId="0A995B9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见本须知“前附表”，同时还需注意以下事项：</w:t>
      </w:r>
    </w:p>
    <w:p w14:paraId="0006CDE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.1投标费用</w:t>
      </w:r>
    </w:p>
    <w:p w14:paraId="671D0C6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供应商应承担其参加投标所涉及的一切费用，不管投标结果如何，采购人对这些费用不负任何责任。</w:t>
      </w:r>
    </w:p>
    <w:p w14:paraId="0F5A1E8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应仔细阅读采购文件的所有内容，按照采购文件的要求提交投标文件。投标文件应对采购文件的要求作出实质性响应，并对所提供的全部资料的真实性承担法律责任。</w:t>
      </w:r>
    </w:p>
    <w:p w14:paraId="049221C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4.3供应商投标所使用的资格、信誉、荣誉、业绩与企业认证必须为本法人所拥有。供应商投标拟派项目实施人员必须为本法人员工。</w:t>
      </w:r>
    </w:p>
    <w:p w14:paraId="03825D8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4.4供应商应仔细阅读采购文件的所有内容，按照采购文件的要求提交投标文件，并对所提供的全部资料的真实性承担法律责任。</w:t>
      </w:r>
    </w:p>
    <w:p w14:paraId="562F52D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4.5▲投标人对所投标项内的采购内容必须全部进行投标。</w:t>
      </w:r>
    </w:p>
    <w:p w14:paraId="16F2E8B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4.6不论采购人、招标代理机构向投标人发送的资料文件，还是投标人提出的问题，均采用书面形式，任何口头提问及答复一律无效。</w:t>
      </w:r>
    </w:p>
    <w:p w14:paraId="1007BAF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4.7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4BC37E2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4.8▲投标人应保证所投产品整体或其任一部分，均免受第三方提出的侵犯其专利权、商标权、著作权或其他知识产权的起诉。投标人应承担由此可能产生的一切法律责任和费用。</w:t>
      </w:r>
    </w:p>
    <w:p w14:paraId="3977E9F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在投标活动中提供任何虚假材料,其投标无效，并报监管部门查处；中标后发现的,按《政府采购货物和服务招标投标管理办法》（财政部令第87号）相关规定承担相应的法律责任。</w:t>
      </w:r>
    </w:p>
    <w:p w14:paraId="5058A374">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lang w:val="en-US" w:eastAsia="zh-CN"/>
        </w:rPr>
      </w:pPr>
      <w:r>
        <w:rPr>
          <w:rFonts w:hint="eastAsia" w:ascii="宋体" w:hAnsi="宋体" w:eastAsia="宋体" w:cs="宋体"/>
          <w:b/>
          <w:snapToGrid w:val="0"/>
          <w:color w:val="auto"/>
          <w:kern w:val="0"/>
          <w:sz w:val="28"/>
          <w:szCs w:val="28"/>
          <w:highlight w:val="none"/>
          <w:lang w:val="en-US" w:eastAsia="zh-CN"/>
        </w:rPr>
        <w:t>5.保密</w:t>
      </w:r>
    </w:p>
    <w:p w14:paraId="7D29CC2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参与招标投标活动的各方应对招标文件和投标文件中的商业和技术等秘密保密，违者应对此造成的后果承担法律责任。</w:t>
      </w:r>
    </w:p>
    <w:p w14:paraId="7A21D658">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rPr>
      </w:pPr>
      <w:bookmarkStart w:id="19" w:name="_Toc240450078"/>
      <w:bookmarkStart w:id="20" w:name="_Toc251566651"/>
      <w:bookmarkStart w:id="21" w:name="_Toc18941"/>
      <w:bookmarkStart w:id="22" w:name="_Toc27862"/>
      <w:bookmarkStart w:id="23" w:name="_Toc4927"/>
      <w:r>
        <w:rPr>
          <w:rFonts w:hint="eastAsia" w:ascii="宋体" w:hAnsi="宋体" w:eastAsia="宋体" w:cs="宋体"/>
          <w:b/>
          <w:bCs/>
          <w:color w:val="auto"/>
          <w:sz w:val="28"/>
          <w:szCs w:val="24"/>
          <w:highlight w:val="none"/>
        </w:rPr>
        <w:t>二、</w:t>
      </w:r>
      <w:bookmarkEnd w:id="19"/>
      <w:bookmarkEnd w:id="20"/>
      <w:r>
        <w:rPr>
          <w:rFonts w:hint="eastAsia" w:ascii="宋体" w:hAnsi="宋体" w:eastAsia="宋体" w:cs="宋体"/>
          <w:b/>
          <w:bCs/>
          <w:color w:val="auto"/>
          <w:sz w:val="28"/>
          <w:szCs w:val="24"/>
          <w:highlight w:val="none"/>
        </w:rPr>
        <w:t>采购文件</w:t>
      </w:r>
      <w:bookmarkEnd w:id="21"/>
      <w:bookmarkEnd w:id="22"/>
      <w:bookmarkEnd w:id="23"/>
    </w:p>
    <w:p w14:paraId="32A794B4">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6.</w:t>
      </w:r>
      <w:r>
        <w:rPr>
          <w:rFonts w:hint="eastAsia" w:ascii="宋体" w:hAnsi="宋体" w:eastAsia="宋体" w:cs="宋体"/>
          <w:b/>
          <w:snapToGrid w:val="0"/>
          <w:color w:val="auto"/>
          <w:kern w:val="0"/>
          <w:sz w:val="28"/>
          <w:szCs w:val="28"/>
          <w:highlight w:val="none"/>
        </w:rPr>
        <w:t>采购文件构成</w:t>
      </w:r>
    </w:p>
    <w:p w14:paraId="2272A6E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.1本采购文件包括目录所示内容及所有按本须知第6、7条发出的补充资料。</w:t>
      </w:r>
    </w:p>
    <w:p w14:paraId="28ABAB0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.2除上述所列内容外，采购人和采购代理机构的任何工作人员对供应商所作的任何口头解释、介绍、答复，只能供供应商参考，对采购人、采购代理机构和供应商无任何约束力。</w:t>
      </w:r>
    </w:p>
    <w:p w14:paraId="0512421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.3采购文件是招标过程进行的有效依据，也是成交后签订合同的依据，对双方均具有约束力，凡不遵守采购文件规定或对采购文件的实质性内容不响应的，将可能被拒绝或以无效标处理。</w:t>
      </w:r>
    </w:p>
    <w:p w14:paraId="5D98BCF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.4本采购文件由采购人或采购代理机构依据相关法律、法规、规章、省市规定及采购文件进行解释。</w:t>
      </w:r>
    </w:p>
    <w:p w14:paraId="702E8672">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7.</w:t>
      </w:r>
      <w:r>
        <w:rPr>
          <w:rFonts w:hint="eastAsia" w:ascii="宋体" w:hAnsi="宋体" w:eastAsia="宋体" w:cs="宋体"/>
          <w:b/>
          <w:snapToGrid w:val="0"/>
          <w:color w:val="auto"/>
          <w:kern w:val="0"/>
          <w:sz w:val="28"/>
          <w:szCs w:val="28"/>
          <w:highlight w:val="none"/>
        </w:rPr>
        <w:t>采购文件的澄清</w:t>
      </w:r>
    </w:p>
    <w:p w14:paraId="6AC24E8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在获取采购文件后，若有问题需要澄清或认为有必要与采购人进行技术交流，应于投标截止时间前，将问题发电子邮件至</w:t>
      </w:r>
      <w:r>
        <w:rPr>
          <w:rFonts w:hint="eastAsia" w:ascii="宋体" w:hAnsi="宋体" w:eastAsia="宋体" w:cs="宋体"/>
          <w:snapToGrid w:val="0"/>
          <w:color w:val="auto"/>
          <w:kern w:val="0"/>
          <w:sz w:val="24"/>
          <w:szCs w:val="24"/>
          <w:highlight w:val="none"/>
          <w:u w:val="single"/>
          <w:lang w:val="en-US" w:eastAsia="zh-CN"/>
        </w:rPr>
        <w:t xml:space="preserve"> 915482302@qq.com </w:t>
      </w:r>
      <w:r>
        <w:rPr>
          <w:rFonts w:hint="eastAsia" w:ascii="宋体" w:hAnsi="宋体" w:eastAsia="宋体" w:cs="宋体"/>
          <w:snapToGrid w:val="0"/>
          <w:color w:val="auto"/>
          <w:kern w:val="0"/>
          <w:sz w:val="24"/>
          <w:szCs w:val="24"/>
          <w:highlight w:val="none"/>
        </w:rPr>
        <w:t>（电子邮件与书面文件有不一致的，以书面文件为准）。截止期后的疑问将不予受理、答复。</w:t>
      </w:r>
    </w:p>
    <w:p w14:paraId="2837A2B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要求解释或澄清的问题应以书面形式送达，并加盖公章、写明日期。</w:t>
      </w:r>
    </w:p>
    <w:p w14:paraId="5F645A8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.3所有要求解释或澄清的问题都予以解答，答疑内容与补充内容以更正（澄清）公告形式告知所有</w:t>
      </w:r>
      <w:r>
        <w:rPr>
          <w:rFonts w:hint="eastAsia" w:ascii="宋体" w:hAnsi="宋体" w:eastAsia="宋体" w:cs="宋体"/>
          <w:snapToGrid w:val="0"/>
          <w:color w:val="auto"/>
          <w:kern w:val="0"/>
          <w:sz w:val="24"/>
          <w:szCs w:val="24"/>
          <w:highlight w:val="none"/>
          <w:lang w:val="en-US" w:eastAsia="zh-CN"/>
        </w:rPr>
        <w:t>获取</w:t>
      </w:r>
      <w:r>
        <w:rPr>
          <w:rFonts w:hint="eastAsia" w:ascii="宋体" w:hAnsi="宋体" w:eastAsia="宋体" w:cs="宋体"/>
          <w:snapToGrid w:val="0"/>
          <w:color w:val="auto"/>
          <w:kern w:val="0"/>
          <w:sz w:val="24"/>
          <w:szCs w:val="24"/>
          <w:highlight w:val="none"/>
        </w:rPr>
        <w:t>采购文件的供应商。</w:t>
      </w:r>
    </w:p>
    <w:p w14:paraId="76C22031">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8.</w:t>
      </w:r>
      <w:r>
        <w:rPr>
          <w:rFonts w:hint="eastAsia" w:ascii="宋体" w:hAnsi="宋体" w:eastAsia="宋体" w:cs="宋体"/>
          <w:b/>
          <w:snapToGrid w:val="0"/>
          <w:color w:val="auto"/>
          <w:kern w:val="0"/>
          <w:sz w:val="28"/>
          <w:szCs w:val="28"/>
          <w:highlight w:val="none"/>
        </w:rPr>
        <w:t>采购文件的修改</w:t>
      </w:r>
    </w:p>
    <w:p w14:paraId="7FCB9F8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14:paraId="10D279D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.2采购文件的修改将以更正（澄清）公告通知所有获取采购文件的供应商，并对其具有约束力。供应商</w:t>
      </w:r>
      <w:r>
        <w:rPr>
          <w:rFonts w:hint="eastAsia" w:ascii="宋体" w:hAnsi="宋体" w:eastAsia="宋体" w:cs="宋体"/>
          <w:color w:val="auto"/>
          <w:sz w:val="24"/>
          <w:szCs w:val="24"/>
          <w:highlight w:val="none"/>
        </w:rPr>
        <w:t>应及时关注浙江政府采购网上该项目的公告信息</w:t>
      </w:r>
      <w:r>
        <w:rPr>
          <w:rFonts w:hint="eastAsia" w:ascii="宋体" w:hAnsi="宋体" w:eastAsia="宋体" w:cs="宋体"/>
          <w:snapToGrid w:val="0"/>
          <w:color w:val="auto"/>
          <w:kern w:val="0"/>
          <w:sz w:val="24"/>
          <w:szCs w:val="24"/>
          <w:highlight w:val="none"/>
        </w:rPr>
        <w:t>。</w:t>
      </w:r>
    </w:p>
    <w:p w14:paraId="552A914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.3在更正（澄清）公告发布后，如果供应商认为编制投标文件的时间不充分的，必须在公告发布之日的24小时内通知采购人和采购代理机构。否则，视同供应商有充足时间编制投标文件。</w:t>
      </w:r>
    </w:p>
    <w:p w14:paraId="2EFF425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.4采购文件澄清、答复、修改、补充的内容为采购文件的组成部分。当采购文件与采购文件的答复、澄清、修改、补充通知就同一内容的表述不一致时，以最后发出的更正（澄清）公告为准。</w:t>
      </w:r>
    </w:p>
    <w:p w14:paraId="60E6DA5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采购文件的澄清、答复、修改或补充都应该通过本代理机构以法定形式发布，除此以外的发布不属于采购文件的组成部分。</w:t>
      </w:r>
    </w:p>
    <w:p w14:paraId="0E0EF545">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rPr>
      </w:pPr>
      <w:bookmarkStart w:id="24" w:name="_Toc22768"/>
      <w:bookmarkStart w:id="25" w:name="_Toc240450079"/>
      <w:bookmarkStart w:id="26" w:name="_Toc15075"/>
      <w:bookmarkStart w:id="27" w:name="_Toc31368"/>
      <w:bookmarkStart w:id="28" w:name="_Toc251566652"/>
      <w:r>
        <w:rPr>
          <w:rFonts w:hint="eastAsia" w:ascii="宋体" w:hAnsi="宋体" w:eastAsia="宋体" w:cs="宋体"/>
          <w:b/>
          <w:bCs/>
          <w:color w:val="auto"/>
          <w:sz w:val="28"/>
          <w:szCs w:val="24"/>
          <w:highlight w:val="none"/>
        </w:rPr>
        <w:t>三、投标文件的编制</w:t>
      </w:r>
      <w:bookmarkEnd w:id="24"/>
      <w:bookmarkEnd w:id="25"/>
      <w:bookmarkEnd w:id="26"/>
      <w:bookmarkEnd w:id="27"/>
      <w:bookmarkEnd w:id="28"/>
    </w:p>
    <w:p w14:paraId="33C23CEF">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14:paraId="3AEDC0AD">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snapToGrid w:val="0"/>
          <w:color w:val="auto"/>
          <w:kern w:val="0"/>
          <w:sz w:val="24"/>
          <w:szCs w:val="24"/>
          <w:highlight w:val="none"/>
          <w:lang w:val="en-US" w:eastAsia="zh-CN" w:bidi="ar-SA"/>
        </w:rPr>
      </w:pPr>
      <w:r>
        <w:rPr>
          <w:rFonts w:hint="eastAsia" w:ascii="宋体" w:hAnsi="宋体" w:eastAsia="宋体" w:cs="宋体"/>
          <w:b/>
          <w:snapToGrid w:val="0"/>
          <w:color w:val="auto"/>
          <w:kern w:val="0"/>
          <w:sz w:val="24"/>
          <w:szCs w:val="24"/>
          <w:highlight w:val="none"/>
          <w:lang w:val="en-US" w:eastAsia="zh-CN" w:bidi="ar-SA"/>
        </w:rPr>
        <w:t>投标人应确保所提供投标文件资料的有效性和真实性，所有文件资料必须是针对本次投标的。如发现投标人在投标活动中提供虚假文件资料，其投标无效，并报监管部门查处；中标后发现的，中标人还须按照《中华人民共和国消费者权益保护法》第49条之规定双倍赔偿采购人，且民事赔偿并不免除违法投标人的行政与刑事责任。</w:t>
      </w:r>
    </w:p>
    <w:p w14:paraId="659B6DB5">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9.</w:t>
      </w:r>
      <w:r>
        <w:rPr>
          <w:rFonts w:hint="eastAsia" w:ascii="宋体" w:hAnsi="宋体" w:eastAsia="宋体" w:cs="宋体"/>
          <w:b/>
          <w:snapToGrid w:val="0"/>
          <w:color w:val="auto"/>
          <w:kern w:val="0"/>
          <w:sz w:val="28"/>
          <w:szCs w:val="28"/>
          <w:highlight w:val="none"/>
        </w:rPr>
        <w:t>投标文件的语言、计量单位、形式及效力</w:t>
      </w:r>
    </w:p>
    <w:p w14:paraId="2602ED23">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9</w:t>
      </w:r>
      <w:r>
        <w:rPr>
          <w:rFonts w:hint="eastAsia" w:ascii="宋体" w:hAnsi="宋体" w:eastAsia="宋体" w:cs="宋体"/>
          <w:b/>
          <w:snapToGrid w:val="0"/>
          <w:color w:val="auto"/>
          <w:kern w:val="0"/>
          <w:sz w:val="24"/>
          <w:szCs w:val="24"/>
          <w:highlight w:val="none"/>
        </w:rPr>
        <w:t>.1语言及计量单位</w:t>
      </w:r>
    </w:p>
    <w:p w14:paraId="2EF988B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1.1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14:paraId="7B7E013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.1.2除采购文件另有规定外，投标文件所使用的计量单位，均须采用中华人民共和国法定计量单位，否则视同未响应。</w:t>
      </w:r>
    </w:p>
    <w:p w14:paraId="1A50A885">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10.</w:t>
      </w:r>
      <w:r>
        <w:rPr>
          <w:rFonts w:hint="eastAsia" w:ascii="宋体" w:hAnsi="宋体" w:eastAsia="宋体" w:cs="宋体"/>
          <w:b/>
          <w:snapToGrid w:val="0"/>
          <w:color w:val="auto"/>
          <w:kern w:val="0"/>
          <w:sz w:val="28"/>
          <w:szCs w:val="28"/>
          <w:highlight w:val="none"/>
        </w:rPr>
        <w:t>投标文件构成</w:t>
      </w:r>
    </w:p>
    <w:p w14:paraId="49AC6E17">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供应商向采购人递交的投标文件均由</w:t>
      </w:r>
      <w:r>
        <w:rPr>
          <w:rFonts w:hint="eastAsia" w:ascii="宋体" w:hAnsi="宋体" w:eastAsia="宋体" w:cs="宋体"/>
          <w:b/>
          <w:bCs/>
          <w:snapToGrid w:val="0"/>
          <w:color w:val="auto"/>
          <w:kern w:val="0"/>
          <w:sz w:val="24"/>
          <w:szCs w:val="24"/>
          <w:highlight w:val="none"/>
        </w:rPr>
        <w:t>资格审查文件、商务技术文件、报价文件</w:t>
      </w:r>
      <w:r>
        <w:rPr>
          <w:rFonts w:hint="eastAsia" w:ascii="宋体" w:hAnsi="宋体" w:eastAsia="宋体" w:cs="宋体"/>
          <w:snapToGrid w:val="0"/>
          <w:color w:val="auto"/>
          <w:kern w:val="0"/>
          <w:sz w:val="24"/>
          <w:szCs w:val="24"/>
          <w:highlight w:val="none"/>
        </w:rPr>
        <w:t>组成，具体内容如下：</w:t>
      </w:r>
    </w:p>
    <w:p w14:paraId="43C92507">
      <w:pPr>
        <w:pStyle w:val="10"/>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rPr>
        <w:t>12.1资格审查文件</w:t>
      </w:r>
    </w:p>
    <w:tbl>
      <w:tblPr>
        <w:tblStyle w:val="19"/>
        <w:tblW w:w="963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369"/>
        <w:gridCol w:w="5533"/>
      </w:tblGrid>
      <w:tr w14:paraId="3222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top"/>
          </w:tcPr>
          <w:p w14:paraId="164E579F">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b/>
                <w:color w:val="auto"/>
                <w:sz w:val="24"/>
                <w:szCs w:val="24"/>
                <w:highlight w:val="none"/>
              </w:rPr>
            </w:pPr>
            <w:bookmarkStart w:id="29" w:name="_Toc16764"/>
            <w:r>
              <w:rPr>
                <w:rFonts w:hint="eastAsia" w:ascii="宋体" w:hAnsi="宋体" w:eastAsia="宋体" w:cs="宋体"/>
                <w:b/>
                <w:color w:val="auto"/>
                <w:sz w:val="24"/>
                <w:szCs w:val="24"/>
                <w:highlight w:val="none"/>
              </w:rPr>
              <w:t>序号</w:t>
            </w:r>
          </w:p>
        </w:tc>
        <w:tc>
          <w:tcPr>
            <w:tcW w:w="8902" w:type="dxa"/>
            <w:gridSpan w:val="2"/>
            <w:noWrap w:val="0"/>
            <w:vAlign w:val="top"/>
          </w:tcPr>
          <w:p w14:paraId="1308C8A4">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2F8F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noWrap w:val="0"/>
            <w:vAlign w:val="center"/>
          </w:tcPr>
          <w:p w14:paraId="740F7714">
            <w:pPr>
              <w:keepNext w:val="0"/>
              <w:keepLines w:val="0"/>
              <w:pageBreakBefore w:val="0"/>
              <w:kinsoku/>
              <w:wordWrap/>
              <w:overflowPunct w:val="0"/>
              <w:topLinePunct w:val="0"/>
              <w:bidi w:val="0"/>
              <w:spacing w:before="60" w:after="60" w:line="5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▲资格</w:t>
            </w:r>
            <w:r>
              <w:rPr>
                <w:rFonts w:hint="eastAsia" w:ascii="宋体" w:hAnsi="宋体" w:eastAsia="宋体" w:cs="宋体"/>
                <w:b/>
                <w:color w:val="auto"/>
                <w:sz w:val="24"/>
                <w:szCs w:val="24"/>
                <w:highlight w:val="none"/>
                <w:u w:val="single"/>
                <w:lang w:val="en-US" w:eastAsia="zh-CN"/>
              </w:rPr>
              <w:t>审查</w:t>
            </w:r>
            <w:r>
              <w:rPr>
                <w:rFonts w:hint="eastAsia" w:ascii="宋体" w:hAnsi="宋体" w:eastAsia="宋体" w:cs="宋体"/>
                <w:b/>
                <w:color w:val="auto"/>
                <w:sz w:val="24"/>
                <w:szCs w:val="24"/>
                <w:highlight w:val="none"/>
                <w:u w:val="single"/>
              </w:rPr>
              <w:t>文件（强制性要求，供应商</w:t>
            </w:r>
            <w:r>
              <w:rPr>
                <w:rFonts w:hint="eastAsia" w:ascii="宋体" w:hAnsi="宋体" w:eastAsia="宋体" w:cs="宋体"/>
                <w:b/>
                <w:color w:val="auto"/>
                <w:sz w:val="24"/>
                <w:szCs w:val="24"/>
                <w:highlight w:val="none"/>
                <w:u w:val="single"/>
                <w:lang w:val="zh-CN"/>
              </w:rPr>
              <w:t>须按以下要求提供资格</w:t>
            </w:r>
            <w:r>
              <w:rPr>
                <w:rFonts w:hint="eastAsia" w:ascii="宋体" w:hAnsi="宋体" w:eastAsia="宋体" w:cs="宋体"/>
                <w:b/>
                <w:color w:val="auto"/>
                <w:sz w:val="24"/>
                <w:szCs w:val="24"/>
                <w:highlight w:val="none"/>
                <w:u w:val="single"/>
                <w:lang w:val="en-US" w:eastAsia="zh-CN"/>
              </w:rPr>
              <w:t>审查</w:t>
            </w:r>
            <w:r>
              <w:rPr>
                <w:rFonts w:hint="eastAsia" w:ascii="宋体" w:hAnsi="宋体" w:eastAsia="宋体" w:cs="宋体"/>
                <w:b/>
                <w:color w:val="auto"/>
                <w:sz w:val="24"/>
                <w:szCs w:val="24"/>
                <w:highlight w:val="none"/>
                <w:u w:val="single"/>
                <w:lang w:val="zh-CN"/>
              </w:rPr>
              <w:t>文件，否则资格性审查不通过的，责任自负</w:t>
            </w:r>
            <w:r>
              <w:rPr>
                <w:rFonts w:hint="eastAsia" w:ascii="宋体" w:hAnsi="宋体" w:eastAsia="宋体" w:cs="宋体"/>
                <w:b/>
                <w:color w:val="auto"/>
                <w:sz w:val="24"/>
                <w:szCs w:val="24"/>
                <w:highlight w:val="none"/>
                <w:u w:val="single"/>
              </w:rPr>
              <w:t>）</w:t>
            </w:r>
          </w:p>
        </w:tc>
      </w:tr>
      <w:tr w14:paraId="3ACB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30A22A06">
            <w:pPr>
              <w:keepNext w:val="0"/>
              <w:keepLines w:val="0"/>
              <w:pageBreakBefore w:val="0"/>
              <w:kinsoku/>
              <w:wordWrap/>
              <w:overflowPunct w:val="0"/>
              <w:topLinePunct w:val="0"/>
              <w:bidi w:val="0"/>
              <w:spacing w:before="60" w:after="60"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69" w:type="dxa"/>
            <w:noWrap w:val="0"/>
            <w:vAlign w:val="center"/>
          </w:tcPr>
          <w:p w14:paraId="28BDF008">
            <w:pPr>
              <w:spacing w:before="60" w:after="60" w:line="500" w:lineRule="exact"/>
              <w:ind w:firstLine="482" w:firstLineChars="200"/>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sz w:val="24"/>
                <w:highlight w:val="none"/>
              </w:rPr>
              <w:t>符合参加政府采购活动应当具备的一般条件的承诺函</w:t>
            </w:r>
          </w:p>
        </w:tc>
        <w:tc>
          <w:tcPr>
            <w:tcW w:w="5533" w:type="dxa"/>
            <w:noWrap w:val="0"/>
            <w:vAlign w:val="center"/>
          </w:tcPr>
          <w:p w14:paraId="73042F1B">
            <w:pPr>
              <w:spacing w:before="60" w:after="60" w:line="500" w:lineRule="exact"/>
              <w:ind w:firstLine="480" w:firstLineChars="200"/>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0"/>
                <w:sz w:val="24"/>
                <w:highlight w:val="none"/>
              </w:rPr>
              <w:t>供应商须在</w:t>
            </w:r>
            <w:r>
              <w:rPr>
                <w:rFonts w:hint="eastAsia" w:ascii="宋体" w:hAnsi="宋体" w:eastAsia="宋体" w:cs="宋体"/>
                <w:color w:val="auto"/>
                <w:kern w:val="0"/>
                <w:sz w:val="24"/>
                <w:highlight w:val="none"/>
                <w:lang w:val="en-US" w:eastAsia="zh-CN"/>
              </w:rPr>
              <w:t>投标文件</w:t>
            </w:r>
            <w:r>
              <w:rPr>
                <w:rFonts w:hint="eastAsia" w:ascii="宋体" w:hAnsi="宋体" w:eastAsia="宋体" w:cs="宋体"/>
                <w:color w:val="auto"/>
                <w:kern w:val="0"/>
                <w:sz w:val="24"/>
                <w:highlight w:val="none"/>
              </w:rPr>
              <w:t>中出具符合参加政府采购活动应当具备的一般条件的承诺函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详见第五章应提交的有关格式范例</w:t>
            </w:r>
            <w:r>
              <w:rPr>
                <w:rFonts w:hint="eastAsia" w:ascii="宋体" w:hAnsi="宋体" w:eastAsia="宋体" w:cs="宋体"/>
                <w:color w:val="auto"/>
                <w:sz w:val="24"/>
                <w:highlight w:val="none"/>
              </w:rPr>
              <w:t>）</w:t>
            </w:r>
          </w:p>
        </w:tc>
      </w:tr>
      <w:tr w14:paraId="35EF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7F2EFDEF">
            <w:pPr>
              <w:keepNext w:val="0"/>
              <w:keepLines w:val="0"/>
              <w:pageBreakBefore w:val="0"/>
              <w:kinsoku/>
              <w:wordWrap/>
              <w:overflowPunct w:val="0"/>
              <w:topLinePunct w:val="0"/>
              <w:bidi w:val="0"/>
              <w:spacing w:before="60" w:after="60" w:line="500" w:lineRule="exact"/>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369" w:type="dxa"/>
            <w:noWrap w:val="0"/>
            <w:vAlign w:val="center"/>
          </w:tcPr>
          <w:p w14:paraId="2799300D">
            <w:pPr>
              <w:keepNext w:val="0"/>
              <w:keepLines w:val="0"/>
              <w:pageBreakBefore w:val="0"/>
              <w:kinsoku/>
              <w:wordWrap/>
              <w:overflowPunct/>
              <w:topLinePunct w:val="0"/>
              <w:bidi w:val="0"/>
              <w:spacing w:before="60" w:after="60" w:line="40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具有独立承担民事责任的能力</w:t>
            </w:r>
            <w:r>
              <w:rPr>
                <w:rFonts w:hint="eastAsia" w:ascii="宋体" w:hAnsi="宋体" w:eastAsia="宋体" w:cs="宋体"/>
                <w:b/>
                <w:bCs/>
                <w:color w:val="auto"/>
                <w:sz w:val="24"/>
                <w:szCs w:val="24"/>
                <w:highlight w:val="none"/>
                <w:lang w:val="en-US" w:eastAsia="zh-CN"/>
              </w:rPr>
              <w:t>证明材料</w:t>
            </w:r>
          </w:p>
        </w:tc>
        <w:tc>
          <w:tcPr>
            <w:tcW w:w="5533" w:type="dxa"/>
            <w:noWrap w:val="0"/>
            <w:vAlign w:val="center"/>
          </w:tcPr>
          <w:p w14:paraId="4EB82D7D">
            <w:pPr>
              <w:keepNext w:val="0"/>
              <w:keepLines w:val="0"/>
              <w:pageBreakBefore w:val="0"/>
              <w:widowControl w:val="0"/>
              <w:kinsoku/>
              <w:wordWrap/>
              <w:overflowPunct/>
              <w:topLinePunct w:val="0"/>
              <w:autoSpaceDE/>
              <w:autoSpaceDN/>
              <w:bidi w:val="0"/>
              <w:adjustRightInd/>
              <w:snapToGrid/>
              <w:spacing w:before="60" w:after="60" w:line="4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有效的法人或者其他组织的营业执照等证明文件，自然人的身份证明；</w:t>
            </w:r>
          </w:p>
        </w:tc>
      </w:tr>
      <w:tr w14:paraId="2D7D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70D74E4D">
            <w:pPr>
              <w:keepNext w:val="0"/>
              <w:keepLines w:val="0"/>
              <w:pageBreakBefore w:val="0"/>
              <w:kinsoku/>
              <w:wordWrap/>
              <w:overflowPunct w:val="0"/>
              <w:topLinePunct w:val="0"/>
              <w:bidi w:val="0"/>
              <w:spacing w:before="60" w:after="60" w:line="500" w:lineRule="exact"/>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369" w:type="dxa"/>
            <w:noWrap w:val="0"/>
            <w:vAlign w:val="center"/>
          </w:tcPr>
          <w:p w14:paraId="0986F200">
            <w:pPr>
              <w:keepNext w:val="0"/>
              <w:keepLines w:val="0"/>
              <w:pageBreakBefore w:val="0"/>
              <w:kinsoku/>
              <w:wordWrap/>
              <w:overflowPunct/>
              <w:topLinePunct w:val="0"/>
              <w:bidi w:val="0"/>
              <w:spacing w:before="60" w:after="60"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落实政府采购政策需满足的资格要求</w:t>
            </w:r>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val="zh-CN"/>
              </w:rPr>
              <w:t>：（1）本项目属于【租赁和商务服务业】行业，要求供应商为</w:t>
            </w:r>
            <w:r>
              <w:rPr>
                <w:rFonts w:hint="eastAsia" w:ascii="宋体" w:hAnsi="宋体" w:eastAsia="宋体" w:cs="宋体"/>
                <w:b/>
                <w:bCs/>
                <w:color w:val="auto"/>
                <w:sz w:val="24"/>
                <w:szCs w:val="24"/>
                <w:highlight w:val="none"/>
                <w:lang w:eastAsia="zh-CN"/>
              </w:rPr>
              <w:t>中小</w:t>
            </w:r>
            <w:r>
              <w:rPr>
                <w:rFonts w:hint="eastAsia" w:ascii="宋体" w:hAnsi="宋体" w:eastAsia="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lang w:eastAsia="zh-CN"/>
              </w:rPr>
              <w:t>企业</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中小</w:t>
            </w:r>
            <w:r>
              <w:rPr>
                <w:rFonts w:hint="eastAsia" w:ascii="宋体" w:hAnsi="宋体" w:eastAsia="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lang w:val="zh-CN"/>
              </w:rPr>
              <w:t>企业是指满足《政府采购促进中小企业发展管理办法》（财库〔2020〕46号）第二条规定的企业。监狱企业、残疾人福利性单位视为</w:t>
            </w:r>
            <w:r>
              <w:rPr>
                <w:rFonts w:hint="eastAsia" w:ascii="宋体" w:hAnsi="宋体" w:eastAsia="宋体" w:cs="宋体"/>
                <w:b/>
                <w:bCs/>
                <w:color w:val="auto"/>
                <w:sz w:val="24"/>
                <w:szCs w:val="24"/>
                <w:highlight w:val="none"/>
              </w:rPr>
              <w:t>小微</w:t>
            </w:r>
            <w:r>
              <w:rPr>
                <w:rFonts w:hint="eastAsia" w:ascii="宋体" w:hAnsi="宋体" w:eastAsia="宋体" w:cs="宋体"/>
                <w:b/>
                <w:bCs/>
                <w:color w:val="auto"/>
                <w:sz w:val="24"/>
                <w:szCs w:val="24"/>
                <w:highlight w:val="none"/>
                <w:lang w:val="zh-CN"/>
              </w:rPr>
              <w:t>企业。供应商需上传《中小企业声明函》等。</w:t>
            </w:r>
          </w:p>
        </w:tc>
        <w:tc>
          <w:tcPr>
            <w:tcW w:w="5533" w:type="dxa"/>
            <w:noWrap w:val="0"/>
            <w:vAlign w:val="center"/>
          </w:tcPr>
          <w:p w14:paraId="6894DA7F">
            <w:pPr>
              <w:pStyle w:val="3"/>
              <w:kinsoku/>
              <w:wordWrap/>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供应商</w:t>
            </w:r>
            <w:r>
              <w:rPr>
                <w:rFonts w:hint="eastAsia" w:ascii="宋体" w:hAnsi="宋体" w:eastAsia="宋体" w:cs="宋体"/>
                <w:sz w:val="24"/>
                <w:szCs w:val="24"/>
                <w:highlight w:val="none"/>
                <w:lang w:val="zh-CN"/>
              </w:rPr>
              <w:t>须在</w:t>
            </w:r>
            <w:r>
              <w:rPr>
                <w:rFonts w:hint="eastAsia" w:ascii="宋体" w:hAnsi="宋体" w:eastAsia="宋体" w:cs="宋体"/>
                <w:kern w:val="0"/>
                <w:sz w:val="24"/>
                <w:szCs w:val="24"/>
                <w:highlight w:val="none"/>
              </w:rPr>
              <w:t>投标文件中</w:t>
            </w:r>
            <w:r>
              <w:rPr>
                <w:rFonts w:hint="eastAsia" w:ascii="宋体" w:hAnsi="宋体" w:eastAsia="宋体" w:cs="宋体"/>
                <w:sz w:val="24"/>
                <w:szCs w:val="24"/>
                <w:highlight w:val="none"/>
                <w:lang w:val="zh-CN"/>
              </w:rPr>
              <w:t>出具中小企业声明函/监狱企业声明函及其相关的充分的证明材料/残疾人福利性单位声明函</w:t>
            </w:r>
            <w:r>
              <w:rPr>
                <w:rFonts w:hint="eastAsia" w:ascii="宋体" w:hAnsi="宋体" w:eastAsia="宋体" w:cs="宋体"/>
                <w:sz w:val="24"/>
                <w:szCs w:val="24"/>
                <w:highlight w:val="none"/>
              </w:rPr>
              <w:t>（详见第五章应提交的有关格式范例）；</w:t>
            </w:r>
          </w:p>
          <w:p w14:paraId="36D238F1">
            <w:pPr>
              <w:keepNext w:val="0"/>
              <w:keepLines w:val="0"/>
              <w:pageBreakBefore w:val="0"/>
              <w:widowControl w:val="0"/>
              <w:kinsoku/>
              <w:wordWrap/>
              <w:overflowPunct/>
              <w:topLinePunct w:val="0"/>
              <w:autoSpaceDE/>
              <w:autoSpaceDN/>
              <w:bidi w:val="0"/>
              <w:adjustRightInd/>
              <w:snapToGrid/>
              <w:spacing w:before="60" w:after="60" w:line="400" w:lineRule="exact"/>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sz w:val="24"/>
                <w:szCs w:val="24"/>
                <w:highlight w:val="none"/>
                <w:u w:val="single"/>
              </w:rPr>
              <w:t>供应商在填写声明函前，须先自查本企业是否满足</w:t>
            </w:r>
            <w:r>
              <w:rPr>
                <w:rFonts w:hint="eastAsia" w:ascii="宋体" w:hAnsi="宋体" w:eastAsia="宋体" w:cs="宋体"/>
                <w:b/>
                <w:bCs/>
                <w:sz w:val="24"/>
                <w:szCs w:val="24"/>
                <w:highlight w:val="none"/>
                <w:u w:val="single"/>
                <w:lang w:eastAsia="zh-CN"/>
              </w:rPr>
              <w:t>中小</w:t>
            </w:r>
            <w:r>
              <w:rPr>
                <w:rFonts w:hint="eastAsia" w:ascii="宋体" w:hAnsi="宋体" w:eastAsia="宋体" w:cs="宋体"/>
                <w:b/>
                <w:bCs/>
                <w:sz w:val="24"/>
                <w:szCs w:val="24"/>
                <w:highlight w:val="none"/>
                <w:u w:val="single"/>
                <w:lang w:val="en-US" w:eastAsia="zh-CN"/>
              </w:rPr>
              <w:t>微</w:t>
            </w:r>
            <w:r>
              <w:rPr>
                <w:rFonts w:hint="eastAsia" w:ascii="宋体" w:hAnsi="宋体" w:eastAsia="宋体" w:cs="宋体"/>
                <w:b/>
                <w:bCs/>
                <w:sz w:val="24"/>
                <w:szCs w:val="24"/>
                <w:highlight w:val="none"/>
                <w:u w:val="single"/>
                <w:lang w:eastAsia="zh-CN"/>
              </w:rPr>
              <w:t>企业</w:t>
            </w:r>
            <w:r>
              <w:rPr>
                <w:rFonts w:hint="eastAsia" w:ascii="宋体" w:hAnsi="宋体" w:eastAsia="宋体" w:cs="宋体"/>
                <w:b/>
                <w:bCs/>
                <w:sz w:val="24"/>
                <w:szCs w:val="24"/>
                <w:highlight w:val="none"/>
                <w:u w:val="single"/>
              </w:rPr>
              <w:t>认定标准（可通过国务院客户端和工业和信息化部网站上的自测小程序进行自查）。</w:t>
            </w:r>
          </w:p>
        </w:tc>
      </w:tr>
      <w:tr w14:paraId="0E8D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68F4A31B">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369" w:type="dxa"/>
            <w:noWrap w:val="0"/>
            <w:vAlign w:val="center"/>
          </w:tcPr>
          <w:p w14:paraId="7AAE8F36">
            <w:pPr>
              <w:pStyle w:val="3"/>
              <w:keepNext w:val="0"/>
              <w:keepLines w:val="0"/>
              <w:pageBreakBefore w:val="0"/>
              <w:kinsoku/>
              <w:wordWrap/>
              <w:overflowPunct/>
              <w:topLinePunct w:val="0"/>
              <w:bidi w:val="0"/>
              <w:spacing w:line="40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根据《关于规范政府采购供应商资格设定及资格审查的通知》（浙财采监[2013]24 号）第6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tc>
        <w:tc>
          <w:tcPr>
            <w:tcW w:w="5533" w:type="dxa"/>
            <w:noWrap w:val="0"/>
            <w:vAlign w:val="center"/>
          </w:tcPr>
          <w:p w14:paraId="5F2C4DE1">
            <w:pPr>
              <w:pStyle w:val="3"/>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1、属于此种情形的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除资格要求应提供资料外。还应提供以下资料：（1）金融、保险、通讯等特定行业的全国性企业所设立的区域性分支机构提供总公司（总机构）授权；（2）个体工商户、个人独资企业、合伙企业应提供房产权证或其他有效财产证明材料。</w:t>
            </w:r>
          </w:p>
          <w:p w14:paraId="2EA33D99">
            <w:pPr>
              <w:pStyle w:val="3"/>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2、不属于此种情况的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提供以下资料：企业类型的声明函（详见第五章应提交的有关格式范例）。</w:t>
            </w:r>
          </w:p>
        </w:tc>
      </w:tr>
      <w:tr w14:paraId="3CB8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1C70D012">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369" w:type="dxa"/>
            <w:noWrap w:val="0"/>
            <w:vAlign w:val="center"/>
          </w:tcPr>
          <w:p w14:paraId="460DA0AD">
            <w:pPr>
              <w:pStyle w:val="3"/>
              <w:keepNext w:val="0"/>
              <w:keepLines w:val="0"/>
              <w:pageBreakBefore w:val="0"/>
              <w:kinsoku/>
              <w:wordWrap/>
              <w:overflowPunct/>
              <w:topLinePunct w:val="0"/>
              <w:bidi w:val="0"/>
              <w:spacing w:line="40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不是公益一类事业单位、使用事业编制且由财政拨款保障的群团组织证明材料</w:t>
            </w:r>
          </w:p>
        </w:tc>
        <w:tc>
          <w:tcPr>
            <w:tcW w:w="5533" w:type="dxa"/>
            <w:noWrap w:val="0"/>
            <w:vAlign w:val="center"/>
          </w:tcPr>
          <w:p w14:paraId="291EA26B">
            <w:pPr>
              <w:pStyle w:val="3"/>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单位组织形式声明函（详见第五章应提交的有关格式范例）</w:t>
            </w:r>
          </w:p>
        </w:tc>
      </w:tr>
      <w:tr w14:paraId="7768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464FC089">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369" w:type="dxa"/>
            <w:noWrap w:val="0"/>
            <w:vAlign w:val="center"/>
          </w:tcPr>
          <w:p w14:paraId="0051EC23">
            <w:pPr>
              <w:pStyle w:val="3"/>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特定资格要求</w:t>
            </w:r>
            <w:r>
              <w:rPr>
                <w:rFonts w:hint="eastAsia" w:ascii="宋体" w:hAnsi="宋体" w:eastAsia="宋体" w:cs="宋体"/>
                <w:color w:val="auto"/>
                <w:sz w:val="24"/>
                <w:szCs w:val="24"/>
                <w:highlight w:val="none"/>
                <w:lang w:val="en-US" w:eastAsia="zh-CN"/>
              </w:rPr>
              <w:t>证明材料</w:t>
            </w:r>
          </w:p>
        </w:tc>
        <w:tc>
          <w:tcPr>
            <w:tcW w:w="5533" w:type="dxa"/>
            <w:noWrap w:val="0"/>
            <w:vAlign w:val="center"/>
          </w:tcPr>
          <w:p w14:paraId="3A99881B">
            <w:pPr>
              <w:pStyle w:val="3"/>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有效的房地产估价机构资质等级三级（或以上）证书</w:t>
            </w:r>
          </w:p>
        </w:tc>
      </w:tr>
      <w:tr w14:paraId="7681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30C84C21">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902" w:type="dxa"/>
            <w:gridSpan w:val="2"/>
            <w:noWrap w:val="0"/>
            <w:vAlign w:val="center"/>
          </w:tcPr>
          <w:p w14:paraId="3A8AE996">
            <w:pPr>
              <w:pStyle w:val="3"/>
              <w:keepNext w:val="0"/>
              <w:keepLines w:val="0"/>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认为需要在资格审查文件里说明的其他材料（如有）</w:t>
            </w:r>
          </w:p>
        </w:tc>
      </w:tr>
      <w:bookmarkEnd w:id="29"/>
    </w:tbl>
    <w:p w14:paraId="0154C3F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sz w:val="24"/>
          <w:szCs w:val="24"/>
          <w:highlight w:val="none"/>
        </w:rPr>
        <w:t>注：上述资格条件审查材料有一项不提供的，视为资格审查不通过,不进入后续评审。</w:t>
      </w:r>
    </w:p>
    <w:p w14:paraId="4793FF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outlineLvl w:val="2"/>
        <w:rPr>
          <w:rFonts w:hint="eastAsia" w:ascii="宋体" w:hAnsi="宋体" w:eastAsia="宋体" w:cs="宋体"/>
          <w:b/>
          <w:color w:val="auto"/>
          <w:sz w:val="24"/>
          <w:szCs w:val="24"/>
          <w:highlight w:val="none"/>
        </w:rPr>
      </w:pPr>
      <w:bookmarkStart w:id="30" w:name="_Toc11990"/>
      <w:r>
        <w:rPr>
          <w:rFonts w:hint="eastAsia" w:ascii="宋体" w:hAnsi="宋体" w:eastAsia="宋体" w:cs="宋体"/>
          <w:b/>
          <w:color w:val="auto"/>
          <w:sz w:val="24"/>
          <w:szCs w:val="24"/>
          <w:highlight w:val="none"/>
          <w:lang w:val="en-US" w:eastAsia="zh-CN"/>
        </w:rPr>
        <w:t>12.2</w:t>
      </w:r>
      <w:r>
        <w:rPr>
          <w:rFonts w:hint="eastAsia" w:ascii="宋体" w:hAnsi="宋体" w:eastAsia="宋体" w:cs="宋体"/>
          <w:b/>
          <w:color w:val="auto"/>
          <w:sz w:val="24"/>
          <w:szCs w:val="24"/>
          <w:highlight w:val="none"/>
        </w:rPr>
        <w:t>商务技术文件</w:t>
      </w:r>
      <w:bookmarkEnd w:id="30"/>
    </w:p>
    <w:tbl>
      <w:tblPr>
        <w:tblStyle w:val="19"/>
        <w:tblW w:w="96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8526"/>
      </w:tblGrid>
      <w:tr w14:paraId="7CD1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2B192E3D">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526" w:type="dxa"/>
            <w:noWrap w:val="0"/>
            <w:vAlign w:val="center"/>
          </w:tcPr>
          <w:p w14:paraId="03990B3B">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2D41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79EF0587">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p>
        </w:tc>
        <w:tc>
          <w:tcPr>
            <w:tcW w:w="8526" w:type="dxa"/>
            <w:noWrap w:val="0"/>
            <w:vAlign w:val="center"/>
          </w:tcPr>
          <w:p w14:paraId="2DEB0A3F">
            <w:pPr>
              <w:keepNext w:val="0"/>
              <w:keepLines w:val="0"/>
              <w:pageBreakBefore w:val="0"/>
              <w:kinsoku/>
              <w:wordWrap/>
              <w:topLinePunct w:val="0"/>
              <w:bidi w:val="0"/>
              <w:spacing w:line="50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自评表</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19B8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466D6D1D">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tc>
        <w:tc>
          <w:tcPr>
            <w:tcW w:w="8526" w:type="dxa"/>
            <w:noWrap w:val="0"/>
            <w:vAlign w:val="center"/>
          </w:tcPr>
          <w:p w14:paraId="7A0BE5CC">
            <w:pPr>
              <w:keepNext w:val="0"/>
              <w:keepLines w:val="0"/>
              <w:pageBreakBefore w:val="0"/>
              <w:kinsoku/>
              <w:wordWrap/>
              <w:topLinePunct w:val="0"/>
              <w:bidi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投标函</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5418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5B6C5EED">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tc>
        <w:tc>
          <w:tcPr>
            <w:tcW w:w="8526" w:type="dxa"/>
            <w:noWrap w:val="0"/>
            <w:vAlign w:val="center"/>
          </w:tcPr>
          <w:p w14:paraId="34A1649B">
            <w:pPr>
              <w:keepNext w:val="0"/>
              <w:keepLines w:val="0"/>
              <w:pageBreakBefore w:val="0"/>
              <w:kinsoku/>
              <w:wordWrap/>
              <w:topLinePunct w:val="0"/>
              <w:bidi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b w:val="0"/>
                <w:bCs/>
                <w:color w:val="auto"/>
                <w:sz w:val="24"/>
                <w:szCs w:val="24"/>
                <w:highlight w:val="none"/>
                <w:u w:val="single"/>
              </w:rPr>
              <w:t>法定代表人</w:t>
            </w:r>
            <w:r>
              <w:rPr>
                <w:rFonts w:hint="eastAsia" w:ascii="宋体" w:hAnsi="宋体" w:eastAsia="宋体" w:cs="宋体"/>
                <w:b w:val="0"/>
                <w:bCs/>
                <w:color w:val="auto"/>
                <w:sz w:val="24"/>
                <w:szCs w:val="24"/>
                <w:highlight w:val="none"/>
                <w:u w:val="single"/>
                <w:lang w:val="en-US" w:eastAsia="zh-CN"/>
              </w:rPr>
              <w:t>(或负责人)</w:t>
            </w:r>
            <w:r>
              <w:rPr>
                <w:rFonts w:hint="eastAsia" w:ascii="宋体" w:hAnsi="宋体" w:eastAsia="宋体" w:cs="宋体"/>
                <w:b w:val="0"/>
                <w:bCs/>
                <w:color w:val="auto"/>
                <w:sz w:val="24"/>
                <w:szCs w:val="24"/>
                <w:highlight w:val="none"/>
                <w:u w:val="single"/>
              </w:rPr>
              <w:t>资格证明书及法定代表人</w:t>
            </w:r>
            <w:r>
              <w:rPr>
                <w:rFonts w:hint="eastAsia" w:ascii="宋体" w:hAnsi="宋体" w:eastAsia="宋体" w:cs="宋体"/>
                <w:b w:val="0"/>
                <w:bCs/>
                <w:color w:val="auto"/>
                <w:sz w:val="24"/>
                <w:szCs w:val="24"/>
                <w:highlight w:val="none"/>
                <w:u w:val="single"/>
                <w:lang w:val="en-US" w:eastAsia="zh-CN"/>
              </w:rPr>
              <w:t>(或负责人)</w:t>
            </w:r>
            <w:r>
              <w:rPr>
                <w:rFonts w:hint="eastAsia" w:ascii="宋体" w:hAnsi="宋体" w:eastAsia="宋体" w:cs="宋体"/>
                <w:b w:val="0"/>
                <w:bCs/>
                <w:color w:val="auto"/>
                <w:sz w:val="24"/>
                <w:szCs w:val="24"/>
                <w:highlight w:val="none"/>
                <w:u w:val="single"/>
              </w:rPr>
              <w:t>授权书</w:t>
            </w:r>
            <w:r>
              <w:rPr>
                <w:rFonts w:hint="eastAsia" w:ascii="宋体" w:hAnsi="宋体" w:eastAsia="宋体" w:cs="宋体"/>
                <w:b/>
                <w:bCs w:val="0"/>
                <w:color w:val="auto"/>
                <w:sz w:val="24"/>
                <w:szCs w:val="24"/>
                <w:highlight w:val="none"/>
                <w:u w:val="single"/>
              </w:rPr>
              <w:t>（法定代表人</w:t>
            </w:r>
            <w:r>
              <w:rPr>
                <w:rFonts w:hint="eastAsia" w:ascii="宋体" w:hAnsi="宋体" w:eastAsia="宋体" w:cs="宋体"/>
                <w:b/>
                <w:bCs w:val="0"/>
                <w:color w:val="auto"/>
                <w:sz w:val="24"/>
                <w:szCs w:val="24"/>
                <w:highlight w:val="none"/>
                <w:u w:val="single"/>
                <w:lang w:val="en-US" w:eastAsia="zh-CN"/>
              </w:rPr>
              <w:t>或负责人</w:t>
            </w:r>
            <w:r>
              <w:rPr>
                <w:rFonts w:hint="eastAsia" w:ascii="宋体" w:hAnsi="宋体" w:eastAsia="宋体" w:cs="宋体"/>
                <w:b/>
                <w:bCs w:val="0"/>
                <w:color w:val="auto"/>
                <w:sz w:val="24"/>
                <w:szCs w:val="24"/>
                <w:highlight w:val="none"/>
                <w:u w:val="single"/>
              </w:rPr>
              <w:t>直接参加投标并对相应文件签字的，只需提供前者）</w:t>
            </w:r>
            <w:r>
              <w:rPr>
                <w:rFonts w:hint="eastAsia" w:ascii="宋体" w:hAnsi="宋体" w:eastAsia="宋体" w:cs="宋体"/>
                <w:b w:val="0"/>
                <w:bCs/>
                <w:color w:val="auto"/>
                <w:sz w:val="24"/>
                <w:szCs w:val="24"/>
                <w:highlight w:val="none"/>
                <w:u w:val="single"/>
              </w:rPr>
              <w:t>，同时须附法定代表人</w:t>
            </w:r>
            <w:r>
              <w:rPr>
                <w:rFonts w:hint="eastAsia" w:ascii="宋体" w:hAnsi="宋体" w:eastAsia="宋体" w:cs="宋体"/>
                <w:b w:val="0"/>
                <w:bCs/>
                <w:color w:val="auto"/>
                <w:sz w:val="24"/>
                <w:szCs w:val="24"/>
                <w:highlight w:val="none"/>
                <w:u w:val="single"/>
                <w:lang w:val="en-US" w:eastAsia="zh-CN"/>
              </w:rPr>
              <w:t>(或负责人)</w:t>
            </w:r>
            <w:r>
              <w:rPr>
                <w:rFonts w:hint="eastAsia" w:ascii="宋体" w:hAnsi="宋体" w:eastAsia="宋体" w:cs="宋体"/>
                <w:b w:val="0"/>
                <w:bCs/>
                <w:color w:val="auto"/>
                <w:sz w:val="24"/>
                <w:szCs w:val="24"/>
                <w:highlight w:val="none"/>
                <w:u w:val="single"/>
              </w:rPr>
              <w:t>和授权委托代表的有效身份证复印件；</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7AAA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7F059633">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526" w:type="dxa"/>
            <w:noWrap w:val="0"/>
            <w:vAlign w:val="center"/>
          </w:tcPr>
          <w:p w14:paraId="5A033F6B">
            <w:pPr>
              <w:keepNext w:val="0"/>
              <w:keepLines w:val="0"/>
              <w:pageBreakBefore w:val="0"/>
              <w:kinsoku/>
              <w:wordWrap/>
              <w:topLinePunct w:val="0"/>
              <w:bidi w:val="0"/>
              <w:spacing w:line="500" w:lineRule="exact"/>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u w:val="single"/>
              </w:rPr>
              <w:t>▲</w:t>
            </w:r>
            <w:r>
              <w:rPr>
                <w:rFonts w:hint="eastAsia" w:ascii="宋体" w:hAnsi="宋体" w:eastAsia="宋体" w:cs="宋体"/>
                <w:b w:val="0"/>
                <w:bCs/>
                <w:color w:val="auto"/>
                <w:sz w:val="24"/>
                <w:szCs w:val="24"/>
                <w:highlight w:val="none"/>
                <w:u w:val="none"/>
                <w:lang w:val="en-US" w:eastAsia="zh-CN"/>
              </w:rPr>
              <w:t>拟派项目服务团队人员一览表（详见第五章应提交的有关格式范例）</w:t>
            </w:r>
          </w:p>
        </w:tc>
      </w:tr>
      <w:tr w14:paraId="1584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128A7971">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526" w:type="dxa"/>
            <w:noWrap w:val="0"/>
            <w:vAlign w:val="center"/>
          </w:tcPr>
          <w:p w14:paraId="5D2332EE">
            <w:pPr>
              <w:keepNext w:val="0"/>
              <w:keepLines w:val="0"/>
              <w:pageBreakBefore w:val="0"/>
              <w:kinsoku/>
              <w:wordWrap/>
              <w:topLinePunct w:val="0"/>
              <w:bidi w:val="0"/>
              <w:spacing w:line="5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偏离表</w:t>
            </w:r>
            <w:r>
              <w:rPr>
                <w:rFonts w:hint="eastAsia" w:ascii="宋体" w:hAnsi="宋体" w:eastAsia="宋体" w:cs="宋体"/>
                <w:b w:val="0"/>
                <w:bCs w:val="0"/>
                <w:color w:val="auto"/>
                <w:sz w:val="24"/>
                <w:szCs w:val="24"/>
                <w:highlight w:val="none"/>
                <w:lang w:val="en-US" w:eastAsia="zh-CN"/>
              </w:rPr>
              <w:t>（详见第五章应提交的有关格式范例）</w:t>
            </w:r>
          </w:p>
        </w:tc>
      </w:tr>
      <w:tr w14:paraId="4EE9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4" w:type="dxa"/>
            <w:gridSpan w:val="2"/>
            <w:noWrap w:val="0"/>
            <w:vAlign w:val="center"/>
          </w:tcPr>
          <w:p w14:paraId="6B545625">
            <w:pPr>
              <w:keepNext w:val="0"/>
              <w:keepLines w:val="0"/>
              <w:pageBreakBefore w:val="0"/>
              <w:kinsoku/>
              <w:wordWrap/>
              <w:topLinePunct w:val="0"/>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说明：以下</w:t>
            </w:r>
            <w:r>
              <w:rPr>
                <w:rFonts w:hint="eastAsia" w:ascii="宋体" w:hAnsi="宋体" w:eastAsia="宋体" w:cs="宋体"/>
                <w:b/>
                <w:color w:val="auto"/>
                <w:sz w:val="24"/>
                <w:szCs w:val="24"/>
                <w:highlight w:val="none"/>
                <w:lang w:val="en-US" w:eastAsia="zh-CN"/>
              </w:rPr>
              <w:t>第6</w:t>
            </w:r>
            <w:r>
              <w:rPr>
                <w:rFonts w:hint="eastAsia" w:ascii="宋体" w:hAnsi="宋体" w:eastAsia="宋体" w:cs="宋体"/>
                <w:b/>
                <w:color w:val="auto"/>
                <w:sz w:val="24"/>
                <w:szCs w:val="24"/>
                <w:highlight w:val="none"/>
              </w:rPr>
              <w:t>）项附件格式仅供</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参考使用，该部分内容为商务技术评分内容，非强质性要求，供应商应</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第六章评标办法及开标程序</w:t>
            </w:r>
            <w:r>
              <w:rPr>
                <w:rFonts w:hint="eastAsia" w:ascii="宋体" w:hAnsi="宋体" w:eastAsia="宋体" w:cs="宋体"/>
                <w:color w:val="auto"/>
                <w:sz w:val="24"/>
                <w:szCs w:val="24"/>
                <w:highlight w:val="none"/>
              </w:rPr>
              <w:t>“评分细则”中“评分标准”的相应要求编制或提供，未按要求编制相关内容或未按要求提供相关证明材料可能对供应商产生不利影响。</w:t>
            </w:r>
          </w:p>
        </w:tc>
      </w:tr>
      <w:tr w14:paraId="7E59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2CA9C8E7">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p>
        </w:tc>
        <w:tc>
          <w:tcPr>
            <w:tcW w:w="8526" w:type="dxa"/>
            <w:noWrap w:val="0"/>
            <w:vAlign w:val="center"/>
          </w:tcPr>
          <w:p w14:paraId="44367DD2">
            <w:pPr>
              <w:keepNext w:val="0"/>
              <w:keepLines w:val="0"/>
              <w:pageBreakBefore w:val="0"/>
              <w:kinsoku/>
              <w:wordWrap/>
              <w:topLinePunct w:val="0"/>
              <w:bidi w:val="0"/>
              <w:adjustRightInd w:val="0"/>
              <w:snapToGrid w:val="0"/>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rPr>
              <w:t>认为需要在商务技术文件里说明的</w:t>
            </w:r>
            <w:r>
              <w:rPr>
                <w:rFonts w:hint="eastAsia" w:ascii="宋体" w:hAnsi="宋体" w:eastAsia="宋体" w:cs="宋体"/>
                <w:snapToGrid w:val="0"/>
                <w:color w:val="auto"/>
                <w:kern w:val="0"/>
                <w:sz w:val="24"/>
                <w:szCs w:val="24"/>
                <w:highlight w:val="none"/>
              </w:rPr>
              <w:t>其他材料</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如有</w:t>
            </w:r>
            <w:r>
              <w:rPr>
                <w:rFonts w:hint="eastAsia" w:ascii="宋体" w:hAnsi="宋体" w:eastAsia="宋体" w:cs="宋体"/>
                <w:snapToGrid w:val="0"/>
                <w:color w:val="auto"/>
                <w:kern w:val="0"/>
                <w:sz w:val="24"/>
                <w:szCs w:val="24"/>
                <w:highlight w:val="none"/>
                <w:lang w:eastAsia="zh-CN"/>
              </w:rPr>
              <w:t>）</w:t>
            </w:r>
          </w:p>
        </w:tc>
      </w:tr>
    </w:tbl>
    <w:p w14:paraId="61AEF94C">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rPr>
      </w:pPr>
      <w:bookmarkStart w:id="31" w:name="_Toc221356886"/>
      <w:r>
        <w:rPr>
          <w:rFonts w:hint="eastAsia" w:ascii="宋体" w:hAnsi="宋体" w:eastAsia="宋体" w:cs="宋体"/>
          <w:b/>
          <w:color w:val="auto"/>
          <w:sz w:val="24"/>
          <w:szCs w:val="24"/>
          <w:highlight w:val="none"/>
        </w:rPr>
        <w:t>说明：</w:t>
      </w:r>
    </w:p>
    <w:p w14:paraId="628DFF26">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供应商可根据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文件中的技术规格书以及评分细则，提供供应商认为需要提供的文件和资料。</w:t>
      </w:r>
    </w:p>
    <w:p w14:paraId="1C262BC4">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left="0" w:firstLine="4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所提供的技术资料的所有权归供应商所有。如若发生第三方侵权事件，其侵权责任与采购人及采购代理机构无关，由供应商承担全部责任。侵权造成的所有相关费用，均由供应商支付，保证不伤害采购人的利益。</w:t>
      </w:r>
    </w:p>
    <w:bookmarkEnd w:id="31"/>
    <w:p w14:paraId="28E9AFA6">
      <w:pPr>
        <w:keepNext w:val="0"/>
        <w:keepLines w:val="0"/>
        <w:pageBreakBefore w:val="0"/>
        <w:widowControl w:val="0"/>
        <w:kinsoku/>
        <w:wordWrap/>
        <w:overflowPunct/>
        <w:topLinePunct w:val="0"/>
        <w:autoSpaceDE/>
        <w:autoSpaceDN/>
        <w:bidi w:val="0"/>
        <w:adjustRightInd/>
        <w:spacing w:line="500" w:lineRule="exact"/>
        <w:jc w:val="center"/>
        <w:textAlignment w:val="auto"/>
        <w:outlineLvl w:val="2"/>
        <w:rPr>
          <w:rFonts w:hint="eastAsia" w:ascii="宋体" w:hAnsi="宋体" w:eastAsia="宋体" w:cs="宋体"/>
          <w:b/>
          <w:color w:val="auto"/>
          <w:sz w:val="24"/>
          <w:szCs w:val="24"/>
          <w:highlight w:val="none"/>
        </w:rPr>
      </w:pPr>
      <w:bookmarkStart w:id="32" w:name="_Toc7255"/>
      <w:r>
        <w:rPr>
          <w:rFonts w:hint="eastAsia" w:ascii="宋体" w:hAnsi="宋体" w:eastAsia="宋体" w:cs="宋体"/>
          <w:b/>
          <w:color w:val="auto"/>
          <w:sz w:val="24"/>
          <w:szCs w:val="24"/>
          <w:highlight w:val="none"/>
          <w:lang w:val="en-US" w:eastAsia="zh-CN"/>
        </w:rPr>
        <w:t>12.3</w:t>
      </w:r>
      <w:r>
        <w:rPr>
          <w:rFonts w:hint="eastAsia" w:ascii="宋体" w:hAnsi="宋体" w:eastAsia="宋体" w:cs="宋体"/>
          <w:b/>
          <w:color w:val="auto"/>
          <w:sz w:val="24"/>
          <w:szCs w:val="24"/>
          <w:highlight w:val="none"/>
        </w:rPr>
        <w:t>报价文件</w:t>
      </w:r>
      <w:bookmarkEnd w:id="32"/>
    </w:p>
    <w:tbl>
      <w:tblPr>
        <w:tblStyle w:val="19"/>
        <w:tblW w:w="966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764"/>
      </w:tblGrid>
      <w:tr w14:paraId="6CCA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445CE17C">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764" w:type="dxa"/>
            <w:noWrap w:val="0"/>
            <w:vAlign w:val="center"/>
          </w:tcPr>
          <w:p w14:paraId="10FEDB36">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532B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5A507CD6">
            <w:pPr>
              <w:keepNext w:val="0"/>
              <w:keepLines w:val="0"/>
              <w:pageBreakBefore w:val="0"/>
              <w:kinsoku/>
              <w:wordWrap/>
              <w:overflowPunct/>
              <w:topLinePunct w:val="0"/>
              <w:autoSpaceDE/>
              <w:autoSpaceDN/>
              <w:bidi w:val="0"/>
              <w:spacing w:before="60" w:beforeLines="25"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64" w:type="dxa"/>
            <w:noWrap w:val="0"/>
            <w:vAlign w:val="center"/>
          </w:tcPr>
          <w:p w14:paraId="02165EE9">
            <w:pPr>
              <w:keepNext w:val="0"/>
              <w:keepLines w:val="0"/>
              <w:pageBreakBefore w:val="0"/>
              <w:kinsoku/>
              <w:wordWrap/>
              <w:overflowPunct/>
              <w:topLinePunct w:val="0"/>
              <w:autoSpaceDE/>
              <w:autoSpaceDN/>
              <w:bidi w:val="0"/>
              <w:spacing w:before="60" w:beforeLines="25"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报价一览表</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21DD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67B0E33B">
            <w:pPr>
              <w:keepNext w:val="0"/>
              <w:keepLines w:val="0"/>
              <w:pageBreakBefore w:val="0"/>
              <w:kinsoku/>
              <w:wordWrap/>
              <w:overflowPunct/>
              <w:topLinePunct w:val="0"/>
              <w:autoSpaceDE/>
              <w:autoSpaceDN/>
              <w:bidi w:val="0"/>
              <w:spacing w:before="60" w:beforeLines="25"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764" w:type="dxa"/>
            <w:noWrap w:val="0"/>
            <w:vAlign w:val="center"/>
          </w:tcPr>
          <w:p w14:paraId="12D7A868">
            <w:pPr>
              <w:keepNext w:val="0"/>
              <w:keepLines w:val="0"/>
              <w:pageBreakBefore w:val="0"/>
              <w:kinsoku/>
              <w:wordWrap/>
              <w:overflowPunct/>
              <w:topLinePunct w:val="0"/>
              <w:autoSpaceDE/>
              <w:autoSpaceDN/>
              <w:bidi w:val="0"/>
              <w:spacing w:before="60" w:beforeLines="25" w:line="500" w:lineRule="exact"/>
              <w:jc w:val="left"/>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分项报价明细表</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7914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27DDF7CB">
            <w:pPr>
              <w:keepNext w:val="0"/>
              <w:keepLines w:val="0"/>
              <w:pageBreakBefore w:val="0"/>
              <w:kinsoku/>
              <w:wordWrap/>
              <w:overflowPunct/>
              <w:topLinePunct w:val="0"/>
              <w:autoSpaceDE/>
              <w:autoSpaceDN/>
              <w:bidi w:val="0"/>
              <w:spacing w:before="60" w:beforeLines="25"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764" w:type="dxa"/>
            <w:noWrap w:val="0"/>
            <w:vAlign w:val="center"/>
          </w:tcPr>
          <w:p w14:paraId="24AB64FA">
            <w:pPr>
              <w:keepNext w:val="0"/>
              <w:keepLines w:val="0"/>
              <w:pageBreakBefore w:val="0"/>
              <w:kinsoku/>
              <w:wordWrap/>
              <w:overflowPunct/>
              <w:topLinePunct w:val="0"/>
              <w:autoSpaceDE/>
              <w:autoSpaceDN/>
              <w:bidi w:val="0"/>
              <w:spacing w:before="60" w:beforeLines="25"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认为需要在报价文件说明的其他材料（如有）</w:t>
            </w:r>
          </w:p>
        </w:tc>
      </w:tr>
    </w:tbl>
    <w:p w14:paraId="1AA890FD">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11.</w:t>
      </w:r>
      <w:r>
        <w:rPr>
          <w:rFonts w:hint="eastAsia" w:ascii="宋体" w:hAnsi="宋体" w:eastAsia="宋体" w:cs="宋体"/>
          <w:b/>
          <w:snapToGrid w:val="0"/>
          <w:color w:val="auto"/>
          <w:kern w:val="0"/>
          <w:sz w:val="28"/>
          <w:szCs w:val="28"/>
          <w:highlight w:val="none"/>
        </w:rPr>
        <w:t>陈述和答辩</w:t>
      </w:r>
    </w:p>
    <w:p w14:paraId="2D941C8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本项目无设陈述和答辩环节。</w:t>
      </w:r>
    </w:p>
    <w:p w14:paraId="4EA90B83">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1</w:t>
      </w:r>
      <w:r>
        <w:rPr>
          <w:rFonts w:hint="eastAsia" w:ascii="宋体" w:hAnsi="宋体" w:eastAsia="宋体" w:cs="宋体"/>
          <w:b/>
          <w:snapToGrid w:val="0"/>
          <w:color w:val="auto"/>
          <w:kern w:val="0"/>
          <w:sz w:val="28"/>
          <w:szCs w:val="28"/>
          <w:highlight w:val="none"/>
          <w:lang w:val="en-US" w:eastAsia="zh-CN"/>
        </w:rPr>
        <w:t>2.</w:t>
      </w:r>
      <w:r>
        <w:rPr>
          <w:rFonts w:hint="eastAsia" w:ascii="宋体" w:hAnsi="宋体" w:eastAsia="宋体" w:cs="宋体"/>
          <w:b/>
          <w:snapToGrid w:val="0"/>
          <w:color w:val="auto"/>
          <w:kern w:val="0"/>
          <w:sz w:val="28"/>
          <w:szCs w:val="28"/>
          <w:highlight w:val="none"/>
        </w:rPr>
        <w:t>投标函</w:t>
      </w:r>
    </w:p>
    <w:p w14:paraId="3AFF2FA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应完整地填写采购文件中提供的投标函和投标相关附件。</w:t>
      </w:r>
    </w:p>
    <w:p w14:paraId="784081E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.2投标文件应当对采购文件中有关投标有效期、采购需求等实质性内容作出响应。</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在满足采购文件实质性要求的基础上，可以提出比采购文件要求更有利于采购人的承诺。</w:t>
      </w:r>
    </w:p>
    <w:p w14:paraId="6D973ABA">
      <w:pPr>
        <w:pStyle w:val="9"/>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lang w:val="en-US" w:eastAsia="zh-CN"/>
        </w:rPr>
        <w:t>13.</w:t>
      </w:r>
      <w:r>
        <w:rPr>
          <w:rFonts w:hint="eastAsia" w:ascii="宋体" w:hAnsi="宋体" w:eastAsia="宋体" w:cs="宋体"/>
          <w:b/>
          <w:bCs/>
          <w:snapToGrid w:val="0"/>
          <w:color w:val="auto"/>
          <w:kern w:val="0"/>
          <w:szCs w:val="28"/>
          <w:highlight w:val="none"/>
        </w:rPr>
        <w:t>投标报价</w:t>
      </w:r>
    </w:p>
    <w:p w14:paraId="0B18652F">
      <w:pPr>
        <w:pStyle w:val="9"/>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应按采购文件中规定填写报价相关表单；</w:t>
      </w:r>
    </w:p>
    <w:p w14:paraId="6E00BDA2">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13</w:t>
      </w:r>
      <w:r>
        <w:rPr>
          <w:rFonts w:hint="eastAsia" w:ascii="宋体" w:hAnsi="宋体" w:eastAsia="宋体" w:cs="宋体"/>
          <w:b/>
          <w:bCs/>
          <w:snapToGrid w:val="0"/>
          <w:color w:val="auto"/>
          <w:kern w:val="0"/>
          <w:sz w:val="24"/>
          <w:szCs w:val="24"/>
          <w:highlight w:val="none"/>
        </w:rPr>
        <w:t>.2本项目采用</w:t>
      </w:r>
      <w:r>
        <w:rPr>
          <w:rFonts w:hint="eastAsia" w:ascii="宋体" w:hAnsi="宋体" w:eastAsia="宋体" w:cs="宋体"/>
          <w:b/>
          <w:bCs/>
          <w:snapToGrid w:val="0"/>
          <w:color w:val="auto"/>
          <w:kern w:val="0"/>
          <w:sz w:val="24"/>
          <w:szCs w:val="24"/>
          <w:highlight w:val="none"/>
          <w:lang w:val="en-US" w:eastAsia="zh-CN"/>
        </w:rPr>
        <w:t>人民币</w:t>
      </w:r>
      <w:r>
        <w:rPr>
          <w:rFonts w:hint="eastAsia" w:ascii="宋体" w:hAnsi="宋体" w:eastAsia="宋体" w:cs="宋体"/>
          <w:b/>
          <w:bCs/>
          <w:snapToGrid w:val="0"/>
          <w:color w:val="auto"/>
          <w:kern w:val="0"/>
          <w:sz w:val="24"/>
          <w:szCs w:val="24"/>
          <w:highlight w:val="none"/>
        </w:rPr>
        <w:t>报价，投标人的报价应</w:t>
      </w:r>
      <w:r>
        <w:rPr>
          <w:rFonts w:hint="eastAsia" w:ascii="宋体" w:hAnsi="宋体" w:eastAsia="宋体" w:cs="宋体"/>
          <w:b/>
          <w:bCs/>
          <w:snapToGrid w:val="0"/>
          <w:color w:val="auto"/>
          <w:kern w:val="0"/>
          <w:sz w:val="24"/>
          <w:szCs w:val="24"/>
          <w:highlight w:val="none"/>
          <w:lang w:val="en-US" w:eastAsia="zh-CN"/>
        </w:rPr>
        <w:t>不超过最高限价</w:t>
      </w:r>
      <w:r>
        <w:rPr>
          <w:rFonts w:hint="eastAsia" w:ascii="宋体" w:hAnsi="宋体" w:eastAsia="宋体" w:cs="宋体"/>
          <w:b/>
          <w:bCs/>
          <w:snapToGrid w:val="0"/>
          <w:color w:val="auto"/>
          <w:kern w:val="0"/>
          <w:sz w:val="24"/>
          <w:szCs w:val="24"/>
          <w:highlight w:val="none"/>
        </w:rPr>
        <w:t>，否则其投标无效。</w:t>
      </w:r>
      <w:r>
        <w:rPr>
          <w:rFonts w:hint="eastAsia" w:ascii="宋体" w:hAnsi="宋体" w:eastAsia="宋体" w:cs="宋体"/>
          <w:b/>
          <w:bCs/>
          <w:snapToGrid w:val="0"/>
          <w:color w:val="auto"/>
          <w:kern w:val="0"/>
          <w:sz w:val="24"/>
          <w:szCs w:val="24"/>
          <w:highlight w:val="none"/>
          <w:lang w:val="en-US" w:eastAsia="zh-CN"/>
        </w:rPr>
        <w:t>投标报价须</w:t>
      </w:r>
      <w:r>
        <w:rPr>
          <w:rFonts w:hint="eastAsia" w:ascii="宋体" w:hAnsi="宋体" w:eastAsia="宋体" w:cs="宋体"/>
          <w:b/>
          <w:bCs/>
          <w:snapToGrid w:val="0"/>
          <w:color w:val="auto"/>
          <w:kern w:val="0"/>
          <w:sz w:val="24"/>
          <w:szCs w:val="24"/>
          <w:highlight w:val="none"/>
        </w:rPr>
        <w:t>包含本项目招标内容及要求及合同约定所有服务内容所需所有人工工资（含社会保险费、</w:t>
      </w:r>
      <w:r>
        <w:rPr>
          <w:rFonts w:hint="eastAsia" w:ascii="宋体" w:hAnsi="宋体" w:eastAsia="宋体" w:cs="宋体"/>
          <w:b/>
          <w:bCs/>
          <w:snapToGrid w:val="0"/>
          <w:color w:val="auto"/>
          <w:kern w:val="0"/>
          <w:sz w:val="24"/>
          <w:szCs w:val="24"/>
          <w:highlight w:val="none"/>
          <w:lang w:eastAsia="zh-CN"/>
        </w:rPr>
        <w:t>公积金、超时补贴</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eastAsia="zh-CN"/>
        </w:rPr>
        <w:t>绩效考核经费、伙食费、</w:t>
      </w:r>
      <w:r>
        <w:rPr>
          <w:rFonts w:hint="eastAsia" w:ascii="宋体" w:hAnsi="宋体" w:eastAsia="宋体" w:cs="宋体"/>
          <w:b/>
          <w:bCs/>
          <w:snapToGrid w:val="0"/>
          <w:color w:val="auto"/>
          <w:kern w:val="0"/>
          <w:sz w:val="24"/>
          <w:szCs w:val="24"/>
          <w:highlight w:val="none"/>
        </w:rPr>
        <w:t>劳保用品、员工住宿交通差旅费用</w:t>
      </w:r>
      <w:r>
        <w:rPr>
          <w:rFonts w:hint="eastAsia" w:ascii="宋体" w:hAnsi="宋体" w:eastAsia="宋体" w:cs="宋体"/>
          <w:b/>
          <w:bCs/>
          <w:snapToGrid w:val="0"/>
          <w:color w:val="auto"/>
          <w:kern w:val="0"/>
          <w:sz w:val="24"/>
          <w:szCs w:val="24"/>
          <w:highlight w:val="none"/>
          <w:lang w:eastAsia="zh-CN"/>
        </w:rPr>
        <w:t>等</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eastAsia="zh-CN"/>
        </w:rPr>
        <w:t>，车船台班费、水电费、燃料费、车辆保险费、车辆维修费、管理费、企业应缴税金和应得利润、应急等完成合同所需的一切本身和不可或缺的所有工作开支、政策性文件规定计合同包含的所有风险、责任等各项全部费用并承担一切风险责任</w:t>
      </w:r>
      <w:r>
        <w:rPr>
          <w:rFonts w:hint="eastAsia" w:ascii="宋体" w:hAnsi="宋体" w:eastAsia="宋体" w:cs="宋体"/>
          <w:b/>
          <w:bCs/>
          <w:snapToGrid w:val="0"/>
          <w:color w:val="auto"/>
          <w:kern w:val="0"/>
          <w:sz w:val="24"/>
          <w:szCs w:val="24"/>
          <w:highlight w:val="none"/>
        </w:rPr>
        <w:t>。在合同服务期间内不得违反国家相关政策规定。（说明：如发生不可抗力及突发性事件，中标供应商要无条件听从采购人指挥，配合采购人。费用已包括在投标报价内，采购人不再另行支付其他费用。）</w:t>
      </w:r>
    </w:p>
    <w:p w14:paraId="6EF2D996">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u w:val="single"/>
        </w:rPr>
        <w:t>本项目采用固定</w:t>
      </w:r>
      <w:r>
        <w:rPr>
          <w:rFonts w:hint="eastAsia" w:ascii="宋体" w:hAnsi="宋体" w:eastAsia="宋体" w:cs="宋体"/>
          <w:b/>
          <w:bCs/>
          <w:snapToGrid w:val="0"/>
          <w:color w:val="auto"/>
          <w:kern w:val="0"/>
          <w:sz w:val="24"/>
          <w:szCs w:val="24"/>
          <w:highlight w:val="none"/>
          <w:u w:val="single"/>
          <w:lang w:val="en-US" w:eastAsia="zh-CN"/>
        </w:rPr>
        <w:t>单价</w:t>
      </w:r>
      <w:r>
        <w:rPr>
          <w:rFonts w:hint="eastAsia" w:ascii="宋体" w:hAnsi="宋体" w:eastAsia="宋体" w:cs="宋体"/>
          <w:b/>
          <w:bCs/>
          <w:snapToGrid w:val="0"/>
          <w:color w:val="auto"/>
          <w:kern w:val="0"/>
          <w:sz w:val="24"/>
          <w:szCs w:val="24"/>
          <w:highlight w:val="none"/>
          <w:u w:val="single"/>
        </w:rPr>
        <w:t>方式结算，有关本项目实施所涉及的一切费用均计入报价，今后不得以任何理由追加或调整</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具体结算相关约定详见第三章采购内容及要求</w:t>
      </w:r>
      <w:r>
        <w:rPr>
          <w:rFonts w:hint="eastAsia" w:ascii="宋体" w:hAnsi="宋体" w:eastAsia="宋体" w:cs="宋体"/>
          <w:b/>
          <w:bCs/>
          <w:snapToGrid w:val="0"/>
          <w:color w:val="auto"/>
          <w:kern w:val="0"/>
          <w:sz w:val="24"/>
          <w:szCs w:val="24"/>
          <w:highlight w:val="none"/>
          <w:lang w:val="en-US" w:eastAsia="zh-CN"/>
        </w:rPr>
        <w:t>。</w:t>
      </w:r>
    </w:p>
    <w:p w14:paraId="005DEF32">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供应商应认真计算可能发生的各相关费用并计入报价内，在项目实施过程中不得藉此要求增加任何费用，并不得出现选择性的报价。</w:t>
      </w:r>
    </w:p>
    <w:p w14:paraId="6967DA1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本项目只允许一次报价，不允许以开标后调整的报价作为评标的依据（但按本采购文件投标须知投标文件错误的修正并经评标委员会认定或经供应商确认同意的除外）。</w:t>
      </w:r>
    </w:p>
    <w:p w14:paraId="20F884B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其它需在报价中考虑的因素：</w:t>
      </w:r>
    </w:p>
    <w:p w14:paraId="141BF9FD">
      <w:pPr>
        <w:keepNext w:val="0"/>
        <w:keepLines w:val="0"/>
        <w:pageBreakBefore w:val="0"/>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1</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rPr>
        <w:t>采购内容及要求中明确的需供应商承担的费用均应含在总价报价中；</w:t>
      </w:r>
    </w:p>
    <w:p w14:paraId="79F8F6D8">
      <w:pPr>
        <w:keepNext w:val="0"/>
        <w:keepLines w:val="0"/>
        <w:pageBreakBefore w:val="0"/>
        <w:numPr>
          <w:ilvl w:val="0"/>
          <w:numId w:val="0"/>
        </w:numPr>
        <w:tabs>
          <w:tab w:val="left" w:pos="993"/>
        </w:tabs>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采购文件未明示但供应商认为可能产生的潜在费用支出均需自行考虑并计入报价中；</w:t>
      </w:r>
    </w:p>
    <w:p w14:paraId="37632520">
      <w:pPr>
        <w:keepNext w:val="0"/>
        <w:keepLines w:val="0"/>
        <w:pageBreakBefore w:val="0"/>
        <w:numPr>
          <w:ilvl w:val="0"/>
          <w:numId w:val="0"/>
        </w:numPr>
        <w:tabs>
          <w:tab w:val="left" w:pos="431"/>
        </w:tabs>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rPr>
        <w:t>对于没有填报的项目，采购人将不再支付，并均认为已包含在报价内。</w:t>
      </w:r>
    </w:p>
    <w:p w14:paraId="3B1DE9DA">
      <w:pPr>
        <w:pStyle w:val="9"/>
        <w:keepNext w:val="0"/>
        <w:keepLines w:val="0"/>
        <w:pageBreakBefore w:val="0"/>
        <w:kinsoku/>
        <w:wordWrap/>
        <w:overflowPunct/>
        <w:topLinePunct w:val="0"/>
        <w:autoSpaceDE/>
        <w:autoSpaceDN/>
        <w:bidi w:val="0"/>
        <w:snapToGrid w:val="0"/>
        <w:spacing w:before="120" w:beforeLines="50" w:line="50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color w:val="auto"/>
          <w:sz w:val="24"/>
          <w:szCs w:val="22"/>
          <w:highlight w:val="none"/>
        </w:rPr>
        <w:t>投标文件的编制</w:t>
      </w:r>
    </w:p>
    <w:p w14:paraId="35E91DE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.1投标文件分为资格审查文件、商务技术文件、报价文件三部分。各供应商在编制投标文件时请按照采购文件第五</w:t>
      </w:r>
      <w:r>
        <w:rPr>
          <w:rFonts w:hint="eastAsia" w:ascii="宋体" w:hAnsi="宋体" w:eastAsia="宋体" w:cs="宋体"/>
          <w:snapToGrid w:val="0"/>
          <w:color w:val="auto"/>
          <w:kern w:val="0"/>
          <w:sz w:val="24"/>
          <w:szCs w:val="24"/>
          <w:highlight w:val="none"/>
          <w:lang w:val="en-US" w:eastAsia="zh-CN"/>
        </w:rPr>
        <w:t>章</w:t>
      </w:r>
      <w:r>
        <w:rPr>
          <w:rFonts w:hint="eastAsia" w:ascii="宋体" w:hAnsi="宋体" w:eastAsia="宋体" w:cs="宋体"/>
          <w:snapToGrid w:val="0"/>
          <w:color w:val="auto"/>
          <w:kern w:val="0"/>
          <w:sz w:val="24"/>
          <w:szCs w:val="24"/>
          <w:highlight w:val="none"/>
          <w:lang w:val="zh-CN"/>
        </w:rPr>
        <w:t>规定的格式进行，混乱的编排导致投标文件被误读或评标委员会查找不到有效文件是</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的风险。</w:t>
      </w:r>
      <w:r>
        <w:rPr>
          <w:rFonts w:hint="eastAsia" w:ascii="宋体" w:hAnsi="宋体" w:eastAsia="宋体" w:cs="宋体"/>
          <w:snapToGrid w:val="0"/>
          <w:color w:val="auto"/>
          <w:kern w:val="0"/>
          <w:sz w:val="24"/>
          <w:szCs w:val="24"/>
          <w:highlight w:val="none"/>
        </w:rPr>
        <w:t>▲投标文件未按规定的格式编制的，投标无效；</w:t>
      </w:r>
    </w:p>
    <w:p w14:paraId="624E662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进行电子投标应安装客户端软件—“政采云电子交易客户端”，并按照招标文件和电子交易平台的要求编制并加密投标文件。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未按规定加密的投标文件，电子交易平台将拒收并提示。</w:t>
      </w:r>
    </w:p>
    <w:p w14:paraId="363FA60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.3使用“政采云电子交易客户端”需要提前申领CA数字证书，申领流程请自行前往“浙江政府采购网-下载专区-电子交易客户端-CA驱动和申领流程”进行查阅。</w:t>
      </w:r>
    </w:p>
    <w:p w14:paraId="55C55520">
      <w:pPr>
        <w:pStyle w:val="9"/>
        <w:keepNext w:val="0"/>
        <w:keepLines w:val="0"/>
        <w:pageBreakBefore w:val="0"/>
        <w:numPr>
          <w:ilvl w:val="0"/>
          <w:numId w:val="0"/>
        </w:numPr>
        <w:kinsoku/>
        <w:wordWrap/>
        <w:overflowPunct/>
        <w:topLinePunct w:val="0"/>
        <w:autoSpaceDE/>
        <w:autoSpaceDN/>
        <w:bidi w:val="0"/>
        <w:adjustRightInd w:val="0"/>
        <w:snapToGrid w:val="0"/>
        <w:spacing w:before="120" w:beforeLines="50" w:line="500" w:lineRule="exact"/>
        <w:ind w:firstLine="562" w:firstLineChars="200"/>
        <w:jc w:val="left"/>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lang w:val="en-US" w:eastAsia="zh-CN"/>
        </w:rPr>
        <w:t>15.</w:t>
      </w:r>
      <w:r>
        <w:rPr>
          <w:rFonts w:hint="eastAsia" w:ascii="宋体" w:hAnsi="宋体" w:eastAsia="宋体" w:cs="宋体"/>
          <w:b/>
          <w:bCs/>
          <w:snapToGrid w:val="0"/>
          <w:color w:val="auto"/>
          <w:kern w:val="0"/>
          <w:szCs w:val="28"/>
          <w:highlight w:val="none"/>
        </w:rPr>
        <w:t>投标保证金</w:t>
      </w:r>
    </w:p>
    <w:p w14:paraId="6147321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.1本项目不收取投标保证金。但违反政府采购相关规定给采购人造成损失的，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应当承担赔偿责任。</w:t>
      </w:r>
    </w:p>
    <w:p w14:paraId="5EFE1DA8">
      <w:pPr>
        <w:pStyle w:val="9"/>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rPr>
        <w:t>1</w:t>
      </w:r>
      <w:r>
        <w:rPr>
          <w:rFonts w:hint="eastAsia" w:ascii="宋体" w:hAnsi="宋体" w:eastAsia="宋体" w:cs="宋体"/>
          <w:b/>
          <w:bCs/>
          <w:snapToGrid w:val="0"/>
          <w:color w:val="auto"/>
          <w:kern w:val="0"/>
          <w:szCs w:val="28"/>
          <w:highlight w:val="none"/>
          <w:lang w:val="en-US" w:eastAsia="zh-CN"/>
        </w:rPr>
        <w:t>6.</w:t>
      </w:r>
      <w:r>
        <w:rPr>
          <w:rFonts w:hint="eastAsia" w:ascii="宋体" w:hAnsi="宋体" w:eastAsia="宋体" w:cs="宋体"/>
          <w:b/>
          <w:bCs/>
          <w:snapToGrid w:val="0"/>
          <w:color w:val="auto"/>
          <w:kern w:val="0"/>
          <w:szCs w:val="28"/>
          <w:highlight w:val="none"/>
        </w:rPr>
        <w:t>投标有效期</w:t>
      </w:r>
    </w:p>
    <w:p w14:paraId="384AFA1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.1投标文件在开标之日起90个日历天内有效。</w:t>
      </w:r>
    </w:p>
    <w:p w14:paraId="636FF90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.2在原定投标有效期满之前，如果出现特殊情况，采购人可以以书面形式向</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提出延长投标有效期的要求。这种要求与答复均应采用书面形式如传真或信件等。</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可以拒绝接受采购人的这种要求而放弃投标。接受延长投标有效期的投标人将不会被要求和允许修正其投标。</w:t>
      </w:r>
    </w:p>
    <w:p w14:paraId="0950698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.3中标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的投标文件自开标之日起至合同履行完毕止均应保持有效。</w:t>
      </w:r>
    </w:p>
    <w:p w14:paraId="34E18574">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bCs/>
          <w:snapToGrid w:val="0"/>
          <w:color w:val="auto"/>
          <w:kern w:val="0"/>
          <w:sz w:val="28"/>
          <w:szCs w:val="28"/>
          <w:highlight w:val="none"/>
          <w:lang w:val="en-US" w:eastAsia="zh-CN" w:bidi="ar-SA"/>
        </w:rPr>
      </w:pPr>
      <w:r>
        <w:rPr>
          <w:rFonts w:hint="eastAsia" w:ascii="宋体" w:hAnsi="宋体" w:eastAsia="宋体" w:cs="宋体"/>
          <w:b/>
          <w:bCs/>
          <w:snapToGrid w:val="0"/>
          <w:color w:val="auto"/>
          <w:kern w:val="0"/>
          <w:sz w:val="28"/>
          <w:szCs w:val="28"/>
          <w:highlight w:val="none"/>
          <w:lang w:val="en-US" w:eastAsia="zh-CN" w:bidi="ar-SA"/>
        </w:rPr>
        <w:t>17.投标文件的签署、盖章</w:t>
      </w:r>
    </w:p>
    <w:p w14:paraId="155DDFA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.1投标文件按照采购文件第五</w:t>
      </w:r>
      <w:r>
        <w:rPr>
          <w:rFonts w:hint="eastAsia" w:ascii="宋体" w:hAnsi="宋体" w:eastAsia="宋体" w:cs="宋体"/>
          <w:snapToGrid w:val="0"/>
          <w:color w:val="auto"/>
          <w:kern w:val="0"/>
          <w:sz w:val="24"/>
          <w:szCs w:val="24"/>
          <w:highlight w:val="none"/>
          <w:lang w:val="en-US" w:eastAsia="zh-CN"/>
        </w:rPr>
        <w:t>章</w:t>
      </w:r>
      <w:r>
        <w:rPr>
          <w:rFonts w:hint="eastAsia" w:ascii="宋体" w:hAnsi="宋体" w:eastAsia="宋体" w:cs="宋体"/>
          <w:snapToGrid w:val="0"/>
          <w:color w:val="auto"/>
          <w:kern w:val="0"/>
          <w:sz w:val="24"/>
          <w:szCs w:val="24"/>
          <w:highlight w:val="none"/>
        </w:rPr>
        <w:t>格式要求进行签署、盖章。</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的投标文件未按照招标文件要求签署、盖章的，其投标无效。</w:t>
      </w:r>
    </w:p>
    <w:p w14:paraId="2938D0A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.2为确保网上操作合法、有效和安全，</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应当在投标截止时间前完成在“政府采购云平台”的身份认证，确保在电子投标过程中能够对相关数据电文进行加密和使用电子签名。</w:t>
      </w:r>
    </w:p>
    <w:p w14:paraId="004522B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17.3</w:t>
      </w:r>
      <w:r>
        <w:rPr>
          <w:rFonts w:hint="eastAsia" w:ascii="宋体" w:hAnsi="宋体" w:eastAsia="宋体" w:cs="宋体"/>
          <w:snapToGrid w:val="0"/>
          <w:color w:val="auto"/>
          <w:kern w:val="0"/>
          <w:sz w:val="24"/>
          <w:szCs w:val="24"/>
          <w:highlight w:val="none"/>
        </w:rPr>
        <w:t>投标人应按本招标文件规定的格式和顺序编制、装订投标文件并标注页码，投标文件内容不完整、编排混乱导致投标文件被误读、漏读或者查找不到相关内容的，是投标人的责任。</w:t>
      </w:r>
    </w:p>
    <w:p w14:paraId="6D53A1A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17.4</w:t>
      </w:r>
      <w:r>
        <w:rPr>
          <w:rFonts w:hint="eastAsia" w:ascii="宋体" w:hAnsi="宋体" w:eastAsia="宋体" w:cs="宋体"/>
          <w:snapToGrid w:val="0"/>
          <w:color w:val="auto"/>
          <w:kern w:val="0"/>
          <w:sz w:val="24"/>
          <w:szCs w:val="24"/>
          <w:highlight w:val="none"/>
        </w:rPr>
        <w:t>本项目通过“政采云平台（www.zcygov.cn）”实行在线投标响应（电子投标）。供应商应通过“政采云电子交易客户端”，并按照本招标文件和“政采云平台”的要求编制并加密投标文件。</w:t>
      </w:r>
    </w:p>
    <w:p w14:paraId="2F7DBC4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17.5</w:t>
      </w:r>
      <w:r>
        <w:rPr>
          <w:rFonts w:hint="eastAsia" w:ascii="宋体" w:hAnsi="宋体" w:eastAsia="宋体" w:cs="宋体"/>
          <w:snapToGrid w:val="0"/>
          <w:color w:val="auto"/>
          <w:kern w:val="0"/>
          <w:sz w:val="24"/>
          <w:szCs w:val="24"/>
          <w:highlight w:val="none"/>
        </w:rPr>
        <w:t>投标人应当按照“投标文件组成”规定的内容及顺序在“政采云电子交易客户端”编制投标文件。其中《</w:t>
      </w:r>
      <w:r>
        <w:rPr>
          <w:rFonts w:hint="eastAsia" w:ascii="宋体" w:hAnsi="宋体" w:eastAsia="宋体" w:cs="宋体"/>
          <w:snapToGrid w:val="0"/>
          <w:color w:val="auto"/>
          <w:kern w:val="0"/>
          <w:sz w:val="24"/>
          <w:szCs w:val="24"/>
          <w:highlight w:val="none"/>
          <w:lang w:val="en-US" w:eastAsia="zh-CN"/>
        </w:rPr>
        <w:t>资格审查文件</w:t>
      </w:r>
      <w:r>
        <w:rPr>
          <w:rFonts w:hint="eastAsia" w:ascii="宋体" w:hAnsi="宋体" w:eastAsia="宋体" w:cs="宋体"/>
          <w:snapToGrid w:val="0"/>
          <w:color w:val="auto"/>
          <w:kern w:val="0"/>
          <w:sz w:val="24"/>
          <w:szCs w:val="24"/>
          <w:highlight w:val="none"/>
        </w:rPr>
        <w:t>》和《</w:t>
      </w:r>
      <w:r>
        <w:rPr>
          <w:rFonts w:hint="eastAsia" w:ascii="宋体" w:hAnsi="宋体" w:eastAsia="宋体" w:cs="宋体"/>
          <w:snapToGrid w:val="0"/>
          <w:color w:val="auto"/>
          <w:kern w:val="0"/>
          <w:sz w:val="24"/>
          <w:szCs w:val="24"/>
          <w:highlight w:val="none"/>
          <w:lang w:val="en-US" w:eastAsia="zh-CN"/>
        </w:rPr>
        <w:t>商务技术文件</w:t>
      </w:r>
      <w:r>
        <w:rPr>
          <w:rFonts w:hint="eastAsia" w:ascii="宋体" w:hAnsi="宋体" w:eastAsia="宋体" w:cs="宋体"/>
          <w:snapToGrid w:val="0"/>
          <w:color w:val="auto"/>
          <w:kern w:val="0"/>
          <w:sz w:val="24"/>
          <w:szCs w:val="24"/>
          <w:highlight w:val="none"/>
        </w:rPr>
        <w:t>》中不得出现本项目投标报价，如因投标人原因提前泄露投标报价，是投标人的责任。</w:t>
      </w:r>
    </w:p>
    <w:p w14:paraId="198DB64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17.6</w:t>
      </w:r>
      <w:r>
        <w:rPr>
          <w:rFonts w:hint="eastAsia" w:ascii="宋体" w:hAnsi="宋体" w:eastAsia="宋体" w:cs="宋体"/>
          <w:snapToGrid w:val="0"/>
          <w:color w:val="auto"/>
          <w:kern w:val="0"/>
          <w:sz w:val="24"/>
          <w:szCs w:val="24"/>
          <w:highlight w:val="none"/>
        </w:rPr>
        <w:t>投标文件需做好“标书关联”（即设置关联点），未设置关联点而导致失分或无效投标处理的风险由投标人承担。</w:t>
      </w:r>
    </w:p>
    <w:p w14:paraId="458840E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17.7</w:t>
      </w:r>
      <w:r>
        <w:rPr>
          <w:rFonts w:hint="eastAsia" w:ascii="宋体" w:hAnsi="宋体" w:eastAsia="宋体" w:cs="宋体"/>
          <w:snapToGrid w:val="0"/>
          <w:color w:val="auto"/>
          <w:kern w:val="0"/>
          <w:sz w:val="24"/>
          <w:szCs w:val="24"/>
          <w:highlight w:val="none"/>
        </w:rPr>
        <w:t>投标文件应按招标文件中投标格式文件所示列要求由投标人的法定代表人</w:t>
      </w:r>
      <w:r>
        <w:rPr>
          <w:rFonts w:hint="eastAsia" w:ascii="宋体" w:hAnsi="宋体" w:eastAsia="宋体" w:cs="宋体"/>
          <w:snapToGrid w:val="0"/>
          <w:color w:val="auto"/>
          <w:kern w:val="0"/>
          <w:sz w:val="24"/>
          <w:szCs w:val="24"/>
          <w:highlight w:val="none"/>
          <w:lang w:val="en-US" w:eastAsia="zh-CN"/>
        </w:rPr>
        <w:t>(或负责人)</w:t>
      </w:r>
      <w:r>
        <w:rPr>
          <w:rFonts w:hint="eastAsia" w:ascii="宋体" w:hAnsi="宋体" w:eastAsia="宋体" w:cs="宋体"/>
          <w:snapToGrid w:val="0"/>
          <w:color w:val="auto"/>
          <w:kern w:val="0"/>
          <w:sz w:val="24"/>
          <w:szCs w:val="24"/>
          <w:highlight w:val="none"/>
        </w:rPr>
        <w:t>或其授权的代理人签字、盖单位公章。投标人的法定代表人</w:t>
      </w:r>
      <w:r>
        <w:rPr>
          <w:rFonts w:hint="eastAsia" w:ascii="宋体" w:hAnsi="宋体" w:eastAsia="宋体" w:cs="宋体"/>
          <w:snapToGrid w:val="0"/>
          <w:color w:val="auto"/>
          <w:kern w:val="0"/>
          <w:sz w:val="24"/>
          <w:szCs w:val="24"/>
          <w:highlight w:val="none"/>
          <w:lang w:val="en-US" w:eastAsia="zh-CN"/>
        </w:rPr>
        <w:t>(或负责人)</w:t>
      </w:r>
      <w:r>
        <w:rPr>
          <w:rFonts w:hint="eastAsia" w:ascii="宋体" w:hAnsi="宋体" w:eastAsia="宋体" w:cs="宋体"/>
          <w:snapToGrid w:val="0"/>
          <w:color w:val="auto"/>
          <w:kern w:val="0"/>
          <w:sz w:val="24"/>
          <w:szCs w:val="24"/>
          <w:highlight w:val="none"/>
        </w:rPr>
        <w:t>授权代理人签字的，投标文件应附由法定代表人</w:t>
      </w:r>
      <w:r>
        <w:rPr>
          <w:rFonts w:hint="eastAsia" w:ascii="宋体" w:hAnsi="宋体" w:eastAsia="宋体" w:cs="宋体"/>
          <w:snapToGrid w:val="0"/>
          <w:color w:val="auto"/>
          <w:kern w:val="0"/>
          <w:sz w:val="24"/>
          <w:szCs w:val="24"/>
          <w:highlight w:val="none"/>
          <w:lang w:val="en-US" w:eastAsia="zh-CN"/>
        </w:rPr>
        <w:t>(或负责人)</w:t>
      </w:r>
      <w:r>
        <w:rPr>
          <w:rFonts w:hint="eastAsia" w:ascii="宋体" w:hAnsi="宋体" w:eastAsia="宋体" w:cs="宋体"/>
          <w:snapToGrid w:val="0"/>
          <w:color w:val="auto"/>
          <w:kern w:val="0"/>
          <w:sz w:val="24"/>
          <w:szCs w:val="24"/>
          <w:highlight w:val="none"/>
        </w:rPr>
        <w:t>签署的授权委托书。</w:t>
      </w:r>
    </w:p>
    <w:p w14:paraId="30FD4CB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17.8</w:t>
      </w:r>
      <w:r>
        <w:rPr>
          <w:rFonts w:hint="eastAsia" w:ascii="宋体" w:hAnsi="宋体" w:eastAsia="宋体" w:cs="宋体"/>
          <w:snapToGrid w:val="0"/>
          <w:color w:val="auto"/>
          <w:kern w:val="0"/>
          <w:sz w:val="24"/>
          <w:szCs w:val="24"/>
          <w:highlight w:val="none"/>
        </w:rPr>
        <w:t>投标文件不得涂改，若有修改和增删处，必须加盖单位公章或法定代表人</w:t>
      </w:r>
      <w:r>
        <w:rPr>
          <w:rFonts w:hint="eastAsia" w:ascii="宋体" w:hAnsi="宋体" w:eastAsia="宋体" w:cs="宋体"/>
          <w:snapToGrid w:val="0"/>
          <w:color w:val="auto"/>
          <w:kern w:val="0"/>
          <w:sz w:val="24"/>
          <w:szCs w:val="24"/>
          <w:highlight w:val="none"/>
          <w:lang w:val="en-US" w:eastAsia="zh-CN"/>
        </w:rPr>
        <w:t>(或负责人)</w:t>
      </w:r>
      <w:r>
        <w:rPr>
          <w:rFonts w:hint="eastAsia" w:ascii="宋体" w:hAnsi="宋体" w:eastAsia="宋体" w:cs="宋体"/>
          <w:snapToGrid w:val="0"/>
          <w:color w:val="auto"/>
          <w:kern w:val="0"/>
          <w:sz w:val="24"/>
          <w:szCs w:val="24"/>
          <w:highlight w:val="none"/>
        </w:rPr>
        <w:t>或授权委托人签字或盖章。投标文件字迹模糊、潦草或在关键的技术、商务条款上表述不清所引起的后果由投标人负责。</w:t>
      </w:r>
    </w:p>
    <w:p w14:paraId="4AEBEB55">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四、投标文件的递交</w:t>
      </w:r>
    </w:p>
    <w:p w14:paraId="53F30C96">
      <w:pPr>
        <w:pStyle w:val="9"/>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rPr>
        <w:t>1</w:t>
      </w:r>
      <w:r>
        <w:rPr>
          <w:rFonts w:hint="eastAsia" w:ascii="宋体" w:hAnsi="宋体" w:eastAsia="宋体" w:cs="宋体"/>
          <w:b/>
          <w:bCs/>
          <w:snapToGrid w:val="0"/>
          <w:color w:val="auto"/>
          <w:kern w:val="0"/>
          <w:szCs w:val="28"/>
          <w:highlight w:val="none"/>
          <w:lang w:val="en-US" w:eastAsia="zh-CN"/>
        </w:rPr>
        <w:t>8.</w:t>
      </w:r>
      <w:r>
        <w:rPr>
          <w:rFonts w:hint="eastAsia" w:ascii="宋体" w:hAnsi="宋体" w:eastAsia="宋体" w:cs="宋体"/>
          <w:b/>
          <w:bCs/>
          <w:snapToGrid w:val="0"/>
          <w:color w:val="auto"/>
          <w:kern w:val="0"/>
          <w:szCs w:val="28"/>
          <w:highlight w:val="none"/>
        </w:rPr>
        <w:t>投标文件的递交</w:t>
      </w:r>
    </w:p>
    <w:p w14:paraId="15321BEB">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eastAsia="zh-CN"/>
        </w:rPr>
        <w:t>供应商</w:t>
      </w:r>
      <w:r>
        <w:rPr>
          <w:rFonts w:hint="eastAsia" w:ascii="宋体" w:hAnsi="宋体" w:eastAsia="宋体" w:cs="宋体"/>
          <w:b/>
          <w:bCs/>
          <w:snapToGrid w:val="0"/>
          <w:color w:val="auto"/>
          <w:kern w:val="0"/>
          <w:sz w:val="24"/>
          <w:szCs w:val="24"/>
          <w:highlight w:val="none"/>
        </w:rPr>
        <w:t>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15F129AD">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.2投标截止时间后，供应商登录政采云平台，用“项目采购-开标评标”功能对电子投标文件进行在线解密。在线解密电子投标文件时间为开标时间起30分钟内。</w:t>
      </w:r>
    </w:p>
    <w:p w14:paraId="24C06FA5">
      <w:pPr>
        <w:keepNext w:val="0"/>
        <w:keepLines w:val="0"/>
        <w:pageBreakBefore w:val="0"/>
        <w:kinsoku/>
        <w:wordWrap/>
        <w:overflowPunct/>
        <w:topLinePunct w:val="0"/>
        <w:autoSpaceDE/>
        <w:autoSpaceDN/>
        <w:bidi w:val="0"/>
        <w:adjustRightInd w:val="0"/>
        <w:snapToGrid w:val="0"/>
        <w:spacing w:line="500" w:lineRule="exact"/>
        <w:ind w:firstLine="422" w:firstLineChars="15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备份投标文件</w:t>
      </w:r>
    </w:p>
    <w:p w14:paraId="3CB218AC">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在电子交易平台传输递交投标文件后，还可以按</w:t>
      </w:r>
      <w:r>
        <w:rPr>
          <w:rFonts w:hint="eastAsia" w:ascii="宋体" w:hAnsi="宋体" w:eastAsia="宋体" w:cs="宋体"/>
          <w:snapToGrid w:val="0"/>
          <w:color w:val="auto"/>
          <w:kern w:val="0"/>
          <w:sz w:val="24"/>
          <w:szCs w:val="24"/>
          <w:highlight w:val="none"/>
          <w:lang w:val="en-US" w:eastAsia="zh-CN"/>
        </w:rPr>
        <w:t>投标须知前附表</w:t>
      </w:r>
      <w:r>
        <w:rPr>
          <w:rFonts w:hint="eastAsia" w:ascii="宋体" w:hAnsi="宋体" w:eastAsia="宋体" w:cs="宋体"/>
          <w:snapToGrid w:val="0"/>
          <w:color w:val="auto"/>
          <w:kern w:val="0"/>
          <w:sz w:val="24"/>
          <w:szCs w:val="24"/>
          <w:highlight w:val="none"/>
        </w:rPr>
        <w:t>规定（</w:t>
      </w:r>
      <w:r>
        <w:rPr>
          <w:rFonts w:hint="eastAsia" w:ascii="宋体" w:hAnsi="宋体" w:eastAsia="宋体" w:cs="宋体"/>
          <w:color w:val="auto"/>
          <w:sz w:val="24"/>
          <w:szCs w:val="24"/>
          <w:highlight w:val="none"/>
          <w:lang w:val="en-US" w:eastAsia="zh-CN"/>
        </w:rPr>
        <w:t>非强制性要求，推荐EMS或顺丰邮寄形式</w:t>
      </w:r>
      <w:r>
        <w:rPr>
          <w:rFonts w:hint="eastAsia" w:ascii="宋体" w:hAnsi="宋体" w:eastAsia="宋体" w:cs="宋体"/>
          <w:snapToGrid w:val="0"/>
          <w:color w:val="auto"/>
          <w:kern w:val="0"/>
          <w:sz w:val="24"/>
          <w:szCs w:val="24"/>
          <w:highlight w:val="none"/>
        </w:rPr>
        <w:t>）递交“备份投标文件”1份，但采购人、代理机构不强制或变相强制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w:t>
      </w:r>
    </w:p>
    <w:p w14:paraId="142A7683">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须在“政采云投标客户端”制作生成，并储存在U盘中。</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应当密封包装并在包装上加盖公章并注明投标项目名称，</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名称</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▲不符合上述制作、存储、密封规定的“备份投标文件”将被视为无效或者被拒绝接收。</w:t>
      </w:r>
    </w:p>
    <w:p w14:paraId="18FE3C15">
      <w:pPr>
        <w:pStyle w:val="11"/>
        <w:keepNext w:val="0"/>
        <w:keepLines w:val="0"/>
        <w:pageBreakBefore w:val="0"/>
        <w:kinsoku/>
        <w:wordWrap/>
        <w:overflowPunct/>
        <w:topLinePunct w:val="0"/>
        <w:autoSpaceDE/>
        <w:autoSpaceDN/>
        <w:bidi w:val="0"/>
        <w:spacing w:line="500" w:lineRule="exact"/>
        <w:ind w:firstLine="422" w:firstLineChars="15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w:t>
      </w:r>
      <w:r>
        <w:rPr>
          <w:rFonts w:hint="eastAsia" w:ascii="宋体" w:hAnsi="宋体" w:eastAsia="宋体" w:cs="宋体"/>
          <w:b/>
          <w:color w:val="auto"/>
          <w:sz w:val="28"/>
          <w:szCs w:val="28"/>
          <w:highlight w:val="none"/>
        </w:rPr>
        <w:t>投标截止期</w:t>
      </w:r>
    </w:p>
    <w:p w14:paraId="6456F8BB">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应按前附表规定的日期、时间和方式递交投标文件。</w:t>
      </w:r>
    </w:p>
    <w:p w14:paraId="18E15F5F">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.2采购人可以按本须知第7条规定，通过修改采购文件适当延长投标截止日期。在此情况下，采购人与</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受投标截止期制约的所有权利和义务均应延长至新的截止期。</w:t>
      </w:r>
    </w:p>
    <w:p w14:paraId="6D9760B7">
      <w:pPr>
        <w:pStyle w:val="11"/>
        <w:keepNext w:val="0"/>
        <w:keepLines w:val="0"/>
        <w:pageBreakBefore w:val="0"/>
        <w:kinsoku/>
        <w:wordWrap/>
        <w:overflowPunct/>
        <w:topLinePunct w:val="0"/>
        <w:autoSpaceDE/>
        <w:autoSpaceDN/>
        <w:bidi w:val="0"/>
        <w:spacing w:line="500" w:lineRule="exact"/>
        <w:ind w:firstLine="422" w:firstLineChars="15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21.</w:t>
      </w:r>
      <w:r>
        <w:rPr>
          <w:rFonts w:hint="eastAsia" w:ascii="宋体" w:hAnsi="宋体" w:eastAsia="宋体" w:cs="宋体"/>
          <w:b/>
          <w:color w:val="auto"/>
          <w:sz w:val="28"/>
          <w:szCs w:val="28"/>
          <w:highlight w:val="none"/>
        </w:rPr>
        <w:t>迟交的投标文件</w:t>
      </w:r>
    </w:p>
    <w:p w14:paraId="7221BBC3">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在本须知第</w:t>
      </w:r>
      <w:r>
        <w:rPr>
          <w:rFonts w:hint="eastAsia" w:ascii="宋体" w:hAnsi="宋体" w:eastAsia="宋体" w:cs="宋体"/>
          <w:snapToGrid w:val="0"/>
          <w:color w:val="auto"/>
          <w:kern w:val="0"/>
          <w:sz w:val="24"/>
          <w:szCs w:val="24"/>
          <w:highlight w:val="none"/>
          <w:lang w:val="en-US" w:eastAsia="zh-CN"/>
        </w:rPr>
        <w:t>18</w:t>
      </w:r>
      <w:r>
        <w:rPr>
          <w:rFonts w:hint="eastAsia" w:ascii="宋体" w:hAnsi="宋体" w:eastAsia="宋体" w:cs="宋体"/>
          <w:snapToGrid w:val="0"/>
          <w:color w:val="auto"/>
          <w:kern w:val="0"/>
          <w:sz w:val="24"/>
          <w:szCs w:val="24"/>
          <w:highlight w:val="none"/>
        </w:rPr>
        <w:t>条规定的截止期后收到的任何投标文件，采购人将不予接收。</w:t>
      </w:r>
    </w:p>
    <w:p w14:paraId="6DC21C38">
      <w:pPr>
        <w:pStyle w:val="11"/>
        <w:keepNext w:val="0"/>
        <w:keepLines w:val="0"/>
        <w:pageBreakBefore w:val="0"/>
        <w:kinsoku/>
        <w:wordWrap/>
        <w:overflowPunct/>
        <w:topLinePunct w:val="0"/>
        <w:autoSpaceDE/>
        <w:autoSpaceDN/>
        <w:bidi w:val="0"/>
        <w:spacing w:line="500" w:lineRule="exact"/>
        <w:ind w:firstLine="422" w:firstLineChars="150"/>
        <w:jc w:val="center"/>
        <w:textAlignment w:val="auto"/>
        <w:rPr>
          <w:rFonts w:hint="eastAsia" w:ascii="宋体" w:hAnsi="宋体" w:eastAsia="宋体" w:cs="宋体"/>
          <w:b/>
          <w:bCs/>
          <w:color w:val="auto"/>
          <w:kern w:val="2"/>
          <w:sz w:val="28"/>
          <w:szCs w:val="24"/>
          <w:highlight w:val="none"/>
          <w:lang w:val="en-US" w:eastAsia="zh-CN" w:bidi="ar-SA"/>
        </w:rPr>
      </w:pPr>
      <w:bookmarkStart w:id="33" w:name="_Toc15503"/>
      <w:bookmarkStart w:id="34" w:name="_Toc14566"/>
      <w:bookmarkStart w:id="35" w:name="_Toc251566654"/>
      <w:bookmarkStart w:id="36" w:name="_Toc13578"/>
      <w:bookmarkStart w:id="37" w:name="_Toc22131"/>
      <w:bookmarkStart w:id="38" w:name="_Toc240450081"/>
      <w:r>
        <w:rPr>
          <w:rFonts w:hint="eastAsia" w:ascii="宋体" w:hAnsi="宋体" w:eastAsia="宋体" w:cs="宋体"/>
          <w:b/>
          <w:bCs/>
          <w:color w:val="auto"/>
          <w:kern w:val="2"/>
          <w:sz w:val="28"/>
          <w:szCs w:val="24"/>
          <w:highlight w:val="none"/>
          <w:lang w:val="en-US" w:eastAsia="zh-CN" w:bidi="ar-SA"/>
        </w:rPr>
        <w:t>五、开标与评标</w:t>
      </w:r>
      <w:bookmarkEnd w:id="33"/>
      <w:bookmarkEnd w:id="34"/>
      <w:bookmarkEnd w:id="35"/>
      <w:bookmarkEnd w:id="36"/>
      <w:bookmarkEnd w:id="37"/>
      <w:bookmarkEnd w:id="38"/>
    </w:p>
    <w:p w14:paraId="1DAC1983">
      <w:pPr>
        <w:pStyle w:val="11"/>
        <w:keepNext w:val="0"/>
        <w:keepLines w:val="0"/>
        <w:pageBreakBefore w:val="0"/>
        <w:kinsoku/>
        <w:wordWrap/>
        <w:overflowPunct/>
        <w:topLinePunct w:val="0"/>
        <w:autoSpaceDE/>
        <w:autoSpaceDN/>
        <w:bidi w:val="0"/>
        <w:spacing w:line="500" w:lineRule="exact"/>
        <w:ind w:firstLine="422" w:firstLineChars="15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22.</w:t>
      </w:r>
      <w:r>
        <w:rPr>
          <w:rFonts w:hint="eastAsia" w:ascii="宋体" w:hAnsi="宋体" w:eastAsia="宋体" w:cs="宋体"/>
          <w:b/>
          <w:color w:val="auto"/>
          <w:sz w:val="28"/>
          <w:szCs w:val="28"/>
          <w:highlight w:val="none"/>
        </w:rPr>
        <w:t>开标</w:t>
      </w:r>
    </w:p>
    <w:p w14:paraId="6EB926ED">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.1采购人将于前附表规定的时间和地点公开开标。若采购人按本须知第7条规定，通过修改采购文件更改了开标时间和地点的，以后者为准，供应商不足3家的，不得开标。</w:t>
      </w:r>
    </w:p>
    <w:p w14:paraId="0640E7E8">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.2开标时，电子交易平台按开标时间自动提取所有投标文件。代理机构依托电子交易平台发起开始解密指令，供应商按照平台提示和招标文件的规定在半小时内完成在线解密。</w:t>
      </w:r>
    </w:p>
    <w:p w14:paraId="3E08E04B">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.3投标文件未按时解密，供应商提供了“备份投标文件”的，以“备份投标文件”作为依据，否则视为投标文件撤回。投标文件已按时解密的，“备份投标文件”自动失效。</w:t>
      </w:r>
    </w:p>
    <w:p w14:paraId="55B61289">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highlight w:val="none"/>
          <w:lang w:val="en-US" w:eastAsia="zh-CN"/>
        </w:rPr>
      </w:pPr>
      <w:r>
        <w:rPr>
          <w:rFonts w:hint="eastAsia" w:ascii="宋体" w:hAnsi="宋体" w:eastAsia="宋体" w:cs="宋体"/>
          <w:snapToGrid w:val="0"/>
          <w:color w:val="auto"/>
          <w:kern w:val="0"/>
          <w:sz w:val="24"/>
          <w:szCs w:val="24"/>
          <w:highlight w:val="none"/>
          <w:lang w:val="en-US" w:eastAsia="zh-CN"/>
        </w:rPr>
        <w:t>22.4</w:t>
      </w:r>
      <w:r>
        <w:rPr>
          <w:rFonts w:hint="eastAsia" w:ascii="宋体" w:hAnsi="宋体" w:eastAsia="宋体" w:cs="宋体"/>
          <w:snapToGrid w:val="0"/>
          <w:color w:val="auto"/>
          <w:kern w:val="0"/>
          <w:sz w:val="24"/>
          <w:szCs w:val="24"/>
          <w:highlight w:val="none"/>
        </w:rPr>
        <w:t>投标文件</w:t>
      </w:r>
      <w:r>
        <w:rPr>
          <w:rFonts w:hint="eastAsia" w:ascii="宋体" w:hAnsi="宋体" w:eastAsia="宋体" w:cs="宋体"/>
          <w:snapToGrid w:val="0"/>
          <w:color w:val="auto"/>
          <w:kern w:val="0"/>
          <w:sz w:val="24"/>
          <w:szCs w:val="24"/>
          <w:highlight w:val="none"/>
          <w:lang w:val="en-US" w:eastAsia="zh-CN"/>
        </w:rPr>
        <w:t>解密结束，通过邮件形式发送各供应商组织签署《政府采购活动现场确认声明书》。</w:t>
      </w:r>
    </w:p>
    <w:p w14:paraId="3E0786BD">
      <w:pPr>
        <w:pStyle w:val="11"/>
        <w:keepNext w:val="0"/>
        <w:keepLines w:val="0"/>
        <w:pageBreakBefore w:val="0"/>
        <w:kinsoku/>
        <w:wordWrap/>
        <w:overflowPunct/>
        <w:topLinePunct w:val="0"/>
        <w:autoSpaceDE/>
        <w:autoSpaceDN/>
        <w:bidi w:val="0"/>
        <w:spacing w:line="500" w:lineRule="exact"/>
        <w:ind w:firstLine="361" w:firstLineChars="15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23.</w:t>
      </w:r>
      <w:r>
        <w:rPr>
          <w:rFonts w:hint="eastAsia" w:ascii="宋体" w:hAnsi="宋体" w:eastAsia="宋体" w:cs="宋体"/>
          <w:b/>
          <w:bCs/>
          <w:snapToGrid w:val="0"/>
          <w:color w:val="auto"/>
          <w:kern w:val="0"/>
          <w:sz w:val="24"/>
          <w:szCs w:val="24"/>
          <w:highlight w:val="none"/>
        </w:rPr>
        <w:t>资格审查</w:t>
      </w:r>
    </w:p>
    <w:p w14:paraId="724A2CCD">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23.1开标后，采购人或代理机构将依法对</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的资格进行审查。</w:t>
      </w:r>
    </w:p>
    <w:p w14:paraId="0E409B5A">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23.2采购人或代理机构依据法律法规和采购文件的规定，对</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的基本资格条件、特定资格条件进行审查。</w:t>
      </w:r>
    </w:p>
    <w:p w14:paraId="1300C2E8">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23.3</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未按照采购文件要求提供与资格条件相应的有效资格证明材料的，视为</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不具备采购文件中规定的资格要求，其投标无效。</w:t>
      </w:r>
    </w:p>
    <w:p w14:paraId="18E7C17D">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23.4对未通过资格审查的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，采购人或代理机构告知其未通过的原因。</w:t>
      </w:r>
    </w:p>
    <w:p w14:paraId="2244AF3E">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23.5合格</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不足3家的，不再评标。</w:t>
      </w:r>
    </w:p>
    <w:p w14:paraId="7E3AB654">
      <w:pPr>
        <w:pStyle w:val="28"/>
        <w:keepNext w:val="0"/>
        <w:keepLines w:val="0"/>
        <w:pageBreakBefore w:val="0"/>
        <w:kinsoku/>
        <w:wordWrap/>
        <w:overflowPunct/>
        <w:topLinePunct w:val="0"/>
        <w:autoSpaceDE/>
        <w:autoSpaceDN/>
        <w:bidi w:val="0"/>
        <w:spacing w:before="0" w:line="500" w:lineRule="exact"/>
        <w:ind w:firstLine="562"/>
        <w:textAlignment w:val="auto"/>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lang w:val="en-US" w:eastAsia="zh-CN"/>
        </w:rPr>
        <w:t>24.</w:t>
      </w:r>
      <w:r>
        <w:rPr>
          <w:rFonts w:hint="eastAsia" w:ascii="宋体" w:hAnsi="宋体" w:eastAsia="宋体" w:cs="宋体"/>
          <w:b/>
          <w:bCs/>
          <w:snapToGrid w:val="0"/>
          <w:color w:val="auto"/>
          <w:kern w:val="0"/>
          <w:sz w:val="28"/>
          <w:szCs w:val="28"/>
          <w:highlight w:val="none"/>
        </w:rPr>
        <w:t>信用信息查询</w:t>
      </w:r>
    </w:p>
    <w:p w14:paraId="33F5ECC4">
      <w:pPr>
        <w:pStyle w:val="28"/>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.1信用信息查询渠道及截止时间：代理机构将通过“信用中国”网站(www.creditchina.gov.cn)、中国政府采购网(www.ccgp.gov.cn)</w:t>
      </w:r>
      <w:r>
        <w:rPr>
          <w:rFonts w:hint="eastAsia" w:ascii="宋体" w:hAnsi="宋体" w:eastAsia="宋体" w:cs="宋体"/>
          <w:snapToGrid w:val="0"/>
          <w:color w:val="auto"/>
          <w:kern w:val="0"/>
          <w:sz w:val="24"/>
          <w:szCs w:val="24"/>
          <w:highlight w:val="none"/>
          <w:lang w:val="en-US" w:eastAsia="zh-CN"/>
        </w:rPr>
        <w:t>等</w:t>
      </w:r>
      <w:r>
        <w:rPr>
          <w:rFonts w:hint="eastAsia" w:ascii="宋体" w:hAnsi="宋体" w:eastAsia="宋体" w:cs="宋体"/>
          <w:snapToGrid w:val="0"/>
          <w:color w:val="auto"/>
          <w:kern w:val="0"/>
          <w:sz w:val="24"/>
          <w:szCs w:val="24"/>
          <w:highlight w:val="none"/>
        </w:rPr>
        <w:t>渠道查询</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投标截止时间当天</w:t>
      </w:r>
      <w:r>
        <w:rPr>
          <w:rFonts w:hint="eastAsia" w:ascii="宋体" w:hAnsi="宋体" w:eastAsia="宋体" w:cs="宋体"/>
          <w:snapToGrid w:val="0"/>
          <w:color w:val="auto"/>
          <w:kern w:val="0"/>
          <w:sz w:val="24"/>
          <w:szCs w:val="24"/>
          <w:highlight w:val="none"/>
          <w:lang w:val="en-US" w:eastAsia="zh-CN"/>
        </w:rPr>
        <w:t>前三年内</w:t>
      </w:r>
      <w:r>
        <w:rPr>
          <w:rFonts w:hint="eastAsia" w:ascii="宋体" w:hAnsi="宋体" w:eastAsia="宋体" w:cs="宋体"/>
          <w:snapToGrid w:val="0"/>
          <w:color w:val="auto"/>
          <w:kern w:val="0"/>
          <w:sz w:val="24"/>
          <w:szCs w:val="24"/>
          <w:highlight w:val="none"/>
        </w:rPr>
        <w:t>的信用记录。</w:t>
      </w:r>
    </w:p>
    <w:p w14:paraId="2CB766E0">
      <w:pPr>
        <w:pStyle w:val="28"/>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.2信用信息查询记录和证据留存的具体方式：现场查询的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的信用记录、查询结果经确认后将与采购文件一起存档。</w:t>
      </w:r>
    </w:p>
    <w:p w14:paraId="15F96CD1">
      <w:pPr>
        <w:pStyle w:val="28"/>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.3信用信息的使用规则：经查询列入</w:t>
      </w:r>
      <w:r>
        <w:rPr>
          <w:rFonts w:hint="eastAsia" w:ascii="宋体" w:hAnsi="宋体" w:eastAsia="宋体" w:cs="宋体"/>
          <w:color w:val="auto"/>
          <w:sz w:val="24"/>
          <w:szCs w:val="24"/>
          <w:highlight w:val="none"/>
          <w:lang w:val="en-US" w:eastAsia="zh-CN"/>
        </w:rPr>
        <w:t>被列入失信被执行人、重大税收违法案件当事人名单、政府采购严重违法失信行为记录名单及其它不符合《中华人民共和国政府采购法》第二十二条规定条件的情形</w:t>
      </w:r>
      <w:r>
        <w:rPr>
          <w:rFonts w:hint="eastAsia" w:ascii="宋体" w:hAnsi="宋体" w:eastAsia="宋体" w:cs="宋体"/>
          <w:snapToGrid w:val="0"/>
          <w:color w:val="auto"/>
          <w:kern w:val="0"/>
          <w:sz w:val="24"/>
          <w:szCs w:val="24"/>
          <w:highlight w:val="none"/>
        </w:rPr>
        <w:t>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将被拒绝参与政府采购活动。</w:t>
      </w:r>
    </w:p>
    <w:p w14:paraId="2C227C1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.4联合体信用信息查询：两个以上的自然人、法人或者其他组织组成一个联合体，以一个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本项目不适用</w:t>
      </w:r>
      <w:r>
        <w:rPr>
          <w:rFonts w:hint="eastAsia" w:ascii="宋体" w:hAnsi="宋体" w:eastAsia="宋体" w:cs="宋体"/>
          <w:snapToGrid w:val="0"/>
          <w:color w:val="auto"/>
          <w:kern w:val="0"/>
          <w:sz w:val="24"/>
          <w:szCs w:val="24"/>
          <w:highlight w:val="none"/>
          <w:lang w:eastAsia="zh-CN"/>
        </w:rPr>
        <w:t>）</w:t>
      </w:r>
    </w:p>
    <w:p w14:paraId="042387AF">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25.</w:t>
      </w:r>
      <w:r>
        <w:rPr>
          <w:rFonts w:hint="eastAsia" w:ascii="宋体" w:hAnsi="宋体" w:eastAsia="宋体" w:cs="宋体"/>
          <w:b/>
          <w:bCs/>
          <w:color w:val="auto"/>
          <w:sz w:val="28"/>
          <w:szCs w:val="28"/>
          <w:highlight w:val="none"/>
        </w:rPr>
        <w:t>评标程序</w:t>
      </w:r>
    </w:p>
    <w:p w14:paraId="42478BE6">
      <w:pPr>
        <w:pStyle w:val="28"/>
        <w:keepNext w:val="0"/>
        <w:keepLines w:val="0"/>
        <w:pageBreakBefore w:val="0"/>
        <w:kinsoku/>
        <w:wordWrap/>
        <w:overflowPunct/>
        <w:topLinePunct w:val="0"/>
        <w:autoSpaceDE/>
        <w:autoSpaceDN/>
        <w:bidi w:val="0"/>
        <w:spacing w:before="0" w:line="500" w:lineRule="exact"/>
        <w:ind w:firstLine="562"/>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.1符合性审查：</w:t>
      </w:r>
      <w:r>
        <w:rPr>
          <w:rFonts w:hint="eastAsia" w:ascii="宋体" w:hAnsi="宋体" w:eastAsia="宋体" w:cs="宋体"/>
          <w:snapToGrid w:val="0"/>
          <w:color w:val="auto"/>
          <w:kern w:val="0"/>
          <w:sz w:val="24"/>
          <w:szCs w:val="24"/>
          <w:highlight w:val="none"/>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w:t>
      </w:r>
      <w:r>
        <w:rPr>
          <w:rFonts w:hint="eastAsia" w:ascii="宋体" w:hAnsi="宋体" w:eastAsia="宋体" w:cs="宋体"/>
          <w:snapToGrid w:val="0"/>
          <w:color w:val="auto"/>
          <w:kern w:val="0"/>
          <w:sz w:val="24"/>
          <w:szCs w:val="24"/>
          <w:highlight w:val="none"/>
          <w:lang w:val="en-US" w:eastAsia="zh-CN"/>
        </w:rPr>
        <w:t>投标人</w:t>
      </w:r>
      <w:r>
        <w:rPr>
          <w:rFonts w:hint="eastAsia" w:ascii="宋体" w:hAnsi="宋体" w:eastAsia="宋体" w:cs="宋体"/>
          <w:snapToGrid w:val="0"/>
          <w:color w:val="auto"/>
          <w:kern w:val="0"/>
          <w:sz w:val="24"/>
          <w:szCs w:val="24"/>
          <w:highlight w:val="none"/>
        </w:rPr>
        <w:t>的义务方面造成重大的限制，纠正这些显著差异或保留将会对其他实质上响应招标文件要求的投标文件的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的竞争地位产生不公正的影响。评标委员会决定投标文件的响应性只根据投标文件本身的内容，而不寻求外部证据。如果投标文件实质不响应招标文件的各项要求，评标委员会将予以拒绝，并且不允许</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通过修改或撤销其不符合要求的差异或保留，使之成为具有实质性响应的投标。符合投标无效情形的，投标无效。</w:t>
      </w:r>
    </w:p>
    <w:p w14:paraId="5D7937CE">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在符合性审查时，如发现下列情形之一的，投标文件将被视为无效投标：</w:t>
      </w:r>
    </w:p>
    <w:p w14:paraId="037534B5">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单位负责人为同一人或者存在直接控股、管理关系的不同供应商参加同一合同项下的政府采购活动的（均无效）；</w:t>
      </w:r>
    </w:p>
    <w:p w14:paraId="7BAAFEFD">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snapToGrid w:val="0"/>
          <w:color w:val="auto"/>
          <w:kern w:val="0"/>
          <w:sz w:val="24"/>
          <w:szCs w:val="24"/>
          <w:highlight w:val="none"/>
        </w:rPr>
        <w:t>为采购项目提供整体设计、规范编制或者项目管理、监理、检测等服务的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再参加该采购项目的其他采购活动的；</w:t>
      </w:r>
    </w:p>
    <w:p w14:paraId="7E25EAFA">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snapToGrid w:val="0"/>
          <w:color w:val="auto"/>
          <w:kern w:val="0"/>
          <w:sz w:val="24"/>
          <w:szCs w:val="24"/>
          <w:highlight w:val="none"/>
        </w:rPr>
        <w:t>如以联合体形式参加政府采购活动的，联合体协议不符合采购文件规定的联合体协议要求的；</w:t>
      </w:r>
      <w:r>
        <w:rPr>
          <w:rFonts w:hint="eastAsia" w:ascii="宋体" w:hAnsi="宋体" w:eastAsia="宋体" w:cs="宋体"/>
          <w:snapToGrid w:val="0"/>
          <w:color w:val="auto"/>
          <w:kern w:val="0"/>
          <w:sz w:val="24"/>
          <w:szCs w:val="24"/>
          <w:highlight w:val="none"/>
          <w:lang w:eastAsia="zh-CN"/>
        </w:rPr>
        <w:t>；</w:t>
      </w:r>
    </w:p>
    <w:p w14:paraId="193E3636">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snapToGrid w:val="0"/>
          <w:color w:val="auto"/>
          <w:kern w:val="0"/>
          <w:sz w:val="24"/>
          <w:szCs w:val="24"/>
          <w:highlight w:val="none"/>
        </w:rPr>
        <w:t>投标文件未按规定的格式编制的；</w:t>
      </w:r>
    </w:p>
    <w:p w14:paraId="5D8446EE">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snapToGrid w:val="0"/>
          <w:color w:val="auto"/>
          <w:kern w:val="0"/>
          <w:sz w:val="24"/>
          <w:szCs w:val="24"/>
          <w:highlight w:val="none"/>
        </w:rPr>
        <w:t>投标文件未按采购文件的澄清、修改的内容编制，又不符合实质性要求的</w:t>
      </w:r>
      <w:r>
        <w:rPr>
          <w:rFonts w:hint="eastAsia" w:ascii="宋体" w:hAnsi="宋体" w:eastAsia="宋体" w:cs="宋体"/>
          <w:snapToGrid w:val="0"/>
          <w:color w:val="auto"/>
          <w:kern w:val="0"/>
          <w:sz w:val="24"/>
          <w:szCs w:val="24"/>
          <w:highlight w:val="none"/>
          <w:lang w:eastAsia="zh-CN"/>
        </w:rPr>
        <w:t>；</w:t>
      </w:r>
    </w:p>
    <w:p w14:paraId="10204ECC">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snapToGrid w:val="0"/>
          <w:color w:val="auto"/>
          <w:kern w:val="0"/>
          <w:sz w:val="24"/>
          <w:szCs w:val="24"/>
          <w:highlight w:val="none"/>
        </w:rPr>
        <w:t>投标文件组成漏项，内容不全或内容字迹模糊辨认不清的</w:t>
      </w:r>
      <w:r>
        <w:rPr>
          <w:rFonts w:hint="eastAsia" w:ascii="宋体" w:hAnsi="宋体" w:eastAsia="宋体" w:cs="宋体"/>
          <w:snapToGrid w:val="0"/>
          <w:color w:val="auto"/>
          <w:kern w:val="0"/>
          <w:sz w:val="24"/>
          <w:szCs w:val="24"/>
          <w:highlight w:val="none"/>
          <w:lang w:eastAsia="zh-CN"/>
        </w:rPr>
        <w:t>；</w:t>
      </w:r>
    </w:p>
    <w:p w14:paraId="4D75AAEB">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一览表》填写不完整或字迹不能辨认或有漏项的</w:t>
      </w:r>
      <w:r>
        <w:rPr>
          <w:rFonts w:hint="eastAsia" w:ascii="宋体" w:hAnsi="宋体" w:eastAsia="宋体" w:cs="宋体"/>
          <w:snapToGrid w:val="0"/>
          <w:color w:val="auto"/>
          <w:kern w:val="0"/>
          <w:sz w:val="24"/>
          <w:szCs w:val="24"/>
          <w:highlight w:val="none"/>
          <w:lang w:eastAsia="zh-CN"/>
        </w:rPr>
        <w:t>；</w:t>
      </w:r>
    </w:p>
    <w:p w14:paraId="1E059A67">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投标文件未按照招标文件要求签署、盖章的；</w:t>
      </w:r>
    </w:p>
    <w:p w14:paraId="759D2D0B">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采购人拟采购的产品属于政府强制采购的节能产品品目清单范围的，投标人相应的投标产品未获得国家确定的认证机构出具的、处于有效期之内的节能产品认证证书的；</w:t>
      </w:r>
    </w:p>
    <w:p w14:paraId="2090B507">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eastAsia="zh-CN"/>
        </w:rPr>
        <w:t>投标文件含有采购人不能接受的附加条件的；</w:t>
      </w:r>
    </w:p>
    <w:p w14:paraId="6FEA1668">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eastAsia="zh-CN"/>
        </w:rPr>
        <w:t>投标文件中承诺的投标有效期少于招标文件中载明的投标有效期的；</w:t>
      </w:r>
    </w:p>
    <w:p w14:paraId="7A8271AE">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val="en-US" w:eastAsia="zh-CN"/>
        </w:rPr>
        <w:t>投标文件出现不是唯一的、有选择性投标报价的；</w:t>
      </w:r>
    </w:p>
    <w:p w14:paraId="39E4FABE">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eastAsia="zh-CN"/>
        </w:rPr>
        <w:t>投标报价超过招标文件中规定的预算金额或者最高限价的；</w:t>
      </w:r>
    </w:p>
    <w:p w14:paraId="4B962BD6">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lang w:val="en-US" w:eastAsia="zh-CN"/>
        </w:rPr>
        <w:t>报价明显低于其他通过符合性审查投标人的报价，有可能影响产品质量或者不能诚信履约的，未能按要求提供书面说明或者提交相关证明材料，不能证明其报价合理性的；</w:t>
      </w:r>
    </w:p>
    <w:p w14:paraId="7D35BDC9">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lang w:val="en-US" w:eastAsia="zh-CN"/>
        </w:rPr>
        <w:t>投标人对根据修正原则修正后的报价不确认的；</w:t>
      </w:r>
    </w:p>
    <w:p w14:paraId="0C24A051">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szCs w:val="24"/>
          <w:highlight w:val="none"/>
          <w:lang w:val="en-US" w:eastAsia="zh-CN"/>
        </w:rPr>
        <w:t>投标人仅提交备份投标文件，未在电子交易平台传输递交投标文件的，投标无效；</w:t>
      </w:r>
    </w:p>
    <w:p w14:paraId="762F5F94">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（17）</w:t>
      </w:r>
      <w:r>
        <w:rPr>
          <w:rFonts w:hint="eastAsia" w:ascii="宋体" w:hAnsi="宋体" w:eastAsia="宋体" w:cs="宋体"/>
          <w:color w:val="auto"/>
          <w:sz w:val="24"/>
          <w:szCs w:val="24"/>
          <w:highlight w:val="none"/>
          <w:lang w:val="en-US" w:eastAsia="zh-CN"/>
        </w:rPr>
        <w:t>对一个标项存在一个或一个以上备选（替代）投标方案的；</w:t>
      </w:r>
    </w:p>
    <w:p w14:paraId="3B21415D">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2"/>
          <w:highlight w:val="none"/>
          <w:lang w:val="en-US" w:eastAsia="zh-CN" w:bidi="ar-SA"/>
        </w:rPr>
        <w:t>（18）</w:t>
      </w:r>
      <w:r>
        <w:rPr>
          <w:rFonts w:hint="eastAsia" w:ascii="宋体" w:hAnsi="宋体" w:eastAsia="宋体" w:cs="宋体"/>
          <w:color w:val="auto"/>
          <w:sz w:val="24"/>
          <w:szCs w:val="24"/>
          <w:highlight w:val="none"/>
          <w:lang w:val="en-US" w:eastAsia="zh-CN"/>
        </w:rPr>
        <w:t>未采用人民币报价或者未按照招标文件标明的币种报价的；</w:t>
      </w:r>
    </w:p>
    <w:p w14:paraId="05ECAA83">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2"/>
          <w:highlight w:val="none"/>
          <w:lang w:val="en-US" w:eastAsia="zh-CN" w:bidi="ar-SA"/>
        </w:rPr>
        <w:t>（19）</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文件没有对本采购文件作出实质性响应的，或不满足（不响应）本采购文件中标注“▲”的实质性要求条款的，或存在采购文件中明确规定的其他无效响应文件情形的</w:t>
      </w:r>
      <w:r>
        <w:rPr>
          <w:rFonts w:hint="eastAsia" w:ascii="宋体" w:hAnsi="宋体" w:eastAsia="宋体" w:cs="宋体"/>
          <w:color w:val="auto"/>
          <w:sz w:val="24"/>
          <w:highlight w:val="none"/>
          <w:lang w:eastAsia="zh-CN"/>
        </w:rPr>
        <w:t>；</w:t>
      </w:r>
    </w:p>
    <w:p w14:paraId="771503F5">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（20）参与同一标段的供应商，存在以下几种情形：MAC地址相同、计算机硬盘序列号相同、响应文件细节错误一致且无合理解释等情形；</w:t>
      </w:r>
    </w:p>
    <w:p w14:paraId="439562B9">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2"/>
          <w:highlight w:val="none"/>
          <w:lang w:val="en-US" w:eastAsia="zh-CN" w:bidi="ar-SA"/>
        </w:rPr>
        <w:t>（21）</w:t>
      </w:r>
      <w:r>
        <w:rPr>
          <w:rFonts w:hint="eastAsia" w:ascii="宋体" w:hAnsi="宋体" w:eastAsia="宋体" w:cs="宋体"/>
          <w:color w:val="auto"/>
          <w:sz w:val="24"/>
          <w:highlight w:val="none"/>
          <w:lang w:eastAsia="zh-CN"/>
        </w:rPr>
        <w:t>供应商提供虚假材料响应的（包括但不限于以下情节）；</w:t>
      </w:r>
    </w:p>
    <w:p w14:paraId="22065AAA">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使用伪造、变造的许可证件；</w:t>
      </w:r>
    </w:p>
    <w:p w14:paraId="7AE118A7">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提供虚假的财务状况或者业绩；</w:t>
      </w:r>
    </w:p>
    <w:p w14:paraId="412B1421">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提供虚假的项目负责人或者主要技术人员简历、劳动关系证明；</w:t>
      </w:r>
    </w:p>
    <w:p w14:paraId="3CC2DE52">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提供虚假的信用状况；</w:t>
      </w:r>
    </w:p>
    <w:p w14:paraId="75839337">
      <w:pPr>
        <w:pStyle w:val="10"/>
        <w:spacing w:line="500" w:lineRule="exact"/>
        <w:ind w:left="0" w:leftChars="0"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其他弄虚作假的行为。</w:t>
      </w:r>
    </w:p>
    <w:p w14:paraId="2BE3597E">
      <w:pPr>
        <w:pStyle w:val="10"/>
        <w:spacing w:line="500" w:lineRule="exact"/>
        <w:ind w:left="0" w:lef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lang w:eastAsia="zh-CN"/>
        </w:rPr>
        <w:t>供应商有恶意串通、妨碍其他供应商的竞争行为、损害采购人或者其他供应商的合法权益情形的，有下列情形之一的，属于或视为恶意串通，其响应无效：</w:t>
      </w:r>
    </w:p>
    <w:p w14:paraId="5546C4E2">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供应商直接或者间接从采购人或者采购代理机构处获得其他供应商的相关情况并修改其投标文件；</w:t>
      </w:r>
    </w:p>
    <w:p w14:paraId="07D1DC9E">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供应商按照采购人或者采购代理机构的授意撤换、修改投标文件或者响应文件；</w:t>
      </w:r>
    </w:p>
    <w:p w14:paraId="1DA4DCA1">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供应商之间协商报价、技术方案等投标文件或者响应文件的实质性内容；</w:t>
      </w:r>
    </w:p>
    <w:p w14:paraId="2626128F">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属于同一集团、协会、商会等组织成员的供应商按照该组织要求协同参加政府采购活动；</w:t>
      </w:r>
    </w:p>
    <w:p w14:paraId="0EEE5497">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供应商之间事先约定由某一特定供应商中标、成交；</w:t>
      </w:r>
    </w:p>
    <w:p w14:paraId="134F59F6">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供应商之间商定部分供应商放弃参加政府采购活动或者放弃中标、成交；</w:t>
      </w:r>
    </w:p>
    <w:p w14:paraId="7C5B2D60">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供应商与采购人或者采购代理机构之间、供应商相互之间，为谋求特定供应商中标、成交或者排斥其他供应商的其他串通行为。</w:t>
      </w:r>
    </w:p>
    <w:p w14:paraId="4190A805">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不同供应商的响应文件由同一单位或者个人编制；</w:t>
      </w:r>
    </w:p>
    <w:p w14:paraId="3ED9FCA7">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不同供应商委托同一单位或者个人办理响应事宜；</w:t>
      </w:r>
    </w:p>
    <w:p w14:paraId="13EE68D9">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不同供应商的响应文件载明的项目管理成员或者联系人员为同一人；</w:t>
      </w:r>
    </w:p>
    <w:p w14:paraId="4E65B0B4">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rPr>
        <w:t>不同供应商的响应文件异常一致或者最后报价呈规律性差异；</w:t>
      </w:r>
    </w:p>
    <w:p w14:paraId="04E0F353">
      <w:pPr>
        <w:pStyle w:val="10"/>
        <w:spacing w:line="500" w:lineRule="exact"/>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不同供应商的响应文件相互混装</w:t>
      </w:r>
      <w:r>
        <w:rPr>
          <w:rFonts w:hint="eastAsia" w:ascii="宋体" w:hAnsi="宋体" w:eastAsia="宋体" w:cs="宋体"/>
          <w:sz w:val="24"/>
          <w:highlight w:val="none"/>
          <w:lang w:eastAsia="zh-CN"/>
        </w:rPr>
        <w:t>。</w:t>
      </w:r>
    </w:p>
    <w:p w14:paraId="396DBED9">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（23）法律、法规、规章（适用本市的）及省级以上规范性文件（适用本市的）规定的其他无效情形；</w:t>
      </w:r>
    </w:p>
    <w:p w14:paraId="611C91B7">
      <w:pPr>
        <w:pStyle w:val="28"/>
        <w:keepNext w:val="0"/>
        <w:keepLines w:val="0"/>
        <w:pageBreakBefore w:val="0"/>
        <w:kinsoku/>
        <w:wordWrap/>
        <w:overflowPunct/>
        <w:topLinePunct w:val="0"/>
        <w:autoSpaceDE/>
        <w:autoSpaceDN/>
        <w:bidi w:val="0"/>
        <w:spacing w:before="0" w:line="500" w:lineRule="exact"/>
        <w:ind w:firstLine="549"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.2投标人澄清、说明或者补正：</w:t>
      </w:r>
      <w:r>
        <w:rPr>
          <w:rFonts w:hint="eastAsia" w:ascii="宋体" w:hAnsi="宋体" w:eastAsia="宋体" w:cs="宋体"/>
          <w:snapToGrid w:val="0"/>
          <w:color w:val="auto"/>
          <w:kern w:val="0"/>
          <w:sz w:val="24"/>
          <w:szCs w:val="24"/>
          <w:highlight w:val="none"/>
        </w:rPr>
        <w:t>对于投标文件中含义不明确、同类问题表述不一致或者有明显文字和计算错误的内容需要投标人作出必要的澄清、说明或者补正的，评标委员会和</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通过电子交易平台交换数据电文，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提交使用电子签名的相关数据电文或通过平台上传加盖公章的扫描件。给予</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提交澄清、说明或补正的时间不得少于半小时，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已经明确表示澄清说明或补正完毕的除外。</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的澄清、说明或者补正不得超出投标文件的范围或者改变投标文件的实质性内容。</w:t>
      </w:r>
    </w:p>
    <w:p w14:paraId="33519102">
      <w:pPr>
        <w:pStyle w:val="28"/>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color w:val="auto"/>
          <w:kern w:val="0"/>
          <w:sz w:val="22"/>
          <w:szCs w:val="22"/>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.3比较与评价：</w:t>
      </w:r>
      <w:r>
        <w:rPr>
          <w:rFonts w:hint="eastAsia" w:ascii="宋体" w:hAnsi="宋体" w:eastAsia="宋体" w:cs="宋体"/>
          <w:snapToGrid w:val="0"/>
          <w:color w:val="auto"/>
          <w:kern w:val="0"/>
          <w:sz w:val="24"/>
          <w:szCs w:val="24"/>
          <w:highlight w:val="none"/>
        </w:rPr>
        <w:t>评标委员会应当按照评标标准，对符合性审查合格的投标文件进行商务和技术评估，综合比较与评价。</w:t>
      </w:r>
    </w:p>
    <w:p w14:paraId="76D40F04">
      <w:pPr>
        <w:pStyle w:val="28"/>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color w:val="auto"/>
          <w:kern w:val="0"/>
          <w:sz w:val="22"/>
          <w:szCs w:val="22"/>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.4汇总（商务技术得分情况）：</w:t>
      </w:r>
      <w:r>
        <w:rPr>
          <w:rFonts w:hint="eastAsia" w:ascii="宋体" w:hAnsi="宋体" w:eastAsia="宋体" w:cs="宋体"/>
          <w:snapToGrid w:val="0"/>
          <w:color w:val="auto"/>
          <w:kern w:val="0"/>
          <w:sz w:val="24"/>
          <w:szCs w:val="24"/>
          <w:highlight w:val="none"/>
        </w:rPr>
        <w:t>评标委员会各成员应当独立对每个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的商务和技术文件进行评价，并汇总商务技术得分情况。</w:t>
      </w:r>
    </w:p>
    <w:p w14:paraId="2BDB16FD">
      <w:pPr>
        <w:pStyle w:val="28"/>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.5报价审核：</w:t>
      </w:r>
      <w:r>
        <w:rPr>
          <w:rFonts w:hint="eastAsia" w:ascii="宋体" w:hAnsi="宋体" w:eastAsia="宋体" w:cs="宋体"/>
          <w:snapToGrid w:val="0"/>
          <w:color w:val="auto"/>
          <w:kern w:val="0"/>
          <w:sz w:val="24"/>
          <w:szCs w:val="24"/>
          <w:highlight w:val="none"/>
        </w:rPr>
        <w:t>对经商务和技术评审符合采购需求的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的报价的合理性、准确性等进行审查核实。</w:t>
      </w:r>
    </w:p>
    <w:p w14:paraId="20541790">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.5.1评标委员会认为</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的报价明显低于其他通过符合性审查</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的报价，有可能影响产品质量或者不能诚信履约的，应当要求其在合理的时间内提供书面说明，必要时提交相关证明材料。</w:t>
      </w:r>
    </w:p>
    <w:p w14:paraId="155C3E21">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投标价格的修正原则。投标文件报价出现前后不一致的，按照下列规定修正：</w:t>
      </w:r>
    </w:p>
    <w:p w14:paraId="3B92EB66">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.1投标文件中</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一览表内容与投标文件中相应内容不一致的，以</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一览表为准;</w:t>
      </w:r>
    </w:p>
    <w:p w14:paraId="3B5CA8FF">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.2大写金额和小写金额不一致的，以大写金额为准;</w:t>
      </w:r>
    </w:p>
    <w:p w14:paraId="149CD8BC">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.3单价金额小数点或者百分比有明显错位的，以</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一览表的总价为准，并修改单价;</w:t>
      </w:r>
    </w:p>
    <w:p w14:paraId="21BDE9F3">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.4总价金额与按单价汇总金额不一致的，以单价金额计算结果为准。</w:t>
      </w:r>
    </w:p>
    <w:p w14:paraId="0AF1EAF2">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同时出现两种以上不一致的，按照前款规定的顺序修正。修正后的报价按照财政部第87号令《政府采购货物和服务招标投标管理办法》第五十一条第二款的规定经</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确认后产生约束力。</w:t>
      </w:r>
    </w:p>
    <w:p w14:paraId="646ABFAF">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rPr>
        <w:t>供应商对根据修正原则修正后的报价不确认的，投标无效。采购人将以合同形式有偿取得货物或服务，不接受供应商给予的赠品、回扣或者与采购无关的其他商品、服务。</w:t>
      </w:r>
    </w:p>
    <w:p w14:paraId="4AD80F8E">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25.6汇总得分：评标委员会各成员应当独立对每个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bidi="ar-SA"/>
        </w:rPr>
        <w:t>的投标文件进行评价，并汇总每个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bidi="ar-SA"/>
        </w:rPr>
        <w:t>的得分。</w:t>
      </w:r>
    </w:p>
    <w:p w14:paraId="77175651">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lang w:val="en-US" w:eastAsia="zh-CN"/>
        </w:rPr>
        <w:t>26.</w:t>
      </w:r>
      <w:r>
        <w:rPr>
          <w:rFonts w:hint="eastAsia" w:ascii="宋体" w:hAnsi="宋体" w:eastAsia="宋体" w:cs="宋体"/>
          <w:b/>
          <w:bCs/>
          <w:snapToGrid w:val="0"/>
          <w:color w:val="auto"/>
          <w:kern w:val="0"/>
          <w:sz w:val="28"/>
          <w:szCs w:val="28"/>
          <w:highlight w:val="none"/>
        </w:rPr>
        <w:t>顺序排列与中标候选推荐</w:t>
      </w:r>
    </w:p>
    <w:p w14:paraId="15020267">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FF0000"/>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26</w:t>
      </w:r>
      <w:r>
        <w:rPr>
          <w:rFonts w:hint="eastAsia" w:ascii="宋体" w:hAnsi="宋体" w:eastAsia="宋体" w:cs="宋体"/>
          <w:snapToGrid w:val="0"/>
          <w:color w:val="auto"/>
          <w:kern w:val="0"/>
          <w:sz w:val="24"/>
          <w:szCs w:val="24"/>
          <w:highlight w:val="none"/>
        </w:rPr>
        <w:t>.1评标结果按评审后得分由高到低顺序排列，确定综合得分最高的供应商为第一中标人，得分第二高者为第二中标候选人，得分第三高者为第三中标候选人。如出现综合得分相同时，投标报价低的优先；如综合得分和投标报价均相同，则现场抽签确定</w:t>
      </w:r>
      <w:r>
        <w:rPr>
          <w:rFonts w:hint="eastAsia" w:ascii="宋体" w:hAnsi="宋体" w:eastAsia="宋体" w:cs="宋体"/>
          <w:snapToGrid w:val="0"/>
          <w:color w:val="auto"/>
          <w:kern w:val="0"/>
          <w:sz w:val="24"/>
          <w:szCs w:val="24"/>
          <w:highlight w:val="none"/>
          <w:lang w:eastAsia="zh-CN"/>
        </w:rPr>
        <w:t>。</w:t>
      </w:r>
    </w:p>
    <w:p w14:paraId="215B6135">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.2使用综合评分法的采购项目，提供相同品牌产品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单一产品采购项目中的该产品或者非单一产品采购项目的核心产品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本项目不适用</w:t>
      </w:r>
      <w:r>
        <w:rPr>
          <w:rFonts w:hint="eastAsia" w:ascii="宋体" w:hAnsi="宋体" w:eastAsia="宋体" w:cs="宋体"/>
          <w:snapToGrid w:val="0"/>
          <w:color w:val="auto"/>
          <w:kern w:val="0"/>
          <w:sz w:val="24"/>
          <w:szCs w:val="24"/>
          <w:highlight w:val="none"/>
          <w:lang w:eastAsia="zh-CN"/>
        </w:rPr>
        <w:t>）</w:t>
      </w:r>
    </w:p>
    <w:p w14:paraId="2E123A15">
      <w:pPr>
        <w:pStyle w:val="11"/>
        <w:keepNext w:val="0"/>
        <w:keepLines w:val="0"/>
        <w:pageBreakBefore w:val="0"/>
        <w:kinsoku/>
        <w:wordWrap/>
        <w:overflowPunct/>
        <w:topLinePunct w:val="0"/>
        <w:autoSpaceDE/>
        <w:autoSpaceDN/>
        <w:bidi w:val="0"/>
        <w:spacing w:line="500" w:lineRule="exact"/>
        <w:ind w:firstLine="562" w:firstLineChars="200"/>
        <w:textAlignment w:val="auto"/>
        <w:rPr>
          <w:rFonts w:hint="eastAsia" w:ascii="宋体" w:hAnsi="宋体" w:eastAsia="宋体" w:cs="宋体"/>
          <w:b/>
          <w:bCs/>
          <w:snapToGrid w:val="0"/>
          <w:color w:val="auto"/>
          <w:kern w:val="0"/>
          <w:sz w:val="28"/>
          <w:szCs w:val="28"/>
          <w:highlight w:val="none"/>
          <w:lang w:val="en-US" w:eastAsia="zh-CN" w:bidi="ar-SA"/>
        </w:rPr>
      </w:pPr>
      <w:r>
        <w:rPr>
          <w:rFonts w:hint="eastAsia" w:ascii="宋体" w:hAnsi="宋体" w:eastAsia="宋体" w:cs="宋体"/>
          <w:b/>
          <w:bCs/>
          <w:snapToGrid w:val="0"/>
          <w:color w:val="auto"/>
          <w:kern w:val="0"/>
          <w:sz w:val="28"/>
          <w:szCs w:val="28"/>
          <w:highlight w:val="none"/>
          <w:lang w:val="en-US" w:eastAsia="zh-CN" w:bidi="ar-SA"/>
        </w:rPr>
        <w:t>27.在招标采购中，出现下列情形之一的，应予废标：</w:t>
      </w:r>
    </w:p>
    <w:p w14:paraId="3FCE4FCC">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根据《中华人民共和国政府采购法》第三十六条之规定，在采购中，出现下列情形之一的，应予废标：</w:t>
      </w:r>
    </w:p>
    <w:p w14:paraId="31AA83CB">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.1符合专业条件的供应商或者对招标文件作实质响应的供应商不足3家的；</w:t>
      </w:r>
    </w:p>
    <w:p w14:paraId="05825512">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.2出现影响采购公正的违法、违规行为的；</w:t>
      </w:r>
    </w:p>
    <w:p w14:paraId="73B5F8E1">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.3供应商的报价均超过了采购预算，采购人不能支付的；</w:t>
      </w:r>
    </w:p>
    <w:p w14:paraId="7DA6D395">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.4因重大变故，采购任务取消的。</w:t>
      </w:r>
    </w:p>
    <w:p w14:paraId="11756D75">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废标后，代理机构应当将废标理由通知所有供应商。</w:t>
      </w:r>
    </w:p>
    <w:p w14:paraId="629E49B0">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宋体" w:hAnsi="宋体" w:eastAsia="宋体" w:cs="宋体"/>
          <w:b/>
          <w:color w:val="auto"/>
          <w:sz w:val="32"/>
          <w:highlight w:val="none"/>
        </w:rPr>
      </w:pPr>
      <w:r>
        <w:rPr>
          <w:rFonts w:hint="eastAsia" w:ascii="宋体" w:hAnsi="宋体" w:eastAsia="宋体" w:cs="宋体"/>
          <w:b/>
          <w:bCs/>
          <w:color w:val="auto"/>
          <w:sz w:val="28"/>
          <w:szCs w:val="24"/>
          <w:highlight w:val="none"/>
          <w:lang w:val="en-US" w:eastAsia="zh-CN"/>
        </w:rPr>
        <w:t>28.</w:t>
      </w:r>
      <w:r>
        <w:rPr>
          <w:rFonts w:hint="eastAsia" w:ascii="宋体" w:hAnsi="宋体" w:eastAsia="宋体" w:cs="宋体"/>
          <w:b/>
          <w:color w:val="auto"/>
          <w:kern w:val="2"/>
          <w:sz w:val="28"/>
          <w:szCs w:val="24"/>
          <w:highlight w:val="none"/>
          <w:lang w:val="en-US" w:eastAsia="zh-CN" w:bidi="ar-SA"/>
        </w:rPr>
        <w:t>重新组织采购</w:t>
      </w:r>
    </w:p>
    <w:p w14:paraId="0A582C03">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color w:val="auto"/>
          <w:sz w:val="24"/>
          <w:szCs w:val="22"/>
          <w:highlight w:val="none"/>
          <w:lang w:val="en-US" w:eastAsia="zh-CN"/>
        </w:rPr>
        <w:t>28</w:t>
      </w:r>
      <w:r>
        <w:rPr>
          <w:rFonts w:hint="eastAsia" w:ascii="宋体" w:hAnsi="宋体" w:eastAsia="宋体" w:cs="宋体"/>
          <w:b/>
          <w:color w:val="auto"/>
          <w:sz w:val="24"/>
          <w:szCs w:val="22"/>
          <w:highlight w:val="none"/>
        </w:rPr>
        <w:t>.1修改招标文件，重新组织采购活动。</w:t>
      </w:r>
      <w:r>
        <w:rPr>
          <w:rFonts w:hint="eastAsia" w:ascii="宋体" w:hAnsi="宋体" w:eastAsia="宋体" w:cs="宋体"/>
          <w:color w:val="auto"/>
          <w:sz w:val="24"/>
          <w:szCs w:val="22"/>
          <w:highlight w:val="none"/>
        </w:rPr>
        <w:t>评标委员会发现采购文件存在歧义、重大缺陷导致评标工作无法进行，或者采购文件内容违反国家有关强制性规定的，将停止评标工作，并与采购人、代理机构沟通并作书面记录。采购人、代理机构确认后，将修改采购文件，重新组织采购活动。</w:t>
      </w:r>
    </w:p>
    <w:p w14:paraId="4156A6FC">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color w:val="auto"/>
          <w:kern w:val="0"/>
          <w:sz w:val="24"/>
          <w:szCs w:val="22"/>
          <w:highlight w:val="none"/>
          <w:lang w:val="en-US" w:eastAsia="zh-CN"/>
        </w:rPr>
        <w:t>28</w:t>
      </w:r>
      <w:r>
        <w:rPr>
          <w:rFonts w:hint="eastAsia" w:ascii="宋体" w:hAnsi="宋体" w:eastAsia="宋体" w:cs="宋体"/>
          <w:b/>
          <w:color w:val="auto"/>
          <w:kern w:val="0"/>
          <w:sz w:val="24"/>
          <w:szCs w:val="22"/>
          <w:highlight w:val="none"/>
        </w:rPr>
        <w:t>.2重新开展采购。</w:t>
      </w:r>
      <w:r>
        <w:rPr>
          <w:rFonts w:hint="eastAsia" w:ascii="宋体" w:hAnsi="宋体" w:eastAsia="宋体" w:cs="宋体"/>
          <w:color w:val="auto"/>
          <w:sz w:val="24"/>
          <w:szCs w:val="22"/>
          <w:highlight w:val="none"/>
        </w:rPr>
        <w:t>有政府采购法第七十一条、第七十二条规定的违法行为之一，影响或者可能影响中标、成交结果的，依照下列规定处理：</w:t>
      </w:r>
    </w:p>
    <w:p w14:paraId="6E70BF0D">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.2.1未确定中标或者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的，终止本次政府采购活动，重新开展政府采购活动。</w:t>
      </w:r>
    </w:p>
    <w:p w14:paraId="16DD1836">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.2.2已确定中标或者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但尚未签订政府采购合同的，中标或者成交结果无效，从合格的中标或者成交候选人中另行确定中标或者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；没有合格的中标或者成交候选人的，重新开展政府采购活动。</w:t>
      </w:r>
    </w:p>
    <w:p w14:paraId="197F9F72">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.2.3政府采购合同已签订但尚未履行的，撤销合同，从合格的中标或者成交候选人中另行确定中标或者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；没有合格的中标或者成交候选人的，重新开展政府采购活动。</w:t>
      </w:r>
    </w:p>
    <w:p w14:paraId="275E0482">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.2.4政府采购合同已经履行，给采购人、供应商造成损失的，由责任人承担赔偿责任。</w:t>
      </w:r>
    </w:p>
    <w:p w14:paraId="3AC6522C">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.2.5政府采购当事人有其他违反政府采购法或者本条例规定的行为，经改正后仍然影响或者可能影响中标、成交结果或者依法被认定为中标、成交无效的，依照2</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.2.1-2</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.2.4规定处理。</w:t>
      </w:r>
    </w:p>
    <w:p w14:paraId="3454B1D8">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bookmarkStart w:id="39" w:name="_Toc26186"/>
      <w:bookmarkStart w:id="40" w:name="_Toc251566655"/>
      <w:bookmarkStart w:id="41" w:name="_Toc25029"/>
      <w:bookmarkStart w:id="42" w:name="_Toc16847"/>
      <w:bookmarkStart w:id="43" w:name="_Toc240450082"/>
      <w:r>
        <w:rPr>
          <w:rFonts w:hint="eastAsia" w:ascii="宋体" w:hAnsi="宋体" w:eastAsia="宋体" w:cs="宋体"/>
          <w:b/>
          <w:bCs/>
          <w:color w:val="auto"/>
          <w:sz w:val="28"/>
          <w:szCs w:val="24"/>
          <w:highlight w:val="none"/>
        </w:rPr>
        <w:t>六、确定</w:t>
      </w:r>
      <w:r>
        <w:rPr>
          <w:rFonts w:hint="eastAsia" w:ascii="宋体" w:hAnsi="宋体" w:eastAsia="宋体" w:cs="宋体"/>
          <w:b/>
          <w:bCs/>
          <w:color w:val="auto"/>
          <w:sz w:val="28"/>
          <w:szCs w:val="24"/>
          <w:highlight w:val="none"/>
          <w:lang w:eastAsia="zh-CN"/>
        </w:rPr>
        <w:t>中标供应商</w:t>
      </w:r>
      <w:r>
        <w:rPr>
          <w:rFonts w:hint="eastAsia" w:ascii="宋体" w:hAnsi="宋体" w:eastAsia="宋体" w:cs="宋体"/>
          <w:b/>
          <w:bCs/>
          <w:color w:val="auto"/>
          <w:sz w:val="28"/>
          <w:szCs w:val="24"/>
          <w:highlight w:val="none"/>
        </w:rPr>
        <w:t>及授予合同</w:t>
      </w:r>
      <w:bookmarkEnd w:id="39"/>
      <w:bookmarkEnd w:id="40"/>
      <w:bookmarkEnd w:id="41"/>
      <w:bookmarkEnd w:id="42"/>
      <w:bookmarkEnd w:id="43"/>
    </w:p>
    <w:p w14:paraId="33DA619E">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29.</w:t>
      </w:r>
      <w:r>
        <w:rPr>
          <w:rFonts w:hint="eastAsia" w:ascii="宋体" w:hAnsi="宋体" w:eastAsia="宋体" w:cs="宋体"/>
          <w:b/>
          <w:color w:val="auto"/>
          <w:sz w:val="28"/>
          <w:szCs w:val="28"/>
          <w:highlight w:val="none"/>
        </w:rPr>
        <w:t>中标供应商的确定</w:t>
      </w:r>
    </w:p>
    <w:p w14:paraId="0625AB46">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.1采购代理机构应当自评审结束之日起2个工作日内将评审报告送交采购人。</w:t>
      </w:r>
    </w:p>
    <w:p w14:paraId="290D51E3">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采购人应当自收到评标报告之日起５个工作日内，在评标报告确定的中标候选人名单中按顺序确定中标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。中标候选人并列的，由采购人或者采购人委托评标委员会按照采购文件规定的方式确定中标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；采购文件未规定的，采取随机抽取的方式确定。</w:t>
      </w:r>
    </w:p>
    <w:p w14:paraId="15051695">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采购人在收到评标报告5个工作日内未按评标报告推荐的中标候选人顺序确定中标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，又不能说明合法理由的，视同按评标报告推荐的顺序确定排名第一的中标候选人为中标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164C41F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采购人或者采购代理机构应当自中标候选人确定之日起2个工作日内，在原招标公告发布媒体上公告中标结果，采购文件应当随中标结果同时公告。</w:t>
      </w:r>
    </w:p>
    <w:p w14:paraId="05EB9D0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公告期限为1个工作日。</w:t>
      </w:r>
    </w:p>
    <w:p w14:paraId="7EE8328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.2除国务院财政部门规定的情形外，采购人、采购代理机构不得以任何理由组织重新评审。采购人、采购代理机构按照国务院财政部门的规定组织重新评审的，应当书面报告本级人民政府财政部门。</w:t>
      </w:r>
    </w:p>
    <w:p w14:paraId="7E79B65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.3中标通知书发出后，采购人不得违法改变中标结果，中标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无正当理由不得放弃中标。</w:t>
      </w:r>
    </w:p>
    <w:p w14:paraId="7BBFAD55">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30.</w:t>
      </w:r>
      <w:r>
        <w:rPr>
          <w:rFonts w:hint="eastAsia" w:ascii="宋体" w:hAnsi="宋体" w:eastAsia="宋体" w:cs="宋体"/>
          <w:b/>
          <w:color w:val="auto"/>
          <w:sz w:val="28"/>
          <w:szCs w:val="28"/>
          <w:highlight w:val="none"/>
        </w:rPr>
        <w:t>合同授予</w:t>
      </w:r>
    </w:p>
    <w:p w14:paraId="5A35025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.1本项目的合同将授予按本须知第</w:t>
      </w: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.1款所确定的中标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63FDD0F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.2中标或者</w:t>
      </w:r>
      <w:r>
        <w:rPr>
          <w:rFonts w:hint="eastAsia" w:ascii="宋体" w:hAnsi="宋体" w:eastAsia="宋体" w:cs="宋体"/>
          <w:snapToGrid w:val="0"/>
          <w:color w:val="auto"/>
          <w:kern w:val="0"/>
          <w:sz w:val="24"/>
          <w:szCs w:val="24"/>
          <w:highlight w:val="none"/>
          <w:lang w:eastAsia="zh-CN"/>
        </w:rPr>
        <w:t>中标供应商</w:t>
      </w:r>
      <w:r>
        <w:rPr>
          <w:rFonts w:hint="eastAsia" w:ascii="宋体" w:hAnsi="宋体" w:eastAsia="宋体" w:cs="宋体"/>
          <w:snapToGrid w:val="0"/>
          <w:color w:val="auto"/>
          <w:kern w:val="0"/>
          <w:sz w:val="24"/>
          <w:szCs w:val="24"/>
          <w:highlight w:val="none"/>
        </w:rPr>
        <w:t>拒绝与采购人签订合同的，采购人可以重新开展政府采购活动。</w:t>
      </w:r>
    </w:p>
    <w:p w14:paraId="7BE6BFF9">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31.</w:t>
      </w:r>
      <w:r>
        <w:rPr>
          <w:rFonts w:hint="eastAsia" w:ascii="宋体" w:hAnsi="宋体" w:eastAsia="宋体" w:cs="宋体"/>
          <w:b/>
          <w:color w:val="auto"/>
          <w:sz w:val="28"/>
          <w:szCs w:val="28"/>
          <w:highlight w:val="none"/>
        </w:rPr>
        <w:t>签订合同</w:t>
      </w:r>
    </w:p>
    <w:p w14:paraId="5A72897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.1中标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应按中标通知书规定的时间与采购人签订合同。中标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在领取中标通知书时须向采购人提供一份关于本项目在实施过程中的相关人员的通讯录作为合同附件。</w:t>
      </w:r>
    </w:p>
    <w:p w14:paraId="28BB397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.2中标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如不遵守采购文件或投标文件各项条款的邀约与要约，或在接到中标通知书后借故拖延，拒签合同的，采购人将依据国家和采购文件有关规定要求中标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予以赔偿，同时采购人可根据</w:t>
      </w:r>
      <w:r>
        <w:rPr>
          <w:rFonts w:hint="eastAsia" w:ascii="宋体" w:hAnsi="宋体" w:eastAsia="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rPr>
        <w:t>.2的原则重新开展政府采购活动；</w:t>
      </w:r>
    </w:p>
    <w:p w14:paraId="6717001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.3采购文件、中标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的投标文件及投标修改文件、评标过程中有关澄清文件及经投标人法定代表人</w:t>
      </w:r>
      <w:r>
        <w:rPr>
          <w:rFonts w:hint="eastAsia" w:ascii="宋体" w:hAnsi="宋体" w:eastAsia="宋体" w:cs="宋体"/>
          <w:snapToGrid w:val="0"/>
          <w:color w:val="auto"/>
          <w:kern w:val="0"/>
          <w:sz w:val="24"/>
          <w:szCs w:val="24"/>
          <w:highlight w:val="none"/>
          <w:lang w:val="en-US" w:eastAsia="zh-CN"/>
        </w:rPr>
        <w:t>(或负责人)</w:t>
      </w:r>
      <w:r>
        <w:rPr>
          <w:rFonts w:hint="eastAsia" w:ascii="宋体" w:hAnsi="宋体" w:eastAsia="宋体" w:cs="宋体"/>
          <w:snapToGrid w:val="0"/>
          <w:color w:val="auto"/>
          <w:kern w:val="0"/>
          <w:sz w:val="24"/>
          <w:szCs w:val="24"/>
          <w:highlight w:val="none"/>
        </w:rPr>
        <w:t>或授权代表签字确认的询标回复和承诺及中标通知书均作为合同组成部分。</w:t>
      </w:r>
    </w:p>
    <w:p w14:paraId="1C2A507E">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32.</w:t>
      </w:r>
      <w:r>
        <w:rPr>
          <w:rFonts w:hint="eastAsia" w:ascii="宋体" w:hAnsi="宋体" w:eastAsia="宋体" w:cs="宋体"/>
          <w:b/>
          <w:color w:val="auto"/>
          <w:sz w:val="28"/>
          <w:szCs w:val="28"/>
          <w:highlight w:val="none"/>
        </w:rPr>
        <w:t>履约保证金</w:t>
      </w:r>
    </w:p>
    <w:p w14:paraId="310DEF75">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32.1</w:t>
      </w:r>
      <w:r>
        <w:rPr>
          <w:rFonts w:hint="eastAsia" w:ascii="宋体" w:hAnsi="宋体" w:eastAsia="宋体" w:cs="宋体"/>
          <w:bCs/>
          <w:sz w:val="24"/>
          <w:highlight w:val="none"/>
          <w:lang w:val="en-US" w:eastAsia="zh-CN"/>
        </w:rPr>
        <w:t>合同签订之日起15个工作日内</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应</w:t>
      </w:r>
      <w:r>
        <w:rPr>
          <w:rFonts w:hint="eastAsia" w:ascii="宋体" w:hAnsi="宋体" w:eastAsia="宋体" w:cs="宋体"/>
          <w:bCs/>
          <w:sz w:val="24"/>
          <w:highlight w:val="none"/>
        </w:rPr>
        <w:t>通过基本账户以银行转账方式缴纳或采用银行保函或保险公司保函</w:t>
      </w:r>
      <w:r>
        <w:rPr>
          <w:rFonts w:hint="eastAsia" w:ascii="宋体" w:hAnsi="宋体" w:eastAsia="宋体" w:cs="宋体"/>
          <w:snapToGrid w:val="0"/>
          <w:color w:val="auto"/>
          <w:kern w:val="0"/>
          <w:sz w:val="24"/>
          <w:szCs w:val="24"/>
          <w:highlight w:val="none"/>
        </w:rPr>
        <w:t>向采购人交纳</w:t>
      </w:r>
      <w:r>
        <w:rPr>
          <w:rFonts w:hint="eastAsia" w:ascii="宋体" w:hAnsi="宋体" w:eastAsia="宋体" w:cs="宋体"/>
          <w:b/>
          <w:bCs/>
          <w:snapToGrid w:val="0"/>
          <w:color w:val="auto"/>
          <w:kern w:val="0"/>
          <w:sz w:val="24"/>
          <w:szCs w:val="24"/>
          <w:highlight w:val="none"/>
          <w:u w:val="single"/>
          <w:lang w:val="en-US" w:eastAsia="zh-CN"/>
        </w:rPr>
        <w:t>中标价（暂定合同价）</w:t>
      </w:r>
      <w:r>
        <w:rPr>
          <w:rFonts w:hint="eastAsia" w:ascii="宋体" w:hAnsi="宋体" w:eastAsia="宋体" w:cs="宋体"/>
          <w:snapToGrid w:val="0"/>
          <w:color w:val="auto"/>
          <w:kern w:val="0"/>
          <w:sz w:val="24"/>
          <w:szCs w:val="24"/>
          <w:highlight w:val="none"/>
        </w:rPr>
        <w:t>1%的履约保证金</w:t>
      </w:r>
      <w:r>
        <w:rPr>
          <w:rFonts w:hint="eastAsia" w:ascii="宋体" w:hAnsi="宋体" w:eastAsia="宋体" w:cs="宋体"/>
          <w:kern w:val="0"/>
          <w:sz w:val="24"/>
          <w:highlight w:val="none"/>
          <w:lang w:eastAsia="zh-CN"/>
        </w:rPr>
        <w:t>。</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具体要求详见第三章采购内容及要求、第四章合同主要条款规定。</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rPr>
        <w:t>。</w:t>
      </w:r>
    </w:p>
    <w:p w14:paraId="48E84D81">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32.2</w:t>
      </w:r>
      <w:r>
        <w:rPr>
          <w:rFonts w:hint="eastAsia" w:ascii="宋体" w:hAnsi="宋体" w:eastAsia="宋体" w:cs="宋体"/>
          <w:snapToGrid w:val="0"/>
          <w:color w:val="auto"/>
          <w:kern w:val="0"/>
          <w:sz w:val="24"/>
          <w:szCs w:val="24"/>
          <w:highlight w:val="none"/>
        </w:rPr>
        <w:t>履约保证金用于补偿采购人因</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供应商不能完成其合同义务而蒙受的损失。</w:t>
      </w:r>
    </w:p>
    <w:p w14:paraId="0D68763B">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32.3</w:t>
      </w:r>
      <w:r>
        <w:rPr>
          <w:rFonts w:hint="eastAsia" w:ascii="宋体" w:hAnsi="宋体" w:eastAsia="宋体" w:cs="宋体"/>
          <w:snapToGrid w:val="0"/>
          <w:color w:val="auto"/>
          <w:kern w:val="0"/>
          <w:sz w:val="24"/>
          <w:szCs w:val="24"/>
          <w:highlight w:val="none"/>
        </w:rPr>
        <w:t>履约保证金在</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供应商按合同完成所有服务内容后，如采用电汇、转账方式缴纳则退还给</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扣除合同约定的违约金后</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w:t>
      </w:r>
    </w:p>
    <w:p w14:paraId="77C9E931">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33.</w:t>
      </w:r>
      <w:r>
        <w:rPr>
          <w:rFonts w:hint="eastAsia" w:ascii="宋体" w:hAnsi="宋体" w:eastAsia="宋体" w:cs="宋体"/>
          <w:b/>
          <w:color w:val="auto"/>
          <w:sz w:val="28"/>
          <w:szCs w:val="28"/>
          <w:highlight w:val="none"/>
        </w:rPr>
        <w:t>采购代理服务费</w:t>
      </w:r>
    </w:p>
    <w:p w14:paraId="0ED5393F">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详见投标须知前附表</w:t>
      </w:r>
      <w:r>
        <w:rPr>
          <w:rFonts w:hint="eastAsia" w:ascii="宋体" w:hAnsi="宋体" w:eastAsia="宋体" w:cs="宋体"/>
          <w:b/>
          <w:bCs/>
          <w:color w:val="auto"/>
          <w:sz w:val="24"/>
          <w:szCs w:val="24"/>
          <w:highlight w:val="none"/>
        </w:rPr>
        <w:t>。</w:t>
      </w:r>
    </w:p>
    <w:p w14:paraId="6F17C4B7">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34.</w:t>
      </w:r>
      <w:r>
        <w:rPr>
          <w:rFonts w:hint="eastAsia" w:ascii="宋体" w:hAnsi="宋体" w:eastAsia="宋体" w:cs="宋体"/>
          <w:b/>
          <w:snapToGrid w:val="0"/>
          <w:color w:val="auto"/>
          <w:kern w:val="0"/>
          <w:sz w:val="28"/>
          <w:szCs w:val="28"/>
          <w:highlight w:val="none"/>
        </w:rPr>
        <w:t>质疑与投诉</w:t>
      </w:r>
    </w:p>
    <w:p w14:paraId="45EA9F8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146E249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质疑函范本、投诉书范本请到浙江政府采购网下载专区下载。</w:t>
      </w:r>
    </w:p>
    <w:p w14:paraId="468C8EA1">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.1</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询问</w:t>
      </w:r>
    </w:p>
    <w:p w14:paraId="53CEDE4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对政府采购活动事项有疑问的，可以向采购机构提出询问，采购人或者采购代理机构应当在3个工作日内对</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依法提出的询问作出答复，但答复的内容不得涉及商业秘密。</w:t>
      </w:r>
    </w:p>
    <w:p w14:paraId="15046269">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.2</w:t>
      </w: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质疑</w:t>
      </w:r>
    </w:p>
    <w:p w14:paraId="787BBE7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认为采购文件、采购过程、中标或者成交结果使自己的权益受到损害的，可以在知道或者应知其权益受到损害之日起7个工作日内，以书面形式向采购人、采购代理机构提出质疑。</w:t>
      </w:r>
    </w:p>
    <w:p w14:paraId="01D13D0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本项目要求</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在法定质疑期内一次性提出针对同一采购程序环节的质疑。</w:t>
      </w:r>
    </w:p>
    <w:p w14:paraId="761AC3B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.2.2提出质疑的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（以下简称质疑人）应当是参与所质疑项目采购活动的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3B6299B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潜在</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已依法获取其可质疑的采购文件的，可以对该文件提出质疑。对采购文件提出质疑的，应当在获取采购文件或者采购文件公告期限届满之日起7个工作日内提出。</w:t>
      </w:r>
    </w:p>
    <w:p w14:paraId="44EA564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.2.3</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提出质疑应当提交质疑函和必要的证明材料。质疑函应当包括下列内容：</w:t>
      </w:r>
    </w:p>
    <w:p w14:paraId="6590BC4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的姓名或者名称、地址、邮编、联系人及联系电话；</w:t>
      </w:r>
    </w:p>
    <w:p w14:paraId="1E907FA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（二）质疑项目的名称、编号；</w:t>
      </w:r>
    </w:p>
    <w:p w14:paraId="09254D1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（三）具体、明确的质疑事项和与质疑事项相关的请求；</w:t>
      </w:r>
    </w:p>
    <w:p w14:paraId="0935FB8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（四）事实依据；</w:t>
      </w:r>
    </w:p>
    <w:p w14:paraId="1DB9287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（五）必要的法律依据；</w:t>
      </w:r>
    </w:p>
    <w:p w14:paraId="31C7B60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（六）提出质疑的日期。</w:t>
      </w:r>
    </w:p>
    <w:p w14:paraId="5D9A0AC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为自然人的，应当由本人签字；</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为法人或者其他组织的，应当由法定代表人、主要负责人，或者其授权代表签字或者盖章，并加盖公章。</w:t>
      </w:r>
    </w:p>
    <w:p w14:paraId="5BD6528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.2.4采购人、采购代理机构在收到法定质疑期内发出的质疑函后7个工作日内作出答复，并以书面形式通知质疑人和其他有关</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。质疑答复的内容不得涉及商业秘密。</w:t>
      </w:r>
    </w:p>
    <w:p w14:paraId="514243E8">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投诉</w:t>
      </w:r>
    </w:p>
    <w:p w14:paraId="27FD908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w:t>
      </w:r>
      <w:r>
        <w:rPr>
          <w:rFonts w:hint="eastAsia" w:ascii="宋体" w:hAnsi="宋体" w:eastAsia="宋体" w:cs="宋体"/>
          <w:snapToGrid w:val="0"/>
          <w:color w:val="auto"/>
          <w:kern w:val="0"/>
          <w:sz w:val="24"/>
          <w:szCs w:val="24"/>
          <w:highlight w:val="none"/>
          <w:lang w:val="en-US" w:eastAsia="zh-CN"/>
        </w:rPr>
        <w:t>人</w:t>
      </w:r>
      <w:r>
        <w:rPr>
          <w:rFonts w:hint="eastAsia" w:ascii="宋体" w:hAnsi="宋体" w:eastAsia="宋体" w:cs="宋体"/>
          <w:snapToGrid w:val="0"/>
          <w:color w:val="auto"/>
          <w:kern w:val="0"/>
          <w:sz w:val="24"/>
          <w:szCs w:val="24"/>
          <w:highlight w:val="none"/>
        </w:rPr>
        <w:t>对采购机构的答复不满意或者采购机构未在规定的时间内作出答复的，可以在答复期满后十五个工作日内向同级政府采购监督管理部门提出投诉。</w:t>
      </w:r>
    </w:p>
    <w:p w14:paraId="62D08D75">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5.</w:t>
      </w:r>
      <w:r>
        <w:rPr>
          <w:rFonts w:hint="eastAsia" w:ascii="宋体" w:hAnsi="宋体" w:eastAsia="宋体" w:cs="宋体"/>
          <w:b/>
          <w:snapToGrid w:val="0"/>
          <w:color w:val="auto"/>
          <w:kern w:val="0"/>
          <w:sz w:val="24"/>
          <w:szCs w:val="24"/>
          <w:highlight w:val="none"/>
        </w:rPr>
        <w:t>采购结束</w:t>
      </w:r>
    </w:p>
    <w:p w14:paraId="71BA77E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.1中标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与采购人签订合同生效后即为采购结束。</w:t>
      </w:r>
    </w:p>
    <w:p w14:paraId="7B1BA16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.2本项目的投标文件（包括</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）不予退回。</w:t>
      </w:r>
    </w:p>
    <w:p w14:paraId="42935FD2">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bookmarkStart w:id="44" w:name="_Toc21366"/>
      <w:r>
        <w:rPr>
          <w:rFonts w:hint="eastAsia" w:ascii="宋体" w:hAnsi="宋体" w:eastAsia="宋体" w:cs="宋体"/>
          <w:b/>
          <w:bCs/>
          <w:color w:val="auto"/>
          <w:sz w:val="28"/>
          <w:szCs w:val="24"/>
          <w:highlight w:val="none"/>
        </w:rPr>
        <w:t>七、其他</w:t>
      </w:r>
      <w:bookmarkEnd w:id="44"/>
    </w:p>
    <w:p w14:paraId="791E7F4F">
      <w:pPr>
        <w:pStyle w:val="7"/>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解释权：本招标文件是参照《中华人民共和国政府采购法》、《中华人民共和国政府采购法实施条例》（中华人民共和国国务院令第658号）、《政府采购货物和服务招标投标管理办法》（中华人民共和国财政部令第87号）及有关规定编制的，解释权属</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01A230B8">
      <w:pPr>
        <w:pStyle w:val="7"/>
        <w:keepNext w:val="0"/>
        <w:keepLines w:val="0"/>
        <w:pageBreakBefore w:val="0"/>
        <w:kinsoku/>
        <w:wordWrap/>
        <w:overflowPunct/>
        <w:topLinePunct w:val="0"/>
        <w:autoSpaceDE/>
        <w:autoSpaceDN/>
        <w:bidi w:val="0"/>
        <w:spacing w:line="500" w:lineRule="exact"/>
        <w:ind w:left="0" w:leftChars="0" w:firstLine="482"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37.可中止电子交易活动的情形：</w:t>
      </w:r>
      <w:r>
        <w:rPr>
          <w:rFonts w:hint="eastAsia" w:ascii="宋体" w:hAnsi="宋体" w:eastAsia="宋体" w:cs="宋体"/>
          <w:snapToGrid w:val="0"/>
          <w:color w:val="auto"/>
          <w:kern w:val="28"/>
          <w:sz w:val="24"/>
          <w:szCs w:val="24"/>
          <w:highlight w:val="none"/>
          <w:lang w:val="en-US" w:eastAsia="zh-CN" w:bidi="ar-SA"/>
        </w:rPr>
        <w:t>采购过程中出现以下情形，导致电子交易平台无法正常运行，或者无法保证电子交易的公平、公正和安全时，采购代理机构可中止电子交易活动：</w:t>
      </w:r>
    </w:p>
    <w:p w14:paraId="6B28EE70">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37.1电子交易平台发生故障而无法登录访问的；</w:t>
      </w:r>
    </w:p>
    <w:p w14:paraId="1BE005DA">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37.2电子交易平台应用或数据库出现错误，不能进行正常操作的；</w:t>
      </w:r>
    </w:p>
    <w:p w14:paraId="4CE6E3F2">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37.3电子交易平台发现严重安全漏洞，有潜在泄密危险的；</w:t>
      </w:r>
    </w:p>
    <w:p w14:paraId="67B3613A">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37.4病毒发作导致不能进行正常操作的；</w:t>
      </w:r>
    </w:p>
    <w:p w14:paraId="51DBCC72">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37.5其他无法保证电子交易的公平、公正和安全的情况。</w:t>
      </w:r>
    </w:p>
    <w:p w14:paraId="714E4D69">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出现前款规定情形，不影响采购公平、公正性的，采购代理机构可以待上述情形消除后继续组织电子交易活动；影响或可能影响采购公平、公正性的，应当重新采购。</w:t>
      </w:r>
    </w:p>
    <w:p w14:paraId="5E3F167E">
      <w:pPr>
        <w:rPr>
          <w:rFonts w:hint="eastAsia" w:ascii="宋体" w:hAnsi="宋体" w:eastAsia="宋体" w:cs="宋体"/>
          <w:snapToGrid w:val="0"/>
          <w:color w:val="auto"/>
          <w:kern w:val="28"/>
          <w:sz w:val="24"/>
          <w:szCs w:val="24"/>
          <w:highlight w:val="none"/>
          <w:lang w:val="en-US" w:eastAsia="zh-CN" w:bidi="ar-SA"/>
        </w:rPr>
        <w:sectPr>
          <w:footerReference r:id="rId3" w:type="default"/>
          <w:pgSz w:w="11906" w:h="16838"/>
          <w:pgMar w:top="1134" w:right="1134" w:bottom="1134" w:left="1134" w:header="851" w:footer="850" w:gutter="0"/>
          <w:pgNumType w:fmt="decimal"/>
          <w:cols w:space="425" w:num="1"/>
          <w:docGrid w:type="lines" w:linePitch="312" w:charSpace="0"/>
        </w:sectPr>
      </w:pPr>
    </w:p>
    <w:p w14:paraId="0BC2E36F">
      <w:pPr>
        <w:pStyle w:val="4"/>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color w:val="auto"/>
          <w:sz w:val="28"/>
          <w:szCs w:val="28"/>
          <w:highlight w:val="none"/>
        </w:rPr>
      </w:pPr>
      <w:bookmarkStart w:id="45" w:name="_Toc27298"/>
      <w:bookmarkStart w:id="46" w:name="_Toc24091"/>
      <w:r>
        <w:rPr>
          <w:rFonts w:hint="eastAsia" w:ascii="宋体" w:hAnsi="宋体" w:eastAsia="宋体" w:cs="宋体"/>
          <w:b/>
          <w:bCs/>
          <w:color w:val="auto"/>
          <w:kern w:val="44"/>
          <w:sz w:val="28"/>
          <w:szCs w:val="28"/>
          <w:highlight w:val="none"/>
          <w:lang w:val="en-US" w:eastAsia="zh-CN" w:bidi="ar-SA"/>
        </w:rPr>
        <w:t>第三章</w:t>
      </w:r>
      <w:r>
        <w:rPr>
          <w:rFonts w:hint="eastAsia" w:ascii="宋体" w:hAnsi="宋体" w:eastAsia="宋体" w:cs="宋体"/>
          <w:color w:val="auto"/>
          <w:sz w:val="28"/>
          <w:szCs w:val="28"/>
          <w:highlight w:val="none"/>
        </w:rPr>
        <w:t>采购内容及要求</w:t>
      </w:r>
      <w:bookmarkEnd w:id="45"/>
      <w:bookmarkEnd w:id="46"/>
    </w:p>
    <w:p w14:paraId="359312A5">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一、项目名称：</w:t>
      </w:r>
      <w:r>
        <w:rPr>
          <w:rFonts w:hint="eastAsia" w:ascii="宋体" w:hAnsi="宋体" w:eastAsia="宋体" w:cs="宋体"/>
          <w:b w:val="0"/>
          <w:bCs w:val="0"/>
          <w:color w:val="auto"/>
          <w:sz w:val="24"/>
          <w:szCs w:val="24"/>
          <w:highlight w:val="none"/>
          <w:u w:val="none"/>
          <w:lang w:val="en-US" w:eastAsia="zh-CN"/>
        </w:rPr>
        <w:t>罗樟源水库工程及道路改复建工程征收范围房屋评估第三方服务采购</w:t>
      </w:r>
    </w:p>
    <w:p w14:paraId="1892FC36">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二、服务内容及服务要求：</w:t>
      </w:r>
      <w:r>
        <w:rPr>
          <w:rFonts w:hint="eastAsia" w:ascii="宋体" w:hAnsi="宋体" w:eastAsia="宋体" w:cs="宋体"/>
          <w:b w:val="0"/>
          <w:bCs w:val="0"/>
          <w:color w:val="auto"/>
          <w:sz w:val="24"/>
          <w:szCs w:val="24"/>
          <w:highlight w:val="none"/>
          <w:u w:val="none"/>
          <w:lang w:val="en-US" w:eastAsia="zh-CN"/>
        </w:rPr>
        <w:t>现场查勘、并统计各征收户前屋后附属房及附属设施、室内外装修和其它附属于房屋不可移动设施的项目、种类和数量,并评估征收补偿金额</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u w:val="none"/>
          <w:lang w:val="en-US" w:eastAsia="zh-CN"/>
        </w:rPr>
        <w:t>暂定</w:t>
      </w:r>
      <w:r>
        <w:rPr>
          <w:rFonts w:hint="eastAsia" w:ascii="宋体" w:hAnsi="宋体" w:eastAsia="宋体" w:cs="宋体"/>
          <w:bCs/>
          <w:color w:val="auto"/>
          <w:sz w:val="24"/>
          <w:szCs w:val="24"/>
          <w:highlight w:val="none"/>
          <w:u w:val="none"/>
          <w:lang w:val="en-US" w:eastAsia="zh-CN"/>
        </w:rPr>
        <w:t>房屋装修、附属物建筑面积为</w:t>
      </w:r>
      <w:r>
        <w:rPr>
          <w:rFonts w:hint="eastAsia" w:ascii="宋体" w:hAnsi="宋体" w:cs="宋体"/>
          <w:bCs/>
          <w:color w:val="auto"/>
          <w:sz w:val="24"/>
          <w:szCs w:val="24"/>
          <w:highlight w:val="none"/>
          <w:u w:val="none"/>
          <w:lang w:val="en-US" w:eastAsia="zh-CN"/>
        </w:rPr>
        <w:t>63000</w:t>
      </w:r>
      <w:r>
        <w:rPr>
          <w:rFonts w:hint="eastAsia" w:ascii="宋体" w:hAnsi="宋体" w:eastAsia="宋体" w:cs="宋体"/>
          <w:bCs/>
          <w:color w:val="auto"/>
          <w:sz w:val="24"/>
          <w:szCs w:val="24"/>
          <w:highlight w:val="none"/>
          <w:u w:val="none"/>
          <w:lang w:val="en-US" w:eastAsia="zh-CN"/>
        </w:rPr>
        <w:t>平方米</w:t>
      </w:r>
      <w:r>
        <w:rPr>
          <w:rFonts w:hint="eastAsia" w:ascii="宋体" w:hAnsi="宋体" w:eastAsia="宋体" w:cs="宋体"/>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具体服务内容及要求如下：</w:t>
      </w:r>
    </w:p>
    <w:p w14:paraId="72B5EE1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1.组织人员进行现场查勘，并统计各征收户房前屋后附属房及附属设施、室内外装修和其它附属于房屋不可移动设施的项目、种类和数量。</w:t>
      </w:r>
    </w:p>
    <w:p w14:paraId="05863D2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2.评估确定各户被征收房屋装修、附属物的征收补偿金额、并出具评估报告。</w:t>
      </w:r>
    </w:p>
    <w:p w14:paraId="48872AC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3.对征收的家庭农场、集体用房等进行价格评估并出具评估报告。</w:t>
      </w:r>
    </w:p>
    <w:p w14:paraId="42A380C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按照采购人的要求及有关政策的规定完成评估工作，并提供分户的初步评估结果;在公示期间应对分户的初步评估结果，进行现场说明解释;公示期满后，提供该项目被征收房屋整体评估报告、分户报告。如被征收人提出复核申请、鉴定申请，需在法定期限内进行复核，并按复核结果鉴定结果据实调修改，并出具新的评估报告。</w:t>
      </w:r>
    </w:p>
    <w:p w14:paraId="7454D1A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5.采购人委托的其他需要评估的内容。</w:t>
      </w:r>
    </w:p>
    <w:p w14:paraId="111A72FD">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三、服务要求：</w:t>
      </w:r>
    </w:p>
    <w:p w14:paraId="0782898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按采购人或委托人要求在限定时间内开展房屋建筑物价值评估，并在规定时间内将估价结果提交给采购人或委托人。如遇特殊情形或不可抗力因素影响，确需延长工作时间的，征得采购人或委托人同意后可给予适当延长。对因项目紧急，需加急评估的项目，中标供应商应抽调精干力量配合采购人优先评估，在保证评估质量的基础上，确保及时提交成果报告，并自行承担加急赶工所需一切额外费用。</w:t>
      </w:r>
    </w:p>
    <w:p w14:paraId="42DA5E5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2.中标供应商不得随意更换团队项目负责人、项目组团队成员，确需要更换的，必须书面申请并经采购人审核同意，否则采购人有权扣罚中标供应商的履约保证金乃至单方面终止合同。</w:t>
      </w:r>
    </w:p>
    <w:p w14:paraId="430F320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3.在服务过程中应保证政府征收政策和各项专业技术措施落实到位，实事求是，保证征收人和被征收人利益，工作耐心细致，用心化解各种矛盾，维护社会和谐。</w:t>
      </w:r>
    </w:p>
    <w:p w14:paraId="2DFF23A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严把评估的质量关。评估工作是顺利推进征收工作的前提，通过评估工作，弄清被征收人的基本情况，以及被征收人房屋建筑物、土地和其他资产的数量、合理价值、权属性质和不同用途被征收人房屋的建筑面积等，为征收补偿方案提供翔实的基础资料，要求达到基础材料数据真实准确，确保情况摸清，测量与评估的方法科学及结果准确。</w:t>
      </w:r>
    </w:p>
    <w:p w14:paraId="01BC68C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lang w:val="en-US" w:eastAsia="zh-CN"/>
        </w:rPr>
      </w:pPr>
      <w:r>
        <w:rPr>
          <w:rFonts w:hint="eastAsia" w:ascii="宋体" w:hAnsi="宋体" w:eastAsia="宋体" w:cs="宋体"/>
          <w:b w:val="0"/>
          <w:bCs w:val="0"/>
          <w:color w:val="auto"/>
          <w:sz w:val="24"/>
          <w:szCs w:val="24"/>
          <w:highlight w:val="none"/>
          <w:u w:val="none"/>
          <w:lang w:val="en-US" w:eastAsia="zh-CN"/>
        </w:rPr>
        <w:t>5.做到“程序合法、行为亲民、方法科学、内容真实、结果准确”，强化内部管理，规范工作行为，严守工作纪律，坚决杜绝搞“人情协议”、“吃拿卡要”等违法违规行为；加强从业人员的业务培训，着力提高工作人员的业务素质和实际操作水平；接受采购人、征收人、被征收人和社会各界的检查监督。</w:t>
      </w:r>
    </w:p>
    <w:p w14:paraId="5246F65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规范有关工作表格的填写、房屋权证资料的收集整理、矛盾纠纷调查、房屋现状拍照、建立工作档案（需分类汇总装订成册）、房屋征收成本测算、协助签订协议等工作。各种工作档案应严格按照档案管理制度进行归档、整理，统一格式、统一编号，做到清晰、规范。与项目相关的工作档案（包括综合性档案和技术档案）的保管期限须符合法定要求（档案保管期限不得低于30年），并应确保各种档案的完整、安全、保密和有效利用。</w:t>
      </w:r>
    </w:p>
    <w:p w14:paraId="3961E3B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7.积极主动地与采购人或委托人、征收人、被征收人、拆房公司和其它专业服务机构或人员的工作配合；及时参加采购人或委托人等组织的工作汇报、工作评估、重点难点分析等报告会和集体会审。</w:t>
      </w:r>
    </w:p>
    <w:p w14:paraId="2096B49D">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四、其他要求：</w:t>
      </w:r>
    </w:p>
    <w:p w14:paraId="38692F0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本次项目成果所有权和使用权均属于采购人或委托人。中标供应商应妥善保管留档资料，不得外泄，否则承担由此产生的一切法律和经济责任。未经采购人或委托人书面同意，任何单位和个人不得转让和使用本项目成果。</w:t>
      </w:r>
    </w:p>
    <w:p w14:paraId="298B81B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2.在合同执行期间，如国家有新颁布的技术标准及要求时，中标供应商应该按照新颁布的标准执行。</w:t>
      </w:r>
    </w:p>
    <w:p w14:paraId="4EC4294E">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3.拟派项目服务团队需满足以下①或②要求：</w:t>
      </w:r>
    </w:p>
    <w:p w14:paraId="571CC15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①</w:t>
      </w:r>
      <w:r>
        <w:rPr>
          <w:rFonts w:hint="eastAsia" w:ascii="宋体" w:hAnsi="宋体" w:eastAsia="宋体" w:cs="宋体"/>
          <w:b w:val="0"/>
          <w:bCs w:val="0"/>
          <w:color w:val="auto"/>
          <w:sz w:val="24"/>
          <w:szCs w:val="24"/>
          <w:highlight w:val="none"/>
          <w:u w:val="single"/>
          <w:lang w:val="en-US" w:eastAsia="zh-CN"/>
        </w:rPr>
        <w:t>项目负责人1人【具备注册房地产估价师资格】，项目组成员不少于二人（其中不少于一人须具备注册房地产估价师资格）。</w:t>
      </w:r>
    </w:p>
    <w:p w14:paraId="4EC35ED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single"/>
          <w:lang w:val="en-US" w:eastAsia="zh-CN"/>
        </w:rPr>
        <w:t>②项目负责人1人【具备注册资产评估师资格】，项目组成员不少于二人（其中不少于一人须具备注册资产评估师资格）。</w:t>
      </w:r>
    </w:p>
    <w:p w14:paraId="2BB83F6C">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证明材料：同时提供①注册房地产估价师资格（或注册资产评估师资格证书）②2025年</w:t>
      </w:r>
      <w:r>
        <w:rPr>
          <w:rFonts w:hint="eastAsia" w:ascii="宋体" w:hAnsi="宋体" w:cs="宋体"/>
          <w:b/>
          <w:bCs/>
          <w:color w:val="auto"/>
          <w:sz w:val="24"/>
          <w:szCs w:val="24"/>
          <w:highlight w:val="none"/>
          <w:u w:val="none"/>
          <w:lang w:val="en-US" w:eastAsia="zh-CN"/>
        </w:rPr>
        <w:t>5</w:t>
      </w:r>
      <w:r>
        <w:rPr>
          <w:rFonts w:hint="eastAsia" w:ascii="宋体" w:hAnsi="宋体" w:eastAsia="宋体" w:cs="宋体"/>
          <w:b/>
          <w:bCs/>
          <w:color w:val="auto"/>
          <w:sz w:val="24"/>
          <w:szCs w:val="24"/>
          <w:highlight w:val="none"/>
          <w:u w:val="none"/>
          <w:lang w:val="en-US" w:eastAsia="zh-CN"/>
        </w:rPr>
        <w:t>月至投标截止时间任意一个月供应商为拟派目服务团队人员（含项目负责人）缴纳社保证明材料。①和②缺一不可。</w:t>
      </w:r>
    </w:p>
    <w:p w14:paraId="2641CA86">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none"/>
          <w:lang w:val="en-US" w:eastAsia="zh-CN"/>
        </w:rPr>
        <w:t>▲五</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auto"/>
          <w:sz w:val="24"/>
          <w:szCs w:val="24"/>
          <w:highlight w:val="none"/>
        </w:rPr>
        <w:t>商务要求</w:t>
      </w:r>
      <w:r>
        <w:rPr>
          <w:rFonts w:hint="eastAsia" w:ascii="宋体" w:hAnsi="宋体" w:eastAsia="宋体" w:cs="宋体"/>
          <w:b/>
          <w:bCs/>
          <w:color w:val="auto"/>
          <w:kern w:val="0"/>
          <w:sz w:val="24"/>
          <w:szCs w:val="24"/>
          <w:highlight w:val="none"/>
          <w:lang w:val="en-US" w:eastAsia="zh-CN" w:bidi="ar"/>
        </w:rPr>
        <w:t xml:space="preserve">： </w:t>
      </w:r>
    </w:p>
    <w:p w14:paraId="17197E84">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kern w:val="0"/>
          <w:sz w:val="24"/>
          <w:szCs w:val="24"/>
          <w:highlight w:val="none"/>
        </w:rPr>
        <w:t>履约保证金：</w:t>
      </w:r>
    </w:p>
    <w:p w14:paraId="66FC6A56">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（1）</w:t>
      </w:r>
      <w:r>
        <w:rPr>
          <w:rFonts w:hint="eastAsia" w:ascii="宋体" w:hAnsi="宋体" w:eastAsia="宋体" w:cs="宋体"/>
          <w:bCs/>
          <w:sz w:val="24"/>
          <w:highlight w:val="none"/>
        </w:rPr>
        <w:t>履约保证金的缴纳形式：通过中标人的基本账户以银行转账方式缴纳或采用银行保函或保险公司保函</w:t>
      </w:r>
      <w:r>
        <w:rPr>
          <w:rFonts w:hint="eastAsia" w:ascii="宋体" w:hAnsi="宋体" w:eastAsia="宋体" w:cs="宋体"/>
          <w:kern w:val="0"/>
          <w:sz w:val="24"/>
          <w:highlight w:val="none"/>
          <w:lang w:eastAsia="zh-CN"/>
        </w:rPr>
        <w:t>。</w:t>
      </w:r>
    </w:p>
    <w:p w14:paraId="67EBE1E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rPr>
        <w:t>履约保证金的金额：</w:t>
      </w:r>
      <w:r>
        <w:rPr>
          <w:rFonts w:hint="eastAsia" w:ascii="宋体" w:hAnsi="宋体" w:eastAsia="宋体" w:cs="宋体"/>
          <w:bCs/>
          <w:sz w:val="24"/>
          <w:highlight w:val="none"/>
          <w:lang w:val="en-US" w:eastAsia="zh-CN"/>
        </w:rPr>
        <w:t>中标价（暂定合同价）</w:t>
      </w:r>
      <w:r>
        <w:rPr>
          <w:rFonts w:hint="eastAsia" w:ascii="宋体" w:hAnsi="宋体" w:eastAsia="宋体" w:cs="宋体"/>
          <w:bCs/>
          <w:sz w:val="24"/>
          <w:highlight w:val="none"/>
        </w:rPr>
        <w:t>的</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w:t>
      </w:r>
    </w:p>
    <w:p w14:paraId="55BA8F6A">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lang w:val="en-US" w:eastAsia="zh-CN"/>
        </w:rPr>
        <w:t>履约保证金的缴纳时间：合同签订之日起15个工作日内。</w:t>
      </w:r>
    </w:p>
    <w:p w14:paraId="43E4DEC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eastAsia="zh-CN"/>
        </w:rPr>
        <w:t>）履约保证金退还（采用银行转账方式缴纳履约保证金</w:t>
      </w:r>
      <w:r>
        <w:rPr>
          <w:rFonts w:hint="eastAsia" w:ascii="宋体" w:hAnsi="宋体" w:eastAsia="宋体" w:cs="宋体"/>
          <w:kern w:val="0"/>
          <w:sz w:val="24"/>
          <w:highlight w:val="none"/>
          <w:lang w:val="en-US" w:eastAsia="zh-CN"/>
        </w:rPr>
        <w:t>适用</w:t>
      </w:r>
      <w:r>
        <w:rPr>
          <w:rFonts w:hint="eastAsia" w:ascii="宋体" w:hAnsi="宋体" w:eastAsia="宋体" w:cs="宋体"/>
          <w:kern w:val="0"/>
          <w:sz w:val="24"/>
          <w:highlight w:val="none"/>
          <w:lang w:eastAsia="zh-CN"/>
        </w:rPr>
        <w:t>）：招标内容及要求及合同约定范围内</w:t>
      </w:r>
      <w:r>
        <w:rPr>
          <w:rFonts w:hint="eastAsia" w:ascii="宋体" w:hAnsi="宋体" w:eastAsia="宋体" w:cs="宋体"/>
          <w:kern w:val="0"/>
          <w:sz w:val="24"/>
          <w:highlight w:val="none"/>
          <w:lang w:val="en-US" w:eastAsia="zh-CN"/>
        </w:rPr>
        <w:t>所有服务完成且通过采购人验收后</w:t>
      </w:r>
      <w:r>
        <w:rPr>
          <w:rFonts w:hint="eastAsia" w:ascii="宋体" w:hAnsi="宋体" w:eastAsia="宋体" w:cs="宋体"/>
          <w:kern w:val="0"/>
          <w:sz w:val="24"/>
          <w:highlight w:val="none"/>
          <w:lang w:eastAsia="zh-CN"/>
        </w:rPr>
        <w:t>，如中标供应商无合同约定的应当扣取履约保证金的违约行为的，采购人退还全部履约保证金，不计息；如中标供应商有合同约定的应当扣取履约保证金的违约行为的，采购人在履约保证金中扣取相应的违约金后，退还剩余的履约保证金，不计息。</w:t>
      </w:r>
    </w:p>
    <w:p w14:paraId="702E70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）履约保证金未按期按要求缴纳的，按下述条款处罚：①逾期10个日历天（含）内的，每天按应缴纳金额的</w:t>
      </w:r>
      <w:r>
        <w:rPr>
          <w:rFonts w:hint="eastAsia" w:ascii="宋体" w:hAnsi="宋体" w:eastAsia="宋体" w:cs="宋体"/>
          <w:color w:val="auto"/>
          <w:kern w:val="0"/>
          <w:sz w:val="24"/>
          <w:highlight w:val="none"/>
          <w:lang w:val="en-US" w:eastAsia="zh-CN"/>
        </w:rPr>
        <w:t>百分之一</w:t>
      </w:r>
      <w:r>
        <w:rPr>
          <w:rFonts w:hint="eastAsia" w:ascii="宋体" w:hAnsi="宋体" w:eastAsia="宋体" w:cs="宋体"/>
          <w:color w:val="auto"/>
          <w:kern w:val="0"/>
          <w:sz w:val="24"/>
          <w:highlight w:val="none"/>
          <w:lang w:eastAsia="zh-CN"/>
        </w:rPr>
        <w:t>收缴违约金；②逾期超过10个日历天且在20日历天（含）以内的，每天按应缴纳金额的</w:t>
      </w:r>
      <w:r>
        <w:rPr>
          <w:rFonts w:hint="eastAsia" w:ascii="宋体" w:hAnsi="宋体" w:eastAsia="宋体" w:cs="宋体"/>
          <w:color w:val="auto"/>
          <w:kern w:val="0"/>
          <w:sz w:val="24"/>
          <w:highlight w:val="none"/>
          <w:lang w:val="en-US" w:eastAsia="zh-CN"/>
        </w:rPr>
        <w:t>百分之五</w:t>
      </w:r>
      <w:r>
        <w:rPr>
          <w:rFonts w:hint="eastAsia" w:ascii="宋体" w:hAnsi="宋体" w:eastAsia="宋体" w:cs="宋体"/>
          <w:color w:val="auto"/>
          <w:kern w:val="0"/>
          <w:sz w:val="24"/>
          <w:highlight w:val="none"/>
          <w:lang w:eastAsia="zh-CN"/>
        </w:rPr>
        <w:t>收缴违约金；③逾期超过20个日历天以上仍未缴纳的，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有权解除合同。④逾期缴纳的须将履约保证金和违约金足额缴纳后，方可支付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中直接扣除逾期违约金，违约金从保函失效之日起算。</w:t>
      </w:r>
    </w:p>
    <w:p w14:paraId="6DB2B73C">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）实际履约过程中如履约保证金未达到合同约定退还条件的，</w:t>
      </w:r>
      <w:r>
        <w:rPr>
          <w:rFonts w:hint="eastAsia" w:ascii="宋体" w:hAnsi="宋体" w:eastAsia="宋体" w:cs="宋体"/>
          <w:color w:val="auto"/>
          <w:kern w:val="0"/>
          <w:sz w:val="24"/>
          <w:highlight w:val="none"/>
          <w:lang w:val="en-US" w:eastAsia="zh-CN"/>
        </w:rPr>
        <w:t>中标供应商</w:t>
      </w:r>
      <w:r>
        <w:rPr>
          <w:rFonts w:hint="eastAsia" w:ascii="宋体" w:hAnsi="宋体" w:eastAsia="宋体" w:cs="宋体"/>
          <w:color w:val="auto"/>
          <w:kern w:val="0"/>
          <w:sz w:val="24"/>
          <w:highlight w:val="none"/>
          <w:lang w:eastAsia="zh-CN"/>
        </w:rPr>
        <w:t>应当缴纳相当的现金履约保证金，未补缴的，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不予支付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，直至补缴缴清为止。超过补缴期限的，按前述第（</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）条履约金逾期缴纳处罚。</w:t>
      </w:r>
    </w:p>
    <w:p w14:paraId="45A43362">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2.转包或分包：本项目不允许转包、分包。一经发现有转包、分包现象，采购人可无条件中止合同，并追究中标供应商的违约责任，给采购人造成损失的，中标供应商须承担相应的赔偿责任。</w:t>
      </w:r>
    </w:p>
    <w:p w14:paraId="4FABA41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3.合同履约期限及实施地点：</w:t>
      </w:r>
    </w:p>
    <w:p w14:paraId="1A1DE164">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合同履约期限：</w:t>
      </w:r>
      <w:r>
        <w:rPr>
          <w:rFonts w:hint="eastAsia" w:ascii="宋体" w:hAnsi="宋体" w:eastAsia="宋体" w:cs="宋体"/>
          <w:bCs/>
          <w:color w:val="auto"/>
          <w:sz w:val="24"/>
          <w:szCs w:val="24"/>
          <w:highlight w:val="none"/>
          <w:lang w:val="en-US" w:eastAsia="zh-CN"/>
        </w:rPr>
        <w:t>合同签订生效之日起至本项目征收范围内所有房屋及附属物评估工作完成为止</w:t>
      </w:r>
      <w:r>
        <w:rPr>
          <w:rFonts w:hint="eastAsia" w:ascii="宋体" w:hAnsi="宋体" w:eastAsia="宋体" w:cs="宋体"/>
          <w:bCs/>
          <w:color w:val="auto"/>
          <w:sz w:val="24"/>
          <w:szCs w:val="24"/>
          <w:highlight w:val="none"/>
        </w:rPr>
        <w:t>。</w:t>
      </w:r>
    </w:p>
    <w:p w14:paraId="00B0E6A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实施地点：衢州市衢江区。</w:t>
      </w:r>
    </w:p>
    <w:p w14:paraId="1A79A90E">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4.验收标准及要求：评估报告符合房地产估价规范国家标准GB\T50291-2015，服务成果符合合同要求并得到采购人的认可，所有合同中规定的资料（如</w:t>
      </w:r>
      <w:r>
        <w:rPr>
          <w:rFonts w:hint="eastAsia" w:ascii="宋体" w:hAnsi="宋体" w:eastAsia="宋体" w:cs="宋体"/>
          <w:b w:val="0"/>
          <w:bCs w:val="0"/>
          <w:color w:val="auto"/>
          <w:sz w:val="24"/>
          <w:szCs w:val="24"/>
          <w:highlight w:val="none"/>
          <w:u w:val="none"/>
          <w:lang w:val="en-US" w:eastAsia="zh-CN"/>
        </w:rPr>
        <w:t>工作台账、</w:t>
      </w:r>
      <w:r>
        <w:rPr>
          <w:rFonts w:hint="eastAsia" w:ascii="宋体" w:hAnsi="宋体" w:eastAsia="宋体" w:cs="宋体"/>
          <w:color w:val="000000" w:themeColor="text1"/>
          <w:sz w:val="24"/>
          <w:highlight w:val="none"/>
          <w14:textFill>
            <w14:solidFill>
              <w14:schemeClr w14:val="tx1"/>
            </w14:solidFill>
          </w14:textFill>
        </w:rPr>
        <w:t>项目材料清单</w:t>
      </w:r>
      <w:r>
        <w:rPr>
          <w:rFonts w:hint="eastAsia" w:ascii="宋体" w:hAnsi="宋体" w:eastAsia="宋体" w:cs="宋体"/>
          <w:b w:val="0"/>
          <w:bCs w:val="0"/>
          <w:color w:val="auto"/>
          <w:sz w:val="24"/>
          <w:szCs w:val="24"/>
          <w:highlight w:val="none"/>
          <w:u w:val="none"/>
          <w:lang w:val="en-US" w:eastAsia="zh-CN"/>
        </w:rPr>
        <w:t>等</w:t>
      </w:r>
      <w:r>
        <w:rPr>
          <w:rFonts w:hint="eastAsia" w:ascii="宋体" w:hAnsi="宋体" w:eastAsia="宋体" w:cs="宋体"/>
          <w:bCs/>
          <w:color w:val="auto"/>
          <w:sz w:val="24"/>
          <w:szCs w:val="24"/>
          <w:highlight w:val="none"/>
          <w:lang w:val="en-US" w:eastAsia="zh-CN"/>
        </w:rPr>
        <w:t>）都已提交并得到接受。</w:t>
      </w:r>
    </w:p>
    <w:p w14:paraId="73D7F26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5.合同结算方式及要求：</w:t>
      </w:r>
    </w:p>
    <w:p w14:paraId="3FC0AF6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本项目采用固定单价方式结算，中标价为暂定合同价，最终合同结算金额依据合同单价（投标单价）和实际被征收房屋装修、附属物建筑面积计算。</w:t>
      </w:r>
    </w:p>
    <w:p w14:paraId="28075692">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投标报价须包含本项目招标内容及要求及合同约定所有服务内容所需所有人工工资（含社会保险费、公积金、超时补贴、绩效考核经费、伙食费、劳保用品、员工住宿交通差旅费用等），车船台班费、水电费、燃料费、车辆保险费、车辆维修费、管理费、企业应缴税金和应得利润、应急等完成合同所需的一切本身和不可或缺的所有工作开支、政策性文件规定计合同包含的所有风险、责任等各项全部费用并承担一切风险责任。在合同服务期间内不得违反国家相关政策规定。（说明：如发生不可抗力及突发性事件，中标供应商要无条件听从采购人指挥，配合采购人。费用已包括在投标报价内，采购人不再另行支付其他费用。）</w:t>
      </w:r>
    </w:p>
    <w:p w14:paraId="233D57D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付款方式：</w:t>
      </w:r>
    </w:p>
    <w:p w14:paraId="6061432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合同生效以及具备实施条件后7个工作日内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eastAsia="zh-CN"/>
        </w:rPr>
        <w:t>支付</w:t>
      </w:r>
      <w:r>
        <w:rPr>
          <w:rFonts w:hint="eastAsia" w:ascii="宋体" w:hAnsi="宋体" w:eastAsia="宋体" w:cs="宋体"/>
          <w:bCs/>
          <w:sz w:val="24"/>
          <w:highlight w:val="none"/>
          <w:lang w:val="en-US" w:eastAsia="zh-CN"/>
        </w:rPr>
        <w:t>中标价（暂定合同价）</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lang w:eastAsia="zh-CN"/>
        </w:rPr>
        <w:t>%作为预付款。</w:t>
      </w:r>
    </w:p>
    <w:p w14:paraId="21111CDF">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完成本项目征收范围内房屋装修、附属物建筑面积50%工作量的评估工作后,采购人</w:t>
      </w:r>
      <w:r>
        <w:rPr>
          <w:rFonts w:hint="eastAsia" w:ascii="宋体" w:hAnsi="宋体" w:eastAsia="宋体" w:cs="宋体"/>
          <w:bCs/>
          <w:color w:val="auto"/>
          <w:sz w:val="24"/>
          <w:szCs w:val="24"/>
          <w:highlight w:val="none"/>
          <w:lang w:eastAsia="zh-CN"/>
        </w:rPr>
        <w:t>支付</w:t>
      </w:r>
      <w:r>
        <w:rPr>
          <w:rFonts w:hint="eastAsia" w:ascii="宋体" w:hAnsi="宋体" w:eastAsia="宋体" w:cs="宋体"/>
          <w:bCs/>
          <w:color w:val="auto"/>
          <w:sz w:val="24"/>
          <w:szCs w:val="24"/>
          <w:highlight w:val="none"/>
          <w:lang w:val="en-US" w:eastAsia="zh-CN"/>
        </w:rPr>
        <w:t>至</w:t>
      </w:r>
      <w:r>
        <w:rPr>
          <w:rFonts w:hint="eastAsia" w:ascii="宋体" w:hAnsi="宋体" w:eastAsia="宋体" w:cs="宋体"/>
          <w:bCs/>
          <w:sz w:val="24"/>
          <w:highlight w:val="none"/>
          <w:lang w:val="en-US" w:eastAsia="zh-CN"/>
        </w:rPr>
        <w:t>中标价（签约合同价）</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lang w:val="en-US" w:eastAsia="zh-CN"/>
        </w:rPr>
        <w:t>50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w:t>
      </w:r>
    </w:p>
    <w:p w14:paraId="6CB6BD2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（3）完成本项目征收范围内所有房屋装修、附属物的评估工作后，采购人根据合同单价和实际被征收房屋装修、附属物建筑面积计算合同实际结算金额，并支付所有剩余合同价款；</w:t>
      </w:r>
    </w:p>
    <w:p w14:paraId="77ABE2D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sz w:val="24"/>
          <w:szCs w:val="24"/>
          <w:highlight w:val="none"/>
          <w:lang w:val="en-US" w:eastAsia="zh-CN"/>
        </w:rPr>
        <w:t>（4）如有合同约定违约情形，且中标供应商履约保证金已失效或未足额补缴的，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中直接扣除违约金</w:t>
      </w:r>
      <w:r>
        <w:rPr>
          <w:rFonts w:hint="eastAsia" w:ascii="宋体" w:hAnsi="宋体" w:eastAsia="宋体" w:cs="宋体"/>
          <w:sz w:val="24"/>
          <w:szCs w:val="24"/>
          <w:highlight w:val="none"/>
          <w:lang w:val="en-US" w:eastAsia="zh-CN"/>
        </w:rPr>
        <w:t>。</w:t>
      </w:r>
    </w:p>
    <w:p w14:paraId="46B8C0B3">
      <w:pPr>
        <w:pStyle w:val="11"/>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（5）中标供应商须确保开具给采购人的发票真实、合法、有效、且符合《中华人民共和国发票管理办法》中规定的相关条款</w:t>
      </w:r>
      <w:r>
        <w:rPr>
          <w:rFonts w:hint="eastAsia" w:ascii="宋体" w:hAnsi="宋体" w:eastAsia="宋体" w:cs="宋体"/>
          <w:b w:val="0"/>
          <w:bCs w:val="0"/>
          <w:color w:val="auto"/>
          <w:sz w:val="24"/>
          <w:szCs w:val="24"/>
          <w:highlight w:val="none"/>
          <w:u w:val="none"/>
          <w:lang w:val="en-US" w:eastAsia="zh-CN"/>
        </w:rPr>
        <w:t>。</w:t>
      </w:r>
    </w:p>
    <w:p w14:paraId="6C280E08">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sectPr>
          <w:pgSz w:w="11906" w:h="16838"/>
          <w:pgMar w:top="1134" w:right="1134" w:bottom="1134" w:left="1134" w:header="851" w:footer="850" w:gutter="0"/>
          <w:pgNumType w:fmt="decimal"/>
          <w:cols w:space="425" w:num="1"/>
          <w:docGrid w:type="lines" w:linePitch="312" w:charSpace="0"/>
        </w:sectPr>
      </w:pPr>
    </w:p>
    <w:p w14:paraId="1E15965D">
      <w:pPr>
        <w:pStyle w:val="4"/>
        <w:keepNext/>
        <w:keepLines/>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color w:val="auto"/>
          <w:sz w:val="28"/>
          <w:szCs w:val="28"/>
          <w:highlight w:val="none"/>
          <w:lang w:val="en-US" w:eastAsia="zh-CN"/>
        </w:rPr>
      </w:pPr>
      <w:bookmarkStart w:id="47" w:name="_Toc9656"/>
      <w:bookmarkStart w:id="48" w:name="_Toc17072"/>
      <w:r>
        <w:rPr>
          <w:rFonts w:hint="eastAsia" w:ascii="宋体" w:hAnsi="宋体" w:eastAsia="宋体" w:cs="宋体"/>
          <w:color w:val="auto"/>
          <w:sz w:val="28"/>
          <w:szCs w:val="28"/>
          <w:highlight w:val="none"/>
          <w:lang w:val="en-US" w:eastAsia="zh-CN"/>
        </w:rPr>
        <w:t>第四章 合同主要条款</w:t>
      </w:r>
      <w:bookmarkEnd w:id="47"/>
      <w:bookmarkEnd w:id="48"/>
    </w:p>
    <w:p w14:paraId="7C87D42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注：本合同作为示范文本，具体以</w:t>
      </w:r>
      <w:r>
        <w:rPr>
          <w:rFonts w:hint="eastAsia" w:ascii="宋体" w:hAnsi="宋体" w:eastAsia="宋体" w:cs="宋体"/>
          <w:b/>
          <w:sz w:val="24"/>
          <w:szCs w:val="24"/>
          <w:highlight w:val="none"/>
          <w:lang w:val="en-US" w:eastAsia="zh-CN"/>
        </w:rPr>
        <w:t>成交供应商</w:t>
      </w:r>
      <w:r>
        <w:rPr>
          <w:rFonts w:hint="eastAsia" w:ascii="宋体" w:hAnsi="宋体" w:eastAsia="宋体" w:cs="宋体"/>
          <w:b/>
          <w:sz w:val="24"/>
          <w:szCs w:val="24"/>
          <w:highlight w:val="none"/>
        </w:rPr>
        <w:t>与采购人所签订正式合同为准。</w:t>
      </w:r>
    </w:p>
    <w:p w14:paraId="245C5510">
      <w:pPr>
        <w:pageBreakBefore w:val="0"/>
        <w:widowControl w:val="0"/>
        <w:kinsoku/>
        <w:wordWrap/>
        <w:overflowPunct/>
        <w:topLinePunct w:val="0"/>
        <w:bidi w:val="0"/>
        <w:snapToGrid w:val="0"/>
        <w:spacing w:line="500" w:lineRule="exact"/>
        <w:jc w:val="right"/>
        <w:rPr>
          <w:rFonts w:hint="eastAsia" w:ascii="宋体" w:hAnsi="宋体" w:eastAsia="宋体" w:cs="宋体"/>
          <w:sz w:val="24"/>
          <w:szCs w:val="24"/>
          <w:highlight w:val="none"/>
        </w:rPr>
      </w:pPr>
    </w:p>
    <w:p w14:paraId="17D5A1B5">
      <w:pPr>
        <w:pageBreakBefore w:val="0"/>
        <w:widowControl w:val="0"/>
        <w:kinsoku/>
        <w:wordWrap/>
        <w:overflowPunct/>
        <w:topLinePunct w:val="0"/>
        <w:bidi w:val="0"/>
        <w:snapToGrid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签订合同时填入对应内容</w:t>
      </w:r>
      <w:r>
        <w:rPr>
          <w:rFonts w:hint="eastAsia" w:ascii="宋体" w:hAnsi="宋体" w:eastAsia="宋体" w:cs="宋体"/>
          <w:sz w:val="24"/>
          <w:szCs w:val="24"/>
          <w:highlight w:val="none"/>
          <w:u w:val="single"/>
        </w:rPr>
        <w:t>】</w:t>
      </w:r>
    </w:p>
    <w:p w14:paraId="26D6FB8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7E5A693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中标供应商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2D4E6E4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依照《中华人民共和国民法典》、《中华人民共和国政府采购法》、《政府采购货物和服务招标投标管理办法》及国家的有关法律、行政法规，遵循平等、自愿、公平和诚实信用的原则，根据</w:t>
      </w:r>
      <w:r>
        <w:rPr>
          <w:rFonts w:hint="eastAsia" w:ascii="宋体" w:hAnsi="宋体" w:eastAsia="宋体" w:cs="宋体"/>
          <w:sz w:val="24"/>
          <w:szCs w:val="24"/>
          <w:highlight w:val="none"/>
          <w:u w:val="single"/>
          <w:lang w:eastAsia="zh-CN"/>
        </w:rPr>
        <w:t>罗樟源水库工程及道路改复建工程征收范围房屋评估第三方服务采购</w:t>
      </w:r>
      <w:r>
        <w:rPr>
          <w:rFonts w:hint="eastAsia" w:ascii="宋体" w:hAnsi="宋体" w:eastAsia="宋体" w:cs="宋体"/>
          <w:sz w:val="24"/>
          <w:szCs w:val="24"/>
          <w:highlight w:val="none"/>
        </w:rPr>
        <w:t>中标结果，双方就本项目所有事项协商一致，订立本合同。</w:t>
      </w:r>
    </w:p>
    <w:p w14:paraId="76C7E97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一、项目概况</w:t>
      </w:r>
    </w:p>
    <w:p w14:paraId="13345CD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（一）项目名称：</w:t>
      </w:r>
      <w:r>
        <w:rPr>
          <w:rFonts w:hint="eastAsia" w:ascii="宋体" w:hAnsi="宋体" w:eastAsia="宋体" w:cs="宋体"/>
          <w:sz w:val="24"/>
          <w:szCs w:val="24"/>
          <w:highlight w:val="none"/>
          <w:lang w:eastAsia="zh-CN"/>
        </w:rPr>
        <w:t>罗樟源水库工程及道路改复建工程征收范围房屋评估第三方服务采购</w:t>
      </w:r>
    </w:p>
    <w:p w14:paraId="3FC17F0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sz w:val="24"/>
          <w:szCs w:val="24"/>
          <w:highlight w:val="none"/>
        </w:rPr>
        <w:t>（二）</w:t>
      </w:r>
      <w:r>
        <w:rPr>
          <w:rFonts w:hint="eastAsia" w:ascii="宋体" w:hAnsi="宋体" w:eastAsia="宋体" w:cs="宋体"/>
          <w:b w:val="0"/>
          <w:bCs w:val="0"/>
          <w:color w:val="auto"/>
          <w:sz w:val="24"/>
          <w:szCs w:val="24"/>
          <w:highlight w:val="none"/>
          <w:u w:val="none"/>
          <w:lang w:val="en-US" w:eastAsia="zh-CN"/>
        </w:rPr>
        <w:t>服务内容</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乙方为甲方提供</w:t>
      </w:r>
      <w:r>
        <w:rPr>
          <w:rFonts w:hint="eastAsia" w:ascii="宋体" w:hAnsi="宋体" w:eastAsia="宋体" w:cs="宋体"/>
          <w:sz w:val="24"/>
          <w:szCs w:val="24"/>
          <w:highlight w:val="none"/>
          <w:lang w:eastAsia="zh-CN"/>
        </w:rPr>
        <w:t>罗樟源水库工程及道路改复建工程征收范围房屋评估第三方服务，</w:t>
      </w:r>
      <w:r>
        <w:rPr>
          <w:rFonts w:hint="eastAsia" w:ascii="宋体" w:hAnsi="宋体" w:eastAsia="宋体" w:cs="宋体"/>
          <w:sz w:val="24"/>
          <w:szCs w:val="24"/>
          <w:highlight w:val="none"/>
          <w:lang w:val="en-US" w:eastAsia="zh-CN"/>
        </w:rPr>
        <w:t>服务内容包含</w:t>
      </w:r>
      <w:r>
        <w:rPr>
          <w:rFonts w:hint="eastAsia" w:ascii="宋体" w:hAnsi="宋体" w:eastAsia="宋体" w:cs="宋体"/>
          <w:b w:val="0"/>
          <w:bCs w:val="0"/>
          <w:color w:val="auto"/>
          <w:sz w:val="24"/>
          <w:szCs w:val="24"/>
          <w:highlight w:val="none"/>
          <w:u w:val="none"/>
          <w:lang w:val="en-US" w:eastAsia="zh-CN"/>
        </w:rPr>
        <w:t>现场查勘、并统计各征收户前屋后附属房及附属设施、室内外装修和其它附属于房屋不可移动设施的项目、种类和数量,并评估征收补偿金额</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u w:val="none"/>
          <w:lang w:val="en-US" w:eastAsia="zh-CN"/>
        </w:rPr>
        <w:t>暂定</w:t>
      </w:r>
      <w:r>
        <w:rPr>
          <w:rFonts w:hint="eastAsia" w:ascii="宋体" w:hAnsi="宋体" w:eastAsia="宋体" w:cs="宋体"/>
          <w:bCs/>
          <w:color w:val="auto"/>
          <w:sz w:val="24"/>
          <w:szCs w:val="24"/>
          <w:highlight w:val="none"/>
          <w:u w:val="none"/>
          <w:lang w:val="en-US" w:eastAsia="zh-CN"/>
        </w:rPr>
        <w:t>房屋装修、附属物建筑面积为</w:t>
      </w:r>
      <w:r>
        <w:rPr>
          <w:rFonts w:hint="eastAsia" w:ascii="宋体" w:hAnsi="宋体" w:cs="宋体"/>
          <w:bCs/>
          <w:color w:val="auto"/>
          <w:sz w:val="24"/>
          <w:szCs w:val="24"/>
          <w:highlight w:val="none"/>
          <w:u w:val="none"/>
          <w:lang w:val="en-US" w:eastAsia="zh-CN"/>
        </w:rPr>
        <w:t>63000</w:t>
      </w:r>
      <w:r>
        <w:rPr>
          <w:rFonts w:hint="eastAsia" w:ascii="宋体" w:hAnsi="宋体" w:eastAsia="宋体" w:cs="宋体"/>
          <w:bCs/>
          <w:color w:val="auto"/>
          <w:sz w:val="24"/>
          <w:szCs w:val="24"/>
          <w:highlight w:val="none"/>
          <w:u w:val="none"/>
          <w:lang w:val="en-US" w:eastAsia="zh-CN"/>
        </w:rPr>
        <w:t>平方米</w:t>
      </w:r>
      <w:r>
        <w:rPr>
          <w:rFonts w:hint="eastAsia" w:ascii="宋体" w:hAnsi="宋体" w:eastAsia="宋体" w:cs="宋体"/>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具体服务内容及要求如下：</w:t>
      </w:r>
    </w:p>
    <w:p w14:paraId="6622A5C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1.组织人员进行现场查勘，并统计各征收户房前屋后附属房及附属设施、室内外装修和其它附属于房屋不可移动设施的项目、种类和数量。</w:t>
      </w:r>
    </w:p>
    <w:p w14:paraId="7B337CE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2.评估确定各户被征收房屋装修、附属物的征收补偿金额、并出具评估报告。</w:t>
      </w:r>
    </w:p>
    <w:p w14:paraId="494F2DB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3.对征收的家庭农场、集体用房等进行价格评估并出具评估报告。</w:t>
      </w:r>
    </w:p>
    <w:p w14:paraId="24D8FF9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按照甲方的要求及有关政策的规定完成评估工作，并提供分户的初步评估结果;在公示期间应对分户的初步评估结果，进行现场说明解释;公示期满后，提供该项目被征收房屋整体评估报告、分户报告。如被征收人提出复核申请、鉴定申请，需在法定期限内进行复核，并按复核结果鉴定结果据实调修改，并出具新的评估报告。</w:t>
      </w:r>
    </w:p>
    <w:p w14:paraId="6E71A14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b w:val="0"/>
          <w:bCs w:val="0"/>
          <w:color w:val="auto"/>
          <w:sz w:val="24"/>
          <w:szCs w:val="24"/>
          <w:highlight w:val="none"/>
          <w:u w:val="none"/>
          <w:lang w:val="en-US" w:eastAsia="zh-CN"/>
        </w:rPr>
        <w:t>5.甲方委托的其他需要评估的内容。</w:t>
      </w:r>
    </w:p>
    <w:p w14:paraId="4AD77A89">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服务要求:</w:t>
      </w:r>
    </w:p>
    <w:p w14:paraId="7686979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按甲方或委托人要求在限定时间内开展房屋建筑物价值评估，并在规定时间内将估价结果提交给甲方或委托人。如遇特殊情形或不可抗力因素影响，确需延长工作时间的，征得甲方或委托人同意后可给予适当延长。对因项目紧急，需加急评估的项目，乙方应抽调精干力量配合甲方优先评估，在保证评估质量的基础上，确保及时提交成果报告，并自行承担加急赶工所需一切额外费用。</w:t>
      </w:r>
    </w:p>
    <w:p w14:paraId="1BD1C57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2.乙方不得随意更换团队项目负责人、项目组团队成员，确需要更换的，必须书面申请并经甲方审核同意，否则甲方有权扣罚乙方的履约保证金乃至单方面终止合同。</w:t>
      </w:r>
    </w:p>
    <w:p w14:paraId="536949A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3.在服务过程中应保证政府征收政策和各项专业技术措施落实到位，实事求是，保证征收人和被征收人利益，工作耐心细致，用心化解各种矛盾，维护社会和谐。</w:t>
      </w:r>
    </w:p>
    <w:p w14:paraId="0DD4032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严把评估的质量关。评估工作是顺利推进征收工作的前提，通过评估工作，弄清被征收人的基本情况，以及被征收人房屋建筑物、土地和其他资产的数量、合理价值、权属性质和不同用途被征收人房屋的建筑面积等，为征收补偿方案提供翔实的基础资料，要求达到基础材料数据真实准确，确保情况摸清，测量与评估的方法科学及结果准确。</w:t>
      </w:r>
    </w:p>
    <w:p w14:paraId="4FEBF83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lang w:val="en-US" w:eastAsia="zh-CN"/>
        </w:rPr>
      </w:pPr>
      <w:r>
        <w:rPr>
          <w:rFonts w:hint="eastAsia" w:ascii="宋体" w:hAnsi="宋体" w:eastAsia="宋体" w:cs="宋体"/>
          <w:b w:val="0"/>
          <w:bCs w:val="0"/>
          <w:color w:val="auto"/>
          <w:sz w:val="24"/>
          <w:szCs w:val="24"/>
          <w:highlight w:val="none"/>
          <w:u w:val="none"/>
          <w:lang w:val="en-US" w:eastAsia="zh-CN"/>
        </w:rPr>
        <w:t>5.做到“程序合法、行为亲民、方法科学、内容真实、结果准确”，强化内部管理，规范工作行为，严守工作纪律，坚决杜绝搞“人情协议”、“吃拿卡要”等违法违规行为；加强从业人员的业务培训，着力提高工作人员的业务素质和实际操作水平；接受甲方、征收人、被征收人和社会各界的检查监督。</w:t>
      </w:r>
    </w:p>
    <w:p w14:paraId="1EB461C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规范有关工作表格的填写、房屋权证资料的收集整理、矛盾纠纷调查、房屋现状拍照、建立工作档案（需分类汇总装订成册）、房屋征收成本测算、协助签订协议等工作。各种工作档案应严格按照档案管理制度进行归档、整理，统一格式、统一编号，做到清晰、规范。与项目相关的工作档案（包括综合性档案和技术档案）的保管期限须符合法定要求（档案保管期限不得低于30年），并应确保各种档案的完整、安全、保密和有效利用。</w:t>
      </w:r>
    </w:p>
    <w:p w14:paraId="2B9D917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7.积极主动地与甲方或委托人、征收人、被征收人、拆房公司和其它专业服务机构或人员的工作配合；及时参加甲方或委托人等组织的工作汇报、工作评估、重点难点分析等报告会和集体会审。</w:t>
      </w:r>
    </w:p>
    <w:p w14:paraId="4989C07E">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（四）其他要求：</w:t>
      </w:r>
    </w:p>
    <w:p w14:paraId="1B930157">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1.本次项目成果所有权和使用权均属于甲方或委托人。乙方应妥善保管留档资料，不得外泄，否则承担由此产生的一切法律和经济责任。未经甲方或委托人书面同意，任何单位和个人不得转让和使用本项目成果。</w:t>
      </w:r>
    </w:p>
    <w:p w14:paraId="43E341A3">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2.在合同执行期间，如国家有新颁布的技术标准及要求时，乙方应该按照新颁布的标准执行。</w:t>
      </w:r>
    </w:p>
    <w:p w14:paraId="3621C335">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二、转包或分包：本合同不允许转包、分包。一经发现有转包、分包现象，甲方可无条件解除合同，并追究乙方的违约责任，给甲方造成损失的，乙方须承担相应的赔偿责任。</w:t>
      </w:r>
    </w:p>
    <w:p w14:paraId="00C05241">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三、合同履约期限及实施地点：</w:t>
      </w:r>
    </w:p>
    <w:p w14:paraId="296A4B05">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合同履约期限：</w:t>
      </w:r>
      <w:r>
        <w:rPr>
          <w:rFonts w:hint="eastAsia" w:ascii="宋体" w:hAnsi="宋体" w:eastAsia="宋体" w:cs="宋体"/>
          <w:bCs/>
          <w:color w:val="auto"/>
          <w:sz w:val="24"/>
          <w:szCs w:val="24"/>
          <w:highlight w:val="none"/>
          <w:lang w:val="en-US" w:eastAsia="zh-CN"/>
        </w:rPr>
        <w:t>合同签订生效之日起至本项目征收范围内所有房屋及附属物评估工作完成为止</w:t>
      </w:r>
      <w:r>
        <w:rPr>
          <w:rFonts w:hint="eastAsia" w:ascii="宋体" w:hAnsi="宋体" w:eastAsia="宋体" w:cs="宋体"/>
          <w:bCs/>
          <w:color w:val="auto"/>
          <w:sz w:val="24"/>
          <w:szCs w:val="24"/>
          <w:highlight w:val="none"/>
        </w:rPr>
        <w:t>。</w:t>
      </w:r>
    </w:p>
    <w:p w14:paraId="64670B91">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实施地点：衢州市衢江区。</w:t>
      </w:r>
    </w:p>
    <w:p w14:paraId="136E2C8D">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四、验收标准及要求：评估报告符合房地产估价规范国家标准GB\T50291-2015，服务成果符合合同要求并得到采购人的认可，所有合同中规定的资料（如</w:t>
      </w:r>
      <w:r>
        <w:rPr>
          <w:rFonts w:hint="eastAsia" w:ascii="宋体" w:hAnsi="宋体" w:eastAsia="宋体" w:cs="宋体"/>
          <w:b w:val="0"/>
          <w:bCs w:val="0"/>
          <w:color w:val="auto"/>
          <w:sz w:val="24"/>
          <w:szCs w:val="24"/>
          <w:highlight w:val="none"/>
          <w:u w:val="none"/>
          <w:lang w:val="en-US" w:eastAsia="zh-CN"/>
        </w:rPr>
        <w:t>工作台账、</w:t>
      </w:r>
      <w:r>
        <w:rPr>
          <w:rFonts w:hint="eastAsia" w:ascii="宋体" w:hAnsi="宋体" w:eastAsia="宋体" w:cs="宋体"/>
          <w:color w:val="000000" w:themeColor="text1"/>
          <w:sz w:val="24"/>
          <w:highlight w:val="none"/>
          <w14:textFill>
            <w14:solidFill>
              <w14:schemeClr w14:val="tx1"/>
            </w14:solidFill>
          </w14:textFill>
        </w:rPr>
        <w:t>项目材料清单</w:t>
      </w:r>
      <w:r>
        <w:rPr>
          <w:rFonts w:hint="eastAsia" w:ascii="宋体" w:hAnsi="宋体" w:eastAsia="宋体" w:cs="宋体"/>
          <w:b w:val="0"/>
          <w:bCs w:val="0"/>
          <w:color w:val="auto"/>
          <w:sz w:val="24"/>
          <w:szCs w:val="24"/>
          <w:highlight w:val="none"/>
          <w:u w:val="none"/>
          <w:lang w:val="en-US" w:eastAsia="zh-CN"/>
        </w:rPr>
        <w:t>等</w:t>
      </w:r>
      <w:r>
        <w:rPr>
          <w:rFonts w:hint="eastAsia" w:ascii="宋体" w:hAnsi="宋体" w:eastAsia="宋体" w:cs="宋体"/>
          <w:bCs/>
          <w:color w:val="auto"/>
          <w:sz w:val="24"/>
          <w:szCs w:val="24"/>
          <w:highlight w:val="none"/>
          <w:lang w:val="en-US" w:eastAsia="zh-CN"/>
        </w:rPr>
        <w:t>）都已提交并得到接受。</w:t>
      </w:r>
    </w:p>
    <w:p w14:paraId="4033649E">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五、合同结算方式及要求：</w:t>
      </w:r>
    </w:p>
    <w:p w14:paraId="236A5D89">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lang w:val="en-US" w:eastAsia="zh-CN"/>
        </w:rPr>
        <w:t>本合同暂定合同价为人民币：小写：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元（含税），大写：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元（含税）。</w:t>
      </w:r>
    </w:p>
    <w:p w14:paraId="37EF01D1">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中标单价为</w:t>
      </w:r>
      <w:r>
        <w:rPr>
          <w:rFonts w:hint="eastAsia" w:ascii="宋体" w:hAnsi="宋体" w:eastAsia="宋体" w:cs="宋体"/>
          <w:bCs/>
          <w:color w:val="auto"/>
          <w:sz w:val="24"/>
          <w:szCs w:val="24"/>
          <w:highlight w:val="none"/>
          <w:lang w:val="en-US" w:eastAsia="zh-CN"/>
        </w:rPr>
        <w:t>人民币：小写：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元/平方米（含税），大写：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元/平方米（含税）。</w:t>
      </w:r>
    </w:p>
    <w:p w14:paraId="70EF3DF1">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本</w:t>
      </w:r>
      <w:r>
        <w:rPr>
          <w:rFonts w:hint="eastAsia" w:ascii="宋体" w:hAnsi="宋体" w:cs="宋体"/>
          <w:bCs/>
          <w:color w:val="auto"/>
          <w:sz w:val="24"/>
          <w:szCs w:val="24"/>
          <w:highlight w:val="none"/>
          <w:u w:val="none"/>
          <w:lang w:val="en-US" w:eastAsia="zh-CN"/>
        </w:rPr>
        <w:t>合同</w:t>
      </w:r>
      <w:r>
        <w:rPr>
          <w:rFonts w:hint="eastAsia" w:ascii="宋体" w:hAnsi="宋体" w:eastAsia="宋体" w:cs="宋体"/>
          <w:bCs/>
          <w:color w:val="auto"/>
          <w:sz w:val="24"/>
          <w:szCs w:val="24"/>
          <w:highlight w:val="none"/>
          <w:u w:val="none"/>
          <w:lang w:val="en-US" w:eastAsia="zh-CN"/>
        </w:rPr>
        <w:t>采用固定单价方式结算，最终合同结算金额依据合同单价和实际被征收房屋装修、附属物建筑面积计算。</w:t>
      </w:r>
    </w:p>
    <w:p w14:paraId="752F6E8B">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lang w:val="en-US" w:eastAsia="zh-CN"/>
        </w:rPr>
        <w:t>合同价包含本项目招标内容及要求及合同约定所有服务内容所需所有人工工资（含社会保险费、公积金、超时补贴、绩效考核经费、伙食费、劳保用品、员工住宿交通差旅费用等），车船台班费、水电费、燃料费、车辆保险费、车辆维修费、管理费、企业应缴税金和应得利润、应急等完成合同所需的一切本身和不可或缺的所有工作开支、政策性文件规定计合同包含的所有风险、责任等各项全部费用并承担一切风险责任。在合同服务期间内不得违反国家相关政策规定。（说明：如发生不可抗力及突发性事件，乙方要无条件听从甲方指挥，配合甲方。费用已包括在签约合同价内，甲方不再另行支付其他费用。）</w:t>
      </w:r>
    </w:p>
    <w:p w14:paraId="28D13F99">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六、</w:t>
      </w:r>
      <w:r>
        <w:rPr>
          <w:rFonts w:hint="eastAsia" w:ascii="宋体" w:hAnsi="宋体" w:eastAsia="宋体" w:cs="宋体"/>
          <w:bCs/>
          <w:color w:val="auto"/>
          <w:sz w:val="24"/>
          <w:szCs w:val="24"/>
          <w:highlight w:val="none"/>
        </w:rPr>
        <w:t>付款方式：</w:t>
      </w:r>
    </w:p>
    <w:p w14:paraId="564D516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合同生效以及具备实施条件后7个工作日内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lang w:eastAsia="zh-CN"/>
        </w:rPr>
        <w:t>支付</w:t>
      </w:r>
      <w:r>
        <w:rPr>
          <w:rFonts w:hint="eastAsia" w:ascii="宋体" w:hAnsi="宋体" w:eastAsia="宋体" w:cs="宋体"/>
          <w:bCs/>
          <w:sz w:val="24"/>
          <w:highlight w:val="none"/>
          <w:lang w:val="en-US" w:eastAsia="zh-CN"/>
        </w:rPr>
        <w:t>暂定合同价</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lang w:eastAsia="zh-CN"/>
        </w:rPr>
        <w:t>%作为预付款；</w:t>
      </w:r>
    </w:p>
    <w:p w14:paraId="6B83692F">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完成本项目征收范围内房屋装修、附属物建筑面积50%工作量的评估工作后,甲方</w:t>
      </w:r>
      <w:r>
        <w:rPr>
          <w:rFonts w:hint="eastAsia" w:ascii="宋体" w:hAnsi="宋体" w:eastAsia="宋体" w:cs="宋体"/>
          <w:bCs/>
          <w:color w:val="auto"/>
          <w:sz w:val="24"/>
          <w:szCs w:val="24"/>
          <w:highlight w:val="none"/>
          <w:lang w:eastAsia="zh-CN"/>
        </w:rPr>
        <w:t>支付</w:t>
      </w:r>
      <w:r>
        <w:rPr>
          <w:rFonts w:hint="eastAsia" w:ascii="宋体" w:hAnsi="宋体" w:eastAsia="宋体" w:cs="宋体"/>
          <w:bCs/>
          <w:color w:val="auto"/>
          <w:sz w:val="24"/>
          <w:szCs w:val="24"/>
          <w:highlight w:val="none"/>
          <w:lang w:val="en-US" w:eastAsia="zh-CN"/>
        </w:rPr>
        <w:t>至</w:t>
      </w:r>
      <w:r>
        <w:rPr>
          <w:rFonts w:hint="eastAsia" w:ascii="宋体" w:hAnsi="宋体" w:eastAsia="宋体" w:cs="宋体"/>
          <w:bCs/>
          <w:sz w:val="24"/>
          <w:highlight w:val="none"/>
          <w:lang w:val="en-US" w:eastAsia="zh-CN"/>
        </w:rPr>
        <w:t>签约合同价</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lang w:val="en-US" w:eastAsia="zh-CN"/>
        </w:rPr>
        <w:t>50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w:t>
      </w:r>
    </w:p>
    <w:p w14:paraId="1BFDEFB1">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（3）完成本项目征收范围内所有房屋装修、附属物的评估工作后，甲方根据合同单价和实际被征收房屋装修、附属物建筑面积计算合同实际结算金额，并支付所有剩余合同价款；</w:t>
      </w:r>
    </w:p>
    <w:p w14:paraId="09461790">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sz w:val="24"/>
          <w:szCs w:val="24"/>
          <w:highlight w:val="none"/>
          <w:lang w:val="en-US" w:eastAsia="zh-CN"/>
        </w:rPr>
        <w:t>（4）如有合同约定违约情形，且乙方履约保证金已失效或未足额补缴的，</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中直接扣除违约金</w:t>
      </w:r>
      <w:r>
        <w:rPr>
          <w:rFonts w:hint="eastAsia" w:ascii="宋体" w:hAnsi="宋体" w:eastAsia="宋体" w:cs="宋体"/>
          <w:sz w:val="24"/>
          <w:szCs w:val="24"/>
          <w:highlight w:val="none"/>
          <w:lang w:val="en-US" w:eastAsia="zh-CN"/>
        </w:rPr>
        <w:t>。</w:t>
      </w:r>
    </w:p>
    <w:p w14:paraId="6667AC28">
      <w:pPr>
        <w:pStyle w:val="11"/>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（5）乙方须确保开具给甲方的发票真实、合法、有效、且符合《中华人民共和国发票管理办法》中规定的相关条款</w:t>
      </w:r>
      <w:r>
        <w:rPr>
          <w:rFonts w:hint="eastAsia" w:ascii="宋体" w:hAnsi="宋体" w:eastAsia="宋体" w:cs="宋体"/>
          <w:b w:val="0"/>
          <w:bCs w:val="0"/>
          <w:color w:val="auto"/>
          <w:sz w:val="24"/>
          <w:szCs w:val="24"/>
          <w:highlight w:val="none"/>
          <w:u w:val="none"/>
          <w:lang w:val="en-US" w:eastAsia="zh-CN"/>
        </w:rPr>
        <w:t>。</w:t>
      </w:r>
    </w:p>
    <w:p w14:paraId="52399B82">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color w:val="auto"/>
          <w:kern w:val="0"/>
          <w:sz w:val="24"/>
          <w:szCs w:val="24"/>
          <w:highlight w:val="none"/>
        </w:rPr>
        <w:t>履约保证金：</w:t>
      </w:r>
    </w:p>
    <w:p w14:paraId="2873E3A1">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（1）</w:t>
      </w:r>
      <w:r>
        <w:rPr>
          <w:rFonts w:hint="eastAsia" w:ascii="宋体" w:hAnsi="宋体" w:eastAsia="宋体" w:cs="宋体"/>
          <w:bCs/>
          <w:sz w:val="24"/>
          <w:highlight w:val="none"/>
        </w:rPr>
        <w:t>履约保证金的缴纳形式：通过</w:t>
      </w:r>
      <w:r>
        <w:rPr>
          <w:rFonts w:hint="eastAsia" w:ascii="宋体" w:hAnsi="宋体" w:eastAsia="宋体" w:cs="宋体"/>
          <w:bCs/>
          <w:sz w:val="24"/>
          <w:highlight w:val="none"/>
          <w:lang w:val="en-US" w:eastAsia="zh-CN"/>
        </w:rPr>
        <w:t>乙方</w:t>
      </w:r>
      <w:r>
        <w:rPr>
          <w:rFonts w:hint="eastAsia" w:ascii="宋体" w:hAnsi="宋体" w:eastAsia="宋体" w:cs="宋体"/>
          <w:bCs/>
          <w:sz w:val="24"/>
          <w:highlight w:val="none"/>
        </w:rPr>
        <w:t>的基本账户以银行转账方式缴纳或采用银行保函或保险公司保函</w:t>
      </w:r>
      <w:r>
        <w:rPr>
          <w:rFonts w:hint="eastAsia" w:ascii="宋体" w:hAnsi="宋体" w:eastAsia="宋体" w:cs="宋体"/>
          <w:kern w:val="0"/>
          <w:sz w:val="24"/>
          <w:highlight w:val="none"/>
          <w:lang w:eastAsia="zh-CN"/>
        </w:rPr>
        <w:t>。</w:t>
      </w:r>
    </w:p>
    <w:p w14:paraId="5AF2036B">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rPr>
        <w:t>履约保证金的金额：</w:t>
      </w:r>
      <w:r>
        <w:rPr>
          <w:rFonts w:hint="eastAsia" w:ascii="宋体" w:hAnsi="宋体" w:eastAsia="宋体" w:cs="宋体"/>
          <w:bCs/>
          <w:sz w:val="24"/>
          <w:highlight w:val="none"/>
          <w:lang w:val="en-US" w:eastAsia="zh-CN"/>
        </w:rPr>
        <w:t>暂定合同价</w:t>
      </w:r>
      <w:r>
        <w:rPr>
          <w:rFonts w:hint="eastAsia" w:ascii="宋体" w:hAnsi="宋体" w:eastAsia="宋体" w:cs="宋体"/>
          <w:bCs/>
          <w:sz w:val="24"/>
          <w:highlight w:val="none"/>
        </w:rPr>
        <w:t>的</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即人民币（小写）：</w:t>
      </w:r>
      <w:r>
        <w:rPr>
          <w:rFonts w:hint="eastAsia" w:ascii="宋体" w:hAnsi="宋体" w:eastAsia="宋体" w:cs="宋体"/>
          <w:bCs/>
          <w:sz w:val="24"/>
          <w:highlight w:val="none"/>
          <w:u w:val="single"/>
          <w:lang w:val="en-US" w:eastAsia="zh-CN"/>
        </w:rPr>
        <w:t xml:space="preserve">          元（大写：           圆）</w:t>
      </w:r>
      <w:r>
        <w:rPr>
          <w:rFonts w:hint="eastAsia" w:ascii="宋体" w:hAnsi="宋体" w:eastAsia="宋体" w:cs="宋体"/>
          <w:bCs/>
          <w:sz w:val="24"/>
          <w:highlight w:val="none"/>
          <w:lang w:eastAsia="zh-CN"/>
        </w:rPr>
        <w:t>；</w:t>
      </w:r>
    </w:p>
    <w:p w14:paraId="76DA0773">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lang w:val="en-US" w:eastAsia="zh-CN"/>
        </w:rPr>
        <w:t>履约保证金的缴纳时间：合同签订之日起15个工作日内。</w:t>
      </w:r>
    </w:p>
    <w:p w14:paraId="2A7197AF">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eastAsia="zh-CN"/>
        </w:rPr>
        <w:t>）履约保证金退还（采用银行转账方式缴纳履约保证金</w:t>
      </w:r>
      <w:r>
        <w:rPr>
          <w:rFonts w:hint="eastAsia" w:ascii="宋体" w:hAnsi="宋体" w:eastAsia="宋体" w:cs="宋体"/>
          <w:kern w:val="0"/>
          <w:sz w:val="24"/>
          <w:highlight w:val="none"/>
          <w:lang w:val="en-US" w:eastAsia="zh-CN"/>
        </w:rPr>
        <w:t>适用</w:t>
      </w:r>
      <w:r>
        <w:rPr>
          <w:rFonts w:hint="eastAsia" w:ascii="宋体" w:hAnsi="宋体" w:eastAsia="宋体" w:cs="宋体"/>
          <w:kern w:val="0"/>
          <w:sz w:val="24"/>
          <w:highlight w:val="none"/>
          <w:lang w:eastAsia="zh-CN"/>
        </w:rPr>
        <w:t>）：合同约定范围内</w:t>
      </w:r>
      <w:r>
        <w:rPr>
          <w:rFonts w:hint="eastAsia" w:ascii="宋体" w:hAnsi="宋体" w:eastAsia="宋体" w:cs="宋体"/>
          <w:kern w:val="0"/>
          <w:sz w:val="24"/>
          <w:highlight w:val="none"/>
          <w:lang w:val="en-US" w:eastAsia="zh-CN"/>
        </w:rPr>
        <w:t>所有服务完成且通过甲方验收后</w:t>
      </w:r>
      <w:r>
        <w:rPr>
          <w:rFonts w:hint="eastAsia" w:ascii="宋体" w:hAnsi="宋体" w:eastAsia="宋体" w:cs="宋体"/>
          <w:kern w:val="0"/>
          <w:sz w:val="24"/>
          <w:highlight w:val="none"/>
          <w:lang w:eastAsia="zh-CN"/>
        </w:rPr>
        <w:t>，如</w:t>
      </w:r>
      <w:r>
        <w:rPr>
          <w:rFonts w:hint="eastAsia" w:ascii="宋体" w:hAnsi="宋体" w:eastAsia="宋体" w:cs="宋体"/>
          <w:kern w:val="0"/>
          <w:sz w:val="24"/>
          <w:highlight w:val="none"/>
          <w:lang w:val="en-US" w:eastAsia="zh-CN"/>
        </w:rPr>
        <w:t>乙方</w:t>
      </w:r>
      <w:r>
        <w:rPr>
          <w:rFonts w:hint="eastAsia" w:ascii="宋体" w:hAnsi="宋体" w:eastAsia="宋体" w:cs="宋体"/>
          <w:kern w:val="0"/>
          <w:sz w:val="24"/>
          <w:highlight w:val="none"/>
          <w:lang w:eastAsia="zh-CN"/>
        </w:rPr>
        <w:t>无合同约定的应当扣取履约保证金的违约行为的，</w:t>
      </w:r>
      <w:r>
        <w:rPr>
          <w:rFonts w:hint="eastAsia" w:ascii="宋体" w:hAnsi="宋体" w:eastAsia="宋体" w:cs="宋体"/>
          <w:kern w:val="0"/>
          <w:sz w:val="24"/>
          <w:highlight w:val="none"/>
          <w:lang w:val="en-US" w:eastAsia="zh-CN"/>
        </w:rPr>
        <w:t>甲方</w:t>
      </w:r>
      <w:r>
        <w:rPr>
          <w:rFonts w:hint="eastAsia" w:ascii="宋体" w:hAnsi="宋体" w:eastAsia="宋体" w:cs="宋体"/>
          <w:kern w:val="0"/>
          <w:sz w:val="24"/>
          <w:highlight w:val="none"/>
          <w:lang w:eastAsia="zh-CN"/>
        </w:rPr>
        <w:t>退还全部履约保证金，不计息；如</w:t>
      </w:r>
      <w:r>
        <w:rPr>
          <w:rFonts w:hint="eastAsia" w:ascii="宋体" w:hAnsi="宋体" w:eastAsia="宋体" w:cs="宋体"/>
          <w:kern w:val="0"/>
          <w:sz w:val="24"/>
          <w:highlight w:val="none"/>
          <w:lang w:val="en-US" w:eastAsia="zh-CN"/>
        </w:rPr>
        <w:t>乙方</w:t>
      </w:r>
      <w:r>
        <w:rPr>
          <w:rFonts w:hint="eastAsia" w:ascii="宋体" w:hAnsi="宋体" w:eastAsia="宋体" w:cs="宋体"/>
          <w:kern w:val="0"/>
          <w:sz w:val="24"/>
          <w:highlight w:val="none"/>
          <w:lang w:eastAsia="zh-CN"/>
        </w:rPr>
        <w:t>有合同约定的应当扣取履约保证金的违约行为的，</w:t>
      </w:r>
      <w:r>
        <w:rPr>
          <w:rFonts w:hint="eastAsia" w:ascii="宋体" w:hAnsi="宋体" w:eastAsia="宋体" w:cs="宋体"/>
          <w:kern w:val="0"/>
          <w:sz w:val="24"/>
          <w:highlight w:val="none"/>
          <w:lang w:val="en-US" w:eastAsia="zh-CN"/>
        </w:rPr>
        <w:t>甲方</w:t>
      </w:r>
      <w:r>
        <w:rPr>
          <w:rFonts w:hint="eastAsia" w:ascii="宋体" w:hAnsi="宋体" w:eastAsia="宋体" w:cs="宋体"/>
          <w:kern w:val="0"/>
          <w:sz w:val="24"/>
          <w:highlight w:val="none"/>
          <w:lang w:eastAsia="zh-CN"/>
        </w:rPr>
        <w:t>在履约保证金中扣取相应的违约金后，退还剩余的履约保证金，不计息。</w:t>
      </w:r>
    </w:p>
    <w:p w14:paraId="3B9FC3E8">
      <w:pPr>
        <w:pageBreakBefore w:val="0"/>
        <w:widowControl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）履约保证金未按期按要求缴纳的，按下述条款处罚：①逾期10个日历天（含）内的，每天按应缴纳金额的</w:t>
      </w:r>
      <w:r>
        <w:rPr>
          <w:rFonts w:hint="eastAsia" w:ascii="宋体" w:hAnsi="宋体" w:eastAsia="宋体" w:cs="宋体"/>
          <w:color w:val="auto"/>
          <w:kern w:val="0"/>
          <w:sz w:val="24"/>
          <w:highlight w:val="none"/>
          <w:lang w:val="en-US" w:eastAsia="zh-CN"/>
        </w:rPr>
        <w:t>百分之一</w:t>
      </w:r>
      <w:r>
        <w:rPr>
          <w:rFonts w:hint="eastAsia" w:ascii="宋体" w:hAnsi="宋体" w:eastAsia="宋体" w:cs="宋体"/>
          <w:color w:val="auto"/>
          <w:kern w:val="0"/>
          <w:sz w:val="24"/>
          <w:highlight w:val="none"/>
          <w:lang w:eastAsia="zh-CN"/>
        </w:rPr>
        <w:t>收缴违约金；②逾期超过10个日历天且在20日历天（含）以内的，每天按应缴纳金额的</w:t>
      </w:r>
      <w:r>
        <w:rPr>
          <w:rFonts w:hint="eastAsia" w:ascii="宋体" w:hAnsi="宋体" w:eastAsia="宋体" w:cs="宋体"/>
          <w:color w:val="auto"/>
          <w:kern w:val="0"/>
          <w:sz w:val="24"/>
          <w:highlight w:val="none"/>
          <w:lang w:val="en-US" w:eastAsia="zh-CN"/>
        </w:rPr>
        <w:t>百分之五</w:t>
      </w:r>
      <w:r>
        <w:rPr>
          <w:rFonts w:hint="eastAsia" w:ascii="宋体" w:hAnsi="宋体" w:eastAsia="宋体" w:cs="宋体"/>
          <w:color w:val="auto"/>
          <w:kern w:val="0"/>
          <w:sz w:val="24"/>
          <w:highlight w:val="none"/>
          <w:lang w:eastAsia="zh-CN"/>
        </w:rPr>
        <w:t>收缴违约金；③逾期超过20个日历天以上仍未缴纳的，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有权解除合同。④逾期缴纳的须将履约保证金和违约金足额缴纳后，方可支付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中直接扣除逾期违约金，违约金从</w:t>
      </w:r>
      <w:r>
        <w:rPr>
          <w:rFonts w:hint="eastAsia" w:ascii="宋体" w:hAnsi="宋体" w:eastAsia="宋体" w:cs="宋体"/>
          <w:color w:val="auto"/>
          <w:kern w:val="0"/>
          <w:sz w:val="24"/>
          <w:highlight w:val="none"/>
          <w:lang w:val="en-US" w:eastAsia="zh-CN"/>
        </w:rPr>
        <w:t>履约保证金</w:t>
      </w:r>
      <w:r>
        <w:rPr>
          <w:rFonts w:hint="eastAsia" w:ascii="宋体" w:hAnsi="宋体" w:eastAsia="宋体" w:cs="宋体"/>
          <w:color w:val="auto"/>
          <w:kern w:val="0"/>
          <w:sz w:val="24"/>
          <w:highlight w:val="none"/>
          <w:lang w:eastAsia="zh-CN"/>
        </w:rPr>
        <w:t>保函失效之日起算。</w:t>
      </w:r>
    </w:p>
    <w:p w14:paraId="6465C69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）实际履约过程中如履约保证金未达到合同约定退还条件的，</w:t>
      </w: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kern w:val="0"/>
          <w:sz w:val="24"/>
          <w:highlight w:val="none"/>
          <w:lang w:eastAsia="zh-CN"/>
        </w:rPr>
        <w:t>应当缴纳相当的现金履约保证金，未补缴的，</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eastAsia="zh-CN"/>
        </w:rPr>
        <w:t>不予支付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，直至补缴缴清为止。超过补缴期限的，按前述第（</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）条履约金逾期缴纳处罚。</w:t>
      </w:r>
    </w:p>
    <w:p w14:paraId="294C5FC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、甲方的权利、职责与义务</w:t>
      </w:r>
    </w:p>
    <w:p w14:paraId="715246D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1、甲方指定专人负责与乙方的沟通对接及协调相关工作，以提高工作效率；</w:t>
      </w:r>
    </w:p>
    <w:p w14:paraId="51F282E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2、在项目实施过程中，甲方应积极配合乙方，</w:t>
      </w:r>
      <w:r>
        <w:rPr>
          <w:rFonts w:hint="eastAsia" w:ascii="宋体" w:hAnsi="宋体" w:eastAsia="宋体" w:cs="宋体"/>
          <w:sz w:val="24"/>
          <w:szCs w:val="24"/>
          <w:highlight w:val="none"/>
          <w:lang w:val="zh-CN"/>
        </w:rPr>
        <w:t>协调乙方办理与本项目有关手续</w:t>
      </w:r>
      <w:r>
        <w:rPr>
          <w:rFonts w:hint="eastAsia" w:ascii="宋体" w:hAnsi="宋体" w:eastAsia="宋体" w:cs="宋体"/>
          <w:sz w:val="24"/>
          <w:szCs w:val="24"/>
          <w:highlight w:val="none"/>
        </w:rPr>
        <w:t>；</w:t>
      </w:r>
    </w:p>
    <w:p w14:paraId="1F26811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甲方有权对出任本项目的服务人员提出要求，对乙方派出的项目服务人员进行考核，如在服务期限内，对乙方项目服务人员工作不认可的，甲方可提出更换要求。乙方在接到甲方更换要求的7天内更换符合甲方要求的服务人员；</w:t>
      </w:r>
    </w:p>
    <w:p w14:paraId="72AD9B0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、若因乙方服务期内有侵害甲方形象和经济利益的行为将被视为违约，甲方有权单方终止本合同，同时追究乙方责任；</w:t>
      </w:r>
    </w:p>
    <w:p w14:paraId="6F56B5F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、支付服务费：在正式</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期内，甲方及时向乙方支付服务费。</w:t>
      </w:r>
    </w:p>
    <w:p w14:paraId="4E760E7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、乙方的权利、职责与义务</w:t>
      </w:r>
    </w:p>
    <w:p w14:paraId="5149CF7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1、乙方需在签订合同的一周内</w:t>
      </w:r>
      <w:r>
        <w:rPr>
          <w:rFonts w:hint="eastAsia" w:ascii="宋体" w:hAnsi="宋体" w:eastAsia="宋体" w:cs="宋体"/>
          <w:sz w:val="24"/>
          <w:szCs w:val="24"/>
          <w:highlight w:val="none"/>
          <w:lang w:val="en-US" w:eastAsia="zh-CN"/>
        </w:rPr>
        <w:t>按投标文件承诺</w:t>
      </w:r>
      <w:r>
        <w:rPr>
          <w:rFonts w:hint="eastAsia" w:ascii="宋体" w:hAnsi="宋体" w:eastAsia="宋体" w:cs="宋体"/>
          <w:sz w:val="24"/>
          <w:szCs w:val="24"/>
          <w:highlight w:val="none"/>
        </w:rPr>
        <w:t>成立专门的项目服务小组。为保证项目成员的稳定性，乙方必须提供准确的项目小组成员情况作为合同附件</w:t>
      </w:r>
      <w:r>
        <w:rPr>
          <w:rFonts w:hint="eastAsia" w:ascii="宋体" w:hAnsi="宋体" w:eastAsia="宋体" w:cs="宋体"/>
          <w:sz w:val="24"/>
          <w:szCs w:val="24"/>
          <w:highlight w:val="none"/>
          <w:lang w:eastAsia="zh-CN"/>
        </w:rPr>
        <w:t>。</w:t>
      </w:r>
    </w:p>
    <w:p w14:paraId="409FDF9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、乙方对甲方的付款需提供本地增值税发票</w:t>
      </w:r>
      <w:r>
        <w:rPr>
          <w:rFonts w:hint="eastAsia" w:ascii="宋体" w:hAnsi="宋体" w:eastAsia="宋体" w:cs="宋体"/>
          <w:sz w:val="24"/>
          <w:szCs w:val="24"/>
          <w:highlight w:val="none"/>
          <w:lang w:eastAsia="zh-CN"/>
        </w:rPr>
        <w:t>。</w:t>
      </w:r>
    </w:p>
    <w:p w14:paraId="456A1EA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、对甲方所有项目的资料及方案，乙方负有保密责任和义务，如乙方或乙方参与的工作人员泄露秘密，造成甲方损失，</w:t>
      </w:r>
      <w:r>
        <w:rPr>
          <w:rFonts w:hint="eastAsia" w:ascii="宋体" w:hAnsi="宋体" w:eastAsia="宋体" w:cs="宋体"/>
          <w:sz w:val="24"/>
          <w:szCs w:val="24"/>
          <w:highlight w:val="none"/>
          <w:lang w:val="en-US" w:eastAsia="zh-CN"/>
        </w:rPr>
        <w:t>甲方有权就损失要求乙方承担赔偿责任</w:t>
      </w:r>
      <w:r>
        <w:rPr>
          <w:rFonts w:hint="eastAsia" w:ascii="宋体" w:hAnsi="宋体" w:eastAsia="宋体" w:cs="宋体"/>
          <w:sz w:val="24"/>
          <w:szCs w:val="24"/>
          <w:highlight w:val="none"/>
          <w:lang w:eastAsia="zh-CN"/>
        </w:rPr>
        <w:t>。</w:t>
      </w:r>
    </w:p>
    <w:p w14:paraId="7DFFBEA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、乙方在为甲方提供服务的过程中，不得侵犯任何第三方的知识产权及其他权益，若有此事件发生，则乙方应负责对外交涉、处理并承担全部经济、法律责任。</w:t>
      </w:r>
    </w:p>
    <w:p w14:paraId="7424592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、在项目实施过程中，甲方因工作约见乙方，乙方项目人员应当在2小时内响应。</w:t>
      </w:r>
    </w:p>
    <w:p w14:paraId="7032469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、乙方必须指定专人与甲方进行业务联系，不得随意更换，若乙方需要更换，必须书面提出，并征得甲方同意。</w:t>
      </w:r>
    </w:p>
    <w:p w14:paraId="718154D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十</w:t>
      </w:r>
      <w:r>
        <w:rPr>
          <w:rFonts w:hint="eastAsia" w:ascii="宋体" w:hAnsi="宋体" w:eastAsia="宋体" w:cs="宋体"/>
          <w:sz w:val="24"/>
          <w:szCs w:val="24"/>
          <w:highlight w:val="none"/>
        </w:rPr>
        <w:t>、违约责任：</w:t>
      </w:r>
    </w:p>
    <w:p w14:paraId="6B38BA5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乙方在合同期内,须严格按照甲方招标文件采购需求要求及乙方投标响应文件承诺开展相应服务，如服务质量未达到甲方要求，甲方有权出具整改通知书，乙方在接到整改通知书后，必须进行相应整改，整改中所产生的一切费用由乙方负责。若在服务期内</w:t>
      </w:r>
      <w:r>
        <w:rPr>
          <w:rFonts w:hint="eastAsia" w:ascii="宋体" w:hAnsi="宋体" w:eastAsia="宋体" w:cs="宋体"/>
          <w:sz w:val="24"/>
          <w:szCs w:val="24"/>
          <w:highlight w:val="none"/>
          <w:lang w:val="en-US" w:eastAsia="zh-CN"/>
        </w:rPr>
        <w:t>乙方不听从甲方整改要求</w:t>
      </w:r>
      <w:r>
        <w:rPr>
          <w:rFonts w:hint="eastAsia" w:ascii="宋体" w:hAnsi="宋体" w:eastAsia="宋体" w:cs="宋体"/>
          <w:sz w:val="24"/>
          <w:szCs w:val="24"/>
          <w:highlight w:val="none"/>
          <w:lang w:val="zh-CN"/>
        </w:rPr>
        <w:t>，甲方有权立即解除本合同并</w:t>
      </w:r>
      <w:r>
        <w:rPr>
          <w:rFonts w:hint="eastAsia" w:ascii="宋体" w:hAnsi="宋体" w:eastAsia="宋体" w:cs="宋体"/>
          <w:sz w:val="24"/>
          <w:szCs w:val="24"/>
          <w:highlight w:val="none"/>
          <w:lang w:val="en-US" w:eastAsia="zh-CN"/>
        </w:rPr>
        <w:t>扣除</w:t>
      </w:r>
      <w:r>
        <w:rPr>
          <w:rFonts w:hint="eastAsia" w:ascii="宋体" w:hAnsi="宋体" w:eastAsia="宋体" w:cs="宋体"/>
          <w:sz w:val="24"/>
          <w:szCs w:val="24"/>
          <w:highlight w:val="none"/>
          <w:lang w:val="zh-CN"/>
        </w:rPr>
        <w:t>全部履约保证金</w:t>
      </w:r>
      <w:r>
        <w:rPr>
          <w:rFonts w:hint="eastAsia" w:ascii="宋体" w:hAnsi="宋体" w:eastAsia="宋体" w:cs="宋体"/>
          <w:sz w:val="24"/>
          <w:szCs w:val="24"/>
          <w:highlight w:val="none"/>
          <w:lang w:val="en-US" w:eastAsia="zh-CN"/>
        </w:rPr>
        <w:t>作为违约金</w:t>
      </w:r>
      <w:r>
        <w:rPr>
          <w:rFonts w:hint="eastAsia" w:ascii="宋体" w:hAnsi="宋体" w:eastAsia="宋体" w:cs="宋体"/>
          <w:sz w:val="24"/>
          <w:szCs w:val="24"/>
          <w:highlight w:val="none"/>
          <w:lang w:val="zh-CN"/>
        </w:rPr>
        <w:t>，且乙方不得要求补偿任何投入成本费用并承担甲方的一切损失。</w:t>
      </w:r>
    </w:p>
    <w:p w14:paraId="640C3A7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①如在服务期限内，对乙方服务人员工作不认可的，甲方可提出更换要求。乙方在接到甲方更换要求的7天内更换符合甲方要求的服务人员。乙方无正当理由拒绝更换或第一次更换后的服务人员不符合甲方要求，甲方要求乙方再次更换的，计取违约金1000元，超过3次，甲方有权单方面解除</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。②乙方未经甲方书面同意擅自更换服务人员的，每发生一次计取违约金5000元，超过3次，甲方有权单方面解除</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w:t>
      </w:r>
    </w:p>
    <w:p w14:paraId="78E5436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乙方未能如期提供服务的，每日向甲方支付合同款项的千分之六作为违约金。乙方超过约定日期10</w:t>
      </w:r>
      <w:r>
        <w:rPr>
          <w:rFonts w:hint="eastAsia" w:ascii="宋体" w:hAnsi="宋体" w:eastAsia="宋体" w:cs="宋体"/>
          <w:kern w:val="2"/>
          <w:sz w:val="24"/>
          <w:szCs w:val="24"/>
          <w:highlight w:val="none"/>
          <w:lang w:val="en-US" w:eastAsia="zh-CN"/>
        </w:rPr>
        <w:t>日</w:t>
      </w:r>
      <w:r>
        <w:rPr>
          <w:rFonts w:hint="eastAsia" w:ascii="宋体" w:hAnsi="宋体" w:eastAsia="宋体" w:cs="宋体"/>
          <w:kern w:val="2"/>
          <w:sz w:val="24"/>
          <w:szCs w:val="24"/>
          <w:highlight w:val="none"/>
        </w:rPr>
        <w:t>仍不能提供服务的，甲方可解除本合同</w:t>
      </w:r>
      <w:r>
        <w:rPr>
          <w:rFonts w:hint="eastAsia" w:ascii="宋体" w:hAnsi="宋体" w:eastAsia="宋体" w:cs="宋体"/>
          <w:kern w:val="2"/>
          <w:sz w:val="24"/>
          <w:szCs w:val="24"/>
          <w:highlight w:val="none"/>
          <w:lang w:eastAsia="zh-CN"/>
        </w:rPr>
        <w:t>，</w:t>
      </w:r>
      <w:r>
        <w:rPr>
          <w:rFonts w:hint="eastAsia" w:ascii="宋体" w:hAnsi="宋体" w:eastAsia="宋体" w:cs="宋体"/>
          <w:sz w:val="24"/>
          <w:szCs w:val="24"/>
          <w:highlight w:val="none"/>
          <w:lang w:val="zh-CN"/>
        </w:rPr>
        <w:t>并</w:t>
      </w:r>
      <w:r>
        <w:rPr>
          <w:rFonts w:hint="eastAsia" w:ascii="宋体" w:hAnsi="宋体" w:eastAsia="宋体" w:cs="宋体"/>
          <w:sz w:val="24"/>
          <w:szCs w:val="24"/>
          <w:highlight w:val="none"/>
          <w:lang w:val="en-US" w:eastAsia="zh-CN"/>
        </w:rPr>
        <w:t>扣除</w:t>
      </w:r>
      <w:r>
        <w:rPr>
          <w:rFonts w:hint="eastAsia" w:ascii="宋体" w:hAnsi="宋体" w:eastAsia="宋体" w:cs="宋体"/>
          <w:sz w:val="24"/>
          <w:szCs w:val="24"/>
          <w:highlight w:val="none"/>
          <w:lang w:val="zh-CN"/>
        </w:rPr>
        <w:t>全部履约保证金</w:t>
      </w:r>
      <w:r>
        <w:rPr>
          <w:rFonts w:hint="eastAsia" w:ascii="宋体" w:hAnsi="宋体" w:eastAsia="宋体" w:cs="宋体"/>
          <w:sz w:val="24"/>
          <w:szCs w:val="24"/>
          <w:highlight w:val="none"/>
          <w:lang w:val="en-US" w:eastAsia="zh-CN"/>
        </w:rPr>
        <w:t>作为违约金</w:t>
      </w:r>
      <w:r>
        <w:rPr>
          <w:rFonts w:hint="eastAsia" w:ascii="宋体" w:hAnsi="宋体" w:eastAsia="宋体" w:cs="宋体"/>
          <w:kern w:val="2"/>
          <w:sz w:val="24"/>
          <w:szCs w:val="24"/>
          <w:highlight w:val="none"/>
        </w:rPr>
        <w:t>。乙方因未能如期提供服务或因其他违约行为导致甲方解除合同的，如造成甲方损失超过违约金的，超出部分由乙方继续承担赔偿责任。</w:t>
      </w:r>
    </w:p>
    <w:p w14:paraId="75B369A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rPr>
        <w:t>4、</w:t>
      </w:r>
      <w:r>
        <w:rPr>
          <w:rFonts w:hint="eastAsia" w:ascii="宋体" w:hAnsi="宋体" w:eastAsia="宋体" w:cs="宋体"/>
          <w:sz w:val="24"/>
          <w:szCs w:val="24"/>
          <w:highlight w:val="none"/>
        </w:rPr>
        <w:t>上述违约金在</w:t>
      </w:r>
      <w:r>
        <w:rPr>
          <w:rFonts w:hint="eastAsia" w:ascii="宋体" w:hAnsi="宋体" w:eastAsia="宋体" w:cs="宋体"/>
          <w:sz w:val="24"/>
          <w:szCs w:val="24"/>
          <w:highlight w:val="none"/>
          <w:lang w:val="en-US" w:eastAsia="zh-CN"/>
        </w:rPr>
        <w:t>履约保证金中扣除，如履约保证金不足抵扣或乙方未补缴的，</w:t>
      </w:r>
      <w:r>
        <w:rPr>
          <w:rFonts w:hint="eastAsia" w:ascii="宋体" w:hAnsi="宋体" w:eastAsia="宋体" w:cs="宋体"/>
          <w:sz w:val="24"/>
          <w:szCs w:val="24"/>
          <w:highlight w:val="none"/>
        </w:rPr>
        <w:t>甲方有权在当季</w:t>
      </w:r>
      <w:r>
        <w:rPr>
          <w:rFonts w:hint="eastAsia" w:ascii="宋体" w:hAnsi="宋体" w:eastAsia="宋体" w:cs="宋体"/>
          <w:sz w:val="24"/>
          <w:szCs w:val="24"/>
          <w:highlight w:val="none"/>
          <w:lang w:val="en-US" w:eastAsia="zh-CN"/>
        </w:rPr>
        <w:t>待付合同价款</w:t>
      </w:r>
      <w:r>
        <w:rPr>
          <w:rFonts w:hint="eastAsia" w:ascii="宋体" w:hAnsi="宋体" w:eastAsia="宋体" w:cs="宋体"/>
          <w:sz w:val="24"/>
          <w:szCs w:val="24"/>
          <w:highlight w:val="none"/>
        </w:rPr>
        <w:t>中直接扣取。</w:t>
      </w:r>
    </w:p>
    <w:p w14:paraId="6144C33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若因乙方原因</w:t>
      </w:r>
      <w:r>
        <w:rPr>
          <w:rFonts w:hint="eastAsia" w:ascii="宋体" w:hAnsi="宋体" w:eastAsia="宋体" w:cs="宋体"/>
          <w:sz w:val="24"/>
          <w:szCs w:val="24"/>
          <w:highlight w:val="none"/>
        </w:rPr>
        <w:t>给甲方造成负面影响或经济损失的，甲方有权单方从乙方的履约保证金及应付的款项中得到补偿，若履约保证金及应付的款项不足以补偿甲方损失的甲方保留对乙方追偿的权利。</w:t>
      </w:r>
    </w:p>
    <w:p w14:paraId="6607A34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、因乙方违约给甲方造成损失超出违约金的，乙方仍应承担相应的赔偿义务。</w:t>
      </w:r>
    </w:p>
    <w:p w14:paraId="07CA2F6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7、因乙方不能妥善处理舆情风险的，甲方有权单方解除合同，乙方并当承担由此给甲方造成的损失。</w:t>
      </w:r>
    </w:p>
    <w:p w14:paraId="4185706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十一、不可抗力事件处理</w:t>
      </w:r>
    </w:p>
    <w:p w14:paraId="42FC0D1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在合同有效期内，任何一方因不可抗力事件导致不能履行合同，则合同履行期可延长，其延长期与不可抗力影响期相同。</w:t>
      </w:r>
    </w:p>
    <w:p w14:paraId="7F4CB91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因不可抗力致使不能实现合同目的的，当事人可以解除合同；</w:t>
      </w:r>
    </w:p>
    <w:p w14:paraId="4DB5601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 w:val="0"/>
          <w:bCs w:val="0"/>
          <w:i w:val="0"/>
          <w:iCs w:val="0"/>
          <w:sz w:val="24"/>
          <w:szCs w:val="24"/>
          <w:highlight w:val="none"/>
          <w:u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因不可抗</w:t>
      </w:r>
      <w:r>
        <w:rPr>
          <w:rFonts w:hint="eastAsia" w:ascii="宋体" w:hAnsi="宋体" w:eastAsia="宋体" w:cs="宋体"/>
          <w:b w:val="0"/>
          <w:bCs w:val="0"/>
          <w:i w:val="0"/>
          <w:iCs w:val="0"/>
          <w:sz w:val="24"/>
          <w:szCs w:val="24"/>
          <w:highlight w:val="none"/>
          <w:u w:val="none"/>
        </w:rPr>
        <w:t>力致使合同有变更必要的，双方当事人应在不可抗力事件结束后15天内以书面形式变更合同；</w:t>
      </w:r>
    </w:p>
    <w:p w14:paraId="5EC7ADB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 w:val="0"/>
          <w:bCs w:val="0"/>
          <w:i w:val="0"/>
          <w:iCs w:val="0"/>
          <w:sz w:val="24"/>
          <w:szCs w:val="24"/>
          <w:highlight w:val="none"/>
          <w:u w:val="none"/>
        </w:rPr>
      </w:pPr>
      <w:r>
        <w:rPr>
          <w:rFonts w:hint="eastAsia" w:ascii="宋体" w:hAnsi="宋体" w:eastAsia="宋体" w:cs="宋体"/>
          <w:b w:val="0"/>
          <w:bCs w:val="0"/>
          <w:i w:val="0"/>
          <w:iCs w:val="0"/>
          <w:sz w:val="24"/>
          <w:szCs w:val="24"/>
          <w:highlight w:val="none"/>
          <w:u w:val="none"/>
          <w:lang w:val="en-US" w:eastAsia="zh-CN"/>
        </w:rPr>
        <w:t>4、</w:t>
      </w:r>
      <w:r>
        <w:rPr>
          <w:rFonts w:hint="eastAsia" w:ascii="宋体" w:hAnsi="宋体" w:eastAsia="宋体" w:cs="宋体"/>
          <w:b w:val="0"/>
          <w:bCs w:val="0"/>
          <w:i w:val="0"/>
          <w:iCs w:val="0"/>
          <w:sz w:val="24"/>
          <w:szCs w:val="24"/>
          <w:highlight w:val="none"/>
          <w:u w:val="none"/>
        </w:rPr>
        <w:t>受不可抗力影响的一方在不可抗力发生后，应在不可抗力事件发生后5天内以书面形式通知对方当事人，并在不可抗力事件结束后5天内，将有关部门出具的证明文件送达对方当事人。</w:t>
      </w:r>
    </w:p>
    <w:p w14:paraId="4A9622F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不可抗力事件延续120天以上，双方应通过友好协商，确定是否继续履行合同。</w:t>
      </w:r>
    </w:p>
    <w:p w14:paraId="7719CDA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、其他约定事项：</w:t>
      </w:r>
    </w:p>
    <w:p w14:paraId="5476C38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、乙方须严格执行投标文件承诺的服务方案。</w:t>
      </w:r>
    </w:p>
    <w:p w14:paraId="58690BF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、招标文件、乙方的投标文件以及相关补充文件、澄清文件、特殊承诺等是本合同不可分割的部分。</w:t>
      </w:r>
    </w:p>
    <w:p w14:paraId="66A73C3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、本合同中未尽事宜，经双方协商可另行签订补充</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，补充</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与本合同具有同等法律效力。</w:t>
      </w:r>
    </w:p>
    <w:p w14:paraId="0EDFE05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、合同有效期内，乙方及其工作人员与其他单位或个人发生债权、债务纠纷等，与甲方无关。</w:t>
      </w:r>
    </w:p>
    <w:p w14:paraId="4083CA7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5、除《政府采购法》第49条、第50条规定的情形外，本合同一经签订，甲乙双方不得随意变更或终止合同。</w:t>
      </w:r>
    </w:p>
    <w:p w14:paraId="72D7642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6、本合同若有未尽事宜，经双方商议可续签补充合同。补充合同与本合同具有相同法律效力，但补充合同的内容不能实质性修改本合同的主要条款。</w:t>
      </w:r>
    </w:p>
    <w:p w14:paraId="1DDA790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十三</w:t>
      </w:r>
      <w:r>
        <w:rPr>
          <w:rFonts w:hint="eastAsia" w:ascii="宋体" w:hAnsi="宋体" w:eastAsia="宋体" w:cs="宋体"/>
          <w:sz w:val="24"/>
          <w:szCs w:val="24"/>
          <w:highlight w:val="none"/>
        </w:rPr>
        <w:t>、本合同在履行中发生争议，由双方协商解决，协商不成双方可选择以下第</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种方式处理：</w:t>
      </w:r>
    </w:p>
    <w:p w14:paraId="5B561B5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1、向</w:t>
      </w:r>
      <w:r>
        <w:rPr>
          <w:rFonts w:hint="eastAsia" w:ascii="宋体" w:hAnsi="宋体" w:eastAsia="宋体" w:cs="宋体"/>
          <w:sz w:val="24"/>
          <w:szCs w:val="24"/>
          <w:highlight w:val="none"/>
          <w:u w:val="single"/>
        </w:rPr>
        <w:t xml:space="preserve">  衢州  </w:t>
      </w:r>
      <w:r>
        <w:rPr>
          <w:rFonts w:hint="eastAsia" w:ascii="宋体" w:hAnsi="宋体" w:eastAsia="宋体" w:cs="宋体"/>
          <w:sz w:val="24"/>
          <w:szCs w:val="24"/>
          <w:highlight w:val="none"/>
        </w:rPr>
        <w:t>仲裁委员会申请仲裁；</w:t>
      </w:r>
    </w:p>
    <w:p w14:paraId="2BF9C41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2、向人民法院提起诉讼。</w:t>
      </w:r>
    </w:p>
    <w:p w14:paraId="7261EE3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、本合同壹式肆份，甲乙双方各执贰份，双方签字并盖章时生效。</w:t>
      </w:r>
    </w:p>
    <w:tbl>
      <w:tblPr>
        <w:tblStyle w:val="19"/>
        <w:tblW w:w="0" w:type="auto"/>
        <w:tblInd w:w="111" w:type="dxa"/>
        <w:tblLayout w:type="fixed"/>
        <w:tblCellMar>
          <w:top w:w="0" w:type="dxa"/>
          <w:left w:w="108" w:type="dxa"/>
          <w:bottom w:w="0" w:type="dxa"/>
          <w:right w:w="108" w:type="dxa"/>
        </w:tblCellMar>
      </w:tblPr>
      <w:tblGrid>
        <w:gridCol w:w="4714"/>
        <w:gridCol w:w="4918"/>
      </w:tblGrid>
      <w:tr w14:paraId="57F99278">
        <w:tblPrEx>
          <w:tblCellMar>
            <w:top w:w="0" w:type="dxa"/>
            <w:left w:w="108" w:type="dxa"/>
            <w:bottom w:w="0" w:type="dxa"/>
            <w:right w:w="108" w:type="dxa"/>
          </w:tblCellMar>
        </w:tblPrEx>
        <w:trPr>
          <w:trHeight w:val="680" w:hRule="atLeast"/>
        </w:trPr>
        <w:tc>
          <w:tcPr>
            <w:tcW w:w="4714" w:type="dxa"/>
            <w:tcBorders>
              <w:top w:val="nil"/>
              <w:left w:val="nil"/>
              <w:bottom w:val="nil"/>
              <w:right w:val="nil"/>
            </w:tcBorders>
            <w:noWrap w:val="0"/>
            <w:vAlign w:val="center"/>
          </w:tcPr>
          <w:p w14:paraId="5FE6EC89">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甲方：                （盖章）    </w:t>
            </w:r>
          </w:p>
        </w:tc>
        <w:tc>
          <w:tcPr>
            <w:tcW w:w="4918" w:type="dxa"/>
            <w:tcBorders>
              <w:top w:val="nil"/>
              <w:left w:val="nil"/>
              <w:bottom w:val="nil"/>
              <w:right w:val="nil"/>
            </w:tcBorders>
            <w:noWrap w:val="0"/>
            <w:vAlign w:val="center"/>
          </w:tcPr>
          <w:p w14:paraId="3C0FDD23">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乙方：               （盖章）     </w:t>
            </w:r>
          </w:p>
        </w:tc>
      </w:tr>
      <w:tr w14:paraId="6FDFECA3">
        <w:tblPrEx>
          <w:tblCellMar>
            <w:top w:w="0" w:type="dxa"/>
            <w:left w:w="108" w:type="dxa"/>
            <w:bottom w:w="0" w:type="dxa"/>
            <w:right w:w="108" w:type="dxa"/>
          </w:tblCellMar>
        </w:tblPrEx>
        <w:trPr>
          <w:trHeight w:val="680" w:hRule="atLeast"/>
        </w:trPr>
        <w:tc>
          <w:tcPr>
            <w:tcW w:w="4714" w:type="dxa"/>
            <w:tcBorders>
              <w:top w:val="nil"/>
              <w:left w:val="nil"/>
              <w:bottom w:val="nil"/>
              <w:right w:val="nil"/>
            </w:tcBorders>
            <w:noWrap w:val="0"/>
            <w:vAlign w:val="center"/>
          </w:tcPr>
          <w:p w14:paraId="207E0FE6">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（签字）    </w:t>
            </w:r>
          </w:p>
        </w:tc>
        <w:tc>
          <w:tcPr>
            <w:tcW w:w="4918" w:type="dxa"/>
            <w:tcBorders>
              <w:top w:val="nil"/>
              <w:left w:val="nil"/>
              <w:bottom w:val="nil"/>
              <w:right w:val="nil"/>
            </w:tcBorders>
            <w:noWrap w:val="0"/>
            <w:vAlign w:val="center"/>
          </w:tcPr>
          <w:p w14:paraId="14F1379C">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（签字）     </w:t>
            </w:r>
          </w:p>
        </w:tc>
      </w:tr>
      <w:tr w14:paraId="3CBDB5E4">
        <w:tblPrEx>
          <w:tblCellMar>
            <w:top w:w="0" w:type="dxa"/>
            <w:left w:w="108" w:type="dxa"/>
            <w:bottom w:w="0" w:type="dxa"/>
            <w:right w:w="108" w:type="dxa"/>
          </w:tblCellMar>
        </w:tblPrEx>
        <w:trPr>
          <w:trHeight w:val="680" w:hRule="atLeast"/>
        </w:trPr>
        <w:tc>
          <w:tcPr>
            <w:tcW w:w="4714" w:type="dxa"/>
            <w:tcBorders>
              <w:top w:val="nil"/>
              <w:left w:val="nil"/>
              <w:bottom w:val="nil"/>
              <w:right w:val="nil"/>
            </w:tcBorders>
            <w:noWrap w:val="0"/>
            <w:vAlign w:val="center"/>
          </w:tcPr>
          <w:p w14:paraId="1D255250">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经办人：</w:t>
            </w:r>
          </w:p>
        </w:tc>
        <w:tc>
          <w:tcPr>
            <w:tcW w:w="4918" w:type="dxa"/>
            <w:tcBorders>
              <w:top w:val="nil"/>
              <w:left w:val="nil"/>
              <w:bottom w:val="nil"/>
              <w:right w:val="nil"/>
            </w:tcBorders>
            <w:noWrap w:val="0"/>
            <w:vAlign w:val="center"/>
          </w:tcPr>
          <w:p w14:paraId="7D8FD38F">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经办人：</w:t>
            </w:r>
          </w:p>
        </w:tc>
      </w:tr>
      <w:tr w14:paraId="23185EA7">
        <w:tblPrEx>
          <w:tblCellMar>
            <w:top w:w="0" w:type="dxa"/>
            <w:left w:w="108" w:type="dxa"/>
            <w:bottom w:w="0" w:type="dxa"/>
            <w:right w:w="108" w:type="dxa"/>
          </w:tblCellMar>
        </w:tblPrEx>
        <w:trPr>
          <w:trHeight w:val="385" w:hRule="atLeast"/>
        </w:trPr>
        <w:tc>
          <w:tcPr>
            <w:tcW w:w="4714" w:type="dxa"/>
            <w:tcBorders>
              <w:top w:val="nil"/>
              <w:left w:val="nil"/>
              <w:bottom w:val="nil"/>
              <w:right w:val="nil"/>
            </w:tcBorders>
            <w:noWrap w:val="0"/>
            <w:vAlign w:val="center"/>
          </w:tcPr>
          <w:p w14:paraId="77B6EEEF">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p>
        </w:tc>
        <w:tc>
          <w:tcPr>
            <w:tcW w:w="4918" w:type="dxa"/>
            <w:tcBorders>
              <w:top w:val="nil"/>
              <w:left w:val="nil"/>
              <w:bottom w:val="nil"/>
              <w:right w:val="nil"/>
            </w:tcBorders>
            <w:noWrap w:val="0"/>
            <w:vAlign w:val="center"/>
          </w:tcPr>
          <w:p w14:paraId="66B7A0E0">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p>
        </w:tc>
      </w:tr>
      <w:tr w14:paraId="4104CE20">
        <w:tblPrEx>
          <w:tblCellMar>
            <w:top w:w="0" w:type="dxa"/>
            <w:left w:w="108" w:type="dxa"/>
            <w:bottom w:w="0" w:type="dxa"/>
            <w:right w:w="108" w:type="dxa"/>
          </w:tblCellMar>
        </w:tblPrEx>
        <w:trPr>
          <w:trHeight w:val="460" w:hRule="atLeast"/>
        </w:trPr>
        <w:tc>
          <w:tcPr>
            <w:tcW w:w="4714" w:type="dxa"/>
            <w:tcBorders>
              <w:top w:val="nil"/>
              <w:left w:val="nil"/>
              <w:bottom w:val="nil"/>
              <w:right w:val="nil"/>
            </w:tcBorders>
            <w:noWrap w:val="0"/>
            <w:vAlign w:val="center"/>
          </w:tcPr>
          <w:p w14:paraId="426254EB">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c>
          <w:tcPr>
            <w:tcW w:w="4918" w:type="dxa"/>
            <w:tcBorders>
              <w:top w:val="nil"/>
              <w:left w:val="nil"/>
              <w:bottom w:val="nil"/>
              <w:right w:val="nil"/>
            </w:tcBorders>
            <w:noWrap w:val="0"/>
            <w:vAlign w:val="center"/>
          </w:tcPr>
          <w:p w14:paraId="1A41ADFC">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r>
      <w:tr w14:paraId="32183EDF">
        <w:tblPrEx>
          <w:tblCellMar>
            <w:top w:w="0" w:type="dxa"/>
            <w:left w:w="108" w:type="dxa"/>
            <w:bottom w:w="0" w:type="dxa"/>
            <w:right w:w="108" w:type="dxa"/>
          </w:tblCellMar>
        </w:tblPrEx>
        <w:trPr>
          <w:trHeight w:val="310" w:hRule="atLeast"/>
        </w:trPr>
        <w:tc>
          <w:tcPr>
            <w:tcW w:w="4714" w:type="dxa"/>
            <w:tcBorders>
              <w:top w:val="nil"/>
              <w:left w:val="nil"/>
              <w:bottom w:val="nil"/>
              <w:right w:val="nil"/>
            </w:tcBorders>
            <w:noWrap w:val="0"/>
            <w:vAlign w:val="center"/>
          </w:tcPr>
          <w:p w14:paraId="713CE6F0">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tc>
        <w:tc>
          <w:tcPr>
            <w:tcW w:w="4918" w:type="dxa"/>
            <w:tcBorders>
              <w:top w:val="nil"/>
              <w:left w:val="nil"/>
              <w:bottom w:val="nil"/>
              <w:right w:val="nil"/>
            </w:tcBorders>
            <w:noWrap w:val="0"/>
            <w:vAlign w:val="center"/>
          </w:tcPr>
          <w:p w14:paraId="523624C6">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tc>
      </w:tr>
      <w:tr w14:paraId="6D4F254B">
        <w:tblPrEx>
          <w:tblCellMar>
            <w:top w:w="0" w:type="dxa"/>
            <w:left w:w="108" w:type="dxa"/>
            <w:bottom w:w="0" w:type="dxa"/>
            <w:right w:w="108" w:type="dxa"/>
          </w:tblCellMar>
        </w:tblPrEx>
        <w:trPr>
          <w:trHeight w:val="400" w:hRule="atLeast"/>
        </w:trPr>
        <w:tc>
          <w:tcPr>
            <w:tcW w:w="4714" w:type="dxa"/>
            <w:tcBorders>
              <w:top w:val="nil"/>
              <w:left w:val="nil"/>
              <w:bottom w:val="nil"/>
              <w:right w:val="nil"/>
            </w:tcBorders>
            <w:noWrap w:val="0"/>
            <w:vAlign w:val="center"/>
          </w:tcPr>
          <w:p w14:paraId="02105851">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w:t>
            </w:r>
          </w:p>
        </w:tc>
        <w:tc>
          <w:tcPr>
            <w:tcW w:w="4918" w:type="dxa"/>
            <w:tcBorders>
              <w:top w:val="nil"/>
              <w:left w:val="nil"/>
              <w:bottom w:val="nil"/>
              <w:right w:val="nil"/>
            </w:tcBorders>
            <w:noWrap w:val="0"/>
            <w:vAlign w:val="center"/>
          </w:tcPr>
          <w:p w14:paraId="59649BAD">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w:t>
            </w:r>
          </w:p>
        </w:tc>
      </w:tr>
      <w:tr w14:paraId="25EC43C4">
        <w:tblPrEx>
          <w:tblCellMar>
            <w:top w:w="0" w:type="dxa"/>
            <w:left w:w="108" w:type="dxa"/>
            <w:bottom w:w="0" w:type="dxa"/>
            <w:right w:w="108" w:type="dxa"/>
          </w:tblCellMar>
        </w:tblPrEx>
        <w:trPr>
          <w:trHeight w:val="395" w:hRule="atLeast"/>
        </w:trPr>
        <w:tc>
          <w:tcPr>
            <w:tcW w:w="4714" w:type="dxa"/>
            <w:tcBorders>
              <w:top w:val="nil"/>
              <w:left w:val="nil"/>
              <w:bottom w:val="nil"/>
              <w:right w:val="nil"/>
            </w:tcBorders>
            <w:noWrap w:val="0"/>
            <w:vAlign w:val="center"/>
          </w:tcPr>
          <w:p w14:paraId="00F9F405">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签订日期：202</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年  月  日</w:t>
            </w:r>
          </w:p>
        </w:tc>
        <w:tc>
          <w:tcPr>
            <w:tcW w:w="4918" w:type="dxa"/>
            <w:tcBorders>
              <w:top w:val="nil"/>
              <w:left w:val="nil"/>
              <w:bottom w:val="nil"/>
              <w:right w:val="nil"/>
            </w:tcBorders>
            <w:noWrap w:val="0"/>
            <w:vAlign w:val="center"/>
          </w:tcPr>
          <w:p w14:paraId="2BD11129">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签订日期：202</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年  月  日</w:t>
            </w:r>
          </w:p>
        </w:tc>
      </w:tr>
    </w:tbl>
    <w:p w14:paraId="6D5FB49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注：本合同仅作示范文本，具体以双方签订的正式合同为准，合同内容不得违背采购文件、供应商投标文件及</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承诺内容等实质性要求。</w:t>
      </w:r>
    </w:p>
    <w:p w14:paraId="7E936047">
      <w:pPr>
        <w:bidi w:val="0"/>
        <w:rPr>
          <w:rFonts w:hint="eastAsia" w:ascii="宋体" w:hAnsi="宋体" w:eastAsia="宋体" w:cs="宋体"/>
          <w:highlight w:val="none"/>
        </w:rPr>
      </w:pPr>
    </w:p>
    <w:p w14:paraId="654B1FC6">
      <w:pPr>
        <w:pStyle w:val="2"/>
        <w:rPr>
          <w:rFonts w:hint="eastAsia" w:ascii="宋体" w:hAnsi="宋体" w:eastAsia="宋体" w:cs="宋体"/>
          <w:highlight w:val="none"/>
        </w:rPr>
      </w:pPr>
    </w:p>
    <w:p w14:paraId="3533CFA5">
      <w:pPr>
        <w:pStyle w:val="3"/>
        <w:rPr>
          <w:rFonts w:hint="eastAsia" w:ascii="宋体" w:hAnsi="宋体" w:eastAsia="宋体" w:cs="宋体"/>
          <w:highlight w:val="none"/>
        </w:rPr>
      </w:pPr>
    </w:p>
    <w:p w14:paraId="0AEEDAD6">
      <w:pPr>
        <w:pStyle w:val="17"/>
        <w:rPr>
          <w:rFonts w:hint="eastAsia" w:ascii="宋体" w:hAnsi="宋体" w:eastAsia="宋体" w:cs="宋体"/>
          <w:highlight w:val="none"/>
        </w:rPr>
      </w:pPr>
    </w:p>
    <w:p w14:paraId="458FBA7E">
      <w:pPr>
        <w:rPr>
          <w:rFonts w:hint="eastAsia" w:ascii="宋体" w:hAnsi="宋体" w:eastAsia="宋体" w:cs="宋体"/>
          <w:highlight w:val="none"/>
        </w:rPr>
      </w:pPr>
    </w:p>
    <w:p w14:paraId="3CC86A24">
      <w:pPr>
        <w:pStyle w:val="2"/>
        <w:rPr>
          <w:rFonts w:hint="eastAsia" w:ascii="宋体" w:hAnsi="宋体" w:eastAsia="宋体" w:cs="宋体"/>
          <w:highlight w:val="none"/>
        </w:rPr>
      </w:pPr>
    </w:p>
    <w:p w14:paraId="283F8E50">
      <w:pPr>
        <w:pStyle w:val="3"/>
        <w:rPr>
          <w:rFonts w:hint="eastAsia" w:ascii="宋体" w:hAnsi="宋体" w:eastAsia="宋体" w:cs="宋体"/>
          <w:highlight w:val="none"/>
        </w:rPr>
      </w:pPr>
    </w:p>
    <w:p w14:paraId="2AA78C92">
      <w:pPr>
        <w:pStyle w:val="17"/>
        <w:rPr>
          <w:rFonts w:hint="eastAsia" w:ascii="宋体" w:hAnsi="宋体" w:eastAsia="宋体" w:cs="宋体"/>
          <w:highlight w:val="none"/>
        </w:rPr>
      </w:pPr>
    </w:p>
    <w:p w14:paraId="09E6704B">
      <w:pPr>
        <w:rPr>
          <w:rFonts w:hint="eastAsia" w:ascii="宋体" w:hAnsi="宋体" w:eastAsia="宋体" w:cs="宋体"/>
          <w:highlight w:val="none"/>
        </w:rPr>
      </w:pPr>
    </w:p>
    <w:p w14:paraId="5F82E0E0">
      <w:pPr>
        <w:pStyle w:val="2"/>
        <w:rPr>
          <w:rFonts w:hint="eastAsia" w:ascii="宋体" w:hAnsi="宋体" w:eastAsia="宋体" w:cs="宋体"/>
          <w:highlight w:val="none"/>
        </w:rPr>
      </w:pPr>
    </w:p>
    <w:p w14:paraId="1464980A">
      <w:pPr>
        <w:pStyle w:val="3"/>
        <w:rPr>
          <w:rFonts w:hint="eastAsia" w:ascii="宋体" w:hAnsi="宋体" w:eastAsia="宋体" w:cs="宋体"/>
          <w:highlight w:val="none"/>
        </w:rPr>
      </w:pPr>
    </w:p>
    <w:p w14:paraId="26BCDD4F">
      <w:pPr>
        <w:pStyle w:val="17"/>
        <w:rPr>
          <w:rFonts w:hint="eastAsia" w:ascii="宋体" w:hAnsi="宋体" w:eastAsia="宋体" w:cs="宋体"/>
          <w:highlight w:val="none"/>
        </w:rPr>
      </w:pPr>
    </w:p>
    <w:p w14:paraId="4474FC53">
      <w:pPr>
        <w:rPr>
          <w:rFonts w:hint="eastAsia" w:ascii="宋体" w:hAnsi="宋体" w:eastAsia="宋体" w:cs="宋体"/>
          <w:highlight w:val="none"/>
        </w:rPr>
      </w:pPr>
    </w:p>
    <w:p w14:paraId="28FB0EE7">
      <w:pPr>
        <w:pStyle w:val="2"/>
        <w:rPr>
          <w:rFonts w:hint="eastAsia" w:ascii="宋体" w:hAnsi="宋体" w:eastAsia="宋体" w:cs="宋体"/>
          <w:highlight w:val="none"/>
        </w:rPr>
      </w:pPr>
    </w:p>
    <w:p w14:paraId="1A1E7B56">
      <w:pPr>
        <w:pStyle w:val="3"/>
        <w:rPr>
          <w:rFonts w:hint="eastAsia" w:ascii="宋体" w:hAnsi="宋体" w:eastAsia="宋体" w:cs="宋体"/>
          <w:highlight w:val="none"/>
        </w:rPr>
      </w:pPr>
    </w:p>
    <w:p w14:paraId="16A6F326">
      <w:pPr>
        <w:pStyle w:val="17"/>
        <w:rPr>
          <w:rFonts w:hint="eastAsia" w:ascii="宋体" w:hAnsi="宋体" w:eastAsia="宋体" w:cs="宋体"/>
          <w:highlight w:val="none"/>
        </w:rPr>
      </w:pPr>
    </w:p>
    <w:p w14:paraId="7FC83010">
      <w:pPr>
        <w:rPr>
          <w:rFonts w:hint="eastAsia" w:ascii="宋体" w:hAnsi="宋体" w:eastAsia="宋体" w:cs="宋体"/>
          <w:highlight w:val="none"/>
        </w:rPr>
      </w:pPr>
    </w:p>
    <w:p w14:paraId="4780F4A6">
      <w:pPr>
        <w:pStyle w:val="2"/>
        <w:rPr>
          <w:rFonts w:hint="eastAsia" w:ascii="宋体" w:hAnsi="宋体" w:eastAsia="宋体" w:cs="宋体"/>
          <w:highlight w:val="none"/>
        </w:rPr>
      </w:pPr>
    </w:p>
    <w:p w14:paraId="2A88FB6C">
      <w:pPr>
        <w:pStyle w:val="3"/>
        <w:rPr>
          <w:rFonts w:hint="eastAsia" w:ascii="宋体" w:hAnsi="宋体" w:eastAsia="宋体" w:cs="宋体"/>
          <w:highlight w:val="none"/>
        </w:rPr>
      </w:pPr>
    </w:p>
    <w:p w14:paraId="37676520">
      <w:pPr>
        <w:pStyle w:val="17"/>
        <w:rPr>
          <w:rFonts w:hint="eastAsia" w:ascii="宋体" w:hAnsi="宋体" w:eastAsia="宋体" w:cs="宋体"/>
          <w:highlight w:val="none"/>
        </w:rPr>
      </w:pPr>
    </w:p>
    <w:p w14:paraId="047AA426">
      <w:pPr>
        <w:rPr>
          <w:rFonts w:hint="eastAsia" w:ascii="宋体" w:hAnsi="宋体" w:eastAsia="宋体" w:cs="宋体"/>
          <w:highlight w:val="none"/>
        </w:rPr>
      </w:pPr>
    </w:p>
    <w:p w14:paraId="07FB53FD">
      <w:pPr>
        <w:pStyle w:val="2"/>
        <w:rPr>
          <w:rFonts w:hint="eastAsia" w:ascii="宋体" w:hAnsi="宋体" w:eastAsia="宋体" w:cs="宋体"/>
          <w:highlight w:val="none"/>
        </w:rPr>
      </w:pPr>
    </w:p>
    <w:p w14:paraId="62CD3DA2">
      <w:pPr>
        <w:pStyle w:val="3"/>
        <w:rPr>
          <w:rFonts w:hint="eastAsia" w:ascii="宋体" w:hAnsi="宋体" w:eastAsia="宋体" w:cs="宋体"/>
        </w:rPr>
      </w:pPr>
    </w:p>
    <w:p w14:paraId="164008A0">
      <w:pPr>
        <w:pStyle w:val="4"/>
        <w:keepNext/>
        <w:keepLines/>
        <w:pageBreakBefore w:val="0"/>
        <w:widowControl w:val="0"/>
        <w:numPr>
          <w:ilvl w:val="0"/>
          <w:numId w:val="3"/>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49" w:name="_Toc5592"/>
      <w:bookmarkStart w:id="50" w:name="_Toc23864"/>
      <w:r>
        <w:rPr>
          <w:rFonts w:hint="eastAsia" w:ascii="宋体" w:hAnsi="宋体" w:eastAsia="宋体" w:cs="宋体"/>
          <w:color w:val="auto"/>
          <w:sz w:val="28"/>
          <w:szCs w:val="28"/>
          <w:highlight w:val="none"/>
          <w:lang w:val="en-US" w:eastAsia="zh-CN"/>
        </w:rPr>
        <w:t xml:space="preserve"> 应提交的有关格式范例</w:t>
      </w:r>
      <w:bookmarkEnd w:id="49"/>
      <w:bookmarkEnd w:id="50"/>
    </w:p>
    <w:p w14:paraId="21928772">
      <w:pPr>
        <w:autoSpaceDE w:val="0"/>
        <w:autoSpaceDN w:val="0"/>
        <w:adjustRightInd w:val="0"/>
        <w:spacing w:line="400" w:lineRule="exact"/>
        <w:rPr>
          <w:rFonts w:hint="eastAsia" w:ascii="宋体" w:hAnsi="宋体" w:eastAsia="宋体" w:cs="宋体"/>
          <w:highlight w:val="none"/>
          <w:lang w:val="en-US" w:eastAsia="zh-CN"/>
        </w:rPr>
      </w:pPr>
    </w:p>
    <w:p w14:paraId="01536D8B">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4"/>
          <w:highlight w:val="none"/>
        </w:rPr>
        <w:t>资格审查文件</w:t>
      </w:r>
    </w:p>
    <w:p w14:paraId="73CEB8BD">
      <w:pPr>
        <w:spacing w:before="60" w:after="60"/>
        <w:rPr>
          <w:rFonts w:hint="eastAsia" w:ascii="宋体" w:hAnsi="宋体" w:eastAsia="宋体" w:cs="宋体"/>
          <w:b/>
          <w:bCs/>
          <w:color w:val="auto"/>
          <w:sz w:val="24"/>
          <w:highlight w:val="none"/>
          <w:lang w:val="en-US" w:eastAsia="zh-CN"/>
        </w:rPr>
      </w:pPr>
    </w:p>
    <w:p w14:paraId="421F7360">
      <w:pPr>
        <w:spacing w:before="60" w:after="6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符合参加政府采购活动应当具备的一般条件的承诺函</w:t>
      </w:r>
    </w:p>
    <w:p w14:paraId="2DABD9C2">
      <w:pPr>
        <w:snapToGrid w:val="0"/>
        <w:spacing w:line="360" w:lineRule="auto"/>
        <w:jc w:val="center"/>
        <w:rPr>
          <w:rFonts w:hint="eastAsia" w:ascii="宋体" w:hAnsi="宋体" w:eastAsia="宋体" w:cs="宋体"/>
          <w:b/>
          <w:bCs/>
          <w:color w:val="auto"/>
          <w:sz w:val="22"/>
          <w:szCs w:val="22"/>
          <w:highlight w:val="none"/>
        </w:rPr>
      </w:pPr>
    </w:p>
    <w:p w14:paraId="2A952838">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符合参加政府采购活动应当具备的一般条件的承诺函</w:t>
      </w:r>
    </w:p>
    <w:p w14:paraId="1D0ACD0D">
      <w:pPr>
        <w:snapToGrid w:val="0"/>
        <w:spacing w:line="360" w:lineRule="auto"/>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bCs/>
          <w:color w:val="auto"/>
          <w:spacing w:val="-6"/>
          <w:kern w:val="2"/>
          <w:sz w:val="24"/>
          <w:szCs w:val="24"/>
          <w:highlight w:val="none"/>
          <w:lang w:val="en-US" w:eastAsia="zh-CN" w:bidi="ar-SA"/>
        </w:rPr>
        <w:t>（采购人）：</w:t>
      </w:r>
    </w:p>
    <w:p w14:paraId="60E662E7">
      <w:pPr>
        <w:snapToGrid w:val="0"/>
        <w:spacing w:line="360" w:lineRule="auto"/>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bCs/>
          <w:color w:val="auto"/>
          <w:spacing w:val="-6"/>
          <w:kern w:val="2"/>
          <w:sz w:val="24"/>
          <w:szCs w:val="24"/>
          <w:highlight w:val="none"/>
          <w:lang w:val="en-US" w:eastAsia="zh-CN" w:bidi="ar-SA"/>
        </w:rPr>
        <w:t>（采购代理机构）：</w:t>
      </w:r>
    </w:p>
    <w:p w14:paraId="69EDBA10">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我方参与</w:t>
      </w: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项目名称及</w:t>
      </w:r>
      <w:r>
        <w:rPr>
          <w:rFonts w:hint="eastAsia" w:ascii="宋体" w:hAnsi="宋体" w:eastAsia="宋体" w:cs="宋体"/>
          <w:color w:val="auto"/>
          <w:kern w:val="0"/>
          <w:sz w:val="24"/>
          <w:highlight w:val="none"/>
          <w:u w:val="single"/>
        </w:rPr>
        <w:t>项目编号）</w:t>
      </w:r>
      <w:r>
        <w:rPr>
          <w:rFonts w:hint="eastAsia" w:ascii="宋体" w:hAnsi="宋体" w:eastAsia="宋体" w:cs="宋体"/>
          <w:bCs/>
          <w:color w:val="auto"/>
          <w:spacing w:val="-6"/>
          <w:kern w:val="2"/>
          <w:sz w:val="24"/>
          <w:szCs w:val="24"/>
          <w:highlight w:val="none"/>
          <w:lang w:val="en-US" w:eastAsia="zh-CN" w:bidi="ar-SA"/>
        </w:rPr>
        <w:t>政府采购活动，郑重承诺：</w:t>
      </w:r>
    </w:p>
    <w:p w14:paraId="58E2DC39">
      <w:pPr>
        <w:snapToGrid w:val="0"/>
        <w:spacing w:line="360" w:lineRule="auto"/>
        <w:ind w:firstLine="342" w:firstLineChars="15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（一）具备《中华人民共和国政府采购法》第二十二条第一款规定的条件：</w:t>
      </w:r>
    </w:p>
    <w:p w14:paraId="7116469A">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1、具有独立承担民事责任的能力；</w:t>
      </w:r>
    </w:p>
    <w:p w14:paraId="4F4B72B8">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 xml:space="preserve">2、具有良好的商业信誉和健全的财务会计制度； </w:t>
      </w:r>
    </w:p>
    <w:p w14:paraId="025E9E59">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3、具有履行合同所必需的设备和专业技术能力；</w:t>
      </w:r>
    </w:p>
    <w:p w14:paraId="74E8C1A2">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4、有依法缴纳税收和社会保障资金的良好记录；</w:t>
      </w:r>
    </w:p>
    <w:p w14:paraId="49D3F2E5">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5、参加政府采购活动前三年内，在经营活动中没有重大违法记录；</w:t>
      </w:r>
    </w:p>
    <w:p w14:paraId="3BBB4E64">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6、具有法律、行政法规规定的其他条件。</w:t>
      </w:r>
    </w:p>
    <w:p w14:paraId="6CACC5FD">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未被“信用中国”（www.creditchina.gov.cn)、中国政府采购网（www.ccgp.gov.cn）列入失信被执行人、重大税收违法案件当事人名单、政府采购严重违法失信行为记录名单</w:t>
      </w:r>
      <w:r>
        <w:rPr>
          <w:rFonts w:hint="eastAsia" w:ascii="宋体" w:hAnsi="宋体" w:eastAsia="宋体" w:cs="宋体"/>
          <w:bCs/>
          <w:color w:val="auto"/>
          <w:spacing w:val="-6"/>
          <w:kern w:val="2"/>
          <w:sz w:val="24"/>
          <w:szCs w:val="24"/>
          <w:highlight w:val="none"/>
          <w:lang w:val="en-US" w:eastAsia="zh-CN" w:bidi="ar-SA"/>
        </w:rPr>
        <w:t>。</w:t>
      </w:r>
    </w:p>
    <w:p w14:paraId="2DB10323">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（三）不存在以下情况：</w:t>
      </w:r>
    </w:p>
    <w:p w14:paraId="426979BC">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1、单位负责人为同一人或者存在直接控股、管理关系的不同供应商参加同一合同项下的政府采购活动的；</w:t>
      </w:r>
    </w:p>
    <w:p w14:paraId="4BBD5509">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2、为采购项目提供整体设计、规范编制或者项目管理、监理、检测等服务后再参加该采购项目的其他采购活动的。</w:t>
      </w:r>
    </w:p>
    <w:p w14:paraId="6F6FBCC5">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（四）如有虚假，采购人可取消我方任何资格（投标/中标/签订合同），我方愿意承担相应责任，对此无任何异议。</w:t>
      </w:r>
    </w:p>
    <w:p w14:paraId="0134FF74">
      <w:pPr>
        <w:snapToGrid w:val="0"/>
        <w:spacing w:line="360" w:lineRule="auto"/>
        <w:rPr>
          <w:rFonts w:hint="eastAsia" w:ascii="宋体" w:hAnsi="宋体" w:eastAsia="宋体" w:cs="宋体"/>
          <w:bCs/>
          <w:color w:val="auto"/>
          <w:spacing w:val="-6"/>
          <w:kern w:val="2"/>
          <w:sz w:val="24"/>
          <w:szCs w:val="24"/>
          <w:highlight w:val="none"/>
          <w:lang w:val="zh-CN" w:eastAsia="zh-CN" w:bidi="ar-SA"/>
        </w:rPr>
      </w:pPr>
    </w:p>
    <w:p w14:paraId="7E65FBE5">
      <w:pPr>
        <w:snapToGrid w:val="0"/>
        <w:spacing w:line="360" w:lineRule="auto"/>
        <w:ind w:firstLine="5244" w:firstLineChars="2300"/>
        <w:rPr>
          <w:rFonts w:hint="eastAsia" w:ascii="宋体" w:hAnsi="宋体" w:eastAsia="宋体" w:cs="宋体"/>
          <w:bCs/>
          <w:color w:val="auto"/>
          <w:spacing w:val="-6"/>
          <w:kern w:val="2"/>
          <w:sz w:val="24"/>
          <w:szCs w:val="24"/>
          <w:highlight w:val="none"/>
          <w:lang w:val="zh-CN" w:eastAsia="zh-CN" w:bidi="ar-SA"/>
        </w:rPr>
      </w:pPr>
      <w:r>
        <w:rPr>
          <w:rFonts w:hint="eastAsia" w:ascii="宋体" w:hAnsi="宋体" w:eastAsia="宋体" w:cs="宋体"/>
          <w:bCs/>
          <w:color w:val="auto"/>
          <w:spacing w:val="-6"/>
          <w:kern w:val="2"/>
          <w:sz w:val="24"/>
          <w:szCs w:val="24"/>
          <w:highlight w:val="none"/>
          <w:lang w:val="zh-CN" w:eastAsia="zh-CN" w:bidi="ar-SA"/>
        </w:rPr>
        <w:t>供应商名称</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bCs/>
          <w:color w:val="auto"/>
          <w:spacing w:val="-6"/>
          <w:kern w:val="2"/>
          <w:sz w:val="24"/>
          <w:szCs w:val="24"/>
          <w:highlight w:val="none"/>
          <w:lang w:val="zh-CN" w:eastAsia="zh-CN" w:bidi="ar-SA"/>
        </w:rPr>
        <w:t>：</w:t>
      </w:r>
    </w:p>
    <w:p w14:paraId="21471673">
      <w:pPr>
        <w:snapToGrid w:val="0"/>
        <w:spacing w:line="360" w:lineRule="auto"/>
        <w:ind w:firstLine="5244" w:firstLineChars="2300"/>
        <w:rPr>
          <w:rFonts w:hint="eastAsia" w:ascii="宋体" w:hAnsi="宋体" w:eastAsia="宋体" w:cs="宋体"/>
          <w:color w:val="auto"/>
          <w:highlight w:val="none"/>
        </w:rPr>
      </w:pPr>
      <w:r>
        <w:rPr>
          <w:rFonts w:hint="eastAsia" w:ascii="宋体" w:hAnsi="宋体" w:eastAsia="宋体" w:cs="宋体"/>
          <w:bCs/>
          <w:color w:val="auto"/>
          <w:spacing w:val="-6"/>
          <w:kern w:val="2"/>
          <w:sz w:val="24"/>
          <w:szCs w:val="24"/>
          <w:highlight w:val="none"/>
          <w:lang w:val="zh-CN" w:eastAsia="zh-CN" w:bidi="ar-SA"/>
        </w:rPr>
        <w:t>日期</w:t>
      </w:r>
      <w:r>
        <w:rPr>
          <w:rFonts w:hint="eastAsia" w:ascii="宋体" w:hAnsi="宋体" w:eastAsia="宋体" w:cs="宋体"/>
          <w:bCs/>
          <w:color w:val="auto"/>
          <w:spacing w:val="-6"/>
          <w:kern w:val="2"/>
          <w:sz w:val="24"/>
          <w:szCs w:val="24"/>
          <w:highlight w:val="none"/>
          <w:lang w:val="en-US" w:eastAsia="zh-CN" w:bidi="ar-SA"/>
        </w:rPr>
        <w:t xml:space="preserve">：  年  </w:t>
      </w:r>
      <w:r>
        <w:rPr>
          <w:rFonts w:hint="eastAsia" w:ascii="宋体" w:hAnsi="宋体" w:eastAsia="宋体" w:cs="宋体"/>
          <w:bCs/>
          <w:color w:val="auto"/>
          <w:spacing w:val="-6"/>
          <w:kern w:val="2"/>
          <w:sz w:val="24"/>
          <w:szCs w:val="24"/>
          <w:highlight w:val="none"/>
          <w:lang w:val="zh-CN" w:eastAsia="zh-CN" w:bidi="ar-SA"/>
        </w:rPr>
        <w:t>月</w:t>
      </w:r>
      <w:r>
        <w:rPr>
          <w:rFonts w:hint="eastAsia" w:ascii="宋体" w:hAnsi="宋体" w:eastAsia="宋体" w:cs="宋体"/>
          <w:bCs/>
          <w:color w:val="auto"/>
          <w:spacing w:val="-6"/>
          <w:kern w:val="2"/>
          <w:sz w:val="24"/>
          <w:szCs w:val="24"/>
          <w:highlight w:val="none"/>
          <w:lang w:val="en-US" w:eastAsia="zh-CN" w:bidi="ar-SA"/>
        </w:rPr>
        <w:t xml:space="preserve">   </w:t>
      </w:r>
      <w:r>
        <w:rPr>
          <w:rFonts w:hint="eastAsia" w:ascii="宋体" w:hAnsi="宋体" w:eastAsia="宋体" w:cs="宋体"/>
          <w:bCs/>
          <w:color w:val="auto"/>
          <w:spacing w:val="-6"/>
          <w:kern w:val="2"/>
          <w:sz w:val="24"/>
          <w:szCs w:val="24"/>
          <w:highlight w:val="none"/>
          <w:lang w:val="zh-CN" w:eastAsia="zh-CN" w:bidi="ar-SA"/>
        </w:rPr>
        <w:t>日</w:t>
      </w:r>
    </w:p>
    <w:p w14:paraId="3B75863E">
      <w:pPr>
        <w:pStyle w:val="3"/>
        <w:rPr>
          <w:rFonts w:hint="eastAsia" w:ascii="宋体" w:hAnsi="宋体" w:eastAsia="宋体" w:cs="宋体"/>
          <w:color w:val="auto"/>
          <w:highlight w:val="none"/>
        </w:rPr>
      </w:pPr>
    </w:p>
    <w:p w14:paraId="7ACC2691">
      <w:pPr>
        <w:rPr>
          <w:rFonts w:hint="eastAsia" w:ascii="宋体" w:hAnsi="宋体" w:eastAsia="宋体" w:cs="宋体"/>
          <w:color w:val="auto"/>
          <w:highlight w:val="none"/>
        </w:rPr>
      </w:pPr>
    </w:p>
    <w:p w14:paraId="0D093A43">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2、具有独立承担民事责任的能力证明材料：</w:t>
      </w:r>
    </w:p>
    <w:p w14:paraId="55C811FB">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3518DEB0">
      <w:pPr>
        <w:pStyle w:val="10"/>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、如供应商是企业（包括合伙企业），提供在工商部门注册的有效“企业法人营业执照”或“营业执照”；</w:t>
      </w:r>
    </w:p>
    <w:p w14:paraId="76E25587">
      <w:pPr>
        <w:pStyle w:val="10"/>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、如供应商是事业单位，提供有效的“事业单位法人证书”；</w:t>
      </w:r>
    </w:p>
    <w:p w14:paraId="5E80007D">
      <w:pPr>
        <w:pStyle w:val="10"/>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、如供应商是非企业专业服务机构的，提供执业许可证等证明文件；</w:t>
      </w:r>
    </w:p>
    <w:p w14:paraId="63E72DE1">
      <w:pPr>
        <w:pStyle w:val="10"/>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、如供应商是个体工商户，提供有效的“个体工商户营业执照”；</w:t>
      </w:r>
    </w:p>
    <w:p w14:paraId="0A685FC6">
      <w:pPr>
        <w:pStyle w:val="10"/>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、如供应商是自然人，提供有效的自然人身份证明（居民身份证正反面或公安机关出具的临时居民身份证正反面或港澳台胞证或护照）。</w:t>
      </w:r>
    </w:p>
    <w:p w14:paraId="5EAB6CF6">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3CC7BFAF">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43E2AA61">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2D0C6BC2">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4901D174">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6FC84D7C">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1546AD4B">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6F750664">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2B758250">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645DB992">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1487CCA7">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0F839FE4">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2B1BC978">
      <w:pPr>
        <w:pStyle w:val="3"/>
        <w:rPr>
          <w:rFonts w:hint="eastAsia" w:ascii="宋体" w:hAnsi="宋体" w:eastAsia="宋体" w:cs="宋体"/>
          <w:color w:val="auto"/>
          <w:highlight w:val="none"/>
          <w:lang w:val="en-US" w:eastAsia="zh-CN"/>
        </w:rPr>
      </w:pPr>
    </w:p>
    <w:p w14:paraId="0E81182D">
      <w:pPr>
        <w:rPr>
          <w:rFonts w:hint="eastAsia" w:ascii="宋体" w:hAnsi="宋体" w:eastAsia="宋体" w:cs="宋体"/>
          <w:color w:val="auto"/>
          <w:highlight w:val="none"/>
          <w:lang w:val="en-US" w:eastAsia="zh-CN"/>
        </w:rPr>
      </w:pPr>
    </w:p>
    <w:p w14:paraId="3E1B912E">
      <w:pPr>
        <w:bidi w:val="0"/>
        <w:rPr>
          <w:rFonts w:hint="eastAsia" w:ascii="宋体" w:hAnsi="宋体" w:eastAsia="宋体" w:cs="宋体"/>
          <w:color w:val="auto"/>
          <w:highlight w:val="none"/>
          <w:lang w:val="en-US" w:eastAsia="zh-CN"/>
        </w:rPr>
      </w:pPr>
    </w:p>
    <w:p w14:paraId="5BA56693">
      <w:pPr>
        <w:bidi w:val="0"/>
        <w:rPr>
          <w:rFonts w:hint="eastAsia" w:ascii="宋体" w:hAnsi="宋体" w:eastAsia="宋体" w:cs="宋体"/>
          <w:color w:val="auto"/>
          <w:highlight w:val="none"/>
          <w:lang w:val="en-US" w:eastAsia="zh-CN"/>
        </w:rPr>
      </w:pPr>
    </w:p>
    <w:p w14:paraId="4F0879F1">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594F8E8F">
      <w:pPr>
        <w:pStyle w:val="10"/>
        <w:keepNext w:val="0"/>
        <w:keepLines w:val="0"/>
        <w:pageBreakBefore/>
        <w:kinsoku/>
        <w:wordWrap/>
        <w:overflowPunct/>
        <w:topLinePunct w:val="0"/>
        <w:autoSpaceDE/>
        <w:autoSpaceDN/>
        <w:bidi w:val="0"/>
        <w:adjustRightInd/>
        <w:spacing w:line="500" w:lineRule="exact"/>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val="zh-CN"/>
        </w:rPr>
        <w:t>落实政府采购政策需满足的资格要求</w:t>
      </w:r>
      <w:r>
        <w:rPr>
          <w:rFonts w:hint="eastAsia" w:ascii="宋体" w:hAnsi="宋体" w:eastAsia="宋体" w:cs="宋体"/>
          <w:b/>
          <w:bCs/>
          <w:sz w:val="24"/>
          <w:szCs w:val="24"/>
          <w:highlight w:val="none"/>
        </w:rPr>
        <w:t>证明材料</w:t>
      </w:r>
      <w:r>
        <w:rPr>
          <w:rFonts w:hint="eastAsia" w:ascii="宋体" w:hAnsi="宋体" w:eastAsia="宋体" w:cs="宋体"/>
          <w:b/>
          <w:bCs/>
          <w:sz w:val="24"/>
          <w:szCs w:val="24"/>
          <w:highlight w:val="none"/>
          <w:lang w:val="zh-CN"/>
        </w:rPr>
        <w:t>：</w:t>
      </w:r>
    </w:p>
    <w:p w14:paraId="3894179A">
      <w:pPr>
        <w:keepNext w:val="0"/>
        <w:keepLines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（一）中小企业声明函（服务）</w:t>
      </w:r>
    </w:p>
    <w:p w14:paraId="4BCD5DA4">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szCs w:val="24"/>
          <w:highlight w:val="none"/>
          <w:u w:val="single"/>
          <w:lang w:eastAsia="zh-CN"/>
        </w:rPr>
        <w:t>衢州市衢江区大洲镇人民政府（采购人）</w:t>
      </w:r>
      <w:r>
        <w:rPr>
          <w:rFonts w:hint="eastAsia" w:ascii="宋体" w:hAnsi="宋体" w:eastAsia="宋体" w:cs="宋体"/>
          <w:sz w:val="24"/>
          <w:szCs w:val="24"/>
          <w:highlight w:val="none"/>
        </w:rPr>
        <w:t xml:space="preserve">的 </w:t>
      </w:r>
      <w:r>
        <w:rPr>
          <w:rFonts w:hint="eastAsia" w:ascii="宋体" w:hAnsi="宋体" w:eastAsia="宋体" w:cs="宋体"/>
          <w:color w:val="auto"/>
          <w:sz w:val="24"/>
          <w:szCs w:val="24"/>
          <w:highlight w:val="none"/>
          <w:u w:val="single"/>
          <w:lang w:val="en-US" w:eastAsia="zh-CN"/>
        </w:rPr>
        <w:t>罗樟源水库工程及道路改复建工程征收范围房屋评估第三方服务采购</w:t>
      </w:r>
      <w:r>
        <w:rPr>
          <w:rFonts w:hint="eastAsia" w:ascii="宋体" w:hAnsi="宋体" w:eastAsia="宋体" w:cs="宋体"/>
          <w:sz w:val="24"/>
          <w:szCs w:val="24"/>
          <w:highlight w:val="none"/>
          <w:u w:val="single"/>
          <w:lang w:eastAsia="zh-CN"/>
        </w:rPr>
        <w:t>（项目名称）</w:t>
      </w:r>
      <w:r>
        <w:rPr>
          <w:rFonts w:hint="eastAsia" w:ascii="宋体" w:hAnsi="宋体" w:eastAsia="宋体" w:cs="宋体"/>
          <w:sz w:val="24"/>
          <w:szCs w:val="24"/>
          <w:highlight w:val="none"/>
        </w:rPr>
        <w:t xml:space="preserve"> 采购活动，提供的服务全部由符合政策要求的中小企业承接。相关企业（含联合体中的中小企业、签订分包意向协议的中小企业）的具体情况如下：</w:t>
      </w:r>
    </w:p>
    <w:p w14:paraId="42F9C8AB">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color w:val="auto"/>
          <w:sz w:val="24"/>
          <w:szCs w:val="24"/>
          <w:highlight w:val="none"/>
          <w:u w:val="single"/>
          <w:lang w:val="en-US" w:eastAsia="zh-CN"/>
        </w:rPr>
        <w:t>罗樟源水库工程及道路改复建工程征收范围房屋评估第三方服务采购</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 xml:space="preserve"> ，属于 </w:t>
      </w:r>
      <w:r>
        <w:rPr>
          <w:rFonts w:hint="eastAsia" w:ascii="宋体" w:hAnsi="宋体" w:eastAsia="宋体" w:cs="宋体"/>
          <w:sz w:val="24"/>
          <w:szCs w:val="24"/>
          <w:highlight w:val="none"/>
          <w:u w:val="single"/>
          <w:lang w:eastAsia="zh-CN"/>
        </w:rPr>
        <w:t>【租赁和商务服务业】</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 ；供应商为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 xml:space="preserve"> ，从业人员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 xml:space="preserve"> （中型企业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小型企业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微型企业）</w:t>
      </w:r>
      <w:r>
        <w:rPr>
          <w:rFonts w:hint="eastAsia" w:ascii="宋体" w:hAnsi="宋体" w:eastAsia="宋体" w:cs="宋体"/>
          <w:sz w:val="24"/>
          <w:szCs w:val="24"/>
          <w:highlight w:val="none"/>
        </w:rPr>
        <w:t xml:space="preserve"> ；</w:t>
      </w:r>
    </w:p>
    <w:p w14:paraId="452145B8">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 xml:space="preserve"> ，属于 </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 ；供应商商为</w:t>
      </w:r>
      <w:r>
        <w:rPr>
          <w:rFonts w:hint="eastAsia" w:ascii="宋体" w:hAnsi="宋体" w:eastAsia="宋体" w:cs="宋体"/>
          <w:sz w:val="24"/>
          <w:szCs w:val="24"/>
          <w:highlight w:val="none"/>
          <w:u w:val="single"/>
        </w:rPr>
        <w:t xml:space="preserve"> （企业名称）</w:t>
      </w:r>
      <w:r>
        <w:rPr>
          <w:rFonts w:hint="eastAsia" w:ascii="宋体" w:hAnsi="宋体" w:eastAsia="宋体" w:cs="宋体"/>
          <w:sz w:val="24"/>
          <w:szCs w:val="24"/>
          <w:highlight w:val="none"/>
        </w:rPr>
        <w:t xml:space="preserve"> ，从业人员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 xml:space="preserve"> （中型企业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小型企业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微型企业）</w:t>
      </w:r>
      <w:r>
        <w:rPr>
          <w:rFonts w:hint="eastAsia" w:ascii="宋体" w:hAnsi="宋体" w:eastAsia="宋体" w:cs="宋体"/>
          <w:sz w:val="24"/>
          <w:szCs w:val="24"/>
          <w:highlight w:val="none"/>
        </w:rPr>
        <w:t xml:space="preserve"> ；</w:t>
      </w:r>
    </w:p>
    <w:p w14:paraId="22B7DECF">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24AE13F3">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02ECC6D6">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05E6CD27">
      <w:pPr>
        <w:keepNext w:val="0"/>
        <w:keepLines w:val="0"/>
        <w:pageBreakBefore w:val="0"/>
        <w:kinsoku/>
        <w:wordWrap/>
        <w:overflowPunct/>
        <w:topLinePunct w:val="0"/>
        <w:autoSpaceDE/>
        <w:autoSpaceDN/>
        <w:bidi w:val="0"/>
        <w:adjustRightInd/>
        <w:snapToGrid w:val="0"/>
        <w:spacing w:line="340" w:lineRule="exact"/>
        <w:ind w:firstLine="5160" w:firstLineChars="215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供应商名称（盖章或电子签章）：</w:t>
      </w:r>
    </w:p>
    <w:p w14:paraId="43982B35">
      <w:pPr>
        <w:keepNext w:val="0"/>
        <w:keepLines w:val="0"/>
        <w:pageBreakBefore w:val="0"/>
        <w:kinsoku/>
        <w:wordWrap/>
        <w:overflowPunct/>
        <w:topLinePunct w:val="0"/>
        <w:autoSpaceDE/>
        <w:autoSpaceDN/>
        <w:bidi w:val="0"/>
        <w:adjustRightInd/>
        <w:snapToGrid w:val="0"/>
        <w:spacing w:line="340" w:lineRule="exac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w:t>
      </w:r>
    </w:p>
    <w:p w14:paraId="27D60B20">
      <w:pPr>
        <w:keepNext w:val="0"/>
        <w:keepLines w:val="0"/>
        <w:pageBreakBefore w:val="0"/>
        <w:kinsoku/>
        <w:wordWrap/>
        <w:overflowPunct/>
        <w:topLinePunct w:val="0"/>
        <w:autoSpaceDE/>
        <w:autoSpaceDN/>
        <w:bidi w:val="0"/>
        <w:adjustRightInd/>
        <w:spacing w:line="3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从业人员、营业收入、资产总额填报上一年度数据，无上一年度数据的新成立企业可不填报。</w:t>
      </w:r>
    </w:p>
    <w:p w14:paraId="44487794">
      <w:pPr>
        <w:keepNext w:val="0"/>
        <w:keepLines w:val="0"/>
        <w:pageBreakBefore w:val="0"/>
        <w:kinsoku/>
        <w:wordWrap/>
        <w:overflowPunct/>
        <w:topLinePunct w:val="0"/>
        <w:autoSpaceDE/>
        <w:autoSpaceDN/>
        <w:bidi w:val="0"/>
        <w:adjustRightInd/>
        <w:snapToGrid/>
        <w:spacing w:line="340" w:lineRule="exact"/>
        <w:ind w:right="42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注：</w:t>
      </w:r>
    </w:p>
    <w:p w14:paraId="2681D714">
      <w:pPr>
        <w:keepNext w:val="0"/>
        <w:keepLines w:val="0"/>
        <w:pageBreakBefore w:val="0"/>
        <w:numPr>
          <w:ilvl w:val="0"/>
          <w:numId w:val="0"/>
        </w:numPr>
        <w:kinsoku/>
        <w:wordWrap/>
        <w:overflowPunct/>
        <w:topLinePunct w:val="0"/>
        <w:autoSpaceDE/>
        <w:autoSpaceDN/>
        <w:bidi w:val="0"/>
        <w:adjustRightInd/>
        <w:snapToGrid/>
        <w:spacing w:line="34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kern w:val="2"/>
          <w:sz w:val="20"/>
          <w:szCs w:val="20"/>
          <w:highlight w:val="none"/>
          <w:lang w:val="en-US" w:eastAsia="zh-CN" w:bidi="ar-SA"/>
        </w:rPr>
        <w:t>1.</w:t>
      </w:r>
      <w:r>
        <w:rPr>
          <w:rFonts w:hint="eastAsia" w:ascii="宋体" w:hAnsi="宋体" w:eastAsia="宋体" w:cs="宋体"/>
          <w:sz w:val="20"/>
          <w:szCs w:val="20"/>
          <w:highlight w:val="none"/>
        </w:rPr>
        <w:t>填写要求：</w:t>
      </w:r>
    </w:p>
    <w:p w14:paraId="14E8A418">
      <w:pPr>
        <w:keepNext w:val="0"/>
        <w:keepLines w:val="0"/>
        <w:pageBreakBefore w:val="0"/>
        <w:numPr>
          <w:ilvl w:val="0"/>
          <w:numId w:val="0"/>
        </w:numPr>
        <w:kinsoku/>
        <w:wordWrap/>
        <w:overflowPunct/>
        <w:topLinePunct w:val="0"/>
        <w:autoSpaceDE/>
        <w:autoSpaceDN/>
        <w:bidi w:val="0"/>
        <w:adjustRightInd/>
        <w:snapToGrid/>
        <w:spacing w:line="34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①“标的名称”、“采购文件中明确的所属行业”依据招标文件第二部分投标须知前附表中“采购标的及其对应的中小企业划分标准所属行业”的指引，逐一填写，不得缺漏；</w:t>
      </w:r>
    </w:p>
    <w:p w14:paraId="4623DEA4">
      <w:pPr>
        <w:keepNext w:val="0"/>
        <w:keepLines w:val="0"/>
        <w:pageBreakBefore w:val="0"/>
        <w:numPr>
          <w:ilvl w:val="0"/>
          <w:numId w:val="0"/>
        </w:numPr>
        <w:kinsoku/>
        <w:wordWrap/>
        <w:overflowPunct/>
        <w:topLinePunct w:val="0"/>
        <w:autoSpaceDE/>
        <w:autoSpaceDN/>
        <w:bidi w:val="0"/>
        <w:adjustRightInd/>
        <w:snapToGrid/>
        <w:spacing w:line="34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②从业人员、营业收入、资产总额填报上一年度数据，无上一年度数据的新成立企业可不填报</w:t>
      </w:r>
      <w:r>
        <w:rPr>
          <w:rFonts w:hint="eastAsia" w:ascii="宋体" w:hAnsi="宋体" w:eastAsia="宋体" w:cs="宋体"/>
          <w:sz w:val="20"/>
          <w:szCs w:val="20"/>
          <w:highlight w:val="none"/>
          <w:lang w:val="en-US" w:eastAsia="zh-CN"/>
        </w:rPr>
        <w:t>;</w:t>
      </w:r>
    </w:p>
    <w:p w14:paraId="02673F55">
      <w:pPr>
        <w:keepNext w:val="0"/>
        <w:keepLines w:val="0"/>
        <w:pageBreakBefore w:val="0"/>
        <w:numPr>
          <w:ilvl w:val="0"/>
          <w:numId w:val="0"/>
        </w:numPr>
        <w:kinsoku/>
        <w:wordWrap/>
        <w:overflowPunct/>
        <w:topLinePunct w:val="0"/>
        <w:autoSpaceDE/>
        <w:autoSpaceDN/>
        <w:bidi w:val="0"/>
        <w:adjustRightInd/>
        <w:snapToGrid/>
        <w:spacing w:line="34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③▲</w:t>
      </w:r>
      <w:r>
        <w:rPr>
          <w:rFonts w:hint="eastAsia" w:ascii="宋体" w:hAnsi="宋体" w:eastAsia="宋体" w:cs="宋体"/>
          <w:sz w:val="20"/>
          <w:szCs w:val="20"/>
          <w:highlight w:val="none"/>
          <w:u w:val="single"/>
        </w:rPr>
        <w:t>中型企业、小型企业、微型企业等3种企业类型，结合以上数据，依据《中小企业划型标准规定》（工信部联企业〔2011〕300号）确定</w:t>
      </w:r>
      <w:r>
        <w:rPr>
          <w:rFonts w:hint="eastAsia" w:ascii="宋体" w:hAnsi="宋体" w:eastAsia="宋体" w:cs="宋体"/>
          <w:sz w:val="20"/>
          <w:szCs w:val="20"/>
          <w:highlight w:val="none"/>
          <w:u w:val="single"/>
          <w:lang w:val="en-US" w:eastAsia="zh-CN"/>
        </w:rPr>
        <w:t>,如</w:t>
      </w:r>
      <w:r>
        <w:rPr>
          <w:rFonts w:hint="eastAsia" w:ascii="宋体" w:hAnsi="宋体" w:eastAsia="宋体" w:cs="宋体"/>
          <w:sz w:val="20"/>
          <w:szCs w:val="20"/>
          <w:highlight w:val="none"/>
          <w:u w:val="single"/>
        </w:rPr>
        <w:t>企业类型</w:t>
      </w:r>
      <w:r>
        <w:rPr>
          <w:rFonts w:hint="eastAsia" w:ascii="宋体" w:hAnsi="宋体" w:eastAsia="宋体" w:cs="宋体"/>
          <w:sz w:val="20"/>
          <w:szCs w:val="20"/>
          <w:highlight w:val="none"/>
          <w:u w:val="single"/>
          <w:lang w:val="en-US" w:eastAsia="zh-CN"/>
        </w:rPr>
        <w:t>填写正确，相应数据填写错误的，《中小企业声明函》有效，采购人或代理机构有权要求投标人做出相关澄清说明</w:t>
      </w:r>
      <w:r>
        <w:rPr>
          <w:rFonts w:hint="eastAsia" w:ascii="宋体" w:hAnsi="宋体" w:eastAsia="宋体" w:cs="宋体"/>
          <w:sz w:val="20"/>
          <w:szCs w:val="20"/>
          <w:highlight w:val="none"/>
          <w:u w:val="single"/>
        </w:rPr>
        <w:t>；</w:t>
      </w:r>
      <w:r>
        <w:rPr>
          <w:rFonts w:hint="eastAsia" w:ascii="宋体" w:hAnsi="宋体" w:eastAsia="宋体" w:cs="宋体"/>
          <w:sz w:val="20"/>
          <w:szCs w:val="20"/>
          <w:highlight w:val="none"/>
          <w:u w:val="single"/>
          <w:lang w:val="en-US" w:eastAsia="zh-CN"/>
        </w:rPr>
        <w:t>如企业类型填写错误，投标无效。如果投标人声明的类型获得了本不应获得的利益（价格扣除或者资格审查通过），属于提供虚假材料谋取中标、成交的，依法承担法律责任。</w:t>
      </w:r>
    </w:p>
    <w:p w14:paraId="5B9CB141">
      <w:pPr>
        <w:keepNext w:val="0"/>
        <w:keepLines w:val="0"/>
        <w:pageBreakBefore w:val="0"/>
        <w:numPr>
          <w:ilvl w:val="0"/>
          <w:numId w:val="0"/>
        </w:numPr>
        <w:kinsoku/>
        <w:wordWrap/>
        <w:overflowPunct/>
        <w:topLinePunct w:val="0"/>
        <w:autoSpaceDE/>
        <w:autoSpaceDN/>
        <w:bidi w:val="0"/>
        <w:adjustRightInd/>
        <w:snapToGrid/>
        <w:spacing w:line="34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④▲</w:t>
      </w:r>
      <w:r>
        <w:rPr>
          <w:rFonts w:hint="eastAsia" w:ascii="宋体" w:hAnsi="宋体" w:eastAsia="宋体" w:cs="宋体"/>
          <w:sz w:val="20"/>
          <w:szCs w:val="20"/>
          <w:highlight w:val="none"/>
          <w:u w:val="single"/>
          <w:lang w:val="en-US" w:eastAsia="zh-CN"/>
        </w:rPr>
        <w:t>如《中小企业声明函》填写行业错误或者未填写行业的，投标无效，但错填为“采购文件确定的行业”等类似瑕疵的除外。</w:t>
      </w:r>
    </w:p>
    <w:p w14:paraId="29FF843A">
      <w:pPr>
        <w:keepNext w:val="0"/>
        <w:keepLines w:val="0"/>
        <w:pageBreakBefore w:val="0"/>
        <w:numPr>
          <w:ilvl w:val="0"/>
          <w:numId w:val="0"/>
        </w:numPr>
        <w:kinsoku/>
        <w:wordWrap/>
        <w:overflowPunct/>
        <w:topLinePunct w:val="0"/>
        <w:autoSpaceDE/>
        <w:autoSpaceDN/>
        <w:bidi w:val="0"/>
        <w:adjustRightInd/>
        <w:snapToGrid/>
        <w:spacing w:line="34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⑤</w:t>
      </w:r>
      <w:r>
        <w:rPr>
          <w:rFonts w:hint="eastAsia" w:ascii="宋体" w:hAnsi="宋体" w:eastAsia="宋体" w:cs="宋体"/>
          <w:sz w:val="20"/>
          <w:szCs w:val="20"/>
          <w:highlight w:val="none"/>
        </w:rPr>
        <w:t>▲</w:t>
      </w:r>
      <w:r>
        <w:rPr>
          <w:rFonts w:hint="eastAsia" w:ascii="宋体" w:hAnsi="宋体" w:eastAsia="宋体" w:cs="宋体"/>
          <w:sz w:val="20"/>
          <w:szCs w:val="20"/>
          <w:highlight w:val="none"/>
          <w:u w:val="single"/>
          <w:lang w:val="en-US" w:eastAsia="zh-CN"/>
        </w:rPr>
        <w:t>本年度新成立的公司，在声明函中对营业收入、资产总额、从业人员的数据可不填写，但须对企业类型以及是否与大企业的负责人为同一人，或者与大企业存在直接控股、管理关系进行声明，否则《中小企业声明函》无效。</w:t>
      </w:r>
    </w:p>
    <w:p w14:paraId="5E4F153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1C0A1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kern w:val="0"/>
          <w:sz w:val="24"/>
          <w:szCs w:val="24"/>
          <w:highlight w:val="none"/>
        </w:rPr>
      </w:pPr>
    </w:p>
    <w:p w14:paraId="1CC5C6D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（二）监狱企业声明函【不属于监狱企业，不用提供此函】</w:t>
      </w:r>
    </w:p>
    <w:p w14:paraId="264CA314">
      <w:pPr>
        <w:pStyle w:val="10"/>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kern w:val="0"/>
          <w:sz w:val="24"/>
          <w:szCs w:val="24"/>
          <w:highlight w:val="none"/>
        </w:rPr>
      </w:pPr>
    </w:p>
    <w:p w14:paraId="4CF47579">
      <w:pPr>
        <w:pStyle w:val="10"/>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kern w:val="0"/>
          <w:sz w:val="24"/>
          <w:szCs w:val="24"/>
          <w:highlight w:val="none"/>
          <w:u w:val="single"/>
        </w:rPr>
      </w:pPr>
      <w:r>
        <w:rPr>
          <w:rFonts w:hint="eastAsia" w:ascii="宋体" w:hAnsi="宋体" w:eastAsia="宋体" w:cs="宋体"/>
          <w:b/>
          <w:bCs/>
          <w:kern w:val="0"/>
          <w:sz w:val="24"/>
          <w:szCs w:val="24"/>
          <w:highlight w:val="none"/>
        </w:rPr>
        <w:t>监狱企业声明函</w:t>
      </w:r>
    </w:p>
    <w:p w14:paraId="6EA9F51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本企业郑重声明，根据《关于政府采购支持监狱企业发展有关问题的通知》（财库[2014]68号）的规定，本企业为监狱企业。 </w:t>
      </w:r>
    </w:p>
    <w:p w14:paraId="5630D5A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根据上述标准，我企业属于监狱企业的理由为：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7438D24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本企业为参加</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罗樟源水库工程及道路改复建工程征收范围房屋评估第三方服务采购</w:t>
      </w:r>
      <w:r>
        <w:rPr>
          <w:rFonts w:hint="eastAsia" w:ascii="宋体" w:hAnsi="宋体" w:eastAsia="宋体" w:cs="宋体"/>
          <w:kern w:val="0"/>
          <w:sz w:val="24"/>
          <w:szCs w:val="24"/>
          <w:highlight w:val="none"/>
          <w:u w:val="single"/>
        </w:rPr>
        <w:t>（项目名称）（项目编号:</w:t>
      </w:r>
      <w:r>
        <w:rPr>
          <w:rFonts w:hint="eastAsia" w:ascii="宋体" w:hAnsi="宋体" w:eastAsia="宋体" w:cs="宋体"/>
          <w:kern w:val="0"/>
          <w:sz w:val="24"/>
          <w:szCs w:val="24"/>
          <w:highlight w:val="none"/>
          <w:u w:val="single"/>
          <w:lang w:eastAsia="zh-CN"/>
        </w:rPr>
        <w:t>ZJTP-QZF-2025035</w:t>
      </w:r>
      <w:r>
        <w:rPr>
          <w:rFonts w:hint="eastAsia" w:ascii="宋体" w:hAnsi="宋体" w:eastAsia="宋体" w:cs="宋体"/>
          <w:kern w:val="0"/>
          <w:sz w:val="24"/>
          <w:szCs w:val="24"/>
          <w:highlight w:val="none"/>
          <w:u w:val="single"/>
        </w:rPr>
        <w:t>）</w:t>
      </w:r>
      <w:r>
        <w:rPr>
          <w:rFonts w:hint="eastAsia" w:ascii="宋体" w:hAnsi="宋体" w:eastAsia="宋体" w:cs="宋体"/>
          <w:kern w:val="0"/>
          <w:sz w:val="24"/>
          <w:szCs w:val="24"/>
          <w:highlight w:val="none"/>
        </w:rPr>
        <w:t>采购活动并提供本企业的服务。</w:t>
      </w:r>
    </w:p>
    <w:p w14:paraId="750DF10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或提供其他</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（请填写：小型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微型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监狱）企业的服务，该企业为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（请填写：小型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微型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监狱）企业。</w:t>
      </w:r>
    </w:p>
    <w:p w14:paraId="61162CF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本企业对上述声明的真实性负责。如有虚假，将依法承担相应责任。 </w:t>
      </w:r>
    </w:p>
    <w:p w14:paraId="7494E55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p>
    <w:p w14:paraId="3D376A5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供应商名称（盖章或电子签章）</w:t>
      </w:r>
      <w:r>
        <w:rPr>
          <w:rFonts w:hint="eastAsia" w:ascii="宋体" w:hAnsi="宋体" w:eastAsia="宋体" w:cs="宋体"/>
          <w:kern w:val="0"/>
          <w:sz w:val="24"/>
          <w:szCs w:val="24"/>
          <w:highlight w:val="none"/>
        </w:rPr>
        <w:t xml:space="preserve">：                                         </w:t>
      </w:r>
    </w:p>
    <w:p w14:paraId="5399253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日期：       年     月   日 </w:t>
      </w:r>
    </w:p>
    <w:p w14:paraId="095CCFB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p>
    <w:p w14:paraId="468FE33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监狱企业参加政府采购活动时，应当提供由省级以上监狱管理局、戒毒管理局（含新疆生产建设兵团）出具的属于监狱企业的证明文件。 </w:t>
      </w:r>
    </w:p>
    <w:p w14:paraId="376E77C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7C46C36">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注：本声明函为监狱企业填写。</w:t>
      </w:r>
    </w:p>
    <w:p w14:paraId="39E2B059">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064BCCDA">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30221A59">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6492B62">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526FEE4">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4FF4D048">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E35D9A2">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51EEC2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（三）残疾人福利性单位声明函【不属于残疾人福利性单位，不用提供此函】</w:t>
      </w:r>
    </w:p>
    <w:p w14:paraId="5955A246">
      <w:pPr>
        <w:pStyle w:val="10"/>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kern w:val="0"/>
          <w:sz w:val="24"/>
          <w:szCs w:val="24"/>
          <w:highlight w:val="none"/>
        </w:rPr>
      </w:pPr>
    </w:p>
    <w:p w14:paraId="1C4437BA">
      <w:pPr>
        <w:pStyle w:val="10"/>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kern w:val="0"/>
          <w:sz w:val="24"/>
          <w:szCs w:val="24"/>
          <w:highlight w:val="none"/>
          <w:u w:val="single"/>
          <w:lang w:bidi="ar"/>
        </w:rPr>
      </w:pPr>
      <w:r>
        <w:rPr>
          <w:rFonts w:hint="eastAsia" w:ascii="宋体" w:hAnsi="宋体" w:eastAsia="宋体" w:cs="宋体"/>
          <w:b/>
          <w:bCs/>
          <w:kern w:val="0"/>
          <w:sz w:val="24"/>
          <w:szCs w:val="24"/>
          <w:highlight w:val="none"/>
        </w:rPr>
        <w:t>残疾人福利性单位声明函</w:t>
      </w:r>
    </w:p>
    <w:p w14:paraId="5D01BA3B">
      <w:pPr>
        <w:pStyle w:val="10"/>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kern w:val="0"/>
          <w:sz w:val="24"/>
          <w:szCs w:val="24"/>
          <w:highlight w:val="none"/>
          <w:u w:val="single"/>
          <w:lang w:bidi="ar"/>
        </w:rPr>
      </w:pPr>
      <w:r>
        <w:rPr>
          <w:rFonts w:hint="eastAsia" w:ascii="宋体" w:hAnsi="宋体" w:eastAsia="宋体" w:cs="宋体"/>
          <w:kern w:val="0"/>
          <w:sz w:val="24"/>
          <w:szCs w:val="24"/>
          <w:highlight w:val="none"/>
          <w:u w:val="single"/>
          <w:lang w:eastAsia="zh-CN" w:bidi="ar"/>
        </w:rPr>
        <w:t>衢州市衢江区大洲镇人民政府</w:t>
      </w:r>
      <w:r>
        <w:rPr>
          <w:rFonts w:hint="eastAsia" w:ascii="宋体" w:hAnsi="宋体" w:eastAsia="宋体" w:cs="宋体"/>
          <w:kern w:val="0"/>
          <w:sz w:val="24"/>
          <w:szCs w:val="24"/>
          <w:highlight w:val="none"/>
          <w:u w:val="single"/>
          <w:lang w:bidi="ar"/>
        </w:rPr>
        <w:t>：</w:t>
      </w:r>
    </w:p>
    <w:p w14:paraId="4DF897F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szCs w:val="24"/>
          <w:highlight w:val="none"/>
          <w:u w:val="single"/>
          <w:lang w:bidi="ar"/>
        </w:rPr>
      </w:pPr>
      <w:r>
        <w:rPr>
          <w:rFonts w:hint="eastAsia" w:ascii="宋体" w:hAnsi="宋体" w:eastAsia="宋体" w:cs="宋体"/>
          <w:kern w:val="0"/>
          <w:sz w:val="24"/>
          <w:szCs w:val="24"/>
          <w:highlight w:val="none"/>
          <w:u w:val="single"/>
          <w:lang w:val="en-US" w:eastAsia="zh-CN" w:bidi="ar"/>
        </w:rPr>
        <w:t>浙江天平投资咨询有限公司</w:t>
      </w:r>
      <w:r>
        <w:rPr>
          <w:rFonts w:hint="eastAsia" w:ascii="宋体" w:hAnsi="宋体" w:eastAsia="宋体" w:cs="宋体"/>
          <w:kern w:val="0"/>
          <w:sz w:val="24"/>
          <w:szCs w:val="24"/>
          <w:highlight w:val="none"/>
          <w:u w:val="single"/>
          <w:lang w:bidi="ar"/>
        </w:rPr>
        <w:t>：</w:t>
      </w:r>
    </w:p>
    <w:p w14:paraId="0B4F466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u w:val="single"/>
          <w:lang w:eastAsia="zh-CN" w:bidi="ar"/>
        </w:rPr>
        <w:t>衢州市衢江区大洲镇人民政府（采购人）</w:t>
      </w:r>
      <w:r>
        <w:rPr>
          <w:rFonts w:hint="eastAsia" w:ascii="宋体" w:hAnsi="宋体" w:eastAsia="宋体" w:cs="宋体"/>
          <w:kern w:val="0"/>
          <w:sz w:val="24"/>
          <w:szCs w:val="24"/>
          <w:highlight w:val="none"/>
          <w:lang w:bidi="ar"/>
        </w:rPr>
        <w:t>单位的</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罗樟源水库工程及道路改复建工程征收范围房屋评估第三方服务采购</w:t>
      </w:r>
      <w:r>
        <w:rPr>
          <w:rFonts w:hint="eastAsia" w:ascii="宋体" w:hAnsi="宋体" w:eastAsia="宋体" w:cs="宋体"/>
          <w:kern w:val="0"/>
          <w:sz w:val="24"/>
          <w:szCs w:val="24"/>
          <w:highlight w:val="none"/>
          <w:u w:val="single"/>
          <w:lang w:eastAsia="zh-CN" w:bidi="ar"/>
        </w:rPr>
        <w:t>（项目名称）（项目编号:</w:t>
      </w:r>
      <w:r>
        <w:rPr>
          <w:rFonts w:hint="eastAsia" w:ascii="宋体" w:hAnsi="宋体" w:eastAsia="宋体" w:cs="宋体"/>
          <w:kern w:val="0"/>
          <w:sz w:val="24"/>
          <w:szCs w:val="24"/>
          <w:highlight w:val="none"/>
          <w:u w:val="single"/>
          <w:lang w:eastAsia="zh-CN"/>
        </w:rPr>
        <w:t>ZJTP-QZF-2025035</w:t>
      </w:r>
      <w:r>
        <w:rPr>
          <w:rFonts w:hint="eastAsia" w:ascii="宋体" w:hAnsi="宋体" w:eastAsia="宋体" w:cs="宋体"/>
          <w:kern w:val="0"/>
          <w:sz w:val="24"/>
          <w:szCs w:val="24"/>
          <w:highlight w:val="none"/>
          <w:u w:val="single"/>
          <w:lang w:eastAsia="zh-CN" w:bidi="ar"/>
        </w:rPr>
        <w:t>）</w:t>
      </w:r>
      <w:r>
        <w:rPr>
          <w:rFonts w:hint="eastAsia" w:ascii="宋体" w:hAnsi="宋体" w:eastAsia="宋体" w:cs="宋体"/>
          <w:kern w:val="0"/>
          <w:sz w:val="24"/>
          <w:szCs w:val="24"/>
          <w:highlight w:val="none"/>
          <w:lang w:bidi="ar"/>
        </w:rPr>
        <w:t>采购活动，由本单位提供本单位的服务，或者提供其他残疾人福利性单位的服务。</w:t>
      </w:r>
    </w:p>
    <w:p w14:paraId="3FB579A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本单位对上述声明的真实性负责。如有虚假，将依法承担相应责任。 </w:t>
      </w:r>
    </w:p>
    <w:p w14:paraId="652743E9">
      <w:pPr>
        <w:pStyle w:val="10"/>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0"/>
          <w:sz w:val="24"/>
          <w:szCs w:val="24"/>
          <w:highlight w:val="none"/>
        </w:rPr>
      </w:pPr>
    </w:p>
    <w:p w14:paraId="57DFD912">
      <w:pPr>
        <w:keepNext w:val="0"/>
        <w:keepLines w:val="0"/>
        <w:pageBreakBefore w:val="0"/>
        <w:tabs>
          <w:tab w:val="left" w:pos="4860"/>
        </w:tabs>
        <w:kinsoku/>
        <w:wordWrap/>
        <w:overflowPunct/>
        <w:topLinePunct w:val="0"/>
        <w:autoSpaceDE/>
        <w:autoSpaceDN/>
        <w:bidi w:val="0"/>
        <w:adjustRightInd/>
        <w:snapToGrid/>
        <w:spacing w:line="500" w:lineRule="exact"/>
        <w:ind w:right="1559"/>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单位名称（</w:t>
      </w:r>
      <w:r>
        <w:rPr>
          <w:rFonts w:hint="eastAsia" w:ascii="宋体" w:hAnsi="宋体" w:eastAsia="宋体" w:cs="宋体"/>
          <w:kern w:val="0"/>
          <w:sz w:val="24"/>
          <w:szCs w:val="24"/>
          <w:highlight w:val="none"/>
        </w:rPr>
        <w:t>盖章或电子签章</w:t>
      </w:r>
      <w:r>
        <w:rPr>
          <w:rFonts w:hint="eastAsia" w:ascii="宋体" w:hAnsi="宋体" w:eastAsia="宋体" w:cs="宋体"/>
          <w:kern w:val="0"/>
          <w:sz w:val="24"/>
          <w:szCs w:val="24"/>
          <w:highlight w:val="none"/>
          <w:lang w:bidi="ar"/>
        </w:rPr>
        <w:t>）：</w:t>
      </w:r>
    </w:p>
    <w:p w14:paraId="3E3AC973">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日  期：</w:t>
      </w:r>
    </w:p>
    <w:p w14:paraId="7DB4601A">
      <w:pPr>
        <w:pStyle w:val="10"/>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10EAD1F4">
      <w:pPr>
        <w:pStyle w:val="10"/>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1AAB4068">
      <w:pPr>
        <w:pStyle w:val="10"/>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29C69BEF">
      <w:pPr>
        <w:pStyle w:val="10"/>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20EC291D">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079B69D4">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182F3542">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63BA2D71">
      <w:pPr>
        <w:rPr>
          <w:rFonts w:hint="eastAsia" w:ascii="宋体" w:hAnsi="宋体" w:eastAsia="宋体" w:cs="宋体"/>
          <w:highlight w:val="none"/>
        </w:rPr>
      </w:pPr>
    </w:p>
    <w:p w14:paraId="01A99B35">
      <w:pPr>
        <w:rPr>
          <w:rFonts w:hint="eastAsia" w:ascii="宋体" w:hAnsi="宋体" w:eastAsia="宋体" w:cs="宋体"/>
          <w:highlight w:val="none"/>
        </w:rPr>
      </w:pPr>
    </w:p>
    <w:p w14:paraId="1C36E8EF">
      <w:pPr>
        <w:rPr>
          <w:rFonts w:hint="eastAsia" w:ascii="宋体" w:hAnsi="宋体" w:eastAsia="宋体" w:cs="宋体"/>
          <w:highlight w:val="none"/>
        </w:rPr>
      </w:pPr>
    </w:p>
    <w:p w14:paraId="2250F89F">
      <w:pPr>
        <w:rPr>
          <w:rFonts w:hint="eastAsia" w:ascii="宋体" w:hAnsi="宋体" w:eastAsia="宋体" w:cs="宋体"/>
          <w:highlight w:val="none"/>
        </w:rPr>
      </w:pPr>
    </w:p>
    <w:p w14:paraId="5F1D480C">
      <w:pPr>
        <w:rPr>
          <w:rFonts w:hint="eastAsia" w:ascii="宋体" w:hAnsi="宋体" w:eastAsia="宋体" w:cs="宋体"/>
          <w:highlight w:val="none"/>
        </w:rPr>
      </w:pPr>
    </w:p>
    <w:p w14:paraId="3481FF26">
      <w:pPr>
        <w:rPr>
          <w:rFonts w:hint="eastAsia" w:ascii="宋体" w:hAnsi="宋体" w:eastAsia="宋体" w:cs="宋体"/>
          <w:highlight w:val="none"/>
        </w:rPr>
      </w:pPr>
    </w:p>
    <w:p w14:paraId="0A49A4AD">
      <w:pPr>
        <w:rPr>
          <w:rFonts w:hint="eastAsia" w:ascii="宋体" w:hAnsi="宋体" w:eastAsia="宋体" w:cs="宋体"/>
          <w:highlight w:val="none"/>
        </w:rPr>
      </w:pPr>
    </w:p>
    <w:p w14:paraId="7ADEC2C4">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618C6188">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26863D3C">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432F9E24">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4、金融、保险、通讯等特定行业的全国性企业所设立的区域性分支机构以及个体工商户、个人独资企业、合伙企业能证明其具备实际承担责任的能力和法定的缔结合同能力，可以独立参加政府采购活动的证明材料：</w:t>
      </w:r>
    </w:p>
    <w:p w14:paraId="677E2F3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kern w:val="0"/>
          <w:sz w:val="28"/>
          <w:szCs w:val="28"/>
          <w:highlight w:val="none"/>
          <w:lang w:val="en-US" w:eastAsia="zh-CN" w:bidi="ar"/>
        </w:rPr>
      </w:pPr>
    </w:p>
    <w:p w14:paraId="3DE93121">
      <w:pPr>
        <w:keepNext w:val="0"/>
        <w:keepLines w:val="0"/>
        <w:pageBreakBefore w:val="0"/>
        <w:widowControl/>
        <w:suppressLineNumbers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企业类型的声明函</w:t>
      </w:r>
    </w:p>
    <w:p w14:paraId="08D1067D">
      <w:pPr>
        <w:pStyle w:val="10"/>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（采购人）：</w:t>
      </w:r>
    </w:p>
    <w:p w14:paraId="49F18FA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（采购代理机构）：</w:t>
      </w:r>
    </w:p>
    <w:p w14:paraId="2D17029A">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我方不属于金融、保险、通讯等特定行业的全国性企业所设立的区域性分支机构、个体工商户、个人独资企业、合伙企业。 </w:t>
      </w:r>
    </w:p>
    <w:p w14:paraId="5C174B35">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我方对上述声明的真实性负责。如有虚假，采购人可取消我方任何资格（投标/中标/签订合同），我方愿意承担相应责任，对此无任何异议。 </w:t>
      </w:r>
    </w:p>
    <w:p w14:paraId="27A19985">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特此声明！ </w:t>
      </w:r>
    </w:p>
    <w:p w14:paraId="3AF50545">
      <w:pPr>
        <w:pStyle w:val="10"/>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p>
    <w:p w14:paraId="0899BABC">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供应商名称（盖章或电子签章） ：</w:t>
      </w:r>
    </w:p>
    <w:p w14:paraId="50D78D98">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val="en-US" w:eastAsia="zh-CN"/>
        </w:rPr>
        <w:t>(或负责人)</w:t>
      </w:r>
      <w:r>
        <w:rPr>
          <w:rFonts w:hint="eastAsia" w:ascii="宋体" w:hAnsi="宋体" w:eastAsia="宋体" w:cs="宋体"/>
          <w:color w:val="auto"/>
          <w:kern w:val="0"/>
          <w:sz w:val="24"/>
          <w:szCs w:val="24"/>
          <w:highlight w:val="none"/>
        </w:rPr>
        <w:t>或其授权代表（签字或盖章或电子签章）：</w:t>
      </w:r>
    </w:p>
    <w:p w14:paraId="3CC5DB41">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rPr>
        <w:t>日期：     年  月  日</w:t>
      </w:r>
    </w:p>
    <w:p w14:paraId="66F0659D">
      <w:pPr>
        <w:pStyle w:val="3"/>
        <w:rPr>
          <w:rFonts w:hint="eastAsia" w:ascii="宋体" w:hAnsi="宋体" w:eastAsia="宋体" w:cs="宋体"/>
          <w:b/>
          <w:bCs/>
          <w:color w:val="auto"/>
          <w:sz w:val="28"/>
          <w:szCs w:val="28"/>
          <w:highlight w:val="none"/>
          <w:lang w:val="en-US" w:eastAsia="zh-CN"/>
        </w:rPr>
      </w:pPr>
    </w:p>
    <w:p w14:paraId="362855E3">
      <w:pPr>
        <w:pStyle w:val="17"/>
        <w:rPr>
          <w:rFonts w:hint="eastAsia" w:ascii="宋体" w:hAnsi="宋体" w:eastAsia="宋体" w:cs="宋体"/>
          <w:b/>
          <w:bCs/>
          <w:color w:val="auto"/>
          <w:sz w:val="28"/>
          <w:szCs w:val="28"/>
          <w:highlight w:val="none"/>
          <w:lang w:val="en-US" w:eastAsia="zh-CN"/>
        </w:rPr>
      </w:pPr>
    </w:p>
    <w:p w14:paraId="2F574015">
      <w:pPr>
        <w:rPr>
          <w:rFonts w:hint="eastAsia" w:ascii="宋体" w:hAnsi="宋体" w:eastAsia="宋体" w:cs="宋体"/>
          <w:color w:val="auto"/>
          <w:highlight w:val="none"/>
          <w:lang w:val="en-US" w:eastAsia="zh-CN"/>
        </w:rPr>
      </w:pPr>
    </w:p>
    <w:p w14:paraId="2ED39185">
      <w:pPr>
        <w:bidi w:val="0"/>
        <w:rPr>
          <w:rFonts w:hint="eastAsia" w:ascii="宋体" w:hAnsi="宋体" w:eastAsia="宋体" w:cs="宋体"/>
          <w:highlight w:val="none"/>
        </w:rPr>
      </w:pPr>
    </w:p>
    <w:p w14:paraId="7B5DBAAA">
      <w:pPr>
        <w:bidi w:val="0"/>
        <w:rPr>
          <w:rFonts w:hint="eastAsia" w:ascii="宋体" w:hAnsi="宋体" w:eastAsia="宋体" w:cs="宋体"/>
          <w:highlight w:val="none"/>
        </w:rPr>
      </w:pPr>
    </w:p>
    <w:p w14:paraId="60BA50BF">
      <w:pPr>
        <w:bidi w:val="0"/>
        <w:rPr>
          <w:rFonts w:hint="eastAsia" w:ascii="宋体" w:hAnsi="宋体" w:eastAsia="宋体" w:cs="宋体"/>
          <w:highlight w:val="none"/>
        </w:rPr>
      </w:pPr>
    </w:p>
    <w:p w14:paraId="31940F98">
      <w:pPr>
        <w:bidi w:val="0"/>
        <w:rPr>
          <w:rFonts w:hint="eastAsia" w:ascii="宋体" w:hAnsi="宋体" w:eastAsia="宋体" w:cs="宋体"/>
          <w:highlight w:val="none"/>
        </w:rPr>
      </w:pPr>
    </w:p>
    <w:p w14:paraId="11DB8A37">
      <w:pPr>
        <w:bidi w:val="0"/>
        <w:rPr>
          <w:rFonts w:hint="eastAsia" w:ascii="宋体" w:hAnsi="宋体" w:eastAsia="宋体" w:cs="宋体"/>
          <w:highlight w:val="none"/>
        </w:rPr>
      </w:pPr>
    </w:p>
    <w:p w14:paraId="40F9185C">
      <w:pPr>
        <w:bidi w:val="0"/>
        <w:rPr>
          <w:rFonts w:hint="eastAsia" w:ascii="宋体" w:hAnsi="宋体" w:eastAsia="宋体" w:cs="宋体"/>
          <w:highlight w:val="none"/>
        </w:rPr>
      </w:pPr>
    </w:p>
    <w:p w14:paraId="23287927">
      <w:pPr>
        <w:bidi w:val="0"/>
        <w:rPr>
          <w:rFonts w:hint="eastAsia" w:ascii="宋体" w:hAnsi="宋体" w:eastAsia="宋体" w:cs="宋体"/>
          <w:highlight w:val="none"/>
        </w:rPr>
      </w:pPr>
    </w:p>
    <w:p w14:paraId="76D72FA6">
      <w:pPr>
        <w:bidi w:val="0"/>
        <w:rPr>
          <w:rFonts w:hint="eastAsia" w:ascii="宋体" w:hAnsi="宋体" w:eastAsia="宋体" w:cs="宋体"/>
          <w:highlight w:val="none"/>
        </w:rPr>
      </w:pPr>
    </w:p>
    <w:p w14:paraId="517CEBFB">
      <w:pPr>
        <w:bidi w:val="0"/>
        <w:rPr>
          <w:rFonts w:hint="eastAsia" w:ascii="宋体" w:hAnsi="宋体" w:eastAsia="宋体" w:cs="宋体"/>
          <w:highlight w:val="none"/>
        </w:rPr>
      </w:pPr>
    </w:p>
    <w:p w14:paraId="4BBFEA5D">
      <w:pPr>
        <w:bidi w:val="0"/>
        <w:rPr>
          <w:rFonts w:hint="eastAsia" w:ascii="宋体" w:hAnsi="宋体" w:eastAsia="宋体" w:cs="宋体"/>
          <w:highlight w:val="none"/>
        </w:rPr>
      </w:pPr>
    </w:p>
    <w:p w14:paraId="75F6C099">
      <w:pPr>
        <w:bidi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5、不是公益一类事业单位、使用事业编制且由财政拨款保障的群团组织证明材料</w:t>
      </w:r>
    </w:p>
    <w:p w14:paraId="39FB56A4">
      <w:pPr>
        <w:bidi w:val="0"/>
        <w:rPr>
          <w:rFonts w:hint="eastAsia" w:ascii="宋体" w:hAnsi="宋体" w:eastAsia="宋体" w:cs="宋体"/>
          <w:highlight w:val="none"/>
        </w:rPr>
      </w:pPr>
    </w:p>
    <w:p w14:paraId="70E71DE3">
      <w:pPr>
        <w:bidi w:val="0"/>
        <w:rPr>
          <w:rFonts w:hint="eastAsia" w:ascii="宋体" w:hAnsi="宋体" w:eastAsia="宋体" w:cs="宋体"/>
          <w:highlight w:val="none"/>
        </w:rPr>
      </w:pPr>
    </w:p>
    <w:p w14:paraId="3E8DA2FD">
      <w:pPr>
        <w:keepNext w:val="0"/>
        <w:keepLines w:val="0"/>
        <w:pageBreakBefore w:val="0"/>
        <w:widowControl/>
        <w:kinsoku/>
        <w:wordWrap/>
        <w:overflowPunct/>
        <w:topLinePunct w:val="0"/>
        <w:autoSpaceDE/>
        <w:autoSpaceDN/>
        <w:bidi w:val="0"/>
        <w:adjustRightInd/>
        <w:snapToGrid/>
        <w:spacing w:line="500" w:lineRule="exact"/>
        <w:ind w:firstLine="482" w:firstLineChars="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单位组织形式声明函</w:t>
      </w:r>
    </w:p>
    <w:p w14:paraId="711905DA">
      <w:pPr>
        <w:pStyle w:val="10"/>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kern w:val="0"/>
          <w:sz w:val="24"/>
          <w:szCs w:val="24"/>
          <w:highlight w:val="none"/>
          <w:u w:val="single"/>
          <w:lang w:bidi="ar"/>
        </w:rPr>
      </w:pPr>
      <w:r>
        <w:rPr>
          <w:rFonts w:hint="eastAsia" w:ascii="宋体" w:hAnsi="宋体" w:eastAsia="宋体" w:cs="宋体"/>
          <w:color w:val="auto"/>
          <w:kern w:val="0"/>
          <w:sz w:val="24"/>
          <w:szCs w:val="24"/>
          <w:highlight w:val="none"/>
          <w:u w:val="single"/>
          <w:lang w:eastAsia="zh-CN" w:bidi="ar"/>
        </w:rPr>
        <w:t>衢州市衢江区大洲镇人民政府</w:t>
      </w:r>
      <w:r>
        <w:rPr>
          <w:rFonts w:hint="eastAsia" w:ascii="宋体" w:hAnsi="宋体" w:eastAsia="宋体" w:cs="宋体"/>
          <w:color w:val="auto"/>
          <w:kern w:val="0"/>
          <w:sz w:val="24"/>
          <w:szCs w:val="24"/>
          <w:highlight w:val="none"/>
          <w:u w:val="single"/>
          <w:lang w:bidi="ar"/>
        </w:rPr>
        <w:t>：</w:t>
      </w:r>
    </w:p>
    <w:p w14:paraId="03B7FC2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bidi="ar"/>
        </w:rPr>
        <w:t>浙江天平投资咨询有限公司：</w:t>
      </w:r>
    </w:p>
    <w:p w14:paraId="03C2954E">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p w14:paraId="5914A48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我方不是公益一类事业单位、使用事业编制且由财政拨款保障的群团组织。</w:t>
      </w:r>
    </w:p>
    <w:p w14:paraId="5AE2409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我方对上述声明的真实性负责。如有虚假，采购人可取消我方任何资格（</w:t>
      </w:r>
      <w:r>
        <w:rPr>
          <w:rFonts w:hint="eastAsia" w:ascii="宋体" w:hAnsi="宋体" w:eastAsia="宋体" w:cs="宋体"/>
          <w:color w:val="auto"/>
          <w:kern w:val="0"/>
          <w:sz w:val="24"/>
          <w:szCs w:val="24"/>
          <w:highlight w:val="none"/>
          <w:lang w:val="en-US" w:eastAsia="zh-CN" w:bidi="ar"/>
        </w:rPr>
        <w:t>投标</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中标</w:t>
      </w:r>
      <w:r>
        <w:rPr>
          <w:rFonts w:hint="eastAsia" w:ascii="宋体" w:hAnsi="宋体" w:eastAsia="宋体" w:cs="宋体"/>
          <w:color w:val="auto"/>
          <w:kern w:val="0"/>
          <w:sz w:val="24"/>
          <w:szCs w:val="24"/>
          <w:highlight w:val="none"/>
          <w:lang w:bidi="ar"/>
        </w:rPr>
        <w:t xml:space="preserve">/签订合同），我方愿意承担相应责任，对此无任何异议。 </w:t>
      </w:r>
    </w:p>
    <w:p w14:paraId="44023EE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特此声明！ </w:t>
      </w:r>
    </w:p>
    <w:p w14:paraId="39AD7038">
      <w:pPr>
        <w:pStyle w:val="10"/>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kern w:val="0"/>
          <w:sz w:val="24"/>
          <w:szCs w:val="24"/>
          <w:highlight w:val="none"/>
        </w:rPr>
      </w:pPr>
    </w:p>
    <w:p w14:paraId="1900D81F">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供应商名称（盖章或电子签章） ：</w:t>
      </w:r>
    </w:p>
    <w:p w14:paraId="7C96752D">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val="en-US" w:eastAsia="zh-CN"/>
        </w:rPr>
        <w:t>(或负责人)</w:t>
      </w:r>
      <w:r>
        <w:rPr>
          <w:rFonts w:hint="eastAsia" w:ascii="宋体" w:hAnsi="宋体" w:eastAsia="宋体" w:cs="宋体"/>
          <w:color w:val="auto"/>
          <w:kern w:val="0"/>
          <w:sz w:val="24"/>
          <w:szCs w:val="24"/>
          <w:highlight w:val="none"/>
        </w:rPr>
        <w:t>或其授权代表（签字或盖章或电子签章）：</w:t>
      </w:r>
    </w:p>
    <w:p w14:paraId="1C9DE447">
      <w:pPr>
        <w:keepNext w:val="0"/>
        <w:keepLines w:val="0"/>
        <w:pageBreakBefore w:val="0"/>
        <w:kinsoku/>
        <w:wordWrap/>
        <w:overflowPunct/>
        <w:topLinePunct w:val="0"/>
        <w:autoSpaceDE/>
        <w:autoSpaceDN/>
        <w:bidi w:val="0"/>
        <w:adjustRightInd/>
        <w:snapToGrid/>
        <w:spacing w:line="500" w:lineRule="exac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日期：     年  月  日</w:t>
      </w:r>
    </w:p>
    <w:p w14:paraId="199F95F1">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p>
    <w:p w14:paraId="31F074B8">
      <w:pPr>
        <w:pStyle w:val="3"/>
        <w:rPr>
          <w:rFonts w:hint="eastAsia" w:ascii="宋体" w:hAnsi="宋体" w:eastAsia="宋体" w:cs="宋体"/>
          <w:highlight w:val="none"/>
        </w:rPr>
      </w:pPr>
    </w:p>
    <w:p w14:paraId="241347FD">
      <w:pPr>
        <w:pStyle w:val="17"/>
        <w:rPr>
          <w:rFonts w:hint="eastAsia" w:ascii="宋体" w:hAnsi="宋体" w:eastAsia="宋体" w:cs="宋体"/>
          <w:highlight w:val="none"/>
        </w:rPr>
      </w:pPr>
    </w:p>
    <w:p w14:paraId="7B203503">
      <w:pPr>
        <w:rPr>
          <w:rFonts w:hint="eastAsia" w:ascii="宋体" w:hAnsi="宋体" w:eastAsia="宋体" w:cs="宋体"/>
          <w:highlight w:val="none"/>
        </w:rPr>
      </w:pPr>
    </w:p>
    <w:p w14:paraId="093D8B5F">
      <w:pPr>
        <w:pStyle w:val="2"/>
        <w:rPr>
          <w:rFonts w:hint="eastAsia" w:ascii="宋体" w:hAnsi="宋体" w:eastAsia="宋体" w:cs="宋体"/>
          <w:highlight w:val="none"/>
        </w:rPr>
      </w:pPr>
    </w:p>
    <w:p w14:paraId="624EA410">
      <w:pPr>
        <w:pStyle w:val="3"/>
        <w:rPr>
          <w:rFonts w:hint="eastAsia" w:ascii="宋体" w:hAnsi="宋体" w:eastAsia="宋体" w:cs="宋体"/>
          <w:highlight w:val="none"/>
        </w:rPr>
      </w:pPr>
    </w:p>
    <w:p w14:paraId="41627856">
      <w:pPr>
        <w:pStyle w:val="17"/>
        <w:rPr>
          <w:rFonts w:hint="eastAsia" w:ascii="宋体" w:hAnsi="宋体" w:eastAsia="宋体" w:cs="宋体"/>
          <w:highlight w:val="none"/>
        </w:rPr>
      </w:pPr>
    </w:p>
    <w:p w14:paraId="6D2404AB">
      <w:pPr>
        <w:rPr>
          <w:rFonts w:hint="eastAsia" w:ascii="宋体" w:hAnsi="宋体" w:eastAsia="宋体" w:cs="宋体"/>
          <w:highlight w:val="none"/>
        </w:rPr>
      </w:pPr>
    </w:p>
    <w:p w14:paraId="1726DC35">
      <w:pPr>
        <w:pStyle w:val="2"/>
        <w:rPr>
          <w:rFonts w:hint="eastAsia" w:ascii="宋体" w:hAnsi="宋体" w:eastAsia="宋体" w:cs="宋体"/>
          <w:highlight w:val="none"/>
        </w:rPr>
      </w:pPr>
    </w:p>
    <w:p w14:paraId="42C3C37F">
      <w:pPr>
        <w:pStyle w:val="3"/>
        <w:rPr>
          <w:rFonts w:hint="eastAsia" w:ascii="宋体" w:hAnsi="宋体" w:eastAsia="宋体" w:cs="宋体"/>
          <w:highlight w:val="none"/>
        </w:rPr>
      </w:pPr>
    </w:p>
    <w:p w14:paraId="6C102F15">
      <w:pPr>
        <w:pStyle w:val="17"/>
        <w:rPr>
          <w:rFonts w:hint="eastAsia" w:ascii="宋体" w:hAnsi="宋体" w:eastAsia="宋体" w:cs="宋体"/>
          <w:highlight w:val="none"/>
        </w:rPr>
      </w:pPr>
    </w:p>
    <w:p w14:paraId="46B62C49">
      <w:pPr>
        <w:rPr>
          <w:rFonts w:hint="eastAsia" w:ascii="宋体" w:hAnsi="宋体" w:eastAsia="宋体" w:cs="宋体"/>
          <w:highlight w:val="none"/>
        </w:rPr>
      </w:pPr>
    </w:p>
    <w:p w14:paraId="68372D47">
      <w:pPr>
        <w:pStyle w:val="2"/>
        <w:rPr>
          <w:rFonts w:hint="eastAsia" w:ascii="宋体" w:hAnsi="宋体" w:eastAsia="宋体" w:cs="宋体"/>
          <w:highlight w:val="none"/>
        </w:rPr>
      </w:pPr>
    </w:p>
    <w:p w14:paraId="42FFDE65">
      <w:pPr>
        <w:pStyle w:val="3"/>
        <w:rPr>
          <w:rFonts w:hint="eastAsia" w:ascii="宋体" w:hAnsi="宋体" w:eastAsia="宋体" w:cs="宋体"/>
          <w:highlight w:val="none"/>
        </w:rPr>
      </w:pPr>
    </w:p>
    <w:p w14:paraId="30AC7F72">
      <w:pPr>
        <w:pStyle w:val="17"/>
        <w:rPr>
          <w:rFonts w:hint="eastAsia" w:ascii="宋体" w:hAnsi="宋体" w:eastAsia="宋体" w:cs="宋体"/>
          <w:highlight w:val="none"/>
        </w:rPr>
      </w:pPr>
    </w:p>
    <w:p w14:paraId="2D3C3E79">
      <w:pPr>
        <w:rPr>
          <w:rFonts w:hint="eastAsia" w:ascii="宋体" w:hAnsi="宋体" w:eastAsia="宋体" w:cs="宋体"/>
          <w:highlight w:val="none"/>
        </w:rPr>
      </w:pPr>
    </w:p>
    <w:p w14:paraId="27F56C27">
      <w:pPr>
        <w:pStyle w:val="2"/>
        <w:rPr>
          <w:rFonts w:hint="eastAsia" w:ascii="宋体" w:hAnsi="宋体" w:eastAsia="宋体" w:cs="宋体"/>
          <w:highlight w:val="none"/>
        </w:rPr>
      </w:pPr>
    </w:p>
    <w:p w14:paraId="275C38C2">
      <w:pPr>
        <w:pStyle w:val="3"/>
        <w:rPr>
          <w:rFonts w:hint="eastAsia" w:ascii="宋体" w:hAnsi="宋体" w:eastAsia="宋体" w:cs="宋体"/>
          <w:highlight w:val="none"/>
        </w:rPr>
      </w:pPr>
    </w:p>
    <w:p w14:paraId="7E6E7FAB">
      <w:pPr>
        <w:pStyle w:val="17"/>
        <w:rPr>
          <w:rFonts w:hint="eastAsia" w:ascii="宋体" w:hAnsi="宋体" w:eastAsia="宋体" w:cs="宋体"/>
          <w:highlight w:val="none"/>
        </w:rPr>
      </w:pPr>
    </w:p>
    <w:p w14:paraId="1334D9E6">
      <w:pPr>
        <w:bidi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6、特定资格要求证明材料</w:t>
      </w:r>
    </w:p>
    <w:p w14:paraId="162A1D00">
      <w:pPr>
        <w:pStyle w:val="2"/>
        <w:rPr>
          <w:rFonts w:hint="eastAsia" w:ascii="宋体" w:hAnsi="宋体" w:eastAsia="宋体" w:cs="宋体"/>
          <w:highlight w:val="none"/>
        </w:rPr>
      </w:pPr>
    </w:p>
    <w:p w14:paraId="29CF34FA">
      <w:pPr>
        <w:pStyle w:val="3"/>
        <w:rPr>
          <w:rFonts w:hint="eastAsia" w:ascii="宋体" w:hAnsi="宋体" w:eastAsia="宋体" w:cs="宋体"/>
          <w:highlight w:val="none"/>
        </w:rPr>
      </w:pPr>
    </w:p>
    <w:p w14:paraId="127711AC">
      <w:pPr>
        <w:pStyle w:val="17"/>
        <w:ind w:left="0" w:leftChars="0" w:firstLine="0" w:firstLineChars="0"/>
        <w:jc w:val="center"/>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有效的</w:t>
      </w:r>
      <w:r>
        <w:rPr>
          <w:rFonts w:hint="eastAsia" w:ascii="宋体" w:hAnsi="宋体" w:eastAsia="宋体" w:cs="宋体"/>
          <w:color w:val="auto"/>
          <w:sz w:val="24"/>
          <w:szCs w:val="24"/>
          <w:highlight w:val="none"/>
        </w:rPr>
        <w:t>房地产估价机构资质等级</w:t>
      </w:r>
      <w:r>
        <w:rPr>
          <w:rFonts w:hint="eastAsia" w:ascii="宋体" w:hAnsi="宋体" w:eastAsia="宋体" w:cs="宋体"/>
          <w:color w:val="auto"/>
          <w:sz w:val="24"/>
          <w:szCs w:val="24"/>
          <w:highlight w:val="none"/>
          <w:lang w:val="en-US" w:eastAsia="zh-CN"/>
        </w:rPr>
        <w:t>三级（或以上）证书</w:t>
      </w:r>
    </w:p>
    <w:p w14:paraId="4EB1C23F">
      <w:pPr>
        <w:rPr>
          <w:rFonts w:hint="eastAsia" w:ascii="宋体" w:hAnsi="宋体" w:eastAsia="宋体" w:cs="宋体"/>
          <w:highlight w:val="none"/>
        </w:rPr>
      </w:pPr>
    </w:p>
    <w:p w14:paraId="43CA4DC5">
      <w:pPr>
        <w:rPr>
          <w:rFonts w:hint="eastAsia" w:ascii="宋体" w:hAnsi="宋体" w:eastAsia="宋体" w:cs="宋体"/>
          <w:highlight w:val="none"/>
        </w:rPr>
      </w:pPr>
    </w:p>
    <w:p w14:paraId="13C62398">
      <w:pPr>
        <w:pStyle w:val="3"/>
        <w:rPr>
          <w:rFonts w:hint="eastAsia" w:ascii="宋体" w:hAnsi="宋体" w:eastAsia="宋体" w:cs="宋体"/>
          <w:highlight w:val="none"/>
        </w:rPr>
      </w:pPr>
    </w:p>
    <w:p w14:paraId="773DE2F2">
      <w:pPr>
        <w:pStyle w:val="17"/>
        <w:rPr>
          <w:rFonts w:hint="eastAsia" w:ascii="宋体" w:hAnsi="宋体" w:eastAsia="宋体" w:cs="宋体"/>
          <w:highlight w:val="none"/>
        </w:rPr>
      </w:pPr>
    </w:p>
    <w:p w14:paraId="39155D08">
      <w:pPr>
        <w:rPr>
          <w:rFonts w:hint="eastAsia" w:ascii="宋体" w:hAnsi="宋体" w:eastAsia="宋体" w:cs="宋体"/>
          <w:highlight w:val="none"/>
        </w:rPr>
      </w:pPr>
    </w:p>
    <w:p w14:paraId="1D64753F">
      <w:pPr>
        <w:pStyle w:val="2"/>
        <w:rPr>
          <w:rFonts w:hint="eastAsia" w:ascii="宋体" w:hAnsi="宋体" w:eastAsia="宋体" w:cs="宋体"/>
          <w:highlight w:val="none"/>
        </w:rPr>
      </w:pPr>
    </w:p>
    <w:p w14:paraId="45C36572">
      <w:pPr>
        <w:pStyle w:val="3"/>
        <w:rPr>
          <w:rFonts w:hint="eastAsia" w:ascii="宋体" w:hAnsi="宋体" w:eastAsia="宋体" w:cs="宋体"/>
          <w:highlight w:val="none"/>
        </w:rPr>
      </w:pPr>
    </w:p>
    <w:p w14:paraId="011AC186">
      <w:pPr>
        <w:pStyle w:val="17"/>
        <w:rPr>
          <w:rFonts w:hint="eastAsia" w:ascii="宋体" w:hAnsi="宋体" w:eastAsia="宋体" w:cs="宋体"/>
          <w:highlight w:val="none"/>
        </w:rPr>
      </w:pPr>
    </w:p>
    <w:p w14:paraId="605F8149">
      <w:pPr>
        <w:rPr>
          <w:rFonts w:hint="eastAsia" w:ascii="宋体" w:hAnsi="宋体" w:eastAsia="宋体" w:cs="宋体"/>
          <w:highlight w:val="none"/>
        </w:rPr>
      </w:pPr>
    </w:p>
    <w:p w14:paraId="5D44C826">
      <w:pPr>
        <w:pStyle w:val="2"/>
        <w:rPr>
          <w:rFonts w:hint="eastAsia" w:ascii="宋体" w:hAnsi="宋体" w:eastAsia="宋体" w:cs="宋体"/>
          <w:highlight w:val="none"/>
        </w:rPr>
      </w:pPr>
    </w:p>
    <w:p w14:paraId="66A21527">
      <w:pPr>
        <w:pStyle w:val="3"/>
        <w:rPr>
          <w:rFonts w:hint="eastAsia" w:ascii="宋体" w:hAnsi="宋体" w:eastAsia="宋体" w:cs="宋体"/>
          <w:highlight w:val="none"/>
        </w:rPr>
      </w:pPr>
    </w:p>
    <w:p w14:paraId="2212CFB1">
      <w:pPr>
        <w:pStyle w:val="17"/>
        <w:rPr>
          <w:rFonts w:hint="eastAsia" w:ascii="宋体" w:hAnsi="宋体" w:eastAsia="宋体" w:cs="宋体"/>
          <w:highlight w:val="none"/>
        </w:rPr>
      </w:pPr>
    </w:p>
    <w:p w14:paraId="0B47744E">
      <w:pPr>
        <w:rPr>
          <w:rFonts w:hint="eastAsia" w:ascii="宋体" w:hAnsi="宋体" w:eastAsia="宋体" w:cs="宋体"/>
          <w:highlight w:val="none"/>
        </w:rPr>
      </w:pPr>
    </w:p>
    <w:p w14:paraId="5F3770CA">
      <w:pPr>
        <w:pStyle w:val="2"/>
        <w:rPr>
          <w:rFonts w:hint="eastAsia" w:ascii="宋体" w:hAnsi="宋体" w:eastAsia="宋体" w:cs="宋体"/>
          <w:highlight w:val="none"/>
        </w:rPr>
      </w:pPr>
    </w:p>
    <w:p w14:paraId="3217DA68">
      <w:pPr>
        <w:pStyle w:val="3"/>
        <w:rPr>
          <w:rFonts w:hint="eastAsia" w:ascii="宋体" w:hAnsi="宋体" w:eastAsia="宋体" w:cs="宋体"/>
          <w:highlight w:val="none"/>
        </w:rPr>
      </w:pPr>
    </w:p>
    <w:p w14:paraId="7646D97C">
      <w:pPr>
        <w:pStyle w:val="17"/>
        <w:rPr>
          <w:rFonts w:hint="eastAsia" w:ascii="宋体" w:hAnsi="宋体" w:eastAsia="宋体" w:cs="宋体"/>
          <w:highlight w:val="none"/>
        </w:rPr>
      </w:pPr>
    </w:p>
    <w:p w14:paraId="112CEA05">
      <w:pPr>
        <w:rPr>
          <w:rFonts w:hint="eastAsia" w:ascii="宋体" w:hAnsi="宋体" w:eastAsia="宋体" w:cs="宋体"/>
          <w:highlight w:val="none"/>
        </w:rPr>
      </w:pPr>
    </w:p>
    <w:p w14:paraId="790E2CCB">
      <w:pPr>
        <w:pStyle w:val="2"/>
        <w:rPr>
          <w:rFonts w:hint="eastAsia" w:ascii="宋体" w:hAnsi="宋体" w:eastAsia="宋体" w:cs="宋体"/>
          <w:highlight w:val="none"/>
        </w:rPr>
      </w:pPr>
    </w:p>
    <w:p w14:paraId="1836D065">
      <w:pPr>
        <w:pStyle w:val="3"/>
        <w:rPr>
          <w:rFonts w:hint="eastAsia" w:ascii="宋体" w:hAnsi="宋体" w:eastAsia="宋体" w:cs="宋体"/>
          <w:highlight w:val="none"/>
        </w:rPr>
      </w:pPr>
    </w:p>
    <w:p w14:paraId="0E3360D8">
      <w:pPr>
        <w:pStyle w:val="17"/>
        <w:rPr>
          <w:rFonts w:hint="eastAsia" w:ascii="宋体" w:hAnsi="宋体" w:eastAsia="宋体" w:cs="宋体"/>
          <w:highlight w:val="none"/>
        </w:rPr>
      </w:pPr>
    </w:p>
    <w:p w14:paraId="686FA8B5">
      <w:pPr>
        <w:rPr>
          <w:rFonts w:hint="eastAsia" w:ascii="宋体" w:hAnsi="宋体" w:eastAsia="宋体" w:cs="宋体"/>
          <w:highlight w:val="none"/>
        </w:rPr>
      </w:pPr>
    </w:p>
    <w:p w14:paraId="1F4054FF">
      <w:pPr>
        <w:pStyle w:val="2"/>
        <w:rPr>
          <w:rFonts w:hint="eastAsia" w:ascii="宋体" w:hAnsi="宋体" w:eastAsia="宋体" w:cs="宋体"/>
          <w:highlight w:val="none"/>
        </w:rPr>
      </w:pPr>
    </w:p>
    <w:p w14:paraId="614A24F1">
      <w:pPr>
        <w:pStyle w:val="3"/>
        <w:rPr>
          <w:rFonts w:hint="eastAsia" w:ascii="宋体" w:hAnsi="宋体" w:eastAsia="宋体" w:cs="宋体"/>
          <w:highlight w:val="none"/>
        </w:rPr>
      </w:pPr>
    </w:p>
    <w:p w14:paraId="1F992C69">
      <w:pPr>
        <w:pStyle w:val="17"/>
        <w:rPr>
          <w:rFonts w:hint="eastAsia" w:ascii="宋体" w:hAnsi="宋体" w:eastAsia="宋体" w:cs="宋体"/>
          <w:highlight w:val="none"/>
        </w:rPr>
      </w:pPr>
    </w:p>
    <w:p w14:paraId="21644DC6">
      <w:pPr>
        <w:rPr>
          <w:rFonts w:hint="eastAsia" w:ascii="宋体" w:hAnsi="宋体" w:eastAsia="宋体" w:cs="宋体"/>
          <w:highlight w:val="none"/>
        </w:rPr>
      </w:pPr>
    </w:p>
    <w:p w14:paraId="7F50AD89">
      <w:pPr>
        <w:pStyle w:val="2"/>
        <w:rPr>
          <w:rFonts w:hint="eastAsia" w:ascii="宋体" w:hAnsi="宋体" w:eastAsia="宋体" w:cs="宋体"/>
          <w:highlight w:val="none"/>
        </w:rPr>
      </w:pPr>
    </w:p>
    <w:p w14:paraId="71672BEA">
      <w:pPr>
        <w:pStyle w:val="3"/>
        <w:rPr>
          <w:rFonts w:hint="eastAsia" w:ascii="宋体" w:hAnsi="宋体" w:eastAsia="宋体" w:cs="宋体"/>
          <w:highlight w:val="none"/>
        </w:rPr>
      </w:pPr>
    </w:p>
    <w:p w14:paraId="2F71861F">
      <w:pPr>
        <w:pStyle w:val="17"/>
        <w:rPr>
          <w:rFonts w:hint="eastAsia" w:ascii="宋体" w:hAnsi="宋体" w:eastAsia="宋体" w:cs="宋体"/>
          <w:highlight w:val="none"/>
        </w:rPr>
      </w:pPr>
    </w:p>
    <w:p w14:paraId="70749F71">
      <w:pPr>
        <w:rPr>
          <w:rFonts w:hint="eastAsia" w:ascii="宋体" w:hAnsi="宋体" w:eastAsia="宋体" w:cs="宋体"/>
          <w:highlight w:val="none"/>
        </w:rPr>
      </w:pPr>
    </w:p>
    <w:p w14:paraId="0E229C83">
      <w:pPr>
        <w:pStyle w:val="2"/>
        <w:rPr>
          <w:rFonts w:hint="eastAsia" w:ascii="宋体" w:hAnsi="宋体" w:eastAsia="宋体" w:cs="宋体"/>
          <w:highlight w:val="none"/>
        </w:rPr>
      </w:pPr>
    </w:p>
    <w:p w14:paraId="3655B888">
      <w:pPr>
        <w:pStyle w:val="3"/>
        <w:rPr>
          <w:rFonts w:hint="eastAsia" w:ascii="宋体" w:hAnsi="宋体" w:eastAsia="宋体" w:cs="宋体"/>
          <w:highlight w:val="none"/>
        </w:rPr>
      </w:pPr>
    </w:p>
    <w:p w14:paraId="45DD4ABB">
      <w:pPr>
        <w:pStyle w:val="17"/>
        <w:rPr>
          <w:rFonts w:hint="eastAsia" w:ascii="宋体" w:hAnsi="宋体" w:eastAsia="宋体" w:cs="宋体"/>
          <w:highlight w:val="none"/>
        </w:rPr>
      </w:pPr>
    </w:p>
    <w:p w14:paraId="122CE86E">
      <w:pPr>
        <w:rPr>
          <w:rFonts w:hint="eastAsia" w:ascii="宋体" w:hAnsi="宋体" w:eastAsia="宋体" w:cs="宋体"/>
          <w:highlight w:val="none"/>
        </w:rPr>
      </w:pPr>
    </w:p>
    <w:p w14:paraId="6E58E9E3">
      <w:pPr>
        <w:pStyle w:val="2"/>
        <w:rPr>
          <w:rFonts w:hint="eastAsia" w:ascii="宋体" w:hAnsi="宋体" w:eastAsia="宋体" w:cs="宋体"/>
          <w:highlight w:val="none"/>
        </w:rPr>
      </w:pPr>
    </w:p>
    <w:p w14:paraId="615350F5">
      <w:pPr>
        <w:pStyle w:val="3"/>
        <w:rPr>
          <w:rFonts w:hint="eastAsia" w:ascii="宋体" w:hAnsi="宋体" w:eastAsia="宋体" w:cs="宋体"/>
          <w:highlight w:val="none"/>
        </w:rPr>
      </w:pPr>
    </w:p>
    <w:p w14:paraId="0638B64B">
      <w:pPr>
        <w:pStyle w:val="10"/>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商务技术文件</w:t>
      </w:r>
    </w:p>
    <w:p w14:paraId="704AD21D">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09D6B0BB">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381E8319">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006201BB">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627A2875">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hint="eastAsia" w:ascii="宋体" w:hAnsi="宋体" w:eastAsia="宋体" w:cs="宋体"/>
          <w:bCs/>
          <w:sz w:val="52"/>
          <w:szCs w:val="52"/>
          <w:highlight w:val="none"/>
          <w:lang w:val="zh-CN"/>
        </w:rPr>
      </w:pPr>
      <w:r>
        <w:rPr>
          <w:rFonts w:hint="eastAsia" w:ascii="宋体" w:hAnsi="宋体" w:eastAsia="宋体" w:cs="宋体"/>
          <w:bCs/>
          <w:sz w:val="52"/>
          <w:szCs w:val="52"/>
          <w:highlight w:val="none"/>
          <w:lang w:val="zh-CN"/>
        </w:rPr>
        <w:t>投标文件</w:t>
      </w:r>
    </w:p>
    <w:p w14:paraId="6FFE63E9">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64417BDF">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78423C49">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p>
    <w:p w14:paraId="2D74EAB0">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20CADCC5">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268C2308">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投标文件名称：（</w:t>
      </w:r>
      <w:r>
        <w:rPr>
          <w:rFonts w:hint="eastAsia" w:ascii="宋体" w:hAnsi="宋体" w:eastAsia="宋体" w:cs="宋体"/>
          <w:sz w:val="24"/>
          <w:szCs w:val="24"/>
          <w:highlight w:val="none"/>
          <w:lang w:val="en-US" w:eastAsia="zh-CN"/>
        </w:rPr>
        <w:t>商务技术文件</w:t>
      </w:r>
      <w:r>
        <w:rPr>
          <w:rFonts w:hint="eastAsia" w:ascii="宋体" w:hAnsi="宋体" w:eastAsia="宋体" w:cs="宋体"/>
          <w:sz w:val="24"/>
          <w:szCs w:val="24"/>
          <w:highlight w:val="none"/>
        </w:rPr>
        <w:t>）</w:t>
      </w:r>
    </w:p>
    <w:p w14:paraId="65D053F6">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投标人名称（盖章或电子签章）：</w:t>
      </w:r>
    </w:p>
    <w:p w14:paraId="1C406F5D">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w:t>
      </w:r>
      <w:r>
        <w:rPr>
          <w:rFonts w:hint="eastAsia" w:ascii="宋体" w:hAnsi="宋体" w:eastAsia="宋体" w:cs="宋体"/>
          <w:color w:val="auto"/>
          <w:kern w:val="0"/>
          <w:sz w:val="24"/>
          <w:szCs w:val="24"/>
          <w:highlight w:val="none"/>
          <w:lang w:val="en-US" w:eastAsia="zh-CN"/>
        </w:rPr>
        <w:t>(或负责人)</w:t>
      </w:r>
      <w:r>
        <w:rPr>
          <w:rFonts w:hint="eastAsia" w:ascii="宋体" w:hAnsi="宋体" w:eastAsia="宋体" w:cs="宋体"/>
          <w:sz w:val="24"/>
          <w:szCs w:val="24"/>
          <w:highlight w:val="none"/>
          <w:lang w:eastAsia="zh-CN"/>
        </w:rPr>
        <w:t>或其授权代表</w:t>
      </w:r>
      <w:r>
        <w:rPr>
          <w:rFonts w:hint="eastAsia" w:ascii="宋体" w:hAnsi="宋体" w:eastAsia="宋体" w:cs="宋体"/>
          <w:sz w:val="24"/>
          <w:szCs w:val="24"/>
          <w:highlight w:val="none"/>
        </w:rPr>
        <w:t>（签字或盖章或电子签章）：</w:t>
      </w:r>
    </w:p>
    <w:p w14:paraId="50EB41F8">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投标人地址：</w:t>
      </w:r>
    </w:p>
    <w:p w14:paraId="639BD429">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0F61188E">
      <w:pPr>
        <w:pStyle w:val="2"/>
        <w:numPr>
          <w:ilvl w:val="0"/>
          <w:numId w:val="0"/>
        </w:numPr>
        <w:rPr>
          <w:rFonts w:hint="eastAsia" w:ascii="宋体" w:hAnsi="宋体" w:eastAsia="宋体" w:cs="宋体"/>
          <w:highlight w:val="none"/>
          <w:lang w:val="en-US" w:eastAsia="zh-CN"/>
        </w:rPr>
      </w:pPr>
    </w:p>
    <w:p w14:paraId="4CA1B84E">
      <w:pPr>
        <w:bidi w:val="0"/>
        <w:rPr>
          <w:rFonts w:hint="eastAsia" w:ascii="宋体" w:hAnsi="宋体" w:eastAsia="宋体" w:cs="宋体"/>
          <w:highlight w:val="none"/>
          <w:lang w:val="en-US" w:eastAsia="zh-CN"/>
        </w:rPr>
      </w:pPr>
    </w:p>
    <w:p w14:paraId="50854EF9">
      <w:pPr>
        <w:bidi w:val="0"/>
        <w:rPr>
          <w:rFonts w:hint="eastAsia" w:ascii="宋体" w:hAnsi="宋体" w:eastAsia="宋体" w:cs="宋体"/>
          <w:highlight w:val="none"/>
          <w:lang w:val="en-US" w:eastAsia="zh-CN"/>
        </w:rPr>
      </w:pPr>
    </w:p>
    <w:p w14:paraId="0DD55FFB">
      <w:pPr>
        <w:bidi w:val="0"/>
        <w:rPr>
          <w:rFonts w:hint="eastAsia" w:ascii="宋体" w:hAnsi="宋体" w:eastAsia="宋体" w:cs="宋体"/>
          <w:highlight w:val="none"/>
          <w:lang w:val="en-US" w:eastAsia="zh-CN"/>
        </w:rPr>
      </w:pPr>
    </w:p>
    <w:p w14:paraId="3FF62D7A">
      <w:pPr>
        <w:bidi w:val="0"/>
        <w:rPr>
          <w:rFonts w:hint="eastAsia" w:ascii="宋体" w:hAnsi="宋体" w:eastAsia="宋体" w:cs="宋体"/>
          <w:highlight w:val="none"/>
          <w:lang w:val="en-US" w:eastAsia="zh-CN"/>
        </w:rPr>
      </w:pPr>
    </w:p>
    <w:p w14:paraId="04789B87">
      <w:pPr>
        <w:bidi w:val="0"/>
        <w:rPr>
          <w:rFonts w:hint="eastAsia" w:ascii="宋体" w:hAnsi="宋体" w:eastAsia="宋体" w:cs="宋体"/>
          <w:highlight w:val="none"/>
          <w:lang w:val="en-US" w:eastAsia="zh-CN"/>
        </w:rPr>
      </w:pPr>
    </w:p>
    <w:p w14:paraId="7BF2035F">
      <w:pPr>
        <w:bidi w:val="0"/>
        <w:rPr>
          <w:rFonts w:hint="eastAsia" w:ascii="宋体" w:hAnsi="宋体" w:eastAsia="宋体" w:cs="宋体"/>
          <w:highlight w:val="none"/>
          <w:lang w:val="en-US" w:eastAsia="zh-CN"/>
        </w:rPr>
      </w:pPr>
    </w:p>
    <w:p w14:paraId="19CBEF60">
      <w:pPr>
        <w:bidi w:val="0"/>
        <w:rPr>
          <w:rFonts w:hint="eastAsia" w:ascii="宋体" w:hAnsi="宋体" w:eastAsia="宋体" w:cs="宋体"/>
          <w:highlight w:val="none"/>
          <w:lang w:val="en-US" w:eastAsia="zh-CN"/>
        </w:rPr>
      </w:pPr>
    </w:p>
    <w:p w14:paraId="56960BEA">
      <w:pPr>
        <w:bidi w:val="0"/>
        <w:rPr>
          <w:rFonts w:hint="eastAsia" w:ascii="宋体" w:hAnsi="宋体" w:eastAsia="宋体" w:cs="宋体"/>
          <w:highlight w:val="none"/>
          <w:lang w:val="en-US" w:eastAsia="zh-CN"/>
        </w:rPr>
      </w:pPr>
    </w:p>
    <w:p w14:paraId="7C77D320">
      <w:pPr>
        <w:bidi w:val="0"/>
        <w:rPr>
          <w:rFonts w:hint="eastAsia" w:ascii="宋体" w:hAnsi="宋体" w:eastAsia="宋体" w:cs="宋体"/>
          <w:highlight w:val="none"/>
          <w:lang w:val="en-US" w:eastAsia="zh-CN"/>
        </w:rPr>
      </w:pPr>
    </w:p>
    <w:p w14:paraId="20326E22">
      <w:pPr>
        <w:bidi w:val="0"/>
        <w:rPr>
          <w:rFonts w:hint="eastAsia" w:ascii="宋体" w:hAnsi="宋体" w:eastAsia="宋体" w:cs="宋体"/>
          <w:highlight w:val="none"/>
          <w:lang w:val="en-US" w:eastAsia="zh-CN"/>
        </w:rPr>
      </w:pPr>
    </w:p>
    <w:p w14:paraId="726D93CC">
      <w:pPr>
        <w:bidi w:val="0"/>
        <w:rPr>
          <w:rFonts w:hint="eastAsia" w:ascii="宋体" w:hAnsi="宋体" w:eastAsia="宋体" w:cs="宋体"/>
          <w:highlight w:val="none"/>
          <w:lang w:val="en-US" w:eastAsia="zh-CN"/>
        </w:rPr>
      </w:pPr>
    </w:p>
    <w:p w14:paraId="4EBBB03E">
      <w:pPr>
        <w:bidi w:val="0"/>
        <w:rPr>
          <w:rFonts w:hint="eastAsia" w:ascii="宋体" w:hAnsi="宋体" w:eastAsia="宋体" w:cs="宋体"/>
          <w:highlight w:val="none"/>
          <w:lang w:val="en-US" w:eastAsia="zh-CN"/>
        </w:rPr>
      </w:pPr>
    </w:p>
    <w:p w14:paraId="778549DC">
      <w:pPr>
        <w:bidi w:val="0"/>
        <w:rPr>
          <w:rFonts w:hint="eastAsia" w:ascii="宋体" w:hAnsi="宋体" w:eastAsia="宋体" w:cs="宋体"/>
          <w:highlight w:val="none"/>
          <w:lang w:val="en-US" w:eastAsia="zh-CN"/>
        </w:rPr>
      </w:pPr>
    </w:p>
    <w:p w14:paraId="3A7412A3">
      <w:pPr>
        <w:bidi w:val="0"/>
        <w:rPr>
          <w:rFonts w:hint="eastAsia" w:ascii="宋体" w:hAnsi="宋体" w:eastAsia="宋体" w:cs="宋体"/>
          <w:highlight w:val="none"/>
          <w:lang w:val="en-US" w:eastAsia="zh-CN"/>
        </w:rPr>
      </w:pPr>
    </w:p>
    <w:p w14:paraId="3CBA6175">
      <w:pPr>
        <w:bidi w:val="0"/>
        <w:rPr>
          <w:rFonts w:hint="eastAsia" w:ascii="宋体" w:hAnsi="宋体" w:eastAsia="宋体" w:cs="宋体"/>
          <w:highlight w:val="none"/>
          <w:lang w:val="en-US" w:eastAsia="zh-CN"/>
        </w:rPr>
      </w:pPr>
    </w:p>
    <w:p w14:paraId="2776DB90">
      <w:pPr>
        <w:bidi w:val="0"/>
        <w:rPr>
          <w:rFonts w:hint="eastAsia" w:ascii="宋体" w:hAnsi="宋体" w:eastAsia="宋体" w:cs="宋体"/>
          <w:highlight w:val="none"/>
          <w:lang w:val="en-US" w:eastAsia="zh-CN"/>
        </w:rPr>
      </w:pPr>
    </w:p>
    <w:p w14:paraId="099B50F3">
      <w:pPr>
        <w:autoSpaceDE w:val="0"/>
        <w:autoSpaceDN w:val="0"/>
        <w:adjustRightInd w:val="0"/>
        <w:spacing w:line="380" w:lineRule="exact"/>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自评表</w:t>
      </w:r>
    </w:p>
    <w:p w14:paraId="4D3304EA">
      <w:pPr>
        <w:autoSpaceDE w:val="0"/>
        <w:autoSpaceDN w:val="0"/>
        <w:adjustRightInd w:val="0"/>
        <w:spacing w:line="380" w:lineRule="exact"/>
        <w:jc w:val="center"/>
        <w:rPr>
          <w:rFonts w:hint="eastAsia" w:ascii="宋体" w:hAnsi="宋体" w:eastAsia="宋体" w:cs="宋体"/>
          <w:b/>
          <w:bCs/>
          <w:sz w:val="32"/>
          <w:szCs w:val="32"/>
          <w:highlight w:val="none"/>
          <w:lang w:val="zh-CN"/>
        </w:rPr>
      </w:pPr>
    </w:p>
    <w:p w14:paraId="45DE42EB">
      <w:pPr>
        <w:autoSpaceDE w:val="0"/>
        <w:autoSpaceDN w:val="0"/>
        <w:adjustRightInd w:val="0"/>
        <w:spacing w:line="380" w:lineRule="exact"/>
        <w:jc w:val="left"/>
        <w:rPr>
          <w:rFonts w:hint="eastAsia" w:ascii="宋体" w:hAnsi="宋体" w:eastAsia="宋体" w:cs="宋体"/>
          <w:bCs/>
          <w:sz w:val="21"/>
          <w:szCs w:val="21"/>
          <w:highlight w:val="none"/>
        </w:rPr>
      </w:pPr>
    </w:p>
    <w:p w14:paraId="5DA08CFD">
      <w:pPr>
        <w:autoSpaceDE w:val="0"/>
        <w:autoSpaceDN w:val="0"/>
        <w:adjustRightInd w:val="0"/>
        <w:spacing w:line="3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14:paraId="7AD25B92">
      <w:pPr>
        <w:autoSpaceDE w:val="0"/>
        <w:autoSpaceDN w:val="0"/>
        <w:adjustRightInd w:val="0"/>
        <w:spacing w:line="380" w:lineRule="exact"/>
        <w:jc w:val="center"/>
        <w:rPr>
          <w:rFonts w:hint="eastAsia" w:ascii="宋体" w:hAnsi="宋体" w:eastAsia="宋体" w:cs="宋体"/>
          <w:b/>
          <w:bCs/>
          <w:sz w:val="32"/>
          <w:szCs w:val="32"/>
          <w:highlight w:val="none"/>
          <w:lang w:val="zh-CN"/>
        </w:rPr>
      </w:pPr>
    </w:p>
    <w:tbl>
      <w:tblPr>
        <w:tblStyle w:val="19"/>
        <w:tblW w:w="9638" w:type="dxa"/>
        <w:tblInd w:w="12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2"/>
        <w:gridCol w:w="3166"/>
        <w:gridCol w:w="1362"/>
        <w:gridCol w:w="1138"/>
        <w:gridCol w:w="2000"/>
      </w:tblGrid>
      <w:tr w14:paraId="19941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1" w:hRule="atLeast"/>
        </w:trPr>
        <w:tc>
          <w:tcPr>
            <w:tcW w:w="1972" w:type="dxa"/>
            <w:vAlign w:val="center"/>
          </w:tcPr>
          <w:p w14:paraId="11B416D5">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评分项目</w:t>
            </w:r>
          </w:p>
        </w:tc>
        <w:tc>
          <w:tcPr>
            <w:tcW w:w="3166" w:type="dxa"/>
            <w:vAlign w:val="center"/>
          </w:tcPr>
          <w:p w14:paraId="6890FEA0">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评标要求</w:t>
            </w:r>
          </w:p>
        </w:tc>
        <w:tc>
          <w:tcPr>
            <w:tcW w:w="1362" w:type="dxa"/>
            <w:vAlign w:val="center"/>
          </w:tcPr>
          <w:p w14:paraId="2204D60B">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1138" w:type="dxa"/>
            <w:vAlign w:val="center"/>
          </w:tcPr>
          <w:p w14:paraId="778888A6">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得分</w:t>
            </w:r>
          </w:p>
        </w:tc>
        <w:tc>
          <w:tcPr>
            <w:tcW w:w="2000" w:type="dxa"/>
            <w:vAlign w:val="center"/>
          </w:tcPr>
          <w:p w14:paraId="07428FD9">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证明材料所在页码</w:t>
            </w:r>
          </w:p>
        </w:tc>
      </w:tr>
      <w:tr w14:paraId="425436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trPr>
        <w:tc>
          <w:tcPr>
            <w:tcW w:w="1972" w:type="dxa"/>
            <w:vAlign w:val="center"/>
          </w:tcPr>
          <w:p w14:paraId="1C667B3C">
            <w:pPr>
              <w:spacing w:line="360" w:lineRule="exact"/>
              <w:jc w:val="center"/>
              <w:rPr>
                <w:rFonts w:hint="eastAsia" w:ascii="宋体" w:hAnsi="宋体" w:eastAsia="宋体" w:cs="宋体"/>
                <w:sz w:val="21"/>
                <w:szCs w:val="21"/>
                <w:highlight w:val="none"/>
              </w:rPr>
            </w:pPr>
          </w:p>
        </w:tc>
        <w:tc>
          <w:tcPr>
            <w:tcW w:w="3166" w:type="dxa"/>
            <w:vAlign w:val="center"/>
          </w:tcPr>
          <w:p w14:paraId="3005A47C">
            <w:pPr>
              <w:adjustRightInd w:val="0"/>
              <w:snapToGrid w:val="0"/>
              <w:spacing w:line="360" w:lineRule="exact"/>
              <w:ind w:left="210" w:hanging="210" w:hangingChars="100"/>
              <w:rPr>
                <w:rFonts w:hint="eastAsia" w:ascii="宋体" w:hAnsi="宋体" w:eastAsia="宋体" w:cs="宋体"/>
                <w:bCs/>
                <w:sz w:val="21"/>
                <w:szCs w:val="21"/>
                <w:highlight w:val="none"/>
              </w:rPr>
            </w:pPr>
          </w:p>
        </w:tc>
        <w:tc>
          <w:tcPr>
            <w:tcW w:w="1362" w:type="dxa"/>
            <w:vAlign w:val="center"/>
          </w:tcPr>
          <w:p w14:paraId="1946F362">
            <w:pPr>
              <w:adjustRightInd w:val="0"/>
              <w:snapToGrid w:val="0"/>
              <w:jc w:val="center"/>
              <w:rPr>
                <w:rFonts w:hint="eastAsia" w:ascii="宋体" w:hAnsi="宋体" w:eastAsia="宋体" w:cs="宋体"/>
                <w:bCs/>
                <w:sz w:val="21"/>
                <w:szCs w:val="21"/>
                <w:highlight w:val="none"/>
              </w:rPr>
            </w:pPr>
          </w:p>
        </w:tc>
        <w:tc>
          <w:tcPr>
            <w:tcW w:w="1138" w:type="dxa"/>
            <w:vAlign w:val="center"/>
          </w:tcPr>
          <w:p w14:paraId="1B27FB32">
            <w:pPr>
              <w:spacing w:line="360" w:lineRule="exact"/>
              <w:jc w:val="left"/>
              <w:rPr>
                <w:rFonts w:hint="eastAsia" w:ascii="宋体" w:hAnsi="宋体" w:eastAsia="宋体" w:cs="宋体"/>
                <w:sz w:val="21"/>
                <w:szCs w:val="21"/>
                <w:highlight w:val="none"/>
                <w:u w:val="double"/>
              </w:rPr>
            </w:pPr>
          </w:p>
        </w:tc>
        <w:tc>
          <w:tcPr>
            <w:tcW w:w="2000" w:type="dxa"/>
            <w:vAlign w:val="center"/>
          </w:tcPr>
          <w:p w14:paraId="79569EEE">
            <w:pPr>
              <w:spacing w:line="360" w:lineRule="exact"/>
              <w:jc w:val="left"/>
              <w:rPr>
                <w:rFonts w:hint="eastAsia" w:ascii="宋体" w:hAnsi="宋体" w:eastAsia="宋体" w:cs="宋体"/>
                <w:sz w:val="21"/>
                <w:szCs w:val="21"/>
                <w:highlight w:val="none"/>
                <w:u w:val="double"/>
              </w:rPr>
            </w:pPr>
          </w:p>
        </w:tc>
      </w:tr>
      <w:tr w14:paraId="33F4B3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5" w:hRule="atLeast"/>
        </w:trPr>
        <w:tc>
          <w:tcPr>
            <w:tcW w:w="1972" w:type="dxa"/>
            <w:vAlign w:val="center"/>
          </w:tcPr>
          <w:p w14:paraId="1F37B656">
            <w:pPr>
              <w:spacing w:line="360" w:lineRule="exact"/>
              <w:jc w:val="center"/>
              <w:rPr>
                <w:rFonts w:hint="eastAsia" w:ascii="宋体" w:hAnsi="宋体" w:eastAsia="宋体" w:cs="宋体"/>
                <w:sz w:val="21"/>
                <w:szCs w:val="21"/>
                <w:highlight w:val="none"/>
              </w:rPr>
            </w:pPr>
          </w:p>
        </w:tc>
        <w:tc>
          <w:tcPr>
            <w:tcW w:w="3166" w:type="dxa"/>
            <w:vAlign w:val="center"/>
          </w:tcPr>
          <w:p w14:paraId="7EE925EE">
            <w:pPr>
              <w:adjustRightInd w:val="0"/>
              <w:snapToGrid w:val="0"/>
              <w:spacing w:line="360" w:lineRule="exact"/>
              <w:rPr>
                <w:rFonts w:hint="eastAsia" w:ascii="宋体" w:hAnsi="宋体" w:eastAsia="宋体" w:cs="宋体"/>
                <w:bCs/>
                <w:sz w:val="21"/>
                <w:szCs w:val="21"/>
                <w:highlight w:val="none"/>
              </w:rPr>
            </w:pPr>
          </w:p>
        </w:tc>
        <w:tc>
          <w:tcPr>
            <w:tcW w:w="1362" w:type="dxa"/>
            <w:vAlign w:val="center"/>
          </w:tcPr>
          <w:p w14:paraId="0745AF5D">
            <w:pPr>
              <w:adjustRightInd w:val="0"/>
              <w:snapToGrid w:val="0"/>
              <w:jc w:val="center"/>
              <w:rPr>
                <w:rFonts w:hint="eastAsia" w:ascii="宋体" w:hAnsi="宋体" w:eastAsia="宋体" w:cs="宋体"/>
                <w:bCs/>
                <w:sz w:val="21"/>
                <w:szCs w:val="21"/>
                <w:highlight w:val="none"/>
              </w:rPr>
            </w:pPr>
          </w:p>
        </w:tc>
        <w:tc>
          <w:tcPr>
            <w:tcW w:w="1138" w:type="dxa"/>
            <w:vAlign w:val="center"/>
          </w:tcPr>
          <w:p w14:paraId="1F131EB2">
            <w:pPr>
              <w:spacing w:line="360" w:lineRule="exact"/>
              <w:jc w:val="left"/>
              <w:rPr>
                <w:rFonts w:hint="eastAsia" w:ascii="宋体" w:hAnsi="宋体" w:eastAsia="宋体" w:cs="宋体"/>
                <w:sz w:val="21"/>
                <w:szCs w:val="21"/>
                <w:highlight w:val="none"/>
                <w:u w:val="double"/>
              </w:rPr>
            </w:pPr>
          </w:p>
        </w:tc>
        <w:tc>
          <w:tcPr>
            <w:tcW w:w="2000" w:type="dxa"/>
            <w:vAlign w:val="center"/>
          </w:tcPr>
          <w:p w14:paraId="46D0FF62">
            <w:pPr>
              <w:spacing w:line="360" w:lineRule="exact"/>
              <w:jc w:val="left"/>
              <w:rPr>
                <w:rFonts w:hint="eastAsia" w:ascii="宋体" w:hAnsi="宋体" w:eastAsia="宋体" w:cs="宋体"/>
                <w:sz w:val="21"/>
                <w:szCs w:val="21"/>
                <w:highlight w:val="none"/>
                <w:u w:val="double"/>
              </w:rPr>
            </w:pPr>
          </w:p>
        </w:tc>
      </w:tr>
      <w:tr w14:paraId="13B6FC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1972" w:type="dxa"/>
            <w:vAlign w:val="center"/>
          </w:tcPr>
          <w:p w14:paraId="77100610">
            <w:pPr>
              <w:spacing w:line="360" w:lineRule="exact"/>
              <w:rPr>
                <w:rFonts w:hint="eastAsia" w:ascii="宋体" w:hAnsi="宋体" w:eastAsia="宋体" w:cs="宋体"/>
                <w:sz w:val="21"/>
                <w:szCs w:val="21"/>
                <w:highlight w:val="none"/>
                <w:shd w:val="clear" w:color="auto" w:fill="D9D9D9"/>
              </w:rPr>
            </w:pPr>
          </w:p>
        </w:tc>
        <w:tc>
          <w:tcPr>
            <w:tcW w:w="3166" w:type="dxa"/>
            <w:vAlign w:val="center"/>
          </w:tcPr>
          <w:p w14:paraId="6D9188A5">
            <w:pPr>
              <w:adjustRightInd w:val="0"/>
              <w:snapToGrid w:val="0"/>
              <w:spacing w:line="360" w:lineRule="exact"/>
              <w:textAlignment w:val="baseline"/>
              <w:rPr>
                <w:rFonts w:hint="eastAsia" w:ascii="宋体" w:hAnsi="宋体" w:eastAsia="宋体" w:cs="宋体"/>
                <w:bCs/>
                <w:sz w:val="21"/>
                <w:szCs w:val="21"/>
                <w:highlight w:val="none"/>
              </w:rPr>
            </w:pPr>
          </w:p>
        </w:tc>
        <w:tc>
          <w:tcPr>
            <w:tcW w:w="1362" w:type="dxa"/>
            <w:vAlign w:val="center"/>
          </w:tcPr>
          <w:p w14:paraId="4B9D95FB">
            <w:pPr>
              <w:adjustRightInd w:val="0"/>
              <w:snapToGrid w:val="0"/>
              <w:jc w:val="center"/>
              <w:textAlignment w:val="baseline"/>
              <w:rPr>
                <w:rFonts w:hint="eastAsia" w:ascii="宋体" w:hAnsi="宋体" w:eastAsia="宋体" w:cs="宋体"/>
                <w:bCs/>
                <w:sz w:val="21"/>
                <w:szCs w:val="21"/>
                <w:highlight w:val="none"/>
              </w:rPr>
            </w:pPr>
          </w:p>
        </w:tc>
        <w:tc>
          <w:tcPr>
            <w:tcW w:w="1138" w:type="dxa"/>
            <w:vAlign w:val="center"/>
          </w:tcPr>
          <w:p w14:paraId="1821EEEE">
            <w:pPr>
              <w:spacing w:line="360" w:lineRule="exact"/>
              <w:jc w:val="left"/>
              <w:rPr>
                <w:rFonts w:hint="eastAsia" w:ascii="宋体" w:hAnsi="宋体" w:eastAsia="宋体" w:cs="宋体"/>
                <w:sz w:val="21"/>
                <w:szCs w:val="21"/>
                <w:highlight w:val="none"/>
              </w:rPr>
            </w:pPr>
          </w:p>
        </w:tc>
        <w:tc>
          <w:tcPr>
            <w:tcW w:w="2000" w:type="dxa"/>
            <w:vAlign w:val="center"/>
          </w:tcPr>
          <w:p w14:paraId="2365FE04">
            <w:pPr>
              <w:spacing w:line="360" w:lineRule="exact"/>
              <w:jc w:val="left"/>
              <w:rPr>
                <w:rFonts w:hint="eastAsia" w:ascii="宋体" w:hAnsi="宋体" w:eastAsia="宋体" w:cs="宋体"/>
                <w:sz w:val="21"/>
                <w:szCs w:val="21"/>
                <w:highlight w:val="none"/>
              </w:rPr>
            </w:pPr>
          </w:p>
        </w:tc>
      </w:tr>
    </w:tbl>
    <w:p w14:paraId="60C4C797">
      <w:pPr>
        <w:autoSpaceDE w:val="0"/>
        <w:autoSpaceDN w:val="0"/>
        <w:adjustRightInd w:val="0"/>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注：按招标文件评标办法</w:t>
      </w:r>
      <w:r>
        <w:rPr>
          <w:rFonts w:hint="eastAsia" w:ascii="宋体" w:hAnsi="宋体" w:eastAsia="宋体" w:cs="宋体"/>
          <w:b/>
          <w:sz w:val="24"/>
          <w:highlight w:val="none"/>
          <w:lang w:eastAsia="zh-CN"/>
        </w:rPr>
        <w:t>（客观分）</w:t>
      </w:r>
      <w:r>
        <w:rPr>
          <w:rFonts w:hint="eastAsia" w:ascii="宋体" w:hAnsi="宋体" w:eastAsia="宋体" w:cs="宋体"/>
          <w:b/>
          <w:sz w:val="24"/>
          <w:highlight w:val="none"/>
        </w:rPr>
        <w:t>评分项列入。</w:t>
      </w:r>
    </w:p>
    <w:p w14:paraId="5CC6D125">
      <w:pPr>
        <w:autoSpaceDE w:val="0"/>
        <w:autoSpaceDN w:val="0"/>
        <w:adjustRightInd w:val="0"/>
        <w:spacing w:line="380" w:lineRule="exact"/>
        <w:rPr>
          <w:rFonts w:hint="eastAsia" w:ascii="宋体" w:hAnsi="宋体" w:eastAsia="宋体" w:cs="宋体"/>
          <w:b/>
          <w:bCs/>
          <w:sz w:val="32"/>
          <w:szCs w:val="32"/>
          <w:highlight w:val="none"/>
        </w:rPr>
      </w:pPr>
    </w:p>
    <w:p w14:paraId="7B68D8DF">
      <w:pPr>
        <w:autoSpaceDE w:val="0"/>
        <w:autoSpaceDN w:val="0"/>
        <w:adjustRightInd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highlight w:val="none"/>
        </w:rPr>
        <w:t>投标人全称（盖章或电子签章）：</w:t>
      </w:r>
    </w:p>
    <w:p w14:paraId="71421A86">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w:t>
      </w:r>
      <w:r>
        <w:rPr>
          <w:rFonts w:hint="eastAsia" w:ascii="宋体" w:hAnsi="宋体" w:eastAsia="宋体" w:cs="宋体"/>
          <w:color w:val="auto"/>
          <w:kern w:val="0"/>
          <w:sz w:val="24"/>
          <w:szCs w:val="24"/>
          <w:highlight w:val="none"/>
          <w:lang w:val="en-US" w:eastAsia="zh-CN"/>
        </w:rPr>
        <w:t>(或负责人)</w:t>
      </w:r>
      <w:r>
        <w:rPr>
          <w:rFonts w:hint="eastAsia" w:ascii="宋体" w:hAnsi="宋体" w:eastAsia="宋体" w:cs="宋体"/>
          <w:sz w:val="24"/>
          <w:szCs w:val="24"/>
          <w:highlight w:val="none"/>
          <w:lang w:eastAsia="zh-CN"/>
        </w:rPr>
        <w:t>或其授权代表</w:t>
      </w:r>
      <w:r>
        <w:rPr>
          <w:rFonts w:hint="eastAsia" w:ascii="宋体" w:hAnsi="宋体" w:eastAsia="宋体" w:cs="宋体"/>
          <w:sz w:val="24"/>
          <w:szCs w:val="24"/>
          <w:highlight w:val="none"/>
        </w:rPr>
        <w:t>（签字或盖章或电子签章）：</w:t>
      </w:r>
    </w:p>
    <w:p w14:paraId="7892D4C1">
      <w:pPr>
        <w:adjustRightInd w:val="0"/>
        <w:spacing w:line="500" w:lineRule="exact"/>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p>
    <w:p w14:paraId="6B95D9E1">
      <w:pPr>
        <w:autoSpaceDE w:val="0"/>
        <w:autoSpaceDN w:val="0"/>
        <w:adjustRightInd w:val="0"/>
        <w:spacing w:line="380" w:lineRule="exact"/>
        <w:rPr>
          <w:rFonts w:hint="eastAsia" w:ascii="宋体" w:hAnsi="宋体" w:eastAsia="宋体" w:cs="宋体"/>
          <w:b/>
          <w:bCs/>
          <w:sz w:val="32"/>
          <w:szCs w:val="32"/>
          <w:highlight w:val="none"/>
        </w:rPr>
      </w:pPr>
    </w:p>
    <w:p w14:paraId="392F77F1">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45E7062E">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764893EE">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664AF480">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555772B3">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1F9CE3D0">
      <w:pPr>
        <w:bidi w:val="0"/>
        <w:rPr>
          <w:rFonts w:hint="eastAsia" w:ascii="宋体" w:hAnsi="宋体" w:eastAsia="宋体" w:cs="宋体"/>
          <w:highlight w:val="none"/>
        </w:rPr>
      </w:pPr>
    </w:p>
    <w:p w14:paraId="76833D0F">
      <w:pPr>
        <w:bidi w:val="0"/>
        <w:rPr>
          <w:rFonts w:hint="eastAsia" w:ascii="宋体" w:hAnsi="宋体" w:eastAsia="宋体" w:cs="宋体"/>
          <w:highlight w:val="none"/>
        </w:rPr>
      </w:pPr>
    </w:p>
    <w:p w14:paraId="6E321169">
      <w:pPr>
        <w:bidi w:val="0"/>
        <w:rPr>
          <w:rFonts w:hint="eastAsia" w:ascii="宋体" w:hAnsi="宋体" w:eastAsia="宋体" w:cs="宋体"/>
          <w:highlight w:val="none"/>
        </w:rPr>
      </w:pPr>
    </w:p>
    <w:p w14:paraId="6C07F144">
      <w:pPr>
        <w:bidi w:val="0"/>
        <w:rPr>
          <w:rFonts w:hint="eastAsia" w:ascii="宋体" w:hAnsi="宋体" w:eastAsia="宋体" w:cs="宋体"/>
          <w:highlight w:val="none"/>
        </w:rPr>
      </w:pPr>
    </w:p>
    <w:p w14:paraId="3B7CF484">
      <w:pPr>
        <w:bidi w:val="0"/>
        <w:rPr>
          <w:rFonts w:hint="eastAsia" w:ascii="宋体" w:hAnsi="宋体" w:eastAsia="宋体" w:cs="宋体"/>
          <w:highlight w:val="none"/>
        </w:rPr>
      </w:pPr>
    </w:p>
    <w:p w14:paraId="5251B8F7">
      <w:pPr>
        <w:bidi w:val="0"/>
        <w:rPr>
          <w:rFonts w:hint="eastAsia" w:ascii="宋体" w:hAnsi="宋体" w:eastAsia="宋体" w:cs="宋体"/>
          <w:highlight w:val="none"/>
        </w:rPr>
      </w:pPr>
    </w:p>
    <w:p w14:paraId="5599186C">
      <w:pPr>
        <w:bidi w:val="0"/>
        <w:rPr>
          <w:rFonts w:hint="eastAsia" w:ascii="宋体" w:hAnsi="宋体" w:eastAsia="宋体" w:cs="宋体"/>
          <w:highlight w:val="none"/>
        </w:rPr>
      </w:pPr>
    </w:p>
    <w:p w14:paraId="4694843E">
      <w:pPr>
        <w:bidi w:val="0"/>
        <w:rPr>
          <w:rFonts w:hint="eastAsia" w:ascii="宋体" w:hAnsi="宋体" w:eastAsia="宋体" w:cs="宋体"/>
          <w:highlight w:val="none"/>
        </w:rPr>
      </w:pPr>
    </w:p>
    <w:p w14:paraId="22988D33">
      <w:pPr>
        <w:bidi w:val="0"/>
        <w:rPr>
          <w:rFonts w:hint="eastAsia" w:ascii="宋体" w:hAnsi="宋体" w:eastAsia="宋体" w:cs="宋体"/>
          <w:highlight w:val="none"/>
        </w:rPr>
      </w:pPr>
    </w:p>
    <w:p w14:paraId="1C5FE9C3">
      <w:pPr>
        <w:rPr>
          <w:rFonts w:hint="eastAsia" w:ascii="宋体" w:hAnsi="宋体" w:eastAsia="宋体" w:cs="宋体"/>
          <w:highlight w:val="none"/>
        </w:rPr>
      </w:pPr>
    </w:p>
    <w:p w14:paraId="40398511">
      <w:pPr>
        <w:bidi w:val="0"/>
        <w:rPr>
          <w:rFonts w:hint="eastAsia" w:ascii="宋体" w:hAnsi="宋体" w:eastAsia="宋体" w:cs="宋体"/>
          <w:highlight w:val="none"/>
        </w:rPr>
      </w:pPr>
    </w:p>
    <w:p w14:paraId="0D9E591D">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745EA6BB">
      <w:pPr>
        <w:pStyle w:val="10"/>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（采购人）：</w:t>
      </w:r>
    </w:p>
    <w:p w14:paraId="795727E3">
      <w:pPr>
        <w:spacing w:line="420" w:lineRule="exact"/>
        <w:ind w:firstLine="456" w:firstLineChars="190"/>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（采购代理机构）：</w:t>
      </w:r>
    </w:p>
    <w:p w14:paraId="743EAE10">
      <w:pPr>
        <w:spacing w:line="420" w:lineRule="exact"/>
        <w:ind w:firstLine="456" w:firstLineChars="19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项目（采购编号：</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采购文件</w:t>
      </w:r>
      <w:r>
        <w:rPr>
          <w:rFonts w:hint="eastAsia" w:ascii="宋体" w:hAnsi="宋体" w:eastAsia="宋体" w:cs="宋体"/>
          <w:color w:val="auto"/>
          <w:sz w:val="24"/>
          <w:highlight w:val="none"/>
        </w:rPr>
        <w:t>，我方作为供应商正式授权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（授权代表全名，职务）代表我方处理有关本项目</w:t>
      </w:r>
      <w:r>
        <w:rPr>
          <w:rFonts w:hint="eastAsia" w:ascii="宋体" w:hAnsi="宋体" w:eastAsia="宋体" w:cs="宋体"/>
          <w:color w:val="auto"/>
          <w:sz w:val="24"/>
          <w:highlight w:val="none"/>
          <w:lang w:val="en-US" w:eastAsia="zh-CN"/>
        </w:rPr>
        <w:t>公开招标</w:t>
      </w:r>
      <w:r>
        <w:rPr>
          <w:rFonts w:hint="eastAsia" w:ascii="宋体" w:hAnsi="宋体" w:eastAsia="宋体" w:cs="宋体"/>
          <w:color w:val="auto"/>
          <w:sz w:val="24"/>
          <w:highlight w:val="none"/>
        </w:rPr>
        <w:t>的一切事宜。</w:t>
      </w:r>
      <w:r>
        <w:rPr>
          <w:rFonts w:hint="eastAsia" w:ascii="宋体" w:hAnsi="宋体" w:eastAsia="宋体" w:cs="宋体"/>
          <w:color w:val="auto"/>
          <w:sz w:val="24"/>
          <w:highlight w:val="none"/>
          <w:lang w:val="en-US" w:eastAsia="zh-CN"/>
        </w:rPr>
        <w:t>为此：</w:t>
      </w:r>
    </w:p>
    <w:p w14:paraId="7624E66D">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我方承诺投标有效期从提交投标文件的截止之日起</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天，（不少于90天），本投标文件在投标有效期满之前均具有约束力。</w:t>
      </w:r>
    </w:p>
    <w:p w14:paraId="44121CB4">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提供采购文件中规定的全部投标文件。</w:t>
      </w:r>
    </w:p>
    <w:p w14:paraId="11EA2469">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我方承诺除投标文件列出的偏离外，我方响应采购文件的全部要求。</w:t>
      </w:r>
    </w:p>
    <w:p w14:paraId="40249D99">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保证遵守采购文件中的其他有关规定。</w:t>
      </w:r>
    </w:p>
    <w:p w14:paraId="2D47D6FF">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我方愿意向贵方提供任何与该项目响应有关的数据、情况和技术资料。若贵方需要，我方愿意提供我方作出的一切承诺的证明材料。</w:t>
      </w:r>
    </w:p>
    <w:p w14:paraId="3FF1D84E">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我方已详细阅读全部采购文件，包括采购文件“更正（延期）公告”（如果有）、参考资料及有关附件，确认无误。</w:t>
      </w:r>
    </w:p>
    <w:p w14:paraId="39CCB8AE">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如我方中标，我方承诺：</w:t>
      </w:r>
    </w:p>
    <w:p w14:paraId="733B3640">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7.1、在收到中标通知书后，在中标通知书规定的期限内与你方签订合同；</w:t>
      </w:r>
    </w:p>
    <w:p w14:paraId="502303F5">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7.2、在签订合同时不向你方提出附加条件；</w:t>
      </w:r>
    </w:p>
    <w:p w14:paraId="56801AE0">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7.3、按照采购文件要求提交履约保证金；</w:t>
      </w:r>
    </w:p>
    <w:p w14:paraId="47E36D8A">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7.4、在合同约定的期限内完成合同规定的全部义务。</w:t>
      </w:r>
    </w:p>
    <w:p w14:paraId="53465C2B">
      <w:pPr>
        <w:numPr>
          <w:ilvl w:val="0"/>
          <w:numId w:val="0"/>
        </w:num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 xml:space="preserve">8、其他补充说明: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p>
    <w:p w14:paraId="69135545">
      <w:pPr>
        <w:spacing w:line="420" w:lineRule="exact"/>
        <w:ind w:firstLine="435"/>
        <w:rPr>
          <w:rFonts w:hint="eastAsia" w:ascii="宋体" w:hAnsi="宋体" w:eastAsia="宋体" w:cs="宋体"/>
          <w:color w:val="auto"/>
          <w:sz w:val="24"/>
          <w:highlight w:val="none"/>
          <w:u w:val="single"/>
        </w:rPr>
      </w:pPr>
    </w:p>
    <w:p w14:paraId="564B4144">
      <w:pPr>
        <w:spacing w:line="420" w:lineRule="exact"/>
        <w:ind w:firstLine="435"/>
        <w:rPr>
          <w:rFonts w:hint="eastAsia" w:ascii="宋体" w:hAnsi="宋体" w:eastAsia="宋体" w:cs="宋体"/>
          <w:color w:val="auto"/>
          <w:sz w:val="24"/>
          <w:highlight w:val="none"/>
        </w:rPr>
      </w:pPr>
    </w:p>
    <w:p w14:paraId="477AAFBA">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26DC923">
      <w:pPr>
        <w:spacing w:line="420" w:lineRule="exact"/>
        <w:ind w:firstLine="435"/>
        <w:jc w:val="left"/>
        <w:rPr>
          <w:rFonts w:hint="eastAsia" w:ascii="宋体" w:hAnsi="宋体" w:eastAsia="宋体" w:cs="宋体"/>
          <w:color w:val="auto"/>
          <w:sz w:val="24"/>
          <w:highlight w:val="none"/>
        </w:rPr>
      </w:pPr>
    </w:p>
    <w:p w14:paraId="5D70E36C">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u w:val="single"/>
        </w:rPr>
        <w:t xml:space="preserve">                  </w:t>
      </w:r>
    </w:p>
    <w:p w14:paraId="31D5BDE4">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kern w:val="0"/>
          <w:sz w:val="24"/>
          <w:szCs w:val="24"/>
          <w:highlight w:val="none"/>
          <w:lang w:val="en-US" w:eastAsia="zh-CN"/>
        </w:rPr>
        <w:t>(或负责人)</w:t>
      </w:r>
      <w:r>
        <w:rPr>
          <w:rFonts w:hint="eastAsia" w:ascii="宋体" w:hAnsi="宋体" w:eastAsia="宋体" w:cs="宋体"/>
          <w:color w:val="auto"/>
          <w:sz w:val="24"/>
          <w:highlight w:val="none"/>
        </w:rPr>
        <w:t>或其授权代表</w:t>
      </w:r>
      <w:r>
        <w:rPr>
          <w:rFonts w:hint="eastAsia" w:ascii="宋体" w:hAnsi="宋体" w:eastAsia="宋体" w:cs="宋体"/>
          <w:sz w:val="24"/>
          <w:szCs w:val="24"/>
          <w:highlight w:val="none"/>
        </w:rPr>
        <w:t>（签字或盖章或电子签章）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B3172AF">
      <w:pPr>
        <w:keepNext w:val="0"/>
        <w:keepLines w:val="0"/>
        <w:pageBreakBefore w:val="0"/>
        <w:kinsoku/>
        <w:wordWrap/>
        <w:overflowPunct/>
        <w:topLinePunct w:val="0"/>
        <w:autoSpaceDE/>
        <w:autoSpaceDN/>
        <w:bidi w:val="0"/>
        <w:spacing w:line="600" w:lineRule="exact"/>
        <w:ind w:firstLine="435"/>
        <w:jc w:val="lef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8"/>
          <w:szCs w:val="28"/>
          <w:highlight w:val="none"/>
          <w:u w:val="single"/>
        </w:rPr>
        <w:t xml:space="preserve"> </w:t>
      </w:r>
    </w:p>
    <w:p w14:paraId="02EF8EF8">
      <w:pPr>
        <w:pStyle w:val="10"/>
        <w:ind w:left="0" w:leftChars="0" w:firstLine="0" w:firstLineChars="0"/>
        <w:rPr>
          <w:rFonts w:hint="eastAsia" w:ascii="宋体" w:hAnsi="宋体" w:eastAsia="宋体" w:cs="宋体"/>
          <w:b/>
          <w:bCs/>
          <w:color w:val="auto"/>
          <w:sz w:val="28"/>
          <w:szCs w:val="28"/>
          <w:highlight w:val="none"/>
          <w:lang w:val="en-US" w:eastAsia="zh-CN"/>
        </w:rPr>
      </w:pPr>
    </w:p>
    <w:p w14:paraId="1747748A">
      <w:pPr>
        <w:pStyle w:val="3"/>
        <w:rPr>
          <w:rFonts w:hint="eastAsia" w:ascii="宋体" w:hAnsi="宋体" w:eastAsia="宋体" w:cs="宋体"/>
          <w:color w:val="auto"/>
          <w:highlight w:val="none"/>
          <w:lang w:val="en-US" w:eastAsia="zh-CN"/>
        </w:rPr>
      </w:pPr>
    </w:p>
    <w:p w14:paraId="78C99DC3">
      <w:pPr>
        <w:pStyle w:val="10"/>
        <w:ind w:left="0" w:leftChars="0" w:firstLine="0" w:firstLineChars="0"/>
        <w:rPr>
          <w:rFonts w:hint="eastAsia" w:ascii="宋体" w:hAnsi="宋体" w:eastAsia="宋体" w:cs="宋体"/>
          <w:b/>
          <w:bCs/>
          <w:color w:val="auto"/>
          <w:sz w:val="28"/>
          <w:szCs w:val="28"/>
          <w:highlight w:val="none"/>
          <w:lang w:val="en-US" w:eastAsia="zh-CN"/>
        </w:rPr>
      </w:pPr>
    </w:p>
    <w:p w14:paraId="06FC63BD">
      <w:pPr>
        <w:pStyle w:val="10"/>
        <w:ind w:left="0" w:leftChars="0" w:firstLine="0" w:firstLineChars="0"/>
        <w:rPr>
          <w:rFonts w:hint="eastAsia" w:ascii="宋体" w:hAnsi="宋体" w:eastAsia="宋体" w:cs="宋体"/>
          <w:b/>
          <w:bCs/>
          <w:color w:val="auto"/>
          <w:sz w:val="28"/>
          <w:szCs w:val="28"/>
          <w:highlight w:val="none"/>
          <w:lang w:val="en-US" w:eastAsia="zh-CN"/>
        </w:rPr>
      </w:pPr>
    </w:p>
    <w:p w14:paraId="024702E4">
      <w:pPr>
        <w:keepNext w:val="0"/>
        <w:keepLines w:val="0"/>
        <w:pageBreakBefore w:val="0"/>
        <w:kinsoku/>
        <w:wordWrap/>
        <w:overflowPunct/>
        <w:topLinePunct w:val="0"/>
        <w:autoSpaceDE w:val="0"/>
        <w:autoSpaceDN w:val="0"/>
        <w:bidi w:val="0"/>
        <w:adjustRightInd w:val="0"/>
        <w:spacing w:line="50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法定代表人</w:t>
      </w:r>
      <w:r>
        <w:rPr>
          <w:rFonts w:hint="eastAsia" w:ascii="宋体" w:hAnsi="宋体" w:eastAsia="宋体" w:cs="宋体"/>
          <w:b/>
          <w:bCs/>
          <w:sz w:val="24"/>
          <w:szCs w:val="24"/>
          <w:highlight w:val="none"/>
          <w:lang w:val="en-US" w:eastAsia="zh-CN"/>
        </w:rPr>
        <w:t>(或负责人)</w:t>
      </w:r>
      <w:r>
        <w:rPr>
          <w:rFonts w:hint="eastAsia" w:ascii="宋体" w:hAnsi="宋体" w:eastAsia="宋体" w:cs="宋体"/>
          <w:b/>
          <w:bCs/>
          <w:sz w:val="24"/>
          <w:szCs w:val="24"/>
          <w:highlight w:val="none"/>
        </w:rPr>
        <w:t>资格证明书</w:t>
      </w:r>
    </w:p>
    <w:p w14:paraId="583B146C">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p>
    <w:p w14:paraId="2B003A42">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14:paraId="70504227">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02136CB5">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8C10580">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50CB4E3B">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        别：</w:t>
      </w:r>
      <w:r>
        <w:rPr>
          <w:rFonts w:hint="eastAsia" w:ascii="宋体" w:hAnsi="宋体" w:eastAsia="宋体" w:cs="宋体"/>
          <w:sz w:val="24"/>
          <w:szCs w:val="24"/>
          <w:highlight w:val="none"/>
          <w:u w:val="single"/>
        </w:rPr>
        <w:t xml:space="preserve">                </w:t>
      </w:r>
    </w:p>
    <w:p w14:paraId="313EDB83">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w:t>
      </w:r>
      <w:r>
        <w:rPr>
          <w:rFonts w:hint="eastAsia" w:ascii="宋体" w:hAnsi="宋体" w:eastAsia="宋体" w:cs="宋体"/>
          <w:sz w:val="24"/>
          <w:szCs w:val="24"/>
          <w:highlight w:val="none"/>
          <w:lang w:val="en-US" w:eastAsia="zh-CN"/>
        </w:rPr>
        <w:t>(或负责人)</w:t>
      </w:r>
      <w:r>
        <w:rPr>
          <w:rFonts w:hint="eastAsia" w:ascii="宋体" w:hAnsi="宋体" w:eastAsia="宋体" w:cs="宋体"/>
          <w:sz w:val="24"/>
          <w:szCs w:val="24"/>
          <w:highlight w:val="none"/>
        </w:rPr>
        <w:t>。</w:t>
      </w:r>
    </w:p>
    <w:p w14:paraId="40902232">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2B5940DA">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p>
    <w:p w14:paraId="3E5CC838">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p>
    <w:p w14:paraId="74B6319F">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p>
    <w:p w14:paraId="5AD786D8">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14:paraId="2C0E2038">
      <w:pPr>
        <w:pStyle w:val="32"/>
        <w:keepNext w:val="0"/>
        <w:keepLines w:val="0"/>
        <w:pageBreakBefore w:val="0"/>
        <w:kinsoku/>
        <w:wordWrap/>
        <w:overflowPunct/>
        <w:topLinePunct w:val="0"/>
        <w:bidi w:val="0"/>
        <w:spacing w:line="500" w:lineRule="exact"/>
        <w:rPr>
          <w:rFonts w:hint="eastAsia" w:ascii="宋体" w:hAnsi="宋体" w:eastAsia="宋体" w:cs="宋体"/>
          <w:sz w:val="24"/>
          <w:szCs w:val="24"/>
          <w:highlight w:val="none"/>
        </w:rPr>
      </w:pPr>
    </w:p>
    <w:p w14:paraId="06829918">
      <w:pPr>
        <w:pStyle w:val="32"/>
        <w:keepNext w:val="0"/>
        <w:keepLines w:val="0"/>
        <w:pageBreakBefore w:val="0"/>
        <w:kinsoku/>
        <w:wordWrap/>
        <w:overflowPunct/>
        <w:topLinePunct w:val="0"/>
        <w:bidi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w:t>
      </w:r>
      <w:r>
        <w:rPr>
          <w:rFonts w:hint="eastAsia" w:ascii="宋体" w:hAnsi="宋体" w:eastAsia="宋体" w:cs="宋体"/>
          <w:sz w:val="24"/>
          <w:szCs w:val="24"/>
          <w:highlight w:val="none"/>
          <w:lang w:val="en-US" w:eastAsia="zh-CN"/>
        </w:rPr>
        <w:t>(或负责人)</w:t>
      </w:r>
      <w:r>
        <w:rPr>
          <w:rFonts w:hint="eastAsia" w:ascii="宋体" w:hAnsi="宋体" w:eastAsia="宋体" w:cs="宋体"/>
          <w:sz w:val="24"/>
          <w:szCs w:val="24"/>
          <w:highlight w:val="none"/>
        </w:rPr>
        <w:t>身份证扫描件</w:t>
      </w:r>
    </w:p>
    <w:tbl>
      <w:tblPr>
        <w:tblStyle w:val="19"/>
        <w:tblW w:w="9744" w:type="dxa"/>
        <w:tblInd w:w="0" w:type="dxa"/>
        <w:tblLayout w:type="fixed"/>
        <w:tblCellMar>
          <w:top w:w="0" w:type="dxa"/>
          <w:left w:w="108" w:type="dxa"/>
          <w:bottom w:w="0" w:type="dxa"/>
          <w:right w:w="108" w:type="dxa"/>
        </w:tblCellMar>
      </w:tblPr>
      <w:tblGrid>
        <w:gridCol w:w="5210"/>
        <w:gridCol w:w="4534"/>
      </w:tblGrid>
      <w:tr w14:paraId="3B6DBAF0">
        <w:tblPrEx>
          <w:tblCellMar>
            <w:top w:w="0" w:type="dxa"/>
            <w:left w:w="108" w:type="dxa"/>
            <w:bottom w:w="0" w:type="dxa"/>
            <w:right w:w="108" w:type="dxa"/>
          </w:tblCellMar>
        </w:tblPrEx>
        <w:trPr>
          <w:trHeight w:val="2423" w:hRule="atLeast"/>
        </w:trPr>
        <w:tc>
          <w:tcPr>
            <w:tcW w:w="5210" w:type="dxa"/>
            <w:tcBorders>
              <w:top w:val="single" w:color="auto" w:sz="4" w:space="0"/>
              <w:left w:val="single" w:color="auto" w:sz="4" w:space="0"/>
              <w:bottom w:val="single" w:color="auto" w:sz="4" w:space="0"/>
              <w:right w:val="single" w:color="auto" w:sz="4" w:space="0"/>
            </w:tcBorders>
          </w:tcPr>
          <w:p w14:paraId="26069105">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p w14:paraId="3C229ACD">
            <w:pPr>
              <w:keepNext w:val="0"/>
              <w:keepLines w:val="0"/>
              <w:pageBreakBefore w:val="0"/>
              <w:widowControl/>
              <w:tabs>
                <w:tab w:val="right" w:leader="dot" w:pos="8295"/>
              </w:tabs>
              <w:kinsoku/>
              <w:wordWrap/>
              <w:overflowPunct/>
              <w:topLinePunct w:val="0"/>
              <w:bidi w:val="0"/>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lang w:val="en-US" w:eastAsia="zh-CN"/>
              </w:rPr>
              <w:t>(或负责人)</w:t>
            </w:r>
            <w:r>
              <w:rPr>
                <w:rFonts w:hint="eastAsia" w:ascii="宋体" w:hAnsi="宋体" w:eastAsia="宋体" w:cs="宋体"/>
                <w:kern w:val="0"/>
                <w:sz w:val="24"/>
                <w:szCs w:val="24"/>
                <w:highlight w:val="none"/>
              </w:rPr>
              <w:t>身份证扫描件</w:t>
            </w:r>
          </w:p>
          <w:p w14:paraId="691E73E7">
            <w:pPr>
              <w:pStyle w:val="32"/>
              <w:keepNext w:val="0"/>
              <w:keepLines w:val="0"/>
              <w:pageBreakBefore w:val="0"/>
              <w:kinsoku/>
              <w:wordWrap/>
              <w:overflowPunct/>
              <w:topLinePunct w:val="0"/>
              <w:bidi w:val="0"/>
              <w:spacing w:line="50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（国徽面）</w:t>
            </w:r>
          </w:p>
          <w:p w14:paraId="23137922">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tc>
        <w:tc>
          <w:tcPr>
            <w:tcW w:w="4534" w:type="dxa"/>
            <w:tcBorders>
              <w:top w:val="single" w:color="auto" w:sz="4" w:space="0"/>
              <w:left w:val="single" w:color="auto" w:sz="4" w:space="0"/>
              <w:bottom w:val="single" w:color="auto" w:sz="4" w:space="0"/>
              <w:right w:val="single" w:color="auto" w:sz="4" w:space="0"/>
            </w:tcBorders>
          </w:tcPr>
          <w:p w14:paraId="30C9C0F3">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p w14:paraId="304486B7">
            <w:pPr>
              <w:keepNext w:val="0"/>
              <w:keepLines w:val="0"/>
              <w:pageBreakBefore w:val="0"/>
              <w:widowControl/>
              <w:tabs>
                <w:tab w:val="right" w:leader="dot" w:pos="8295"/>
              </w:tabs>
              <w:kinsoku/>
              <w:wordWrap/>
              <w:overflowPunct/>
              <w:topLinePunct w:val="0"/>
              <w:bidi w:val="0"/>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lang w:val="en-US" w:eastAsia="zh-CN"/>
              </w:rPr>
              <w:t>(或负责人)</w:t>
            </w:r>
            <w:r>
              <w:rPr>
                <w:rFonts w:hint="eastAsia" w:ascii="宋体" w:hAnsi="宋体" w:eastAsia="宋体" w:cs="宋体"/>
                <w:kern w:val="0"/>
                <w:sz w:val="24"/>
                <w:szCs w:val="24"/>
                <w:highlight w:val="none"/>
              </w:rPr>
              <w:t>身份证扫描件</w:t>
            </w:r>
          </w:p>
          <w:p w14:paraId="0705D262">
            <w:pPr>
              <w:pStyle w:val="32"/>
              <w:keepNext w:val="0"/>
              <w:keepLines w:val="0"/>
              <w:pageBreakBefore w:val="0"/>
              <w:kinsoku/>
              <w:wordWrap/>
              <w:overflowPunct/>
              <w:topLinePunct w:val="0"/>
              <w:bidi w:val="0"/>
              <w:spacing w:line="50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（头像面）</w:t>
            </w:r>
          </w:p>
          <w:p w14:paraId="52DA3B8D">
            <w:pPr>
              <w:keepNext w:val="0"/>
              <w:keepLines w:val="0"/>
              <w:pageBreakBefore w:val="0"/>
              <w:widowControl/>
              <w:tabs>
                <w:tab w:val="right" w:leader="dot" w:pos="8295"/>
              </w:tabs>
              <w:kinsoku/>
              <w:wordWrap/>
              <w:overflowPunct/>
              <w:topLinePunct w:val="0"/>
              <w:bidi w:val="0"/>
              <w:snapToGrid w:val="0"/>
              <w:spacing w:line="500" w:lineRule="exact"/>
              <w:ind w:left="5250" w:firstLine="480"/>
              <w:rPr>
                <w:rFonts w:hint="eastAsia" w:ascii="宋体" w:hAnsi="宋体" w:eastAsia="宋体" w:cs="宋体"/>
                <w:kern w:val="0"/>
                <w:sz w:val="24"/>
                <w:szCs w:val="24"/>
                <w:highlight w:val="none"/>
              </w:rPr>
            </w:pPr>
          </w:p>
        </w:tc>
      </w:tr>
    </w:tbl>
    <w:p w14:paraId="7DC56267">
      <w:pPr>
        <w:rPr>
          <w:rFonts w:hint="eastAsia" w:ascii="宋体" w:hAnsi="宋体" w:eastAsia="宋体" w:cs="宋体"/>
          <w:highlight w:val="none"/>
        </w:rPr>
      </w:pPr>
    </w:p>
    <w:p w14:paraId="6C7AB186">
      <w:pPr>
        <w:pStyle w:val="32"/>
        <w:rPr>
          <w:rFonts w:hint="eastAsia" w:ascii="宋体" w:hAnsi="宋体" w:eastAsia="宋体" w:cs="宋体"/>
          <w:highlight w:val="none"/>
        </w:rPr>
      </w:pPr>
    </w:p>
    <w:p w14:paraId="59316698">
      <w:pPr>
        <w:pageBreakBefore/>
        <w:adjustRightInd w:val="0"/>
        <w:spacing w:line="50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w:t>
      </w:r>
      <w:r>
        <w:rPr>
          <w:rFonts w:hint="eastAsia" w:ascii="宋体" w:hAnsi="宋体" w:eastAsia="宋体" w:cs="宋体"/>
          <w:b/>
          <w:bCs/>
          <w:sz w:val="24"/>
          <w:szCs w:val="24"/>
          <w:highlight w:val="none"/>
          <w:lang w:val="en-US" w:eastAsia="zh-CN"/>
        </w:rPr>
        <w:t>(或负责人)</w:t>
      </w:r>
      <w:r>
        <w:rPr>
          <w:rFonts w:hint="eastAsia" w:ascii="宋体" w:hAnsi="宋体" w:eastAsia="宋体" w:cs="宋体"/>
          <w:b/>
          <w:bCs/>
          <w:sz w:val="24"/>
          <w:szCs w:val="24"/>
          <w:highlight w:val="none"/>
        </w:rPr>
        <w:t>授权书</w:t>
      </w:r>
    </w:p>
    <w:p w14:paraId="072A74DB">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val="zh-CN"/>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采购人</w:t>
      </w:r>
      <w:r>
        <w:rPr>
          <w:rFonts w:hint="eastAsia" w:ascii="宋体" w:hAnsi="宋体" w:eastAsia="宋体" w:cs="宋体"/>
          <w:sz w:val="24"/>
          <w:szCs w:val="24"/>
          <w:highlight w:val="none"/>
          <w:u w:val="single"/>
          <w:lang w:eastAsia="zh-CN"/>
        </w:rPr>
        <w:t>）</w:t>
      </w:r>
    </w:p>
    <w:p w14:paraId="4C34CAA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本授权委托书声明：我</w:t>
      </w:r>
      <w:r>
        <w:rPr>
          <w:rFonts w:hint="eastAsia" w:ascii="宋体" w:hAnsi="宋体" w:eastAsia="宋体" w:cs="宋体"/>
          <w:sz w:val="24"/>
          <w:szCs w:val="24"/>
          <w:highlight w:val="none"/>
          <w:u w:val="single"/>
          <w:lang w:val="zh-CN"/>
        </w:rPr>
        <w:t>（法定代表人</w:t>
      </w:r>
      <w:r>
        <w:rPr>
          <w:rFonts w:hint="eastAsia" w:ascii="宋体" w:hAnsi="宋体" w:eastAsia="宋体" w:cs="宋体"/>
          <w:sz w:val="24"/>
          <w:szCs w:val="24"/>
          <w:highlight w:val="none"/>
          <w:u w:val="single"/>
          <w:lang w:val="zh-CN" w:eastAsia="zh-CN"/>
        </w:rPr>
        <w:t>或负责人</w:t>
      </w:r>
      <w:r>
        <w:rPr>
          <w:rFonts w:hint="eastAsia" w:ascii="宋体" w:hAnsi="宋体" w:eastAsia="宋体" w:cs="宋体"/>
          <w:sz w:val="24"/>
          <w:szCs w:val="24"/>
          <w:highlight w:val="none"/>
          <w:u w:val="single"/>
          <w:lang w:val="zh-CN"/>
        </w:rPr>
        <w:t>姓名）</w:t>
      </w:r>
      <w:r>
        <w:rPr>
          <w:rFonts w:hint="eastAsia" w:ascii="宋体" w:hAnsi="宋体" w:eastAsia="宋体" w:cs="宋体"/>
          <w:sz w:val="24"/>
          <w:szCs w:val="24"/>
          <w:highlight w:val="none"/>
          <w:lang w:val="zh-CN"/>
        </w:rPr>
        <w:t>系</w:t>
      </w:r>
      <w:r>
        <w:rPr>
          <w:rFonts w:hint="eastAsia" w:ascii="宋体" w:hAnsi="宋体" w:eastAsia="宋体" w:cs="宋体"/>
          <w:sz w:val="24"/>
          <w:szCs w:val="24"/>
          <w:highlight w:val="none"/>
          <w:u w:val="single"/>
          <w:lang w:val="zh-CN"/>
        </w:rPr>
        <w:t>（投标人名称）</w:t>
      </w:r>
      <w:r>
        <w:rPr>
          <w:rFonts w:hint="eastAsia" w:ascii="宋体" w:hAnsi="宋体" w:eastAsia="宋体" w:cs="宋体"/>
          <w:sz w:val="24"/>
          <w:szCs w:val="24"/>
          <w:highlight w:val="none"/>
          <w:lang w:val="zh-CN"/>
        </w:rPr>
        <w:t>的法定代表人</w:t>
      </w:r>
      <w:r>
        <w:rPr>
          <w:rFonts w:hint="eastAsia" w:ascii="宋体" w:hAnsi="宋体" w:eastAsia="宋体" w:cs="宋体"/>
          <w:sz w:val="24"/>
          <w:szCs w:val="24"/>
          <w:highlight w:val="none"/>
          <w:lang w:val="zh-CN" w:eastAsia="zh-CN"/>
        </w:rPr>
        <w:t>(或负责人)</w:t>
      </w:r>
      <w:r>
        <w:rPr>
          <w:rFonts w:hint="eastAsia" w:ascii="宋体" w:hAnsi="宋体" w:eastAsia="宋体" w:cs="宋体"/>
          <w:sz w:val="24"/>
          <w:szCs w:val="24"/>
          <w:highlight w:val="none"/>
          <w:lang w:val="zh-CN"/>
        </w:rPr>
        <w:t>，现授权委托</w:t>
      </w:r>
      <w:r>
        <w:rPr>
          <w:rFonts w:hint="eastAsia" w:ascii="宋体" w:hAnsi="宋体" w:eastAsia="宋体" w:cs="宋体"/>
          <w:sz w:val="24"/>
          <w:szCs w:val="24"/>
          <w:highlight w:val="none"/>
          <w:u w:val="single"/>
          <w:lang w:val="zh-CN"/>
        </w:rPr>
        <w:t>（单位名称）</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u w:val="single"/>
          <w:lang w:val="zh-CN"/>
        </w:rPr>
        <w:t>（授权代表姓名）</w:t>
      </w:r>
      <w:r>
        <w:rPr>
          <w:rFonts w:hint="eastAsia" w:ascii="宋体" w:hAnsi="宋体" w:eastAsia="宋体" w:cs="宋体"/>
          <w:sz w:val="24"/>
          <w:szCs w:val="24"/>
          <w:highlight w:val="none"/>
          <w:lang w:val="zh-CN"/>
        </w:rPr>
        <w:t>为我公司法定代表人</w:t>
      </w:r>
      <w:r>
        <w:rPr>
          <w:rFonts w:hint="eastAsia" w:ascii="宋体" w:hAnsi="宋体" w:eastAsia="宋体" w:cs="宋体"/>
          <w:sz w:val="24"/>
          <w:szCs w:val="24"/>
          <w:highlight w:val="none"/>
          <w:lang w:val="zh-CN" w:eastAsia="zh-CN"/>
        </w:rPr>
        <w:t>(或负责人)</w:t>
      </w:r>
      <w:r>
        <w:rPr>
          <w:rFonts w:hint="eastAsia" w:ascii="宋体" w:hAnsi="宋体" w:eastAsia="宋体" w:cs="宋体"/>
          <w:sz w:val="24"/>
          <w:szCs w:val="24"/>
          <w:highlight w:val="none"/>
          <w:lang w:val="zh-CN"/>
        </w:rPr>
        <w:t>授权代表，参加贵单位组织的</w:t>
      </w:r>
      <w:r>
        <w:rPr>
          <w:rFonts w:hint="eastAsia" w:ascii="宋体" w:hAnsi="宋体" w:eastAsia="宋体" w:cs="宋体"/>
          <w:sz w:val="24"/>
          <w:szCs w:val="24"/>
          <w:highlight w:val="none"/>
          <w:u w:val="single"/>
          <w:lang w:val="zh-CN"/>
        </w:rPr>
        <w:t xml:space="preserve"> （采购项目名称、项目编号）</w:t>
      </w:r>
      <w:r>
        <w:rPr>
          <w:rFonts w:hint="eastAsia" w:ascii="宋体" w:hAnsi="宋体" w:eastAsia="宋体" w:cs="宋体"/>
          <w:sz w:val="24"/>
          <w:szCs w:val="24"/>
          <w:highlight w:val="none"/>
          <w:lang w:val="zh-CN"/>
        </w:rPr>
        <w:t>项目采购，并代表我方全权处理本次采购活动中的一切事宜，并签署相关文件，我方对被授权人的签名事项负全部责任。</w:t>
      </w:r>
    </w:p>
    <w:p w14:paraId="158206C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在撤销授权的书面通知以前，本授权书一直有效。被授权人在授权书有效期内签署的所有文件不因授权的撤销而失效。</w:t>
      </w:r>
    </w:p>
    <w:p w14:paraId="01ED997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授权代表无转授权，特此授权。</w:t>
      </w:r>
    </w:p>
    <w:p w14:paraId="6B94FCFD">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附：</w:t>
      </w:r>
    </w:p>
    <w:p w14:paraId="75F5E727">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1.法定代表人(或负责人)及授权代表人身份证扫描件</w:t>
      </w:r>
    </w:p>
    <w:p w14:paraId="7B8AA2B8">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2.授权代表为投标人在职员工的证明文件（投标人为其缴纳的社保记录或劳务合同等）。</w:t>
      </w:r>
    </w:p>
    <w:p w14:paraId="4B5FA169">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p>
    <w:p w14:paraId="15F167F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授权代表（签字或盖章）：</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性别：</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年龄：</w:t>
      </w:r>
      <w:r>
        <w:rPr>
          <w:rFonts w:hint="eastAsia" w:ascii="宋体" w:hAnsi="宋体" w:eastAsia="宋体" w:cs="宋体"/>
          <w:sz w:val="24"/>
          <w:szCs w:val="24"/>
          <w:highlight w:val="none"/>
          <w:u w:val="single"/>
          <w:lang w:val="zh-CN"/>
        </w:rPr>
        <w:t xml:space="preserve">            </w:t>
      </w:r>
    </w:p>
    <w:p w14:paraId="010CFE4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身份证号码：</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职务：</w:t>
      </w:r>
      <w:r>
        <w:rPr>
          <w:rFonts w:hint="eastAsia" w:ascii="宋体" w:hAnsi="宋体" w:eastAsia="宋体" w:cs="宋体"/>
          <w:sz w:val="24"/>
          <w:szCs w:val="24"/>
          <w:highlight w:val="none"/>
          <w:u w:val="single"/>
          <w:lang w:val="zh-CN"/>
        </w:rPr>
        <w:t xml:space="preserve">                        </w:t>
      </w:r>
    </w:p>
    <w:p w14:paraId="2717887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详细通讯地址：</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邮政编码：</w:t>
      </w:r>
      <w:r>
        <w:rPr>
          <w:rFonts w:hint="eastAsia" w:ascii="宋体" w:hAnsi="宋体" w:eastAsia="宋体" w:cs="宋体"/>
          <w:sz w:val="24"/>
          <w:szCs w:val="24"/>
          <w:highlight w:val="none"/>
          <w:u w:val="single"/>
          <w:lang w:val="zh-CN"/>
        </w:rPr>
        <w:t xml:space="preserve">                    </w:t>
      </w:r>
    </w:p>
    <w:p w14:paraId="4355BB8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传真： </w:t>
      </w:r>
      <w:r>
        <w:rPr>
          <w:rFonts w:hint="eastAsia" w:ascii="宋体" w:hAnsi="宋体" w:eastAsia="宋体" w:cs="宋体"/>
          <w:sz w:val="24"/>
          <w:szCs w:val="24"/>
          <w:highlight w:val="none"/>
          <w:u w:val="single"/>
          <w:lang w:val="zh-CN"/>
        </w:rPr>
        <w:t xml:space="preserve">                          </w:t>
      </w:r>
    </w:p>
    <w:p w14:paraId="42D32941">
      <w:pPr>
        <w:keepNext w:val="0"/>
        <w:keepLines w:val="0"/>
        <w:pageBreakBefore w:val="0"/>
        <w:widowControl w:val="0"/>
        <w:kinsoku/>
        <w:wordWrap/>
        <w:overflowPunct/>
        <w:topLinePunct w:val="0"/>
        <w:bidi w:val="0"/>
        <w:snapToGrid/>
        <w:spacing w:line="400" w:lineRule="exact"/>
        <w:ind w:firstLine="3840" w:firstLineChars="16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sz w:val="24"/>
          <w:szCs w:val="24"/>
          <w:highlight w:val="none"/>
        </w:rPr>
        <w:t>：</w:t>
      </w:r>
    </w:p>
    <w:p w14:paraId="08A7B0A9">
      <w:pPr>
        <w:keepNext w:val="0"/>
        <w:keepLines w:val="0"/>
        <w:pageBreakBefore w:val="0"/>
        <w:widowControl w:val="0"/>
        <w:kinsoku/>
        <w:wordWrap/>
        <w:overflowPunct/>
        <w:topLinePunct w:val="0"/>
        <w:bidi w:val="0"/>
        <w:snapToGrid/>
        <w:spacing w:line="400" w:lineRule="exact"/>
        <w:ind w:firstLine="3840" w:firstLineChars="16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(或负责人)</w:t>
      </w:r>
      <w:r>
        <w:rPr>
          <w:rFonts w:hint="eastAsia" w:ascii="宋体" w:hAnsi="宋体" w:eastAsia="宋体" w:cs="宋体"/>
          <w:sz w:val="24"/>
          <w:szCs w:val="24"/>
          <w:highlight w:val="none"/>
        </w:rPr>
        <w:t>（签字或盖章或电子签章）：</w:t>
      </w:r>
    </w:p>
    <w:p w14:paraId="2BBEF758">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    期：  </w:t>
      </w:r>
    </w:p>
    <w:p w14:paraId="692E6F03">
      <w:pPr>
        <w:pStyle w:val="32"/>
        <w:spacing w:line="500" w:lineRule="exact"/>
        <w:rPr>
          <w:rFonts w:hint="eastAsia" w:ascii="宋体" w:hAnsi="宋体" w:eastAsia="宋体" w:cs="宋体"/>
          <w:szCs w:val="24"/>
          <w:highlight w:val="none"/>
        </w:rPr>
      </w:pPr>
      <w:r>
        <w:rPr>
          <w:rFonts w:hint="eastAsia" w:ascii="宋体" w:hAnsi="宋体" w:eastAsia="宋体" w:cs="宋体"/>
          <w:szCs w:val="24"/>
          <w:highlight w:val="none"/>
        </w:rPr>
        <w:t>附：法定代表人</w:t>
      </w:r>
      <w:r>
        <w:rPr>
          <w:rFonts w:hint="eastAsia" w:ascii="宋体" w:hAnsi="宋体" w:eastAsia="宋体" w:cs="宋体"/>
          <w:szCs w:val="24"/>
          <w:highlight w:val="none"/>
          <w:lang w:val="en-US" w:eastAsia="zh-CN"/>
        </w:rPr>
        <w:t>(或负责人)</w:t>
      </w:r>
      <w:r>
        <w:rPr>
          <w:rFonts w:hint="eastAsia" w:ascii="宋体" w:hAnsi="宋体" w:eastAsia="宋体" w:cs="宋体"/>
          <w:szCs w:val="24"/>
          <w:highlight w:val="none"/>
        </w:rPr>
        <w:t>身份证扫描件</w:t>
      </w:r>
    </w:p>
    <w:tbl>
      <w:tblPr>
        <w:tblStyle w:val="19"/>
        <w:tblW w:w="9756" w:type="dxa"/>
        <w:tblInd w:w="0" w:type="dxa"/>
        <w:tblLayout w:type="fixed"/>
        <w:tblCellMar>
          <w:top w:w="0" w:type="dxa"/>
          <w:left w:w="108" w:type="dxa"/>
          <w:bottom w:w="0" w:type="dxa"/>
          <w:right w:w="108" w:type="dxa"/>
        </w:tblCellMar>
      </w:tblPr>
      <w:tblGrid>
        <w:gridCol w:w="5175"/>
        <w:gridCol w:w="4581"/>
      </w:tblGrid>
      <w:tr w14:paraId="11E3CCB2">
        <w:tblPrEx>
          <w:tblCellMar>
            <w:top w:w="0" w:type="dxa"/>
            <w:left w:w="108" w:type="dxa"/>
            <w:bottom w:w="0" w:type="dxa"/>
            <w:right w:w="108" w:type="dxa"/>
          </w:tblCellMar>
        </w:tblPrEx>
        <w:trPr>
          <w:trHeight w:val="2287" w:hRule="atLeast"/>
        </w:trPr>
        <w:tc>
          <w:tcPr>
            <w:tcW w:w="5175" w:type="dxa"/>
            <w:tcBorders>
              <w:top w:val="single" w:color="auto" w:sz="4" w:space="0"/>
              <w:left w:val="single" w:color="auto" w:sz="4" w:space="0"/>
              <w:bottom w:val="single" w:color="auto" w:sz="4" w:space="0"/>
              <w:right w:val="single" w:color="auto" w:sz="4" w:space="0"/>
            </w:tcBorders>
          </w:tcPr>
          <w:p w14:paraId="35C396AB">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29F4543F">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lang w:val="en-US" w:eastAsia="zh-CN"/>
              </w:rPr>
              <w:t>(或负责人)</w:t>
            </w:r>
            <w:r>
              <w:rPr>
                <w:rFonts w:hint="eastAsia" w:ascii="宋体" w:hAnsi="宋体" w:eastAsia="宋体" w:cs="宋体"/>
                <w:kern w:val="0"/>
                <w:sz w:val="24"/>
                <w:szCs w:val="24"/>
                <w:highlight w:val="none"/>
              </w:rPr>
              <w:t>身份证扫描件</w:t>
            </w:r>
          </w:p>
          <w:p w14:paraId="5FCAB621">
            <w:pPr>
              <w:pStyle w:val="32"/>
              <w:spacing w:line="500" w:lineRule="exact"/>
              <w:ind w:firstLine="0"/>
              <w:jc w:val="center"/>
              <w:rPr>
                <w:rFonts w:hint="eastAsia" w:ascii="宋体" w:hAnsi="宋体" w:eastAsia="宋体" w:cs="宋体"/>
                <w:szCs w:val="24"/>
                <w:highlight w:val="none"/>
              </w:rPr>
            </w:pPr>
            <w:r>
              <w:rPr>
                <w:rFonts w:hint="eastAsia" w:ascii="宋体" w:hAnsi="宋体" w:eastAsia="宋体" w:cs="宋体"/>
                <w:szCs w:val="24"/>
                <w:highlight w:val="none"/>
              </w:rPr>
              <w:t>（国徽面）</w:t>
            </w:r>
          </w:p>
          <w:p w14:paraId="33905693">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tc>
        <w:tc>
          <w:tcPr>
            <w:tcW w:w="4581" w:type="dxa"/>
            <w:tcBorders>
              <w:top w:val="single" w:color="auto" w:sz="4" w:space="0"/>
              <w:left w:val="single" w:color="auto" w:sz="4" w:space="0"/>
              <w:bottom w:val="single" w:color="auto" w:sz="4" w:space="0"/>
              <w:right w:val="single" w:color="auto" w:sz="4" w:space="0"/>
            </w:tcBorders>
          </w:tcPr>
          <w:p w14:paraId="7F7E0D66">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74261CAC">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lang w:val="en-US" w:eastAsia="zh-CN"/>
              </w:rPr>
              <w:t>(或负责人)</w:t>
            </w:r>
            <w:r>
              <w:rPr>
                <w:rFonts w:hint="eastAsia" w:ascii="宋体" w:hAnsi="宋体" w:eastAsia="宋体" w:cs="宋体"/>
                <w:kern w:val="0"/>
                <w:sz w:val="24"/>
                <w:szCs w:val="24"/>
                <w:highlight w:val="none"/>
              </w:rPr>
              <w:t>身份证扫描件</w:t>
            </w:r>
          </w:p>
          <w:p w14:paraId="46CEACAE">
            <w:pPr>
              <w:pStyle w:val="32"/>
              <w:spacing w:line="500" w:lineRule="exact"/>
              <w:ind w:firstLine="0"/>
              <w:jc w:val="center"/>
              <w:rPr>
                <w:rFonts w:hint="eastAsia" w:ascii="宋体" w:hAnsi="宋体" w:eastAsia="宋体" w:cs="宋体"/>
                <w:szCs w:val="24"/>
                <w:highlight w:val="none"/>
              </w:rPr>
            </w:pPr>
            <w:r>
              <w:rPr>
                <w:rFonts w:hint="eastAsia" w:ascii="宋体" w:hAnsi="宋体" w:eastAsia="宋体" w:cs="宋体"/>
                <w:szCs w:val="24"/>
                <w:highlight w:val="none"/>
              </w:rPr>
              <w:t>（头像面）</w:t>
            </w:r>
          </w:p>
          <w:p w14:paraId="177DC429">
            <w:pPr>
              <w:widowControl/>
              <w:tabs>
                <w:tab w:val="right" w:leader="dot" w:pos="8295"/>
              </w:tabs>
              <w:snapToGrid w:val="0"/>
              <w:spacing w:line="500" w:lineRule="exact"/>
              <w:ind w:left="5250" w:firstLine="480"/>
              <w:rPr>
                <w:rFonts w:hint="eastAsia" w:ascii="宋体" w:hAnsi="宋体" w:eastAsia="宋体" w:cs="宋体"/>
                <w:kern w:val="0"/>
                <w:sz w:val="24"/>
                <w:szCs w:val="24"/>
                <w:highlight w:val="none"/>
              </w:rPr>
            </w:pPr>
          </w:p>
        </w:tc>
      </w:tr>
    </w:tbl>
    <w:p w14:paraId="01B794C1">
      <w:pPr>
        <w:pStyle w:val="32"/>
        <w:spacing w:line="500" w:lineRule="exact"/>
        <w:rPr>
          <w:rFonts w:hint="eastAsia" w:ascii="宋体" w:hAnsi="宋体" w:eastAsia="宋体" w:cs="宋体"/>
          <w:szCs w:val="24"/>
          <w:highlight w:val="none"/>
        </w:rPr>
      </w:pPr>
      <w:r>
        <w:rPr>
          <w:rFonts w:hint="eastAsia" w:ascii="宋体" w:hAnsi="宋体" w:eastAsia="宋体" w:cs="宋体"/>
          <w:szCs w:val="24"/>
          <w:highlight w:val="none"/>
        </w:rPr>
        <w:t>附：授权代表人身份证扫描件</w:t>
      </w:r>
    </w:p>
    <w:tbl>
      <w:tblPr>
        <w:tblStyle w:val="19"/>
        <w:tblW w:w="9756" w:type="dxa"/>
        <w:tblInd w:w="0" w:type="dxa"/>
        <w:tblLayout w:type="fixed"/>
        <w:tblCellMar>
          <w:top w:w="0" w:type="dxa"/>
          <w:left w:w="108" w:type="dxa"/>
          <w:bottom w:w="0" w:type="dxa"/>
          <w:right w:w="108" w:type="dxa"/>
        </w:tblCellMar>
      </w:tblPr>
      <w:tblGrid>
        <w:gridCol w:w="5186"/>
        <w:gridCol w:w="4570"/>
      </w:tblGrid>
      <w:tr w14:paraId="27146380">
        <w:tblPrEx>
          <w:tblCellMar>
            <w:top w:w="0" w:type="dxa"/>
            <w:left w:w="108" w:type="dxa"/>
            <w:bottom w:w="0" w:type="dxa"/>
            <w:right w:w="108" w:type="dxa"/>
          </w:tblCellMar>
        </w:tblPrEx>
        <w:trPr>
          <w:trHeight w:val="2353" w:hRule="atLeast"/>
        </w:trPr>
        <w:tc>
          <w:tcPr>
            <w:tcW w:w="5186" w:type="dxa"/>
            <w:tcBorders>
              <w:top w:val="single" w:color="auto" w:sz="4" w:space="0"/>
              <w:left w:val="single" w:color="auto" w:sz="4" w:space="0"/>
              <w:bottom w:val="single" w:color="auto" w:sz="4" w:space="0"/>
              <w:right w:val="single" w:color="auto" w:sz="4" w:space="0"/>
            </w:tcBorders>
          </w:tcPr>
          <w:p w14:paraId="62CFE3AA">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22973ACE">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授权代表人身份证扫描件</w:t>
            </w:r>
          </w:p>
          <w:p w14:paraId="35076172">
            <w:pPr>
              <w:pStyle w:val="32"/>
              <w:spacing w:line="500" w:lineRule="exact"/>
              <w:ind w:firstLine="0"/>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（国徽面）</w:t>
            </w:r>
          </w:p>
          <w:p w14:paraId="3D66EDD2">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tc>
        <w:tc>
          <w:tcPr>
            <w:tcW w:w="4570" w:type="dxa"/>
            <w:tcBorders>
              <w:top w:val="single" w:color="auto" w:sz="4" w:space="0"/>
              <w:left w:val="single" w:color="auto" w:sz="4" w:space="0"/>
              <w:bottom w:val="single" w:color="auto" w:sz="4" w:space="0"/>
              <w:right w:val="single" w:color="auto" w:sz="4" w:space="0"/>
            </w:tcBorders>
          </w:tcPr>
          <w:p w14:paraId="5055A35E">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1E206E09">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授权代表人身份证扫描件</w:t>
            </w:r>
          </w:p>
          <w:p w14:paraId="44F311DD">
            <w:pPr>
              <w:pStyle w:val="32"/>
              <w:spacing w:line="500" w:lineRule="exact"/>
              <w:ind w:firstLine="0"/>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（头像面）</w:t>
            </w:r>
          </w:p>
          <w:p w14:paraId="60F2022D">
            <w:pPr>
              <w:widowControl/>
              <w:tabs>
                <w:tab w:val="right" w:leader="dot" w:pos="8295"/>
              </w:tabs>
              <w:snapToGrid w:val="0"/>
              <w:spacing w:line="500" w:lineRule="exact"/>
              <w:ind w:left="5250" w:firstLine="480"/>
              <w:rPr>
                <w:rFonts w:hint="eastAsia" w:ascii="宋体" w:hAnsi="宋体" w:eastAsia="宋体" w:cs="宋体"/>
                <w:kern w:val="0"/>
                <w:sz w:val="24"/>
                <w:szCs w:val="24"/>
                <w:highlight w:val="none"/>
              </w:rPr>
            </w:pPr>
          </w:p>
        </w:tc>
      </w:tr>
    </w:tbl>
    <w:p w14:paraId="760380A6">
      <w:pPr>
        <w:spacing w:line="380" w:lineRule="exact"/>
        <w:outlineLvl w:val="9"/>
        <w:rPr>
          <w:rFonts w:hint="eastAsia" w:ascii="宋体" w:hAnsi="宋体" w:eastAsia="宋体" w:cs="宋体"/>
          <w:b/>
          <w:bCs/>
          <w:color w:val="auto"/>
          <w:sz w:val="24"/>
          <w:szCs w:val="24"/>
          <w:highlight w:val="none"/>
        </w:rPr>
      </w:pPr>
    </w:p>
    <w:p w14:paraId="2D98CFFB">
      <w:pPr>
        <w:pageBreakBefore/>
        <w:adjustRightInd w:val="0"/>
        <w:spacing w:line="500" w:lineRule="exact"/>
        <w:jc w:val="center"/>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拟派项目服务团队一览表</w:t>
      </w:r>
    </w:p>
    <w:tbl>
      <w:tblPr>
        <w:tblStyle w:val="19"/>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791"/>
        <w:gridCol w:w="900"/>
        <w:gridCol w:w="1876"/>
        <w:gridCol w:w="2237"/>
        <w:gridCol w:w="1738"/>
      </w:tblGrid>
      <w:tr w14:paraId="1C73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7" w:type="dxa"/>
            <w:vAlign w:val="center"/>
          </w:tcPr>
          <w:p w14:paraId="6FF3E0E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序号</w:t>
            </w:r>
          </w:p>
        </w:tc>
        <w:tc>
          <w:tcPr>
            <w:tcW w:w="1410" w:type="dxa"/>
            <w:vAlign w:val="center"/>
          </w:tcPr>
          <w:p w14:paraId="49BD687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姓名</w:t>
            </w:r>
          </w:p>
        </w:tc>
        <w:tc>
          <w:tcPr>
            <w:tcW w:w="791" w:type="dxa"/>
            <w:vAlign w:val="center"/>
          </w:tcPr>
          <w:p w14:paraId="25DE603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性别</w:t>
            </w:r>
          </w:p>
        </w:tc>
        <w:tc>
          <w:tcPr>
            <w:tcW w:w="900" w:type="dxa"/>
            <w:vAlign w:val="center"/>
          </w:tcPr>
          <w:p w14:paraId="5B457B6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年龄</w:t>
            </w:r>
          </w:p>
        </w:tc>
        <w:tc>
          <w:tcPr>
            <w:tcW w:w="1876" w:type="dxa"/>
            <w:vAlign w:val="center"/>
          </w:tcPr>
          <w:p w14:paraId="6AD888D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本项目中的职责</w:t>
            </w:r>
          </w:p>
        </w:tc>
        <w:tc>
          <w:tcPr>
            <w:tcW w:w="2237" w:type="dxa"/>
            <w:vAlign w:val="center"/>
          </w:tcPr>
          <w:p w14:paraId="6AE63B1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资格/职称</w:t>
            </w:r>
          </w:p>
        </w:tc>
        <w:tc>
          <w:tcPr>
            <w:tcW w:w="1738" w:type="dxa"/>
            <w:vAlign w:val="center"/>
          </w:tcPr>
          <w:p w14:paraId="6CB8C96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备注</w:t>
            </w:r>
          </w:p>
        </w:tc>
      </w:tr>
      <w:tr w14:paraId="2CF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23470BD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w:t>
            </w:r>
          </w:p>
        </w:tc>
        <w:tc>
          <w:tcPr>
            <w:tcW w:w="1410" w:type="dxa"/>
            <w:vAlign w:val="center"/>
          </w:tcPr>
          <w:p w14:paraId="104B1C1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12286EC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27F1D3F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1E2B934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bCs/>
                <w:kern w:val="21"/>
                <w:sz w:val="21"/>
                <w:szCs w:val="21"/>
                <w:highlight w:val="none"/>
              </w:rPr>
              <w:t>项目负责人</w:t>
            </w:r>
          </w:p>
        </w:tc>
        <w:tc>
          <w:tcPr>
            <w:tcW w:w="2237" w:type="dxa"/>
            <w:vAlign w:val="center"/>
          </w:tcPr>
          <w:p w14:paraId="77907B9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7FE6438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3C66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421251A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w:t>
            </w:r>
          </w:p>
        </w:tc>
        <w:tc>
          <w:tcPr>
            <w:tcW w:w="1410" w:type="dxa"/>
            <w:vAlign w:val="center"/>
          </w:tcPr>
          <w:p w14:paraId="4C2515B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185F062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04142C9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4E04EBA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lang w:val="en-US" w:eastAsia="zh-CN"/>
              </w:rPr>
              <w:t>服务团队人员</w:t>
            </w:r>
          </w:p>
        </w:tc>
        <w:tc>
          <w:tcPr>
            <w:tcW w:w="2237" w:type="dxa"/>
            <w:vAlign w:val="center"/>
          </w:tcPr>
          <w:p w14:paraId="045E00B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4388A52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46E3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5DBCC25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auto"/>
                <w:szCs w:val="21"/>
                <w:highlight w:val="none"/>
                <w:lang w:val="en-US" w:eastAsia="zh-CN"/>
              </w:rPr>
              <w:t>...</w:t>
            </w:r>
          </w:p>
        </w:tc>
        <w:tc>
          <w:tcPr>
            <w:tcW w:w="1410" w:type="dxa"/>
            <w:vAlign w:val="center"/>
          </w:tcPr>
          <w:p w14:paraId="0810E8E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63BC335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5FA9670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63B3948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kern w:val="0"/>
                <w:sz w:val="21"/>
                <w:szCs w:val="21"/>
                <w:highlight w:val="none"/>
              </w:rPr>
            </w:pPr>
            <w:r>
              <w:rPr>
                <w:rFonts w:hint="eastAsia" w:ascii="宋体" w:hAnsi="宋体" w:eastAsia="宋体" w:cs="宋体"/>
                <w:color w:val="auto"/>
                <w:szCs w:val="21"/>
                <w:highlight w:val="none"/>
                <w:lang w:val="en-US" w:eastAsia="zh-CN"/>
              </w:rPr>
              <w:t>...</w:t>
            </w:r>
          </w:p>
        </w:tc>
        <w:tc>
          <w:tcPr>
            <w:tcW w:w="2237" w:type="dxa"/>
            <w:vAlign w:val="center"/>
          </w:tcPr>
          <w:p w14:paraId="5A4CB9B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096EC92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2A7D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7CA0733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lang w:val="en-US" w:eastAsia="zh-CN"/>
              </w:rPr>
            </w:pPr>
          </w:p>
        </w:tc>
        <w:tc>
          <w:tcPr>
            <w:tcW w:w="1410" w:type="dxa"/>
            <w:vAlign w:val="center"/>
          </w:tcPr>
          <w:p w14:paraId="7EA5E18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0E8063F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2B2C159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40AB7F1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kern w:val="0"/>
                <w:sz w:val="21"/>
                <w:szCs w:val="21"/>
                <w:highlight w:val="none"/>
              </w:rPr>
            </w:pPr>
          </w:p>
        </w:tc>
        <w:tc>
          <w:tcPr>
            <w:tcW w:w="2237" w:type="dxa"/>
            <w:vAlign w:val="center"/>
          </w:tcPr>
          <w:p w14:paraId="4CDA2FB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27A6112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bl>
    <w:p w14:paraId="2FB7C0BD">
      <w:pPr>
        <w:bidi w:val="0"/>
        <w:rPr>
          <w:rFonts w:hint="eastAsia" w:ascii="宋体" w:hAnsi="宋体" w:eastAsia="宋体" w:cs="宋体"/>
          <w:highlight w:val="none"/>
        </w:rPr>
      </w:pPr>
    </w:p>
    <w:p w14:paraId="2B9E49C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p>
    <w:p w14:paraId="7CB1C94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b w:val="0"/>
          <w:bCs w:val="0"/>
          <w:color w:val="auto"/>
          <w:sz w:val="24"/>
          <w:szCs w:val="24"/>
          <w:highlight w:val="none"/>
          <w:u w:val="none"/>
          <w:lang w:val="en-US" w:eastAsia="zh-CN"/>
        </w:rPr>
        <w:t>拟派项目服务团队需满足以下①或②要求：</w:t>
      </w:r>
    </w:p>
    <w:p w14:paraId="4D2638F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①</w:t>
      </w:r>
      <w:r>
        <w:rPr>
          <w:rFonts w:hint="eastAsia" w:ascii="宋体" w:hAnsi="宋体" w:eastAsia="宋体" w:cs="宋体"/>
          <w:b w:val="0"/>
          <w:bCs w:val="0"/>
          <w:color w:val="auto"/>
          <w:sz w:val="24"/>
          <w:szCs w:val="24"/>
          <w:highlight w:val="none"/>
          <w:u w:val="single"/>
          <w:lang w:val="en-US" w:eastAsia="zh-CN"/>
        </w:rPr>
        <w:t>项目负责人1人【具备注册房地产估价师资格】，项目组成员不少于二人（其中不少于一人须具备注册房地产估价师资格）。</w:t>
      </w:r>
    </w:p>
    <w:p w14:paraId="6122B2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single"/>
          <w:lang w:val="en-US" w:eastAsia="zh-CN"/>
        </w:rPr>
        <w:t>②项目负责人1人【具备注册资产评估师资格】，项目组成员不少于二人（其中不少于一人须具备注册资产评估师资格）。</w:t>
      </w:r>
    </w:p>
    <w:p w14:paraId="171BD8A6">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证明材料：同时提供①注册房地产估价师资格（或注册资产评估师资格证书）②2025年</w:t>
      </w:r>
      <w:r>
        <w:rPr>
          <w:rFonts w:hint="eastAsia" w:ascii="宋体" w:hAnsi="宋体" w:cs="宋体"/>
          <w:b/>
          <w:bCs/>
          <w:color w:val="auto"/>
          <w:sz w:val="24"/>
          <w:szCs w:val="24"/>
          <w:highlight w:val="none"/>
          <w:u w:val="none"/>
          <w:lang w:val="en-US" w:eastAsia="zh-CN"/>
        </w:rPr>
        <w:t>5</w:t>
      </w:r>
      <w:r>
        <w:rPr>
          <w:rFonts w:hint="eastAsia" w:ascii="宋体" w:hAnsi="宋体" w:eastAsia="宋体" w:cs="宋体"/>
          <w:b/>
          <w:bCs/>
          <w:color w:val="auto"/>
          <w:sz w:val="24"/>
          <w:szCs w:val="24"/>
          <w:highlight w:val="none"/>
          <w:u w:val="none"/>
          <w:lang w:val="en-US" w:eastAsia="zh-CN"/>
        </w:rPr>
        <w:t>月至投标截止时间任意一个月供应商为拟派目服务团队人员（含项目负责人）缴纳社保证明材料。①和②缺一不可。</w:t>
      </w:r>
    </w:p>
    <w:p w14:paraId="2D7FF1A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p>
    <w:p w14:paraId="3E43C66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p>
    <w:p w14:paraId="3B1EE28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拟派项目负责人、项目组成员身份证扫描件、相关证书（如有）附后。</w:t>
      </w:r>
    </w:p>
    <w:p w14:paraId="498E4CE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p>
    <w:p w14:paraId="2225086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p>
    <w:p w14:paraId="24EC82C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供应商名称（盖章或电子签章）                  </w:t>
      </w:r>
    </w:p>
    <w:p w14:paraId="5C23832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法定代表人(或负责人)或其授权代表（签字或盖章或电子签章）：                   </w:t>
      </w:r>
    </w:p>
    <w:p w14:paraId="1A1B183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日    期         </w:t>
      </w:r>
    </w:p>
    <w:p w14:paraId="1EEDD697">
      <w:pPr>
        <w:bidi w:val="0"/>
        <w:rPr>
          <w:rFonts w:hint="eastAsia" w:ascii="宋体" w:hAnsi="宋体" w:eastAsia="宋体" w:cs="宋体"/>
          <w:highlight w:val="none"/>
        </w:rPr>
      </w:pPr>
    </w:p>
    <w:p w14:paraId="22C35B57">
      <w:pPr>
        <w:pStyle w:val="9"/>
        <w:rPr>
          <w:rFonts w:hint="eastAsia" w:ascii="宋体" w:hAnsi="宋体" w:eastAsia="宋体" w:cs="宋体"/>
          <w:highlight w:val="none"/>
        </w:rPr>
      </w:pPr>
    </w:p>
    <w:p w14:paraId="5FB41EE1">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偏离表</w:t>
      </w:r>
    </w:p>
    <w:p w14:paraId="3DC20FC6">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color w:val="auto"/>
          <w:sz w:val="24"/>
          <w:szCs w:val="24"/>
          <w:highlight w:val="none"/>
        </w:rPr>
      </w:pPr>
    </w:p>
    <w:tbl>
      <w:tblPr>
        <w:tblStyle w:val="19"/>
        <w:tblW w:w="9867"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0FF5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CDE19DC">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D12778B">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6EB0962">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招标要求</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4526A032">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投标响应</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5C439E21">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是否偏离</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1211BFA1">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796A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046E8C99">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restart"/>
            <w:tcBorders>
              <w:top w:val="single" w:color="auto" w:sz="4" w:space="0"/>
              <w:left w:val="single" w:color="auto" w:sz="4" w:space="0"/>
              <w:right w:val="single" w:color="auto" w:sz="4" w:space="0"/>
            </w:tcBorders>
            <w:noWrap w:val="0"/>
            <w:vAlign w:val="center"/>
          </w:tcPr>
          <w:p w14:paraId="721B072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7EE12FF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14:paraId="15BCB39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4D1321D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3CA367C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57A6AB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45CA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554E6874">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right w:val="single" w:color="auto" w:sz="4" w:space="0"/>
            </w:tcBorders>
            <w:noWrap w:val="0"/>
            <w:vAlign w:val="center"/>
          </w:tcPr>
          <w:p w14:paraId="228399F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4A37D78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59D2992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31B5C7F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03907EE">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5613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39B1B705">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bottom w:val="single" w:color="auto" w:sz="4" w:space="0"/>
              <w:right w:val="single" w:color="auto" w:sz="4" w:space="0"/>
            </w:tcBorders>
            <w:noWrap w:val="0"/>
            <w:vAlign w:val="center"/>
          </w:tcPr>
          <w:p w14:paraId="0B53B37E">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601A426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5D98D93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70FBD8C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74BD09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2B6F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66C5060F">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restart"/>
            <w:tcBorders>
              <w:top w:val="single" w:color="auto" w:sz="4" w:space="0"/>
              <w:left w:val="single" w:color="auto" w:sz="4" w:space="0"/>
              <w:right w:val="single" w:color="auto" w:sz="4" w:space="0"/>
            </w:tcBorders>
            <w:noWrap w:val="0"/>
            <w:vAlign w:val="center"/>
          </w:tcPr>
          <w:p w14:paraId="15803C20">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3688B01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14:paraId="2DCAFE6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4637ABC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0B51E71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EEF1BE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51B6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5810074">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right w:val="single" w:color="auto" w:sz="4" w:space="0"/>
            </w:tcBorders>
            <w:noWrap w:val="0"/>
            <w:vAlign w:val="top"/>
          </w:tcPr>
          <w:p w14:paraId="4808F1C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11B2E82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329B61C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170B4553">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751E6B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111F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30EFA27">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bottom w:val="single" w:color="auto" w:sz="4" w:space="0"/>
              <w:right w:val="single" w:color="auto" w:sz="4" w:space="0"/>
            </w:tcBorders>
            <w:noWrap w:val="0"/>
            <w:vAlign w:val="top"/>
          </w:tcPr>
          <w:p w14:paraId="6B85AE8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62FD97B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206F521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0F0EB59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670CA34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bl>
    <w:p w14:paraId="7FFA437C">
      <w:pPr>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D9720D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对采购文件有任何偏离（包括正偏离及负偏离）均应汇总并填写在此表中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若不填写或只填写“无”视作完全响应采购文件的要求。</w:t>
      </w:r>
    </w:p>
    <w:p w14:paraId="5D75B21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2、此表可在不改变格式的情况下自行制作。</w:t>
      </w:r>
    </w:p>
    <w:p w14:paraId="357149D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不填写此表视作完全响应本采购文件要求。</w:t>
      </w:r>
    </w:p>
    <w:p w14:paraId="31BED040">
      <w:pPr>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24"/>
          <w:szCs w:val="24"/>
          <w:highlight w:val="none"/>
        </w:rPr>
      </w:pPr>
    </w:p>
    <w:p w14:paraId="4FA04DC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供应商名称（盖章或电子签章）</w:t>
      </w:r>
      <w:r>
        <w:rPr>
          <w:rFonts w:hint="eastAsia" w:ascii="宋体" w:hAnsi="宋体" w:eastAsia="宋体" w:cs="宋体"/>
          <w:color w:val="auto"/>
          <w:sz w:val="24"/>
          <w:szCs w:val="24"/>
          <w:highlight w:val="none"/>
          <w:u w:val="single"/>
        </w:rPr>
        <w:t xml:space="preserve">                  </w:t>
      </w:r>
    </w:p>
    <w:p w14:paraId="11A6BF8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法定代表人(或负责人)或其授权代表（签字或盖章或电子签章）：</w:t>
      </w:r>
      <w:r>
        <w:rPr>
          <w:rFonts w:hint="eastAsia" w:ascii="宋体" w:hAnsi="宋体" w:eastAsia="宋体" w:cs="宋体"/>
          <w:color w:val="auto"/>
          <w:sz w:val="24"/>
          <w:szCs w:val="24"/>
          <w:highlight w:val="none"/>
          <w:u w:val="single"/>
        </w:rPr>
        <w:t xml:space="preserve">                   </w:t>
      </w:r>
    </w:p>
    <w:p w14:paraId="5A9246D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D723FF9">
      <w:pPr>
        <w:spacing w:line="460" w:lineRule="exact"/>
        <w:rPr>
          <w:rFonts w:hint="eastAsia" w:ascii="宋体" w:hAnsi="宋体" w:eastAsia="宋体" w:cs="宋体"/>
          <w:b/>
          <w:bCs/>
          <w:color w:val="auto"/>
          <w:sz w:val="28"/>
          <w:szCs w:val="28"/>
          <w:highlight w:val="none"/>
          <w:lang w:val="en-US" w:eastAsia="zh-CN"/>
        </w:rPr>
      </w:pPr>
    </w:p>
    <w:p w14:paraId="6A905620">
      <w:pPr>
        <w:bidi w:val="0"/>
        <w:rPr>
          <w:rFonts w:hint="eastAsia" w:ascii="宋体" w:hAnsi="宋体" w:eastAsia="宋体" w:cs="宋体"/>
          <w:color w:val="auto"/>
          <w:highlight w:val="none"/>
          <w:lang w:val="en-US" w:eastAsia="zh-CN"/>
        </w:rPr>
      </w:pPr>
    </w:p>
    <w:p w14:paraId="3DEF512B">
      <w:pPr>
        <w:bidi w:val="0"/>
        <w:rPr>
          <w:rFonts w:hint="eastAsia" w:ascii="宋体" w:hAnsi="宋体" w:eastAsia="宋体" w:cs="宋体"/>
          <w:color w:val="auto"/>
          <w:highlight w:val="none"/>
          <w:lang w:val="en-US" w:eastAsia="zh-CN"/>
        </w:rPr>
      </w:pPr>
    </w:p>
    <w:p w14:paraId="2A5D58E8">
      <w:pPr>
        <w:bidi w:val="0"/>
        <w:rPr>
          <w:rFonts w:hint="eastAsia" w:ascii="宋体" w:hAnsi="宋体" w:eastAsia="宋体" w:cs="宋体"/>
          <w:b/>
          <w:bCs/>
          <w:color w:val="auto"/>
          <w:kern w:val="0"/>
          <w:sz w:val="24"/>
          <w:szCs w:val="24"/>
          <w:highlight w:val="none"/>
          <w:lang w:val="en-US" w:eastAsia="zh-CN" w:bidi="ar-SA"/>
        </w:rPr>
      </w:pPr>
    </w:p>
    <w:p w14:paraId="2AE8DEAE">
      <w:pPr>
        <w:bidi w:val="0"/>
        <w:rPr>
          <w:rFonts w:hint="eastAsia" w:ascii="宋体" w:hAnsi="宋体" w:eastAsia="宋体" w:cs="宋体"/>
          <w:highlight w:val="none"/>
          <w:lang w:val="en-US" w:eastAsia="zh-CN"/>
        </w:rPr>
      </w:pPr>
    </w:p>
    <w:p w14:paraId="5EF10304">
      <w:pPr>
        <w:bidi w:val="0"/>
        <w:rPr>
          <w:rFonts w:hint="eastAsia" w:ascii="宋体" w:hAnsi="宋体" w:eastAsia="宋体" w:cs="宋体"/>
          <w:highlight w:val="none"/>
          <w:lang w:val="en-US" w:eastAsia="zh-CN"/>
        </w:rPr>
      </w:pPr>
    </w:p>
    <w:p w14:paraId="7C09FD70">
      <w:pPr>
        <w:bidi w:val="0"/>
        <w:rPr>
          <w:rFonts w:hint="eastAsia" w:ascii="宋体" w:hAnsi="宋体" w:eastAsia="宋体" w:cs="宋体"/>
          <w:color w:val="auto"/>
          <w:highlight w:val="none"/>
          <w:lang w:val="en-US" w:eastAsia="zh-CN"/>
        </w:rPr>
      </w:pPr>
    </w:p>
    <w:p w14:paraId="616E08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4"/>
          <w:szCs w:val="24"/>
          <w:highlight w:val="none"/>
          <w:lang w:val="en-US" w:eastAsia="zh-CN" w:bidi="ar-SA"/>
        </w:rPr>
        <w:t>其他材料</w:t>
      </w:r>
    </w:p>
    <w:p w14:paraId="2FAF5DF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p>
    <w:p w14:paraId="6BED2EE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根据招标文件的要求及评分内容要求，本部分未提供格式的内容，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自行编制</w:t>
      </w:r>
    </w:p>
    <w:p w14:paraId="6310A4A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p>
    <w:p w14:paraId="3A18AB31">
      <w:pPr>
        <w:pStyle w:val="10"/>
        <w:ind w:left="0" w:leftChars="0" w:firstLine="0" w:firstLineChars="0"/>
        <w:rPr>
          <w:rFonts w:hint="eastAsia" w:ascii="宋体" w:hAnsi="宋体" w:eastAsia="宋体" w:cs="宋体"/>
          <w:color w:val="auto"/>
          <w:sz w:val="28"/>
          <w:szCs w:val="28"/>
          <w:highlight w:val="none"/>
        </w:rPr>
      </w:pPr>
    </w:p>
    <w:p w14:paraId="413BBDD0">
      <w:pPr>
        <w:pStyle w:val="10"/>
        <w:ind w:left="0" w:leftChars="0" w:firstLine="0" w:firstLineChars="0"/>
        <w:rPr>
          <w:rFonts w:hint="eastAsia" w:ascii="宋体" w:hAnsi="宋体" w:eastAsia="宋体" w:cs="宋体"/>
          <w:color w:val="auto"/>
          <w:sz w:val="28"/>
          <w:szCs w:val="28"/>
          <w:highlight w:val="none"/>
        </w:rPr>
      </w:pPr>
    </w:p>
    <w:p w14:paraId="513EC991">
      <w:pPr>
        <w:pStyle w:val="10"/>
        <w:ind w:left="0" w:leftChars="0" w:firstLine="0" w:firstLineChars="0"/>
        <w:rPr>
          <w:rFonts w:hint="eastAsia" w:ascii="宋体" w:hAnsi="宋体" w:eastAsia="宋体" w:cs="宋体"/>
          <w:color w:val="auto"/>
          <w:sz w:val="28"/>
          <w:szCs w:val="28"/>
          <w:highlight w:val="none"/>
        </w:rPr>
      </w:pPr>
    </w:p>
    <w:p w14:paraId="19C68B12">
      <w:pPr>
        <w:pStyle w:val="10"/>
        <w:ind w:left="0" w:leftChars="0" w:firstLine="0" w:firstLineChars="0"/>
        <w:rPr>
          <w:rFonts w:hint="eastAsia" w:ascii="宋体" w:hAnsi="宋体" w:eastAsia="宋体" w:cs="宋体"/>
          <w:color w:val="auto"/>
          <w:sz w:val="28"/>
          <w:szCs w:val="28"/>
          <w:highlight w:val="none"/>
        </w:rPr>
      </w:pPr>
    </w:p>
    <w:p w14:paraId="551E02D7">
      <w:pPr>
        <w:pStyle w:val="10"/>
        <w:ind w:left="0" w:leftChars="0" w:firstLine="0" w:firstLineChars="0"/>
        <w:rPr>
          <w:rFonts w:hint="eastAsia" w:ascii="宋体" w:hAnsi="宋体" w:eastAsia="宋体" w:cs="宋体"/>
          <w:color w:val="auto"/>
          <w:sz w:val="28"/>
          <w:szCs w:val="28"/>
          <w:highlight w:val="none"/>
        </w:rPr>
      </w:pPr>
    </w:p>
    <w:p w14:paraId="39E0DE6C">
      <w:pPr>
        <w:pStyle w:val="10"/>
        <w:ind w:left="0" w:leftChars="0" w:firstLine="0" w:firstLineChars="0"/>
        <w:rPr>
          <w:rFonts w:hint="eastAsia" w:ascii="宋体" w:hAnsi="宋体" w:eastAsia="宋体" w:cs="宋体"/>
          <w:color w:val="auto"/>
          <w:sz w:val="28"/>
          <w:szCs w:val="28"/>
          <w:highlight w:val="none"/>
        </w:rPr>
      </w:pPr>
    </w:p>
    <w:p w14:paraId="0EA82BDB">
      <w:pPr>
        <w:pStyle w:val="10"/>
        <w:ind w:left="0" w:leftChars="0" w:firstLine="0" w:firstLineChars="0"/>
        <w:rPr>
          <w:rFonts w:hint="eastAsia" w:ascii="宋体" w:hAnsi="宋体" w:eastAsia="宋体" w:cs="宋体"/>
          <w:color w:val="auto"/>
          <w:sz w:val="28"/>
          <w:szCs w:val="28"/>
          <w:highlight w:val="none"/>
        </w:rPr>
      </w:pPr>
    </w:p>
    <w:p w14:paraId="0BCD4557">
      <w:pPr>
        <w:pStyle w:val="10"/>
        <w:ind w:left="0" w:leftChars="0" w:firstLine="0" w:firstLineChars="0"/>
        <w:rPr>
          <w:rFonts w:hint="eastAsia" w:ascii="宋体" w:hAnsi="宋体" w:eastAsia="宋体" w:cs="宋体"/>
          <w:color w:val="auto"/>
          <w:sz w:val="28"/>
          <w:szCs w:val="28"/>
          <w:highlight w:val="none"/>
        </w:rPr>
      </w:pPr>
    </w:p>
    <w:p w14:paraId="1D034DDC">
      <w:pPr>
        <w:pStyle w:val="10"/>
        <w:ind w:left="0" w:leftChars="0" w:firstLine="0" w:firstLineChars="0"/>
        <w:rPr>
          <w:rFonts w:hint="eastAsia" w:ascii="宋体" w:hAnsi="宋体" w:eastAsia="宋体" w:cs="宋体"/>
          <w:color w:val="auto"/>
          <w:sz w:val="28"/>
          <w:szCs w:val="28"/>
          <w:highlight w:val="none"/>
        </w:rPr>
      </w:pPr>
    </w:p>
    <w:p w14:paraId="72AB634A">
      <w:pPr>
        <w:pStyle w:val="10"/>
        <w:ind w:left="0" w:leftChars="0" w:firstLine="0" w:firstLineChars="0"/>
        <w:rPr>
          <w:rFonts w:hint="eastAsia" w:ascii="宋体" w:hAnsi="宋体" w:eastAsia="宋体" w:cs="宋体"/>
          <w:color w:val="auto"/>
          <w:sz w:val="28"/>
          <w:szCs w:val="28"/>
          <w:highlight w:val="none"/>
        </w:rPr>
      </w:pPr>
    </w:p>
    <w:p w14:paraId="588DACFF">
      <w:pPr>
        <w:pStyle w:val="10"/>
        <w:ind w:left="0" w:leftChars="0" w:firstLine="0" w:firstLineChars="0"/>
        <w:rPr>
          <w:rFonts w:hint="eastAsia" w:ascii="宋体" w:hAnsi="宋体" w:eastAsia="宋体" w:cs="宋体"/>
          <w:color w:val="auto"/>
          <w:sz w:val="28"/>
          <w:szCs w:val="28"/>
          <w:highlight w:val="none"/>
        </w:rPr>
      </w:pPr>
    </w:p>
    <w:p w14:paraId="522C39F0">
      <w:pPr>
        <w:pStyle w:val="10"/>
        <w:ind w:left="0" w:leftChars="0" w:firstLine="0" w:firstLineChars="0"/>
        <w:rPr>
          <w:rFonts w:hint="eastAsia" w:ascii="宋体" w:hAnsi="宋体" w:eastAsia="宋体" w:cs="宋体"/>
          <w:color w:val="auto"/>
          <w:sz w:val="28"/>
          <w:szCs w:val="28"/>
          <w:highlight w:val="none"/>
        </w:rPr>
      </w:pPr>
    </w:p>
    <w:p w14:paraId="1A00E2EC">
      <w:pPr>
        <w:pStyle w:val="10"/>
        <w:ind w:left="0" w:leftChars="0" w:firstLine="0" w:firstLineChars="0"/>
        <w:rPr>
          <w:rFonts w:hint="eastAsia" w:ascii="宋体" w:hAnsi="宋体" w:eastAsia="宋体" w:cs="宋体"/>
          <w:color w:val="auto"/>
          <w:sz w:val="28"/>
          <w:szCs w:val="28"/>
          <w:highlight w:val="none"/>
        </w:rPr>
      </w:pPr>
    </w:p>
    <w:p w14:paraId="2191A32F">
      <w:pPr>
        <w:pStyle w:val="10"/>
        <w:ind w:left="0" w:leftChars="0" w:firstLine="0" w:firstLineChars="0"/>
        <w:rPr>
          <w:rFonts w:hint="eastAsia" w:ascii="宋体" w:hAnsi="宋体" w:eastAsia="宋体" w:cs="宋体"/>
          <w:color w:val="auto"/>
          <w:sz w:val="28"/>
          <w:szCs w:val="28"/>
          <w:highlight w:val="none"/>
        </w:rPr>
      </w:pPr>
    </w:p>
    <w:p w14:paraId="1356DE75">
      <w:pPr>
        <w:pStyle w:val="3"/>
        <w:rPr>
          <w:rFonts w:hint="eastAsia" w:ascii="宋体" w:hAnsi="宋体" w:eastAsia="宋体" w:cs="宋体"/>
          <w:color w:val="auto"/>
          <w:sz w:val="28"/>
          <w:szCs w:val="28"/>
          <w:highlight w:val="none"/>
        </w:rPr>
      </w:pPr>
    </w:p>
    <w:p w14:paraId="68C1A325">
      <w:pPr>
        <w:rPr>
          <w:rFonts w:hint="eastAsia" w:ascii="宋体" w:hAnsi="宋体" w:eastAsia="宋体" w:cs="宋体"/>
          <w:color w:val="auto"/>
          <w:sz w:val="28"/>
          <w:szCs w:val="28"/>
          <w:highlight w:val="none"/>
        </w:rPr>
      </w:pPr>
    </w:p>
    <w:p w14:paraId="352E996B">
      <w:pPr>
        <w:bidi w:val="0"/>
        <w:rPr>
          <w:rFonts w:hint="eastAsia" w:ascii="宋体" w:hAnsi="宋体" w:eastAsia="宋体" w:cs="宋体"/>
          <w:color w:val="auto"/>
          <w:highlight w:val="none"/>
        </w:rPr>
      </w:pPr>
    </w:p>
    <w:p w14:paraId="67FD3124">
      <w:pPr>
        <w:pStyle w:val="10"/>
        <w:ind w:left="0" w:leftChars="0" w:firstLine="0" w:firstLineChars="0"/>
        <w:rPr>
          <w:rFonts w:hint="eastAsia" w:ascii="宋体" w:hAnsi="宋体" w:eastAsia="宋体" w:cs="宋体"/>
          <w:b/>
          <w:color w:val="auto"/>
          <w:sz w:val="28"/>
          <w:szCs w:val="28"/>
          <w:highlight w:val="none"/>
          <w:lang w:val="en-US" w:eastAsia="zh-CN"/>
        </w:rPr>
      </w:pPr>
      <w:bookmarkStart w:id="51" w:name="_Toc12318"/>
    </w:p>
    <w:p w14:paraId="3C4BB80B">
      <w:pPr>
        <w:pStyle w:val="3"/>
        <w:rPr>
          <w:rFonts w:hint="eastAsia" w:ascii="宋体" w:hAnsi="宋体" w:eastAsia="宋体" w:cs="宋体"/>
          <w:highlight w:val="none"/>
          <w:lang w:val="en-US" w:eastAsia="zh-CN"/>
        </w:rPr>
      </w:pPr>
    </w:p>
    <w:p w14:paraId="1C2D4498">
      <w:pPr>
        <w:pStyle w:val="10"/>
        <w:ind w:left="0" w:leftChars="0" w:firstLine="0" w:firstLineChars="0"/>
        <w:rPr>
          <w:rFonts w:hint="eastAsia" w:ascii="宋体" w:hAnsi="宋体" w:eastAsia="宋体" w:cs="宋体"/>
          <w:b/>
          <w:color w:val="auto"/>
          <w:sz w:val="28"/>
          <w:szCs w:val="28"/>
          <w:highlight w:val="none"/>
          <w:lang w:val="en-US" w:eastAsia="zh-CN"/>
        </w:rPr>
      </w:pPr>
    </w:p>
    <w:p w14:paraId="169D696A">
      <w:pPr>
        <w:pStyle w:val="10"/>
        <w:ind w:left="0" w:leftChars="0"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三、报价文件</w:t>
      </w:r>
      <w:bookmarkEnd w:id="51"/>
    </w:p>
    <w:p w14:paraId="55040C70">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7963DB82">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388C2160">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71F6B32F">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19561306">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2D390653">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488A8E35">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4A792AA8">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hint="eastAsia" w:ascii="宋体" w:hAnsi="宋体" w:eastAsia="宋体" w:cs="宋体"/>
          <w:bCs/>
          <w:sz w:val="52"/>
          <w:szCs w:val="52"/>
          <w:highlight w:val="none"/>
          <w:lang w:val="zh-CN"/>
        </w:rPr>
      </w:pPr>
      <w:r>
        <w:rPr>
          <w:rFonts w:hint="eastAsia" w:ascii="宋体" w:hAnsi="宋体" w:eastAsia="宋体" w:cs="宋体"/>
          <w:bCs/>
          <w:sz w:val="52"/>
          <w:szCs w:val="52"/>
          <w:highlight w:val="none"/>
          <w:lang w:val="zh-CN"/>
        </w:rPr>
        <w:t>投标文件</w:t>
      </w:r>
    </w:p>
    <w:p w14:paraId="2BE92F58">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463ADB18">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5AF41285">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p>
    <w:p w14:paraId="5AF621A5">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02C7D8E">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9826C3F">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投标文件名称：（</w:t>
      </w:r>
      <w:r>
        <w:rPr>
          <w:rFonts w:hint="eastAsia" w:ascii="宋体" w:hAnsi="宋体" w:eastAsia="宋体" w:cs="宋体"/>
          <w:sz w:val="24"/>
          <w:szCs w:val="24"/>
          <w:highlight w:val="none"/>
          <w:lang w:val="en-US" w:eastAsia="zh-CN"/>
        </w:rPr>
        <w:t>报价文件</w:t>
      </w:r>
      <w:r>
        <w:rPr>
          <w:rFonts w:hint="eastAsia" w:ascii="宋体" w:hAnsi="宋体" w:eastAsia="宋体" w:cs="宋体"/>
          <w:sz w:val="24"/>
          <w:szCs w:val="24"/>
          <w:highlight w:val="none"/>
        </w:rPr>
        <w:t>）</w:t>
      </w:r>
    </w:p>
    <w:p w14:paraId="4FB7149B">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投标人名称（盖章或电子签章）：</w:t>
      </w:r>
    </w:p>
    <w:p w14:paraId="1D1DF2A0">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法定代表人(或负责人)或其授权代表</w:t>
      </w:r>
      <w:r>
        <w:rPr>
          <w:rFonts w:hint="eastAsia" w:ascii="宋体" w:hAnsi="宋体" w:eastAsia="宋体" w:cs="宋体"/>
          <w:sz w:val="24"/>
          <w:szCs w:val="24"/>
          <w:highlight w:val="none"/>
        </w:rPr>
        <w:t>（签字或盖章或电子签章）：</w:t>
      </w:r>
    </w:p>
    <w:p w14:paraId="3D04F9C3">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投标人地址：</w:t>
      </w:r>
    </w:p>
    <w:p w14:paraId="5B237229">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0086BB39">
      <w:pPr>
        <w:pStyle w:val="2"/>
        <w:numPr>
          <w:ilvl w:val="0"/>
          <w:numId w:val="0"/>
        </w:numPr>
        <w:rPr>
          <w:rFonts w:hint="eastAsia" w:ascii="宋体" w:hAnsi="宋体" w:eastAsia="宋体" w:cs="宋体"/>
          <w:highlight w:val="none"/>
          <w:lang w:val="en-US" w:eastAsia="zh-CN"/>
        </w:rPr>
      </w:pPr>
    </w:p>
    <w:p w14:paraId="7A7E431A">
      <w:pPr>
        <w:bidi w:val="0"/>
        <w:rPr>
          <w:rFonts w:hint="eastAsia" w:ascii="宋体" w:hAnsi="宋体" w:eastAsia="宋体" w:cs="宋体"/>
          <w:highlight w:val="none"/>
          <w:lang w:val="en-US" w:eastAsia="zh-CN"/>
        </w:rPr>
      </w:pPr>
    </w:p>
    <w:p w14:paraId="4AAAE7F9">
      <w:pPr>
        <w:bidi w:val="0"/>
        <w:rPr>
          <w:rFonts w:hint="eastAsia" w:ascii="宋体" w:hAnsi="宋体" w:eastAsia="宋体" w:cs="宋体"/>
          <w:highlight w:val="none"/>
          <w:lang w:val="en-US" w:eastAsia="zh-CN"/>
        </w:rPr>
      </w:pPr>
    </w:p>
    <w:p w14:paraId="762AF667">
      <w:pPr>
        <w:bidi w:val="0"/>
        <w:rPr>
          <w:rFonts w:hint="eastAsia" w:ascii="宋体" w:hAnsi="宋体" w:eastAsia="宋体" w:cs="宋体"/>
          <w:highlight w:val="none"/>
          <w:lang w:val="en-US" w:eastAsia="zh-CN"/>
        </w:rPr>
      </w:pPr>
    </w:p>
    <w:p w14:paraId="58843C5C">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1A0BAE9B">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5D1C9450">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74E0C038">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0D309B2C">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1E55E4F9">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报价一览表</w:t>
      </w:r>
    </w:p>
    <w:p w14:paraId="4D5EC542">
      <w:pPr>
        <w:keepNext w:val="0"/>
        <w:keepLines w:val="0"/>
        <w:pageBreakBefore w:val="0"/>
        <w:kinsoku/>
        <w:wordWrap/>
        <w:topLinePunct w:val="0"/>
        <w:autoSpaceDE/>
        <w:autoSpaceDN/>
        <w:bidi w:val="0"/>
        <w:snapToGrid/>
        <w:spacing w:line="500" w:lineRule="exact"/>
        <w:jc w:val="righ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单位：元</w:t>
      </w:r>
    </w:p>
    <w:tbl>
      <w:tblPr>
        <w:tblStyle w:val="19"/>
        <w:tblW w:w="96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3335"/>
        <w:gridCol w:w="5176"/>
      </w:tblGrid>
      <w:tr w14:paraId="278F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142" w:type="dxa"/>
            <w:noWrap w:val="0"/>
            <w:vAlign w:val="center"/>
          </w:tcPr>
          <w:p w14:paraId="1BDBFB1E">
            <w:pPr>
              <w:pStyle w:val="11"/>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序号</w:t>
            </w:r>
          </w:p>
        </w:tc>
        <w:tc>
          <w:tcPr>
            <w:tcW w:w="3335" w:type="dxa"/>
            <w:noWrap w:val="0"/>
            <w:vAlign w:val="center"/>
          </w:tcPr>
          <w:p w14:paraId="5B54BE8B">
            <w:pPr>
              <w:pStyle w:val="7"/>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采购内容</w:t>
            </w:r>
          </w:p>
        </w:tc>
        <w:tc>
          <w:tcPr>
            <w:tcW w:w="5176" w:type="dxa"/>
            <w:noWrap w:val="0"/>
            <w:vAlign w:val="center"/>
          </w:tcPr>
          <w:p w14:paraId="464913AB">
            <w:pPr>
              <w:pStyle w:val="7"/>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投标报价（元）</w:t>
            </w:r>
          </w:p>
        </w:tc>
      </w:tr>
      <w:tr w14:paraId="47FE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142" w:type="dxa"/>
            <w:noWrap w:val="0"/>
            <w:vAlign w:val="center"/>
          </w:tcPr>
          <w:p w14:paraId="4FCB3A5E">
            <w:pPr>
              <w:pStyle w:val="11"/>
              <w:keepNext w:val="0"/>
              <w:keepLines w:val="0"/>
              <w:pageBreakBefore w:val="0"/>
              <w:kinsoku/>
              <w:wordWrap/>
              <w:topLinePunct w:val="0"/>
              <w:autoSpaceDE/>
              <w:autoSpaceDN/>
              <w:bidi w:val="0"/>
              <w:snapToGrid/>
              <w:spacing w:line="500" w:lineRule="exact"/>
              <w:ind w:left="469" w:hanging="469"/>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3335" w:type="dxa"/>
            <w:noWrap w:val="0"/>
            <w:vAlign w:val="center"/>
          </w:tcPr>
          <w:p w14:paraId="39883ABF">
            <w:pPr>
              <w:pStyle w:val="7"/>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罗樟源水库工程及道路改复建工程征收范围房屋评估第三方服务采购</w:t>
            </w:r>
          </w:p>
        </w:tc>
        <w:tc>
          <w:tcPr>
            <w:tcW w:w="5176" w:type="dxa"/>
            <w:noWrap w:val="0"/>
            <w:vAlign w:val="center"/>
          </w:tcPr>
          <w:p w14:paraId="3C1550BC">
            <w:pPr>
              <w:pStyle w:val="7"/>
              <w:keepNext w:val="0"/>
              <w:keepLines w:val="0"/>
              <w:pageBreakBefore w:val="0"/>
              <w:kinsoku/>
              <w:wordWrap/>
              <w:topLinePunct w:val="0"/>
              <w:autoSpaceDE/>
              <w:autoSpaceDN/>
              <w:bidi w:val="0"/>
              <w:snapToGrid/>
              <w:spacing w:line="500" w:lineRule="exact"/>
              <w:ind w:left="0" w:leftChars="0" w:firstLine="1200" w:firstLineChars="5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b/>
                <w:bCs/>
                <w:color w:val="auto"/>
                <w:sz w:val="24"/>
                <w:szCs w:val="24"/>
                <w:highlight w:val="none"/>
                <w:u w:val="single"/>
                <w:lang w:val="en-US" w:eastAsia="zh-CN"/>
              </w:rPr>
              <w:t xml:space="preserve">             </w:t>
            </w:r>
          </w:p>
          <w:p w14:paraId="6FFF35DA">
            <w:pPr>
              <w:pStyle w:val="7"/>
              <w:keepNext w:val="0"/>
              <w:keepLines w:val="0"/>
              <w:pageBreakBefore w:val="0"/>
              <w:kinsoku/>
              <w:wordWrap/>
              <w:topLinePunct w:val="0"/>
              <w:autoSpaceDE/>
              <w:autoSpaceDN/>
              <w:bidi w:val="0"/>
              <w:snapToGrid/>
              <w:spacing w:line="500" w:lineRule="exact"/>
              <w:ind w:left="0" w:leftChars="0" w:firstLine="1200" w:firstLineChars="5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p>
        </w:tc>
      </w:tr>
    </w:tbl>
    <w:p w14:paraId="0C489D18">
      <w:pPr>
        <w:keepNext w:val="0"/>
        <w:keepLines w:val="0"/>
        <w:pageBreakBefore w:val="0"/>
        <w:widowControl w:val="0"/>
        <w:kinsoku/>
        <w:wordWrap/>
        <w:topLinePunct w:val="0"/>
        <w:autoSpaceDE/>
        <w:autoSpaceDN/>
        <w:bidi w:val="0"/>
        <w:adjustRightInd/>
        <w:snapToGrid/>
        <w:spacing w:line="500" w:lineRule="exact"/>
        <w:ind w:left="591" w:leftChars="-67" w:hanging="732" w:hangingChars="304"/>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14:paraId="42E6FC5B">
      <w:pPr>
        <w:keepNext w:val="0"/>
        <w:keepLines w:val="0"/>
        <w:pageBreakBefore w:val="0"/>
        <w:widowControl w:val="0"/>
        <w:kinsoku/>
        <w:wordWrap/>
        <w:overflowPunct w:val="0"/>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u w:val="single"/>
          <w:lang w:val="en-US" w:eastAsia="zh-CN"/>
        </w:rPr>
        <w:t>投标报价以元为单位，四舍五入，保留整数</w:t>
      </w:r>
      <w:r>
        <w:rPr>
          <w:rFonts w:hint="eastAsia" w:ascii="宋体" w:hAnsi="宋体" w:eastAsia="宋体" w:cs="宋体"/>
          <w:b/>
          <w:color w:val="auto"/>
          <w:kern w:val="2"/>
          <w:sz w:val="24"/>
          <w:szCs w:val="24"/>
          <w:highlight w:val="none"/>
          <w:lang w:val="en-US" w:eastAsia="zh-CN"/>
        </w:rPr>
        <w:t>。</w:t>
      </w:r>
    </w:p>
    <w:p w14:paraId="6D0CC5A0">
      <w:pPr>
        <w:keepNext w:val="0"/>
        <w:keepLines w:val="0"/>
        <w:pageBreakBefore w:val="0"/>
        <w:widowControl w:val="0"/>
        <w:kinsoku/>
        <w:wordWrap/>
        <w:overflowPunct w:val="0"/>
        <w:topLinePunct w:val="0"/>
        <w:autoSpaceDE/>
        <w:autoSpaceDN/>
        <w:bidi w:val="0"/>
        <w:adjustRightInd/>
        <w:snapToGrid/>
        <w:spacing w:line="50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bCs/>
          <w:snapToGrid w:val="0"/>
          <w:color w:val="auto"/>
          <w:kern w:val="0"/>
          <w:sz w:val="24"/>
          <w:szCs w:val="24"/>
          <w:highlight w:val="none"/>
        </w:rPr>
        <w:t>本项目采用</w:t>
      </w:r>
      <w:r>
        <w:rPr>
          <w:rFonts w:hint="eastAsia" w:ascii="宋体" w:hAnsi="宋体" w:eastAsia="宋体" w:cs="宋体"/>
          <w:b/>
          <w:bCs/>
          <w:snapToGrid w:val="0"/>
          <w:color w:val="auto"/>
          <w:kern w:val="0"/>
          <w:sz w:val="24"/>
          <w:szCs w:val="24"/>
          <w:highlight w:val="none"/>
          <w:lang w:val="en-US" w:eastAsia="zh-CN"/>
        </w:rPr>
        <w:t>人民币</w:t>
      </w:r>
      <w:r>
        <w:rPr>
          <w:rFonts w:hint="eastAsia" w:ascii="宋体" w:hAnsi="宋体" w:eastAsia="宋体" w:cs="宋体"/>
          <w:b/>
          <w:bCs/>
          <w:snapToGrid w:val="0"/>
          <w:color w:val="auto"/>
          <w:kern w:val="0"/>
          <w:sz w:val="24"/>
          <w:szCs w:val="24"/>
          <w:highlight w:val="none"/>
        </w:rPr>
        <w:t>报价，投标人的报价应</w:t>
      </w:r>
      <w:r>
        <w:rPr>
          <w:rFonts w:hint="eastAsia" w:ascii="宋体" w:hAnsi="宋体" w:eastAsia="宋体" w:cs="宋体"/>
          <w:b/>
          <w:bCs/>
          <w:snapToGrid w:val="0"/>
          <w:color w:val="auto"/>
          <w:kern w:val="0"/>
          <w:sz w:val="24"/>
          <w:szCs w:val="24"/>
          <w:highlight w:val="none"/>
          <w:lang w:val="en-US" w:eastAsia="zh-CN"/>
        </w:rPr>
        <w:t>不超过最高限价</w:t>
      </w:r>
      <w:r>
        <w:rPr>
          <w:rFonts w:hint="eastAsia" w:ascii="宋体" w:hAnsi="宋体" w:eastAsia="宋体" w:cs="宋体"/>
          <w:b/>
          <w:bCs/>
          <w:snapToGrid w:val="0"/>
          <w:color w:val="auto"/>
          <w:kern w:val="0"/>
          <w:sz w:val="24"/>
          <w:szCs w:val="24"/>
          <w:highlight w:val="none"/>
        </w:rPr>
        <w:t>，否则其投标无效。</w:t>
      </w:r>
      <w:r>
        <w:rPr>
          <w:rFonts w:hint="eastAsia" w:ascii="宋体" w:hAnsi="宋体" w:eastAsia="宋体" w:cs="宋体"/>
          <w:b/>
          <w:bCs/>
          <w:snapToGrid w:val="0"/>
          <w:color w:val="auto"/>
          <w:kern w:val="0"/>
          <w:sz w:val="24"/>
          <w:szCs w:val="24"/>
          <w:highlight w:val="none"/>
          <w:lang w:val="en-US" w:eastAsia="zh-CN"/>
        </w:rPr>
        <w:t>投标报价须</w:t>
      </w:r>
      <w:r>
        <w:rPr>
          <w:rFonts w:hint="eastAsia" w:ascii="宋体" w:hAnsi="宋体" w:eastAsia="宋体" w:cs="宋体"/>
          <w:b/>
          <w:bCs/>
          <w:snapToGrid w:val="0"/>
          <w:color w:val="auto"/>
          <w:kern w:val="0"/>
          <w:sz w:val="24"/>
          <w:szCs w:val="24"/>
          <w:highlight w:val="none"/>
        </w:rPr>
        <w:t>包含本项目招标内容及要求及合同约定所有服务内容所需所有人工工资（含社会保险费、</w:t>
      </w:r>
      <w:r>
        <w:rPr>
          <w:rFonts w:hint="eastAsia" w:ascii="宋体" w:hAnsi="宋体" w:eastAsia="宋体" w:cs="宋体"/>
          <w:b/>
          <w:bCs/>
          <w:snapToGrid w:val="0"/>
          <w:color w:val="auto"/>
          <w:kern w:val="0"/>
          <w:sz w:val="24"/>
          <w:szCs w:val="24"/>
          <w:highlight w:val="none"/>
          <w:lang w:eastAsia="zh-CN"/>
        </w:rPr>
        <w:t>公积金、超时补贴</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eastAsia="zh-CN"/>
        </w:rPr>
        <w:t>绩效考核经费、伙食费、</w:t>
      </w:r>
      <w:r>
        <w:rPr>
          <w:rFonts w:hint="eastAsia" w:ascii="宋体" w:hAnsi="宋体" w:eastAsia="宋体" w:cs="宋体"/>
          <w:b/>
          <w:bCs/>
          <w:snapToGrid w:val="0"/>
          <w:color w:val="auto"/>
          <w:kern w:val="0"/>
          <w:sz w:val="24"/>
          <w:szCs w:val="24"/>
          <w:highlight w:val="none"/>
        </w:rPr>
        <w:t>劳保用品、员工住宿交通差旅费用</w:t>
      </w:r>
      <w:r>
        <w:rPr>
          <w:rFonts w:hint="eastAsia" w:ascii="宋体" w:hAnsi="宋体" w:eastAsia="宋体" w:cs="宋体"/>
          <w:b/>
          <w:bCs/>
          <w:snapToGrid w:val="0"/>
          <w:color w:val="auto"/>
          <w:kern w:val="0"/>
          <w:sz w:val="24"/>
          <w:szCs w:val="24"/>
          <w:highlight w:val="none"/>
          <w:lang w:eastAsia="zh-CN"/>
        </w:rPr>
        <w:t>等</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车船台班费、水电费、燃料费、车辆保险费、车辆维修费、管理费、企业应缴税金和应得利润、应急等完成合同所需的一切本身和不可或缺的所有工作开支、政策性文件规定计合同包含的所有风险、责任等各项全部费用并承担一切风险责任</w:t>
      </w:r>
      <w:r>
        <w:rPr>
          <w:rFonts w:hint="eastAsia" w:ascii="宋体" w:hAnsi="宋体" w:eastAsia="宋体" w:cs="宋体"/>
          <w:b/>
          <w:bCs/>
          <w:snapToGrid w:val="0"/>
          <w:color w:val="auto"/>
          <w:kern w:val="0"/>
          <w:sz w:val="24"/>
          <w:szCs w:val="24"/>
          <w:highlight w:val="none"/>
        </w:rPr>
        <w:t>。在合同服务期间内不得违反国家相关政策规定。（说明：如发生不可抗力及突发性事件，中标供应商要无条件听从采购人指挥，配合采购人。费用已包括在投标报价内，采购人不再另行支付其他费用。）</w:t>
      </w:r>
    </w:p>
    <w:p w14:paraId="5C3441FF">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u w:val="single"/>
        </w:rPr>
        <w:t>本项目采用固定</w:t>
      </w:r>
      <w:r>
        <w:rPr>
          <w:rFonts w:hint="eastAsia" w:ascii="宋体" w:hAnsi="宋体" w:eastAsia="宋体" w:cs="宋体"/>
          <w:b/>
          <w:bCs/>
          <w:snapToGrid w:val="0"/>
          <w:color w:val="auto"/>
          <w:kern w:val="0"/>
          <w:sz w:val="24"/>
          <w:szCs w:val="24"/>
          <w:highlight w:val="none"/>
          <w:u w:val="single"/>
          <w:lang w:val="en-US" w:eastAsia="zh-CN"/>
        </w:rPr>
        <w:t>单价</w:t>
      </w:r>
      <w:r>
        <w:rPr>
          <w:rFonts w:hint="eastAsia" w:ascii="宋体" w:hAnsi="宋体" w:eastAsia="宋体" w:cs="宋体"/>
          <w:b/>
          <w:bCs/>
          <w:snapToGrid w:val="0"/>
          <w:color w:val="auto"/>
          <w:kern w:val="0"/>
          <w:sz w:val="24"/>
          <w:szCs w:val="24"/>
          <w:highlight w:val="none"/>
          <w:u w:val="single"/>
        </w:rPr>
        <w:t>方式结算，有关本项目实施所涉及的一切费用均计入报价，今后不得以任何理由追加或调整</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具体结算相关约定详见第三章采购内容及要求</w:t>
      </w:r>
      <w:r>
        <w:rPr>
          <w:rFonts w:hint="eastAsia" w:ascii="宋体" w:hAnsi="宋体" w:eastAsia="宋体" w:cs="宋体"/>
          <w:b/>
          <w:bCs/>
          <w:snapToGrid w:val="0"/>
          <w:color w:val="auto"/>
          <w:kern w:val="0"/>
          <w:sz w:val="24"/>
          <w:szCs w:val="24"/>
          <w:highlight w:val="none"/>
          <w:lang w:val="en-US" w:eastAsia="zh-CN"/>
        </w:rPr>
        <w:t>。</w:t>
      </w:r>
    </w:p>
    <w:p w14:paraId="051869CA">
      <w:pPr>
        <w:keepNext w:val="0"/>
        <w:keepLines w:val="0"/>
        <w:pageBreakBefore w:val="0"/>
        <w:widowControl w:val="0"/>
        <w:kinsoku/>
        <w:wordWrap/>
        <w:topLinePunct w:val="0"/>
        <w:autoSpaceDE/>
        <w:autoSpaceDN/>
        <w:bidi w:val="0"/>
        <w:adjustRightInd/>
        <w:snapToGrid/>
        <w:spacing w:line="500" w:lineRule="exact"/>
        <w:ind w:left="15" w:leftChars="7"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lang w:val="en-US" w:eastAsia="zh-CN"/>
        </w:rPr>
        <w:t>3.</w:t>
      </w:r>
      <w:r>
        <w:rPr>
          <w:rFonts w:hint="eastAsia" w:ascii="宋体" w:hAnsi="宋体" w:eastAsia="宋体" w:cs="宋体"/>
          <w:b/>
          <w:color w:val="auto"/>
          <w:sz w:val="24"/>
          <w:szCs w:val="24"/>
          <w:highlight w:val="none"/>
          <w:u w:val="single"/>
        </w:rPr>
        <w:t>▲不提供报价一览表的</w:t>
      </w:r>
      <w:r>
        <w:rPr>
          <w:rFonts w:hint="eastAsia" w:ascii="宋体" w:hAnsi="宋体" w:eastAsia="宋体" w:cs="宋体"/>
          <w:b/>
          <w:color w:val="auto"/>
          <w:sz w:val="24"/>
          <w:szCs w:val="24"/>
          <w:highlight w:val="none"/>
          <w:u w:val="single"/>
          <w:lang w:val="en-US" w:eastAsia="zh-CN"/>
        </w:rPr>
        <w:t>投标</w:t>
      </w:r>
      <w:r>
        <w:rPr>
          <w:rFonts w:hint="eastAsia" w:ascii="宋体" w:hAnsi="宋体" w:eastAsia="宋体" w:cs="宋体"/>
          <w:b/>
          <w:color w:val="auto"/>
          <w:sz w:val="24"/>
          <w:szCs w:val="24"/>
          <w:highlight w:val="none"/>
          <w:u w:val="single"/>
        </w:rPr>
        <w:t>文件将被视为未实质性响应</w:t>
      </w:r>
      <w:r>
        <w:rPr>
          <w:rFonts w:hint="eastAsia" w:ascii="宋体" w:hAnsi="宋体" w:eastAsia="宋体" w:cs="宋体"/>
          <w:b/>
          <w:color w:val="auto"/>
          <w:sz w:val="24"/>
          <w:szCs w:val="24"/>
          <w:highlight w:val="none"/>
          <w:u w:val="single"/>
          <w:lang w:val="en-US" w:eastAsia="zh-CN"/>
        </w:rPr>
        <w:t>投标</w:t>
      </w:r>
      <w:r>
        <w:rPr>
          <w:rFonts w:hint="eastAsia" w:ascii="宋体" w:hAnsi="宋体" w:eastAsia="宋体" w:cs="宋体"/>
          <w:b/>
          <w:color w:val="auto"/>
          <w:sz w:val="24"/>
          <w:szCs w:val="24"/>
          <w:highlight w:val="none"/>
          <w:u w:val="single"/>
        </w:rPr>
        <w:t>文件。</w:t>
      </w:r>
    </w:p>
    <w:p w14:paraId="02E961BC">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bidi="ar-SA"/>
        </w:rPr>
        <w:t>采购人将以合同形式有偿取得货物或服务，不接受供应商给予的赠品、回扣或者与采购无关的其他商品、服务，不得出现“0元”“免费赠送”等形式的无偿报价，否则视为投标文件含有采购人不能接受的附加条件，投标无效。</w:t>
      </w:r>
    </w:p>
    <w:p w14:paraId="5860A119">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3938A802">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供应商全称（盖章或电子签章）：</w:t>
      </w:r>
    </w:p>
    <w:p w14:paraId="7C5F6108">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(或负责人)</w:t>
      </w:r>
      <w:r>
        <w:rPr>
          <w:rFonts w:hint="eastAsia" w:ascii="宋体" w:hAnsi="宋体" w:eastAsia="宋体" w:cs="宋体"/>
          <w:color w:val="auto"/>
          <w:sz w:val="24"/>
          <w:szCs w:val="24"/>
          <w:highlight w:val="none"/>
        </w:rPr>
        <w:t>或其授权代表（签字或盖章或电子签章）：</w:t>
      </w:r>
    </w:p>
    <w:p w14:paraId="7F14A90D">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日 期：  年  月  日</w:t>
      </w:r>
    </w:p>
    <w:p w14:paraId="004D393B">
      <w:pPr>
        <w:pStyle w:val="10"/>
        <w:rPr>
          <w:rFonts w:hint="eastAsia" w:ascii="宋体" w:hAnsi="宋体" w:eastAsia="宋体" w:cs="宋体"/>
          <w:color w:val="auto"/>
          <w:highlight w:val="none"/>
          <w:lang w:eastAsia="zh-CN"/>
        </w:rPr>
      </w:pPr>
    </w:p>
    <w:p w14:paraId="3D2F0407">
      <w:pPr>
        <w:pStyle w:val="10"/>
        <w:rPr>
          <w:rFonts w:hint="eastAsia" w:ascii="宋体" w:hAnsi="宋体" w:eastAsia="宋体" w:cs="宋体"/>
          <w:color w:val="auto"/>
          <w:highlight w:val="none"/>
          <w:lang w:eastAsia="zh-CN"/>
        </w:rPr>
      </w:pPr>
    </w:p>
    <w:p w14:paraId="286F67D7">
      <w:pPr>
        <w:numPr>
          <w:ilvl w:val="0"/>
          <w:numId w:val="0"/>
        </w:numPr>
        <w:bidi w:val="0"/>
        <w:rPr>
          <w:rFonts w:hint="eastAsia" w:ascii="宋体" w:hAnsi="宋体" w:eastAsia="宋体" w:cs="宋体"/>
          <w:b/>
          <w:bCs/>
          <w:color w:val="auto"/>
          <w:sz w:val="24"/>
          <w:highlight w:val="none"/>
          <w:lang w:val="en-US" w:eastAsia="zh-CN"/>
        </w:rPr>
      </w:pPr>
    </w:p>
    <w:p w14:paraId="6B16D65C">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分项报价明细表</w:t>
      </w:r>
    </w:p>
    <w:p w14:paraId="5F235952">
      <w:pPr>
        <w:spacing w:line="380" w:lineRule="exact"/>
        <w:rPr>
          <w:rFonts w:hint="eastAsia" w:ascii="宋体" w:hAnsi="宋体" w:eastAsia="宋体" w:cs="宋体"/>
          <w:color w:val="auto"/>
          <w:sz w:val="24"/>
          <w:highlight w:val="none"/>
          <w:lang w:val="en-US" w:eastAsia="zh-CN"/>
        </w:rPr>
      </w:pPr>
      <w:bookmarkStart w:id="52" w:name="_Toc5802"/>
      <w:bookmarkStart w:id="53" w:name="_Toc22909"/>
      <w:r>
        <w:rPr>
          <w:rFonts w:hint="eastAsia" w:ascii="宋体" w:hAnsi="宋体" w:eastAsia="宋体" w:cs="宋体"/>
          <w:color w:val="auto"/>
          <w:sz w:val="24"/>
          <w:highlight w:val="none"/>
          <w:lang w:val="en-US" w:eastAsia="zh-CN"/>
        </w:rPr>
        <w:t>项目名称：</w:t>
      </w:r>
    </w:p>
    <w:tbl>
      <w:tblPr>
        <w:tblStyle w:val="19"/>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588"/>
        <w:gridCol w:w="800"/>
        <w:gridCol w:w="1150"/>
        <w:gridCol w:w="1303"/>
        <w:gridCol w:w="1313"/>
        <w:gridCol w:w="1900"/>
      </w:tblGrid>
      <w:tr w14:paraId="2CED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noWrap w:val="0"/>
            <w:vAlign w:val="center"/>
          </w:tcPr>
          <w:p w14:paraId="3C46A541">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588" w:type="dxa"/>
            <w:noWrap w:val="0"/>
            <w:vAlign w:val="center"/>
          </w:tcPr>
          <w:p w14:paraId="58A664F5">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项目</w:t>
            </w:r>
            <w:r>
              <w:rPr>
                <w:rFonts w:hint="eastAsia" w:ascii="宋体" w:hAnsi="宋体" w:eastAsia="宋体" w:cs="宋体"/>
                <w:b/>
                <w:sz w:val="24"/>
                <w:szCs w:val="24"/>
                <w:highlight w:val="none"/>
              </w:rPr>
              <w:t>名称</w:t>
            </w:r>
          </w:p>
        </w:tc>
        <w:tc>
          <w:tcPr>
            <w:tcW w:w="800" w:type="dxa"/>
            <w:noWrap w:val="0"/>
            <w:vAlign w:val="center"/>
          </w:tcPr>
          <w:p w14:paraId="7534C5C8">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1150" w:type="dxa"/>
            <w:noWrap w:val="0"/>
            <w:vAlign w:val="center"/>
          </w:tcPr>
          <w:p w14:paraId="57B18853">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单位</w:t>
            </w:r>
          </w:p>
        </w:tc>
        <w:tc>
          <w:tcPr>
            <w:tcW w:w="1303" w:type="dxa"/>
            <w:noWrap w:val="0"/>
            <w:vAlign w:val="center"/>
          </w:tcPr>
          <w:p w14:paraId="0F256683">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暂估建筑面积（㎡）</w:t>
            </w:r>
          </w:p>
        </w:tc>
        <w:tc>
          <w:tcPr>
            <w:tcW w:w="1313" w:type="dxa"/>
            <w:noWrap w:val="0"/>
            <w:vAlign w:val="center"/>
          </w:tcPr>
          <w:p w14:paraId="33F0A79B">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投标单价（元/㎡）</w:t>
            </w:r>
          </w:p>
        </w:tc>
        <w:tc>
          <w:tcPr>
            <w:tcW w:w="1900" w:type="dxa"/>
            <w:noWrap w:val="0"/>
            <w:vAlign w:val="center"/>
          </w:tcPr>
          <w:p w14:paraId="29395430">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投标报价（元）</w:t>
            </w:r>
          </w:p>
        </w:tc>
      </w:tr>
      <w:tr w14:paraId="50D5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noWrap w:val="0"/>
            <w:vAlign w:val="center"/>
          </w:tcPr>
          <w:p w14:paraId="53A3C396">
            <w:pPr>
              <w:keepNext w:val="0"/>
              <w:keepLines w:val="0"/>
              <w:pageBreakBefore w:val="0"/>
              <w:widowControl/>
              <w:kinsoku/>
              <w:wordWrap/>
              <w:overflowPunct/>
              <w:topLinePunct w:val="0"/>
              <w:bidi w:val="0"/>
              <w:snapToGrid w:val="0"/>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588" w:type="dxa"/>
            <w:noWrap w:val="0"/>
            <w:vAlign w:val="center"/>
          </w:tcPr>
          <w:p w14:paraId="781BC5E2">
            <w:pPr>
              <w:keepNext w:val="0"/>
              <w:keepLines w:val="0"/>
              <w:pageBreakBefore w:val="0"/>
              <w:widowControl/>
              <w:kinsoku/>
              <w:wordWrap/>
              <w:overflowPunct/>
              <w:topLinePunct w:val="0"/>
              <w:bidi w:val="0"/>
              <w:snapToGrid w:val="0"/>
              <w:spacing w:line="400" w:lineRule="exact"/>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罗樟源水库工程及道路改复建工程征收范围房屋评估第三方服务采购</w:t>
            </w:r>
          </w:p>
        </w:tc>
        <w:tc>
          <w:tcPr>
            <w:tcW w:w="800" w:type="dxa"/>
            <w:noWrap w:val="0"/>
            <w:vAlign w:val="center"/>
          </w:tcPr>
          <w:p w14:paraId="200657EF">
            <w:pPr>
              <w:keepNext w:val="0"/>
              <w:keepLines w:val="0"/>
              <w:pageBreakBefore w:val="0"/>
              <w:widowControl/>
              <w:kinsoku/>
              <w:wordWrap/>
              <w:overflowPunct/>
              <w:topLinePunct w:val="0"/>
              <w:bidi w:val="0"/>
              <w:snapToGrid w:val="0"/>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w:t>
            </w:r>
          </w:p>
        </w:tc>
        <w:tc>
          <w:tcPr>
            <w:tcW w:w="1150" w:type="dxa"/>
            <w:noWrap w:val="0"/>
            <w:vAlign w:val="center"/>
          </w:tcPr>
          <w:p w14:paraId="3257BD1C">
            <w:pPr>
              <w:keepNext w:val="0"/>
              <w:keepLines w:val="0"/>
              <w:pageBreakBefore w:val="0"/>
              <w:widowControl/>
              <w:kinsoku/>
              <w:wordWrap/>
              <w:overflowPunct/>
              <w:topLinePunct w:val="0"/>
              <w:bidi w:val="0"/>
              <w:snapToGrid w:val="0"/>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w:t>
            </w:r>
          </w:p>
        </w:tc>
        <w:tc>
          <w:tcPr>
            <w:tcW w:w="1303" w:type="dxa"/>
            <w:noWrap w:val="0"/>
            <w:vAlign w:val="center"/>
          </w:tcPr>
          <w:p w14:paraId="4B99E1C8">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sz w:val="24"/>
                <w:szCs w:val="24"/>
                <w:highlight w:val="none"/>
                <w:lang w:val="en-US" w:eastAsia="zh-CN"/>
              </w:rPr>
            </w:pPr>
          </w:p>
        </w:tc>
        <w:tc>
          <w:tcPr>
            <w:tcW w:w="1313" w:type="dxa"/>
            <w:noWrap w:val="0"/>
            <w:vAlign w:val="center"/>
          </w:tcPr>
          <w:p w14:paraId="1DD40B2B">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bCs/>
                <w:sz w:val="24"/>
                <w:szCs w:val="24"/>
                <w:highlight w:val="none"/>
              </w:rPr>
            </w:pPr>
          </w:p>
        </w:tc>
        <w:tc>
          <w:tcPr>
            <w:tcW w:w="1900" w:type="dxa"/>
            <w:noWrap w:val="0"/>
            <w:vAlign w:val="center"/>
          </w:tcPr>
          <w:p w14:paraId="67B8EEAB">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bCs/>
                <w:sz w:val="24"/>
                <w:szCs w:val="24"/>
                <w:highlight w:val="none"/>
              </w:rPr>
            </w:pPr>
          </w:p>
        </w:tc>
      </w:tr>
    </w:tbl>
    <w:p w14:paraId="7E21A0D3">
      <w:pPr>
        <w:pStyle w:val="30"/>
        <w:rPr>
          <w:rFonts w:hint="eastAsia" w:ascii="宋体" w:hAnsi="宋体" w:eastAsia="宋体" w:cs="宋体"/>
          <w:highlight w:val="none"/>
          <w:lang w:val="en-US" w:eastAsia="zh-CN"/>
        </w:rPr>
      </w:pPr>
    </w:p>
    <w:p w14:paraId="22E25BD0">
      <w:pPr>
        <w:pStyle w:val="11"/>
        <w:snapToGrid w:val="0"/>
        <w:spacing w:line="32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备注：</w:t>
      </w:r>
    </w:p>
    <w:p w14:paraId="0B55EC6D">
      <w:pPr>
        <w:pStyle w:val="11"/>
        <w:numPr>
          <w:ilvl w:val="0"/>
          <w:numId w:val="0"/>
        </w:numPr>
        <w:snapToGrid w:val="0"/>
        <w:spacing w:line="320" w:lineRule="exact"/>
        <w:ind w:firstLine="482" w:firstLineChars="200"/>
        <w:rPr>
          <w:rFonts w:hint="eastAsia" w:ascii="宋体" w:hAnsi="宋体" w:eastAsia="宋体" w:cs="宋体"/>
          <w:b/>
          <w:bCs w:val="0"/>
          <w:sz w:val="24"/>
          <w:szCs w:val="24"/>
          <w:highlight w:val="none"/>
          <w:lang w:val="en-US" w:eastAsia="zh-CN"/>
        </w:rPr>
      </w:pPr>
      <w:r>
        <w:rPr>
          <w:rFonts w:hint="eastAsia" w:ascii="宋体" w:hAnsi="宋体" w:eastAsia="宋体" w:cs="宋体"/>
          <w:b/>
          <w:bCs w:val="0"/>
          <w:kern w:val="0"/>
          <w:sz w:val="24"/>
          <w:szCs w:val="24"/>
          <w:highlight w:val="none"/>
          <w:lang w:val="en-US" w:eastAsia="zh-CN" w:bidi="ar-SA"/>
        </w:rPr>
        <w:t>1.</w:t>
      </w:r>
      <w:r>
        <w:rPr>
          <w:rFonts w:hint="eastAsia" w:ascii="宋体" w:hAnsi="宋体" w:eastAsia="宋体" w:cs="宋体"/>
          <w:b/>
          <w:bCs w:val="0"/>
          <w:sz w:val="24"/>
          <w:szCs w:val="24"/>
          <w:highlight w:val="none"/>
          <w:lang w:val="en-US" w:eastAsia="zh-CN"/>
        </w:rPr>
        <w:t>以上建筑面积为暂估建筑面积，实际建筑面积以采购人实际需求为准。</w:t>
      </w:r>
    </w:p>
    <w:p w14:paraId="534A76B9">
      <w:pPr>
        <w:pStyle w:val="11"/>
        <w:numPr>
          <w:ilvl w:val="0"/>
          <w:numId w:val="0"/>
        </w:numPr>
        <w:snapToGrid w:val="0"/>
        <w:spacing w:line="320" w:lineRule="exact"/>
        <w:ind w:firstLine="482" w:firstLineChars="200"/>
        <w:rPr>
          <w:rFonts w:hint="eastAsia" w:ascii="宋体" w:hAnsi="宋体" w:eastAsia="宋体" w:cs="宋体"/>
          <w:b/>
          <w:bCs w:val="0"/>
          <w:color w:val="auto"/>
          <w:sz w:val="24"/>
          <w:szCs w:val="24"/>
          <w:highlight w:val="none"/>
          <w:u w:val="single"/>
          <w:lang w:val="en-US" w:eastAsia="zh-CN"/>
        </w:rPr>
      </w:pPr>
      <w:r>
        <w:rPr>
          <w:rFonts w:hint="eastAsia" w:ascii="宋体" w:hAnsi="宋体" w:eastAsia="宋体" w:cs="宋体"/>
          <w:b/>
          <w:bCs w:val="0"/>
          <w:kern w:val="0"/>
          <w:sz w:val="24"/>
          <w:szCs w:val="24"/>
          <w:highlight w:val="none"/>
          <w:lang w:val="en-US" w:eastAsia="zh-CN" w:bidi="ar-SA"/>
        </w:rPr>
        <w:t>2.</w:t>
      </w:r>
      <w:r>
        <w:rPr>
          <w:rFonts w:hint="eastAsia" w:ascii="宋体" w:hAnsi="宋体" w:eastAsia="宋体" w:cs="宋体"/>
          <w:b/>
          <w:bCs w:val="0"/>
          <w:color w:val="auto"/>
          <w:sz w:val="24"/>
          <w:szCs w:val="24"/>
          <w:highlight w:val="none"/>
          <w:u w:val="single"/>
          <w:lang w:val="en-US" w:eastAsia="zh-CN"/>
        </w:rPr>
        <w:t>本项目采用固定单价方式结算，中标价为暂定合同价，最终合同结算金额依据合同单价和实际被征收房屋装修、附属物建筑面积计算。</w:t>
      </w:r>
      <w:bookmarkEnd w:id="52"/>
      <w:bookmarkEnd w:id="53"/>
    </w:p>
    <w:p w14:paraId="43A7AB21">
      <w:pPr>
        <w:pStyle w:val="11"/>
        <w:numPr>
          <w:ilvl w:val="0"/>
          <w:numId w:val="0"/>
        </w:numPr>
        <w:snapToGrid w:val="0"/>
        <w:spacing w:line="320" w:lineRule="exact"/>
        <w:ind w:firstLine="482" w:firstLineChars="200"/>
        <w:rPr>
          <w:rFonts w:hint="default"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3.报价一览表中的“投标报价”须与分项报价明细表中的“投标报价”相一致。</w:t>
      </w:r>
    </w:p>
    <w:p w14:paraId="2F78CEDA">
      <w:pPr>
        <w:pStyle w:val="3"/>
        <w:rPr>
          <w:rFonts w:hint="eastAsia" w:ascii="宋体" w:hAnsi="宋体" w:eastAsia="宋体" w:cs="宋体"/>
          <w:highlight w:val="none"/>
          <w:lang w:val="en-US" w:eastAsia="zh-CN"/>
        </w:rPr>
      </w:pPr>
    </w:p>
    <w:p w14:paraId="01038F19">
      <w:pPr>
        <w:rPr>
          <w:rFonts w:hint="eastAsia" w:ascii="宋体" w:hAnsi="宋体" w:eastAsia="宋体" w:cs="宋体"/>
          <w:highlight w:val="none"/>
          <w:lang w:val="en-US" w:eastAsia="zh-CN"/>
        </w:rPr>
      </w:pPr>
    </w:p>
    <w:p w14:paraId="02DEE566">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w:t>
      </w:r>
      <w:r>
        <w:rPr>
          <w:rFonts w:hint="eastAsia" w:ascii="宋体" w:hAnsi="宋体" w:eastAsia="宋体" w:cs="宋体"/>
          <w:color w:val="auto"/>
          <w:sz w:val="24"/>
          <w:szCs w:val="24"/>
          <w:highlight w:val="none"/>
        </w:rPr>
        <w:t>盖章或电子签章</w:t>
      </w:r>
      <w:r>
        <w:rPr>
          <w:rFonts w:hint="eastAsia" w:ascii="宋体" w:hAnsi="宋体" w:eastAsia="宋体" w:cs="宋体"/>
          <w:color w:val="auto"/>
          <w:sz w:val="24"/>
          <w:highlight w:val="none"/>
        </w:rPr>
        <w:t>）：</w:t>
      </w:r>
    </w:p>
    <w:p w14:paraId="6FFE6B1B">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法定代表人或其授权代表（</w:t>
      </w:r>
      <w:r>
        <w:rPr>
          <w:rFonts w:hint="eastAsia" w:ascii="宋体" w:hAnsi="宋体" w:eastAsia="宋体" w:cs="宋体"/>
          <w:color w:val="auto"/>
          <w:sz w:val="24"/>
          <w:szCs w:val="24"/>
          <w:highlight w:val="none"/>
        </w:rPr>
        <w:t>签字或盖章或电子签章</w:t>
      </w:r>
      <w:r>
        <w:rPr>
          <w:rFonts w:hint="eastAsia" w:ascii="宋体" w:hAnsi="宋体" w:eastAsia="宋体" w:cs="宋体"/>
          <w:color w:val="auto"/>
          <w:sz w:val="24"/>
          <w:highlight w:val="none"/>
        </w:rPr>
        <w:t>）：</w:t>
      </w:r>
    </w:p>
    <w:p w14:paraId="5CE0B1DB">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7E928F8C">
      <w:pPr>
        <w:pStyle w:val="3"/>
        <w:ind w:left="0" w:leftChars="0" w:firstLine="0" w:firstLineChars="0"/>
        <w:rPr>
          <w:rFonts w:hint="eastAsia" w:ascii="宋体" w:hAnsi="宋体" w:eastAsia="宋体" w:cs="宋体"/>
          <w:color w:val="auto"/>
          <w:sz w:val="24"/>
          <w:highlight w:val="none"/>
          <w:lang w:val="en-US" w:eastAsia="zh-CN"/>
        </w:rPr>
      </w:pPr>
    </w:p>
    <w:p w14:paraId="4B4EAFBE">
      <w:pPr>
        <w:pStyle w:val="3"/>
        <w:rPr>
          <w:rFonts w:hint="eastAsia" w:ascii="宋体" w:hAnsi="宋体" w:eastAsia="宋体" w:cs="宋体"/>
          <w:color w:val="auto"/>
          <w:sz w:val="24"/>
          <w:highlight w:val="none"/>
        </w:rPr>
      </w:pPr>
    </w:p>
    <w:p w14:paraId="0F55C1D5">
      <w:pPr>
        <w:numPr>
          <w:ilvl w:val="0"/>
          <w:numId w:val="0"/>
        </w:numPr>
        <w:bidi w:val="0"/>
        <w:rPr>
          <w:rFonts w:hint="eastAsia" w:ascii="宋体" w:hAnsi="宋体" w:eastAsia="宋体" w:cs="宋体"/>
          <w:b/>
          <w:bCs/>
          <w:color w:val="auto"/>
          <w:sz w:val="24"/>
          <w:highlight w:val="none"/>
          <w:lang w:val="en-US" w:eastAsia="zh-CN"/>
        </w:rPr>
      </w:pPr>
    </w:p>
    <w:p w14:paraId="5C42E75D">
      <w:pPr>
        <w:pStyle w:val="2"/>
        <w:rPr>
          <w:rFonts w:hint="eastAsia" w:ascii="宋体" w:hAnsi="宋体" w:eastAsia="宋体" w:cs="宋体"/>
          <w:b/>
          <w:bCs/>
          <w:color w:val="auto"/>
          <w:sz w:val="24"/>
          <w:highlight w:val="none"/>
          <w:lang w:val="en-US" w:eastAsia="zh-CN"/>
        </w:rPr>
      </w:pPr>
    </w:p>
    <w:p w14:paraId="0AC340DB">
      <w:pPr>
        <w:pStyle w:val="3"/>
        <w:rPr>
          <w:rFonts w:hint="eastAsia" w:ascii="宋体" w:hAnsi="宋体" w:eastAsia="宋体" w:cs="宋体"/>
          <w:b/>
          <w:bCs/>
          <w:color w:val="auto"/>
          <w:sz w:val="24"/>
          <w:highlight w:val="none"/>
          <w:lang w:val="en-US" w:eastAsia="zh-CN"/>
        </w:rPr>
      </w:pPr>
    </w:p>
    <w:p w14:paraId="1509FA3F">
      <w:pPr>
        <w:pStyle w:val="3"/>
        <w:rPr>
          <w:rFonts w:hint="eastAsia" w:ascii="宋体" w:hAnsi="宋体" w:eastAsia="宋体" w:cs="宋体"/>
          <w:b/>
          <w:bCs/>
          <w:color w:val="auto"/>
          <w:sz w:val="24"/>
          <w:highlight w:val="none"/>
          <w:lang w:val="en-US" w:eastAsia="zh-CN"/>
        </w:rPr>
      </w:pPr>
    </w:p>
    <w:p w14:paraId="70A4079B">
      <w:pPr>
        <w:pStyle w:val="3"/>
        <w:rPr>
          <w:rFonts w:hint="eastAsia" w:ascii="宋体" w:hAnsi="宋体" w:eastAsia="宋体" w:cs="宋体"/>
          <w:b/>
          <w:bCs/>
          <w:color w:val="auto"/>
          <w:sz w:val="24"/>
          <w:highlight w:val="none"/>
          <w:lang w:val="en-US" w:eastAsia="zh-CN"/>
        </w:rPr>
      </w:pPr>
    </w:p>
    <w:p w14:paraId="2B9F5B57">
      <w:pPr>
        <w:pStyle w:val="3"/>
        <w:rPr>
          <w:rFonts w:hint="eastAsia" w:ascii="宋体" w:hAnsi="宋体" w:eastAsia="宋体" w:cs="宋体"/>
          <w:b/>
          <w:bCs/>
          <w:color w:val="auto"/>
          <w:sz w:val="24"/>
          <w:highlight w:val="none"/>
          <w:lang w:val="en-US" w:eastAsia="zh-CN"/>
        </w:rPr>
      </w:pPr>
    </w:p>
    <w:p w14:paraId="087B1171">
      <w:pPr>
        <w:pStyle w:val="3"/>
        <w:rPr>
          <w:rFonts w:hint="eastAsia" w:ascii="宋体" w:hAnsi="宋体" w:eastAsia="宋体" w:cs="宋体"/>
          <w:b/>
          <w:bCs/>
          <w:color w:val="auto"/>
          <w:sz w:val="24"/>
          <w:highlight w:val="none"/>
          <w:lang w:val="en-US" w:eastAsia="zh-CN"/>
        </w:rPr>
      </w:pPr>
    </w:p>
    <w:p w14:paraId="200D693C">
      <w:pPr>
        <w:pStyle w:val="3"/>
        <w:rPr>
          <w:rFonts w:hint="eastAsia" w:ascii="宋体" w:hAnsi="宋体" w:eastAsia="宋体" w:cs="宋体"/>
          <w:b/>
          <w:bCs/>
          <w:color w:val="auto"/>
          <w:sz w:val="24"/>
          <w:highlight w:val="none"/>
          <w:lang w:val="en-US" w:eastAsia="zh-CN"/>
        </w:rPr>
      </w:pPr>
    </w:p>
    <w:p w14:paraId="620B62D0">
      <w:pPr>
        <w:pStyle w:val="3"/>
        <w:rPr>
          <w:rFonts w:hint="eastAsia" w:ascii="宋体" w:hAnsi="宋体" w:eastAsia="宋体" w:cs="宋体"/>
          <w:b/>
          <w:bCs/>
          <w:color w:val="auto"/>
          <w:sz w:val="24"/>
          <w:highlight w:val="none"/>
          <w:lang w:val="en-US" w:eastAsia="zh-CN"/>
        </w:rPr>
      </w:pPr>
    </w:p>
    <w:p w14:paraId="12EAC984">
      <w:pPr>
        <w:pStyle w:val="3"/>
        <w:rPr>
          <w:rFonts w:hint="eastAsia" w:ascii="宋体" w:hAnsi="宋体" w:eastAsia="宋体" w:cs="宋体"/>
          <w:b/>
          <w:bCs/>
          <w:color w:val="auto"/>
          <w:sz w:val="24"/>
          <w:highlight w:val="none"/>
          <w:lang w:val="en-US" w:eastAsia="zh-CN"/>
        </w:rPr>
      </w:pPr>
    </w:p>
    <w:p w14:paraId="0A652FD3">
      <w:pPr>
        <w:pStyle w:val="3"/>
        <w:rPr>
          <w:rFonts w:hint="eastAsia" w:ascii="宋体" w:hAnsi="宋体" w:eastAsia="宋体" w:cs="宋体"/>
          <w:b/>
          <w:bCs/>
          <w:color w:val="auto"/>
          <w:sz w:val="24"/>
          <w:highlight w:val="none"/>
          <w:lang w:val="en-US" w:eastAsia="zh-CN"/>
        </w:rPr>
      </w:pPr>
    </w:p>
    <w:p w14:paraId="07BD36CE">
      <w:pPr>
        <w:pStyle w:val="3"/>
        <w:rPr>
          <w:rFonts w:hint="eastAsia" w:ascii="宋体" w:hAnsi="宋体" w:eastAsia="宋体" w:cs="宋体"/>
          <w:b/>
          <w:bCs/>
          <w:color w:val="auto"/>
          <w:sz w:val="24"/>
          <w:highlight w:val="none"/>
          <w:lang w:val="en-US" w:eastAsia="zh-CN"/>
        </w:rPr>
      </w:pPr>
    </w:p>
    <w:p w14:paraId="026556D7">
      <w:pPr>
        <w:pStyle w:val="3"/>
        <w:rPr>
          <w:rFonts w:hint="eastAsia" w:ascii="宋体" w:hAnsi="宋体" w:eastAsia="宋体" w:cs="宋体"/>
          <w:b/>
          <w:bCs/>
          <w:color w:val="auto"/>
          <w:sz w:val="24"/>
          <w:highlight w:val="none"/>
          <w:lang w:val="en-US" w:eastAsia="zh-CN"/>
        </w:rPr>
      </w:pPr>
    </w:p>
    <w:p w14:paraId="35BA21D9">
      <w:pPr>
        <w:pStyle w:val="17"/>
        <w:rPr>
          <w:rFonts w:hint="eastAsia" w:ascii="宋体" w:hAnsi="宋体" w:eastAsia="宋体" w:cs="宋体"/>
          <w:b/>
          <w:bCs/>
          <w:color w:val="auto"/>
          <w:sz w:val="24"/>
          <w:highlight w:val="none"/>
          <w:lang w:val="en-US" w:eastAsia="zh-CN"/>
        </w:rPr>
      </w:pPr>
    </w:p>
    <w:p w14:paraId="4FF62CBF">
      <w:pPr>
        <w:rPr>
          <w:rFonts w:hint="eastAsia" w:ascii="宋体" w:hAnsi="宋体" w:eastAsia="宋体" w:cs="宋体"/>
          <w:lang w:val="en-US" w:eastAsia="zh-CN"/>
        </w:rPr>
      </w:pPr>
    </w:p>
    <w:p w14:paraId="13D7A807">
      <w:pPr>
        <w:pStyle w:val="39"/>
        <w:widowControl w:val="0"/>
        <w:snapToGrid w:val="0"/>
        <w:spacing w:line="500" w:lineRule="exact"/>
        <w:jc w:val="center"/>
        <w:rPr>
          <w:rFonts w:hint="eastAsia" w:ascii="宋体" w:hAnsi="宋体" w:eastAsia="宋体" w:cs="宋体"/>
          <w:b/>
          <w:bCs/>
          <w:color w:val="000000"/>
          <w:kern w:val="0"/>
          <w:sz w:val="28"/>
          <w:highlight w:val="none"/>
          <w:lang w:eastAsia="zh-CN"/>
        </w:rPr>
      </w:pPr>
      <w:r>
        <w:rPr>
          <w:rFonts w:hint="eastAsia" w:ascii="宋体" w:hAnsi="宋体" w:eastAsia="宋体" w:cs="宋体"/>
          <w:b/>
          <w:bCs/>
          <w:color w:val="auto"/>
          <w:sz w:val="32"/>
          <w:szCs w:val="32"/>
          <w:highlight w:val="none"/>
        </w:rPr>
        <w:t>政府采购活动现场确认声明书</w:t>
      </w:r>
    </w:p>
    <w:p w14:paraId="67FCB95E">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b/>
          <w:color w:val="000000"/>
          <w:sz w:val="24"/>
          <w:highlight w:val="none"/>
        </w:rPr>
      </w:pPr>
      <w:r>
        <w:rPr>
          <w:rFonts w:hint="eastAsia" w:ascii="宋体" w:hAnsi="宋体" w:eastAsia="宋体" w:cs="宋体"/>
          <w:color w:val="000000"/>
          <w:kern w:val="0"/>
          <w:sz w:val="24"/>
          <w:highlight w:val="none"/>
          <w:u w:val="single"/>
          <w:lang w:eastAsia="zh-CN"/>
        </w:rPr>
        <w:t>衢州市衢江区大洲镇人民政府</w:t>
      </w:r>
      <w:r>
        <w:rPr>
          <w:rFonts w:hint="eastAsia" w:ascii="宋体" w:hAnsi="宋体" w:eastAsia="宋体" w:cs="宋体"/>
          <w:color w:val="000000"/>
          <w:kern w:val="0"/>
          <w:sz w:val="24"/>
          <w:highlight w:val="none"/>
        </w:rPr>
        <w:t>：</w:t>
      </w:r>
    </w:p>
    <w:p w14:paraId="3FF50321">
      <w:pPr>
        <w:keepNext w:val="0"/>
        <w:keepLines w:val="0"/>
        <w:pageBreakBefore w:val="0"/>
        <w:kinsoku/>
        <w:wordWrap/>
        <w:overflowPunct/>
        <w:topLinePunct w:val="0"/>
        <w:autoSpaceDE/>
        <w:autoSpaceDN/>
        <w:bidi w:val="0"/>
        <w:adjustRightInd/>
        <w:spacing w:line="400" w:lineRule="exact"/>
        <w:ind w:firstLine="504" w:firstLineChars="200"/>
        <w:jc w:val="left"/>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szCs w:val="24"/>
          <w:highlight w:val="none"/>
        </w:rPr>
        <w:t>本人</w:t>
      </w:r>
      <w:r>
        <w:rPr>
          <w:rFonts w:hint="eastAsia" w:ascii="宋体" w:hAnsi="宋体" w:eastAsia="宋体" w:cs="宋体"/>
          <w:color w:val="000000"/>
          <w:spacing w:val="6"/>
          <w:sz w:val="24"/>
          <w:szCs w:val="24"/>
          <w:highlight w:val="none"/>
          <w:u w:val="single"/>
          <w:lang w:val="en-US" w:eastAsia="zh-CN"/>
        </w:rPr>
        <w:t xml:space="preserve">          </w:t>
      </w:r>
      <w:r>
        <w:rPr>
          <w:rFonts w:hint="eastAsia" w:ascii="宋体" w:hAnsi="宋体" w:eastAsia="宋体" w:cs="宋体"/>
          <w:color w:val="000000"/>
          <w:spacing w:val="6"/>
          <w:sz w:val="24"/>
          <w:szCs w:val="24"/>
          <w:highlight w:val="none"/>
          <w:u w:val="none"/>
          <w:lang w:val="en-US" w:eastAsia="zh-CN"/>
        </w:rPr>
        <w:t>（授权代表姓名），</w:t>
      </w:r>
      <w:r>
        <w:rPr>
          <w:rFonts w:hint="eastAsia" w:ascii="宋体" w:hAnsi="宋体" w:eastAsia="宋体" w:cs="宋体"/>
          <w:color w:val="000000"/>
          <w:spacing w:val="6"/>
          <w:sz w:val="24"/>
          <w:szCs w:val="24"/>
          <w:highlight w:val="none"/>
        </w:rPr>
        <w:t>经由</w:t>
      </w:r>
      <w:r>
        <w:rPr>
          <w:rFonts w:hint="eastAsia" w:ascii="宋体" w:hAnsi="宋体" w:eastAsia="宋体" w:cs="宋体"/>
          <w:color w:val="000000"/>
          <w:spacing w:val="6"/>
          <w:sz w:val="24"/>
          <w:szCs w:val="24"/>
          <w:highlight w:val="none"/>
          <w:u w:val="single"/>
          <w:lang w:val="en-US" w:eastAsia="zh-CN"/>
        </w:rPr>
        <w:t xml:space="preserve">                </w:t>
      </w:r>
      <w:r>
        <w:rPr>
          <w:rFonts w:hint="eastAsia" w:ascii="宋体" w:hAnsi="宋体" w:eastAsia="宋体" w:cs="宋体"/>
          <w:color w:val="000000"/>
          <w:spacing w:val="6"/>
          <w:sz w:val="24"/>
          <w:szCs w:val="24"/>
          <w:highlight w:val="none"/>
          <w:u w:val="none"/>
          <w:lang w:val="en-US" w:eastAsia="zh-CN"/>
        </w:rPr>
        <w:t>（单位）</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spacing w:val="6"/>
          <w:sz w:val="24"/>
          <w:szCs w:val="24"/>
          <w:highlight w:val="none"/>
          <w:u w:val="single"/>
          <w:lang w:val="en-US" w:eastAsia="zh-CN"/>
        </w:rPr>
        <w:t xml:space="preserve">       （法定代表人或负责人姓名）</w:t>
      </w:r>
      <w:r>
        <w:rPr>
          <w:rFonts w:hint="eastAsia" w:ascii="宋体" w:hAnsi="宋体" w:eastAsia="宋体" w:cs="宋体"/>
          <w:color w:val="000000"/>
          <w:spacing w:val="6"/>
          <w:sz w:val="24"/>
          <w:szCs w:val="24"/>
          <w:highlight w:val="none"/>
        </w:rPr>
        <w:t>合法授权</w:t>
      </w:r>
      <w:r>
        <w:rPr>
          <w:rFonts w:hint="eastAsia" w:ascii="宋体" w:hAnsi="宋体" w:eastAsia="宋体" w:cs="宋体"/>
          <w:color w:val="000000"/>
          <w:spacing w:val="6"/>
          <w:sz w:val="24"/>
          <w:highlight w:val="none"/>
        </w:rPr>
        <w:t>参加</w:t>
      </w:r>
      <w:r>
        <w:rPr>
          <w:rFonts w:hint="eastAsia" w:ascii="宋体" w:hAnsi="宋体" w:eastAsia="宋体" w:cs="宋体"/>
          <w:color w:val="000000"/>
          <w:spacing w:val="6"/>
          <w:sz w:val="24"/>
          <w:highlight w:val="none"/>
          <w:u w:val="single"/>
          <w:lang w:val="en-US" w:eastAsia="zh-CN"/>
        </w:rPr>
        <w:t>罗樟源水库工程及道路改复建工程征收范围房屋评估第三方服务采购</w:t>
      </w:r>
      <w:r>
        <w:rPr>
          <w:rFonts w:hint="eastAsia" w:ascii="宋体" w:hAnsi="宋体" w:eastAsia="宋体" w:cs="宋体"/>
          <w:color w:val="000000"/>
          <w:spacing w:val="6"/>
          <w:sz w:val="24"/>
          <w:highlight w:val="none"/>
        </w:rPr>
        <w:t>（编号:</w:t>
      </w:r>
      <w:r>
        <w:rPr>
          <w:rFonts w:hint="eastAsia" w:ascii="宋体" w:hAnsi="宋体" w:eastAsia="宋体" w:cs="宋体"/>
          <w:color w:val="000000"/>
          <w:spacing w:val="6"/>
          <w:sz w:val="24"/>
          <w:highlight w:val="none"/>
          <w:lang w:eastAsia="zh-CN"/>
        </w:rPr>
        <w:t>ZJTP-QZF-2025035</w:t>
      </w:r>
      <w:r>
        <w:rPr>
          <w:rFonts w:hint="eastAsia" w:ascii="宋体" w:hAnsi="宋体" w:eastAsia="宋体" w:cs="宋体"/>
          <w:color w:val="000000"/>
          <w:spacing w:val="6"/>
          <w:sz w:val="24"/>
          <w:highlight w:val="none"/>
        </w:rPr>
        <w:t>）</w:t>
      </w:r>
      <w:r>
        <w:rPr>
          <w:rFonts w:hint="eastAsia" w:ascii="宋体" w:hAnsi="宋体" w:eastAsia="宋体" w:cs="宋体"/>
          <w:color w:val="000000"/>
          <w:spacing w:val="6"/>
          <w:sz w:val="24"/>
          <w:highlight w:val="none"/>
          <w:u w:val="none"/>
          <w:lang w:val="en-US" w:eastAsia="zh-CN"/>
        </w:rPr>
        <w:t>的</w:t>
      </w:r>
      <w:r>
        <w:rPr>
          <w:rFonts w:hint="eastAsia" w:ascii="宋体" w:hAnsi="宋体" w:eastAsia="宋体" w:cs="宋体"/>
          <w:color w:val="000000"/>
          <w:spacing w:val="6"/>
          <w:sz w:val="24"/>
          <w:highlight w:val="none"/>
        </w:rPr>
        <w:t xml:space="preserve">采购活动，经与本单位法人代表（负责人）联系确认，现就有关公平竞争事项郑重声明如下： </w:t>
      </w:r>
    </w:p>
    <w:p w14:paraId="5E00004A">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一、</w:t>
      </w:r>
      <w:r>
        <w:rPr>
          <w:rFonts w:hint="eastAsia" w:ascii="宋体" w:hAnsi="宋体" w:eastAsia="宋体" w:cs="宋体"/>
          <w:color w:val="000000"/>
          <w:kern w:val="0"/>
          <w:sz w:val="24"/>
          <w:highlight w:val="none"/>
        </w:rPr>
        <w:t>本单位与采购人之间 □不存在利害关系 □存在下列利害关系</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4C26E44E">
      <w:pPr>
        <w:pStyle w:val="40"/>
        <w:keepNext w:val="0"/>
        <w:keepLines w:val="0"/>
        <w:pageBreakBefore w:val="0"/>
        <w:widowControl/>
        <w:kinsoku/>
        <w:wordWrap/>
        <w:overflowPunct/>
        <w:topLinePunct w:val="0"/>
        <w:autoSpaceDE/>
        <w:autoSpaceDN/>
        <w:bidi w:val="0"/>
        <w:adjustRightInd/>
        <w:snapToGrid w:val="0"/>
        <w:spacing w:line="400" w:lineRule="exact"/>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A.投资关系    B.行政隶属关系    C.业务指导关系</w:t>
      </w:r>
    </w:p>
    <w:p w14:paraId="6AE0B7FE">
      <w:pPr>
        <w:pStyle w:val="40"/>
        <w:keepNext w:val="0"/>
        <w:keepLines w:val="0"/>
        <w:pageBreakBefore w:val="0"/>
        <w:widowControl/>
        <w:kinsoku/>
        <w:wordWrap/>
        <w:overflowPunct/>
        <w:topLinePunct w:val="0"/>
        <w:autoSpaceDE/>
        <w:autoSpaceDN/>
        <w:bidi w:val="0"/>
        <w:adjustRightInd/>
        <w:snapToGrid w:val="0"/>
        <w:spacing w:line="400" w:lineRule="exact"/>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D.其他可能</w:t>
      </w:r>
      <w:r>
        <w:rPr>
          <w:rFonts w:hint="eastAsia" w:ascii="宋体" w:hAnsi="宋体" w:eastAsia="宋体" w:cs="宋体"/>
          <w:color w:val="000000"/>
          <w:sz w:val="24"/>
          <w:highlight w:val="none"/>
        </w:rPr>
        <w:t>影响采购公正的</w:t>
      </w:r>
      <w:r>
        <w:rPr>
          <w:rFonts w:hint="eastAsia" w:ascii="宋体" w:hAnsi="宋体" w:eastAsia="宋体" w:cs="宋体"/>
          <w:color w:val="000000"/>
          <w:kern w:val="0"/>
          <w:sz w:val="24"/>
          <w:highlight w:val="none"/>
        </w:rPr>
        <w:t>利害关系</w:t>
      </w:r>
      <w:r>
        <w:rPr>
          <w:rFonts w:hint="eastAsia" w:ascii="宋体" w:hAnsi="宋体" w:eastAsia="宋体" w:cs="宋体"/>
          <w:color w:val="000000"/>
          <w:kern w:val="0"/>
          <w:sz w:val="24"/>
          <w:highlight w:val="none"/>
          <w:u w:val="single"/>
        </w:rPr>
        <w:t xml:space="preserve">（如有，请如实说明）                 </w:t>
      </w:r>
      <w:r>
        <w:rPr>
          <w:rFonts w:hint="eastAsia" w:ascii="宋体" w:hAnsi="宋体" w:eastAsia="宋体" w:cs="宋体"/>
          <w:color w:val="000000"/>
          <w:kern w:val="0"/>
          <w:sz w:val="24"/>
          <w:highlight w:val="none"/>
        </w:rPr>
        <w:t>。</w:t>
      </w:r>
    </w:p>
    <w:p w14:paraId="1B35C6BC">
      <w:pPr>
        <w:pStyle w:val="40"/>
        <w:keepNext w:val="0"/>
        <w:keepLines w:val="0"/>
        <w:pageBreakBefore w:val="0"/>
        <w:widowControl/>
        <w:kinsoku/>
        <w:wordWrap/>
        <w:overflowPunct/>
        <w:topLinePunct w:val="0"/>
        <w:autoSpaceDE/>
        <w:autoSpaceDN/>
        <w:bidi w:val="0"/>
        <w:adjustRightInd/>
        <w:snapToGrid w:val="0"/>
        <w:spacing w:line="400" w:lineRule="exact"/>
        <w:ind w:firstLine="504"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spacing w:val="6"/>
          <w:sz w:val="24"/>
          <w:highlight w:val="none"/>
        </w:rPr>
        <w:t>二、</w:t>
      </w:r>
      <w:r>
        <w:rPr>
          <w:rFonts w:hint="eastAsia" w:ascii="宋体" w:hAnsi="宋体" w:eastAsia="宋体" w:cs="宋体"/>
          <w:color w:val="000000"/>
          <w:kern w:val="0"/>
          <w:sz w:val="24"/>
          <w:highlight w:val="none"/>
        </w:rPr>
        <w:t>现已清楚知道参加本项目采购活动的其他所有供应商名称，本单位 □与其他所有供应商之间均不存在利害关系 □与</w:t>
      </w:r>
      <w:r>
        <w:rPr>
          <w:rFonts w:hint="eastAsia" w:ascii="宋体" w:hAnsi="宋体" w:eastAsia="宋体" w:cs="宋体"/>
          <w:color w:val="000000"/>
          <w:kern w:val="0"/>
          <w:sz w:val="24"/>
          <w:highlight w:val="none"/>
          <w:u w:val="single"/>
        </w:rPr>
        <w:t xml:space="preserve">           （供应商名称）</w:t>
      </w:r>
      <w:r>
        <w:rPr>
          <w:rFonts w:hint="eastAsia" w:ascii="宋体" w:hAnsi="宋体" w:eastAsia="宋体" w:cs="宋体"/>
          <w:color w:val="000000"/>
          <w:kern w:val="0"/>
          <w:sz w:val="24"/>
          <w:highlight w:val="none"/>
        </w:rPr>
        <w:t>之间存在下列利害关系</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46E0D6FC">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A.法定代表人或负责人或实际控制人是同一人</w:t>
      </w:r>
    </w:p>
    <w:p w14:paraId="3402ED74">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B.法定代表人或负责人或实际控制人是夫妻关系</w:t>
      </w:r>
    </w:p>
    <w:p w14:paraId="5EA9AA32">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C.法定代表人或负责人或实际控制人是直系血亲关系</w:t>
      </w:r>
    </w:p>
    <w:p w14:paraId="0AEAD6BB">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D.法定代表人或负责人或实际控制人存在三代以内旁系血亲关系</w:t>
      </w:r>
    </w:p>
    <w:p w14:paraId="6557558D">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E.法定代表人或负责人或实际控制人存在近姻亲关系</w:t>
      </w:r>
    </w:p>
    <w:p w14:paraId="70782BE0">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F.法定代表人或负责人或实际控制人存在股份控制或实际控制关系</w:t>
      </w:r>
    </w:p>
    <w:p w14:paraId="51A3B229">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outlineLvl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G.存在共同直接或间接投资设立子公司、联营企业和合营企业情况</w:t>
      </w:r>
    </w:p>
    <w:p w14:paraId="5769D96D">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H.存在分级代理或代销关系、同一生产制造商关系、</w:t>
      </w:r>
      <w:r>
        <w:rPr>
          <w:rFonts w:hint="eastAsia" w:ascii="宋体" w:hAnsi="宋体" w:eastAsia="宋体" w:cs="宋体"/>
          <w:color w:val="000000"/>
          <w:sz w:val="24"/>
          <w:highlight w:val="none"/>
        </w:rPr>
        <w:t>管理关系、重要业务（占主营业务收入50%以上）或重要财务往来关系（如融资）等其他实质性控制关系</w:t>
      </w:r>
    </w:p>
    <w:p w14:paraId="4A0FDFB7">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sz w:val="24"/>
          <w:highlight w:val="none"/>
        </w:rPr>
        <w:t xml:space="preserve">    I</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其他利害关系情况</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kern w:val="0"/>
          <w:sz w:val="24"/>
          <w:highlight w:val="none"/>
        </w:rPr>
        <w:t>。</w:t>
      </w:r>
    </w:p>
    <w:p w14:paraId="173FFDCF">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lang w:val="en-US" w:eastAsia="zh-CN"/>
        </w:rPr>
        <w:t>三、</w:t>
      </w:r>
      <w:r>
        <w:rPr>
          <w:rFonts w:hint="eastAsia" w:ascii="宋体" w:hAnsi="宋体" w:eastAsia="宋体" w:cs="宋体"/>
          <w:color w:val="000000"/>
          <w:sz w:val="24"/>
          <w:highlight w:val="none"/>
        </w:rPr>
        <w:t>现已清楚知道并</w:t>
      </w:r>
      <w:r>
        <w:rPr>
          <w:rFonts w:hint="eastAsia" w:ascii="宋体" w:hAnsi="宋体" w:eastAsia="宋体" w:cs="宋体"/>
          <w:color w:val="000000"/>
          <w:kern w:val="0"/>
          <w:sz w:val="24"/>
          <w:highlight w:val="none"/>
        </w:rPr>
        <w:t>严格遵守政府采购法律法规和现场纪律。</w:t>
      </w:r>
    </w:p>
    <w:p w14:paraId="71EC1BE5">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四、</w:t>
      </w:r>
      <w:r>
        <w:rPr>
          <w:rFonts w:hint="eastAsia" w:ascii="宋体" w:hAnsi="宋体" w:eastAsia="宋体" w:cs="宋体"/>
          <w:color w:val="000000"/>
          <w:kern w:val="0"/>
          <w:sz w:val="24"/>
          <w:highlight w:val="none"/>
        </w:rPr>
        <w:t>我发现</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供应商之间存在或可能存在上述第二条第</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项利害关系。</w:t>
      </w:r>
    </w:p>
    <w:p w14:paraId="033BD251">
      <w:pPr>
        <w:pStyle w:val="39"/>
        <w:keepNext w:val="0"/>
        <w:keepLines w:val="0"/>
        <w:pageBreakBefore w:val="0"/>
        <w:widowControl w:val="0"/>
        <w:kinsoku/>
        <w:wordWrap/>
        <w:overflowPunct/>
        <w:topLinePunct w:val="0"/>
        <w:autoSpaceDE/>
        <w:autoSpaceDN/>
        <w:bidi w:val="0"/>
        <w:adjustRightInd/>
        <w:snapToGrid w:val="0"/>
        <w:spacing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（供应商代表签名）：</w:t>
      </w:r>
    </w:p>
    <w:p w14:paraId="0FA5C1AC">
      <w:pPr>
        <w:pStyle w:val="39"/>
        <w:keepNext w:val="0"/>
        <w:keepLines w:val="0"/>
        <w:pageBreakBefore w:val="0"/>
        <w:widowControl w:val="0"/>
        <w:kinsoku/>
        <w:wordWrap/>
        <w:overflowPunct/>
        <w:topLinePunct w:val="0"/>
        <w:autoSpaceDE/>
        <w:autoSpaceDN/>
        <w:bidi w:val="0"/>
        <w:adjustRightInd/>
        <w:snapToGrid w:val="0"/>
        <w:spacing w:line="400" w:lineRule="exact"/>
        <w:ind w:firstLine="6240" w:firstLineChars="2600"/>
        <w:jc w:val="right"/>
        <w:rPr>
          <w:rFonts w:hint="eastAsia" w:ascii="宋体" w:hAnsi="宋体" w:eastAsia="宋体" w:cs="宋体"/>
          <w:color w:val="000000"/>
          <w:sz w:val="24"/>
          <w:highlight w:val="none"/>
        </w:rPr>
      </w:pPr>
    </w:p>
    <w:p w14:paraId="6B2C2271">
      <w:pPr>
        <w:pStyle w:val="2"/>
        <w:keepNext w:val="0"/>
        <w:keepLines w:val="0"/>
        <w:pageBreakBefore w:val="0"/>
        <w:kinsoku/>
        <w:wordWrap/>
        <w:overflowPunct/>
        <w:topLinePunct w:val="0"/>
        <w:autoSpaceDE/>
        <w:autoSpaceDN/>
        <w:bidi w:val="0"/>
        <w:adjustRightInd/>
        <w:spacing w:after="0" w:afterLines="0" w:line="400" w:lineRule="exact"/>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期：20</w:t>
      </w:r>
      <w:r>
        <w:rPr>
          <w:rFonts w:hint="eastAsia" w:ascii="宋体" w:hAnsi="宋体" w:eastAsia="宋体" w:cs="宋体"/>
          <w:color w:val="000000"/>
          <w:sz w:val="24"/>
          <w:highlight w:val="none"/>
          <w:lang w:val="en-US" w:eastAsia="zh-CN"/>
        </w:rPr>
        <w:t>24</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日</w:t>
      </w:r>
    </w:p>
    <w:p w14:paraId="71FC62FE">
      <w:pPr>
        <w:rPr>
          <w:rFonts w:hint="eastAsia" w:ascii="宋体" w:hAnsi="宋体" w:eastAsia="宋体" w:cs="宋体"/>
          <w:highlight w:val="none"/>
        </w:rPr>
      </w:pPr>
    </w:p>
    <w:p w14:paraId="72248B8E">
      <w:pPr>
        <w:rPr>
          <w:rFonts w:hint="eastAsia" w:ascii="宋体" w:hAnsi="宋体" w:eastAsia="宋体" w:cs="宋体"/>
          <w:color w:val="000000"/>
          <w:sz w:val="24"/>
          <w:highlight w:val="none"/>
          <w:lang w:val="en-US" w:eastAsia="zh-CN"/>
        </w:rPr>
      </w:pPr>
    </w:p>
    <w:p w14:paraId="1CC5999C">
      <w:pPr>
        <w:rPr>
          <w:rFonts w:hint="eastAsia" w:ascii="宋体" w:hAnsi="宋体" w:eastAsia="宋体" w:cs="宋体"/>
          <w:color w:val="000000"/>
          <w:sz w:val="24"/>
          <w:highlight w:val="none"/>
          <w:lang w:val="en-US" w:eastAsia="zh-CN"/>
        </w:rPr>
      </w:pPr>
    </w:p>
    <w:p w14:paraId="7F8A0D7B">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000000"/>
          <w:sz w:val="32"/>
          <w:szCs w:val="32"/>
          <w:highlight w:val="none"/>
          <w:lang w:val="en-US" w:eastAsia="zh-CN"/>
        </w:rPr>
        <w:t>备注：《</w:t>
      </w:r>
      <w:r>
        <w:rPr>
          <w:rFonts w:hint="eastAsia" w:ascii="宋体" w:hAnsi="宋体" w:eastAsia="宋体" w:cs="宋体"/>
          <w:b/>
          <w:bCs/>
          <w:color w:val="auto"/>
          <w:sz w:val="32"/>
          <w:szCs w:val="32"/>
          <w:highlight w:val="none"/>
        </w:rPr>
        <w:t>政府采购活动现场确认声明书</w:t>
      </w:r>
      <w:r>
        <w:rPr>
          <w:rFonts w:hint="eastAsia" w:ascii="宋体" w:hAnsi="宋体" w:eastAsia="宋体" w:cs="宋体"/>
          <w:b/>
          <w:bCs/>
          <w:color w:val="000000"/>
          <w:sz w:val="32"/>
          <w:szCs w:val="32"/>
          <w:highlight w:val="none"/>
          <w:lang w:val="en-US" w:eastAsia="zh-CN"/>
        </w:rPr>
        <w:t>》无需在投标文件中提供，</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文件解密结束，各供应商</w:t>
      </w:r>
      <w:r>
        <w:rPr>
          <w:rFonts w:hint="eastAsia" w:ascii="宋体" w:hAnsi="宋体" w:eastAsia="宋体" w:cs="宋体"/>
          <w:b/>
          <w:bCs/>
          <w:color w:val="auto"/>
          <w:sz w:val="32"/>
          <w:szCs w:val="32"/>
          <w:highlight w:val="none"/>
          <w:lang w:val="en-US" w:eastAsia="zh-CN"/>
        </w:rPr>
        <w:t>自行</w:t>
      </w:r>
      <w:r>
        <w:rPr>
          <w:rFonts w:hint="eastAsia" w:ascii="宋体" w:hAnsi="宋体" w:eastAsia="宋体" w:cs="宋体"/>
          <w:b/>
          <w:bCs/>
          <w:color w:val="auto"/>
          <w:sz w:val="32"/>
          <w:szCs w:val="32"/>
          <w:highlight w:val="none"/>
        </w:rPr>
        <w:t>签署《政府采购活动现场确认声明书》通过邮件形式发送</w:t>
      </w:r>
      <w:r>
        <w:rPr>
          <w:rFonts w:hint="eastAsia" w:ascii="宋体" w:hAnsi="宋体" w:eastAsia="宋体" w:cs="宋体"/>
          <w:b/>
          <w:bCs/>
          <w:color w:val="auto"/>
          <w:sz w:val="32"/>
          <w:szCs w:val="32"/>
          <w:highlight w:val="none"/>
          <w:lang w:val="en-US" w:eastAsia="zh-CN"/>
        </w:rPr>
        <w:t>给招标代理机构，邮箱：915482302@qq.com</w:t>
      </w:r>
    </w:p>
    <w:p w14:paraId="2BD62EBF">
      <w:pPr>
        <w:pStyle w:val="17"/>
        <w:rPr>
          <w:rFonts w:hint="eastAsia" w:ascii="宋体" w:hAnsi="宋体" w:eastAsia="宋体" w:cs="宋体"/>
          <w:color w:val="auto"/>
          <w:highlight w:val="none"/>
          <w:lang w:eastAsia="zh-CN"/>
        </w:rPr>
      </w:pPr>
    </w:p>
    <w:p w14:paraId="097683E7">
      <w:pPr>
        <w:rPr>
          <w:rFonts w:hint="eastAsia" w:ascii="宋体" w:hAnsi="宋体" w:eastAsia="宋体" w:cs="宋体"/>
          <w:highlight w:val="none"/>
          <w:lang w:eastAsia="zh-CN"/>
        </w:rPr>
        <w:sectPr>
          <w:pgSz w:w="11906" w:h="16838"/>
          <w:pgMar w:top="1134" w:right="1134" w:bottom="1134" w:left="1134" w:header="851" w:footer="850" w:gutter="0"/>
          <w:pgNumType w:fmt="decimal"/>
          <w:cols w:space="425" w:num="1"/>
          <w:docGrid w:type="lines" w:linePitch="312" w:charSpace="0"/>
        </w:sectPr>
      </w:pPr>
    </w:p>
    <w:p w14:paraId="3C1409F2">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54" w:name="_Toc13915"/>
      <w:bookmarkStart w:id="55" w:name="_Toc2416"/>
      <w:bookmarkStart w:id="56" w:name="_Toc16262"/>
      <w:bookmarkStart w:id="57" w:name="_Toc4749"/>
      <w:r>
        <w:rPr>
          <w:rFonts w:hint="eastAsia" w:ascii="宋体" w:hAnsi="宋体" w:eastAsia="宋体" w:cs="宋体"/>
          <w:color w:val="auto"/>
          <w:sz w:val="28"/>
          <w:szCs w:val="28"/>
          <w:highlight w:val="none"/>
          <w:lang w:val="zh-CN" w:eastAsia="zh-CN"/>
        </w:rPr>
        <w:t>第六章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eastAsia="zh-CN"/>
        </w:rPr>
        <w:t>评标办法及开标程序</w:t>
      </w:r>
      <w:bookmarkEnd w:id="54"/>
      <w:bookmarkEnd w:id="55"/>
      <w:bookmarkEnd w:id="56"/>
      <w:bookmarkEnd w:id="57"/>
      <w:bookmarkStart w:id="58" w:name="_Toc27912"/>
      <w:bookmarkStart w:id="59" w:name="_Toc185"/>
      <w:bookmarkStart w:id="60" w:name="_Toc9554"/>
      <w:bookmarkStart w:id="61" w:name="_Toc476644268"/>
    </w:p>
    <w:p w14:paraId="60FE6524">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62" w:name="_Toc26885"/>
      <w:r>
        <w:rPr>
          <w:rFonts w:hint="eastAsia" w:ascii="宋体" w:hAnsi="宋体" w:eastAsia="宋体" w:cs="宋体"/>
          <w:color w:val="auto"/>
          <w:sz w:val="24"/>
          <w:szCs w:val="24"/>
          <w:highlight w:val="none"/>
        </w:rPr>
        <w:t>一、评标原则</w:t>
      </w:r>
      <w:bookmarkEnd w:id="58"/>
      <w:bookmarkEnd w:id="59"/>
      <w:bookmarkEnd w:id="60"/>
      <w:bookmarkEnd w:id="62"/>
    </w:p>
    <w:p w14:paraId="6BF51E87">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遵循公平、公正、科学、择优原则和诚实、信誉、效率的服务原则。本着科学、严谨的态度，认真进行评标。择优选用，推进技术进步，确保服务质量、交货按期，节约投资，最大限度的保护当事人权益。严格按照招标文件的</w:t>
      </w:r>
      <w:r>
        <w:rPr>
          <w:rFonts w:hint="eastAsia" w:ascii="宋体" w:hAnsi="宋体" w:eastAsia="宋体" w:cs="宋体"/>
          <w:color w:val="auto"/>
          <w:sz w:val="24"/>
          <w:szCs w:val="24"/>
          <w:highlight w:val="none"/>
          <w:lang w:val="en-US" w:eastAsia="zh-CN"/>
        </w:rPr>
        <w:t>资格审查文件、商务技术文件、报价文件</w:t>
      </w:r>
      <w:r>
        <w:rPr>
          <w:rFonts w:hint="eastAsia" w:ascii="宋体" w:hAnsi="宋体" w:eastAsia="宋体" w:cs="宋体"/>
          <w:color w:val="auto"/>
          <w:sz w:val="24"/>
          <w:szCs w:val="24"/>
          <w:highlight w:val="none"/>
        </w:rPr>
        <w:t>要求，对投标文件进行综合评定，提出优选方案，编写评标报告。对落标单位，评委会不做任何落标解释。投标人不得以任何方式干扰招投标工作的进行，一经发现，其投标文件将被拒绝。</w:t>
      </w:r>
      <w:bookmarkStart w:id="63" w:name="_Toc15574"/>
      <w:bookmarkStart w:id="64" w:name="_Toc21777"/>
      <w:bookmarkStart w:id="65" w:name="_Toc7988"/>
      <w:bookmarkStart w:id="66" w:name="_Toc17048"/>
    </w:p>
    <w:p w14:paraId="03DB19FE">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二、评标组织</w:t>
      </w:r>
      <w:bookmarkEnd w:id="63"/>
      <w:bookmarkEnd w:id="64"/>
      <w:bookmarkEnd w:id="65"/>
      <w:bookmarkEnd w:id="66"/>
    </w:p>
    <w:p w14:paraId="30630095">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1.评标工作由招标代理机构负责组织，具体评标事务由评标委员会负责。评标委员会由有关技术等方面的</w:t>
      </w:r>
      <w:r>
        <w:rPr>
          <w:rFonts w:hint="eastAsia" w:ascii="宋体" w:hAnsi="宋体" w:eastAsia="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rPr>
        <w:t>名专家组成。其中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代表不得超过1人且不能担任评标委员会组长，相关专家不少于成员总数的2/3。</w:t>
      </w:r>
    </w:p>
    <w:p w14:paraId="698C14F0">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2.询标期间，投标人法人代表或法人授权代理人必须在场，负责解答有关事宜。如不在场，则事后不得对招标过程及结果提出异议。</w:t>
      </w:r>
    </w:p>
    <w:p w14:paraId="7F11694E">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67" w:name="_Toc25931"/>
      <w:bookmarkStart w:id="68" w:name="_Toc10583"/>
      <w:bookmarkStart w:id="69" w:name="_Toc11138"/>
      <w:bookmarkStart w:id="70" w:name="_Toc32336"/>
      <w:r>
        <w:rPr>
          <w:rFonts w:hint="eastAsia" w:ascii="宋体" w:hAnsi="宋体" w:eastAsia="宋体" w:cs="宋体"/>
          <w:color w:val="auto"/>
          <w:sz w:val="24"/>
          <w:szCs w:val="24"/>
          <w:highlight w:val="none"/>
        </w:rPr>
        <w:t>三、评标程序</w:t>
      </w:r>
      <w:bookmarkEnd w:id="67"/>
      <w:bookmarkEnd w:id="68"/>
      <w:bookmarkEnd w:id="69"/>
      <w:bookmarkEnd w:id="70"/>
    </w:p>
    <w:p w14:paraId="6739BD6E">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各投标人的投标资格审查文件进行审查；然后对合格投标人的商务技术文件进行评审；商务技术文件评审结束后即公布投标人商务技术得分情况，之后开报价文件；对报价文件评审后，根据综合评审结果，提交评审报告。</w:t>
      </w:r>
    </w:p>
    <w:p w14:paraId="24D4AD9C">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71" w:name="_Toc22388"/>
      <w:bookmarkStart w:id="72" w:name="_Toc10496"/>
      <w:bookmarkStart w:id="73" w:name="_Toc2637"/>
      <w:bookmarkStart w:id="74" w:name="_Toc1990"/>
      <w:r>
        <w:rPr>
          <w:rFonts w:hint="eastAsia" w:ascii="宋体" w:hAnsi="宋体" w:eastAsia="宋体" w:cs="宋体"/>
          <w:color w:val="auto"/>
          <w:sz w:val="24"/>
          <w:szCs w:val="24"/>
          <w:highlight w:val="none"/>
        </w:rPr>
        <w:t>四、评标办法</w:t>
      </w:r>
      <w:bookmarkEnd w:id="71"/>
      <w:bookmarkEnd w:id="72"/>
      <w:bookmarkEnd w:id="73"/>
      <w:bookmarkEnd w:id="74"/>
    </w:p>
    <w:p w14:paraId="54EF1D49">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本次招标的评标办法采用百分制综合评分法。根据本项目招标文件的要求，按照本办法规定的内容和分值设置，资格审查采用合格制，商务技术为</w:t>
      </w:r>
      <w:r>
        <w:rPr>
          <w:rFonts w:hint="eastAsia" w:ascii="宋体" w:hAnsi="宋体" w:eastAsia="宋体" w:cs="宋体"/>
          <w:color w:val="auto"/>
          <w:sz w:val="24"/>
          <w:szCs w:val="24"/>
          <w:highlight w:val="none"/>
          <w:u w:val="single"/>
          <w:lang w:val="en-US" w:eastAsia="zh-CN"/>
        </w:rPr>
        <w:t xml:space="preserve"> 90 </w:t>
      </w:r>
      <w:r>
        <w:rPr>
          <w:rFonts w:hint="eastAsia" w:ascii="宋体" w:hAnsi="宋体" w:eastAsia="宋体" w:cs="宋体"/>
          <w:color w:val="auto"/>
          <w:sz w:val="24"/>
          <w:szCs w:val="24"/>
          <w:highlight w:val="none"/>
        </w:rPr>
        <w:t>分，价格分为</w:t>
      </w:r>
      <w:r>
        <w:rPr>
          <w:rFonts w:hint="eastAsia" w:ascii="宋体"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rPr>
        <w:t>分，对投标人的投标文件中的商务技术、报价等内容进行评分，最终得出综合得分。</w:t>
      </w:r>
    </w:p>
    <w:p w14:paraId="33711E92">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75" w:name="_Toc13906"/>
      <w:bookmarkStart w:id="76" w:name="_Toc6549"/>
      <w:bookmarkStart w:id="77" w:name="_Toc28686"/>
      <w:bookmarkStart w:id="78" w:name="_Toc22657"/>
      <w:r>
        <w:rPr>
          <w:rFonts w:hint="eastAsia" w:ascii="宋体" w:hAnsi="宋体" w:eastAsia="宋体" w:cs="宋体"/>
          <w:color w:val="auto"/>
          <w:sz w:val="24"/>
          <w:szCs w:val="24"/>
          <w:highlight w:val="none"/>
        </w:rPr>
        <w:t>五、评分原则</w:t>
      </w:r>
      <w:bookmarkEnd w:id="75"/>
      <w:bookmarkEnd w:id="76"/>
      <w:bookmarkEnd w:id="77"/>
      <w:bookmarkEnd w:id="78"/>
    </w:p>
    <w:p w14:paraId="14F28766">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（一）商务技术评分（</w:t>
      </w:r>
      <w:r>
        <w:rPr>
          <w:rFonts w:hint="eastAsia" w:ascii="宋体" w:hAnsi="宋体" w:eastAsia="宋体" w:cs="宋体"/>
          <w:color w:val="auto"/>
          <w:sz w:val="24"/>
          <w:szCs w:val="24"/>
          <w:highlight w:val="none"/>
          <w:u w:val="single"/>
          <w:lang w:val="en-US" w:eastAsia="zh-CN"/>
        </w:rPr>
        <w:t xml:space="preserve"> 90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15017A7">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商务技术文件评分的评定由各评委成员按评分细则进行评审打分，每人一张评分计算表，并记名。投标文件各项评分内容由评标委员会成员各自独立评分，如某张表的一个因素项目超过规定的分值范围，则该张表无效。各评标委员会成员对各投标人的各项评分内容评分合计的算术平均值为各投标人最终商务技术文件得分（计算过程中小数点后按四舍五入保留2位）。</w:t>
      </w:r>
    </w:p>
    <w:p w14:paraId="61FE15EC">
      <w:pPr>
        <w:pStyle w:val="10"/>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）评分细则</w:t>
      </w:r>
    </w:p>
    <w:bookmarkEnd w:id="61"/>
    <w:tbl>
      <w:tblPr>
        <w:tblStyle w:val="1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95"/>
        <w:gridCol w:w="7137"/>
        <w:gridCol w:w="726"/>
      </w:tblGrid>
      <w:tr w14:paraId="5262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501417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bookmarkStart w:id="79" w:name="_Toc8190"/>
            <w:bookmarkStart w:id="80" w:name="_Toc12749"/>
            <w:bookmarkStart w:id="81" w:name="_Toc20996"/>
            <w:bookmarkStart w:id="82" w:name="_Toc3034"/>
            <w:r>
              <w:rPr>
                <w:rFonts w:hint="eastAsia" w:ascii="宋体" w:hAnsi="宋体" w:eastAsia="宋体" w:cs="宋体"/>
                <w:sz w:val="24"/>
                <w:szCs w:val="24"/>
                <w:highlight w:val="none"/>
              </w:rPr>
              <w:t>序号</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6FAE6C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A44193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评审细则</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6E6F07E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3ADE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0AE819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1A4639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p w14:paraId="56BD705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F5AE61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投标人自20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年1月1日至本项目投标截止时间，</w:t>
            </w:r>
            <w:r>
              <w:rPr>
                <w:rFonts w:hint="eastAsia" w:ascii="宋体" w:hAnsi="宋体" w:eastAsia="宋体" w:cs="宋体"/>
                <w:sz w:val="24"/>
                <w:szCs w:val="24"/>
                <w:highlight w:val="none"/>
                <w:lang w:val="en-US" w:eastAsia="zh-CN"/>
              </w:rPr>
              <w:t>承接过房屋征收评估类似服务项目成功案例</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每提供一个</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本项最高得1分</w:t>
            </w:r>
            <w:r>
              <w:rPr>
                <w:rFonts w:hint="eastAsia" w:ascii="宋体" w:hAnsi="宋体" w:eastAsia="宋体" w:cs="宋体"/>
                <w:sz w:val="24"/>
                <w:szCs w:val="24"/>
                <w:highlight w:val="none"/>
              </w:rPr>
              <w:t>。</w:t>
            </w:r>
          </w:p>
          <w:p w14:paraId="49433D8C">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合同。</w:t>
            </w:r>
          </w:p>
          <w:p w14:paraId="38D63721">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备注：成功案例时间以</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合同最后落款时间为准</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服务内容须包含房屋征收评估服务</w:t>
            </w:r>
            <w:r>
              <w:rPr>
                <w:rFonts w:hint="eastAsia" w:ascii="宋体" w:hAnsi="宋体" w:eastAsia="宋体" w:cs="宋体"/>
                <w:b/>
                <w:bCs/>
                <w:sz w:val="24"/>
                <w:szCs w:val="24"/>
                <w:highlight w:val="none"/>
              </w:rPr>
              <w:t>。证明材料扫描件加盖投标人公章（或电子章）编入商务技术文件，未按本条规定提供证明材料或证明材料不符合本条规定要求的，不得分。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42446DC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1分</w:t>
            </w:r>
          </w:p>
        </w:tc>
      </w:tr>
      <w:tr w14:paraId="5AD2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D266A0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4FBAE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拟派项目服务团队人员资质</w:t>
            </w: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3A69F0F">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拟派项目服务团队人员在满足基本要求的基础上（详见第三章采购内容及要求），每增加配备一名注册房地产估价师（或注册资产评估师）的，得3分。</w:t>
            </w:r>
          </w:p>
          <w:p w14:paraId="499E4817">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证明材料是指：①注册房地产估价师（或注册资产评估师）证书；②2025年</w:t>
            </w:r>
            <w:r>
              <w:rPr>
                <w:rFonts w:hint="eastAsia" w:ascii="宋体" w:hAnsi="宋体" w:cs="宋体"/>
                <w:b/>
                <w:bCs/>
                <w:kern w:val="2"/>
                <w:sz w:val="24"/>
                <w:szCs w:val="24"/>
                <w:highlight w:val="none"/>
                <w:lang w:val="en-US" w:eastAsia="zh-CN" w:bidi="ar-SA"/>
              </w:rPr>
              <w:t>5</w:t>
            </w:r>
            <w:r>
              <w:rPr>
                <w:rFonts w:hint="eastAsia" w:ascii="宋体" w:hAnsi="宋体" w:eastAsia="宋体" w:cs="宋体"/>
                <w:b/>
                <w:bCs/>
                <w:kern w:val="2"/>
                <w:sz w:val="24"/>
                <w:szCs w:val="24"/>
                <w:highlight w:val="none"/>
                <w:lang w:val="en-US" w:eastAsia="zh-CN" w:bidi="ar-SA"/>
              </w:rPr>
              <w:t>月至投标截止时间任意一个月供应商为拟派目服务团队人员缴纳社保证明材料。①和②缺一不可。</w:t>
            </w:r>
          </w:p>
          <w:p w14:paraId="24C9440E">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highlight w:val="none"/>
                <w:lang w:val="en-US" w:eastAsia="zh-CN"/>
              </w:rPr>
            </w:pPr>
            <w:r>
              <w:rPr>
                <w:rFonts w:hint="eastAsia" w:ascii="宋体" w:hAnsi="宋体" w:eastAsia="宋体" w:cs="宋体"/>
                <w:b/>
                <w:bCs/>
                <w:kern w:val="2"/>
                <w:sz w:val="24"/>
                <w:szCs w:val="24"/>
                <w:highlight w:val="none"/>
                <w:lang w:val="en-US" w:eastAsia="zh-CN" w:bidi="ar-SA"/>
              </w:rPr>
              <w:t>备注：证明材料扫描件加盖投标人公章（或电子章）编入商务技术文件，未按本条规定提供证明材料或证明材料不符合本条规定要求的，不得分。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0145825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9分</w:t>
            </w:r>
          </w:p>
        </w:tc>
      </w:tr>
      <w:tr w14:paraId="1E84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3A8FB9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AFE15D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bidi="en-US"/>
              </w:rPr>
            </w:pPr>
            <w:r>
              <w:rPr>
                <w:rFonts w:hint="eastAsia" w:ascii="宋体" w:hAnsi="宋体" w:eastAsia="宋体" w:cs="宋体"/>
                <w:kern w:val="0"/>
                <w:sz w:val="24"/>
                <w:szCs w:val="24"/>
                <w:highlight w:val="none"/>
                <w:lang w:bidi="en-US"/>
              </w:rPr>
              <w:t>对项目的理解</w:t>
            </w:r>
          </w:p>
          <w:p w14:paraId="35AF184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1EF64A82">
            <w:pPr>
              <w:pStyle w:val="2"/>
              <w:keepNext w:val="0"/>
              <w:keepLines w:val="0"/>
              <w:pageBreakBefore w:val="0"/>
              <w:kinsoku/>
              <w:wordWrap/>
              <w:overflowPunct/>
              <w:topLinePunct w:val="0"/>
              <w:autoSpaceDE/>
              <w:autoSpaceDN/>
              <w:bidi w:val="0"/>
              <w:adjustRightInd/>
              <w:spacing w:after="0" w:afterLines="0"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评标委员会根据供应商对项目理解对项目的理解描述，是否详实、内容是否全面、是否科学完整综合评分。</w:t>
            </w:r>
          </w:p>
          <w:p w14:paraId="77DDE449">
            <w:pPr>
              <w:pStyle w:val="2"/>
              <w:keepNext w:val="0"/>
              <w:keepLines w:val="0"/>
              <w:pageBreakBefore w:val="0"/>
              <w:kinsoku/>
              <w:wordWrap/>
              <w:overflowPunct/>
              <w:topLinePunct w:val="0"/>
              <w:autoSpaceDE/>
              <w:autoSpaceDN/>
              <w:bidi w:val="0"/>
              <w:adjustRightInd/>
              <w:spacing w:after="0" w:afterLines="0" w:line="5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（1）对本项目实施背景的了解程度</w:t>
            </w:r>
            <w:r>
              <w:rPr>
                <w:rFonts w:hint="eastAsia" w:ascii="宋体" w:hAnsi="宋体" w:eastAsia="宋体" w:cs="宋体"/>
                <w:b/>
                <w:bCs/>
                <w:sz w:val="24"/>
                <w:szCs w:val="24"/>
                <w:highlight w:val="none"/>
                <w:lang w:val="en-US" w:eastAsia="zh-CN"/>
              </w:rPr>
              <w:t>(评分范围：3,2,1,0)</w:t>
            </w:r>
          </w:p>
          <w:p w14:paraId="1B2BEBD4">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kern w:val="2"/>
                <w:sz w:val="24"/>
                <w:szCs w:val="24"/>
                <w:highlight w:val="none"/>
                <w:lang w:val="en-US" w:eastAsia="zh-CN" w:bidi="ar-SA"/>
              </w:rPr>
              <w:t>（2）对项目需求进行分析</w:t>
            </w:r>
            <w:r>
              <w:rPr>
                <w:rFonts w:hint="eastAsia" w:ascii="宋体" w:hAnsi="宋体" w:eastAsia="宋体" w:cs="宋体"/>
                <w:b/>
                <w:bCs/>
                <w:sz w:val="24"/>
                <w:szCs w:val="24"/>
                <w:highlight w:val="none"/>
                <w:lang w:val="en-US" w:eastAsia="zh-CN"/>
              </w:rPr>
              <w:t>(评分范围：3,2,1,0)</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38F2FDF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r>
      <w:tr w14:paraId="209A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AF51D3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4B615B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拟派项目服务团队人员方案</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9A4B566">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评标委员会根据供应商</w:t>
            </w:r>
            <w:r>
              <w:rPr>
                <w:rFonts w:hint="eastAsia" w:ascii="宋体" w:hAnsi="宋体" w:eastAsia="宋体" w:cs="宋体"/>
                <w:kern w:val="0"/>
                <w:sz w:val="24"/>
                <w:szCs w:val="24"/>
                <w:highlight w:val="none"/>
                <w:lang w:val="en-US" w:eastAsia="zh-CN"/>
              </w:rPr>
              <w:t>拟派项目服务团队人员方案，人员配置是否合理、是否具有相关资质及能力、相关从业经验、行业履历等</w:t>
            </w:r>
            <w:r>
              <w:rPr>
                <w:rFonts w:hint="eastAsia" w:ascii="宋体" w:hAnsi="宋体" w:eastAsia="宋体" w:cs="宋体"/>
                <w:kern w:val="2"/>
                <w:sz w:val="24"/>
                <w:szCs w:val="24"/>
                <w:highlight w:val="none"/>
                <w:lang w:val="en-US" w:eastAsia="zh-CN" w:bidi="ar-SA"/>
              </w:rPr>
              <w:t>综合评分。</w:t>
            </w:r>
          </w:p>
          <w:p w14:paraId="0EF7183E">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b w:val="0"/>
                <w:i w:val="0"/>
                <w:caps w:val="0"/>
                <w:color w:val="auto"/>
                <w:spacing w:val="0"/>
                <w:w w:val="100"/>
                <w:sz w:val="24"/>
                <w:szCs w:val="24"/>
                <w:highlight w:val="none"/>
                <w:lang w:val="en-US" w:eastAsia="zh-CN"/>
              </w:rPr>
              <w:t>人员</w:t>
            </w:r>
            <w:r>
              <w:rPr>
                <w:rFonts w:hint="eastAsia" w:ascii="宋体" w:hAnsi="宋体" w:eastAsia="宋体" w:cs="宋体"/>
                <w:color w:val="auto"/>
                <w:sz w:val="24"/>
                <w:szCs w:val="24"/>
                <w:highlight w:val="none"/>
              </w:rPr>
              <w:t>组织架构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相关岗位配置</w:t>
            </w:r>
            <w:r>
              <w:rPr>
                <w:rFonts w:hint="eastAsia" w:ascii="宋体" w:hAnsi="宋体" w:eastAsia="宋体" w:cs="宋体"/>
                <w:b/>
                <w:bCs/>
                <w:sz w:val="24"/>
                <w:szCs w:val="24"/>
                <w:highlight w:val="none"/>
                <w:lang w:val="en-US" w:eastAsia="zh-CN"/>
              </w:rPr>
              <w:t>(评分范围：3,2,1,0)</w:t>
            </w:r>
          </w:p>
          <w:p w14:paraId="5C026C03">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color w:val="auto"/>
                <w:sz w:val="24"/>
                <w:szCs w:val="24"/>
                <w:highlight w:val="none"/>
              </w:rPr>
              <w:t>人员配置</w:t>
            </w:r>
            <w:r>
              <w:rPr>
                <w:rFonts w:hint="eastAsia" w:ascii="宋体" w:hAnsi="宋体" w:eastAsia="宋体" w:cs="宋体"/>
                <w:color w:val="auto"/>
                <w:sz w:val="24"/>
                <w:szCs w:val="24"/>
                <w:highlight w:val="none"/>
                <w:lang w:eastAsia="zh-CN"/>
              </w:rPr>
              <w:t>完善情况，</w:t>
            </w:r>
            <w:r>
              <w:rPr>
                <w:rFonts w:hint="eastAsia" w:ascii="宋体" w:hAnsi="宋体" w:eastAsia="宋体" w:cs="宋体"/>
                <w:color w:val="auto"/>
                <w:sz w:val="24"/>
                <w:szCs w:val="24"/>
                <w:highlight w:val="none"/>
                <w:lang w:val="en-US" w:eastAsia="zh-CN"/>
              </w:rPr>
              <w:t>应急情况下增加服务人员方案等</w:t>
            </w:r>
            <w:r>
              <w:rPr>
                <w:rFonts w:hint="eastAsia" w:ascii="宋体" w:hAnsi="宋体" w:eastAsia="宋体" w:cs="宋体"/>
                <w:b/>
                <w:bCs/>
                <w:sz w:val="24"/>
                <w:szCs w:val="24"/>
                <w:highlight w:val="none"/>
                <w:lang w:val="en-US" w:eastAsia="zh-CN"/>
              </w:rPr>
              <w:t>(评分范围：3,2,1,0)</w:t>
            </w:r>
          </w:p>
          <w:p w14:paraId="473F969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color w:val="auto"/>
                <w:sz w:val="24"/>
                <w:szCs w:val="24"/>
                <w:highlight w:val="none"/>
              </w:rPr>
              <w:t>项目团队人员</w:t>
            </w:r>
            <w:r>
              <w:rPr>
                <w:rFonts w:hint="eastAsia" w:ascii="宋体" w:hAnsi="宋体" w:eastAsia="宋体" w:cs="宋体"/>
                <w:color w:val="auto"/>
                <w:sz w:val="24"/>
                <w:szCs w:val="24"/>
                <w:highlight w:val="none"/>
                <w:lang w:eastAsia="zh-CN"/>
              </w:rPr>
              <w:t>的专业、</w:t>
            </w:r>
            <w:r>
              <w:rPr>
                <w:rFonts w:hint="eastAsia" w:ascii="宋体" w:hAnsi="宋体" w:eastAsia="宋体" w:cs="宋体"/>
                <w:kern w:val="0"/>
                <w:sz w:val="24"/>
                <w:szCs w:val="24"/>
                <w:highlight w:val="none"/>
                <w:lang w:val="en-US" w:eastAsia="zh-CN"/>
              </w:rPr>
              <w:t>相关资质及能力</w:t>
            </w:r>
            <w:r>
              <w:rPr>
                <w:rFonts w:hint="eastAsia" w:ascii="宋体" w:hAnsi="宋体" w:eastAsia="宋体" w:cs="宋体"/>
                <w:color w:val="auto"/>
                <w:sz w:val="24"/>
                <w:szCs w:val="24"/>
                <w:highlight w:val="none"/>
                <w:lang w:eastAsia="zh-CN"/>
              </w:rPr>
              <w:t>及经验</w:t>
            </w:r>
            <w:r>
              <w:rPr>
                <w:rFonts w:hint="eastAsia" w:ascii="宋体" w:hAnsi="宋体" w:eastAsia="宋体" w:cs="宋体"/>
                <w:b/>
                <w:bCs/>
                <w:sz w:val="24"/>
                <w:szCs w:val="24"/>
                <w:highlight w:val="none"/>
                <w:lang w:val="en-US" w:eastAsia="zh-CN"/>
              </w:rPr>
              <w:t>(评分范围：3,2,1,0)</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429AB08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w:t>
            </w:r>
          </w:p>
        </w:tc>
      </w:tr>
      <w:tr w14:paraId="50D7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A0AA38C">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D3D8C2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rPr>
              <w:t>管理</w:t>
            </w:r>
            <w:r>
              <w:rPr>
                <w:rFonts w:hint="eastAsia" w:ascii="宋体" w:hAnsi="宋体" w:eastAsia="宋体" w:cs="宋体"/>
                <w:sz w:val="24"/>
                <w:szCs w:val="24"/>
                <w:lang w:val="en-US" w:eastAsia="zh-CN"/>
              </w:rPr>
              <w:t>措施及制度</w:t>
            </w:r>
            <w:r>
              <w:rPr>
                <w:rFonts w:hint="eastAsia" w:ascii="宋体" w:hAnsi="宋体" w:eastAsia="宋体" w:cs="宋体"/>
                <w:sz w:val="24"/>
                <w:szCs w:val="24"/>
                <w:highlight w:val="none"/>
                <w:lang w:val="en-US" w:eastAsia="zh-CN"/>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2865CE18">
            <w:pPr>
              <w:pStyle w:val="3"/>
              <w:keepNext w:val="0"/>
              <w:keepLines w:val="0"/>
              <w:pageBreakBefore w:val="0"/>
              <w:numPr>
                <w:ilvl w:val="0"/>
                <w:numId w:val="0"/>
              </w:numPr>
              <w:kinsoku/>
              <w:wordWrap/>
              <w:overflowPunct/>
              <w:topLinePunct w:val="0"/>
              <w:autoSpaceDE/>
              <w:autoSpaceDN/>
              <w:bidi w:val="0"/>
              <w:adjustRightInd/>
              <w:spacing w:after="0" w:afterLines="0" w:line="50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cs="宋体"/>
                <w:kern w:val="2"/>
                <w:sz w:val="24"/>
                <w:szCs w:val="24"/>
                <w:highlight w:val="none"/>
                <w:lang w:val="en-US" w:eastAsia="zh-CN" w:bidi="ar-SA"/>
              </w:rPr>
              <w:t>评标委员会根据投标人针对</w:t>
            </w:r>
            <w:r>
              <w:rPr>
                <w:rFonts w:hint="eastAsia" w:ascii="宋体" w:hAnsi="宋体" w:eastAsia="宋体" w:cs="宋体"/>
                <w:sz w:val="24"/>
                <w:szCs w:val="24"/>
                <w:highlight w:val="none"/>
                <w:lang w:val="en-US" w:eastAsia="zh-CN"/>
              </w:rPr>
              <w:t>内部管理体系</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r>
              <w:rPr>
                <w:rFonts w:hint="eastAsia" w:ascii="宋体" w:hAnsi="宋体" w:eastAsia="宋体" w:cs="宋体"/>
                <w:sz w:val="24"/>
                <w:szCs w:val="24"/>
                <w:highlight w:val="none"/>
                <w:lang w:val="en-US" w:eastAsia="zh-CN"/>
              </w:rPr>
              <w:t>。</w:t>
            </w:r>
          </w:p>
          <w:p w14:paraId="12E7F4B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lang w:val="en-US" w:eastAsia="zh-CN" w:bidi="ar-SA"/>
              </w:rPr>
              <w:t>（2）</w:t>
            </w:r>
            <w:r>
              <w:rPr>
                <w:rFonts w:hint="eastAsia" w:ascii="宋体" w:hAnsi="宋体" w:cs="宋体"/>
                <w:kern w:val="2"/>
                <w:sz w:val="24"/>
                <w:szCs w:val="24"/>
                <w:highlight w:val="none"/>
                <w:lang w:val="en-US" w:eastAsia="zh-CN" w:bidi="ar-SA"/>
              </w:rPr>
              <w:t>评标委员会根据投标人针对</w:t>
            </w:r>
            <w:r>
              <w:rPr>
                <w:rFonts w:hint="eastAsia" w:ascii="宋体" w:hAnsi="宋体" w:eastAsia="宋体" w:cs="宋体"/>
                <w:sz w:val="24"/>
                <w:szCs w:val="24"/>
                <w:highlight w:val="none"/>
                <w:lang w:val="en-US" w:eastAsia="zh-CN"/>
              </w:rPr>
              <w:t>内部管理制度</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2A7852E1">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6分</w:t>
            </w:r>
          </w:p>
        </w:tc>
      </w:tr>
      <w:tr w14:paraId="4AC3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E0BA42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28368F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总体实施方案</w:t>
            </w:r>
          </w:p>
          <w:p w14:paraId="3184222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3D69261">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kern w:val="2"/>
                <w:sz w:val="24"/>
                <w:szCs w:val="24"/>
                <w:highlight w:val="none"/>
                <w:lang w:val="en-US" w:eastAsia="zh-CN" w:bidi="ar-SA"/>
              </w:rPr>
              <w:t>评标委员会根据供应商总体实施方案</w:t>
            </w:r>
            <w:r>
              <w:rPr>
                <w:rFonts w:hint="eastAsia" w:ascii="宋体" w:hAnsi="宋体" w:eastAsia="宋体" w:cs="宋体"/>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服务内容、实施流程、详细的服务标准及实施方案</w:t>
            </w:r>
            <w:r>
              <w:rPr>
                <w:rFonts w:hint="eastAsia" w:ascii="宋体" w:hAnsi="宋体" w:eastAsia="宋体" w:cs="宋体"/>
                <w:kern w:val="0"/>
                <w:sz w:val="24"/>
                <w:szCs w:val="24"/>
                <w:highlight w:val="none"/>
                <w:lang w:val="en-US" w:eastAsia="zh-CN"/>
              </w:rPr>
              <w:t>等</w:t>
            </w:r>
            <w:r>
              <w:rPr>
                <w:rFonts w:hint="eastAsia" w:ascii="宋体" w:hAnsi="宋体" w:eastAsia="宋体" w:cs="宋体"/>
                <w:kern w:val="2"/>
                <w:sz w:val="24"/>
                <w:szCs w:val="24"/>
                <w:highlight w:val="none"/>
                <w:lang w:val="en-US" w:eastAsia="zh-CN" w:bidi="ar-SA"/>
              </w:rPr>
              <w:t>综合评分。</w:t>
            </w:r>
          </w:p>
          <w:p w14:paraId="422A513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kern w:val="2"/>
                <w:sz w:val="24"/>
                <w:szCs w:val="24"/>
                <w:highlight w:val="none"/>
                <w:lang w:val="en-US" w:eastAsia="zh-CN" w:bidi="ar-SA"/>
              </w:rPr>
              <w:t>评审小组根据供应商</w:t>
            </w:r>
            <w:r>
              <w:rPr>
                <w:rFonts w:hint="eastAsia" w:ascii="宋体" w:hAnsi="宋体" w:eastAsia="宋体" w:cs="宋体"/>
                <w:color w:val="000000"/>
                <w:kern w:val="0"/>
                <w:sz w:val="24"/>
                <w:szCs w:val="24"/>
                <w:highlight w:val="none"/>
                <w:lang w:val="en-US" w:eastAsia="zh-CN"/>
              </w:rPr>
              <w:t>服务内容、实施流程</w:t>
            </w:r>
            <w:r>
              <w:rPr>
                <w:rFonts w:hint="eastAsia" w:ascii="宋体" w:hAnsi="宋体" w:eastAsia="宋体" w:cs="宋体"/>
                <w:sz w:val="24"/>
                <w:szCs w:val="24"/>
                <w:highlight w:val="none"/>
                <w:lang w:val="en-US" w:eastAsia="zh-CN"/>
              </w:rPr>
              <w:t>：方案描述是否全面合理、是否科学可行，是否具有针对性，是否贴合采购需求。</w:t>
            </w:r>
            <w:r>
              <w:rPr>
                <w:rFonts w:hint="eastAsia" w:ascii="宋体" w:hAnsi="宋体" w:eastAsia="宋体" w:cs="宋体"/>
                <w:b/>
                <w:bCs/>
                <w:sz w:val="24"/>
                <w:szCs w:val="24"/>
                <w:highlight w:val="none"/>
                <w:lang w:val="en-US" w:eastAsia="zh-CN"/>
              </w:rPr>
              <w:t>(评分范围：5,4,3,2,1,0)</w:t>
            </w:r>
            <w:r>
              <w:rPr>
                <w:rFonts w:hint="eastAsia" w:ascii="宋体" w:hAnsi="宋体" w:eastAsia="宋体" w:cs="宋体"/>
                <w:sz w:val="24"/>
                <w:szCs w:val="24"/>
                <w:highlight w:val="none"/>
                <w:lang w:val="en-US" w:eastAsia="zh-CN"/>
              </w:rPr>
              <w:t>。</w:t>
            </w:r>
          </w:p>
          <w:p w14:paraId="2E76C04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kern w:val="2"/>
                <w:sz w:val="24"/>
                <w:szCs w:val="24"/>
                <w:highlight w:val="none"/>
                <w:lang w:val="en-US" w:eastAsia="zh-CN" w:bidi="ar-SA"/>
              </w:rPr>
              <w:t>评审小组根据供应商</w:t>
            </w:r>
            <w:r>
              <w:rPr>
                <w:rFonts w:hint="eastAsia" w:ascii="宋体" w:hAnsi="宋体" w:eastAsia="宋体" w:cs="宋体"/>
                <w:color w:val="000000"/>
                <w:kern w:val="0"/>
                <w:sz w:val="24"/>
                <w:szCs w:val="24"/>
                <w:highlight w:val="none"/>
                <w:lang w:val="en-US" w:eastAsia="zh-CN"/>
              </w:rPr>
              <w:t>详细的服务标准及实施方案</w:t>
            </w:r>
            <w:r>
              <w:rPr>
                <w:rFonts w:hint="eastAsia" w:ascii="宋体" w:hAnsi="宋体" w:eastAsia="宋体" w:cs="宋体"/>
                <w:sz w:val="24"/>
                <w:szCs w:val="24"/>
                <w:highlight w:val="none"/>
                <w:lang w:val="en-US" w:eastAsia="zh-CN"/>
              </w:rPr>
              <w:t>：方案描述是否全面合理、是否科学可行，是否具有针对性，是否贴合采购需求。</w:t>
            </w:r>
            <w:r>
              <w:rPr>
                <w:rFonts w:hint="eastAsia" w:ascii="宋体" w:hAnsi="宋体" w:eastAsia="宋体" w:cs="宋体"/>
                <w:b/>
                <w:bCs/>
                <w:sz w:val="24"/>
                <w:szCs w:val="24"/>
                <w:highlight w:val="none"/>
                <w:lang w:val="en-US" w:eastAsia="zh-CN"/>
              </w:rPr>
              <w:t>(评分范围：5,4,3,2,1,0)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35010F9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tc>
      </w:tr>
      <w:tr w14:paraId="779B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A1D5F9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81AC74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重点难点分析</w:t>
            </w:r>
          </w:p>
          <w:p w14:paraId="7FE1C12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81F19C2">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评标委员会根据供应商</w:t>
            </w:r>
            <w:r>
              <w:rPr>
                <w:rFonts w:hint="eastAsia" w:ascii="宋体" w:hAnsi="宋体" w:eastAsia="宋体" w:cs="宋体"/>
                <w:sz w:val="24"/>
                <w:szCs w:val="24"/>
                <w:highlight w:val="none"/>
                <w:lang w:val="en-US" w:eastAsia="zh-CN"/>
              </w:rPr>
              <w:t>重点难点分析</w:t>
            </w:r>
            <w:r>
              <w:rPr>
                <w:rFonts w:hint="eastAsia" w:ascii="宋体" w:hAnsi="宋体" w:eastAsia="宋体" w:cs="宋体"/>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SA"/>
              </w:rPr>
              <w:t>调查剖析情况、提出克服难点和要点的解决措施</w:t>
            </w:r>
            <w:r>
              <w:rPr>
                <w:rFonts w:hint="eastAsia" w:ascii="宋体" w:hAnsi="宋体" w:eastAsia="宋体" w:cs="宋体"/>
                <w:kern w:val="0"/>
                <w:sz w:val="24"/>
                <w:szCs w:val="24"/>
                <w:highlight w:val="none"/>
                <w:lang w:val="en-US" w:eastAsia="zh-CN"/>
              </w:rPr>
              <w:t>等</w:t>
            </w:r>
            <w:r>
              <w:rPr>
                <w:rFonts w:hint="eastAsia" w:ascii="宋体" w:hAnsi="宋体" w:eastAsia="宋体" w:cs="宋体"/>
                <w:kern w:val="2"/>
                <w:sz w:val="24"/>
                <w:szCs w:val="24"/>
                <w:highlight w:val="none"/>
                <w:lang w:val="en-US" w:eastAsia="zh-CN" w:bidi="ar-SA"/>
              </w:rPr>
              <w:t>综合评分</w:t>
            </w:r>
          </w:p>
          <w:p w14:paraId="33683980">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（1）评标委员会</w:t>
            </w:r>
            <w:r>
              <w:rPr>
                <w:rFonts w:hint="eastAsia" w:ascii="宋体" w:hAnsi="宋体" w:eastAsia="宋体" w:cs="宋体"/>
                <w:color w:val="000000"/>
                <w:kern w:val="0"/>
                <w:sz w:val="24"/>
                <w:szCs w:val="24"/>
                <w:highlight w:val="none"/>
                <w:lang w:val="en-US" w:eastAsia="zh-CN" w:bidi="ar-SA"/>
              </w:rPr>
              <w:t>根据供应商针对本项目的重点、难点进行梳理，调查剖析情况：描述是否全面合理、是否科学可行，是否具有针对性，是否贴合采购需求。</w:t>
            </w:r>
            <w:r>
              <w:rPr>
                <w:rFonts w:hint="eastAsia" w:ascii="宋体" w:hAnsi="宋体" w:eastAsia="宋体" w:cs="宋体"/>
                <w:b/>
                <w:bCs/>
                <w:sz w:val="24"/>
                <w:szCs w:val="24"/>
                <w:highlight w:val="none"/>
                <w:lang w:val="en-US" w:eastAsia="zh-CN"/>
              </w:rPr>
              <w:t>(评分范围：3,2,1,0)</w:t>
            </w:r>
            <w:r>
              <w:rPr>
                <w:rFonts w:hint="eastAsia" w:ascii="宋体" w:hAnsi="宋体" w:eastAsia="宋体" w:cs="宋体"/>
                <w:sz w:val="24"/>
                <w:szCs w:val="24"/>
                <w:highlight w:val="none"/>
                <w:lang w:val="en-US" w:eastAsia="zh-CN"/>
              </w:rPr>
              <w:t>。</w:t>
            </w:r>
          </w:p>
          <w:p w14:paraId="31D00E7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评标委员会</w:t>
            </w:r>
            <w:r>
              <w:rPr>
                <w:rFonts w:hint="eastAsia" w:ascii="宋体" w:hAnsi="宋体" w:eastAsia="宋体" w:cs="宋体"/>
                <w:color w:val="000000"/>
                <w:kern w:val="0"/>
                <w:sz w:val="24"/>
                <w:szCs w:val="24"/>
                <w:highlight w:val="none"/>
                <w:lang w:val="en-US" w:eastAsia="zh-CN" w:bidi="ar-SA"/>
              </w:rPr>
              <w:t>根据供应商针对性的提出克服难点和要点的解决措施：描述是否全面合理、是否科学可行，是否具有针对性，是否贴合采购需求。</w:t>
            </w:r>
            <w:r>
              <w:rPr>
                <w:rFonts w:hint="eastAsia" w:ascii="宋体" w:hAnsi="宋体" w:eastAsia="宋体" w:cs="宋体"/>
                <w:b/>
                <w:bCs/>
                <w:sz w:val="24"/>
                <w:szCs w:val="24"/>
                <w:highlight w:val="none"/>
                <w:lang w:val="en-US" w:eastAsia="zh-CN"/>
              </w:rPr>
              <w:t>(评分范围：3,2,1,0)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08BA998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r>
      <w:tr w14:paraId="6D0C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DE18CB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D6C9D6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w:t>
            </w:r>
            <w:r>
              <w:rPr>
                <w:rFonts w:hint="eastAsia" w:ascii="宋体" w:hAnsi="宋体" w:eastAsia="宋体" w:cs="宋体"/>
                <w:kern w:val="0"/>
                <w:sz w:val="24"/>
                <w:szCs w:val="24"/>
                <w:highlight w:val="none"/>
              </w:rPr>
              <w:t>质量保障措施</w:t>
            </w:r>
          </w:p>
          <w:p w14:paraId="183AC31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80FBFD9">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评标委员会根据供应商服务</w:t>
            </w:r>
            <w:r>
              <w:rPr>
                <w:rFonts w:hint="eastAsia" w:ascii="宋体" w:hAnsi="宋体" w:eastAsia="宋体" w:cs="宋体"/>
                <w:kern w:val="0"/>
                <w:sz w:val="24"/>
                <w:szCs w:val="24"/>
                <w:highlight w:val="none"/>
              </w:rPr>
              <w:t>质量保障措施</w:t>
            </w:r>
            <w:r>
              <w:rPr>
                <w:rFonts w:hint="eastAsia" w:ascii="宋体" w:hAnsi="宋体" w:eastAsia="宋体" w:cs="宋体"/>
                <w:kern w:val="0"/>
                <w:sz w:val="24"/>
                <w:szCs w:val="24"/>
                <w:highlight w:val="none"/>
                <w:lang w:val="en-US" w:eastAsia="zh-CN"/>
              </w:rPr>
              <w:t>，服务</w:t>
            </w:r>
            <w:r>
              <w:rPr>
                <w:rFonts w:hint="eastAsia" w:ascii="宋体" w:hAnsi="宋体" w:eastAsia="宋体" w:cs="宋体"/>
                <w:sz w:val="24"/>
                <w:szCs w:val="24"/>
                <w:highlight w:val="none"/>
                <w:lang w:val="en-US" w:eastAsia="zh-CN"/>
              </w:rPr>
              <w:t>质量监督管理机构</w:t>
            </w:r>
            <w:r>
              <w:rPr>
                <w:rFonts w:hint="eastAsia" w:ascii="宋体" w:hAnsi="宋体" w:eastAsia="宋体" w:cs="宋体"/>
                <w:kern w:val="0"/>
                <w:sz w:val="24"/>
                <w:szCs w:val="24"/>
                <w:highlight w:val="none"/>
                <w:lang w:val="en-US" w:eastAsia="zh-CN"/>
              </w:rPr>
              <w:t>等</w:t>
            </w:r>
            <w:r>
              <w:rPr>
                <w:rFonts w:hint="eastAsia" w:ascii="宋体" w:hAnsi="宋体" w:eastAsia="宋体" w:cs="宋体"/>
                <w:kern w:val="2"/>
                <w:sz w:val="24"/>
                <w:szCs w:val="24"/>
                <w:highlight w:val="none"/>
                <w:lang w:val="en-US" w:eastAsia="zh-CN" w:bidi="ar-SA"/>
              </w:rPr>
              <w:t>综合评分</w:t>
            </w:r>
          </w:p>
          <w:p w14:paraId="2328B5E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（1）服务质量监督管理机构是否健全、制度是否完善、服务质量能否符合采购人规定：方案描述是否全面合理、是否科学可行，是否具有针对性，是否贴合采购需求。</w:t>
            </w:r>
            <w:r>
              <w:rPr>
                <w:rFonts w:hint="eastAsia" w:ascii="宋体" w:hAnsi="宋体" w:eastAsia="宋体" w:cs="宋体"/>
                <w:b/>
                <w:bCs/>
                <w:sz w:val="24"/>
                <w:szCs w:val="24"/>
                <w:highlight w:val="none"/>
                <w:lang w:val="en-US" w:eastAsia="zh-CN"/>
              </w:rPr>
              <w:t>(评分范围：5,4,3,2,1,0)</w:t>
            </w:r>
            <w:r>
              <w:rPr>
                <w:rFonts w:hint="eastAsia" w:ascii="宋体" w:hAnsi="宋体" w:eastAsia="宋体" w:cs="宋体"/>
                <w:sz w:val="24"/>
                <w:szCs w:val="24"/>
                <w:highlight w:val="none"/>
                <w:lang w:val="en-US" w:eastAsia="zh-CN"/>
              </w:rPr>
              <w:t>。</w:t>
            </w:r>
          </w:p>
          <w:p w14:paraId="6B92A12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（2）服务质量保证措施是否符合项目实际，切实可行：方案描述是否全面合理、是否科学可行，是否具有针对性，是否贴合采购需求。</w:t>
            </w:r>
            <w:r>
              <w:rPr>
                <w:rFonts w:hint="eastAsia" w:ascii="宋体" w:hAnsi="宋体" w:eastAsia="宋体" w:cs="宋体"/>
                <w:b/>
                <w:bCs/>
                <w:sz w:val="24"/>
                <w:szCs w:val="24"/>
                <w:highlight w:val="none"/>
                <w:lang w:val="en-US" w:eastAsia="zh-CN"/>
              </w:rPr>
              <w:t>(评分范围：5,4,3,2,1,0)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15A8379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r>
      <w:tr w14:paraId="1546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38E822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0BC0BA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进度</w:t>
            </w:r>
            <w:r>
              <w:rPr>
                <w:rFonts w:hint="eastAsia" w:ascii="宋体" w:hAnsi="宋体" w:eastAsia="宋体" w:cs="宋体"/>
                <w:kern w:val="0"/>
                <w:sz w:val="24"/>
                <w:szCs w:val="24"/>
                <w:highlight w:val="none"/>
              </w:rPr>
              <w:t>保障措施</w:t>
            </w:r>
          </w:p>
          <w:p w14:paraId="0C95A29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96307CD">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评标委员会根据供应商服务</w:t>
            </w:r>
            <w:r>
              <w:rPr>
                <w:rFonts w:hint="eastAsia" w:ascii="宋体" w:hAnsi="宋体" w:eastAsia="宋体" w:cs="宋体"/>
                <w:kern w:val="0"/>
                <w:sz w:val="24"/>
                <w:szCs w:val="24"/>
                <w:highlight w:val="none"/>
                <w:lang w:val="en-US" w:eastAsia="zh-CN"/>
              </w:rPr>
              <w:t>进度</w:t>
            </w:r>
            <w:r>
              <w:rPr>
                <w:rFonts w:hint="eastAsia" w:ascii="宋体" w:hAnsi="宋体" w:eastAsia="宋体" w:cs="宋体"/>
                <w:kern w:val="0"/>
                <w:sz w:val="24"/>
                <w:szCs w:val="24"/>
                <w:highlight w:val="none"/>
              </w:rPr>
              <w:t>保障措施</w:t>
            </w:r>
            <w:r>
              <w:rPr>
                <w:rFonts w:hint="eastAsia" w:ascii="宋体" w:hAnsi="宋体" w:eastAsia="宋体" w:cs="宋体"/>
                <w:kern w:val="0"/>
                <w:sz w:val="24"/>
                <w:szCs w:val="24"/>
                <w:highlight w:val="none"/>
                <w:lang w:val="en-US" w:eastAsia="zh-CN"/>
              </w:rPr>
              <w:t>，</w:t>
            </w:r>
            <w:r>
              <w:rPr>
                <w:rFonts w:hint="eastAsia" w:ascii="宋体" w:hAnsi="宋体" w:eastAsia="宋体" w:cs="宋体"/>
                <w:sz w:val="24"/>
                <w:szCs w:val="24"/>
                <w:highlight w:val="none"/>
                <w:lang w:val="en-US" w:eastAsia="zh-CN"/>
              </w:rPr>
              <w:t>整体工作阶段及任务划分</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sz w:val="24"/>
                <w:szCs w:val="24"/>
                <w:highlight w:val="none"/>
                <w:lang w:val="en-US" w:eastAsia="zh-CN"/>
              </w:rPr>
              <w:t>关键时间节点把握程度</w:t>
            </w:r>
            <w:r>
              <w:rPr>
                <w:rFonts w:hint="eastAsia" w:ascii="宋体" w:hAnsi="宋体" w:eastAsia="宋体" w:cs="宋体"/>
                <w:kern w:val="0"/>
                <w:sz w:val="24"/>
                <w:szCs w:val="24"/>
                <w:highlight w:val="none"/>
                <w:lang w:val="en-US" w:eastAsia="zh-CN"/>
              </w:rPr>
              <w:t>等</w:t>
            </w:r>
            <w:r>
              <w:rPr>
                <w:rFonts w:hint="eastAsia" w:ascii="宋体" w:hAnsi="宋体" w:eastAsia="宋体" w:cs="宋体"/>
                <w:kern w:val="2"/>
                <w:sz w:val="24"/>
                <w:szCs w:val="24"/>
                <w:highlight w:val="none"/>
                <w:lang w:val="en-US" w:eastAsia="zh-CN" w:bidi="ar-SA"/>
              </w:rPr>
              <w:t>综合评分</w:t>
            </w:r>
          </w:p>
          <w:p w14:paraId="6D33CF7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（1）项目整体工作阶段及任务划分：方案描述是否全面合理、是否科学可行，是否具有针对性，是否贴合采购需求。</w:t>
            </w:r>
            <w:r>
              <w:rPr>
                <w:rFonts w:hint="eastAsia" w:ascii="宋体" w:hAnsi="宋体" w:eastAsia="宋体" w:cs="宋体"/>
                <w:b/>
                <w:bCs/>
                <w:sz w:val="24"/>
                <w:szCs w:val="24"/>
                <w:highlight w:val="none"/>
                <w:lang w:val="en-US" w:eastAsia="zh-CN"/>
              </w:rPr>
              <w:t>(评分范围：5,4,3,2,1,0)</w:t>
            </w:r>
            <w:r>
              <w:rPr>
                <w:rFonts w:hint="eastAsia" w:ascii="宋体" w:hAnsi="宋体" w:eastAsia="宋体" w:cs="宋体"/>
                <w:sz w:val="24"/>
                <w:szCs w:val="24"/>
                <w:highlight w:val="none"/>
                <w:lang w:val="en-US" w:eastAsia="zh-CN"/>
              </w:rPr>
              <w:t>。</w:t>
            </w:r>
          </w:p>
          <w:p w14:paraId="7393803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（2）关键时间节点把握程度：方案描述是否全面合理、是否科学可行，是否具有针对性，是否贴合采购需求。</w:t>
            </w:r>
            <w:r>
              <w:rPr>
                <w:rFonts w:hint="eastAsia" w:ascii="宋体" w:hAnsi="宋体" w:eastAsia="宋体" w:cs="宋体"/>
                <w:b/>
                <w:bCs/>
                <w:sz w:val="24"/>
                <w:szCs w:val="24"/>
                <w:highlight w:val="none"/>
                <w:lang w:val="en-US" w:eastAsia="zh-CN"/>
              </w:rPr>
              <w:t>(评分范围：5,4,3,2,1,0)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B9C535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r>
      <w:tr w14:paraId="7631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78A343B">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FA66A2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应急服务及便利措施</w:t>
            </w:r>
          </w:p>
          <w:p w14:paraId="67A96F6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185FB27D">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评标委员会根据供应商应急方案、服务措施和提供服务的方便程度</w:t>
            </w:r>
            <w:r>
              <w:rPr>
                <w:rFonts w:hint="eastAsia" w:ascii="宋体" w:hAnsi="宋体" w:eastAsia="宋体" w:cs="宋体"/>
                <w:kern w:val="0"/>
                <w:sz w:val="24"/>
                <w:szCs w:val="24"/>
                <w:highlight w:val="none"/>
                <w:lang w:val="en-US" w:eastAsia="zh-CN"/>
              </w:rPr>
              <w:t>等</w:t>
            </w:r>
            <w:r>
              <w:rPr>
                <w:rFonts w:hint="eastAsia" w:ascii="宋体" w:hAnsi="宋体" w:eastAsia="宋体" w:cs="宋体"/>
                <w:kern w:val="2"/>
                <w:sz w:val="24"/>
                <w:szCs w:val="24"/>
                <w:highlight w:val="none"/>
                <w:lang w:val="en-US" w:eastAsia="zh-CN" w:bidi="ar-SA"/>
              </w:rPr>
              <w:t>综合评分</w:t>
            </w:r>
          </w:p>
          <w:p w14:paraId="791B733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（1）应急方案：方案描述是否全面合理、是否科学可行，是否具有针对性，是否贴合采购需求。</w:t>
            </w:r>
            <w:r>
              <w:rPr>
                <w:rFonts w:hint="eastAsia" w:ascii="宋体" w:hAnsi="宋体" w:eastAsia="宋体" w:cs="宋体"/>
                <w:b/>
                <w:bCs/>
                <w:sz w:val="24"/>
                <w:szCs w:val="24"/>
                <w:highlight w:val="none"/>
                <w:lang w:val="en-US" w:eastAsia="zh-CN"/>
              </w:rPr>
              <w:t>(评分范围：5,4,3,2,1,0)</w:t>
            </w:r>
            <w:r>
              <w:rPr>
                <w:rFonts w:hint="eastAsia" w:ascii="宋体" w:hAnsi="宋体" w:eastAsia="宋体" w:cs="宋体"/>
                <w:sz w:val="24"/>
                <w:szCs w:val="24"/>
                <w:highlight w:val="none"/>
                <w:lang w:val="en-US" w:eastAsia="zh-CN"/>
              </w:rPr>
              <w:t>。</w:t>
            </w:r>
          </w:p>
          <w:p w14:paraId="1FA87E4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（2）服务措施和提供服务的方便程度：方案描述是否全面合理、是否科学可行，是否具有针对性，是否贴合采购需求。</w:t>
            </w:r>
            <w:r>
              <w:rPr>
                <w:rFonts w:hint="eastAsia" w:ascii="宋体" w:hAnsi="宋体" w:eastAsia="宋体" w:cs="宋体"/>
                <w:b/>
                <w:bCs/>
                <w:sz w:val="24"/>
                <w:szCs w:val="24"/>
                <w:highlight w:val="none"/>
                <w:lang w:val="en-US" w:eastAsia="zh-CN"/>
              </w:rPr>
              <w:t>(评分范围：5,4,3,2,1,0)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8A6A61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r>
      <w:tr w14:paraId="07AC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F56D5E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56482F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涉密信息、资料保密措施和方案【主观分】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8A8B888">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评标委员会根据供应商涉密信息、资料保密方面提出的措施和方案的可行性</w:t>
            </w:r>
            <w:r>
              <w:rPr>
                <w:rFonts w:hint="eastAsia" w:ascii="宋体" w:hAnsi="宋体" w:eastAsia="宋体" w:cs="宋体"/>
                <w:kern w:val="0"/>
                <w:sz w:val="24"/>
                <w:szCs w:val="24"/>
                <w:highlight w:val="none"/>
                <w:lang w:val="en-US" w:eastAsia="zh-CN"/>
              </w:rPr>
              <w:t>等</w:t>
            </w:r>
            <w:r>
              <w:rPr>
                <w:rFonts w:hint="eastAsia" w:ascii="宋体" w:hAnsi="宋体" w:eastAsia="宋体" w:cs="宋体"/>
                <w:kern w:val="2"/>
                <w:sz w:val="24"/>
                <w:szCs w:val="24"/>
                <w:highlight w:val="none"/>
                <w:lang w:val="en-US" w:eastAsia="zh-CN" w:bidi="ar-SA"/>
              </w:rPr>
              <w:t>综合评分:</w:t>
            </w:r>
          </w:p>
          <w:p w14:paraId="743D1DA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方案描述是否全面合理、是否科学可行，是否具有针对性，是否贴合采购需求。</w:t>
            </w:r>
            <w:r>
              <w:rPr>
                <w:rFonts w:hint="eastAsia" w:ascii="宋体" w:hAnsi="宋体" w:eastAsia="宋体" w:cs="宋体"/>
                <w:b/>
                <w:bCs/>
                <w:sz w:val="24"/>
                <w:szCs w:val="24"/>
                <w:highlight w:val="none"/>
                <w:lang w:val="en-US" w:eastAsia="zh-CN"/>
              </w:rPr>
              <w:t>(评分范围：5,4,3,2,1,0)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0D69E4A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r>
      <w:tr w14:paraId="0B12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F359265">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32DBCCE">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本地化服务配合响应方案</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0836A26">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评标委员会根据供应商本地化服务配合响应方案综合评分:</w:t>
            </w:r>
          </w:p>
          <w:p w14:paraId="344FF8B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方案描述是否全面合理、是否科学可行，是否具有针对性，是否贴合采购需求。</w:t>
            </w:r>
            <w:r>
              <w:rPr>
                <w:rFonts w:hint="eastAsia" w:ascii="宋体" w:hAnsi="宋体" w:eastAsia="宋体" w:cs="宋体"/>
                <w:b/>
                <w:bCs/>
                <w:sz w:val="24"/>
                <w:szCs w:val="24"/>
                <w:highlight w:val="none"/>
                <w:lang w:val="en-US" w:eastAsia="zh-CN"/>
              </w:rPr>
              <w:t>(评分范围：4,3,2,1,0)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9B487ED">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4分</w:t>
            </w:r>
          </w:p>
        </w:tc>
      </w:tr>
      <w:tr w14:paraId="3D0B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B2FCD8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5D56FE1">
            <w:pPr>
              <w:keepNext w:val="0"/>
              <w:keepLines w:val="0"/>
              <w:pageBreakBefore w:val="0"/>
              <w:widowControl/>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售后服务及合理化建议</w:t>
            </w:r>
          </w:p>
          <w:p w14:paraId="341504EF">
            <w:pPr>
              <w:keepNext w:val="0"/>
              <w:keepLines w:val="0"/>
              <w:pageBreakBefore w:val="0"/>
              <w:widowControl/>
              <w:kinsoku/>
              <w:wordWrap/>
              <w:overflowPunct/>
              <w:topLinePunct w:val="0"/>
              <w:autoSpaceDE/>
              <w:autoSpaceDN/>
              <w:bidi w:val="0"/>
              <w:adjustRightInd/>
              <w:snapToGrid w:val="0"/>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CBFC69C">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kern w:val="2"/>
                <w:sz w:val="24"/>
                <w:szCs w:val="24"/>
                <w:highlight w:val="none"/>
                <w:lang w:val="en-US" w:eastAsia="zh-CN" w:bidi="ar-SA"/>
              </w:rPr>
              <w:t>评审小组根据供应商</w:t>
            </w:r>
            <w:r>
              <w:rPr>
                <w:rFonts w:hint="eastAsia" w:ascii="宋体" w:hAnsi="宋体" w:eastAsia="宋体" w:cs="宋体"/>
                <w:color w:val="auto"/>
                <w:kern w:val="2"/>
                <w:sz w:val="24"/>
                <w:szCs w:val="24"/>
                <w:highlight w:val="none"/>
                <w:lang w:val="en-US" w:eastAsia="zh-CN" w:bidi="ar-SA"/>
              </w:rPr>
              <w:t>售后服务及合理化建议</w:t>
            </w:r>
            <w:r>
              <w:rPr>
                <w:rFonts w:hint="eastAsia" w:ascii="宋体" w:hAnsi="宋体" w:eastAsia="宋体" w:cs="宋体"/>
                <w:kern w:val="2"/>
                <w:sz w:val="24"/>
                <w:szCs w:val="24"/>
                <w:highlight w:val="none"/>
                <w:lang w:val="en-US" w:eastAsia="zh-CN" w:bidi="ar-SA"/>
              </w:rPr>
              <w:t>综合评分:</w:t>
            </w:r>
          </w:p>
          <w:p w14:paraId="52F13EE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（1）售后服务计划和技术保障措施：方案描述是否全面合理、是否科学可行，是否具有针对性，是否贴合采购需求。</w:t>
            </w:r>
            <w:r>
              <w:rPr>
                <w:rFonts w:hint="eastAsia" w:ascii="宋体" w:hAnsi="宋体" w:eastAsia="宋体" w:cs="宋体"/>
                <w:b/>
                <w:bCs/>
                <w:sz w:val="24"/>
                <w:szCs w:val="24"/>
                <w:highlight w:val="none"/>
                <w:lang w:val="en-US" w:eastAsia="zh-CN"/>
              </w:rPr>
              <w:t>(评分范围：2,1,0)</w:t>
            </w:r>
            <w:r>
              <w:rPr>
                <w:rFonts w:hint="eastAsia" w:ascii="宋体" w:hAnsi="宋体" w:eastAsia="宋体" w:cs="宋体"/>
                <w:sz w:val="24"/>
                <w:szCs w:val="24"/>
                <w:highlight w:val="none"/>
                <w:lang w:val="en-US" w:eastAsia="zh-CN"/>
              </w:rPr>
              <w:t>。</w:t>
            </w:r>
          </w:p>
          <w:p w14:paraId="54F16295">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000000"/>
                <w:kern w:val="0"/>
                <w:sz w:val="24"/>
                <w:szCs w:val="24"/>
                <w:highlight w:val="none"/>
                <w:lang w:val="en-US" w:eastAsia="zh-CN"/>
              </w:rPr>
            </w:pPr>
            <w:r>
              <w:rPr>
                <w:rFonts w:hint="eastAsia" w:ascii="宋体" w:hAnsi="宋体" w:eastAsia="宋体" w:cs="宋体"/>
                <w:sz w:val="24"/>
                <w:szCs w:val="24"/>
                <w:highlight w:val="none"/>
                <w:lang w:val="en-US" w:eastAsia="zh-CN"/>
              </w:rPr>
              <w:t>（2）针对法律风险防控建议：方案描述是否全面合理、是否科学可行，是否具有针对性，是否贴合采购需求。</w:t>
            </w:r>
            <w:r>
              <w:rPr>
                <w:rFonts w:hint="eastAsia" w:ascii="宋体" w:hAnsi="宋体" w:eastAsia="宋体" w:cs="宋体"/>
                <w:b/>
                <w:bCs/>
                <w:sz w:val="24"/>
                <w:szCs w:val="24"/>
                <w:highlight w:val="none"/>
                <w:lang w:val="en-US" w:eastAsia="zh-CN"/>
              </w:rPr>
              <w:t>(评分范围：2,1,0)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21B16F6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4分</w:t>
            </w:r>
          </w:p>
        </w:tc>
      </w:tr>
    </w:tbl>
    <w:p w14:paraId="59F5554D">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）价格文件评分（</w:t>
      </w:r>
      <w:r>
        <w:rPr>
          <w:rFonts w:hint="eastAsia" w:ascii="宋体"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09948DD">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价格文件评分由各评委成员按评分细则进行评审打分，评标委员会认为投标人的报价明显低于其他通过符合性审查投标人的报价，有可能影响产品质量或者不能诚信履约的，应当要求其在评标现场30分钟内提供书面说明，必要时提交相关证明材料;投标人不能证明其报价合理性的，评标委员会应当将其作为无效投标处理。</w:t>
      </w:r>
    </w:p>
    <w:p w14:paraId="3954DC02">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价格分采用低价优先法计算，即满足招标文件要求且报价最低的投标报价为评标基准价，其他投标人的价格分按照下列公式计算：</w:t>
      </w:r>
    </w:p>
    <w:p w14:paraId="450D4AF1">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注意：本项目最高限价为</w:t>
      </w:r>
      <w:r>
        <w:rPr>
          <w:rFonts w:hint="eastAsia" w:ascii="宋体" w:hAnsi="宋体" w:eastAsia="宋体" w:cs="宋体"/>
          <w:b w:val="0"/>
          <w:bCs/>
          <w:color w:val="auto"/>
          <w:sz w:val="24"/>
          <w:szCs w:val="24"/>
          <w:highlight w:val="none"/>
          <w:u w:val="single"/>
          <w:lang w:val="en-US" w:eastAsia="zh-CN"/>
        </w:rPr>
        <w:t xml:space="preserve"> 680000元 </w:t>
      </w:r>
      <w:r>
        <w:rPr>
          <w:rFonts w:hint="eastAsia" w:ascii="宋体" w:hAnsi="宋体" w:eastAsia="宋体" w:cs="宋体"/>
          <w:color w:val="auto"/>
          <w:sz w:val="24"/>
          <w:szCs w:val="24"/>
          <w:highlight w:val="none"/>
          <w:lang w:val="en-US" w:eastAsia="zh-CN"/>
        </w:rPr>
        <w:t>，投标人投标报价超过最高投标限价的做否决投标处理。</w:t>
      </w:r>
    </w:p>
    <w:p w14:paraId="0FA48153">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Cs/>
          <w:spacing w:val="-4"/>
          <w:sz w:val="24"/>
          <w:szCs w:val="24"/>
          <w:highlight w:val="none"/>
          <w:lang w:val="en-US" w:eastAsia="zh-CN"/>
        </w:rPr>
      </w:pPr>
      <w:r>
        <w:rPr>
          <w:rFonts w:hint="eastAsia" w:ascii="宋体" w:hAnsi="宋体" w:eastAsia="宋体" w:cs="宋体"/>
          <w:sz w:val="24"/>
          <w:highlight w:val="none"/>
        </w:rPr>
        <w:t>价格分=（评标基准价/投标报价）</w:t>
      </w:r>
      <w:r>
        <w:rPr>
          <w:rFonts w:hint="eastAsia" w:ascii="宋体" w:hAnsi="宋体" w:eastAsia="宋体" w:cs="宋体"/>
          <w:bCs/>
          <w:spacing w:val="-4"/>
          <w:sz w:val="24"/>
          <w:szCs w:val="24"/>
          <w:highlight w:val="none"/>
        </w:rPr>
        <w:t>×</w:t>
      </w:r>
      <w:r>
        <w:rPr>
          <w:rFonts w:hint="eastAsia" w:ascii="宋体" w:hAnsi="宋体" w:eastAsia="宋体" w:cs="宋体"/>
          <w:bCs/>
          <w:spacing w:val="-4"/>
          <w:sz w:val="24"/>
          <w:szCs w:val="24"/>
          <w:highlight w:val="none"/>
          <w:lang w:eastAsia="zh-CN"/>
        </w:rPr>
        <w:t>价格权值（</w:t>
      </w:r>
      <w:r>
        <w:rPr>
          <w:rFonts w:hint="eastAsia" w:ascii="宋体" w:hAnsi="宋体" w:eastAsia="宋体" w:cs="宋体"/>
          <w:bCs/>
          <w:spacing w:val="-4"/>
          <w:sz w:val="24"/>
          <w:szCs w:val="24"/>
          <w:highlight w:val="none"/>
          <w:lang w:val="en-US" w:eastAsia="zh-CN"/>
        </w:rPr>
        <w:t>10分</w:t>
      </w:r>
      <w:r>
        <w:rPr>
          <w:rFonts w:hint="eastAsia" w:ascii="宋体" w:hAnsi="宋体" w:eastAsia="宋体" w:cs="宋体"/>
          <w:bCs/>
          <w:spacing w:val="-4"/>
          <w:sz w:val="24"/>
          <w:szCs w:val="24"/>
          <w:highlight w:val="none"/>
          <w:lang w:eastAsia="zh-CN"/>
        </w:rPr>
        <w:t>）</w:t>
      </w:r>
      <w:r>
        <w:rPr>
          <w:rFonts w:hint="eastAsia" w:ascii="宋体" w:hAnsi="宋体" w:eastAsia="宋体" w:cs="宋体"/>
          <w:bCs/>
          <w:spacing w:val="-4"/>
          <w:sz w:val="24"/>
          <w:szCs w:val="24"/>
          <w:highlight w:val="none"/>
          <w:lang w:val="en-US" w:eastAsia="zh-CN"/>
        </w:rPr>
        <w:t>×100%</w:t>
      </w:r>
    </w:p>
    <w:p w14:paraId="79B21D4F">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落实政府采购政策说明：</w:t>
      </w:r>
    </w:p>
    <w:p w14:paraId="6192EC7A">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u w:val="single"/>
        </w:rPr>
        <w:t>本项目为预留份额项目，专门面向中小企业采购。专门面向中小企业采购的标项，不再执行价格评审优惠的扶持政策。</w:t>
      </w:r>
    </w:p>
    <w:p w14:paraId="521BA427">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）其他</w:t>
      </w:r>
    </w:p>
    <w:p w14:paraId="46B23D89">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评分时保留小数点后1位小数，计算评分值时保留小数点后2位小数，由评标委员会当场统一计算。</w:t>
      </w:r>
    </w:p>
    <w:p w14:paraId="1CBF1E1B">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投标人的最终总得分为商务技术文件及报价部分二部分得分的总和。</w:t>
      </w:r>
    </w:p>
    <w:p w14:paraId="6094D49D">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报价是中标的一个重要因素，但最低报价不是中标的唯一依据。</w:t>
      </w:r>
    </w:p>
    <w:p w14:paraId="76DAAB26">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六、定标办法</w:t>
      </w:r>
      <w:bookmarkEnd w:id="79"/>
      <w:bookmarkEnd w:id="80"/>
      <w:bookmarkEnd w:id="81"/>
      <w:bookmarkEnd w:id="82"/>
    </w:p>
    <w:p w14:paraId="2B776164">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1.本次招标由评标委员会直接确定中标</w:t>
      </w:r>
      <w:r>
        <w:rPr>
          <w:rFonts w:hint="eastAsia" w:ascii="宋体" w:hAnsi="宋体" w:eastAsia="宋体" w:cs="宋体"/>
          <w:sz w:val="24"/>
          <w:szCs w:val="24"/>
          <w:highlight w:val="none"/>
          <w:lang w:val="zh-CN"/>
        </w:rPr>
        <w:t>候选人</w:t>
      </w:r>
      <w:r>
        <w:rPr>
          <w:rFonts w:hint="eastAsia" w:ascii="宋体" w:hAnsi="宋体" w:eastAsia="宋体" w:cs="宋体"/>
          <w:sz w:val="24"/>
          <w:szCs w:val="24"/>
          <w:highlight w:val="none"/>
        </w:rPr>
        <w:t>。</w:t>
      </w:r>
    </w:p>
    <w:p w14:paraId="377EA6A9">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2.由评标委员会按招标文件中规定的各项因素进行综合评审，</w:t>
      </w:r>
      <w:r>
        <w:rPr>
          <w:rFonts w:hint="eastAsia" w:ascii="宋体" w:hAnsi="宋体" w:eastAsia="宋体" w:cs="宋体"/>
          <w:b/>
          <w:bCs/>
          <w:sz w:val="24"/>
          <w:szCs w:val="24"/>
          <w:highlight w:val="none"/>
        </w:rPr>
        <w:t>确定综合得分最高的供应商为</w:t>
      </w:r>
      <w:r>
        <w:rPr>
          <w:rFonts w:hint="eastAsia" w:ascii="宋体" w:hAnsi="宋体" w:eastAsia="宋体" w:cs="宋体"/>
          <w:b/>
          <w:bCs/>
          <w:sz w:val="24"/>
          <w:szCs w:val="24"/>
          <w:highlight w:val="none"/>
          <w:lang w:val="en-US" w:eastAsia="zh-CN"/>
        </w:rPr>
        <w:t>第一</w:t>
      </w:r>
      <w:r>
        <w:rPr>
          <w:rFonts w:hint="eastAsia" w:ascii="宋体" w:hAnsi="宋体" w:eastAsia="宋体" w:cs="宋体"/>
          <w:b/>
          <w:bCs/>
          <w:sz w:val="24"/>
          <w:szCs w:val="24"/>
          <w:highlight w:val="none"/>
        </w:rPr>
        <w:t>中标人</w:t>
      </w:r>
      <w:r>
        <w:rPr>
          <w:rFonts w:hint="eastAsia" w:ascii="宋体" w:hAnsi="宋体" w:eastAsia="宋体" w:cs="宋体"/>
          <w:b/>
          <w:bCs/>
          <w:sz w:val="24"/>
          <w:szCs w:val="24"/>
          <w:highlight w:val="none"/>
          <w:lang w:eastAsia="zh-CN"/>
        </w:rPr>
        <w:t>，得分第二高者为第二中标候选人，得分第</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高者为第</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中标候选人</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如出现</w:t>
      </w:r>
      <w:r>
        <w:rPr>
          <w:rFonts w:hint="eastAsia" w:ascii="宋体" w:hAnsi="宋体" w:eastAsia="宋体" w:cs="宋体"/>
          <w:sz w:val="24"/>
          <w:szCs w:val="24"/>
          <w:highlight w:val="none"/>
          <w:lang w:val="en-US" w:eastAsia="zh-CN"/>
        </w:rPr>
        <w:t>综合</w:t>
      </w:r>
      <w:r>
        <w:rPr>
          <w:rFonts w:hint="eastAsia" w:ascii="宋体" w:hAnsi="宋体" w:eastAsia="宋体" w:cs="宋体"/>
          <w:sz w:val="24"/>
          <w:szCs w:val="24"/>
          <w:highlight w:val="none"/>
        </w:rPr>
        <w:t>得分相同时，</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报价低的优先；如综合得分和投标报价均相同，则现场抽签确定</w:t>
      </w:r>
      <w:r>
        <w:rPr>
          <w:rFonts w:hint="eastAsia" w:ascii="宋体" w:hAnsi="宋体" w:eastAsia="宋体" w:cs="宋体"/>
          <w:sz w:val="24"/>
          <w:szCs w:val="24"/>
          <w:highlight w:val="none"/>
          <w:lang w:val="zh-CN"/>
        </w:rPr>
        <w:t>。</w:t>
      </w:r>
    </w:p>
    <w:p w14:paraId="1BB35B9C">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3、如中标候选人放弃中标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因不可抗力提出不能履行合同；或者招标文件规定应当提交履约保证金而在规定的期限内未能提交的；或未能在规定时间内与采购单位签订合同的；或者经质疑，采购人审查后，确因中标候选人在本次采购活动中存在违法违规行为或其他原因使质疑成立的，采购人</w:t>
      </w:r>
      <w:r>
        <w:rPr>
          <w:rFonts w:hint="eastAsia" w:ascii="宋体" w:hAnsi="宋体" w:eastAsia="宋体" w:cs="宋体"/>
          <w:sz w:val="24"/>
          <w:szCs w:val="24"/>
          <w:highlight w:val="none"/>
          <w:lang w:val="en-US" w:eastAsia="zh-CN"/>
        </w:rPr>
        <w:t>可</w:t>
      </w:r>
      <w:r>
        <w:rPr>
          <w:rFonts w:hint="eastAsia" w:ascii="宋体" w:hAnsi="宋体" w:eastAsia="宋体" w:cs="宋体"/>
          <w:sz w:val="24"/>
          <w:szCs w:val="24"/>
          <w:highlight w:val="none"/>
          <w:lang w:val="zh-CN"/>
        </w:rPr>
        <w:t>重新招标。</w:t>
      </w:r>
    </w:p>
    <w:p w14:paraId="2F14846D">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五、询标</w:t>
      </w:r>
    </w:p>
    <w:p w14:paraId="4AC01166">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对投标文件中存在含义不清楚的内容，必要时评标委员会要求供应商作必要的澄清、说明或补正。询标记录需供应商授权代表签字确认，它将作为投标文件的一部分。</w:t>
      </w:r>
    </w:p>
    <w:p w14:paraId="2AB450F7">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六、修改评标结果</w:t>
      </w:r>
    </w:p>
    <w:p w14:paraId="25787FFC">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评标结果汇总完成后，除下列情形外，任何人不得修改评标结果：</w:t>
      </w:r>
    </w:p>
    <w:p w14:paraId="0F14B37E">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（一）分值汇总计算错误的</w:t>
      </w:r>
    </w:p>
    <w:p w14:paraId="0318C12A">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（二）分项评分超出评分标准范围的；</w:t>
      </w:r>
    </w:p>
    <w:p w14:paraId="7D801434">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（三）评标委员会成员对客观评审因素评分不一致的；</w:t>
      </w:r>
    </w:p>
    <w:p w14:paraId="06F41C41">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bCs/>
          <w:sz w:val="24"/>
          <w:highlight w:val="none"/>
        </w:rPr>
        <w:t>（四）经评标委员会认定评分畸高、畸低的。</w:t>
      </w:r>
    </w:p>
    <w:sectPr>
      <w:pgSz w:w="11906" w:h="16838"/>
      <w:pgMar w:top="1134" w:right="1134" w:bottom="1134" w:left="1134"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64D5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posOffset>2306320</wp:posOffset>
              </wp:positionH>
              <wp:positionV relativeFrom="paragraph">
                <wp:posOffset>-31115</wp:posOffset>
              </wp:positionV>
              <wp:extent cx="1460500" cy="185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6050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FE3B1">
                          <w:pPr>
                            <w:pStyle w:val="13"/>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1.6pt;margin-top:-2.45pt;height:14.6pt;width:115pt;mso-position-horizontal-relative:margin;z-index:251659264;mso-width-relative:page;mso-height-relative:page;" filled="f" stroked="f" coordsize="21600,21600" o:gfxdata="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DNIQTYAAAACQEAAA8AAAAAAAAAAQAgAAAAIgAAAGRycy9kb3ducmV2&#10;LnhtbFBLAQIUABQAAAAIAIdO4kC/wsSTNQIAAGIEAAAOAAAAAAAAAAEAIAAAACcBAABkcnMvZTJv&#10;RG9jLnhtbFBLBQYAAAAABgAGAFkBAADOBQAAAAA=&#10;">
              <v:fill on="f" focussize="0,0"/>
              <v:stroke on="f" weight="0.5pt"/>
              <v:imagedata o:title=""/>
              <o:lock v:ext="edit" aspectratio="f"/>
              <v:textbox inset="0mm,0mm,0mm,0mm">
                <w:txbxContent>
                  <w:p w14:paraId="42AFE3B1">
                    <w:pPr>
                      <w:pStyle w:val="13"/>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A96B3"/>
    <w:multiLevelType w:val="singleLevel"/>
    <w:tmpl w:val="A9FA96B3"/>
    <w:lvl w:ilvl="0" w:tentative="0">
      <w:start w:val="1"/>
      <w:numFmt w:val="decimal"/>
      <w:suff w:val="nothing"/>
      <w:lvlText w:val="%1、"/>
      <w:lvlJc w:val="left"/>
    </w:lvl>
  </w:abstractNum>
  <w:abstractNum w:abstractNumId="1">
    <w:nsid w:val="E0533E77"/>
    <w:multiLevelType w:val="singleLevel"/>
    <w:tmpl w:val="E0533E77"/>
    <w:lvl w:ilvl="0" w:tentative="0">
      <w:start w:val="2"/>
      <w:numFmt w:val="chineseCounting"/>
      <w:suff w:val="space"/>
      <w:lvlText w:val="第%1章"/>
      <w:lvlJc w:val="left"/>
      <w:rPr>
        <w:rFonts w:hint="eastAsia"/>
      </w:rPr>
    </w:lvl>
  </w:abstractNum>
  <w:abstractNum w:abstractNumId="2">
    <w:nsid w:val="F23A3BEC"/>
    <w:multiLevelType w:val="singleLevel"/>
    <w:tmpl w:val="F23A3BEC"/>
    <w:lvl w:ilvl="0" w:tentative="0">
      <w:start w:val="5"/>
      <w:numFmt w:val="chineseCounting"/>
      <w:suff w:val="space"/>
      <w:lvlText w:val="第%1章"/>
      <w:lvlJc w:val="left"/>
      <w:rPr>
        <w:rFonts w:hint="eastAsia"/>
      </w:rPr>
    </w:lvl>
  </w:abstractNum>
  <w:abstractNum w:abstractNumId="3">
    <w:nsid w:val="0E7D0BCA"/>
    <w:multiLevelType w:val="singleLevel"/>
    <w:tmpl w:val="0E7D0BCA"/>
    <w:lvl w:ilvl="0" w:tentative="0">
      <w:start w:val="2"/>
      <w:numFmt w:val="chineseCounting"/>
      <w:suff w:val="nothing"/>
      <w:lvlText w:val="%1、"/>
      <w:lvlJc w:val="left"/>
      <w:rPr>
        <w:rFonts w:hint="eastAsia"/>
      </w:rPr>
    </w:lvl>
  </w:abstractNum>
  <w:abstractNum w:abstractNumId="4">
    <w:nsid w:val="540DC5A7"/>
    <w:multiLevelType w:val="multilevel"/>
    <w:tmpl w:val="540DC5A7"/>
    <w:lvl w:ilvl="0" w:tentative="0">
      <w:start w:val="1"/>
      <w:numFmt w:val="decimal"/>
      <w:lvlText w:val="%1）"/>
      <w:lvlJc w:val="left"/>
      <w:pPr>
        <w:tabs>
          <w:tab w:val="left" w:pos="840"/>
        </w:tabs>
        <w:ind w:left="840" w:hanging="420"/>
      </w:pPr>
      <w:rPr>
        <w:rFonts w:hint="default" w:ascii="宋体" w:hAnsi="宋体" w:eastAsia="宋体" w:cs="宋体"/>
        <w:b w:val="0"/>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87D838A"/>
    <w:multiLevelType w:val="singleLevel"/>
    <w:tmpl w:val="787D838A"/>
    <w:lvl w:ilvl="0" w:tentative="0">
      <w:start w:val="1"/>
      <w:numFmt w:val="decimal"/>
      <w:suff w:val="nothing"/>
      <w:lvlText w:val="（%1）"/>
      <w:lvlJc w:val="left"/>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NzY0Yzg3MTQzODY0NDg1NDE0NGY0MzZlOTAwZjkifQ=="/>
  </w:docVars>
  <w:rsids>
    <w:rsidRoot w:val="00000000"/>
    <w:rsid w:val="01191952"/>
    <w:rsid w:val="029D460C"/>
    <w:rsid w:val="02E04493"/>
    <w:rsid w:val="03EF5361"/>
    <w:rsid w:val="0A0C48AD"/>
    <w:rsid w:val="0D3316D4"/>
    <w:rsid w:val="0E560260"/>
    <w:rsid w:val="0F5012A9"/>
    <w:rsid w:val="11E4054C"/>
    <w:rsid w:val="14156D72"/>
    <w:rsid w:val="14EC447B"/>
    <w:rsid w:val="15C037CE"/>
    <w:rsid w:val="15CB6525"/>
    <w:rsid w:val="17BB0A5C"/>
    <w:rsid w:val="1A166B43"/>
    <w:rsid w:val="1C9F721E"/>
    <w:rsid w:val="1CAC09B2"/>
    <w:rsid w:val="1D214491"/>
    <w:rsid w:val="1E3D28B5"/>
    <w:rsid w:val="1ED15DCF"/>
    <w:rsid w:val="1F9847A4"/>
    <w:rsid w:val="202B309C"/>
    <w:rsid w:val="23192C31"/>
    <w:rsid w:val="241B7F5B"/>
    <w:rsid w:val="25483B21"/>
    <w:rsid w:val="27393EE6"/>
    <w:rsid w:val="28C53AD8"/>
    <w:rsid w:val="2C1B659D"/>
    <w:rsid w:val="2C263F98"/>
    <w:rsid w:val="2DD42233"/>
    <w:rsid w:val="2E8B4760"/>
    <w:rsid w:val="2EF55040"/>
    <w:rsid w:val="2F4B5643"/>
    <w:rsid w:val="31A7399D"/>
    <w:rsid w:val="31F2245F"/>
    <w:rsid w:val="34097906"/>
    <w:rsid w:val="34F82808"/>
    <w:rsid w:val="36007CC2"/>
    <w:rsid w:val="37996C8D"/>
    <w:rsid w:val="38D50DE2"/>
    <w:rsid w:val="3B8871F0"/>
    <w:rsid w:val="3C1764ED"/>
    <w:rsid w:val="3F3D5C15"/>
    <w:rsid w:val="41D55541"/>
    <w:rsid w:val="42083CE0"/>
    <w:rsid w:val="43302ED5"/>
    <w:rsid w:val="444666E7"/>
    <w:rsid w:val="44CC715E"/>
    <w:rsid w:val="48A12970"/>
    <w:rsid w:val="4BE07BCE"/>
    <w:rsid w:val="4C566F11"/>
    <w:rsid w:val="4D0F26FA"/>
    <w:rsid w:val="4EA509F6"/>
    <w:rsid w:val="4EAE7EEE"/>
    <w:rsid w:val="515F6C25"/>
    <w:rsid w:val="52CA07F0"/>
    <w:rsid w:val="533C471A"/>
    <w:rsid w:val="5640413F"/>
    <w:rsid w:val="57303CD7"/>
    <w:rsid w:val="582A306E"/>
    <w:rsid w:val="58E45B24"/>
    <w:rsid w:val="595F14C2"/>
    <w:rsid w:val="5A883171"/>
    <w:rsid w:val="5C930C24"/>
    <w:rsid w:val="5CDE0DE1"/>
    <w:rsid w:val="5F550079"/>
    <w:rsid w:val="5F99534D"/>
    <w:rsid w:val="6083673C"/>
    <w:rsid w:val="60FD25EE"/>
    <w:rsid w:val="61BE08E7"/>
    <w:rsid w:val="64641563"/>
    <w:rsid w:val="653D3504"/>
    <w:rsid w:val="653E1551"/>
    <w:rsid w:val="66B705EA"/>
    <w:rsid w:val="68ED7752"/>
    <w:rsid w:val="69C63A76"/>
    <w:rsid w:val="6B637786"/>
    <w:rsid w:val="6B9F2D98"/>
    <w:rsid w:val="6DC905D4"/>
    <w:rsid w:val="6E364098"/>
    <w:rsid w:val="6F834209"/>
    <w:rsid w:val="6FFE3750"/>
    <w:rsid w:val="72835DF6"/>
    <w:rsid w:val="72B4247F"/>
    <w:rsid w:val="72EE05F4"/>
    <w:rsid w:val="741144D9"/>
    <w:rsid w:val="745F1315"/>
    <w:rsid w:val="76015621"/>
    <w:rsid w:val="774C1C37"/>
    <w:rsid w:val="77A33C5C"/>
    <w:rsid w:val="787D4647"/>
    <w:rsid w:val="7DD935FD"/>
    <w:rsid w:val="7E546BC4"/>
    <w:rsid w:val="FFDD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2"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qFormat/>
    <w:uiPriority w:val="0"/>
    <w:pPr>
      <w:ind w:firstLine="420" w:firstLineChars="100"/>
    </w:pPr>
  </w:style>
  <w:style w:type="paragraph" w:styleId="7">
    <w:name w:val="Normal Indent"/>
    <w:basedOn w:val="1"/>
    <w:next w:val="1"/>
    <w:qFormat/>
    <w:uiPriority w:val="0"/>
    <w:pPr>
      <w:ind w:firstLine="420" w:firstLineChars="200"/>
    </w:pPr>
  </w:style>
  <w:style w:type="paragraph" w:styleId="8">
    <w:name w:val="annotation text"/>
    <w:basedOn w:val="1"/>
    <w:unhideWhenUsed/>
    <w:qFormat/>
    <w:uiPriority w:val="0"/>
    <w:pPr>
      <w:jc w:val="left"/>
    </w:pPr>
  </w:style>
  <w:style w:type="paragraph" w:styleId="9">
    <w:name w:val="Body Text Indent"/>
    <w:basedOn w:val="1"/>
    <w:next w:val="10"/>
    <w:qFormat/>
    <w:uiPriority w:val="0"/>
    <w:pPr>
      <w:spacing w:line="360" w:lineRule="auto"/>
      <w:ind w:firstLine="435"/>
    </w:pPr>
    <w:rPr>
      <w:sz w:val="28"/>
      <w:szCs w:val="24"/>
    </w:rPr>
  </w:style>
  <w:style w:type="paragraph" w:styleId="10">
    <w:name w:val="Body Text First Indent 2"/>
    <w:basedOn w:val="9"/>
    <w:next w:val="3"/>
    <w:qFormat/>
    <w:uiPriority w:val="0"/>
    <w:pPr>
      <w:spacing w:line="312" w:lineRule="auto"/>
      <w:ind w:firstLine="420" w:firstLineChars="200"/>
    </w:pPr>
    <w:rPr>
      <w:sz w:val="22"/>
    </w:rPr>
  </w:style>
  <w:style w:type="paragraph" w:styleId="11">
    <w:name w:val="Plain Text"/>
    <w:basedOn w:val="1"/>
    <w:next w:val="1"/>
    <w:qFormat/>
    <w:uiPriority w:val="0"/>
    <w:rPr>
      <w:rFonts w:ascii="宋体" w:hAnsi="Courier New"/>
    </w:rPr>
  </w:style>
  <w:style w:type="paragraph" w:styleId="12">
    <w:name w:val="Date"/>
    <w:basedOn w:val="1"/>
    <w:next w:val="1"/>
    <w:qFormat/>
    <w:uiPriority w:val="0"/>
    <w:pPr>
      <w:adjustRightInd w:val="0"/>
      <w:jc w:val="right"/>
      <w:textAlignment w:val="baseline"/>
    </w:pPr>
    <w:rPr>
      <w:rFonts w:eastAsia="仿宋_GB2312" w:asciiTheme="minorHAnsi" w:hAnsiTheme="minorHAnsi" w:cstheme="minorBidi"/>
      <w:b/>
      <w:szCs w:val="22"/>
    </w:rPr>
  </w:style>
  <w:style w:type="paragraph" w:styleId="13">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14">
    <w:name w:val="envelope return"/>
    <w:basedOn w:val="1"/>
    <w:qFormat/>
    <w:uiPriority w:val="99"/>
    <w:pPr>
      <w:snapToGrid w:val="0"/>
    </w:pPr>
    <w:rPr>
      <w:rFonts w:ascii="Arial" w:hAnsi="Arial" w:cs="Arial"/>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pPr>
      <w:spacing w:line="720" w:lineRule="auto"/>
    </w:pPr>
    <w:rPr>
      <w:rFonts w:eastAsia="宋体"/>
      <w:sz w:val="28"/>
    </w:rPr>
  </w:style>
  <w:style w:type="paragraph" w:styleId="17">
    <w:name w:val="toc 6"/>
    <w:basedOn w:val="1"/>
    <w:next w:val="1"/>
    <w:qFormat/>
    <w:uiPriority w:val="2"/>
    <w:pPr>
      <w:ind w:left="1400"/>
      <w:jc w:val="left"/>
    </w:pPr>
    <w:rPr>
      <w:rFonts w:ascii="Calibri" w:hAnsi="Calibri"/>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paragraph" w:customStyle="1" w:styleId="24">
    <w:name w:val="列出段落1"/>
    <w:basedOn w:val="1"/>
    <w:qFormat/>
    <w:uiPriority w:val="0"/>
    <w:pPr>
      <w:autoSpaceDE/>
      <w:autoSpaceDN/>
      <w:adjustRightInd/>
      <w:ind w:firstLine="420" w:firstLineChars="200"/>
      <w:jc w:val="both"/>
    </w:pPr>
    <w:rPr>
      <w:kern w:val="2"/>
      <w:sz w:val="21"/>
      <w:szCs w:val="22"/>
    </w:rPr>
  </w:style>
  <w:style w:type="paragraph" w:styleId="25">
    <w:name w:val="List Paragraph"/>
    <w:basedOn w:val="1"/>
    <w:qFormat/>
    <w:uiPriority w:val="0"/>
  </w:style>
  <w:style w:type="paragraph" w:customStyle="1" w:styleId="26">
    <w:name w:val="正文_0_1"/>
    <w:qFormat/>
    <w:uiPriority w:val="1"/>
    <w:pPr>
      <w:jc w:val="both"/>
    </w:pPr>
    <w:rPr>
      <w:rFonts w:ascii="Times New Roman" w:hAnsi="Times New Roman" w:eastAsia="宋体" w:cs="Times New Roman"/>
      <w:sz w:val="21"/>
      <w:szCs w:val="21"/>
      <w:lang w:val="en-US" w:eastAsia="zh-CN" w:bidi="ar-SA"/>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paragraph" w:customStyle="1" w:styleId="28">
    <w:name w:val="正文2"/>
    <w:basedOn w:val="1"/>
    <w:next w:val="16"/>
    <w:qFormat/>
    <w:uiPriority w:val="0"/>
    <w:pPr>
      <w:spacing w:before="156" w:line="360" w:lineRule="auto"/>
      <w:ind w:firstLine="510" w:firstLineChars="200"/>
    </w:pPr>
    <w:rPr>
      <w:sz w:val="24"/>
      <w:szCs w:val="20"/>
    </w:rPr>
  </w:style>
  <w:style w:type="character" w:customStyle="1" w:styleId="29">
    <w:name w:val="large1"/>
    <w:qFormat/>
    <w:uiPriority w:val="0"/>
    <w:rPr>
      <w:rFonts w:hint="eastAsia" w:ascii="宋体" w:hAnsi="宋体" w:eastAsia="宋体"/>
      <w:sz w:val="21"/>
      <w:szCs w:val="21"/>
    </w:rPr>
  </w:style>
  <w:style w:type="paragraph" w:customStyle="1" w:styleId="30">
    <w:name w:val="首行缩进"/>
    <w:basedOn w:val="1"/>
    <w:qFormat/>
    <w:uiPriority w:val="0"/>
    <w:pPr>
      <w:spacing w:line="360" w:lineRule="auto"/>
      <w:ind w:firstLine="480" w:firstLineChars="200"/>
    </w:pPr>
    <w:rPr>
      <w:rFonts w:hAnsi="宋体" w:cs="宋体"/>
      <w:sz w:val="24"/>
    </w:rPr>
  </w:style>
  <w:style w:type="paragraph" w:styleId="31">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Body Text First Indent1"/>
    <w:basedOn w:val="2"/>
    <w:next w:val="1"/>
    <w:qFormat/>
    <w:uiPriority w:val="0"/>
    <w:pPr>
      <w:adjustRightInd w:val="0"/>
      <w:spacing w:line="360" w:lineRule="auto"/>
      <w:ind w:firstLine="420"/>
      <w:textAlignment w:val="baseline"/>
    </w:pPr>
    <w:rPr>
      <w:rFonts w:eastAsia="楷体_GB2312"/>
      <w:sz w:val="24"/>
    </w:rPr>
  </w:style>
  <w:style w:type="character" w:customStyle="1" w:styleId="33">
    <w:name w:val="font11"/>
    <w:basedOn w:val="21"/>
    <w:qFormat/>
    <w:uiPriority w:val="0"/>
    <w:rPr>
      <w:rFonts w:hint="eastAsia" w:ascii="宋体" w:hAnsi="宋体" w:eastAsia="宋体" w:cs="宋体"/>
      <w:color w:val="000000"/>
      <w:sz w:val="21"/>
      <w:szCs w:val="21"/>
      <w:u w:val="none"/>
    </w:rPr>
  </w:style>
  <w:style w:type="paragraph" w:customStyle="1" w:styleId="34">
    <w:name w:val="TOC 标题2"/>
    <w:basedOn w:val="4"/>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cs="Times New Roman"/>
      <w:color w:val="366091"/>
      <w:kern w:val="0"/>
      <w:sz w:val="28"/>
      <w:szCs w:val="28"/>
    </w:rPr>
  </w:style>
  <w:style w:type="paragraph" w:customStyle="1" w:styleId="35">
    <w:name w:val="批注框文本1"/>
    <w:basedOn w:val="1"/>
    <w:qFormat/>
    <w:uiPriority w:val="0"/>
    <w:rPr>
      <w:sz w:val="18"/>
      <w:szCs w:val="18"/>
    </w:rPr>
  </w:style>
  <w:style w:type="paragraph" w:customStyle="1" w:styleId="3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7">
    <w:name w:val="表格文字"/>
    <w:basedOn w:val="38"/>
    <w:next w:val="2"/>
    <w:qFormat/>
    <w:uiPriority w:val="0"/>
    <w:pPr>
      <w:adjustRightInd w:val="0"/>
      <w:spacing w:line="420" w:lineRule="atLeast"/>
      <w:textAlignment w:val="baseline"/>
    </w:pPr>
    <w:rPr>
      <w:kern w:val="0"/>
      <w:sz w:val="21"/>
    </w:rPr>
  </w:style>
  <w:style w:type="paragraph" w:customStyle="1" w:styleId="38">
    <w:name w:val="表格文字（两侧对齐）"/>
    <w:basedOn w:val="1"/>
    <w:qFormat/>
    <w:uiPriority w:val="0"/>
    <w:pPr>
      <w:snapToGrid w:val="0"/>
    </w:pPr>
    <w:rPr>
      <w:sz w:val="20"/>
      <w:szCs w:val="24"/>
    </w:rPr>
  </w:style>
  <w:style w:type="paragraph" w:customStyle="1" w:styleId="39">
    <w:name w:val="Plain Text"/>
    <w:basedOn w:val="1"/>
    <w:qFormat/>
    <w:uiPriority w:val="0"/>
    <w:pPr>
      <w:widowControl/>
      <w:jc w:val="left"/>
    </w:pPr>
    <w:rPr>
      <w:rFonts w:hint="eastAsia" w:ascii="宋体" w:hAnsi="Courier New"/>
      <w:szCs w:val="20"/>
    </w:rPr>
  </w:style>
  <w:style w:type="paragraph" w:customStyle="1" w:styleId="4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
    <w:name w:val="正文首行缩进2字符"/>
    <w:basedOn w:val="1"/>
    <w:qFormat/>
    <w:uiPriority w:val="99"/>
    <w:pPr>
      <w:spacing w:line="360" w:lineRule="auto"/>
      <w:ind w:firstLine="482"/>
    </w:pPr>
    <w:rPr>
      <w:kern w:val="0"/>
      <w:sz w:val="24"/>
    </w:rPr>
  </w:style>
  <w:style w:type="paragraph" w:customStyle="1" w:styleId="42">
    <w:name w:val="纯文本1"/>
    <w:basedOn w:val="1"/>
    <w:qFormat/>
    <w:uiPriority w:val="1650"/>
    <w:pPr>
      <w:widowControl/>
      <w:jc w:val="left"/>
    </w:pPr>
    <w:rPr>
      <w:rFonts w:ascii="宋体" w:hAnsi="Courier New"/>
      <w:kern w:val="0"/>
      <w:sz w:val="20"/>
      <w:szCs w:val="21"/>
    </w:rPr>
  </w:style>
  <w:style w:type="paragraph" w:customStyle="1" w:styleId="43">
    <w:name w:val="正文_4"/>
    <w:basedOn w:val="44"/>
    <w:qFormat/>
    <w:uiPriority w:val="99"/>
    <w:pPr>
      <w:jc w:val="both"/>
    </w:pPr>
    <w:rPr>
      <w:sz w:val="21"/>
      <w:szCs w:val="21"/>
      <w:lang w:val="en-US" w:eastAsia="zh-CN" w:bidi="ar-SA"/>
    </w:rPr>
  </w:style>
  <w:style w:type="paragraph" w:customStyle="1" w:styleId="44">
    <w:name w:val="正文_2_0_0"/>
    <w:basedOn w:val="45"/>
    <w:next w:val="46"/>
    <w:qFormat/>
    <w:uiPriority w:val="1"/>
  </w:style>
  <w:style w:type="paragraph" w:customStyle="1" w:styleId="45">
    <w:name w:val="正文_2_0_1"/>
    <w:qFormat/>
    <w:uiPriority w:val="1"/>
    <w:pPr>
      <w:jc w:val="both"/>
    </w:pPr>
    <w:rPr>
      <w:rFonts w:ascii="Times New Roman" w:hAnsi="Times New Roman" w:eastAsia="宋体" w:cs="Times New Roman"/>
      <w:sz w:val="21"/>
      <w:szCs w:val="21"/>
      <w:lang w:val="en-US" w:eastAsia="zh-CN" w:bidi="ar-SA"/>
    </w:rPr>
  </w:style>
  <w:style w:type="paragraph" w:customStyle="1" w:styleId="46">
    <w:name w:val="正文文本_2_0"/>
    <w:basedOn w:val="44"/>
    <w:qFormat/>
    <w:uiPriority w:val="0"/>
    <w:rPr>
      <w:rFonts w:eastAsia="Times New Roman"/>
      <w:sz w:val="20"/>
      <w:szCs w:val="20"/>
    </w:rPr>
  </w:style>
  <w:style w:type="paragraph" w:customStyle="1" w:styleId="47">
    <w:name w:val="正文_1"/>
    <w:qFormat/>
    <w:uiPriority w:val="99"/>
    <w:pPr>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37394</Words>
  <Characters>39081</Characters>
  <Lines>0</Lines>
  <Paragraphs>0</Paragraphs>
  <TotalTime>30</TotalTime>
  <ScaleCrop>false</ScaleCrop>
  <LinksUpToDate>false</LinksUpToDate>
  <CharactersWithSpaces>40733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2023-12-11T15:15:00Z</dcterms:created>
  <dc:creator>Administrator</dc:creator>
  <cp:lastModifiedBy>A monologue</cp:lastModifiedBy>
  <cp:lastPrinted>2025-05-23T01:49:00Z</cp:lastPrinted>
  <dcterms:modified xsi:type="dcterms:W3CDTF">2025-07-10T01:40:46Z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FA6563A93CD44017BA99ED6F6714B149_13</vt:lpwstr>
  </property>
  <property fmtid="{D5CDD505-2E9C-101B-9397-08002B2CF9AE}" pid="4" name="KSOTemplateDocerSaveRecord">
    <vt:lpwstr>eyJoZGlkIjoiZDc5ZWUyMjk3Yzc5MDQ0NDAzNDU0YTRlMDUwNDM3NDUiLCJ1c2VySWQiOiI1MTQ2MzA1ODMifQ==</vt:lpwstr>
  </property>
</Properties>
</file>