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1DB4E">
      <w:pPr>
        <w:spacing w:line="360" w:lineRule="auto"/>
        <w:jc w:val="center"/>
        <w:rPr>
          <w:rFonts w:ascii="仿宋" w:hAnsi="仿宋" w:eastAsia="仿宋" w:cs="仿宋_GB2312"/>
          <w:b/>
          <w:color w:val="auto"/>
          <w:sz w:val="24"/>
          <w:highlight w:val="none"/>
        </w:rPr>
      </w:pPr>
    </w:p>
    <w:p w14:paraId="3AD78B16">
      <w:pPr>
        <w:spacing w:line="360" w:lineRule="auto"/>
        <w:jc w:val="center"/>
        <w:rPr>
          <w:rFonts w:ascii="仿宋" w:hAnsi="仿宋" w:eastAsia="仿宋" w:cs="仿宋_GB2312"/>
          <w:b/>
          <w:color w:val="auto"/>
          <w:sz w:val="24"/>
          <w:highlight w:val="none"/>
        </w:rPr>
      </w:pPr>
    </w:p>
    <w:p w14:paraId="5C504563">
      <w:pPr>
        <w:adjustRightInd/>
        <w:spacing w:line="360" w:lineRule="auto"/>
        <w:rPr>
          <w:rFonts w:ascii="仿宋" w:hAnsi="仿宋" w:eastAsia="仿宋" w:cs="仿宋_GB2312"/>
          <w:b/>
          <w:bCs/>
          <w:color w:val="auto"/>
          <w:sz w:val="48"/>
          <w:szCs w:val="48"/>
          <w:highlight w:val="none"/>
        </w:rPr>
      </w:pPr>
    </w:p>
    <w:p w14:paraId="16C906FD">
      <w:pPr>
        <w:adjustRightInd/>
        <w:spacing w:line="360" w:lineRule="auto"/>
        <w:jc w:val="center"/>
        <w:rPr>
          <w:rFonts w:hint="eastAsia" w:ascii="仿宋" w:hAnsi="仿宋" w:eastAsia="仿宋" w:cs="仿宋_GB2312"/>
          <w:b/>
          <w:bCs/>
          <w:color w:val="auto"/>
          <w:spacing w:val="-17"/>
          <w:sz w:val="48"/>
          <w:szCs w:val="48"/>
          <w:highlight w:val="none"/>
          <w:lang w:eastAsia="zh-CN"/>
        </w:rPr>
      </w:pPr>
      <w:r>
        <w:rPr>
          <w:rFonts w:hint="eastAsia" w:ascii="仿宋" w:hAnsi="仿宋" w:eastAsia="仿宋" w:cs="仿宋_GB2312"/>
          <w:b/>
          <w:bCs/>
          <w:color w:val="auto"/>
          <w:spacing w:val="-17"/>
          <w:sz w:val="48"/>
          <w:szCs w:val="48"/>
          <w:highlight w:val="none"/>
          <w:lang w:eastAsia="zh-CN"/>
        </w:rPr>
        <w:t>航埠镇沿线沿路屋顶分布式光伏电站整改服务项目（三次）</w:t>
      </w:r>
    </w:p>
    <w:p w14:paraId="376A5ACF">
      <w:pPr>
        <w:adjustRightInd/>
        <w:spacing w:line="360" w:lineRule="auto"/>
        <w:jc w:val="center"/>
        <w:rPr>
          <w:rFonts w:ascii="仿宋" w:hAnsi="仿宋" w:eastAsia="仿宋" w:cs="仿宋_GB2312"/>
          <w:b/>
          <w:bCs/>
          <w:color w:val="auto"/>
          <w:sz w:val="48"/>
          <w:szCs w:val="48"/>
          <w:highlight w:val="none"/>
        </w:rPr>
      </w:pPr>
      <w:r>
        <w:rPr>
          <w:rFonts w:hint="eastAsia" w:ascii="仿宋" w:hAnsi="仿宋" w:eastAsia="仿宋" w:cs="仿宋_GB2312"/>
          <w:b/>
          <w:bCs/>
          <w:color w:val="auto"/>
          <w:sz w:val="48"/>
          <w:szCs w:val="48"/>
          <w:highlight w:val="none"/>
        </w:rPr>
        <w:t>招标文件</w:t>
      </w:r>
    </w:p>
    <w:p w14:paraId="054058AC">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1EA85A64">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14:paraId="67516B72">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ZJTP-KCCG-2025068</w:t>
      </w:r>
    </w:p>
    <w:p w14:paraId="6F43455E">
      <w:pPr>
        <w:adjustRightInd/>
        <w:spacing w:line="360" w:lineRule="auto"/>
        <w:rPr>
          <w:rFonts w:ascii="仿宋" w:hAnsi="仿宋" w:eastAsia="仿宋" w:cs="仿宋_GB2312"/>
          <w:color w:val="auto"/>
          <w:sz w:val="28"/>
          <w:szCs w:val="20"/>
          <w:highlight w:val="none"/>
        </w:rPr>
      </w:pPr>
    </w:p>
    <w:p w14:paraId="08C6E9D5">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630BD98E">
      <w:pPr>
        <w:spacing w:line="360" w:lineRule="auto"/>
        <w:rPr>
          <w:rFonts w:ascii="仿宋" w:hAnsi="仿宋" w:eastAsia="仿宋" w:cs="仿宋_GB2312"/>
          <w:color w:val="auto"/>
          <w:sz w:val="32"/>
          <w:szCs w:val="32"/>
          <w:highlight w:val="none"/>
        </w:rPr>
      </w:pPr>
    </w:p>
    <w:p w14:paraId="76D33F96">
      <w:pPr>
        <w:snapToGrid w:val="0"/>
        <w:spacing w:line="360" w:lineRule="auto"/>
        <w:ind w:firstLine="1600" w:firstLineChars="500"/>
        <w:jc w:val="both"/>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采购单位：</w:t>
      </w:r>
      <w:r>
        <w:rPr>
          <w:rFonts w:hint="eastAsia" w:ascii="仿宋" w:hAnsi="仿宋" w:eastAsia="仿宋" w:cs="仿宋_GB2312"/>
          <w:color w:val="auto"/>
          <w:sz w:val="32"/>
          <w:szCs w:val="32"/>
          <w:highlight w:val="none"/>
          <w:lang w:eastAsia="zh-CN"/>
        </w:rPr>
        <w:t>衢州市柯城区航埠镇人民政府</w:t>
      </w:r>
    </w:p>
    <w:p w14:paraId="2661EABF">
      <w:pPr>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lang w:val="en-US" w:eastAsia="zh-CN"/>
        </w:rPr>
        <w:t xml:space="preserve"> </w:t>
      </w: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浙江天平投资咨询有限公司</w:t>
      </w:r>
    </w:p>
    <w:p w14:paraId="789D4A07">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val="en-US" w:eastAsia="zh-CN"/>
        </w:rPr>
        <w:t>五</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eastAsia="zh-CN"/>
        </w:rPr>
        <w:t>六</w:t>
      </w:r>
      <w:r>
        <w:rPr>
          <w:rFonts w:hint="eastAsia" w:ascii="仿宋_GB2312" w:hAnsi="仿宋_GB2312" w:eastAsia="仿宋_GB2312" w:cs="仿宋_GB2312"/>
          <w:bCs/>
          <w:color w:val="auto"/>
          <w:sz w:val="32"/>
          <w:szCs w:val="32"/>
          <w:highlight w:val="none"/>
        </w:rPr>
        <w:t>月</w:t>
      </w:r>
    </w:p>
    <w:p w14:paraId="0CFEA082">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1E46D7F8">
      <w:pPr>
        <w:spacing w:line="360" w:lineRule="auto"/>
        <w:jc w:val="center"/>
        <w:rPr>
          <w:rFonts w:ascii="仿宋" w:hAnsi="仿宋" w:eastAsia="仿宋" w:cs="仿宋_GB2312"/>
          <w:color w:val="auto"/>
          <w:sz w:val="24"/>
          <w:highlight w:val="none"/>
        </w:rPr>
      </w:pPr>
    </w:p>
    <w:p w14:paraId="181009A1">
      <w:pPr>
        <w:pStyle w:val="3"/>
        <w:rPr>
          <w:color w:val="auto"/>
          <w:highlight w:val="none"/>
        </w:rPr>
      </w:pPr>
      <w:r>
        <w:rPr>
          <w:rFonts w:hint="eastAsia"/>
          <w:color w:val="auto"/>
          <w:highlight w:val="none"/>
        </w:rPr>
        <w:t>目</w:t>
      </w:r>
      <w:r>
        <w:rPr>
          <w:color w:val="auto"/>
          <w:highlight w:val="none"/>
        </w:rPr>
        <w:t xml:space="preserve">  </w:t>
      </w:r>
      <w:r>
        <w:rPr>
          <w:rFonts w:hint="eastAsia"/>
          <w:color w:val="auto"/>
          <w:highlight w:val="none"/>
        </w:rPr>
        <w:t>录</w:t>
      </w:r>
    </w:p>
    <w:p w14:paraId="29AB3106">
      <w:pPr>
        <w:spacing w:line="360" w:lineRule="auto"/>
        <w:rPr>
          <w:rFonts w:ascii="仿宋" w:hAnsi="仿宋" w:eastAsia="仿宋" w:cs="仿宋_GB2312"/>
          <w:color w:val="auto"/>
          <w:sz w:val="32"/>
          <w:szCs w:val="32"/>
          <w:highlight w:val="none"/>
        </w:rPr>
      </w:pPr>
    </w:p>
    <w:p w14:paraId="032F6DD4">
      <w:pPr>
        <w:spacing w:line="360" w:lineRule="auto"/>
        <w:rPr>
          <w:rFonts w:ascii="仿宋" w:hAnsi="仿宋" w:eastAsia="仿宋" w:cs="仿宋_GB2312"/>
          <w:color w:val="auto"/>
          <w:sz w:val="32"/>
          <w:szCs w:val="32"/>
          <w:highlight w:val="none"/>
        </w:rPr>
      </w:pPr>
    </w:p>
    <w:p w14:paraId="53DF1838">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3B0308F0">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4AE9E51B">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03693FF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2515147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4B68A48F">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6C90CBCE">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28DC592D">
      <w:pPr>
        <w:spacing w:line="360" w:lineRule="auto"/>
        <w:ind w:firstLine="549" w:firstLineChars="229"/>
        <w:rPr>
          <w:rFonts w:hint="eastAsia" w:ascii="仿宋" w:hAnsi="仿宋" w:eastAsia="仿宋" w:cs="仿宋_GB2312"/>
          <w:color w:val="auto"/>
          <w:sz w:val="24"/>
          <w:highlight w:val="none"/>
          <w:lang w:eastAsia="zh-CN"/>
        </w:rPr>
      </w:pPr>
    </w:p>
    <w:p w14:paraId="184E959D">
      <w:pPr>
        <w:spacing w:line="360" w:lineRule="auto"/>
        <w:ind w:firstLine="549" w:firstLineChars="229"/>
        <w:rPr>
          <w:rFonts w:ascii="仿宋" w:hAnsi="仿宋" w:eastAsia="仿宋" w:cs="仿宋_GB2312"/>
          <w:color w:val="auto"/>
          <w:sz w:val="24"/>
          <w:highlight w:val="none"/>
        </w:rPr>
      </w:pPr>
    </w:p>
    <w:p w14:paraId="2D49E56A">
      <w:pPr>
        <w:spacing w:line="360" w:lineRule="auto"/>
        <w:ind w:firstLine="549" w:firstLineChars="229"/>
        <w:rPr>
          <w:rFonts w:ascii="仿宋" w:hAnsi="仿宋" w:eastAsia="仿宋" w:cs="仿宋_GB2312"/>
          <w:color w:val="auto"/>
          <w:sz w:val="24"/>
          <w:highlight w:val="none"/>
        </w:rPr>
      </w:pPr>
    </w:p>
    <w:p w14:paraId="0A780988">
      <w:pPr>
        <w:spacing w:line="360" w:lineRule="auto"/>
        <w:ind w:firstLine="549" w:firstLineChars="229"/>
        <w:rPr>
          <w:rFonts w:ascii="仿宋" w:hAnsi="仿宋" w:eastAsia="仿宋" w:cs="仿宋_GB2312"/>
          <w:color w:val="auto"/>
          <w:sz w:val="24"/>
          <w:highlight w:val="none"/>
        </w:rPr>
      </w:pPr>
    </w:p>
    <w:p w14:paraId="7C0574A0">
      <w:pPr>
        <w:spacing w:line="360" w:lineRule="auto"/>
        <w:ind w:firstLine="549" w:firstLineChars="229"/>
        <w:rPr>
          <w:rFonts w:ascii="仿宋" w:hAnsi="仿宋" w:eastAsia="仿宋" w:cs="仿宋_GB2312"/>
          <w:color w:val="auto"/>
          <w:sz w:val="24"/>
          <w:highlight w:val="none"/>
        </w:rPr>
      </w:pPr>
    </w:p>
    <w:p w14:paraId="7B70E63F">
      <w:pPr>
        <w:spacing w:line="360" w:lineRule="auto"/>
        <w:ind w:firstLine="549" w:firstLineChars="229"/>
        <w:rPr>
          <w:rFonts w:ascii="仿宋" w:hAnsi="仿宋" w:eastAsia="仿宋" w:cs="仿宋_GB2312"/>
          <w:color w:val="auto"/>
          <w:sz w:val="24"/>
          <w:highlight w:val="none"/>
        </w:rPr>
      </w:pPr>
    </w:p>
    <w:p w14:paraId="56F3D907">
      <w:pPr>
        <w:spacing w:line="360" w:lineRule="auto"/>
        <w:ind w:firstLine="549" w:firstLineChars="229"/>
        <w:rPr>
          <w:rFonts w:ascii="仿宋" w:hAnsi="仿宋" w:eastAsia="仿宋" w:cs="仿宋_GB2312"/>
          <w:color w:val="auto"/>
          <w:sz w:val="24"/>
          <w:highlight w:val="none"/>
        </w:rPr>
      </w:pPr>
    </w:p>
    <w:p w14:paraId="1A04B615">
      <w:pPr>
        <w:spacing w:line="360" w:lineRule="auto"/>
        <w:ind w:firstLine="549" w:firstLineChars="229"/>
        <w:rPr>
          <w:rFonts w:ascii="仿宋" w:hAnsi="仿宋" w:eastAsia="仿宋" w:cs="仿宋_GB2312"/>
          <w:color w:val="auto"/>
          <w:sz w:val="24"/>
          <w:highlight w:val="none"/>
        </w:rPr>
      </w:pPr>
    </w:p>
    <w:p w14:paraId="37763F47">
      <w:pPr>
        <w:spacing w:line="360" w:lineRule="auto"/>
        <w:ind w:firstLine="549" w:firstLineChars="229"/>
        <w:rPr>
          <w:rFonts w:ascii="仿宋" w:hAnsi="仿宋" w:eastAsia="仿宋" w:cs="仿宋_GB2312"/>
          <w:color w:val="auto"/>
          <w:sz w:val="24"/>
          <w:highlight w:val="none"/>
        </w:rPr>
      </w:pPr>
    </w:p>
    <w:p w14:paraId="3DDAF28F">
      <w:pPr>
        <w:spacing w:line="360" w:lineRule="auto"/>
        <w:ind w:firstLine="549" w:firstLineChars="229"/>
        <w:rPr>
          <w:rFonts w:ascii="仿宋" w:hAnsi="仿宋" w:eastAsia="仿宋" w:cs="仿宋_GB2312"/>
          <w:color w:val="auto"/>
          <w:sz w:val="24"/>
          <w:highlight w:val="none"/>
        </w:rPr>
      </w:pPr>
    </w:p>
    <w:p w14:paraId="66E9F1AC">
      <w:pPr>
        <w:spacing w:line="360" w:lineRule="auto"/>
        <w:ind w:firstLine="549" w:firstLineChars="229"/>
        <w:rPr>
          <w:rFonts w:ascii="仿宋" w:hAnsi="仿宋" w:eastAsia="仿宋" w:cs="仿宋_GB2312"/>
          <w:color w:val="auto"/>
          <w:sz w:val="24"/>
          <w:highlight w:val="none"/>
        </w:rPr>
      </w:pPr>
    </w:p>
    <w:p w14:paraId="444F34BF">
      <w:pPr>
        <w:spacing w:line="360" w:lineRule="auto"/>
        <w:rPr>
          <w:rFonts w:ascii="仿宋" w:hAnsi="仿宋" w:eastAsia="仿宋" w:cs="仿宋_GB2312"/>
          <w:color w:val="auto"/>
          <w:sz w:val="24"/>
          <w:highlight w:val="none"/>
        </w:rPr>
      </w:pPr>
    </w:p>
    <w:p w14:paraId="05908BE1">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Style w:val="90"/>
          <w:rFonts w:hint="eastAsia"/>
          <w:color w:val="auto"/>
          <w:highlight w:val="none"/>
        </w:rPr>
        <w:t>第一部分</w:t>
      </w:r>
      <w:r>
        <w:rPr>
          <w:rStyle w:val="90"/>
          <w:color w:val="auto"/>
          <w:highlight w:val="none"/>
        </w:rPr>
        <w:t xml:space="preserve"> </w:t>
      </w:r>
      <w:r>
        <w:rPr>
          <w:rStyle w:val="90"/>
          <w:rFonts w:hint="eastAsia"/>
          <w:color w:val="auto"/>
          <w:highlight w:val="none"/>
        </w:rPr>
        <w:t>招标公告</w:t>
      </w:r>
    </w:p>
    <w:p w14:paraId="556B8C7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11E3CCC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航埠镇沿线沿路屋顶分布式光伏电站整改服务项目（三次）</w:t>
      </w:r>
      <w:r>
        <w:rPr>
          <w:rFonts w:hint="eastAsia" w:ascii="仿宋_GB2312" w:hAnsi="仿宋" w:eastAsia="仿宋_GB2312"/>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4"/>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5</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280E231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2A251022">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ZJTP-KCCG-2025068</w:t>
      </w:r>
    </w:p>
    <w:p w14:paraId="3783C3C8">
      <w:pPr>
        <w:spacing w:line="360" w:lineRule="auto"/>
        <w:ind w:firstLine="480"/>
        <w:rPr>
          <w:rFonts w:hint="eastAsia" w:ascii="仿宋_GB2312" w:hAnsi="仿宋" w:eastAsia="仿宋_GB2312" w:cs="仿宋_GB2312"/>
          <w:color w:val="auto"/>
          <w:sz w:val="24"/>
          <w:highlight w:val="none"/>
          <w:lang w:eastAsia="zh-CN"/>
        </w:rPr>
      </w:pPr>
      <w:r>
        <w:rPr>
          <w:rFonts w:ascii="仿宋_GB2312" w:hAnsi="仿宋" w:eastAsia="仿宋_GB2312"/>
          <w:b/>
          <w:color w:val="auto"/>
          <w:sz w:val="24"/>
          <w:highlight w:val="none"/>
        </w:rPr>
        <w:t>项目名称：</w:t>
      </w:r>
      <w:r>
        <w:rPr>
          <w:rFonts w:hint="eastAsia" w:ascii="仿宋_GB2312" w:hAnsi="仿宋" w:eastAsia="仿宋_GB2312" w:cs="仿宋_GB2312"/>
          <w:color w:val="auto"/>
          <w:sz w:val="24"/>
          <w:highlight w:val="none"/>
          <w:lang w:eastAsia="zh-CN"/>
        </w:rPr>
        <w:t>航埠镇沿线沿路屋顶分布式光伏电站整改服务项目（三次）</w:t>
      </w:r>
    </w:p>
    <w:p w14:paraId="5590336F">
      <w:pPr>
        <w:spacing w:line="360" w:lineRule="auto"/>
        <w:ind w:firstLine="480"/>
        <w:rPr>
          <w:rFonts w:hint="eastAsia" w:ascii="仿宋_GB2312" w:hAnsi="仿宋" w:eastAsia="仿宋_GB2312" w:cs="仿宋_GB2312"/>
          <w:color w:val="auto"/>
          <w:sz w:val="24"/>
          <w:highlight w:val="none"/>
        </w:rPr>
      </w:pP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lang w:val="en-US" w:eastAsia="zh-CN"/>
        </w:rPr>
        <w:t>749322元</w:t>
      </w:r>
    </w:p>
    <w:p w14:paraId="13A4F6EE">
      <w:pPr>
        <w:keepNext w:val="0"/>
        <w:keepLines w:val="0"/>
        <w:pageBreakBefore w:val="0"/>
        <w:numPr>
          <w:ilvl w:val="0"/>
          <w:numId w:val="0"/>
        </w:numPr>
        <w:tabs>
          <w:tab w:val="left" w:pos="0"/>
        </w:tabs>
        <w:kinsoku/>
        <w:wordWrap/>
        <w:overflowPunct/>
        <w:topLinePunct w:val="0"/>
        <w:autoSpaceDE/>
        <w:autoSpaceDN/>
        <w:bidi w:val="0"/>
        <w:snapToGrid w:val="0"/>
        <w:spacing w:line="312" w:lineRule="auto"/>
        <w:ind w:left="0" w:leftChars="0" w:firstLine="482" w:firstLineChars="200"/>
        <w:textAlignment w:val="auto"/>
        <w:rPr>
          <w:rFonts w:ascii="仿宋_GB2312" w:hAnsi="仿宋" w:eastAsia="仿宋_GB2312"/>
          <w:color w:val="auto"/>
          <w:sz w:val="24"/>
          <w:highlight w:val="none"/>
        </w:rPr>
      </w:pPr>
      <w:r>
        <w:rPr>
          <w:rFonts w:hint="eastAsia" w:ascii="仿宋_GB2312" w:hAnsi="仿宋" w:eastAsia="仿宋_GB2312" w:cs="Times New Roman"/>
          <w:b/>
          <w:color w:val="auto"/>
          <w:sz w:val="24"/>
          <w:highlight w:val="none"/>
          <w:lang w:val="en-US" w:eastAsia="zh-CN"/>
        </w:rPr>
        <w:t>单价最高限价</w:t>
      </w:r>
      <w:r>
        <w:rPr>
          <w:rFonts w:hint="eastAsia" w:ascii="宋体" w:hAnsi="宋体" w:eastAsia="宋体" w:cs="宋体"/>
          <w:color w:val="auto"/>
          <w:sz w:val="24"/>
          <w:szCs w:val="24"/>
          <w:lang w:val="en-US" w:eastAsia="zh-CN"/>
        </w:rPr>
        <w:t>：</w:t>
      </w:r>
      <w:r>
        <w:rPr>
          <w:rFonts w:hint="eastAsia" w:ascii="仿宋_GB2312" w:hAnsi="仿宋" w:eastAsia="仿宋_GB2312" w:cs="仿宋_GB2312"/>
          <w:color w:val="auto"/>
          <w:sz w:val="24"/>
          <w:highlight w:val="none"/>
          <w:lang w:val="en-US" w:eastAsia="zh-CN"/>
        </w:rPr>
        <w:t>2.67元/瓦</w:t>
      </w:r>
      <w:r>
        <w:rPr>
          <w:rFonts w:hint="eastAsia" w:ascii="仿宋_GB2312" w:hAnsi="仿宋" w:eastAsia="仿宋_GB2312" w:cs="仿宋_GB2312"/>
          <w:color w:val="auto"/>
          <w:sz w:val="24"/>
          <w:highlight w:val="none"/>
          <w:lang w:eastAsia="zh-CN"/>
        </w:rPr>
        <w:t xml:space="preserve"> </w:t>
      </w:r>
    </w:p>
    <w:p w14:paraId="264703DA">
      <w:pPr>
        <w:adjustRightInd/>
        <w:spacing w:line="360" w:lineRule="auto"/>
        <w:ind w:firstLine="482" w:firstLineChars="200"/>
        <w:rPr>
          <w:rFonts w:hint="eastAsia" w:ascii="仿宋_GB2312" w:hAnsi="仿宋" w:eastAsia="仿宋_GB2312" w:cs="仿宋_GB2312"/>
          <w:color w:val="auto"/>
          <w:sz w:val="24"/>
          <w:highlight w:val="none"/>
          <w:lang w:eastAsia="zh-CN"/>
        </w:rPr>
      </w:pPr>
      <w:r>
        <w:rPr>
          <w:rFonts w:hint="eastAsia" w:ascii="仿宋_GB2312" w:hAnsi="仿宋" w:eastAsia="仿宋_GB2312"/>
          <w:b/>
          <w:color w:val="auto"/>
          <w:sz w:val="24"/>
          <w:highlight w:val="none"/>
        </w:rPr>
        <w:t>采购需求：</w:t>
      </w:r>
      <w:r>
        <w:rPr>
          <w:rFonts w:hint="eastAsia" w:ascii="仿宋_GB2312" w:hAnsi="仿宋" w:eastAsia="仿宋_GB2312" w:cs="仿宋_GB2312"/>
          <w:color w:val="auto"/>
          <w:sz w:val="24"/>
          <w:highlight w:val="none"/>
          <w:lang w:eastAsia="zh-CN"/>
        </w:rPr>
        <w:t>详见招标文件“第三章 采购内容及要求”（包括但不限于标的的名称、数量、简要技术需求或服务要求等）</w:t>
      </w:r>
    </w:p>
    <w:p w14:paraId="055ACEFD">
      <w:pPr>
        <w:pStyle w:val="6"/>
        <w:spacing w:line="360" w:lineRule="auto"/>
        <w:ind w:firstLine="480"/>
        <w:rPr>
          <w:rFonts w:hint="eastAsia"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rPr>
        <w:t>合同履约期限</w:t>
      </w:r>
      <w:r>
        <w:rPr>
          <w:rFonts w:hint="eastAsia"/>
          <w:szCs w:val="24"/>
        </w:rPr>
        <w:t>：</w:t>
      </w:r>
      <w:r>
        <w:rPr>
          <w:rFonts w:hint="eastAsia" w:ascii="仿宋_GB2312" w:hAnsi="仿宋" w:eastAsia="仿宋_GB2312"/>
          <w:b/>
          <w:color w:val="auto"/>
          <w:sz w:val="24"/>
          <w:highlight w:val="none"/>
          <w:lang w:val="en-US" w:eastAsia="zh-CN"/>
        </w:rPr>
        <w:t>合同签订之日起</w:t>
      </w:r>
      <w:r>
        <w:rPr>
          <w:rFonts w:hint="eastAsia" w:ascii="仿宋_GB2312" w:hAnsi="仿宋" w:eastAsia="仿宋_GB2312"/>
          <w:b/>
          <w:color w:val="auto"/>
          <w:sz w:val="24"/>
          <w:highlight w:val="none"/>
          <w:u w:val="single"/>
          <w:lang w:val="en-US" w:eastAsia="zh-CN"/>
        </w:rPr>
        <w:t>25天</w:t>
      </w:r>
      <w:r>
        <w:rPr>
          <w:rFonts w:hint="eastAsia" w:ascii="仿宋_GB2312" w:hAnsi="仿宋" w:eastAsia="仿宋_GB2312"/>
          <w:b/>
          <w:color w:val="auto"/>
          <w:sz w:val="24"/>
          <w:highlight w:val="none"/>
          <w:lang w:val="en-US" w:eastAsia="zh-CN"/>
        </w:rPr>
        <w:t>内完成安装、调试、并网发电并通过相关部门竣工验收，与供电部门并网发电并投入正常运行。</w:t>
      </w:r>
    </w:p>
    <w:p w14:paraId="5F233EF8">
      <w:pPr>
        <w:pStyle w:val="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710518DC">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4178F065">
      <w:pPr>
        <w:spacing w:line="360" w:lineRule="auto"/>
        <w:ind w:firstLine="480"/>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820352">
      <w:pPr>
        <w:spacing w:line="360" w:lineRule="auto"/>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 xml:space="preserve">    2.落实政府采购政策需满足的资格要求：</w:t>
      </w:r>
    </w:p>
    <w:p w14:paraId="6B985660">
      <w:pPr>
        <w:spacing w:line="360" w:lineRule="auto"/>
        <w:ind w:firstLine="480" w:firstLineChars="200"/>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_GB2312" w:cs="仿宋_GB2312"/>
              <w:color w:val="auto"/>
              <w:kern w:val="0"/>
              <w:sz w:val="24"/>
              <w:szCs w:val="24"/>
              <w:highlight w:val="none"/>
              <w:lang w:val="en-US" w:eastAsia="zh-CN" w:bidi="ar-SA"/>
            </w:rPr>
            <w:t>☐</w:t>
          </w:r>
        </w:sdtContent>
      </w:sdt>
      <w:r>
        <w:rPr>
          <w:rFonts w:hint="eastAsia" w:ascii="仿宋_GB2312" w:hAnsi="仿宋_GB2312" w:eastAsia="仿宋_GB2312" w:cs="仿宋_GB2312"/>
          <w:color w:val="auto"/>
          <w:sz w:val="24"/>
          <w:highlight w:val="none"/>
        </w:rPr>
        <w:t>无；</w:t>
      </w:r>
    </w:p>
    <w:p w14:paraId="5AA9EFCD">
      <w:pPr>
        <w:spacing w:line="360" w:lineRule="auto"/>
        <w:ind w:firstLine="480" w:firstLineChars="200"/>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Wingdings" w:hAnsi="Wingdings" w:eastAsia="仿宋_GB2312" w:cs="仿宋_GB2312"/>
              <w:color w:val="auto"/>
              <w:kern w:val="0"/>
              <w:sz w:val="24"/>
              <w:szCs w:val="24"/>
              <w:highlight w:val="none"/>
              <w:lang w:val="en-US" w:eastAsia="zh-CN" w:bidi="ar-SA"/>
            </w:rPr>
            <w:t>þ</w:t>
          </w:r>
        </w:sdtContent>
      </w:sdt>
      <w:r>
        <w:rPr>
          <w:rFonts w:hint="eastAsia" w:ascii="仿宋_GB2312" w:hAnsi="仿宋_GB2312" w:eastAsia="仿宋_GB2312" w:cs="仿宋_GB2312"/>
          <w:color w:val="auto"/>
          <w:kern w:val="0"/>
          <w:sz w:val="24"/>
          <w:highlight w:val="none"/>
        </w:rPr>
        <w:t>专</w:t>
      </w:r>
      <w:r>
        <w:rPr>
          <w:rFonts w:hint="eastAsia" w:ascii="仿宋_GB2312" w:hAnsi="仿宋_GB2312" w:eastAsia="仿宋_GB2312" w:cs="仿宋_GB2312"/>
          <w:color w:val="auto"/>
          <w:sz w:val="24"/>
          <w:highlight w:val="none"/>
        </w:rPr>
        <w:t>门面向中小企业</w:t>
      </w:r>
    </w:p>
    <w:p w14:paraId="378C659F">
      <w:pPr>
        <w:spacing w:line="360" w:lineRule="auto"/>
        <w:ind w:firstLine="897" w:firstLineChars="374"/>
        <w:rPr>
          <w:rFonts w:hint="eastAsia" w:ascii="仿宋_GB2312" w:hAnsi="仿宋_GB2312" w:eastAsia="仿宋_GB2312" w:cs="仿宋_GB2312"/>
          <w:color w:val="auto"/>
          <w:sz w:val="24"/>
          <w:highlight w:val="none"/>
          <w:u w:val="single"/>
        </w:rPr>
      </w:pPr>
      <w:sdt>
        <w:sdtPr>
          <w:rPr>
            <w:rFonts w:hint="eastAsia" w:ascii="仿宋_GB2312" w:hAnsi="仿宋_GB2312" w:eastAsia="仿宋_GB2312" w:cs="仿宋_GB2312"/>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Wingdings" w:hAnsi="Wingdings" w:eastAsia="仿宋_GB2312" w:cs="仿宋_GB2312"/>
              <w:color w:val="auto"/>
              <w:kern w:val="0"/>
              <w:sz w:val="24"/>
              <w:szCs w:val="24"/>
              <w:highlight w:val="none"/>
              <w:lang w:val="en-US" w:eastAsia="zh-CN" w:bidi="ar-SA"/>
            </w:rPr>
            <w:t>þ</w:t>
          </w:r>
        </w:sdtContent>
      </w:sdt>
      <w:r>
        <w:rPr>
          <w:rFonts w:hint="eastAsia" w:ascii="仿宋_GB2312" w:hAnsi="仿宋_GB2312" w:eastAsia="仿宋_GB2312" w:cs="仿宋_GB2312"/>
          <w:color w:val="auto"/>
          <w:sz w:val="24"/>
          <w:highlight w:val="none"/>
        </w:rPr>
        <w:t>货物全部由符合政策要求的中小企业制造，提供中小企业声明函；</w:t>
      </w:r>
    </w:p>
    <w:p w14:paraId="72481C1D">
      <w:pPr>
        <w:spacing w:line="360" w:lineRule="auto"/>
        <w:ind w:firstLine="897" w:firstLineChars="374"/>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kern w:val="0"/>
              <w:sz w:val="24"/>
              <w:highlight w:val="none"/>
            </w:rPr>
            <w:t>☐</w:t>
          </w:r>
        </w:sdtContent>
      </w:sdt>
      <w:r>
        <w:rPr>
          <w:rFonts w:hint="eastAsia" w:ascii="仿宋_GB2312" w:hAnsi="仿宋_GB2312" w:eastAsia="仿宋_GB2312" w:cs="仿宋_GB2312"/>
          <w:color w:val="auto"/>
          <w:sz w:val="24"/>
          <w:highlight w:val="none"/>
        </w:rPr>
        <w:t>货物全部由符合政策要求的小微企业制造，提供中小企业声明函；</w:t>
      </w:r>
    </w:p>
    <w:p w14:paraId="51906627">
      <w:pPr>
        <w:spacing w:line="360" w:lineRule="auto"/>
        <w:ind w:firstLine="897" w:firstLineChars="374"/>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kern w:val="0"/>
              <w:sz w:val="24"/>
              <w:szCs w:val="24"/>
              <w:highlight w:val="none"/>
              <w:lang w:val="en-US" w:eastAsia="zh-CN" w:bidi="ar-SA"/>
            </w:rPr>
            <w:t>☐</w:t>
          </w:r>
        </w:sdtContent>
      </w:sdt>
      <w:r>
        <w:rPr>
          <w:rFonts w:hint="eastAsia" w:ascii="仿宋_GB2312" w:hAnsi="仿宋_GB2312" w:eastAsia="仿宋_GB2312" w:cs="仿宋_GB2312"/>
          <w:color w:val="auto"/>
          <w:sz w:val="24"/>
          <w:highlight w:val="none"/>
        </w:rPr>
        <w:t>服务全部由符合政策要求的中小企业承接，提供中小企业声明函；</w:t>
      </w:r>
    </w:p>
    <w:p w14:paraId="1A0456D0">
      <w:pPr>
        <w:spacing w:line="360" w:lineRule="auto"/>
        <w:ind w:firstLine="720" w:firstLineChars="3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 xml:space="preserve"> </w:t>
      </w:r>
      <w:sdt>
        <w:sdtPr>
          <w:rPr>
            <w:rFonts w:hint="eastAsia" w:ascii="仿宋_GB2312" w:hAnsi="仿宋_GB2312" w:eastAsia="仿宋_GB2312" w:cs="仿宋_GB2312"/>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kern w:val="0"/>
              <w:sz w:val="24"/>
              <w:highlight w:val="none"/>
            </w:rPr>
            <w:t>☐</w:t>
          </w:r>
        </w:sdtContent>
      </w:sdt>
      <w:r>
        <w:rPr>
          <w:rFonts w:hint="eastAsia" w:ascii="仿宋_GB2312" w:hAnsi="仿宋_GB2312" w:eastAsia="仿宋_GB2312" w:cs="仿宋_GB2312"/>
          <w:color w:val="auto"/>
          <w:sz w:val="24"/>
          <w:highlight w:val="none"/>
        </w:rPr>
        <w:t>服务全部由符合政策要求的小微企业承接，提供中小企业声明函；</w:t>
      </w:r>
    </w:p>
    <w:p w14:paraId="19F881B4">
      <w:pPr>
        <w:spacing w:line="360" w:lineRule="auto"/>
        <w:ind w:firstLine="480" w:firstLineChars="200"/>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kern w:val="0"/>
              <w:sz w:val="24"/>
              <w:highlight w:val="none"/>
            </w:rPr>
            <w:t>☐</w:t>
          </w:r>
        </w:sdtContent>
      </w:sdt>
      <w:r>
        <w:rPr>
          <w:rFonts w:hint="eastAsia" w:ascii="仿宋_GB2312" w:hAnsi="仿宋_GB2312" w:eastAsia="仿宋_GB2312" w:cs="仿宋_GB2312"/>
          <w:color w:val="auto"/>
          <w:sz w:val="24"/>
          <w:highlight w:val="none"/>
        </w:rPr>
        <w:t>要求以联合体形式参加，提供联合协议和中小企业声明函，联合协议中中小企业合同金额应当达到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auto"/>
          <w:sz w:val="24"/>
          <w:highlight w:val="none"/>
        </w:rPr>
        <w:t>；</w:t>
      </w:r>
    </w:p>
    <w:p w14:paraId="5AD6108D">
      <w:pPr>
        <w:spacing w:line="360" w:lineRule="auto"/>
        <w:ind w:firstLine="480" w:firstLineChars="200"/>
        <w:rPr>
          <w:rFonts w:hint="eastAsia"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kern w:val="0"/>
              <w:sz w:val="24"/>
              <w:highlight w:val="none"/>
            </w:rPr>
            <w:t>☐</w:t>
          </w:r>
        </w:sdtContent>
      </w:sdt>
      <w:r>
        <w:rPr>
          <w:rFonts w:hint="eastAsia" w:ascii="仿宋_GB2312" w:hAnsi="仿宋_GB2312" w:eastAsia="仿宋_GB2312" w:cs="仿宋_GB2312"/>
          <w:color w:val="auto"/>
          <w:sz w:val="24"/>
          <w:highlight w:val="none"/>
        </w:rPr>
        <w:t>要求合同分包，提供分包意向协议和中小企业声明函，分包意向协议中中小企业合同金额应当达到达到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w:t>
      </w:r>
      <w:r>
        <w:rPr>
          <w:rFonts w:hint="eastAsia" w:ascii="仿宋_GB2312" w:hAnsi="仿宋_GB2312" w:eastAsia="仿宋_GB2312" w:cs="仿宋_GB2312"/>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auto"/>
          <w:sz w:val="24"/>
          <w:highlight w:val="none"/>
        </w:rPr>
        <w:t>；</w:t>
      </w:r>
    </w:p>
    <w:p w14:paraId="2D5B48E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3.本项目的特定资格要求：无；</w:t>
      </w:r>
    </w:p>
    <w:p w14:paraId="23D9A44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7F6A4895">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u w:val="single"/>
        </w:rPr>
        <w:t>02</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17377C9D">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5DF87706">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5F8AB5AB">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214057D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75EA9870">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u w:val="single"/>
        </w:rPr>
        <w:t>02</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日9点30分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38FBE302">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p>
    <w:p w14:paraId="71DEF957">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u w:val="single"/>
        </w:rPr>
        <w:t>02</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w:t>
      </w:r>
      <w:bookmarkStart w:id="640" w:name="_GoBack"/>
      <w:bookmarkEnd w:id="640"/>
      <w:r>
        <w:rPr>
          <w:rFonts w:hint="eastAsia" w:ascii="仿宋_GB2312" w:hAnsi="仿宋" w:eastAsia="仿宋_GB2312"/>
          <w:color w:val="auto"/>
          <w:sz w:val="24"/>
          <w:highlight w:val="none"/>
          <w:u w:val="single"/>
        </w:rPr>
        <w:t>日9点30分</w:t>
      </w:r>
      <w:r>
        <w:rPr>
          <w:rFonts w:hint="eastAsia" w:ascii="仿宋_GB2312" w:hAnsi="仿宋" w:eastAsia="仿宋_GB2312"/>
          <w:bCs/>
          <w:color w:val="auto"/>
          <w:sz w:val="24"/>
          <w:highlight w:val="none"/>
          <w:u w:val="single"/>
        </w:rPr>
        <w:t xml:space="preserve"> ；</w:t>
      </w:r>
    </w:p>
    <w:p w14:paraId="2BC5B071">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r>
        <w:rPr>
          <w:rFonts w:hint="eastAsia" w:ascii="仿宋_GB2312" w:hAnsi="仿宋" w:eastAsia="仿宋_GB2312"/>
          <w:color w:val="auto"/>
          <w:sz w:val="24"/>
          <w:highlight w:val="none"/>
        </w:rPr>
        <w:t>。</w:t>
      </w:r>
    </w:p>
    <w:p w14:paraId="17FF4C44">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5BDFB287">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670D59A7">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40945D98">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CE5239D">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86586E">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w:t>
      </w:r>
      <w:r>
        <w:rPr>
          <w:rFonts w:hint="eastAsia" w:ascii="仿宋_GB2312" w:hAnsi="仿宋" w:eastAsia="仿宋_GB2312"/>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8D4F4E">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w:t>
      </w:r>
      <w:r>
        <w:rPr>
          <w:rFonts w:hint="eastAsia" w:ascii="仿宋_GB2312" w:hAnsi="仿宋" w:eastAsia="仿宋_GB2312"/>
          <w:color w:val="auto"/>
          <w:sz w:val="24"/>
          <w:highlight w:val="none"/>
        </w:rPr>
        <w:t>其他事项：</w:t>
      </w:r>
    </w:p>
    <w:p w14:paraId="4F57D44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（1）需要落实的政府采购政策：包括节约资源、保护环境、支持创新、促进中小企业发展等。详见招标文件的第二部分总则。</w:t>
      </w:r>
    </w:p>
    <w:p w14:paraId="6A161C1B">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r>
        <w:rPr>
          <w:rFonts w:hint="eastAsia" w:ascii="仿宋_GB2312" w:hAnsi="仿宋" w:eastAsia="仿宋_GB2312" w:cs="仿宋_GB2312"/>
          <w:color w:val="auto"/>
          <w:sz w:val="24"/>
          <w:highlight w:val="none"/>
        </w:rPr>
        <w:t>；公益一类事业单位、使用事业编制且由财政拨款保障的群团组织不属于政府购买服务的承接主体，不得参与承接购买服务。</w:t>
      </w:r>
    </w:p>
    <w:p w14:paraId="363B8C42">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电子招投标的说明：</w:t>
      </w:r>
    </w:p>
    <w:p w14:paraId="27DECF85">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w:t>
      </w:r>
    </w:p>
    <w:p w14:paraId="4FDC928B">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w:t>
      </w:r>
    </w:p>
    <w:p w14:paraId="49B97580">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w:t>
      </w:r>
    </w:p>
    <w:p w14:paraId="660108F0">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p>
    <w:p w14:paraId="7B1B304A">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p>
    <w:p w14:paraId="0AE980C4">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w:t>
      </w:r>
    </w:p>
    <w:p w14:paraId="206E44ED">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p>
    <w:p w14:paraId="00F9B5B3">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p>
    <w:p w14:paraId="744FD8EF">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5B7EB9E5">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23CF48DC">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0713C2C0">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1031F2A5">
      <w:pPr>
        <w:spacing w:line="360" w:lineRule="auto"/>
        <w:ind w:firstLine="42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lang w:eastAsia="zh-CN"/>
        </w:rPr>
        <w:t>采购人：衢州市柯城区航埠镇人民政府</w:t>
      </w:r>
    </w:p>
    <w:p w14:paraId="4A756469">
      <w:pPr>
        <w:spacing w:line="360" w:lineRule="auto"/>
        <w:ind w:firstLine="42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lang w:eastAsia="zh-CN"/>
        </w:rPr>
        <w:t>联系人：占先生</w:t>
      </w:r>
    </w:p>
    <w:p w14:paraId="5075DA0C">
      <w:pPr>
        <w:spacing w:line="360" w:lineRule="auto"/>
        <w:ind w:firstLine="42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lang w:eastAsia="zh-CN"/>
        </w:rPr>
        <w:t>联系电话：19975280986</w:t>
      </w:r>
    </w:p>
    <w:p w14:paraId="1A039A06">
      <w:pPr>
        <w:spacing w:line="360" w:lineRule="auto"/>
        <w:ind w:firstLine="42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 xml:space="preserve">2.采购代理机构信息            </w:t>
      </w:r>
    </w:p>
    <w:p w14:paraId="3588086E">
      <w:pPr>
        <w:spacing w:line="360" w:lineRule="auto"/>
        <w:ind w:firstLine="42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rPr>
        <w:t>名    称：</w:t>
      </w:r>
      <w:r>
        <w:rPr>
          <w:rFonts w:hint="eastAsia" w:ascii="仿宋_GB2312" w:hAnsi="仿宋" w:eastAsia="仿宋_GB2312" w:cs="Times New Roman"/>
          <w:color w:val="auto"/>
          <w:sz w:val="24"/>
          <w:highlight w:val="none"/>
          <w:lang w:eastAsia="zh-CN"/>
        </w:rPr>
        <w:t>浙江天平投资咨询有限公司</w:t>
      </w:r>
    </w:p>
    <w:p w14:paraId="0447D5B1">
      <w:pPr>
        <w:spacing w:line="360" w:lineRule="auto"/>
        <w:ind w:firstLine="42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eastAsia="zh-CN"/>
        </w:rPr>
        <w:t>衢州市分公司地址：衢州市柯城区新新街道世纪大道</w:t>
      </w:r>
      <w:r>
        <w:rPr>
          <w:rFonts w:hint="eastAsia" w:ascii="仿宋_GB2312" w:hAnsi="仿宋" w:eastAsia="仿宋_GB2312" w:cs="Times New Roman"/>
          <w:color w:val="auto"/>
          <w:sz w:val="24"/>
          <w:highlight w:val="none"/>
          <w:lang w:val="en-US" w:eastAsia="zh-CN"/>
        </w:rPr>
        <w:t>682号</w:t>
      </w:r>
      <w:r>
        <w:rPr>
          <w:rFonts w:hint="eastAsia" w:ascii="仿宋_GB2312" w:hAnsi="仿宋" w:eastAsia="仿宋_GB2312" w:cs="Times New Roman"/>
          <w:color w:val="auto"/>
          <w:sz w:val="24"/>
          <w:highlight w:val="none"/>
        </w:rPr>
        <w:t xml:space="preserve">   </w:t>
      </w:r>
    </w:p>
    <w:p w14:paraId="7F4647DD">
      <w:pPr>
        <w:spacing w:line="360" w:lineRule="auto"/>
        <w:ind w:firstLine="42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项目联系人：</w:t>
      </w:r>
      <w:r>
        <w:rPr>
          <w:rFonts w:hint="eastAsia" w:ascii="仿宋_GB2312" w:hAnsi="仿宋" w:eastAsia="仿宋_GB2312" w:cs="Times New Roman"/>
          <w:color w:val="auto"/>
          <w:sz w:val="24"/>
          <w:highlight w:val="none"/>
          <w:lang w:eastAsia="zh-CN"/>
        </w:rPr>
        <w:t>丁女士</w:t>
      </w:r>
      <w:r>
        <w:rPr>
          <w:rFonts w:hint="eastAsia" w:ascii="仿宋_GB2312" w:hAnsi="仿宋" w:eastAsia="仿宋_GB2312" w:cs="Times New Roman"/>
          <w:color w:val="auto"/>
          <w:sz w:val="24"/>
          <w:highlight w:val="none"/>
        </w:rPr>
        <w:tab/>
      </w:r>
      <w:r>
        <w:rPr>
          <w:rFonts w:hint="eastAsia" w:ascii="仿宋_GB2312" w:hAnsi="仿宋" w:eastAsia="仿宋_GB2312" w:cs="Times New Roman"/>
          <w:color w:val="auto"/>
          <w:sz w:val="24"/>
          <w:highlight w:val="none"/>
        </w:rPr>
        <w:t xml:space="preserve">         </w:t>
      </w:r>
    </w:p>
    <w:p w14:paraId="26298FAC">
      <w:pPr>
        <w:spacing w:line="360" w:lineRule="auto"/>
        <w:ind w:firstLine="420"/>
        <w:rPr>
          <w:rFonts w:hint="default"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rPr>
        <w:t>项目联系方式：</w:t>
      </w:r>
      <w:r>
        <w:rPr>
          <w:rFonts w:hint="eastAsia" w:ascii="仿宋_GB2312" w:hAnsi="仿宋" w:eastAsia="仿宋_GB2312" w:cs="Times New Roman"/>
          <w:color w:val="auto"/>
          <w:sz w:val="24"/>
          <w:highlight w:val="none"/>
          <w:lang w:val="en-US" w:eastAsia="zh-CN"/>
        </w:rPr>
        <w:t>0570-3650695</w:t>
      </w:r>
    </w:p>
    <w:p w14:paraId="496BB829">
      <w:pPr>
        <w:spacing w:line="360" w:lineRule="auto"/>
        <w:ind w:firstLine="42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eastAsia="zh-CN"/>
        </w:rPr>
        <w:t>邮</w:t>
      </w:r>
      <w:r>
        <w:rPr>
          <w:rFonts w:hint="eastAsia" w:ascii="仿宋_GB2312" w:hAnsi="仿宋" w:eastAsia="仿宋_GB2312" w:cs="Times New Roman"/>
          <w:color w:val="auto"/>
          <w:sz w:val="24"/>
          <w:highlight w:val="none"/>
          <w:lang w:val="en-US" w:eastAsia="zh-CN"/>
        </w:rPr>
        <w:t xml:space="preserve">    </w:t>
      </w:r>
      <w:r>
        <w:rPr>
          <w:rFonts w:hint="eastAsia" w:ascii="仿宋_GB2312" w:hAnsi="仿宋" w:eastAsia="仿宋_GB2312" w:cs="Times New Roman"/>
          <w:color w:val="auto"/>
          <w:sz w:val="24"/>
          <w:highlight w:val="none"/>
          <w:lang w:eastAsia="zh-CN"/>
        </w:rPr>
        <w:t>箱</w:t>
      </w:r>
      <w:r>
        <w:rPr>
          <w:rFonts w:hint="eastAsia" w:ascii="仿宋_GB2312" w:hAnsi="仿宋" w:eastAsia="仿宋_GB2312" w:cs="Times New Roman"/>
          <w:color w:val="auto"/>
          <w:sz w:val="24"/>
          <w:highlight w:val="none"/>
        </w:rPr>
        <w:t>：</w:t>
      </w:r>
      <w:r>
        <w:rPr>
          <w:rFonts w:hint="eastAsia" w:ascii="仿宋_GB2312" w:hAnsi="仿宋" w:eastAsia="仿宋_GB2312" w:cs="Times New Roman"/>
          <w:color w:val="auto"/>
          <w:sz w:val="24"/>
          <w:highlight w:val="none"/>
          <w:lang w:eastAsia="zh-CN"/>
        </w:rPr>
        <w:t>56754061</w:t>
      </w:r>
      <w:r>
        <w:rPr>
          <w:rFonts w:hint="eastAsia" w:ascii="仿宋_GB2312" w:hAnsi="仿宋" w:eastAsia="仿宋_GB2312" w:cs="Times New Roman"/>
          <w:color w:val="auto"/>
          <w:sz w:val="24"/>
          <w:highlight w:val="none"/>
        </w:rPr>
        <w:t xml:space="preserve">@qq.com  </w:t>
      </w:r>
    </w:p>
    <w:p w14:paraId="68EFE7C4">
      <w:pPr>
        <w:spacing w:line="360" w:lineRule="auto"/>
        <w:ind w:firstLine="420"/>
        <w:rPr>
          <w:rFonts w:hint="eastAsia" w:ascii="仿宋" w:hAnsi="仿宋" w:eastAsia="仿宋" w:cs="仿宋"/>
          <w:kern w:val="2"/>
          <w:sz w:val="24"/>
          <w:szCs w:val="32"/>
          <w:u w:val="single"/>
        </w:rPr>
      </w:pPr>
      <w:r>
        <w:rPr>
          <w:rFonts w:hint="eastAsia" w:ascii="仿宋" w:hAnsi="仿宋" w:eastAsia="仿宋" w:cs="仿宋"/>
          <w:kern w:val="2"/>
          <w:sz w:val="24"/>
          <w:szCs w:val="32"/>
        </w:rPr>
        <w:t>质疑联系人：</w:t>
      </w:r>
      <w:r>
        <w:rPr>
          <w:rFonts w:hint="eastAsia" w:ascii="仿宋" w:hAnsi="仿宋" w:eastAsia="仿宋" w:cs="仿宋"/>
          <w:kern w:val="2"/>
          <w:sz w:val="24"/>
          <w:szCs w:val="32"/>
          <w:u w:val="single"/>
        </w:rPr>
        <w:t xml:space="preserve">  韩先生       </w:t>
      </w:r>
      <w:r>
        <w:rPr>
          <w:rFonts w:hint="eastAsia" w:ascii="仿宋" w:hAnsi="仿宋" w:eastAsia="仿宋" w:cs="仿宋"/>
          <w:kern w:val="2"/>
          <w:sz w:val="24"/>
          <w:szCs w:val="32"/>
        </w:rPr>
        <w:t xml:space="preserve"> </w:t>
      </w:r>
    </w:p>
    <w:p w14:paraId="6C7E6A3E">
      <w:pPr>
        <w:widowControl w:val="0"/>
        <w:adjustRightInd/>
        <w:snapToGrid/>
        <w:spacing w:after="0" w:line="500" w:lineRule="exact"/>
        <w:ind w:firstLine="240" w:firstLineChars="100"/>
        <w:rPr>
          <w:rFonts w:hint="eastAsia" w:ascii="仿宋" w:hAnsi="仿宋" w:eastAsia="仿宋" w:cs="仿宋"/>
          <w:kern w:val="2"/>
          <w:sz w:val="24"/>
          <w:szCs w:val="32"/>
        </w:rPr>
      </w:pPr>
      <w:r>
        <w:rPr>
          <w:rFonts w:hint="eastAsia" w:ascii="仿宋" w:hAnsi="仿宋" w:eastAsia="仿宋" w:cs="仿宋"/>
          <w:kern w:val="2"/>
          <w:sz w:val="24"/>
          <w:szCs w:val="32"/>
        </w:rPr>
        <w:t>质疑联系方式：</w:t>
      </w:r>
      <w:r>
        <w:rPr>
          <w:rFonts w:hint="eastAsia" w:ascii="仿宋" w:hAnsi="仿宋" w:eastAsia="仿宋" w:cs="仿宋"/>
          <w:kern w:val="2"/>
          <w:sz w:val="24"/>
          <w:szCs w:val="32"/>
          <w:u w:val="single"/>
        </w:rPr>
        <w:t xml:space="preserve"> 13362012525   </w:t>
      </w:r>
    </w:p>
    <w:p w14:paraId="5CDBB91F">
      <w:pPr>
        <w:widowControl w:val="0"/>
        <w:adjustRightInd/>
        <w:snapToGrid/>
        <w:spacing w:after="0" w:line="500" w:lineRule="exact"/>
        <w:rPr>
          <w:rFonts w:hint="eastAsia" w:ascii="仿宋" w:hAnsi="仿宋" w:eastAsia="仿宋" w:cs="仿宋"/>
          <w:kern w:val="2"/>
          <w:sz w:val="24"/>
          <w:szCs w:val="32"/>
        </w:rPr>
      </w:pPr>
      <w:r>
        <w:rPr>
          <w:rFonts w:hint="eastAsia" w:ascii="仿宋" w:hAnsi="仿宋" w:eastAsia="仿宋" w:cs="仿宋"/>
          <w:kern w:val="2"/>
          <w:sz w:val="24"/>
          <w:szCs w:val="32"/>
        </w:rPr>
        <w:t>3.同级政府采购监督管理部门信息</w:t>
      </w:r>
    </w:p>
    <w:p w14:paraId="684DDE2F">
      <w:pPr>
        <w:widowControl w:val="0"/>
        <w:adjustRightInd/>
        <w:snapToGrid/>
        <w:spacing w:after="0" w:line="500" w:lineRule="exact"/>
        <w:jc w:val="both"/>
        <w:rPr>
          <w:rFonts w:hint="eastAsia" w:ascii="仿宋" w:hAnsi="仿宋" w:eastAsia="仿宋" w:cs="仿宋"/>
          <w:kern w:val="2"/>
          <w:sz w:val="24"/>
          <w:szCs w:val="32"/>
        </w:rPr>
      </w:pPr>
      <w:r>
        <w:rPr>
          <w:rFonts w:hint="eastAsia" w:ascii="仿宋" w:hAnsi="仿宋" w:eastAsia="仿宋" w:cs="仿宋"/>
          <w:kern w:val="2"/>
          <w:sz w:val="24"/>
          <w:szCs w:val="32"/>
        </w:rPr>
        <w:t>名 称：</w:t>
      </w:r>
      <w:r>
        <w:rPr>
          <w:rFonts w:hint="eastAsia" w:ascii="仿宋" w:hAnsi="仿宋" w:eastAsia="仿宋" w:cs="仿宋"/>
          <w:kern w:val="2"/>
          <w:sz w:val="24"/>
          <w:szCs w:val="32"/>
          <w:u w:val="single"/>
        </w:rPr>
        <w:t>衢州市柯城区政府采购监督管理办公室</w:t>
      </w:r>
    </w:p>
    <w:p w14:paraId="2921E2F5">
      <w:pPr>
        <w:widowControl w:val="0"/>
        <w:adjustRightInd/>
        <w:snapToGrid/>
        <w:spacing w:after="0" w:line="500" w:lineRule="exact"/>
        <w:jc w:val="both"/>
        <w:rPr>
          <w:rFonts w:hint="eastAsia" w:ascii="仿宋" w:hAnsi="仿宋" w:eastAsia="仿宋" w:cs="仿宋"/>
          <w:kern w:val="2"/>
          <w:sz w:val="24"/>
          <w:szCs w:val="32"/>
        </w:rPr>
      </w:pPr>
      <w:r>
        <w:rPr>
          <w:rFonts w:hint="eastAsia" w:ascii="仿宋" w:hAnsi="仿宋" w:eastAsia="仿宋" w:cs="仿宋"/>
          <w:kern w:val="2"/>
          <w:sz w:val="24"/>
          <w:szCs w:val="32"/>
        </w:rPr>
        <w:t>地　址：</w:t>
      </w:r>
      <w:r>
        <w:rPr>
          <w:rFonts w:hint="eastAsia" w:ascii="仿宋" w:hAnsi="仿宋" w:eastAsia="仿宋" w:cs="仿宋"/>
          <w:kern w:val="2"/>
          <w:sz w:val="24"/>
          <w:szCs w:val="32"/>
          <w:u w:val="single"/>
        </w:rPr>
        <w:t>上街92号</w:t>
      </w:r>
    </w:p>
    <w:p w14:paraId="614DE9B0">
      <w:pPr>
        <w:widowControl w:val="0"/>
        <w:adjustRightInd/>
        <w:snapToGrid/>
        <w:spacing w:after="0" w:line="500" w:lineRule="exact"/>
        <w:jc w:val="both"/>
        <w:rPr>
          <w:rFonts w:hint="eastAsia" w:ascii="仿宋" w:hAnsi="仿宋" w:eastAsia="仿宋" w:cs="仿宋"/>
          <w:kern w:val="2"/>
          <w:sz w:val="24"/>
          <w:szCs w:val="32"/>
          <w:u w:val="single"/>
        </w:rPr>
      </w:pPr>
      <w:r>
        <w:rPr>
          <w:rFonts w:hint="eastAsia" w:ascii="仿宋" w:hAnsi="仿宋" w:eastAsia="仿宋" w:cs="仿宋"/>
          <w:kern w:val="2"/>
          <w:sz w:val="24"/>
          <w:szCs w:val="32"/>
        </w:rPr>
        <w:t>联系人：</w:t>
      </w:r>
      <w:r>
        <w:rPr>
          <w:rFonts w:hint="eastAsia" w:ascii="仿宋" w:hAnsi="仿宋" w:eastAsia="仿宋" w:cs="仿宋"/>
          <w:kern w:val="2"/>
          <w:sz w:val="24"/>
          <w:szCs w:val="32"/>
          <w:u w:val="single"/>
        </w:rPr>
        <w:t xml:space="preserve">    蒋先生   </w:t>
      </w:r>
    </w:p>
    <w:p w14:paraId="08AE2937">
      <w:pPr>
        <w:widowControl w:val="0"/>
        <w:adjustRightInd/>
        <w:snapToGrid/>
        <w:spacing w:after="0" w:line="500" w:lineRule="exact"/>
        <w:jc w:val="both"/>
        <w:rPr>
          <w:rFonts w:hint="eastAsia" w:ascii="仿宋" w:hAnsi="仿宋" w:eastAsia="仿宋" w:cs="仿宋"/>
          <w:bCs/>
          <w:kern w:val="2"/>
          <w:sz w:val="24"/>
          <w:szCs w:val="32"/>
        </w:rPr>
      </w:pPr>
      <w:r>
        <w:rPr>
          <w:rFonts w:hint="eastAsia" w:ascii="仿宋" w:hAnsi="仿宋" w:eastAsia="仿宋" w:cs="仿宋"/>
          <w:kern w:val="2"/>
          <w:sz w:val="24"/>
          <w:szCs w:val="32"/>
        </w:rPr>
        <w:t>联系方式：</w:t>
      </w:r>
      <w:r>
        <w:rPr>
          <w:rFonts w:hint="eastAsia" w:ascii="仿宋" w:hAnsi="仿宋" w:eastAsia="仿宋" w:cs="仿宋"/>
          <w:kern w:val="2"/>
          <w:sz w:val="24"/>
          <w:szCs w:val="32"/>
          <w:u w:val="single"/>
        </w:rPr>
        <w:t>0570-3020829</w:t>
      </w:r>
    </w:p>
    <w:p w14:paraId="3B960FE8">
      <w:pPr>
        <w:widowControl w:val="0"/>
        <w:wordWrap w:val="0"/>
        <w:adjustRightInd/>
        <w:snapToGrid/>
        <w:spacing w:after="0" w:line="288" w:lineRule="auto"/>
        <w:ind w:right="330" w:firstLine="480" w:firstLineChars="200"/>
        <w:jc w:val="right"/>
        <w:rPr>
          <w:rFonts w:hint="eastAsia" w:ascii="仿宋" w:hAnsi="仿宋" w:eastAsia="仿宋" w:cs="仿宋"/>
          <w:bCs/>
          <w:kern w:val="2"/>
          <w:sz w:val="24"/>
          <w:szCs w:val="32"/>
          <w:lang w:eastAsia="zh-CN"/>
        </w:rPr>
      </w:pPr>
      <w:r>
        <w:rPr>
          <w:rFonts w:hint="eastAsia" w:ascii="仿宋" w:hAnsi="仿宋" w:eastAsia="仿宋" w:cs="仿宋"/>
          <w:bCs/>
          <w:kern w:val="2"/>
          <w:sz w:val="24"/>
          <w:szCs w:val="32"/>
        </w:rPr>
        <w:t xml:space="preserve">                                          </w:t>
      </w:r>
      <w:r>
        <w:rPr>
          <w:rFonts w:hint="eastAsia" w:ascii="仿宋" w:hAnsi="仿宋" w:eastAsia="仿宋" w:cs="仿宋"/>
          <w:bCs/>
          <w:kern w:val="2"/>
          <w:sz w:val="24"/>
          <w:szCs w:val="32"/>
          <w:lang w:eastAsia="zh-CN"/>
        </w:rPr>
        <w:t>衢州市柯城区航埠镇人民政府</w:t>
      </w:r>
    </w:p>
    <w:p w14:paraId="70DE573C">
      <w:pPr>
        <w:widowControl w:val="0"/>
        <w:adjustRightInd/>
        <w:snapToGrid/>
        <w:spacing w:after="0" w:line="288" w:lineRule="auto"/>
        <w:ind w:right="330" w:firstLine="480" w:firstLineChars="200"/>
        <w:jc w:val="right"/>
        <w:rPr>
          <w:rFonts w:hint="eastAsia" w:ascii="仿宋" w:hAnsi="仿宋" w:eastAsia="仿宋" w:cs="仿宋"/>
          <w:kern w:val="2"/>
          <w:sz w:val="24"/>
          <w:szCs w:val="32"/>
          <w:lang w:eastAsia="zh-CN"/>
        </w:rPr>
      </w:pPr>
      <w:r>
        <w:rPr>
          <w:rFonts w:hint="eastAsia" w:ascii="仿宋" w:hAnsi="仿宋" w:eastAsia="仿宋" w:cs="仿宋"/>
          <w:kern w:val="2"/>
          <w:sz w:val="24"/>
          <w:szCs w:val="32"/>
          <w:lang w:eastAsia="zh-CN"/>
        </w:rPr>
        <w:t>浙江天平投资咨询有限公司</w:t>
      </w:r>
    </w:p>
    <w:p w14:paraId="63537E22">
      <w:pPr>
        <w:spacing w:line="360" w:lineRule="auto"/>
        <w:ind w:firstLine="883" w:firstLineChars="200"/>
        <w:jc w:val="center"/>
        <w:rPr>
          <w:rStyle w:val="90"/>
          <w:rFonts w:hint="eastAsia" w:ascii="仿宋" w:hAnsi="仿宋" w:eastAsia="仿宋" w:cs="仿宋"/>
          <w:color w:val="auto"/>
          <w:sz w:val="44"/>
          <w:szCs w:val="52"/>
          <w:highlight w:val="none"/>
        </w:rPr>
      </w:pPr>
    </w:p>
    <w:p w14:paraId="432AC8D8">
      <w:pPr>
        <w:spacing w:line="360" w:lineRule="auto"/>
        <w:jc w:val="both"/>
        <w:rPr>
          <w:rStyle w:val="90"/>
          <w:rFonts w:hint="eastAsia"/>
          <w:color w:val="auto"/>
          <w:highlight w:val="none"/>
        </w:rPr>
      </w:pPr>
    </w:p>
    <w:p w14:paraId="1BF4CB6E">
      <w:pPr>
        <w:spacing w:line="360" w:lineRule="auto"/>
        <w:ind w:firstLine="723" w:firstLineChars="200"/>
        <w:jc w:val="center"/>
        <w:rPr>
          <w:rFonts w:ascii="仿宋" w:hAnsi="仿宋" w:eastAsia="仿宋" w:cs="仿宋_GB2312"/>
          <w:b/>
          <w:color w:val="auto"/>
          <w:sz w:val="36"/>
          <w:szCs w:val="20"/>
          <w:highlight w:val="none"/>
        </w:rPr>
      </w:pPr>
      <w:r>
        <w:rPr>
          <w:rStyle w:val="90"/>
          <w:rFonts w:hint="eastAsia"/>
          <w:color w:val="auto"/>
          <w:highlight w:val="none"/>
        </w:rPr>
        <w:t>第二部分</w:t>
      </w:r>
      <w:bookmarkEnd w:id="8"/>
      <w:r>
        <w:rPr>
          <w:rStyle w:val="90"/>
          <w:color w:val="auto"/>
          <w:highlight w:val="none"/>
        </w:rPr>
        <w:t xml:space="preserve"> 投标人须知</w:t>
      </w:r>
      <w:bookmarkEnd w:id="9"/>
    </w:p>
    <w:p w14:paraId="085D8F03">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70"/>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407"/>
      </w:tblGrid>
      <w:tr w14:paraId="7F72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tcPr>
          <w:p w14:paraId="5F8F47C9">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vAlign w:val="center"/>
          </w:tcPr>
          <w:p w14:paraId="3907E263">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407" w:type="dxa"/>
            <w:vAlign w:val="center"/>
          </w:tcPr>
          <w:p w14:paraId="72EC6B65">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14:paraId="6E65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7" w:hRule="atLeast"/>
          <w:tblHeader/>
          <w:jc w:val="center"/>
        </w:trPr>
        <w:tc>
          <w:tcPr>
            <w:tcW w:w="629" w:type="dxa"/>
            <w:vAlign w:val="top"/>
          </w:tcPr>
          <w:p w14:paraId="324ED001">
            <w:pPr>
              <w:snapToGrid w:val="0"/>
              <w:spacing w:line="360" w:lineRule="auto"/>
              <w:jc w:val="center"/>
              <w:rPr>
                <w:rFonts w:ascii="仿宋_GB2312" w:hAnsi="仿宋" w:eastAsia="仿宋_GB2312" w:cs="仿宋_GB2312"/>
                <w:color w:val="auto"/>
                <w:sz w:val="24"/>
                <w:highlight w:val="none"/>
              </w:rPr>
            </w:pPr>
          </w:p>
          <w:p w14:paraId="29E2D141">
            <w:pPr>
              <w:snapToGrid w:val="0"/>
              <w:spacing w:line="360" w:lineRule="auto"/>
              <w:jc w:val="center"/>
              <w:rPr>
                <w:rFonts w:ascii="仿宋_GB2312" w:hAnsi="仿宋" w:eastAsia="仿宋_GB2312" w:cs="仿宋_GB2312"/>
                <w:color w:val="auto"/>
                <w:sz w:val="24"/>
                <w:highlight w:val="none"/>
              </w:rPr>
            </w:pPr>
          </w:p>
          <w:p w14:paraId="370EDB19">
            <w:pPr>
              <w:snapToGrid w:val="0"/>
              <w:spacing w:line="360" w:lineRule="auto"/>
              <w:jc w:val="center"/>
              <w:rPr>
                <w:rFonts w:ascii="仿宋_GB2312" w:hAnsi="仿宋" w:eastAsia="仿宋_GB2312" w:cs="仿宋_GB2312"/>
                <w:color w:val="auto"/>
                <w:sz w:val="24"/>
                <w:highlight w:val="none"/>
              </w:rPr>
            </w:pPr>
          </w:p>
          <w:p w14:paraId="3439BED1">
            <w:pPr>
              <w:snapToGrid w:val="0"/>
              <w:spacing w:line="360" w:lineRule="auto"/>
              <w:jc w:val="center"/>
              <w:rPr>
                <w:rFonts w:ascii="仿宋_GB2312" w:hAnsi="仿宋" w:eastAsia="仿宋_GB2312" w:cs="仿宋_GB2312"/>
                <w:color w:val="auto"/>
                <w:sz w:val="24"/>
                <w:highlight w:val="none"/>
              </w:rPr>
            </w:pPr>
          </w:p>
          <w:p w14:paraId="618F9BA4">
            <w:pPr>
              <w:snapToGrid w:val="0"/>
              <w:spacing w:line="360" w:lineRule="auto"/>
              <w:jc w:val="center"/>
              <w:rPr>
                <w:rFonts w:ascii="仿宋_GB2312" w:hAnsi="仿宋" w:eastAsia="仿宋_GB2312" w:cs="仿宋_GB2312"/>
                <w:color w:val="auto"/>
                <w:sz w:val="24"/>
                <w:highlight w:val="none"/>
              </w:rPr>
            </w:pPr>
          </w:p>
          <w:p w14:paraId="74A473DE">
            <w:pPr>
              <w:snapToGrid w:val="0"/>
              <w:spacing w:line="360" w:lineRule="auto"/>
              <w:jc w:val="center"/>
              <w:rPr>
                <w:rFonts w:ascii="仿宋_GB2312" w:hAnsi="仿宋" w:eastAsia="仿宋_GB2312" w:cs="仿宋_GB2312"/>
                <w:color w:val="auto"/>
                <w:sz w:val="24"/>
                <w:highlight w:val="none"/>
              </w:rPr>
            </w:pPr>
          </w:p>
          <w:p w14:paraId="46400159">
            <w:pPr>
              <w:snapToGrid w:val="0"/>
              <w:spacing w:line="360" w:lineRule="auto"/>
              <w:jc w:val="center"/>
              <w:rPr>
                <w:rFonts w:ascii="仿宋_GB2312" w:hAnsi="仿宋" w:eastAsia="仿宋_GB2312" w:cs="仿宋_GB2312"/>
                <w:color w:val="auto"/>
                <w:sz w:val="24"/>
                <w:highlight w:val="none"/>
              </w:rPr>
            </w:pPr>
          </w:p>
          <w:p w14:paraId="0DBD3B0F">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vAlign w:val="center"/>
          </w:tcPr>
          <w:p w14:paraId="7DE1CFAF">
            <w:pPr>
              <w:snapToGrid w:val="0"/>
              <w:spacing w:line="360" w:lineRule="auto"/>
              <w:ind w:firstLine="482" w:firstLineChars="200"/>
              <w:jc w:val="both"/>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407" w:type="dxa"/>
            <w:vAlign w:val="center"/>
          </w:tcPr>
          <w:p w14:paraId="28709A5C">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仿宋_GB2312" w:hAnsi="仿宋" w:eastAsia="仿宋_GB2312" w:cs="Times New Roman"/>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w:t>
            </w:r>
            <w:r>
              <w:rPr>
                <w:rFonts w:hint="eastAsia" w:ascii="仿宋_GB2312" w:hAnsi="仿宋" w:eastAsia="仿宋_GB2312" w:cs="Times New Roman"/>
                <w:color w:val="auto"/>
                <w:kern w:val="0"/>
                <w:sz w:val="24"/>
                <w:highlight w:val="none"/>
                <w:lang w:val="zh-CN"/>
              </w:rPr>
              <w:t>格</w:t>
            </w:r>
            <w:r>
              <w:rPr>
                <w:rFonts w:hint="eastAsia" w:ascii="仿宋_GB2312" w:hAnsi="仿宋" w:eastAsia="仿宋_GB2312" w:cs="Times New Roman"/>
                <w:color w:val="auto"/>
                <w:kern w:val="0"/>
                <w:sz w:val="24"/>
                <w:highlight w:val="none"/>
                <w:lang w:val="zh-CN" w:eastAsia="zh-CN"/>
              </w:rPr>
              <w:t>为单价包干，</w:t>
            </w:r>
            <w:r>
              <w:rPr>
                <w:rFonts w:hint="eastAsia" w:ascii="仿宋_GB2312" w:hAnsi="仿宋" w:eastAsia="仿宋_GB2312" w:cs="Times New Roman"/>
                <w:color w:val="auto"/>
                <w:kern w:val="0"/>
                <w:sz w:val="24"/>
                <w:highlight w:val="none"/>
                <w:lang w:val="en-US" w:eastAsia="zh-CN"/>
              </w:rPr>
              <w:t>投标报价</w:t>
            </w:r>
            <w:r>
              <w:rPr>
                <w:rFonts w:hint="eastAsia" w:ascii="仿宋_GB2312" w:hAnsi="仿宋" w:eastAsia="仿宋_GB2312" w:cs="Times New Roman"/>
                <w:color w:val="auto"/>
                <w:kern w:val="0"/>
                <w:sz w:val="24"/>
                <w:highlight w:val="none"/>
                <w:lang w:val="zh-CN" w:eastAsia="zh-CN"/>
              </w:rPr>
              <w:t>是指</w:t>
            </w:r>
            <w:r>
              <w:rPr>
                <w:rFonts w:hint="eastAsia" w:ascii="仿宋_GB2312" w:hAnsi="仿宋" w:eastAsia="仿宋_GB2312" w:cs="Times New Roman"/>
                <w:color w:val="auto"/>
                <w:kern w:val="0"/>
                <w:sz w:val="24"/>
                <w:highlight w:val="none"/>
                <w:lang w:val="en-US" w:eastAsia="zh-CN"/>
              </w:rPr>
              <w:t>供应商</w:t>
            </w:r>
            <w:r>
              <w:rPr>
                <w:rFonts w:hint="eastAsia" w:ascii="仿宋_GB2312" w:hAnsi="仿宋" w:eastAsia="仿宋_GB2312" w:cs="Times New Roman"/>
                <w:color w:val="auto"/>
                <w:kern w:val="0"/>
                <w:sz w:val="24"/>
                <w:highlight w:val="none"/>
                <w:lang w:val="zh-CN" w:eastAsia="zh-CN"/>
              </w:rPr>
              <w:t>在正确地完全履行合同义务后采购人应支付的货物和服务价格，包括</w:t>
            </w:r>
            <w:r>
              <w:rPr>
                <w:rFonts w:hint="eastAsia" w:ascii="仿宋_GB2312" w:hAnsi="仿宋" w:eastAsia="仿宋_GB2312" w:cs="Times New Roman"/>
                <w:color w:val="auto"/>
                <w:kern w:val="0"/>
                <w:sz w:val="24"/>
                <w:highlight w:val="none"/>
                <w:lang w:val="en-US" w:eastAsia="zh-CN"/>
              </w:rPr>
              <w:t>但不限于</w:t>
            </w:r>
            <w:r>
              <w:rPr>
                <w:rFonts w:hint="eastAsia" w:ascii="仿宋_GB2312" w:hAnsi="仿宋" w:eastAsia="仿宋_GB2312" w:cs="Times New Roman"/>
                <w:color w:val="auto"/>
                <w:kern w:val="0"/>
                <w:sz w:val="24"/>
                <w:highlight w:val="none"/>
                <w:lang w:val="zh-CN" w:eastAsia="zh-CN"/>
              </w:rPr>
              <w:t>项目设计、材料采购、工程施工、光伏支架，以及立项、审批、勘测、辅材、运输搬运、损耗、备品备件、专用工具、产品保管、安装、调试、试运行、检验、验收、验收并网通电、移交、运行维护、维保、售后服务、保险、利润和税金、招标代理费以及政策性文件规定费用及合同包含的所有风险、责任等所有费用</w:t>
            </w:r>
            <w:r>
              <w:rPr>
                <w:rFonts w:hint="eastAsia" w:ascii="仿宋_GB2312" w:hAnsi="仿宋" w:eastAsia="仿宋_GB2312" w:cs="Times New Roman"/>
                <w:color w:val="auto"/>
                <w:kern w:val="0"/>
                <w:sz w:val="24"/>
                <w:highlight w:val="none"/>
                <w:lang w:val="zh-CN"/>
              </w:rPr>
              <w:t>。如有漏项，视同已包含在其它产品中，价格不作调整，</w:t>
            </w:r>
            <w:r>
              <w:rPr>
                <w:rFonts w:hint="eastAsia" w:ascii="仿宋_GB2312" w:hAnsi="仿宋" w:eastAsia="仿宋_GB2312" w:cs="Times New Roman"/>
                <w:color w:val="auto"/>
                <w:kern w:val="0"/>
                <w:sz w:val="24"/>
                <w:highlight w:val="none"/>
                <w:lang w:val="en-US" w:eastAsia="zh-CN"/>
              </w:rPr>
              <w:t>中标</w:t>
            </w:r>
            <w:r>
              <w:rPr>
                <w:rFonts w:hint="eastAsia" w:ascii="仿宋_GB2312" w:hAnsi="仿宋" w:eastAsia="仿宋_GB2312" w:cs="Times New Roman"/>
                <w:color w:val="auto"/>
                <w:kern w:val="0"/>
                <w:sz w:val="24"/>
                <w:highlight w:val="none"/>
                <w:lang w:val="zh-CN"/>
              </w:rPr>
              <w:t>后采购人不允许</w:t>
            </w:r>
            <w:r>
              <w:rPr>
                <w:rFonts w:hint="eastAsia" w:ascii="仿宋_GB2312" w:hAnsi="仿宋" w:eastAsia="仿宋_GB2312" w:cs="Times New Roman"/>
                <w:color w:val="auto"/>
                <w:kern w:val="0"/>
                <w:sz w:val="24"/>
                <w:highlight w:val="none"/>
                <w:lang w:val="en-US" w:eastAsia="zh-CN"/>
              </w:rPr>
              <w:t>成交供应商</w:t>
            </w:r>
            <w:r>
              <w:rPr>
                <w:rFonts w:hint="eastAsia" w:ascii="仿宋_GB2312" w:hAnsi="仿宋" w:eastAsia="仿宋_GB2312" w:cs="Times New Roman"/>
                <w:color w:val="auto"/>
                <w:kern w:val="0"/>
                <w:sz w:val="24"/>
                <w:highlight w:val="none"/>
                <w:lang w:val="zh-CN"/>
              </w:rPr>
              <w:t>擅自更换产品、改变服务内容、质量标准、期限和追加项目费用。</w:t>
            </w:r>
          </w:p>
          <w:p w14:paraId="4192328E">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14:paraId="102676DF">
            <w:pPr>
              <w:snapToGrid w:val="0"/>
              <w:spacing w:line="360" w:lineRule="auto"/>
              <w:jc w:val="left"/>
              <w:rPr>
                <w:rFonts w:ascii="仿宋_GB2312" w:hAnsi="仿宋" w:eastAsia="仿宋_GB2312" w:cs="仿宋_GB2312"/>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仿宋_GB2312" w:hAnsi="仿宋" w:eastAsia="仿宋_GB2312" w:cs="仿宋_GB2312"/>
                <w:b/>
                <w:color w:val="auto"/>
                <w:kern w:val="0"/>
                <w:sz w:val="24"/>
                <w:highlight w:val="none"/>
                <w:lang w:val="zh-CN"/>
              </w:rPr>
              <w:t>投标文件出现不是唯一的、有选择性投标报价的；</w:t>
            </w:r>
          </w:p>
          <w:p w14:paraId="00DF9DC3">
            <w:pPr>
              <w:snapToGrid w:val="0"/>
              <w:spacing w:line="360" w:lineRule="auto"/>
              <w:jc w:val="left"/>
              <w:rPr>
                <w:rFonts w:ascii="仿宋_GB2312" w:hAnsi="仿宋" w:eastAsia="仿宋_GB2312"/>
                <w:color w:val="auto"/>
                <w:kern w:val="0"/>
                <w:sz w:val="24"/>
                <w:highlight w:val="none"/>
                <w:lang w:val="zh-CN"/>
              </w:rPr>
            </w:pPr>
            <w:r>
              <w:rPr>
                <w:rFonts w:hint="eastAsia" w:ascii="宋体" w:hAnsi="宋体" w:cs="宋体"/>
                <w:b/>
                <w:color w:val="auto"/>
                <w:kern w:val="0"/>
                <w:sz w:val="24"/>
                <w:highlight w:val="none"/>
                <w:lang w:val="zh-CN"/>
              </w:rPr>
              <w:t>▲</w:t>
            </w: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14:paraId="3D421C2E">
            <w:pPr>
              <w:spacing w:line="360" w:lineRule="auto"/>
              <w:rPr>
                <w:rFonts w:ascii="仿宋_GB2312" w:hAnsi="仿宋" w:eastAsia="仿宋_GB2312" w:cs="仿宋_GB2312"/>
                <w:b/>
                <w:color w:val="auto"/>
                <w:sz w:val="24"/>
                <w:highlight w:val="none"/>
              </w:rPr>
            </w:pPr>
            <w:r>
              <w:rPr>
                <w:rFonts w:hint="eastAsia" w:ascii="宋体" w:hAnsi="宋体" w:cs="宋体"/>
                <w:b/>
                <w:color w:val="auto"/>
                <w:kern w:val="0"/>
                <w:sz w:val="24"/>
                <w:highlight w:val="none"/>
                <w:lang w:val="zh-CN"/>
              </w:rPr>
              <w:t>▲</w:t>
            </w: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14:paraId="3F33FC92">
            <w:pPr>
              <w:spacing w:line="360" w:lineRule="auto"/>
              <w:rPr>
                <w:rFonts w:ascii="仿宋_GB2312" w:hAnsi="仿宋" w:eastAsia="仿宋_GB2312"/>
                <w:color w:val="auto"/>
                <w:sz w:val="24"/>
                <w:highlight w:val="none"/>
              </w:rPr>
            </w:pPr>
            <w:r>
              <w:rPr>
                <w:rFonts w:hint="eastAsia" w:ascii="宋体" w:hAnsi="宋体" w:cs="宋体"/>
                <w:b/>
                <w:color w:val="auto"/>
                <w:kern w:val="0"/>
                <w:sz w:val="24"/>
                <w:highlight w:val="none"/>
                <w:lang w:val="zh-CN"/>
              </w:rPr>
              <w:t>▲</w:t>
            </w: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14:paraId="2FE0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041A834D">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vAlign w:val="center"/>
          </w:tcPr>
          <w:p w14:paraId="071C1421">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407" w:type="dxa"/>
            <w:tcBorders>
              <w:bottom w:val="single" w:color="auto" w:sz="4" w:space="0"/>
            </w:tcBorders>
            <w:vAlign w:val="center"/>
          </w:tcPr>
          <w:p w14:paraId="7387578D">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同意将非主体、非关键性的工作分包。</w:t>
            </w:r>
          </w:p>
          <w:p w14:paraId="51DA5E81">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7633135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14:paraId="2E0F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tcPr>
          <w:p w14:paraId="237FD29B">
            <w:pPr>
              <w:snapToGrid w:val="0"/>
              <w:spacing w:line="360" w:lineRule="auto"/>
              <w:jc w:val="center"/>
              <w:rPr>
                <w:rFonts w:ascii="仿宋_GB2312" w:hAnsi="仿宋" w:eastAsia="仿宋_GB2312" w:cs="仿宋_GB2312"/>
                <w:color w:val="auto"/>
                <w:sz w:val="24"/>
                <w:highlight w:val="none"/>
              </w:rPr>
            </w:pPr>
          </w:p>
          <w:p w14:paraId="2FF98425">
            <w:pPr>
              <w:snapToGrid w:val="0"/>
              <w:spacing w:line="360" w:lineRule="auto"/>
              <w:jc w:val="center"/>
              <w:rPr>
                <w:rFonts w:ascii="仿宋_GB2312" w:hAnsi="仿宋" w:eastAsia="仿宋_GB2312" w:cs="仿宋_GB2312"/>
                <w:color w:val="auto"/>
                <w:sz w:val="24"/>
                <w:highlight w:val="none"/>
              </w:rPr>
            </w:pPr>
          </w:p>
          <w:p w14:paraId="3F7C60CA">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right w:val="single" w:color="auto" w:sz="4" w:space="0"/>
            </w:tcBorders>
            <w:vAlign w:val="center"/>
          </w:tcPr>
          <w:p w14:paraId="2200632A">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407" w:type="dxa"/>
            <w:tcBorders>
              <w:top w:val="single" w:color="auto" w:sz="4" w:space="0"/>
              <w:left w:val="single" w:color="auto" w:sz="4" w:space="0"/>
              <w:bottom w:val="nil"/>
              <w:right w:val="single" w:color="auto" w:sz="4" w:space="0"/>
            </w:tcBorders>
            <w:vAlign w:val="center"/>
          </w:tcPr>
          <w:p w14:paraId="7FC36D11">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14:paraId="4611C048">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14:paraId="23B1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tblHeader/>
          <w:jc w:val="center"/>
        </w:trPr>
        <w:tc>
          <w:tcPr>
            <w:tcW w:w="629" w:type="dxa"/>
            <w:vMerge w:val="continue"/>
          </w:tcPr>
          <w:p w14:paraId="6321E595">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right w:val="single" w:color="auto" w:sz="4" w:space="0"/>
            </w:tcBorders>
            <w:vAlign w:val="center"/>
          </w:tcPr>
          <w:p w14:paraId="5B03FC93">
            <w:pPr>
              <w:snapToGrid w:val="0"/>
              <w:spacing w:line="360" w:lineRule="auto"/>
              <w:jc w:val="center"/>
              <w:rPr>
                <w:rFonts w:ascii="仿宋_GB2312" w:hAnsi="仿宋" w:eastAsia="仿宋_GB2312" w:cs="仿宋_GB2312"/>
                <w:b/>
                <w:color w:val="auto"/>
                <w:sz w:val="24"/>
                <w:highlight w:val="none"/>
              </w:rPr>
            </w:pPr>
          </w:p>
        </w:tc>
        <w:tc>
          <w:tcPr>
            <w:tcW w:w="6407" w:type="dxa"/>
            <w:tcBorders>
              <w:top w:val="nil"/>
              <w:left w:val="single" w:color="auto" w:sz="4" w:space="0"/>
              <w:bottom w:val="single" w:color="auto" w:sz="4" w:space="0"/>
              <w:right w:val="single" w:color="auto" w:sz="4" w:space="0"/>
            </w:tcBorders>
            <w:vAlign w:val="center"/>
          </w:tcPr>
          <w:p w14:paraId="4CDB3F6F">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14:paraId="013E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4" w:hRule="atLeast"/>
          <w:tblHeader/>
          <w:jc w:val="center"/>
        </w:trPr>
        <w:tc>
          <w:tcPr>
            <w:tcW w:w="629" w:type="dxa"/>
          </w:tcPr>
          <w:p w14:paraId="3D3AA199">
            <w:pPr>
              <w:snapToGrid w:val="0"/>
              <w:spacing w:line="360" w:lineRule="auto"/>
              <w:jc w:val="center"/>
              <w:rPr>
                <w:rFonts w:ascii="仿宋_GB2312" w:hAnsi="仿宋" w:eastAsia="仿宋_GB2312" w:cs="仿宋_GB2312"/>
                <w:color w:val="auto"/>
                <w:sz w:val="24"/>
                <w:highlight w:val="none"/>
              </w:rPr>
            </w:pPr>
          </w:p>
          <w:p w14:paraId="29575054">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vAlign w:val="center"/>
          </w:tcPr>
          <w:p w14:paraId="13A4BB1C">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407" w:type="dxa"/>
            <w:tcBorders>
              <w:top w:val="single" w:color="auto" w:sz="4" w:space="0"/>
            </w:tcBorders>
            <w:vAlign w:val="center"/>
          </w:tcPr>
          <w:p w14:paraId="53B7132A">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6895A873">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14:paraId="0D6C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33" w:hRule="atLeast"/>
          <w:tblHeader/>
          <w:jc w:val="center"/>
        </w:trPr>
        <w:tc>
          <w:tcPr>
            <w:tcW w:w="629" w:type="dxa"/>
            <w:vAlign w:val="center"/>
          </w:tcPr>
          <w:p w14:paraId="54C924B3">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vAlign w:val="center"/>
          </w:tcPr>
          <w:p w14:paraId="242C7DF6">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407" w:type="dxa"/>
            <w:vAlign w:val="center"/>
          </w:tcPr>
          <w:p w14:paraId="120D8C34">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14:paraId="31106660">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14:paraId="2294BC60">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val="en-US" w:eastAsia="zh-CN"/>
              </w:rPr>
              <w:t>（1）样品：</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 xml:space="preserve"> ； </w:t>
            </w:r>
          </w:p>
          <w:p w14:paraId="0FB304B4">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val="en-US" w:eastAsia="zh-CN"/>
              </w:rPr>
              <w:t>（2）样品制作的标准和要求：</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 xml:space="preserve"> ； </w:t>
            </w:r>
          </w:p>
          <w:p w14:paraId="51ACF777">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val="en-US" w:eastAsia="zh-CN"/>
              </w:rPr>
              <w:t xml:space="preserve">（3）样品的评审方法以及评审标准：详见评标办法； </w:t>
            </w:r>
          </w:p>
          <w:p w14:paraId="3154FD12">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val="en-US" w:eastAsia="zh-CN"/>
              </w:rPr>
              <w:t>（4）是否需要随样品提交检测报告：否；☐是，检测机构的要求：</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；检测内容：</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 xml:space="preserve"> 。 </w:t>
            </w:r>
          </w:p>
          <w:p w14:paraId="11B951E3">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val="en-US" w:eastAsia="zh-CN"/>
              </w:rPr>
              <w:t>（5）提供样品的时间：</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；地点：</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；联系人：</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，联系电话：</w:t>
            </w:r>
            <w:r>
              <w:rPr>
                <w:rFonts w:hint="eastAsia" w:ascii="仿宋_GB2312" w:hAnsi="仿宋" w:eastAsia="仿宋_GB2312" w:cs="Times New Roman"/>
                <w:color w:val="auto"/>
                <w:sz w:val="24"/>
                <w:highlight w:val="none"/>
                <w:u w:val="single"/>
                <w:lang w:val="en-US" w:eastAsia="zh-CN"/>
              </w:rPr>
              <w:t xml:space="preserve">    </w:t>
            </w:r>
            <w:r>
              <w:rPr>
                <w:rFonts w:hint="eastAsia" w:ascii="仿宋_GB2312" w:hAnsi="仿宋" w:eastAsia="仿宋_GB2312" w:cs="Times New Roman"/>
                <w:color w:val="auto"/>
                <w:sz w:val="24"/>
                <w:highlight w:val="none"/>
                <w:lang w:val="en-US" w:eastAsia="zh-CN"/>
              </w:rPr>
              <w:t xml:space="preserve"> 。请供应商在上述时间内提供样品并按规定位置安装完毕。超过截止时间的，采购人或采购代理机构将不予接收，并将清场并封闭样品现场。 </w:t>
            </w:r>
          </w:p>
          <w:p w14:paraId="5D1AF277">
            <w:pPr>
              <w:spacing w:line="360" w:lineRule="auto"/>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 xml:space="preserve">(6)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 </w:t>
            </w:r>
          </w:p>
          <w:p w14:paraId="719312D3">
            <w:pPr>
              <w:spacing w:line="360" w:lineRule="auto"/>
              <w:rPr>
                <w:rFonts w:ascii="仿宋_GB2312" w:hAnsi="仿宋" w:eastAsia="仿宋_GB2312"/>
                <w:b/>
                <w:color w:val="auto"/>
                <w:sz w:val="24"/>
                <w:highlight w:val="none"/>
              </w:rPr>
            </w:pPr>
            <w:r>
              <w:rPr>
                <w:rFonts w:hint="eastAsia" w:ascii="仿宋_GB2312" w:hAnsi="仿宋" w:eastAsia="仿宋_GB2312" w:cs="Times New Roman"/>
                <w:color w:val="auto"/>
                <w:sz w:val="24"/>
                <w:highlight w:val="none"/>
                <w:lang w:val="en-US" w:eastAsia="zh-CN"/>
              </w:rPr>
              <w:t>（7）制作、运输、安装和保管样品所发生的一切费用由供应商</w:t>
            </w:r>
            <w:r>
              <w:rPr>
                <w:rFonts w:ascii="仿宋_GB2312" w:hAnsi="仿宋" w:eastAsia="仿宋_GB2312"/>
                <w:color w:val="auto"/>
                <w:sz w:val="24"/>
                <w:highlight w:val="none"/>
              </w:rPr>
              <w:t>。</w:t>
            </w:r>
          </w:p>
        </w:tc>
      </w:tr>
      <w:tr w14:paraId="2D0C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590EAD4D">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vAlign w:val="center"/>
          </w:tcPr>
          <w:p w14:paraId="72088827">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407" w:type="dxa"/>
            <w:vAlign w:val="center"/>
          </w:tcPr>
          <w:p w14:paraId="5A59132E">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53AD9619">
            <w:pPr>
              <w:spacing w:line="360" w:lineRule="auto"/>
              <w:rPr>
                <w:rFonts w:ascii="仿宋_GB2312" w:hAnsi="仿宋" w:eastAsia="仿宋_GB2312" w:cs="仿宋_GB2312"/>
                <w:b/>
                <w:color w:val="auto"/>
                <w:kern w:val="0"/>
                <w:sz w:val="24"/>
                <w:highlight w:val="none"/>
                <w:lang w:val="zh-CN"/>
              </w:rPr>
            </w:pPr>
            <w:sdt>
              <w:sdtPr>
                <w:rPr>
                  <w:rFonts w:hint="eastAsia" w:ascii="仿宋_GB2312" w:hAnsi="仿宋" w:eastAsia="仿宋_GB2312" w:cs="Arial"/>
                  <w:color w:val="auto"/>
                  <w:kern w:val="0"/>
                  <w:sz w:val="24"/>
                  <w:highlight w:val="none"/>
                </w:rPr>
                <w:id w:val="11740717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B组织。</w:t>
            </w:r>
          </w:p>
        </w:tc>
      </w:tr>
      <w:tr w14:paraId="0304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3" w:hRule="atLeast"/>
          <w:tblHeader/>
          <w:jc w:val="center"/>
        </w:trPr>
        <w:tc>
          <w:tcPr>
            <w:tcW w:w="629" w:type="dxa"/>
            <w:vAlign w:val="center"/>
          </w:tcPr>
          <w:p w14:paraId="6071BD64">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vAlign w:val="center"/>
          </w:tcPr>
          <w:p w14:paraId="37CA1BA8">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407" w:type="dxa"/>
            <w:vAlign w:val="center"/>
          </w:tcPr>
          <w:p w14:paraId="6BF742E5">
            <w:pPr>
              <w:spacing w:line="360" w:lineRule="auto"/>
              <w:rPr>
                <w:color w:val="auto"/>
                <w:highlight w:val="none"/>
              </w:rPr>
            </w:pPr>
            <w:sdt>
              <w:sdtPr>
                <w:rPr>
                  <w:rFonts w:hint="eastAsia" w:ascii="仿宋_GB2312" w:hAnsi="仿宋" w:eastAsia="仿宋_GB2312"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本项目不允许采购进口产品。</w:t>
            </w:r>
          </w:p>
        </w:tc>
      </w:tr>
      <w:tr w14:paraId="5781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tcPr>
          <w:p w14:paraId="449CE70D">
            <w:pPr>
              <w:snapToGrid w:val="0"/>
              <w:spacing w:line="360" w:lineRule="auto"/>
              <w:jc w:val="center"/>
              <w:rPr>
                <w:rFonts w:ascii="仿宋_GB2312" w:hAnsi="仿宋" w:eastAsia="仿宋_GB2312" w:cs="仿宋_GB2312"/>
                <w:color w:val="auto"/>
                <w:sz w:val="24"/>
                <w:highlight w:val="none"/>
              </w:rPr>
            </w:pPr>
          </w:p>
          <w:p w14:paraId="74DBF5AE">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vAlign w:val="center"/>
          </w:tcPr>
          <w:p w14:paraId="22730F8E">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407" w:type="dxa"/>
            <w:vAlign w:val="center"/>
          </w:tcPr>
          <w:p w14:paraId="43185000">
            <w:pPr>
              <w:keepNext w:val="0"/>
              <w:keepLines w:val="0"/>
              <w:widowControl/>
              <w:suppressLineNumbers w:val="0"/>
              <w:jc w:val="left"/>
              <w:rPr>
                <w:rFonts w:hint="eastAsia" w:ascii="仿宋_GB2312" w:hAnsi="仿宋" w:eastAsia="仿宋_GB2312" w:cs="Arial"/>
                <w:color w:val="auto"/>
                <w:kern w:val="0"/>
                <w:sz w:val="24"/>
                <w:highlight w:val="none"/>
                <w:u w:val="single"/>
                <w:lang w:eastAsia="zh-CN"/>
              </w:rPr>
            </w:pPr>
            <w:sdt>
              <w:sdtPr>
                <w:rPr>
                  <w:rFonts w:hint="eastAsia" w:ascii="仿宋_GB2312" w:hAnsi="仿宋" w:eastAsia="仿宋_GB2312" w:cs="Arial"/>
                  <w:color w:val="auto"/>
                  <w:kern w:val="0"/>
                  <w:sz w:val="24"/>
                  <w:highlight w:val="none"/>
                </w:rPr>
                <w:id w:val="11872786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s="Arial"/>
                <w:color w:val="auto"/>
                <w:kern w:val="0"/>
                <w:sz w:val="24"/>
                <w:highlight w:val="none"/>
                <w:u w:val="single"/>
                <w:lang w:val="en-US" w:eastAsia="zh-CN"/>
              </w:rPr>
              <w:t>光伏组件</w:t>
            </w:r>
            <w:r>
              <w:rPr>
                <w:rFonts w:hint="eastAsia" w:ascii="仿宋_GB2312" w:hAnsi="仿宋" w:eastAsia="仿宋_GB2312" w:cs="Arial"/>
                <w:color w:val="auto"/>
                <w:kern w:val="0"/>
                <w:sz w:val="24"/>
                <w:highlight w:val="none"/>
                <w:u w:val="single"/>
                <w:lang w:eastAsia="zh-CN"/>
              </w:rPr>
              <w:t xml:space="preserve"> 。</w:t>
            </w:r>
          </w:p>
          <w:p w14:paraId="447E9B42">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14:paraId="6582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tcPr>
          <w:p w14:paraId="202B32F8">
            <w:pPr>
              <w:snapToGrid w:val="0"/>
              <w:spacing w:line="360" w:lineRule="auto"/>
              <w:jc w:val="center"/>
              <w:rPr>
                <w:rFonts w:ascii="仿宋_GB2312" w:hAnsi="仿宋" w:eastAsia="仿宋_GB2312" w:cs="仿宋_GB2312"/>
                <w:color w:val="auto"/>
                <w:sz w:val="24"/>
                <w:highlight w:val="none"/>
              </w:rPr>
            </w:pPr>
          </w:p>
          <w:p w14:paraId="4520915A">
            <w:pPr>
              <w:snapToGrid w:val="0"/>
              <w:spacing w:line="360" w:lineRule="auto"/>
              <w:jc w:val="center"/>
              <w:rPr>
                <w:rFonts w:ascii="仿宋_GB2312" w:hAnsi="仿宋" w:eastAsia="仿宋_GB2312" w:cs="仿宋_GB2312"/>
                <w:color w:val="auto"/>
                <w:sz w:val="24"/>
                <w:highlight w:val="none"/>
              </w:rPr>
            </w:pPr>
          </w:p>
          <w:p w14:paraId="41D1524B">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vAlign w:val="center"/>
          </w:tcPr>
          <w:p w14:paraId="2BF0BF05">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407" w:type="dxa"/>
            <w:vAlign w:val="center"/>
          </w:tcPr>
          <w:p w14:paraId="11A27D6B">
            <w:pPr>
              <w:keepNext w:val="0"/>
              <w:keepLines w:val="0"/>
              <w:widowControl/>
              <w:suppressLineNumbers w:val="0"/>
              <w:jc w:val="left"/>
              <w:rPr>
                <w:color w:val="auto"/>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lang w:val="en-US" w:eastAsia="zh-CN"/>
              </w:rPr>
              <w:t>光伏发电</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lang w:eastAsia="zh-CN"/>
              </w:rPr>
              <w:t>工业</w:t>
            </w:r>
            <w:r>
              <w:rPr>
                <w:rFonts w:hint="eastAsia" w:ascii="仿宋_GB2312" w:hAnsi="仿宋" w:eastAsia="仿宋_GB2312" w:cs="Arial"/>
                <w:color w:val="auto"/>
                <w:kern w:val="0"/>
                <w:sz w:val="24"/>
                <w:highlight w:val="none"/>
              </w:rPr>
              <w:t>行业；</w:t>
            </w:r>
          </w:p>
        </w:tc>
      </w:tr>
      <w:tr w14:paraId="0E27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jc w:val="center"/>
        </w:trPr>
        <w:tc>
          <w:tcPr>
            <w:tcW w:w="629" w:type="dxa"/>
            <w:vMerge w:val="restart"/>
            <w:vAlign w:val="center"/>
          </w:tcPr>
          <w:p w14:paraId="35A3EEE0">
            <w:pPr>
              <w:snapToGrid w:val="0"/>
              <w:spacing w:line="360" w:lineRule="auto"/>
              <w:jc w:val="center"/>
              <w:rPr>
                <w:rFonts w:ascii="仿宋_GB2312" w:hAnsi="仿宋" w:eastAsia="仿宋_GB2312" w:cs="仿宋_GB2312"/>
                <w:color w:val="auto"/>
                <w:sz w:val="24"/>
                <w:highlight w:val="none"/>
              </w:rPr>
            </w:pPr>
          </w:p>
          <w:p w14:paraId="7FB42A5B">
            <w:pPr>
              <w:snapToGrid w:val="0"/>
              <w:spacing w:line="360" w:lineRule="auto"/>
              <w:jc w:val="center"/>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val="en-US" w:eastAsia="zh-CN"/>
              </w:rPr>
              <w:t>0</w:t>
            </w:r>
          </w:p>
        </w:tc>
        <w:tc>
          <w:tcPr>
            <w:tcW w:w="1843" w:type="dxa"/>
            <w:vMerge w:val="restart"/>
            <w:vAlign w:val="center"/>
          </w:tcPr>
          <w:p w14:paraId="1E704988">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407" w:type="dxa"/>
            <w:vAlign w:val="center"/>
          </w:tcPr>
          <w:p w14:paraId="0EB4FDC3">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tc>
      </w:tr>
      <w:tr w14:paraId="624B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jc w:val="center"/>
        </w:trPr>
        <w:tc>
          <w:tcPr>
            <w:tcW w:w="629" w:type="dxa"/>
            <w:vMerge w:val="continue"/>
          </w:tcPr>
          <w:p w14:paraId="4C691838">
            <w:pPr>
              <w:spacing w:line="360" w:lineRule="auto"/>
              <w:ind w:firstLine="420" w:firstLineChars="200"/>
              <w:rPr>
                <w:color w:val="auto"/>
                <w:highlight w:val="none"/>
              </w:rPr>
            </w:pPr>
          </w:p>
        </w:tc>
        <w:tc>
          <w:tcPr>
            <w:tcW w:w="1843" w:type="dxa"/>
            <w:vMerge w:val="continue"/>
            <w:vAlign w:val="center"/>
          </w:tcPr>
          <w:p w14:paraId="6A6D7A35">
            <w:pPr>
              <w:spacing w:line="360" w:lineRule="auto"/>
              <w:ind w:firstLine="420" w:firstLineChars="200"/>
              <w:rPr>
                <w:color w:val="auto"/>
                <w:highlight w:val="none"/>
              </w:rPr>
            </w:pPr>
          </w:p>
        </w:tc>
        <w:tc>
          <w:tcPr>
            <w:tcW w:w="6407" w:type="dxa"/>
            <w:vAlign w:val="center"/>
          </w:tcPr>
          <w:p w14:paraId="3AD8F9E8">
            <w:pPr>
              <w:spacing w:line="360" w:lineRule="auto"/>
              <w:ind w:firstLine="240" w:firstLineChars="1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D1D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14:paraId="50AA18F1">
            <w:pPr>
              <w:snapToGrid w:val="0"/>
              <w:spacing w:line="360" w:lineRule="auto"/>
              <w:jc w:val="center"/>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val="en-US" w:eastAsia="zh-CN"/>
              </w:rPr>
              <w:t>1</w:t>
            </w:r>
          </w:p>
        </w:tc>
        <w:tc>
          <w:tcPr>
            <w:tcW w:w="1843" w:type="dxa"/>
            <w:vAlign w:val="center"/>
          </w:tcPr>
          <w:p w14:paraId="671B5EA1">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407" w:type="dxa"/>
            <w:vAlign w:val="center"/>
          </w:tcPr>
          <w:p w14:paraId="1DA220E1">
            <w:pPr>
              <w:pStyle w:val="38"/>
              <w:spacing w:line="360" w:lineRule="auto"/>
              <w:rPr>
                <w:rFonts w:ascii="仿宋_GB2312" w:hAnsi="仿宋" w:eastAsia="仿宋_GB2312"/>
                <w:color w:val="auto"/>
                <w:kern w:val="28"/>
                <w:sz w:val="24"/>
                <w:highlight w:val="none"/>
              </w:rPr>
            </w:pPr>
            <w:r>
              <w:rPr>
                <w:rFonts w:hint="eastAsia" w:ascii="仿宋" w:hAnsi="仿宋" w:eastAsia="仿宋" w:cs="仿宋"/>
                <w:color w:val="auto"/>
                <w:sz w:val="24"/>
                <w:szCs w:val="24"/>
              </w:rPr>
              <w:t>投标人应当在投标文件递交截止时间前将装有电子备份投标文件的光盘或U盘密封邮寄到</w:t>
            </w:r>
            <w:r>
              <w:rPr>
                <w:rFonts w:hint="eastAsia" w:ascii="仿宋" w:hAnsi="仿宋" w:eastAsia="仿宋" w:cs="仿宋"/>
                <w:color w:val="auto"/>
                <w:sz w:val="24"/>
                <w:szCs w:val="24"/>
                <w:lang w:eastAsia="zh-CN"/>
              </w:rPr>
              <w:t>浙江天平投资咨询有限公司</w:t>
            </w:r>
            <w:r>
              <w:rPr>
                <w:rFonts w:hint="eastAsia" w:ascii="仿宋" w:hAnsi="仿宋" w:eastAsia="仿宋" w:cs="仿宋"/>
                <w:color w:val="auto"/>
                <w:sz w:val="24"/>
                <w:szCs w:val="24"/>
              </w:rPr>
              <w:t>（浙江省衢州市柯城区</w:t>
            </w:r>
            <w:r>
              <w:rPr>
                <w:rFonts w:hint="eastAsia" w:ascii="仿宋" w:hAnsi="仿宋" w:eastAsia="仿宋" w:cs="仿宋"/>
                <w:color w:val="auto"/>
                <w:sz w:val="24"/>
                <w:szCs w:val="24"/>
                <w:lang w:eastAsia="zh-CN"/>
              </w:rPr>
              <w:t>新新街道世纪大道</w:t>
            </w:r>
            <w:r>
              <w:rPr>
                <w:rFonts w:hint="eastAsia" w:ascii="仿宋" w:hAnsi="仿宋" w:eastAsia="仿宋" w:cs="仿宋"/>
                <w:color w:val="auto"/>
                <w:sz w:val="24"/>
                <w:szCs w:val="24"/>
                <w:lang w:val="en-US" w:eastAsia="zh-CN"/>
              </w:rPr>
              <w:t>682号</w:t>
            </w:r>
            <w:r>
              <w:rPr>
                <w:rFonts w:hint="eastAsia" w:ascii="仿宋" w:hAnsi="仿宋" w:eastAsia="仿宋" w:cs="仿宋"/>
                <w:color w:val="auto"/>
                <w:sz w:val="24"/>
                <w:szCs w:val="24"/>
              </w:rPr>
              <w:t>）招标代理部收，或以加密压缩文件邮件形式发送至邮箱：</w:t>
            </w:r>
            <w:r>
              <w:rPr>
                <w:rFonts w:hint="eastAsia" w:ascii="仿宋" w:hAnsi="仿宋" w:eastAsia="仿宋" w:cs="仿宋"/>
                <w:color w:val="auto"/>
                <w:sz w:val="24"/>
                <w:szCs w:val="24"/>
                <w:lang w:eastAsia="zh-CN"/>
              </w:rPr>
              <w:t>56754061</w:t>
            </w:r>
            <w:r>
              <w:rPr>
                <w:rFonts w:hint="eastAsia" w:ascii="仿宋" w:hAnsi="仿宋" w:eastAsia="仿宋" w:cs="仿宋"/>
                <w:color w:val="auto"/>
                <w:sz w:val="24"/>
                <w:szCs w:val="24"/>
              </w:rPr>
              <w:t>@qq.com（压缩文件命名为投标项目编号和投标单位简称，按接收方邮箱收件箱所显示时间为准。开标时间起半小时内发送压缩文件密码至邮箱：</w:t>
            </w:r>
            <w:r>
              <w:rPr>
                <w:rFonts w:hint="eastAsia" w:ascii="仿宋" w:hAnsi="仿宋" w:eastAsia="仿宋" w:cs="仿宋"/>
                <w:color w:val="auto"/>
                <w:sz w:val="24"/>
                <w:szCs w:val="24"/>
                <w:lang w:eastAsia="zh-CN"/>
              </w:rPr>
              <w:t>56754061</w:t>
            </w:r>
            <w:r>
              <w:rPr>
                <w:rFonts w:hint="eastAsia" w:ascii="仿宋" w:hAnsi="仿宋" w:eastAsia="仿宋" w:cs="仿宋"/>
                <w:color w:val="auto"/>
                <w:sz w:val="24"/>
                <w:szCs w:val="24"/>
              </w:rPr>
              <w:t>@qq.com）。逾期送达或未按要求密封将被拒收。如投标人未在投标截止时间前完成电子投标文件的传输递交，其电子备份投标文件也将退还。</w:t>
            </w:r>
          </w:p>
        </w:tc>
      </w:tr>
      <w:tr w14:paraId="595B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266B7DE9">
            <w:pPr>
              <w:snapToGrid w:val="0"/>
              <w:spacing w:line="360" w:lineRule="auto"/>
              <w:jc w:val="center"/>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val="en-US" w:eastAsia="zh-CN"/>
              </w:rPr>
              <w:t>2</w:t>
            </w:r>
          </w:p>
        </w:tc>
        <w:tc>
          <w:tcPr>
            <w:tcW w:w="1843" w:type="dxa"/>
            <w:vAlign w:val="center"/>
          </w:tcPr>
          <w:p w14:paraId="59F1BDC9">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招标代理机构代理费用</w:t>
            </w:r>
          </w:p>
        </w:tc>
        <w:tc>
          <w:tcPr>
            <w:tcW w:w="6407" w:type="dxa"/>
            <w:vAlign w:val="center"/>
          </w:tcPr>
          <w:p w14:paraId="1D83E2E3">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cs="Times New Roman"/>
                <w:snapToGrid w:val="0"/>
                <w:color w:val="auto"/>
                <w:kern w:val="28"/>
                <w:sz w:val="24"/>
                <w:szCs w:val="24"/>
                <w:highlight w:val="none"/>
                <w:lang w:val="en-US" w:eastAsia="zh-CN" w:bidi="ar-SA"/>
              </w:rPr>
              <w:t>本次采购代理服务费由中标人支付。采购代理服务费金额：参照原国家计委计价格［2002］1980 号文件和国家发展改革委发改价格 [2011]534 号文件规定计算。由中标人在领取中标通知书时以人民币方式向采购代理机构一次性支付。</w:t>
            </w:r>
          </w:p>
        </w:tc>
      </w:tr>
    </w:tbl>
    <w:p w14:paraId="7B56DE53">
      <w:pPr>
        <w:rPr>
          <w:color w:val="auto"/>
          <w:highlight w:val="none"/>
        </w:rPr>
      </w:pPr>
      <w:r>
        <w:rPr>
          <w:rFonts w:ascii="仿宋" w:hAnsi="仿宋" w:eastAsia="仿宋" w:cs="仿宋_GB2312"/>
          <w:b/>
          <w:color w:val="auto"/>
          <w:sz w:val="32"/>
          <w:szCs w:val="20"/>
          <w:highlight w:val="none"/>
        </w:rPr>
        <w:br w:type="page"/>
      </w:r>
    </w:p>
    <w:bookmarkEnd w:id="10"/>
    <w:p w14:paraId="796A3645">
      <w:pPr>
        <w:pStyle w:val="4"/>
        <w:rPr>
          <w:rFonts w:hAnsi="仿宋" w:eastAsia="仿宋_GB2312" w:cs="仿宋_GB2312"/>
          <w:color w:val="auto"/>
          <w:szCs w:val="20"/>
          <w:highlight w:val="none"/>
        </w:rPr>
      </w:pPr>
      <w:bookmarkStart w:id="11" w:name="_Toc164416483"/>
      <w:bookmarkStart w:id="12" w:name="第三部分"/>
      <w:r>
        <w:rPr>
          <w:rFonts w:hint="eastAsia"/>
          <w:color w:val="auto"/>
          <w:highlight w:val="none"/>
        </w:rPr>
        <w:t>一、总则</w:t>
      </w:r>
    </w:p>
    <w:p w14:paraId="6B0E6E5B">
      <w:pPr>
        <w:pStyle w:val="5"/>
        <w:ind w:left="0"/>
        <w:rPr>
          <w:color w:val="auto"/>
          <w:highlight w:val="none"/>
        </w:rPr>
      </w:pPr>
      <w:r>
        <w:rPr>
          <w:color w:val="auto"/>
          <w:highlight w:val="none"/>
        </w:rPr>
        <w:t xml:space="preserve">1. </w:t>
      </w:r>
      <w:r>
        <w:rPr>
          <w:rFonts w:hint="eastAsia"/>
          <w:color w:val="auto"/>
          <w:highlight w:val="none"/>
        </w:rPr>
        <w:t>适用范围</w:t>
      </w:r>
    </w:p>
    <w:p w14:paraId="21AC4C54">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14:paraId="4515AF96">
      <w:pPr>
        <w:pStyle w:val="5"/>
        <w:ind w:left="0"/>
        <w:rPr>
          <w:color w:val="auto"/>
          <w:highlight w:val="none"/>
        </w:rPr>
      </w:pPr>
      <w:r>
        <w:rPr>
          <w:rFonts w:ascii="仿宋_GB2312" w:hAnsi="仿宋" w:eastAsia="仿宋_GB2312"/>
          <w:color w:val="auto"/>
          <w:highlight w:val="none"/>
        </w:rPr>
        <w:t>2.</w:t>
      </w:r>
      <w:r>
        <w:rPr>
          <w:rFonts w:hint="eastAsia" w:ascii="仿宋_GB2312" w:hAnsi="仿宋" w:eastAsia="仿宋_GB2312"/>
          <w:color w:val="auto"/>
          <w:highlight w:val="none"/>
        </w:rPr>
        <w:t xml:space="preserve"> </w:t>
      </w:r>
      <w:r>
        <w:rPr>
          <w:rFonts w:hint="eastAsia"/>
          <w:color w:val="auto"/>
          <w:highlight w:val="none"/>
        </w:rPr>
        <w:t>定义</w:t>
      </w:r>
    </w:p>
    <w:p w14:paraId="76A040F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14:paraId="4DE9628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14:paraId="4F6D8AF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14:paraId="5C16769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0ED7BF5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14:paraId="5F789E1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14:paraId="00C82D1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14:paraId="5E2F7B60">
      <w:pPr>
        <w:pStyle w:val="5"/>
        <w:ind w:left="0"/>
        <w:rPr>
          <w:color w:val="auto"/>
          <w:highlight w:val="none"/>
        </w:rPr>
      </w:pPr>
      <w:r>
        <w:rPr>
          <w:color w:val="auto"/>
          <w:highlight w:val="none"/>
        </w:rPr>
        <w:t xml:space="preserve">3. </w:t>
      </w:r>
      <w:r>
        <w:rPr>
          <w:rFonts w:hint="eastAsia"/>
          <w:color w:val="auto"/>
          <w:highlight w:val="none"/>
        </w:rPr>
        <w:t>采购项目需要落实的政府采购政策</w:t>
      </w:r>
    </w:p>
    <w:p w14:paraId="44500197">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8C76544">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6FD27BD2">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128C4B4">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14:paraId="08E61D62">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266F23F">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14:paraId="0237188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5331AF">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14:paraId="0BE1F349">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14:paraId="5B2ED1B0">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14:paraId="582C9E3A">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14:paraId="235DD350">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14:paraId="5BC0DDD4">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14:paraId="1DAAE06F">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63C662B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6EB02CD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50E2CA1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7FE19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218942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14:paraId="5A32A628">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14:paraId="31E2EFF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14:paraId="5639031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eastAsia="zh-CN"/>
        </w:rPr>
        <w:t>2.67</w:t>
      </w:r>
      <w:r>
        <w:rPr>
          <w:rFonts w:hint="eastAsia" w:ascii="仿宋_GB2312" w:hAnsi="仿宋" w:eastAsia="仿宋_GB2312"/>
          <w:color w:val="auto"/>
          <w:sz w:val="24"/>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0CB7E8E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FF2E858">
      <w:pPr>
        <w:spacing w:line="360" w:lineRule="auto"/>
        <w:ind w:firstLine="420"/>
        <w:rPr>
          <w:rFonts w:ascii="仿宋_GB2312" w:hAnsi="仿宋" w:eastAsia="仿宋_GB2312"/>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923C758">
      <w:pPr>
        <w:spacing w:line="360" w:lineRule="auto"/>
        <w:outlineLvl w:val="2"/>
        <w:rPr>
          <w:rFonts w:ascii="仿宋_GB2312" w:hAnsi="仿宋" w:eastAsia="仿宋_GB2312"/>
          <w:b/>
          <w:color w:val="auto"/>
          <w:sz w:val="24"/>
          <w:highlight w:val="none"/>
        </w:rPr>
      </w:pPr>
      <w:r>
        <w:rPr>
          <w:rStyle w:val="968"/>
          <w:color w:val="auto"/>
          <w:highlight w:val="none"/>
        </w:rPr>
        <w:t xml:space="preserve">4. </w:t>
      </w:r>
      <w:r>
        <w:rPr>
          <w:rStyle w:val="968"/>
          <w:rFonts w:hint="eastAsia"/>
          <w:color w:val="auto"/>
          <w:highlight w:val="none"/>
        </w:rPr>
        <w:t>询问、质疑、投诉</w:t>
      </w:r>
    </w:p>
    <w:p w14:paraId="74623678">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14:paraId="416DF101">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1F9FB473">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供应商质疑</w:t>
      </w:r>
    </w:p>
    <w:p w14:paraId="1A8AB48C">
      <w:pPr>
        <w:pStyle w:val="38"/>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2.67</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14:paraId="55A611A2">
      <w:pPr>
        <w:pStyle w:val="38"/>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2.67</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19E6ACE">
      <w:pPr>
        <w:pStyle w:val="6"/>
        <w:spacing w:line="360" w:lineRule="auto"/>
        <w:ind w:firstLine="480" w:firstLineChars="200"/>
        <w:rPr>
          <w:rFonts w:ascii="仿宋_GB2312" w:hAnsi="仿宋" w:eastAsia="仿宋_GB2312"/>
          <w:snapToGrid/>
          <w:color w:val="auto"/>
          <w:kern w:val="2"/>
          <w:sz w:val="24"/>
          <w:highlight w:val="none"/>
        </w:rPr>
      </w:pPr>
      <w:r>
        <w:rPr>
          <w:rFonts w:hint="eastAsia" w:ascii="仿宋_GB2312" w:hAnsi="仿宋" w:eastAsia="仿宋_GB2312"/>
          <w:snapToGrid/>
          <w:color w:val="auto"/>
          <w:kern w:val="2"/>
          <w:sz w:val="24"/>
          <w:highlight w:val="none"/>
          <w:lang w:eastAsia="zh-CN"/>
        </w:rPr>
        <w:t>2.67</w:t>
      </w:r>
      <w:r>
        <w:rPr>
          <w:rFonts w:ascii="仿宋_GB2312" w:hAnsi="仿宋" w:eastAsia="仿宋_GB2312"/>
          <w:snapToGrid/>
          <w:color w:val="auto"/>
          <w:kern w:val="2"/>
          <w:sz w:val="24"/>
          <w:highlight w:val="none"/>
        </w:rPr>
        <w:t>.2.1对招标文件提出质疑的，质疑期限为供应商获得招标文件之日或者招标文件公告期限届满之日起计算。</w:t>
      </w:r>
    </w:p>
    <w:p w14:paraId="0156D459">
      <w:pPr>
        <w:pStyle w:val="38"/>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2.67</w:t>
      </w:r>
      <w:r>
        <w:rPr>
          <w:rFonts w:ascii="仿宋_GB2312" w:hAnsi="仿宋" w:eastAsia="仿宋_GB2312"/>
          <w:color w:val="auto"/>
          <w:sz w:val="24"/>
          <w:highlight w:val="none"/>
        </w:rPr>
        <w:t>.2.2对采购过程提出质疑的，质疑期限为各采购程序环节结束之日起计算。对同一采购程序环节的质疑，供应商须一次性提出。</w:t>
      </w:r>
    </w:p>
    <w:p w14:paraId="1C76FED7">
      <w:pPr>
        <w:pStyle w:val="38"/>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2.67</w:t>
      </w:r>
      <w:r>
        <w:rPr>
          <w:rFonts w:ascii="仿宋_GB2312" w:hAnsi="仿宋" w:eastAsia="仿宋_GB2312"/>
          <w:color w:val="auto"/>
          <w:sz w:val="24"/>
          <w:highlight w:val="none"/>
        </w:rPr>
        <w:t>.2.3对采购结果提出质疑的，质疑期限自采购结果公告期限届满之日起计算。</w:t>
      </w:r>
    </w:p>
    <w:p w14:paraId="50D46B75">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w:t>
      </w:r>
      <w:r>
        <w:rPr>
          <w:rFonts w:hint="eastAsia" w:ascii="仿宋_GB2312" w:hAnsi="仿宋" w:eastAsia="仿宋_GB2312"/>
          <w:color w:val="auto"/>
          <w:sz w:val="24"/>
          <w:highlight w:val="none"/>
        </w:rPr>
        <w:t>供应商提出质疑应当提交质疑函和必要的证明材料。质疑函应当包括下列内容：</w:t>
      </w:r>
    </w:p>
    <w:p w14:paraId="3AB2295E">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.3.1</w:t>
      </w:r>
      <w:r>
        <w:rPr>
          <w:rFonts w:hint="eastAsia" w:ascii="仿宋_GB2312" w:hAnsi="仿宋" w:eastAsia="仿宋_GB2312" w:cs="微软雅黑"/>
          <w:color w:val="auto"/>
          <w:kern w:val="0"/>
          <w:sz w:val="24"/>
          <w:highlight w:val="none"/>
          <w:lang w:val="zh-CN"/>
        </w:rPr>
        <w:t>供应商的姓名或者名称、地址、邮编、联系人及联系电话；</w:t>
      </w:r>
    </w:p>
    <w:p w14:paraId="137813DC">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.3.2</w:t>
      </w:r>
      <w:r>
        <w:rPr>
          <w:rFonts w:hint="eastAsia" w:ascii="仿宋_GB2312" w:hAnsi="仿宋" w:eastAsia="仿宋_GB2312" w:cs="微软雅黑"/>
          <w:color w:val="auto"/>
          <w:kern w:val="0"/>
          <w:sz w:val="24"/>
          <w:highlight w:val="none"/>
          <w:lang w:val="zh-CN"/>
        </w:rPr>
        <w:t>质疑项目的名称、编号；</w:t>
      </w:r>
    </w:p>
    <w:p w14:paraId="04C62A87">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.3.3</w:t>
      </w:r>
      <w:r>
        <w:rPr>
          <w:rFonts w:hint="eastAsia" w:ascii="仿宋_GB2312" w:hAnsi="仿宋" w:eastAsia="仿宋_GB2312" w:cs="微软雅黑"/>
          <w:color w:val="auto"/>
          <w:kern w:val="0"/>
          <w:sz w:val="24"/>
          <w:highlight w:val="none"/>
          <w:lang w:val="zh-CN"/>
        </w:rPr>
        <w:t>具体、明确的质疑事项和与质疑事项相关的请求；</w:t>
      </w:r>
    </w:p>
    <w:p w14:paraId="13A124B6">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.3.4</w:t>
      </w:r>
      <w:r>
        <w:rPr>
          <w:rFonts w:hint="eastAsia" w:ascii="仿宋_GB2312" w:hAnsi="仿宋" w:eastAsia="仿宋_GB2312" w:cs="微软雅黑"/>
          <w:color w:val="auto"/>
          <w:kern w:val="0"/>
          <w:sz w:val="24"/>
          <w:highlight w:val="none"/>
          <w:lang w:val="zh-CN"/>
        </w:rPr>
        <w:t>事实依据；</w:t>
      </w:r>
    </w:p>
    <w:p w14:paraId="48966FE1">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.3.5</w:t>
      </w:r>
      <w:r>
        <w:rPr>
          <w:rFonts w:hint="eastAsia" w:ascii="仿宋_GB2312" w:hAnsi="仿宋" w:eastAsia="仿宋_GB2312" w:cs="微软雅黑"/>
          <w:color w:val="auto"/>
          <w:kern w:val="0"/>
          <w:sz w:val="24"/>
          <w:highlight w:val="none"/>
          <w:lang w:val="zh-CN"/>
        </w:rPr>
        <w:t>必要的法律依据；</w:t>
      </w:r>
    </w:p>
    <w:p w14:paraId="1FAA3101">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w:t>
      </w:r>
      <w:r>
        <w:rPr>
          <w:rFonts w:ascii="仿宋_GB2312" w:hAnsi="仿宋" w:eastAsia="仿宋_GB2312" w:cs="微软雅黑"/>
          <w:color w:val="auto"/>
          <w:kern w:val="0"/>
          <w:sz w:val="24"/>
          <w:highlight w:val="none"/>
          <w:lang w:val="zh-CN"/>
        </w:rPr>
        <w:t>.3.6</w:t>
      </w:r>
      <w:r>
        <w:rPr>
          <w:rFonts w:hint="eastAsia" w:ascii="仿宋_GB2312" w:hAnsi="仿宋" w:eastAsia="仿宋_GB2312" w:cs="微软雅黑"/>
          <w:color w:val="auto"/>
          <w:kern w:val="0"/>
          <w:sz w:val="24"/>
          <w:highlight w:val="none"/>
          <w:lang w:val="zh-CN"/>
        </w:rPr>
        <w:t>提出质疑的日期。</w:t>
      </w:r>
    </w:p>
    <w:p w14:paraId="294DE453">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5ACD8BB">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质疑函范本及制作说明详见附件2。</w:t>
      </w:r>
    </w:p>
    <w:p w14:paraId="62AF7281">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2.67.4采购人或者采购机构应当在收到供应商的书面质疑后七个工作日内作出答复，并以书面形式通知质疑供应商和其他与质疑处理结果有利害关系的政府采购当事人，但答复的内容不得涉及商业秘密。</w:t>
      </w:r>
    </w:p>
    <w:p w14:paraId="4EE832C7">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2.67.5询问或者质疑事项可能影响采购结果的，采购人应当暂停签订合同，已经签订合同的，应当中止履行合同。</w:t>
      </w:r>
    </w:p>
    <w:p w14:paraId="0F9A1833">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4.3供应商投诉</w:t>
      </w:r>
    </w:p>
    <w:p w14:paraId="3D12D886">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14:paraId="5F48A464">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4.3.2供应商投诉的事项不得超出已质疑事项的范围，基于质疑答复内容提出的投诉事项除外。</w:t>
      </w:r>
    </w:p>
    <w:p w14:paraId="63063324">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4.3.3供应商投诉应当有明确的请求和必要的证明材料。</w:t>
      </w:r>
    </w:p>
    <w:p w14:paraId="29CF687B">
      <w:pPr>
        <w:pStyle w:val="38"/>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4.3.</w:t>
      </w:r>
      <w:r>
        <w:rPr>
          <w:rFonts w:hint="eastAsia" w:ascii="仿宋_GB2312" w:hAnsi="仿宋" w:eastAsia="仿宋_GB2312" w:cs="微软雅黑"/>
          <w:color w:val="auto"/>
          <w:kern w:val="0"/>
          <w:sz w:val="24"/>
          <w:highlight w:val="none"/>
        </w:rPr>
        <w:t>4</w:t>
      </w:r>
      <w:r>
        <w:rPr>
          <w:rFonts w:hint="eastAsia" w:ascii="仿宋_GB2312" w:hAnsi="仿宋" w:eastAsia="仿宋_GB2312" w:cs="微软雅黑"/>
          <w:color w:val="auto"/>
          <w:kern w:val="0"/>
          <w:sz w:val="24"/>
          <w:highlight w:val="none"/>
          <w:lang w:val="zh-CN"/>
        </w:rPr>
        <w:t xml:space="preserve"> 以联合体形式参加政府采购活动的，其投诉应当由组成联合体的所有供应商共同提出。投诉书范本及制作说明详见附件3。</w:t>
      </w:r>
    </w:p>
    <w:p w14:paraId="1F2B578B">
      <w:pPr>
        <w:pStyle w:val="140"/>
        <w:snapToGrid w:val="0"/>
        <w:spacing w:before="0"/>
        <w:ind w:firstLine="360"/>
        <w:rPr>
          <w:rFonts w:ascii="仿宋_GB2312" w:hAnsi="仿宋" w:eastAsia="仿宋_GB2312" w:cs="仿宋_GB2312"/>
          <w:color w:val="auto"/>
          <w:sz w:val="18"/>
          <w:szCs w:val="18"/>
          <w:highlight w:val="none"/>
        </w:rPr>
      </w:pPr>
    </w:p>
    <w:p w14:paraId="333409B5">
      <w:pPr>
        <w:adjustRightInd/>
        <w:spacing w:line="360" w:lineRule="auto"/>
        <w:jc w:val="center"/>
        <w:outlineLvl w:val="1"/>
        <w:rPr>
          <w:rStyle w:val="967"/>
          <w:color w:val="auto"/>
          <w:highlight w:val="none"/>
        </w:rPr>
      </w:pPr>
    </w:p>
    <w:p w14:paraId="193F1FFF">
      <w:pPr>
        <w:adjustRightInd/>
        <w:spacing w:line="360" w:lineRule="auto"/>
        <w:jc w:val="center"/>
        <w:outlineLvl w:val="1"/>
        <w:rPr>
          <w:rStyle w:val="967"/>
          <w:color w:val="auto"/>
          <w:highlight w:val="none"/>
        </w:rPr>
      </w:pPr>
    </w:p>
    <w:p w14:paraId="670DD505">
      <w:pPr>
        <w:adjustRightInd/>
        <w:spacing w:line="360" w:lineRule="auto"/>
        <w:jc w:val="both"/>
        <w:outlineLvl w:val="1"/>
        <w:rPr>
          <w:rStyle w:val="967"/>
          <w:color w:val="auto"/>
          <w:highlight w:val="none"/>
        </w:rPr>
      </w:pPr>
    </w:p>
    <w:p w14:paraId="5B068F93">
      <w:pPr>
        <w:adjustRightInd/>
        <w:spacing w:line="360" w:lineRule="auto"/>
        <w:ind w:firstLine="1606" w:firstLineChars="500"/>
        <w:jc w:val="both"/>
        <w:outlineLvl w:val="1"/>
        <w:rPr>
          <w:rFonts w:ascii="仿宋_GB2312" w:hAnsi="仿宋" w:eastAsia="仿宋_GB2312" w:cs="仿宋_GB2312"/>
          <w:b/>
          <w:color w:val="auto"/>
          <w:sz w:val="32"/>
          <w:szCs w:val="20"/>
          <w:highlight w:val="none"/>
        </w:rPr>
      </w:pPr>
      <w:r>
        <w:rPr>
          <w:rStyle w:val="967"/>
          <w:color w:val="auto"/>
          <w:highlight w:val="none"/>
        </w:rPr>
        <w:t>二、招标文件的构成、澄清、修改</w:t>
      </w:r>
    </w:p>
    <w:p w14:paraId="6C4262C6">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14:paraId="66BF9D2B">
      <w:pPr>
        <w:pStyle w:val="38"/>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14:paraId="06DD0AE0">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14:paraId="1AD8A7A1">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14:paraId="5CBDF821">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14:paraId="07A7C654">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14:paraId="30FD4AD5">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14:paraId="3252D17A">
      <w:pPr>
        <w:pStyle w:val="38"/>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14:paraId="0D37AEE3">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14:paraId="13EC9D7D">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14:paraId="31E49DC6">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14:paraId="152F94AD">
      <w:pPr>
        <w:pStyle w:val="140"/>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CE7948">
      <w:pPr>
        <w:pStyle w:val="24"/>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14:paraId="22331E7E">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7D686C45">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14:paraId="1168122D">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1CB6AE8E">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14:paraId="07A7CB42">
      <w:pPr>
        <w:pStyle w:val="38"/>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78118DA4">
      <w:pPr>
        <w:pStyle w:val="38"/>
        <w:spacing w:line="360" w:lineRule="auto"/>
        <w:outlineLvl w:val="2"/>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14:paraId="373EB485">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08D9A766">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14:paraId="31F69A37">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42139B44">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14:paraId="2AA1BF45">
      <w:pPr>
        <w:snapToGrid w:val="0"/>
        <w:spacing w:line="360" w:lineRule="auto"/>
        <w:ind w:firstLine="480" w:firstLineChars="200"/>
        <w:outlineLvl w:val="3"/>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14:paraId="3941A434">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14:paraId="3817112E">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14:paraId="40B66E19">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14:paraId="3F2E9B5A">
      <w:pPr>
        <w:snapToGrid w:val="0"/>
        <w:spacing w:line="360" w:lineRule="auto"/>
        <w:ind w:firstLine="480" w:firstLineChars="200"/>
        <w:outlineLvl w:val="3"/>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53815939">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4117E97D">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14:paraId="4206D02B">
      <w:pPr>
        <w:snapToGrid w:val="0"/>
        <w:spacing w:line="360" w:lineRule="auto"/>
        <w:ind w:firstLine="960" w:firstLineChars="400"/>
      </w:pPr>
      <w:r>
        <w:rPr>
          <w:rFonts w:hint="eastAsia" w:ascii="仿宋_GB2312" w:hAnsi="仿宋" w:eastAsia="仿宋_GB2312" w:cs="仿宋_GB2312"/>
          <w:color w:val="auto"/>
          <w:sz w:val="24"/>
          <w:highlight w:val="none"/>
          <w:lang w:val="en-US" w:eastAsia="zh-CN"/>
        </w:rPr>
        <w:t>11.2.3供应商情况表</w:t>
      </w:r>
    </w:p>
    <w:p w14:paraId="2E2E4AC0">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符合性审查资料；</w:t>
      </w:r>
    </w:p>
    <w:p w14:paraId="325B6B79">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5</w:t>
      </w:r>
      <w:r>
        <w:rPr>
          <w:rFonts w:ascii="仿宋_GB2312" w:hAnsi="仿宋" w:eastAsia="仿宋_GB2312" w:cs="仿宋_GB2312"/>
          <w:color w:val="auto"/>
          <w:sz w:val="24"/>
          <w:highlight w:val="none"/>
        </w:rPr>
        <w:t>评标标准相应的商务技术资料；</w:t>
      </w:r>
    </w:p>
    <w:p w14:paraId="0BBBC103">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6</w:t>
      </w:r>
      <w:r>
        <w:rPr>
          <w:rFonts w:ascii="仿宋_GB2312" w:hAnsi="仿宋" w:eastAsia="仿宋_GB2312" w:cs="仿宋_GB2312"/>
          <w:color w:val="auto"/>
          <w:sz w:val="24"/>
          <w:highlight w:val="none"/>
        </w:rPr>
        <w:t>商务技术偏离表；</w:t>
      </w:r>
    </w:p>
    <w:p w14:paraId="148261F7">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lang w:val="zh-CN"/>
        </w:rPr>
        <w:t>政府采购供应商廉洁自律承诺书；</w:t>
      </w:r>
    </w:p>
    <w:p w14:paraId="448CABE0">
      <w:pPr>
        <w:snapToGrid w:val="0"/>
        <w:spacing w:line="360" w:lineRule="auto"/>
        <w:ind w:firstLine="480" w:firstLineChars="200"/>
        <w:outlineLvl w:val="3"/>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14:paraId="23CA8C3B">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r>
        <w:rPr>
          <w:rFonts w:hint="eastAsia" w:ascii="仿宋_GB2312" w:hAnsi="仿宋" w:eastAsia="仿宋_GB2312" w:cs="仿宋_GB2312"/>
          <w:color w:val="auto"/>
          <w:sz w:val="24"/>
          <w:highlight w:val="none"/>
        </w:rPr>
        <w:t>；</w:t>
      </w:r>
    </w:p>
    <w:p w14:paraId="3855BA43">
      <w:pPr>
        <w:keepNext w:val="0"/>
        <w:keepLines w:val="0"/>
        <w:pageBreakBefore w:val="0"/>
        <w:widowControl/>
        <w:suppressLineNumbers w:val="0"/>
        <w:kinsoku/>
        <w:wordWrap/>
        <w:overflowPunct/>
        <w:topLinePunct w:val="0"/>
        <w:autoSpaceDE/>
        <w:autoSpaceDN/>
        <w:bidi w:val="0"/>
        <w:adjustRightInd w:val="0"/>
        <w:spacing w:line="360" w:lineRule="auto"/>
        <w:ind w:firstLine="960" w:firstLineChars="400"/>
        <w:jc w:val="left"/>
        <w:textAlignment w:val="auto"/>
        <w:rPr>
          <w:rFonts w:hint="eastAsia" w:ascii="仿宋_GB2312" w:hAnsi="仿宋" w:eastAsia="仿宋_GB2312" w:cs="仿宋_GB2312"/>
          <w:color w:val="auto"/>
          <w:sz w:val="24"/>
          <w:highlight w:val="none"/>
          <w:lang w:val="en-US" w:eastAsia="zh-CN"/>
        </w:rPr>
      </w:pPr>
      <w:r>
        <w:rPr>
          <w:rFonts w:ascii="仿宋_GB2312" w:hAnsi="仿宋" w:eastAsia="仿宋_GB2312" w:cs="仿宋_GB2312"/>
          <w:color w:val="auto"/>
          <w:sz w:val="24"/>
          <w:highlight w:val="none"/>
        </w:rPr>
        <w:t>11.3.2中小企业声明函</w:t>
      </w:r>
      <w:r>
        <w:rPr>
          <w:rFonts w:hint="eastAsia" w:ascii="仿宋_GB2312" w:hAnsi="仿宋" w:eastAsia="仿宋_GB2312" w:cs="仿宋_GB2312"/>
          <w:color w:val="auto"/>
          <w:sz w:val="24"/>
          <w:highlight w:val="none"/>
          <w:lang w:val="en-US" w:eastAsia="zh-CN"/>
        </w:rPr>
        <w:t>；</w:t>
      </w:r>
    </w:p>
    <w:p w14:paraId="3821E08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11.3.3残疾人福利性单位声明函（如有）；</w:t>
      </w:r>
    </w:p>
    <w:p w14:paraId="31BD2C2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11.3.4监狱企业的证明文件（如有）；</w:t>
      </w:r>
    </w:p>
    <w:p w14:paraId="4E32937D">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0FD07A41">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1711570D">
      <w:pPr>
        <w:pStyle w:val="140"/>
        <w:snapToGrid w:val="0"/>
        <w:spacing w:before="0"/>
        <w:ind w:firstLine="0" w:firstLineChars="0"/>
        <w:outlineLvl w:val="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14:paraId="779CA6C6">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14:paraId="3D5C28AA">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14:paraId="610B6693">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14:paraId="6199EB3A">
      <w:pPr>
        <w:snapToGrid w:val="0"/>
        <w:spacing w:line="360" w:lineRule="auto"/>
        <w:outlineLvl w:val="2"/>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14:paraId="7D8FD3F9">
      <w:pPr>
        <w:pStyle w:val="140"/>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07352E75">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B3CEE54">
      <w:pPr>
        <w:pStyle w:val="140"/>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14:paraId="271A0F31">
      <w:pPr>
        <w:pStyle w:val="140"/>
        <w:numPr>
          <w:ilvl w:val="0"/>
          <w:numId w:val="1"/>
        </w:numPr>
        <w:spacing w:before="0"/>
        <w:ind w:firstLine="0" w:firstLineChars="0"/>
        <w:outlineLvl w:val="2"/>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投标文件的提交、补充、修改、撤回</w:t>
      </w:r>
    </w:p>
    <w:p w14:paraId="2A5A035F">
      <w:pPr>
        <w:pStyle w:val="140"/>
        <w:spacing w:before="0"/>
        <w:ind w:firstLine="420" w:firstLineChars="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3AB375">
      <w:pPr>
        <w:pStyle w:val="14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w:t>
      </w:r>
      <w:r>
        <w:rPr>
          <w:rFonts w:hint="eastAsia" w:ascii="仿宋_GB2312" w:hAnsi="仿宋" w:eastAsia="仿宋_GB2312" w:cs="仿宋_GB2312"/>
          <w:color w:val="auto"/>
          <w:szCs w:val="24"/>
          <w:highlight w:val="none"/>
          <w:lang w:eastAsia="zh-CN"/>
        </w:rPr>
        <w:t>2.67</w:t>
      </w:r>
      <w:r>
        <w:rPr>
          <w:rFonts w:ascii="仿宋_GB2312" w:hAnsi="仿宋" w:eastAsia="仿宋_GB2312" w:cs="仿宋_GB2312"/>
          <w:color w:val="auto"/>
          <w:szCs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5E324B37">
      <w:pPr>
        <w:pStyle w:val="14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BD97E8C">
      <w:pPr>
        <w:pStyle w:val="38"/>
        <w:spacing w:line="360" w:lineRule="auto"/>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14:paraId="3F3FCAE1">
      <w:pPr>
        <w:pStyle w:val="38"/>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14:paraId="616C0000">
      <w:pPr>
        <w:pStyle w:val="38"/>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光盘</w:t>
      </w:r>
      <w:r>
        <w:rPr>
          <w:rFonts w:hint="eastAsia" w:ascii="仿宋_GB2312" w:hAnsi="仿宋" w:eastAsia="仿宋_GB2312"/>
          <w:color w:val="auto"/>
          <w:sz w:val="24"/>
          <w:highlight w:val="none"/>
        </w:rPr>
        <w:t>/U盘等介质</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14:paraId="78E76BC0">
      <w:pPr>
        <w:pStyle w:val="38"/>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CD3D6CC">
      <w:pPr>
        <w:pStyle w:val="38"/>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F62F0A1">
      <w:pPr>
        <w:pStyle w:val="38"/>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14:paraId="5E38A01F">
      <w:pPr>
        <w:pStyle w:val="140"/>
        <w:spacing w:before="0"/>
        <w:ind w:firstLine="0" w:firstLineChars="0"/>
        <w:outlineLvl w:val="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14:paraId="7D3CA24F">
      <w:pPr>
        <w:pStyle w:val="31"/>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见招标文件第四部分</w:t>
      </w:r>
      <w:r>
        <w:rPr>
          <w:rFonts w:ascii="仿宋_GB2312" w:hAnsi="仿宋" w:eastAsia="仿宋_GB2312"/>
          <w:color w:val="auto"/>
          <w:highlight w:val="none"/>
        </w:rPr>
        <w:t>规定</w:t>
      </w:r>
      <w:r>
        <w:rPr>
          <w:rFonts w:hint="eastAsia" w:ascii="仿宋_GB2312" w:hAnsi="仿宋" w:eastAsia="仿宋_GB2312" w:cs="仿宋_GB2312"/>
          <w:color w:val="auto"/>
          <w:szCs w:val="21"/>
          <w:highlight w:val="none"/>
        </w:rPr>
        <w:t>。</w:t>
      </w:r>
    </w:p>
    <w:p w14:paraId="0D2E7245">
      <w:pPr>
        <w:pStyle w:val="140"/>
        <w:spacing w:before="0"/>
        <w:ind w:firstLine="0" w:firstLineChars="0"/>
        <w:outlineLvl w:val="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14:paraId="017DD377">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651445EB">
      <w:pPr>
        <w:pStyle w:val="14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14:paraId="28069ADC">
      <w:pPr>
        <w:pStyle w:val="14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9926239">
      <w:pPr>
        <w:pStyle w:val="140"/>
        <w:spacing w:before="0"/>
        <w:ind w:firstLine="643"/>
        <w:rPr>
          <w:rFonts w:ascii="仿宋_GB2312" w:hAnsi="仿宋" w:eastAsia="仿宋_GB2312" w:cs="仿宋_GB2312"/>
          <w:b/>
          <w:color w:val="auto"/>
          <w:sz w:val="32"/>
          <w:highlight w:val="none"/>
        </w:rPr>
      </w:pPr>
    </w:p>
    <w:p w14:paraId="1E8015C1">
      <w:pPr>
        <w:pStyle w:val="140"/>
        <w:spacing w:before="0"/>
        <w:ind w:firstLine="1928" w:firstLineChars="600"/>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14:paraId="19D25411">
      <w:pPr>
        <w:pStyle w:val="562"/>
        <w:spacing w:before="0" w:line="360" w:lineRule="auto"/>
        <w:ind w:left="0" w:firstLine="241" w:firstLineChars="100"/>
        <w:contextualSpacing/>
        <w:outlineLvl w:val="2"/>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14:paraId="32771C2A">
      <w:pPr>
        <w:pStyle w:val="562"/>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14:paraId="42E562C7">
      <w:pPr>
        <w:pStyle w:val="562"/>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14:paraId="23B90469">
      <w:pPr>
        <w:pStyle w:val="562"/>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4D093B89">
      <w:pPr>
        <w:pStyle w:val="562"/>
        <w:spacing w:before="0" w:line="360" w:lineRule="auto"/>
        <w:ind w:left="0" w:firstLine="241" w:firstLineChars="100"/>
        <w:contextualSpacing/>
        <w:outlineLvl w:val="2"/>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19、资格审查</w:t>
      </w:r>
    </w:p>
    <w:p w14:paraId="4D0C4EC2">
      <w:pPr>
        <w:pStyle w:val="140"/>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19.1开标后，采购机构将依法对投标人的资格进行审查。</w:t>
      </w:r>
    </w:p>
    <w:p w14:paraId="0D531501">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采购机构依据法律法规和招标文件的规定，对投标人的基本资格条件、特定资格条件进行审查。</w:t>
      </w:r>
    </w:p>
    <w:p w14:paraId="7478B328">
      <w:pPr>
        <w:pStyle w:val="14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14:paraId="5006895A">
      <w:pPr>
        <w:pStyle w:val="14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14:paraId="112A15BA">
      <w:pPr>
        <w:pStyle w:val="14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14:paraId="7AEECF9E">
      <w:pPr>
        <w:pStyle w:val="140"/>
        <w:spacing w:before="0"/>
        <w:ind w:firstLine="0" w:firstLineChars="0"/>
        <w:outlineLvl w:val="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14:paraId="092C50EB">
      <w:pPr>
        <w:pStyle w:val="14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5768CF5F">
      <w:pPr>
        <w:pStyle w:val="14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14:paraId="04CE0FBA">
      <w:pPr>
        <w:pStyle w:val="14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FA9AEE2">
      <w:pPr>
        <w:pStyle w:val="14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14:paraId="160A49E9">
      <w:pPr>
        <w:pStyle w:val="140"/>
        <w:spacing w:before="0"/>
        <w:ind w:firstLine="0" w:firstLineChars="0"/>
        <w:rPr>
          <w:rFonts w:ascii="仿宋_GB2312" w:hAnsi="仿宋" w:eastAsia="仿宋_GB2312" w:cs="Arial"/>
          <w:color w:val="auto"/>
          <w:kern w:val="0"/>
          <w:szCs w:val="24"/>
          <w:highlight w:val="none"/>
        </w:rPr>
      </w:pPr>
    </w:p>
    <w:p w14:paraId="7B0ADF48">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14:paraId="5262F897">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2607EFC2">
      <w:pPr>
        <w:spacing w:line="360" w:lineRule="auto"/>
        <w:rPr>
          <w:rFonts w:ascii="仿宋_GB2312" w:hAnsi="仿宋" w:eastAsia="仿宋_GB2312" w:cs="仿宋_GB2312"/>
          <w:b/>
          <w:color w:val="auto"/>
          <w:sz w:val="24"/>
          <w:highlight w:val="none"/>
        </w:rPr>
      </w:pPr>
    </w:p>
    <w:p w14:paraId="52E51F75">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40648316">
      <w:pPr>
        <w:pStyle w:val="31"/>
        <w:spacing w:line="360" w:lineRule="auto"/>
        <w:ind w:left="479" w:hanging="479" w:hangingChars="199"/>
        <w:outlineLvl w:val="2"/>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14:paraId="7B874460">
      <w:pPr>
        <w:pStyle w:val="140"/>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采购人将自收到评审报告之日起2</w:t>
      </w:r>
      <w:r>
        <w:rPr>
          <w:rFonts w:ascii="仿宋_GB2312" w:hAnsi="仿宋" w:eastAsia="仿宋_GB2312" w:cs="仿宋_GB2312"/>
          <w:color w:val="auto"/>
          <w:szCs w:val="24"/>
          <w:highlight w:val="none"/>
        </w:rPr>
        <w:t>个工作日内通过电子交易平台在评审报告推荐的中标候选人中按顺序确定中标供应商。</w:t>
      </w:r>
    </w:p>
    <w:p w14:paraId="1FF574CD">
      <w:pPr>
        <w:pStyle w:val="140"/>
        <w:snapToGrid w:val="0"/>
        <w:spacing w:before="0"/>
        <w:ind w:firstLine="0" w:firstLineChars="0"/>
        <w:outlineLvl w:val="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14:paraId="12736D1A">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w:t>
      </w: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14:paraId="3400FED3">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的名称、规格型号、数量、单价、服务要求，开标记录、中标公告期限以及评审专家名单、评分汇总及明细。</w:t>
      </w:r>
    </w:p>
    <w:p w14:paraId="2DDF7670">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14:paraId="30793BBA">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14:paraId="50624C04">
      <w:pPr>
        <w:snapToGrid w:val="0"/>
        <w:spacing w:line="360" w:lineRule="auto"/>
        <w:ind w:left="120" w:leftChars="57" w:firstLine="482" w:firstLineChars="150"/>
        <w:jc w:val="center"/>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14:paraId="226CEB6A">
      <w:pPr>
        <w:pStyle w:val="31"/>
        <w:spacing w:line="360" w:lineRule="auto"/>
        <w:ind w:left="479" w:hanging="479" w:hangingChars="199"/>
        <w:outlineLvl w:val="2"/>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14:paraId="51BCD2D3">
      <w:pPr>
        <w:pStyle w:val="31"/>
        <w:spacing w:line="360" w:lineRule="auto"/>
        <w:ind w:left="479" w:hanging="479" w:hangingChars="199"/>
        <w:outlineLvl w:val="2"/>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14:paraId="4BA43EE1">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rPr>
        <w:t>三十</w:t>
      </w:r>
      <w:r>
        <w:rPr>
          <w:rFonts w:ascii="仿宋_GB2312" w:hAnsi="仿宋" w:eastAsia="仿宋_GB2312" w:cs="Arial"/>
          <w:color w:val="auto"/>
          <w:kern w:val="0"/>
          <w:sz w:val="24"/>
          <w:highlight w:val="none"/>
        </w:rPr>
        <w:t>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65502054">
      <w:pPr>
        <w:pStyle w:val="140"/>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B01D811">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14:paraId="3A77425F">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14:paraId="0F4AEEDF">
      <w:pPr>
        <w:pStyle w:val="140"/>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14:paraId="27CCA5C7">
      <w:pPr>
        <w:pStyle w:val="31"/>
        <w:spacing w:line="360" w:lineRule="auto"/>
        <w:ind w:left="479" w:hanging="479" w:hangingChars="199"/>
        <w:outlineLvl w:val="2"/>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14:paraId="6FBE5CFD">
      <w:pPr>
        <w:spacing w:line="360" w:lineRule="auto"/>
        <w:ind w:firstLine="480" w:firstLineChars="200"/>
        <w:rPr>
          <w:rFonts w:hint="eastAsia" w:ascii="仿宋_GB2312" w:hAnsi="仿宋" w:eastAsia="仿宋_GB2312" w:cs="仿宋_GB2312"/>
          <w:color w:val="auto"/>
          <w:kern w:val="2"/>
          <w:sz w:val="24"/>
          <w:szCs w:val="20"/>
          <w:highlight w:val="none"/>
          <w:lang w:val="en-US" w:eastAsia="zh-CN" w:bidi="ar-SA"/>
        </w:rPr>
      </w:pPr>
      <w:r>
        <w:rPr>
          <w:rFonts w:hint="eastAsia" w:ascii="仿宋_GB2312" w:hAnsi="仿宋" w:eastAsia="仿宋_GB2312" w:cs="仿宋_GB2312"/>
          <w:color w:val="auto"/>
          <w:kern w:val="2"/>
          <w:sz w:val="24"/>
          <w:szCs w:val="20"/>
          <w:highlight w:val="none"/>
          <w:lang w:val="en-US" w:eastAsia="zh-CN" w:bidi="ar-SA"/>
        </w:rPr>
        <w:t>26.1中标供应商在成交通知书发出后三个工作日内须向采购人支付履约保证金,履约保证金的数额为中标金额的1%。合同期满之日起15个工作日内不计利息退还履约保证金。</w:t>
      </w:r>
    </w:p>
    <w:p w14:paraId="725A555E">
      <w:pPr>
        <w:spacing w:line="360" w:lineRule="auto"/>
        <w:ind w:firstLine="480" w:firstLineChars="200"/>
        <w:rPr>
          <w:rFonts w:hint="eastAsia" w:ascii="仿宋_GB2312" w:hAnsi="仿宋" w:eastAsia="仿宋_GB2312" w:cs="仿宋_GB2312"/>
          <w:color w:val="auto"/>
          <w:kern w:val="2"/>
          <w:sz w:val="24"/>
          <w:szCs w:val="20"/>
          <w:highlight w:val="none"/>
          <w:lang w:val="en-US" w:eastAsia="zh-CN" w:bidi="ar-SA"/>
        </w:rPr>
      </w:pPr>
      <w:r>
        <w:rPr>
          <w:rFonts w:hint="eastAsia" w:ascii="仿宋_GB2312" w:hAnsi="仿宋" w:eastAsia="仿宋_GB2312" w:cs="仿宋_GB2312"/>
          <w:color w:val="auto"/>
          <w:kern w:val="2"/>
          <w:sz w:val="24"/>
          <w:szCs w:val="20"/>
          <w:highlight w:val="none"/>
          <w:lang w:val="en-US" w:eastAsia="zh-CN" w:bidi="ar-SA"/>
        </w:rPr>
        <w:t>26.2履约保证金缴纳方式：转账或保险/银行保函方式。</w:t>
      </w:r>
    </w:p>
    <w:p w14:paraId="48FB2F44">
      <w:pPr>
        <w:spacing w:before="7" w:beforeLines="0" w:afterLines="0" w:line="360" w:lineRule="auto"/>
        <w:ind w:right="-102" w:firstLine="643" w:firstLineChars="200"/>
        <w:rPr>
          <w:rFonts w:ascii="仿宋_GB2312" w:hAnsi="仿宋" w:eastAsia="仿宋_GB2312" w:cs="仿宋_GB2312"/>
          <w:b/>
          <w:color w:val="auto"/>
          <w:sz w:val="32"/>
          <w:highlight w:val="none"/>
        </w:rPr>
      </w:pPr>
    </w:p>
    <w:p w14:paraId="7348568E">
      <w:pPr>
        <w:snapToGrid w:val="0"/>
        <w:spacing w:line="360" w:lineRule="auto"/>
        <w:jc w:val="center"/>
        <w:outlineLvl w:val="1"/>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7D81DB4E">
      <w:pPr>
        <w:pStyle w:val="140"/>
        <w:snapToGrid w:val="0"/>
        <w:spacing w:before="0"/>
        <w:ind w:firstLine="0" w:firstLineChars="0"/>
        <w:outlineLvl w:val="2"/>
        <w:rPr>
          <w:rFonts w:ascii="仿宋_GB2312" w:hAnsi="仿宋" w:eastAsia="仿宋_GB2312" w:cs="仿宋_GB2312"/>
          <w:b/>
          <w:bCs/>
          <w:color w:val="auto"/>
          <w:szCs w:val="24"/>
          <w:highlight w:val="none"/>
        </w:rPr>
      </w:pPr>
      <w:r>
        <w:rPr>
          <w:rFonts w:ascii="仿宋_GB2312" w:hAnsi="仿宋" w:eastAsia="仿宋_GB2312" w:cs="仿宋_GB2312"/>
          <w:b/>
          <w:bCs/>
          <w:color w:val="auto"/>
          <w:highlight w:val="none"/>
        </w:rPr>
        <w:t>2</w:t>
      </w:r>
      <w:r>
        <w:rPr>
          <w:rFonts w:ascii="仿宋_GB2312" w:hAnsi="仿宋" w:eastAsia="仿宋_GB2312" w:cs="仿宋_GB2312"/>
          <w:b/>
          <w:bCs/>
          <w:color w:val="auto"/>
          <w:szCs w:val="24"/>
          <w:highlight w:val="none"/>
        </w:rPr>
        <w:t xml:space="preserve">7. </w:t>
      </w:r>
      <w:r>
        <w:rPr>
          <w:rFonts w:hint="eastAsia" w:ascii="仿宋_GB2312" w:hAnsi="仿宋" w:eastAsia="仿宋_GB2312" w:cs="仿宋_GB2312"/>
          <w:b/>
          <w:bCs/>
          <w:color w:val="auto"/>
          <w:szCs w:val="24"/>
          <w:highlight w:val="none"/>
        </w:rPr>
        <w:t>电子交易活动的中止</w:t>
      </w:r>
    </w:p>
    <w:p w14:paraId="56024F1D">
      <w:pPr>
        <w:pStyle w:val="140"/>
        <w:snapToGrid w:val="0"/>
        <w:spacing w:before="0"/>
        <w:ind w:firstLine="420" w:firstLineChars="0"/>
        <w:outlineLvl w:val="2"/>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3317CEA7">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1F9E5733">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02704E97">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5DD85D3B">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439CC575">
      <w:pPr>
        <w:pStyle w:val="14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3FDFB826">
      <w:pPr>
        <w:pStyle w:val="140"/>
        <w:snapToGrid w:val="0"/>
        <w:spacing w:before="0"/>
        <w:ind w:firstLine="0" w:firstLineChars="0"/>
        <w:outlineLvl w:val="2"/>
        <w:rPr>
          <w:rFonts w:ascii="仿宋_GB2312" w:hAnsi="仿宋" w:eastAsia="仿宋_GB2312" w:cs="仿宋_GB2312"/>
          <w:color w:val="auto"/>
          <w:highlight w:val="none"/>
        </w:rPr>
      </w:pPr>
      <w:r>
        <w:rPr>
          <w:rFonts w:ascii="仿宋_GB2312" w:hAnsi="仿宋" w:eastAsia="仿宋_GB2312" w:cs="仿宋_GB2312"/>
          <w:b/>
          <w:bCs/>
          <w:color w:val="auto"/>
          <w:highlight w:val="none"/>
        </w:rPr>
        <w:t>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FAAD3F4">
      <w:pPr>
        <w:tabs>
          <w:tab w:val="left" w:pos="0"/>
        </w:tabs>
        <w:spacing w:line="360" w:lineRule="auto"/>
        <w:ind w:firstLine="480"/>
        <w:rPr>
          <w:rFonts w:ascii="仿宋_GB2312" w:hAnsi="仿宋" w:eastAsia="仿宋_GB2312"/>
          <w:color w:val="auto"/>
          <w:sz w:val="24"/>
          <w:highlight w:val="none"/>
        </w:rPr>
      </w:pPr>
    </w:p>
    <w:p w14:paraId="6F09B517">
      <w:pPr>
        <w:snapToGrid w:val="0"/>
        <w:spacing w:line="360" w:lineRule="auto"/>
        <w:ind w:left="120" w:leftChars="57" w:firstLine="482" w:firstLineChars="150"/>
        <w:jc w:val="center"/>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14:paraId="2A274976">
      <w:pPr>
        <w:pStyle w:val="31"/>
        <w:spacing w:line="360" w:lineRule="auto"/>
        <w:ind w:firstLine="0" w:firstLineChars="0"/>
        <w:outlineLvl w:val="2"/>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14:paraId="2AC1931F">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29.1</w:t>
      </w:r>
      <w:r>
        <w:rPr>
          <w:rFonts w:hint="eastAsia" w:ascii="仿宋_GB2312" w:hAnsi="仿宋" w:eastAsia="仿宋_GB2312" w:cs="Helvetica"/>
          <w:color w:val="auto"/>
          <w:kern w:val="0"/>
          <w:sz w:val="24"/>
          <w:highlight w:val="none"/>
        </w:rPr>
        <w:t xml:space="preserve"> 按采购需求中约定执行</w:t>
      </w:r>
      <w:r>
        <w:rPr>
          <w:rFonts w:ascii="仿宋_GB2312" w:hAnsi="仿宋" w:eastAsia="仿宋_GB2312" w:cs="Helvetica"/>
          <w:color w:val="auto"/>
          <w:kern w:val="0"/>
          <w:sz w:val="24"/>
          <w:highlight w:val="none"/>
        </w:rPr>
        <w:t>。</w:t>
      </w:r>
    </w:p>
    <w:bookmarkEnd w:id="13"/>
    <w:p w14:paraId="74C6E13F">
      <w:pPr>
        <w:tabs>
          <w:tab w:val="left" w:pos="0"/>
        </w:tabs>
        <w:spacing w:line="360" w:lineRule="auto"/>
        <w:ind w:firstLine="480"/>
        <w:rPr>
          <w:rFonts w:ascii="仿宋_GB2312" w:hAnsi="仿宋" w:eastAsia="仿宋_GB2312" w:cs="Helvetica"/>
          <w:color w:val="auto"/>
          <w:kern w:val="0"/>
          <w:sz w:val="24"/>
          <w:highlight w:val="none"/>
        </w:rPr>
        <w:sectPr>
          <w:headerReference r:id="rId3" w:type="first"/>
          <w:footerReference r:id="rId6" w:type="first"/>
          <w:footerReference r:id="rId4" w:type="default"/>
          <w:footerReference r:id="rId5" w:type="even"/>
          <w:pgSz w:w="11906" w:h="16838"/>
          <w:pgMar w:top="680" w:right="1418" w:bottom="468" w:left="1418" w:header="851" w:footer="992" w:gutter="0"/>
          <w:cols w:space="720" w:num="1"/>
          <w:titlePg/>
          <w:docGrid w:linePitch="312" w:charSpace="0"/>
        </w:sectPr>
      </w:pPr>
      <w:bookmarkStart w:id="14" w:name="_Hlt74730295"/>
      <w:bookmarkEnd w:id="14"/>
      <w:bookmarkStart w:id="15" w:name="_Hlt74707468"/>
      <w:bookmarkEnd w:id="15"/>
      <w:bookmarkStart w:id="16" w:name="_Hlt75236290"/>
      <w:bookmarkEnd w:id="16"/>
      <w:bookmarkStart w:id="17" w:name="_Hlt75236101"/>
      <w:bookmarkEnd w:id="17"/>
      <w:bookmarkStart w:id="18" w:name="_Hlt68403820"/>
      <w:bookmarkEnd w:id="18"/>
      <w:bookmarkStart w:id="19" w:name="_Hlt68072998"/>
      <w:bookmarkEnd w:id="19"/>
      <w:bookmarkStart w:id="20" w:name="_Hlt68057669"/>
      <w:bookmarkEnd w:id="20"/>
      <w:bookmarkStart w:id="21" w:name="_Hlt75236011"/>
      <w:bookmarkEnd w:id="21"/>
      <w:bookmarkStart w:id="22" w:name="_Hlt68072990"/>
      <w:bookmarkEnd w:id="22"/>
      <w:bookmarkStart w:id="23" w:name="_Hlt74729768"/>
      <w:bookmarkEnd w:id="23"/>
      <w:bookmarkStart w:id="24" w:name="_Hlt74714665"/>
      <w:bookmarkEnd w:id="24"/>
      <w:bookmarkStart w:id="25" w:name="_Hlt68073093"/>
      <w:bookmarkEnd w:id="25"/>
    </w:p>
    <w:bookmarkEnd w:id="11"/>
    <w:bookmarkEnd w:id="12"/>
    <w:p w14:paraId="76F8EB8A">
      <w:pPr>
        <w:pStyle w:val="3"/>
        <w:numPr>
          <w:ilvl w:val="0"/>
          <w:numId w:val="2"/>
        </w:numPr>
        <w:rPr>
          <w:rStyle w:val="90"/>
          <w:rFonts w:hint="eastAsia"/>
          <w:b/>
          <w:bCs/>
          <w:color w:val="auto"/>
          <w:highlight w:val="none"/>
        </w:rPr>
      </w:pPr>
      <w:bookmarkStart w:id="26" w:name="第四部分"/>
      <w:r>
        <w:rPr>
          <w:rStyle w:val="90"/>
          <w:rFonts w:hint="eastAsia"/>
          <w:b/>
          <w:bCs/>
          <w:color w:val="auto"/>
          <w:highlight w:val="none"/>
        </w:rPr>
        <w:t xml:space="preserve">  采购需求</w:t>
      </w:r>
    </w:p>
    <w:p w14:paraId="1E456A8E">
      <w:pPr>
        <w:pStyle w:val="24"/>
        <w:snapToGrid w:val="0"/>
        <w:spacing w:line="312" w:lineRule="auto"/>
        <w:ind w:firstLine="562"/>
        <w:outlineLvl w:val="1"/>
        <w:rPr>
          <w:rFonts w:hint="eastAsia" w:ascii="仿宋_GB2312" w:hAnsi="仿宋_GB2312" w:eastAsia="仿宋_GB2312" w:cs="仿宋_GB2312"/>
          <w:b/>
          <w:sz w:val="28"/>
          <w:szCs w:val="28"/>
        </w:rPr>
      </w:pPr>
      <w:bookmarkStart w:id="27" w:name="_Toc10222"/>
      <w:bookmarkStart w:id="28" w:name="_Toc4675"/>
      <w:bookmarkStart w:id="29" w:name="_Toc25481"/>
      <w:r>
        <w:rPr>
          <w:rFonts w:hint="eastAsia" w:ascii="仿宋_GB2312" w:hAnsi="仿宋_GB2312" w:eastAsia="仿宋_GB2312" w:cs="仿宋_GB2312"/>
          <w:b/>
          <w:sz w:val="28"/>
          <w:szCs w:val="28"/>
        </w:rPr>
        <w:t>一、项目概况</w:t>
      </w:r>
      <w:bookmarkEnd w:id="27"/>
      <w:bookmarkEnd w:id="28"/>
      <w:bookmarkEnd w:id="29"/>
    </w:p>
    <w:p w14:paraId="3EB438CF">
      <w:pPr>
        <w:pStyle w:val="24"/>
        <w:keepNext w:val="0"/>
        <w:keepLines w:val="0"/>
        <w:pageBreakBefore w:val="0"/>
        <w:widowControl w:val="0"/>
        <w:kinsoku/>
        <w:wordWrap/>
        <w:overflowPunct/>
        <w:topLinePunct w:val="0"/>
        <w:bidi w:val="0"/>
        <w:snapToGrid w:val="0"/>
        <w:spacing w:line="360" w:lineRule="auto"/>
        <w:ind w:firstLine="48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1.地点：</w:t>
      </w:r>
      <w:r>
        <w:rPr>
          <w:rFonts w:hint="eastAsia" w:ascii="仿宋_GB2312" w:hAnsi="仿宋_GB2312" w:eastAsia="仿宋_GB2312" w:cs="仿宋_GB2312"/>
          <w:snapToGrid/>
          <w:color w:val="auto"/>
          <w:kern w:val="0"/>
          <w:sz w:val="24"/>
          <w:szCs w:val="24"/>
          <w:highlight w:val="none"/>
          <w:lang w:val="zh-CN" w:eastAsia="zh-CN" w:bidi="ar-SA"/>
        </w:rPr>
        <w:t>衢州市柯城区航埠镇</w:t>
      </w:r>
      <w:r>
        <w:rPr>
          <w:rFonts w:hint="eastAsia" w:ascii="仿宋_GB2312" w:hAnsi="仿宋_GB2312" w:eastAsia="仿宋_GB2312" w:cs="仿宋_GB2312"/>
          <w:snapToGrid/>
          <w:color w:val="auto"/>
          <w:kern w:val="0"/>
          <w:sz w:val="24"/>
          <w:szCs w:val="24"/>
          <w:highlight w:val="none"/>
          <w:lang w:val="en-US" w:eastAsia="zh-CN" w:bidi="ar-SA"/>
        </w:rPr>
        <w:t>。</w:t>
      </w:r>
    </w:p>
    <w:p w14:paraId="0E7E0365">
      <w:pPr>
        <w:pStyle w:val="24"/>
        <w:keepNext w:val="0"/>
        <w:keepLines w:val="0"/>
        <w:pageBreakBefore w:val="0"/>
        <w:widowControl w:val="0"/>
        <w:kinsoku/>
        <w:wordWrap/>
        <w:overflowPunct/>
        <w:topLinePunct w:val="0"/>
        <w:bidi w:val="0"/>
        <w:snapToGrid w:val="0"/>
        <w:spacing w:line="360" w:lineRule="auto"/>
        <w:ind w:firstLine="48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2.预算金额：</w:t>
      </w:r>
      <w:r>
        <w:rPr>
          <w:rFonts w:hint="eastAsia" w:ascii="仿宋_GB2312" w:hAnsi="仿宋_GB2312" w:eastAsia="仿宋_GB2312" w:cs="仿宋_GB2312"/>
          <w:szCs w:val="24"/>
          <w:lang w:eastAsia="zh-CN"/>
        </w:rPr>
        <w:t>749322</w:t>
      </w:r>
      <w:r>
        <w:rPr>
          <w:rFonts w:hint="eastAsia" w:ascii="仿宋_GB2312" w:hAnsi="仿宋_GB2312" w:eastAsia="仿宋_GB2312" w:cs="仿宋_GB2312"/>
          <w:szCs w:val="24"/>
        </w:rPr>
        <w:t>元，综合单价</w:t>
      </w:r>
      <w:r>
        <w:rPr>
          <w:rFonts w:hint="eastAsia" w:ascii="仿宋_GB2312" w:hAnsi="仿宋_GB2312" w:eastAsia="仿宋_GB2312" w:cs="仿宋_GB2312"/>
          <w:szCs w:val="24"/>
          <w:lang w:eastAsia="zh-CN"/>
        </w:rPr>
        <w:t>2.67</w:t>
      </w:r>
      <w:r>
        <w:rPr>
          <w:rFonts w:hint="eastAsia" w:ascii="仿宋_GB2312" w:hAnsi="仿宋_GB2312" w:eastAsia="仿宋_GB2312" w:cs="仿宋_GB2312"/>
          <w:szCs w:val="24"/>
        </w:rPr>
        <w:t>元/瓦。</w:t>
      </w:r>
    </w:p>
    <w:p w14:paraId="1ED77BEA">
      <w:pPr>
        <w:pStyle w:val="24"/>
        <w:keepNext w:val="0"/>
        <w:keepLines w:val="0"/>
        <w:pageBreakBefore w:val="0"/>
        <w:widowControl w:val="0"/>
        <w:kinsoku/>
        <w:wordWrap/>
        <w:overflowPunct/>
        <w:topLinePunct w:val="0"/>
        <w:bidi w:val="0"/>
        <w:snapToGrid w:val="0"/>
        <w:spacing w:line="360" w:lineRule="auto"/>
        <w:ind w:firstLine="48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3.建设规模：</w:t>
      </w:r>
      <w:r>
        <w:rPr>
          <w:rFonts w:hint="eastAsia" w:ascii="仿宋_GB2312" w:hAnsi="仿宋_GB2312" w:eastAsia="仿宋_GB2312" w:cs="仿宋_GB2312"/>
          <w:szCs w:val="24"/>
          <w:lang w:val="en-US" w:eastAsia="zh-CN"/>
        </w:rPr>
        <w:t>本项目暂定安装容量280.645KWp，结算</w:t>
      </w:r>
      <w:r>
        <w:rPr>
          <w:rFonts w:hint="eastAsia" w:ascii="仿宋_GB2312" w:hAnsi="仿宋_GB2312" w:eastAsia="仿宋_GB2312" w:cs="仿宋_GB2312"/>
          <w:szCs w:val="24"/>
        </w:rPr>
        <w:t>以实际安装</w:t>
      </w:r>
      <w:r>
        <w:rPr>
          <w:rFonts w:hint="eastAsia" w:ascii="仿宋_GB2312" w:hAnsi="仿宋_GB2312" w:eastAsia="仿宋_GB2312" w:cs="仿宋_GB2312"/>
          <w:szCs w:val="24"/>
          <w:u w:val="single"/>
        </w:rPr>
        <w:t>面积</w:t>
      </w:r>
      <w:r>
        <w:rPr>
          <w:rFonts w:hint="eastAsia" w:ascii="仿宋_GB2312" w:hAnsi="仿宋_GB2312" w:eastAsia="仿宋_GB2312" w:cs="仿宋_GB2312"/>
          <w:szCs w:val="24"/>
          <w:u w:val="single"/>
          <w:lang w:eastAsia="zh-CN"/>
        </w:rPr>
        <w:t>（</w:t>
      </w:r>
      <w:r>
        <w:rPr>
          <w:rFonts w:hint="eastAsia" w:ascii="仿宋_GB2312" w:hAnsi="仿宋_GB2312" w:eastAsia="仿宋_GB2312" w:cs="仿宋_GB2312"/>
          <w:szCs w:val="24"/>
          <w:u w:val="single"/>
          <w:lang w:val="en-US" w:eastAsia="zh-CN"/>
        </w:rPr>
        <w:t>容量）</w:t>
      </w:r>
      <w:r>
        <w:rPr>
          <w:rFonts w:hint="eastAsia" w:ascii="仿宋_GB2312" w:hAnsi="仿宋_GB2312" w:eastAsia="仿宋_GB2312" w:cs="仿宋_GB2312"/>
          <w:szCs w:val="24"/>
        </w:rPr>
        <w:t>为准。</w:t>
      </w:r>
    </w:p>
    <w:p w14:paraId="2AE40BBE">
      <w:pPr>
        <w:pStyle w:val="24"/>
        <w:keepNext w:val="0"/>
        <w:keepLines w:val="0"/>
        <w:pageBreakBefore w:val="0"/>
        <w:widowControl w:val="0"/>
        <w:kinsoku/>
        <w:wordWrap/>
        <w:overflowPunct/>
        <w:topLinePunct w:val="0"/>
        <w:bidi w:val="0"/>
        <w:snapToGrid w:val="0"/>
        <w:spacing w:line="360" w:lineRule="auto"/>
        <w:ind w:firstLine="562"/>
        <w:textAlignment w:val="auto"/>
        <w:outlineLvl w:val="1"/>
        <w:rPr>
          <w:rFonts w:hint="eastAsia" w:ascii="仿宋_GB2312" w:hAnsi="仿宋_GB2312" w:eastAsia="仿宋_GB2312" w:cs="仿宋_GB2312"/>
          <w:b/>
          <w:sz w:val="28"/>
          <w:szCs w:val="28"/>
        </w:rPr>
      </w:pPr>
      <w:bookmarkStart w:id="30" w:name="_Toc29775"/>
      <w:bookmarkStart w:id="31" w:name="_Toc25455"/>
      <w:bookmarkStart w:id="32" w:name="_Toc27798"/>
      <w:r>
        <w:rPr>
          <w:rFonts w:hint="eastAsia" w:ascii="仿宋_GB2312" w:hAnsi="仿宋_GB2312" w:eastAsia="仿宋_GB2312" w:cs="仿宋_GB2312"/>
          <w:b/>
          <w:sz w:val="28"/>
          <w:szCs w:val="28"/>
        </w:rPr>
        <w:t>二、技术要求</w:t>
      </w:r>
      <w:bookmarkEnd w:id="30"/>
      <w:bookmarkEnd w:id="31"/>
      <w:bookmarkEnd w:id="32"/>
    </w:p>
    <w:p w14:paraId="40AAB0ED">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1.技术标准</w:t>
      </w:r>
    </w:p>
    <w:p w14:paraId="10943E43">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设计、设备、材料和施工安装工艺符合下列有关法律法规、规范、标准</w:t>
      </w:r>
    </w:p>
    <w:p w14:paraId="6ADAC25E">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GB2894《安全标志及其使用导则》</w:t>
      </w:r>
    </w:p>
    <w:p w14:paraId="1F7CD38A">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GB50054《低压配电设计规范》</w:t>
      </w:r>
    </w:p>
    <w:p w14:paraId="211B7A11">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GB50065《交流电气装置的接地设计规范》</w:t>
      </w:r>
    </w:p>
    <w:p w14:paraId="4E832F55">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GB/T12325《电能质量供电电压偏差》</w:t>
      </w:r>
    </w:p>
    <w:p w14:paraId="3B88552E">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GB/T12326《电能质量电压波动和闪变》</w:t>
      </w:r>
    </w:p>
    <w:p w14:paraId="1F855911">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GB/T14549《电能质量三相电压不平衡》</w:t>
      </w:r>
    </w:p>
    <w:p w14:paraId="73F2D267">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GB/T19862《电能质量监测设备通用要求》</w:t>
      </w:r>
    </w:p>
    <w:p w14:paraId="373E119C">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GB/T29319《光伏发电系统接入配电网技术规定》</w:t>
      </w:r>
    </w:p>
    <w:p w14:paraId="3E30B7C6">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DL/T448-2000《电能计量装置技术管理规程》</w:t>
      </w:r>
    </w:p>
    <w:p w14:paraId="40355E1C">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DL/T599《城市中低压配电网改造技术导则》</w:t>
      </w:r>
    </w:p>
    <w:p w14:paraId="467F2E6B">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Q/ZDJ04《浙江省城市中、低压配电网建设与改造技术原则》</w:t>
      </w:r>
    </w:p>
    <w:p w14:paraId="6E4A80AF">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Q/GDW1738《配电网规划设计技术导则》</w:t>
      </w:r>
    </w:p>
    <w:p w14:paraId="234076C7">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Q/GDW1867《小型户用光伏发电系统并网技术规定》</w:t>
      </w:r>
    </w:p>
    <w:p w14:paraId="725D4684">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Q/GDW11147《分布式电源接入配电网设计规范》</w:t>
      </w:r>
    </w:p>
    <w:p w14:paraId="14CC1FDD">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DB33/1105-2014《民用建筑可再生能源应用核算标准》</w:t>
      </w:r>
    </w:p>
    <w:p w14:paraId="16DA9B50">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GB50189-2015《公共建筑节能设计标准》</w:t>
      </w:r>
    </w:p>
    <w:p w14:paraId="1011A5A4">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GB/T50033-2013《建筑采光设计标准》</w:t>
      </w:r>
    </w:p>
    <w:p w14:paraId="73CEBAF0">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DB33/1092-2016浙江省工程建设标准《绿色建筑设计标准》</w:t>
      </w:r>
    </w:p>
    <w:p w14:paraId="0FBCBAA0">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DB33/1015-2015浙江省工程建设标准《居住建筑节能设计标准》</w:t>
      </w:r>
    </w:p>
    <w:p w14:paraId="45D25237">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DB33/1090-2013浙江省工程建设标准《国家机关办公建筑和大型公共建筑用电分项计量设计标准》</w:t>
      </w:r>
    </w:p>
    <w:p w14:paraId="35F2A1CD">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DB33/1105-2014浙江省工程建设标准《民用建筑可再生能源应用核算标准》</w:t>
      </w:r>
    </w:p>
    <w:p w14:paraId="42C7904E">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浙江省《民用建筑项目节能评估技术导则》</w:t>
      </w:r>
    </w:p>
    <w:p w14:paraId="2B3C829C">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DB33/1121-2016《民用建筑电动汽车充电设施配置与设计规范》</w:t>
      </w:r>
    </w:p>
    <w:p w14:paraId="33EBF127">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浙江省《民用建筑雨水控制与利用设计导则》</w:t>
      </w:r>
    </w:p>
    <w:p w14:paraId="718DA886">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DB33/1050-2016浙江省工程建设标准《城市建筑工程日照分析技术规程》</w:t>
      </w:r>
    </w:p>
    <w:p w14:paraId="4259C2C3">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省住房和城乡建设厅《关于进一步加强可再生能源建筑一体化应用工作的通知》（浙建〔2016〕1号）</w:t>
      </w:r>
    </w:p>
    <w:p w14:paraId="1AFCC2F2">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浙江省人民政府办公厅《关于推进浙江省百万家庭屋顶光伏工程建设的实施意见》（浙政办发〔2016〕109号）</w:t>
      </w:r>
    </w:p>
    <w:p w14:paraId="4B815CE7">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其他现行的国家、省、市相关节能标准、规范</w:t>
      </w:r>
    </w:p>
    <w:p w14:paraId="30ACA19F">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2.技术需求</w:t>
      </w:r>
    </w:p>
    <w:p w14:paraId="3D36456A">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2.1工程技术要求</w:t>
      </w:r>
    </w:p>
    <w:p w14:paraId="471A0FCA">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2.1.1系统组成</w:t>
      </w:r>
    </w:p>
    <w:p w14:paraId="278061D4">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由太阳能光伏组件、逆变器、配电系统、结构支撑系统、监控系统等组成。</w:t>
      </w:r>
    </w:p>
    <w:p w14:paraId="1381CF19">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2.1.2安装容量</w:t>
      </w:r>
    </w:p>
    <w:p w14:paraId="3D4D4009">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本项目可安装光伏发电系统的屋顶面积以实际安装数量为准。</w:t>
      </w:r>
    </w:p>
    <w:p w14:paraId="74D8B780">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2.1.3建筑一体化要求</w:t>
      </w:r>
    </w:p>
    <w:p w14:paraId="041C05CC">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与原有建筑有机结合，不破坏原有建筑的外立面设计风格，不影响原有建筑的功能，要求光伏发电系统与建筑物紧密结合，增加防水防漏、隔热等功能。</w:t>
      </w:r>
    </w:p>
    <w:p w14:paraId="41BF1763">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2.1.4电性能要求</w:t>
      </w:r>
    </w:p>
    <w:p w14:paraId="74C891EC">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(1)系统电压：根据各自产品的特点自行设计确定；</w:t>
      </w:r>
    </w:p>
    <w:p w14:paraId="4ED87837">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(2)并网输出电压范围：AC230/400V±5%；</w:t>
      </w:r>
    </w:p>
    <w:p w14:paraId="379C0B1B">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(3)并网输出频率范围：50±0.5Hz；</w:t>
      </w:r>
    </w:p>
    <w:p w14:paraId="61A9FB7D">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(4)最高运行电压：AC255/440V；</w:t>
      </w:r>
    </w:p>
    <w:p w14:paraId="7EE45D54">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(5)系统效率：额定输出时，不低于80%。</w:t>
      </w:r>
    </w:p>
    <w:p w14:paraId="1766F36B">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2.1.5监控系统技术要求</w:t>
      </w:r>
    </w:p>
    <w:p w14:paraId="7666FE30">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(1)可全面反映光伏系统的运行情况，可实现设备故障报警显示，控制器应具有开放的通信协议、标准通讯接口，能进行集中监控并实现故障自动记录；</w:t>
      </w:r>
    </w:p>
    <w:p w14:paraId="26E68892">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(2)能够动态显示系统的运行情况，通过监控计算机可实现发电数据及系统运行情况的分析；</w:t>
      </w:r>
    </w:p>
    <w:p w14:paraId="5E120501">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(3)将监控计算机与大屏幕显示装置连接，可测量和显示系统工作电压和电流、交流输出电压和电流、功率、频率、故障信息统计和显示日发电量、总发电量等信息；</w:t>
      </w:r>
    </w:p>
    <w:p w14:paraId="5AEFEB4E">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(4)可通过互联网对光伏系统远程监控，并可通过终端设备下载相关报表和数据；</w:t>
      </w:r>
    </w:p>
    <w:p w14:paraId="26F10F83">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(5)要求最短每隔5分钟存储一次电站所运行参数，包括环境数据，故障数据需要实时存储。</w:t>
      </w:r>
    </w:p>
    <w:p w14:paraId="14172828">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2.1.6防雷系统技术要求</w:t>
      </w:r>
    </w:p>
    <w:p w14:paraId="5407EDCD">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太阳能系统的防雷设计，应满足雷电防护分区、分级确定的防雷等级要求。各连接点的连接电阻应小于4欧姆。接地网的制作应符合国家相关规范要求，必须满足《建筑物防雷设计规范》，并与屋面结合同一考虑。</w:t>
      </w:r>
    </w:p>
    <w:p w14:paraId="56BE152B">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直流防雷箱、逆变器、交流并网柜、电网接入处，都应该有分级别的防雷防浪涌保护模块，保护相关的电气设备和线路，同时线缆防雷需与整个建筑防雷接地结合考虑。供应商需提供详细的防雷方案和设计图纸。</w:t>
      </w:r>
    </w:p>
    <w:p w14:paraId="3BEE1A1F">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2.1.7主要设备技术要求</w:t>
      </w:r>
    </w:p>
    <w:p w14:paraId="2E588E99">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(1)本项目采用BAPV模式施工，且组件安装最低处距离地面不得小于4米。施工场地和并网条件响应人自行到现场勘察，并网外线如需增设线缆的费用由响应人承担。组件安装不得高于屋面30厘米</w:t>
      </w:r>
    </w:p>
    <w:p w14:paraId="06228A0C">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支架采用热镀锌碳钢防水支架，组件采用压块固定方式安装于铝合金导轨支架上。紧固件采用不锈钢材质。支架设计抗风能力30米/秒，保证户外长期使用的要求。基座及预埋件应按设计要求安装在主体结构上，位置准确，与主体固定牢靠。钢基座及预埋件安装前应涂防腐涂料，如现场施工的基座完工后应做防水处理，如采用预制支架的基座应摆放平稳整齐，不得破坏原有结构。</w:t>
      </w:r>
    </w:p>
    <w:p w14:paraId="0ACEEEAE">
      <w:pPr>
        <w:keepNext w:val="0"/>
        <w:keepLines w:val="0"/>
        <w:pageBreakBefore w:val="0"/>
        <w:widowControl w:val="0"/>
        <w:kinsoku/>
        <w:wordWrap/>
        <w:overflowPunct/>
        <w:topLinePunct w:val="0"/>
        <w:autoSpaceDE w:val="0"/>
        <w:bidi w:val="0"/>
        <w:adjustRightInd w:val="0"/>
        <w:snapToGrid w:val="0"/>
        <w:spacing w:line="360" w:lineRule="auto"/>
        <w:ind w:left="420" w:left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(3)▲其他光伏支架高度、宽度、材质等具体以采购人确认后的方案为准。</w:t>
      </w:r>
    </w:p>
    <w:p w14:paraId="6380D84A">
      <w:pPr>
        <w:keepNext w:val="0"/>
        <w:keepLines w:val="0"/>
        <w:pageBreakBefore w:val="0"/>
        <w:widowControl w:val="0"/>
        <w:kinsoku/>
        <w:wordWrap/>
        <w:overflowPunct/>
        <w:topLinePunct w:val="0"/>
        <w:autoSpaceDE w:val="0"/>
        <w:bidi w:val="0"/>
        <w:adjustRightInd w:val="0"/>
        <w:snapToGrid w:val="0"/>
        <w:spacing w:line="360" w:lineRule="auto"/>
        <w:ind w:left="420" w:left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sz w:val="24"/>
          <w:szCs w:val="24"/>
        </w:rPr>
        <w:t>2.2材质及性能要求</w:t>
      </w:r>
    </w:p>
    <w:p w14:paraId="248E1ED8">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2.2.1材质要求：所选用钢结构主材材质为Q235B，焊条为E43系列焊条。</w:t>
      </w:r>
    </w:p>
    <w:p w14:paraId="45E18D45">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2.2.2力学性能要求：所选用钢结构主材的抗拉强度、伸长率、屈服点、冷弯试验等各项力学性能要求须符合《碳素结构钢》（GB/T700-2007）的相关规定。</w:t>
      </w:r>
    </w:p>
    <w:p w14:paraId="695A0CBF">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2.2.3化学成分要求：所选用钢结构主材的碳、硫、磷等化学元素的含量须符合《碳素结构钢》（GB/T700-2007）的相关规定。</w:t>
      </w:r>
    </w:p>
    <w:p w14:paraId="421AE2A4">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2.3除锈方法及除锈等级要求</w:t>
      </w:r>
    </w:p>
    <w:p w14:paraId="5C4B025B">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2.3.1钢构件须进行表面处理，除锈方法和除锈等级应符合现行国家标准《涂装前钢材表面锈蚀等级和除锈等级》（GB8923-88）的相关规定。</w:t>
      </w:r>
    </w:p>
    <w:p w14:paraId="02471BFC">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2.3.2除锈方法：钢构件可采用喷砂或喷丸的除锈方法，若采用化学除锈方法时，应选用具备除锈、磷化、钝化两个以上功能的处理液，其质量应符合现行国家标准《多功能钢铁表面处理液通用技术条件》（GB/T12612-2005）的规定。</w:t>
      </w:r>
    </w:p>
    <w:p w14:paraId="326E81F0">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2.3.3除锈等级：除锈等级应达到Sa21/2要求。</w:t>
      </w:r>
    </w:p>
    <w:p w14:paraId="26B53DD2">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2.4防腐要求</w:t>
      </w:r>
    </w:p>
    <w:p w14:paraId="5FD1D28E">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2.4.1钢构件采用金属保护层的防腐方式。钢结构支架均采用热浸镀锌涂层，热浸镀锌须满足《金属覆盖层 钢铁制件热浸镀锌层技术要求及实验方法》（GB/T13912-2002）的相关要求，镀锌层厚度不小于80μm。</w:t>
      </w:r>
    </w:p>
    <w:p w14:paraId="606EBFA9">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2.67</w:t>
      </w:r>
      <w:r>
        <w:rPr>
          <w:rFonts w:hint="eastAsia" w:ascii="仿宋_GB2312" w:hAnsi="仿宋_GB2312" w:eastAsia="仿宋_GB2312" w:cs="仿宋_GB2312"/>
          <w:sz w:val="24"/>
          <w:szCs w:val="24"/>
        </w:rPr>
        <w:t>镀锌厚度检测：镀锌层厚度按照《金属覆盖层钢铁制件热浸镀锌层技术要求及实验方法》提供方法进行检测。</w:t>
      </w:r>
    </w:p>
    <w:p w14:paraId="5730A20B">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2.4.3热浸镀锌防变形措施：采取合理防变形镀锌方案，以防止构件在热浸镀锌后产生明显的变形。</w:t>
      </w:r>
    </w:p>
    <w:p w14:paraId="5F7944A2">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2.4.4铝合金材质</w:t>
      </w:r>
    </w:p>
    <w:p w14:paraId="1030CE3B">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a.材质要求：材质一般选用6061或6063等。</w:t>
      </w:r>
    </w:p>
    <w:p w14:paraId="028699A7">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b.力学性能要求：所选用铝型材的基材质量、化学成分、力学性能必须符合GB5237.1的相关规定。</w:t>
      </w:r>
    </w:p>
    <w:p w14:paraId="11BA60F9">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c.表面处理须满足技术要求，符合GB5237.2-2004《铝合金建筑型材第2部分：阳极氧化、着色型材》。</w:t>
      </w:r>
    </w:p>
    <w:p w14:paraId="7002DD5C">
      <w:pPr>
        <w:keepNext w:val="0"/>
        <w:keepLines w:val="0"/>
        <w:pageBreakBefore w:val="0"/>
        <w:widowControl w:val="0"/>
        <w:kinsoku/>
        <w:wordWrap/>
        <w:overflowPunct/>
        <w:topLinePunct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d.型材的外观质量符合GB5237.2-2004中的规定，型材表面应整洁、光滑，不允许有裂纹、起皮、腐蚀和气泡等严重缺陷存在。</w:t>
      </w:r>
    </w:p>
    <w:p w14:paraId="580EE757">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2.5光伏组件</w:t>
      </w:r>
    </w:p>
    <w:p w14:paraId="14BE45FD">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2.5.1光伏组件正常条件下的使用寿命不低于25年，组件功率标准严格按照TUVIEC61215，IEC61730中相关要求。在10年使用期限内线性功率输出不低于90%，25年使用期限内输出功率不低于80%的标准功率。（隆基、天合、晶科、正泰）</w:t>
      </w:r>
    </w:p>
    <w:p w14:paraId="348A3083">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2.5.2提供的单晶硅组件单件功率不能低于540W，转化效率不低于20%，同时光伏组件应具有高面积比的功率，功率与面积比不小于200W/㎡。功率与质量比大于18W/kg，填充因子FF大于0.70。</w:t>
      </w:r>
    </w:p>
    <w:p w14:paraId="26FBCF0C">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2.5.3组件采用A级标准电池片封装（EL成像无缺陷），组件的电池上表面颜色均匀一致，无机械损伤，焊点无氧化斑。</w:t>
      </w:r>
    </w:p>
    <w:p w14:paraId="7F3E6BF6">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2.5.4组件的每片电池与互连条应该排列整齐，组件的框架应整洁无腐蚀斑点。</w:t>
      </w:r>
    </w:p>
    <w:p w14:paraId="69DE9FCB">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2.5.5组件的封装层中不允许气泡或脱层在某一片电池与组件边缘形成一个通路，气泡或脱层的几何尺寸和个数应符合相应的产品详细规范规定。</w:t>
      </w:r>
    </w:p>
    <w:p w14:paraId="485B6ED1">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2.5.6组件在正常条件下绝缘电阻</w:t>
      </w:r>
      <w:r>
        <w:rPr>
          <w:rFonts w:hint="eastAsia" w:ascii="仿宋_GB2312" w:hAnsi="仿宋_GB2312" w:eastAsia="仿宋_GB2312" w:cs="仿宋_GB2312"/>
          <w:sz w:val="24"/>
          <w:szCs w:val="24"/>
          <w:u w:val="single"/>
        </w:rPr>
        <w:t>不能低于200M</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不能高于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10欧姆</w:t>
      </w:r>
      <w:r>
        <w:rPr>
          <w:rFonts w:hint="eastAsia" w:ascii="仿宋_GB2312" w:hAnsi="仿宋_GB2312" w:eastAsia="仿宋_GB2312" w:cs="仿宋_GB2312"/>
          <w:sz w:val="24"/>
          <w:szCs w:val="24"/>
          <w:lang w:eastAsia="zh-CN"/>
        </w:rPr>
        <w:t>）</w:t>
      </w:r>
    </w:p>
    <w:p w14:paraId="54D00971">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2.5.7光伏电池受光面应有较好的自洁能力;表面抗腐蚀、抗磨损能力应满足相应的国标要求。</w:t>
      </w:r>
    </w:p>
    <w:p w14:paraId="18C45F27">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2.5.8采用EVA、玻璃等层压封装的组件，EVA的交联度应75-85%，EVA与玻璃的剥离强度大于50N/cm。EVA与组件背板剥离强度大于40N/cm。</w:t>
      </w:r>
    </w:p>
    <w:p w14:paraId="12F2F2A7">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2.5.9成交供应商提供光伏组件测试数据，TUV标定的标准件校准测试设备，测试标准STC（T=25℃，120.7140W/㎡，AM1.5）。</w:t>
      </w:r>
    </w:p>
    <w:p w14:paraId="66697EF0">
      <w:pPr>
        <w:keepNext w:val="0"/>
        <w:keepLines w:val="0"/>
        <w:pageBreakBefore w:val="0"/>
        <w:widowControl w:val="0"/>
        <w:kinsoku/>
        <w:wordWrap/>
        <w:overflowPunct/>
        <w:topLinePunct w:val="0"/>
        <w:bidi w:val="0"/>
        <w:snapToGrid w:val="0"/>
        <w:spacing w:line="360" w:lineRule="auto"/>
        <w:ind w:firstLine="482"/>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2.6电缆</w:t>
      </w:r>
    </w:p>
    <w:p w14:paraId="45779171">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2.6.1光伏电缆必须通过国内或国际认证机构的认证，具有TUV认证、UL认证证书；</w:t>
      </w:r>
    </w:p>
    <w:p w14:paraId="5BAB3379">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2.6.2直流侧电缆要以减少线损并防止外界干扰的原则选型，选用双绝缘防紫外线阻燃铜芯电缆，电缆性能符合GB/T18950-2003性能测试的要求;推荐Z-PFG类型直流电缆。</w:t>
      </w:r>
    </w:p>
    <w:p w14:paraId="658C8FDA">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2.6.3交流侧需要考虑敷设的形式和安全来选择，采用多股铜芯耐火阻燃电缆；推荐型号是ZR-YJVR.</w:t>
      </w:r>
    </w:p>
    <w:p w14:paraId="59232C04">
      <w:pPr>
        <w:keepNext w:val="0"/>
        <w:keepLines w:val="0"/>
        <w:pageBreakBefore w:val="0"/>
        <w:widowControl w:val="0"/>
        <w:kinsoku/>
        <w:wordWrap/>
        <w:overflowPunct/>
        <w:topLinePunct w:val="0"/>
        <w:autoSpaceDE w:val="0"/>
        <w:bidi w:val="0"/>
        <w:snapToGrid w:val="0"/>
        <w:spacing w:line="360" w:lineRule="auto"/>
        <w:ind w:firstLine="482"/>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2.7逆变器</w:t>
      </w:r>
    </w:p>
    <w:p w14:paraId="4DDEB83E">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光伏并网逆变器（下称逆变器）是光伏发电系统中的核心设备，必须采用高品质性能良好的成熟产品（华为、阳光、锦浪、正泰）。逆变器将光伏方阵产生的直流电（DC）逆变为单相正弦交流电（AC），输出符合电网要求的电能。逆变器应该满足以下要求：</w:t>
      </w:r>
    </w:p>
    <w:p w14:paraId="0019748F">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2.7.1并网逆变器的功率因数和电能质量应满足中国电网要求，各项性能指标满足国网公司2011年5月上发的《光伏电站接入电网技术规定》要求。</w:t>
      </w:r>
    </w:p>
    <w:p w14:paraId="4EC8B75D">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2.7.2逆变器的安装应简便，无特殊性要求。</w:t>
      </w:r>
    </w:p>
    <w:p w14:paraId="6AB422D2">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2.7.3逆变器应采用太阳电池组件最大功率跟踪技术（MPPT）。</w:t>
      </w:r>
    </w:p>
    <w:p w14:paraId="042974CF">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2.7.4所采用逆变器均有安全运行3年以上业绩。</w:t>
      </w:r>
    </w:p>
    <w:p w14:paraId="7672BB76">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2.7.5逆变器要求能够自动化运行，运行状态可视化程度高。显示屏可清晰显示实时各项运行数据，实时故障数据，历史故障数据，总发电量数据，历史发电量（按月、按年查询）数据。</w:t>
      </w:r>
    </w:p>
    <w:p w14:paraId="4911A015">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2.7.6逆变器要求具有故障数据自动记录存储功能，存储时间大于10年。</w:t>
      </w:r>
    </w:p>
    <w:p w14:paraId="6220DA32">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2.7.7逆变器本体要求具有直流输入分断开关，紧急停机操作开关。</w:t>
      </w:r>
    </w:p>
    <w:p w14:paraId="3C287D02">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2.7.8逆变器应具有短路保护、孤岛效应保护、过温保护、交流过流及直流过流保护、直流母线过电压保护、电网断电、电网过欠压、电网过欠频、光伏阵列及逆变器本身的接地检测及保护功能等，并相应给出各保护功能动作的条件和工况（即何时保护动作、保护时间、自恢复时间等）。</w:t>
      </w:r>
    </w:p>
    <w:p w14:paraId="15FB7875">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2.7.9逆变器须按照CNCA/CTS0004:2009认证技术规范要求，通过国家批准认证机构的认证。</w:t>
      </w:r>
    </w:p>
    <w:p w14:paraId="7EA04C36">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2.7.10逆变器整机质保期不低于10年。</w:t>
      </w:r>
    </w:p>
    <w:p w14:paraId="59A89CA8">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2.7.11逆变器应具有低电压穿越能力。</w:t>
      </w:r>
    </w:p>
    <w:p w14:paraId="1D71DA32">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kern w:val="2"/>
          <w:sz w:val="24"/>
          <w:szCs w:val="24"/>
          <w:lang w:val="en-US" w:eastAsia="zh-CN" w:bidi="ar"/>
        </w:rPr>
        <w:t>2.7.12</w:t>
      </w:r>
      <w:r>
        <w:rPr>
          <w:rFonts w:hint="eastAsia" w:ascii="仿宋_GB2312" w:hAnsi="仿宋_GB2312" w:eastAsia="仿宋_GB2312" w:cs="仿宋_GB2312"/>
          <w:sz w:val="24"/>
          <w:szCs w:val="24"/>
          <w:lang w:val="en-US" w:eastAsia="zh-CN" w:bidi="ar"/>
        </w:rPr>
        <w:t>光伏并网逆变器能够适应室外恶劣的环境，防护等级室外型必须达到IP65，室内型必须达到IP20，逆变器最大效率应不小于98%。</w:t>
      </w:r>
    </w:p>
    <w:p w14:paraId="7C6C2D9F">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2.7.13逆变器额定输出下持续工作能力：≥12小时；50%额定输出下持续工作能力：≥15小时。</w:t>
      </w:r>
    </w:p>
    <w:p w14:paraId="40E0DE4A">
      <w:pPr>
        <w:keepNext w:val="0"/>
        <w:keepLines w:val="0"/>
        <w:pageBreakBefore w:val="0"/>
        <w:widowControl w:val="0"/>
        <w:kinsoku/>
        <w:wordWrap/>
        <w:overflowPunct/>
        <w:topLinePunct w:val="0"/>
        <w:autoSpaceDE w:val="0"/>
        <w:bidi w:val="0"/>
        <w:adjustRightInd w:val="0"/>
        <w:snapToGrid w:val="0"/>
        <w:spacing w:line="360" w:lineRule="auto"/>
        <w:ind w:firstLine="482"/>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2.8交流汇流箱和并网柜</w:t>
      </w:r>
    </w:p>
    <w:p w14:paraId="7D04D5DB">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2.8.1开关柜采用标准模块化设计，由模数E=25mm的各种标准单元组成，相同规格的单元具有良好的互换性。按照电站功率容量设计并网柜，应大于功率容量30%作为配置。</w:t>
      </w:r>
    </w:p>
    <w:p w14:paraId="31E3456B">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2.8.2所有一次设备及元件短路动、热稳定电流应能承受不低于母线的动、热稳定电流值，且不损坏。所有电气元件应经过CCC认证，配电柜应提供全型式试验/部分型式试验，并具有足够运行业绩。</w:t>
      </w:r>
    </w:p>
    <w:p w14:paraId="54371E2B">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2.8.3主母线和分支母线材质均选高导电率的铜材料制造。当采用螺栓连接时，每个接头应不少于两个螺栓。</w:t>
      </w:r>
    </w:p>
    <w:p w14:paraId="5A3D7A78">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2.8.4接线二次线端子排额定电压不低于120.7140V，额定电流不小于10A，具有隔板、标号线套和端子螺丝。每个端子排均应标以编号。</w:t>
      </w:r>
    </w:p>
    <w:p w14:paraId="13B6B1EE">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控制回路的导线均应选用绝缘电压不小于120.7140V，除配电柜内二次插件的引接导线采用1.5㎜2的多股铜绞线外，其他导线采用截面不小于2.5㎜2的多股铜绞线。导线两端均要标以编号。端子排位置应考虑拆接线方便，并留有20%的备用量。端子排应采用阻燃型端子。</w:t>
      </w:r>
    </w:p>
    <w:p w14:paraId="07451E2E">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2.8.5主要元件选型</w:t>
      </w:r>
    </w:p>
    <w:p w14:paraId="2C619EFB">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框架断路器，塑壳断路器，接触器，热继电器等采用国际国内优质产品，具备国内认证的产品。</w:t>
      </w:r>
    </w:p>
    <w:p w14:paraId="34F09A81">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框架断路器自带智能保护单元配置;保护单元具有完善的三段式保护、上下级配合功能。</w:t>
      </w:r>
    </w:p>
    <w:p w14:paraId="1C34BFA2">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馈线塑壳断路器应采用电子式脱扣器或热磁式电子脱扣器。</w:t>
      </w:r>
    </w:p>
    <w:p w14:paraId="5A86D90F">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开关柜内各个控制及显示元件如：选择开关、按纽、指示灯、继电器、电流互感器等应选用有运行经验的优质产品。</w:t>
      </w:r>
    </w:p>
    <w:p w14:paraId="22BEB31B">
      <w:pPr>
        <w:keepNext w:val="0"/>
        <w:keepLines w:val="0"/>
        <w:pageBreakBefore w:val="0"/>
        <w:widowControl w:val="0"/>
        <w:kinsoku/>
        <w:wordWrap/>
        <w:overflowPunct/>
        <w:topLinePunct w:val="0"/>
        <w:autoSpaceDE w:val="0"/>
        <w:bidi w:val="0"/>
        <w:snapToGrid w:val="0"/>
        <w:spacing w:line="360" w:lineRule="auto"/>
        <w:ind w:firstLine="482"/>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2.9光伏施工辅材</w:t>
      </w:r>
    </w:p>
    <w:p w14:paraId="1982CE4C">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2.9.1 桥架</w:t>
      </w:r>
    </w:p>
    <w:p w14:paraId="33FB67C2">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所使用的螺丝均采取不锈钢系列或采取措施进行防锈的处理。锌层厚度对5mm以下薄板不得小于65μm，对厚板不小于86μm。</w:t>
      </w:r>
    </w:p>
    <w:p w14:paraId="2542B8DE">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2.9.2 防雷接地扁铁</w:t>
      </w:r>
    </w:p>
    <w:p w14:paraId="45C1B4FF">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所使用的扁铁参数为25×4mm和4×40mm的热镀锌的扁铁进行焊接。</w:t>
      </w:r>
    </w:p>
    <w:p w14:paraId="1C2718B3">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2.9.3 PVC电力护套管材</w:t>
      </w:r>
    </w:p>
    <w:p w14:paraId="7276E25A">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主要应用于光伏交流侧的电缆敷设，所使用固定的护套管均采用不锈钢304螺丝。</w:t>
      </w:r>
    </w:p>
    <w:p w14:paraId="7E58E44D">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2.9.4 螺丝、螺母、螺帽</w:t>
      </w:r>
    </w:p>
    <w:p w14:paraId="2B7DA78F">
      <w:pPr>
        <w:keepNext w:val="0"/>
        <w:keepLines w:val="0"/>
        <w:pageBreakBefore w:val="0"/>
        <w:widowControl w:val="0"/>
        <w:kinsoku/>
        <w:wordWrap/>
        <w:overflowPunct/>
        <w:topLinePunct w:val="0"/>
        <w:autoSpaceDE w:val="0"/>
        <w:bidi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所使用的材质均采用304不锈钢材质，以达到固定力度和防锈功能。</w:t>
      </w:r>
    </w:p>
    <w:p w14:paraId="51E6EE34">
      <w:pPr>
        <w:keepNext w:val="0"/>
        <w:keepLines w:val="0"/>
        <w:pageBreakBefore w:val="0"/>
        <w:widowControl w:val="0"/>
        <w:kinsoku/>
        <w:wordWrap/>
        <w:overflowPunct/>
        <w:topLinePunct w:val="0"/>
        <w:autoSpaceDE w:val="0"/>
        <w:bidi w:val="0"/>
        <w:adjustRightInd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3.设计内容和其技术响应</w:t>
      </w:r>
    </w:p>
    <w:p w14:paraId="371AB8E0">
      <w:pPr>
        <w:keepNext w:val="0"/>
        <w:keepLines w:val="0"/>
        <w:pageBreakBefore w:val="0"/>
        <w:widowControl w:val="0"/>
        <w:kinsoku/>
        <w:wordWrap/>
        <w:overflowPunct/>
        <w:topLinePunct w:val="0"/>
        <w:autoSpaceDE w:val="0"/>
        <w:bidi w:val="0"/>
        <w:adjustRightInd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3.1设计内容</w:t>
      </w:r>
    </w:p>
    <w:p w14:paraId="06185734">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3.1.1结合安装地点要求，提供安装施工图、节点图等；</w:t>
      </w:r>
    </w:p>
    <w:p w14:paraId="3298186B">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3.1.2根据各建筑的可安装面积，选取合理的电池组件和逆变器，投标文件中必提供可满足容量要求的太阳能电池方阵图、平面布局图及安装大样图等设计；</w:t>
      </w:r>
    </w:p>
    <w:p w14:paraId="1351E0A6">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3.1.3成交供应商须完成光伏系统与局域电网连接以及监控系统深化设计方案，完善电气设计图；</w:t>
      </w:r>
    </w:p>
    <w:p w14:paraId="41ACDBAF">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3.1.4太阳能并网发电系统设计的其他应尽事宜：深化设计应满足相关规范、标准的要求。</w:t>
      </w:r>
    </w:p>
    <w:p w14:paraId="4F98EE78">
      <w:pPr>
        <w:keepNext w:val="0"/>
        <w:keepLines w:val="0"/>
        <w:pageBreakBefore w:val="0"/>
        <w:widowControl w:val="0"/>
        <w:kinsoku/>
        <w:wordWrap/>
        <w:overflowPunct/>
        <w:topLinePunct w:val="0"/>
        <w:autoSpaceDE w:val="0"/>
        <w:bidi w:val="0"/>
        <w:adjustRightInd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3.2技术响应</w:t>
      </w:r>
    </w:p>
    <w:p w14:paraId="315CC8DF">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3.2.1提供所投货物必须是厂商原装的、全新的、型号、性能及指标符合或优于国家级招标文件提出的有关技术、质量、安全标准、要求的货物（供应商须在响应文件明确所投货物的品牌、型号及规格等有关详细资料）。</w:t>
      </w:r>
    </w:p>
    <w:p w14:paraId="3C4B63BE">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3.2.2成交供应商须提供在保修期内的维修保养计划书，成交供应商应免费对用户操作技术人员进行设备操作使用和维护保养方面的培训（并提供安装使用维护说明书），使其能过熟悉整个系统的安装、维修、操作、维护，并最终能独立上岗。</w:t>
      </w:r>
    </w:p>
    <w:p w14:paraId="08EBBBDC">
      <w:pPr>
        <w:keepNext w:val="0"/>
        <w:keepLines w:val="0"/>
        <w:pageBreakBefore w:val="0"/>
        <w:widowControl w:val="0"/>
        <w:kinsoku/>
        <w:wordWrap/>
        <w:overflowPunct/>
        <w:topLinePunct w:val="0"/>
        <w:autoSpaceDE w:val="0"/>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bidi="ar"/>
        </w:rPr>
        <w:t>4.项目管理与责任</w:t>
      </w:r>
    </w:p>
    <w:p w14:paraId="1448FD63">
      <w:pPr>
        <w:keepNext w:val="0"/>
        <w:keepLines w:val="0"/>
        <w:pageBreakBefore w:val="0"/>
        <w:widowControl w:val="0"/>
        <w:kinsoku/>
        <w:wordWrap/>
        <w:overflowPunct/>
        <w:topLinePunct w:val="0"/>
        <w:autoSpaceDE w:val="0"/>
        <w:bidi w:val="0"/>
        <w:adjustRightInd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4.1安装调试</w:t>
      </w:r>
    </w:p>
    <w:p w14:paraId="4E1B1686">
      <w:pPr>
        <w:keepNext w:val="0"/>
        <w:keepLines w:val="0"/>
        <w:pageBreakBefore w:val="0"/>
        <w:widowControl w:val="0"/>
        <w:kinsoku/>
        <w:wordWrap/>
        <w:overflowPunct/>
        <w:topLinePunct w:val="0"/>
        <w:autoSpaceDE w:val="0"/>
        <w:autoSpaceDN/>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4.1.1成交供应商应设安装负责人，负责安装协调管理工作；</w:t>
      </w:r>
    </w:p>
    <w:p w14:paraId="5EF16ABF">
      <w:pPr>
        <w:keepNext w:val="0"/>
        <w:keepLines w:val="0"/>
        <w:pageBreakBefore w:val="0"/>
        <w:widowControl w:val="0"/>
        <w:kinsoku/>
        <w:wordWrap/>
        <w:overflowPunct/>
        <w:topLinePunct w:val="0"/>
        <w:autoSpaceDE w:val="0"/>
        <w:autoSpaceDN/>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4.1.2安装所需工具、设施、物料由成交供应商自备、自费运到现场，完工后自费运回；</w:t>
      </w:r>
    </w:p>
    <w:p w14:paraId="2D0B7297">
      <w:pPr>
        <w:keepNext w:val="0"/>
        <w:keepLines w:val="0"/>
        <w:pageBreakBefore w:val="0"/>
        <w:widowControl w:val="0"/>
        <w:kinsoku/>
        <w:wordWrap/>
        <w:overflowPunct/>
        <w:topLinePunct w:val="0"/>
        <w:autoSpaceDE w:val="0"/>
        <w:autoSpaceDN/>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4.1.3所使用的材料必须符合电气技术规范，电气材料需选用优质材料；</w:t>
      </w:r>
    </w:p>
    <w:p w14:paraId="7876165A">
      <w:pPr>
        <w:keepNext w:val="0"/>
        <w:keepLines w:val="0"/>
        <w:pageBreakBefore w:val="0"/>
        <w:widowControl w:val="0"/>
        <w:kinsoku/>
        <w:wordWrap/>
        <w:overflowPunct/>
        <w:topLinePunct w:val="0"/>
        <w:autoSpaceDE w:val="0"/>
        <w:autoSpaceDN/>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4.1.4所有供本工程使用的产品配件均应符合国家相关标准；</w:t>
      </w:r>
    </w:p>
    <w:p w14:paraId="4B34FE61">
      <w:pPr>
        <w:keepNext w:val="0"/>
        <w:keepLines w:val="0"/>
        <w:pageBreakBefore w:val="0"/>
        <w:widowControl w:val="0"/>
        <w:kinsoku/>
        <w:wordWrap/>
        <w:overflowPunct/>
        <w:topLinePunct w:val="0"/>
        <w:autoSpaceDE w:val="0"/>
        <w:autoSpaceDN/>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4.1.5系统的安装施工必须满足室外设备的防腐要求，所选器件需保证系统内使用寿命内安全、可靠。</w:t>
      </w:r>
    </w:p>
    <w:p w14:paraId="0AC55F21">
      <w:pPr>
        <w:keepNext w:val="0"/>
        <w:keepLines w:val="0"/>
        <w:pageBreakBefore w:val="0"/>
        <w:widowControl w:val="0"/>
        <w:kinsoku/>
        <w:wordWrap/>
        <w:overflowPunct/>
        <w:topLinePunct w:val="0"/>
        <w:autoSpaceDE w:val="0"/>
        <w:autoSpaceDN/>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4.1.6逆变器及控制器可根据实际情况就近或集中安装，控制和传输线缆按规定敷设；</w:t>
      </w:r>
    </w:p>
    <w:p w14:paraId="473DD2E9">
      <w:pPr>
        <w:keepNext w:val="0"/>
        <w:keepLines w:val="0"/>
        <w:pageBreakBefore w:val="0"/>
        <w:widowControl w:val="0"/>
        <w:kinsoku/>
        <w:wordWrap/>
        <w:overflowPunct/>
        <w:topLinePunct w:val="0"/>
        <w:autoSpaceDE w:val="0"/>
        <w:autoSpaceDN/>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4.1.7调试：按国家相关施工验收规范进行，分阶段进行调试；</w:t>
      </w:r>
    </w:p>
    <w:p w14:paraId="0C739965">
      <w:pPr>
        <w:keepNext w:val="0"/>
        <w:keepLines w:val="0"/>
        <w:pageBreakBefore w:val="0"/>
        <w:widowControl w:val="0"/>
        <w:kinsoku/>
        <w:wordWrap/>
        <w:overflowPunct/>
        <w:topLinePunct w:val="0"/>
        <w:autoSpaceDE w:val="0"/>
        <w:autoSpaceDN/>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4.1.8设备的拆箱、安装、通电、调试等项工作由成交供应商负责，但必须在用户指定人员的参与下进行，响应磋商文件中给出的具体安装和测试方法，在实际实施前必须先经用户方同意后方可进行，调试的原始记录须经各方签字后方可作为验收的文件之一。</w:t>
      </w:r>
    </w:p>
    <w:p w14:paraId="2816C4B7">
      <w:pPr>
        <w:keepNext w:val="0"/>
        <w:keepLines w:val="0"/>
        <w:pageBreakBefore w:val="0"/>
        <w:widowControl w:val="0"/>
        <w:kinsoku/>
        <w:wordWrap/>
        <w:overflowPunct/>
        <w:topLinePunct w:val="0"/>
        <w:autoSpaceDE w:val="0"/>
        <w:bidi w:val="0"/>
        <w:adjustRightInd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bidi="ar"/>
        </w:rPr>
        <w:t>2.67</w:t>
      </w:r>
      <w:r>
        <w:rPr>
          <w:rFonts w:hint="eastAsia" w:ascii="仿宋_GB2312" w:hAnsi="仿宋_GB2312" w:eastAsia="仿宋_GB2312" w:cs="仿宋_GB2312"/>
          <w:b/>
          <w:sz w:val="24"/>
          <w:szCs w:val="24"/>
          <w:lang w:bidi="ar"/>
        </w:rPr>
        <w:t>验收</w:t>
      </w:r>
    </w:p>
    <w:p w14:paraId="5EB23019">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2.67</w:t>
      </w:r>
      <w:r>
        <w:rPr>
          <w:rFonts w:hint="eastAsia" w:ascii="仿宋_GB2312" w:hAnsi="仿宋_GB2312" w:eastAsia="仿宋_GB2312" w:cs="仿宋_GB2312"/>
          <w:sz w:val="24"/>
          <w:szCs w:val="24"/>
          <w:lang w:bidi="ar"/>
        </w:rPr>
        <w:t>.1主要设备在产品到货验收时，必须有制造商工程师现场协助验收，此验收报告作为工程验收必备文档之一；</w:t>
      </w:r>
    </w:p>
    <w:p w14:paraId="5EB7D822">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2.67</w:t>
      </w:r>
      <w:r>
        <w:rPr>
          <w:rFonts w:hint="eastAsia" w:ascii="仿宋_GB2312" w:hAnsi="仿宋_GB2312" w:eastAsia="仿宋_GB2312" w:cs="仿宋_GB2312"/>
          <w:sz w:val="24"/>
          <w:szCs w:val="24"/>
          <w:lang w:bidi="ar"/>
        </w:rPr>
        <w:t>.2验收由采购人、成交供应商及相关技术支撑单位依据国家有关标准、合同及国家可再生能源与建筑集成示范工程的要求进行，验收完毕由采购人及成交供应商在验收报告上签名。</w:t>
      </w:r>
    </w:p>
    <w:p w14:paraId="4C19C752">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2.67</w:t>
      </w:r>
      <w:r>
        <w:rPr>
          <w:rFonts w:hint="eastAsia" w:ascii="仿宋_GB2312" w:hAnsi="仿宋_GB2312" w:eastAsia="仿宋_GB2312" w:cs="仿宋_GB2312"/>
          <w:sz w:val="24"/>
          <w:szCs w:val="24"/>
          <w:lang w:bidi="ar"/>
        </w:rPr>
        <w:t>.3符合《分布式光伏发电工程施工及验收规范》及其他相关规范合格标准并保证通过电力部门验收直至并网发电。</w:t>
      </w:r>
    </w:p>
    <w:p w14:paraId="1F869E71">
      <w:pPr>
        <w:keepNext w:val="0"/>
        <w:keepLines w:val="0"/>
        <w:pageBreakBefore w:val="0"/>
        <w:widowControl w:val="0"/>
        <w:kinsoku/>
        <w:wordWrap/>
        <w:overflowPunct/>
        <w:topLinePunct w:val="0"/>
        <w:autoSpaceDE w:val="0"/>
        <w:bidi w:val="0"/>
        <w:adjustRightInd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4.3技术资料</w:t>
      </w:r>
    </w:p>
    <w:p w14:paraId="780A0013">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成交供应商应于验收后向用户提供工程验收报告、技术文档，并提供完整的技术资料。</w:t>
      </w:r>
    </w:p>
    <w:p w14:paraId="7F1EC908">
      <w:pPr>
        <w:keepNext w:val="0"/>
        <w:keepLines w:val="0"/>
        <w:pageBreakBefore w:val="0"/>
        <w:widowControl w:val="0"/>
        <w:kinsoku/>
        <w:wordWrap/>
        <w:overflowPunct/>
        <w:topLinePunct w:val="0"/>
        <w:autoSpaceDE w:val="0"/>
        <w:bidi w:val="0"/>
        <w:adjustRightInd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bidi="ar"/>
        </w:rPr>
        <w:t>5.材料的品牌推荐</w:t>
      </w:r>
    </w:p>
    <w:p w14:paraId="44E0C872">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5.1组件推荐品牌：天合光能、晶科、隆基、正泰。</w:t>
      </w:r>
    </w:p>
    <w:p w14:paraId="520184F9">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5.2组件规格：单晶545W，组件尺寸可采用2278×1134×30㎜。</w:t>
      </w:r>
    </w:p>
    <w:p w14:paraId="1AF7C74C">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5.3逆变器推荐品牌：阳光电源（阳光电源股份有限公司）、华为（华为技术有限公司）、锦浪（锦浪科技股份有限公司）。</w:t>
      </w:r>
    </w:p>
    <w:p w14:paraId="65B8BAA6">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5.4认证：组件、逆变器必须通过金太阳或CQC或TUV等认证。</w:t>
      </w:r>
    </w:p>
    <w:p w14:paraId="1E84789D">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5.5支架：必须是光伏热镀锌碳钢专用支架、紧固件、螺丝、螺母、螺帽采用不锈钢材质。</w:t>
      </w:r>
    </w:p>
    <w:p w14:paraId="64180B79">
      <w:pPr>
        <w:pStyle w:val="24"/>
        <w:keepNext w:val="0"/>
        <w:keepLines w:val="0"/>
        <w:pageBreakBefore w:val="0"/>
        <w:widowControl w:val="0"/>
        <w:kinsoku/>
        <w:wordWrap/>
        <w:overflowPunct/>
        <w:topLinePunct w:val="0"/>
        <w:bidi w:val="0"/>
        <w:snapToGrid w:val="0"/>
        <w:spacing w:line="360" w:lineRule="auto"/>
        <w:ind w:firstLine="562"/>
        <w:textAlignment w:val="auto"/>
        <w:outlineLvl w:val="1"/>
        <w:rPr>
          <w:rFonts w:hint="eastAsia" w:ascii="仿宋_GB2312" w:hAnsi="仿宋_GB2312" w:eastAsia="仿宋_GB2312" w:cs="仿宋_GB2312"/>
          <w:b/>
          <w:sz w:val="24"/>
          <w:szCs w:val="24"/>
        </w:rPr>
      </w:pPr>
      <w:bookmarkStart w:id="33" w:name="_Toc21885"/>
      <w:bookmarkStart w:id="34" w:name="_Toc492537885"/>
      <w:bookmarkStart w:id="35" w:name="_Toc32588"/>
      <w:r>
        <w:rPr>
          <w:rFonts w:hint="eastAsia" w:ascii="仿宋_GB2312" w:hAnsi="仿宋_GB2312" w:eastAsia="仿宋_GB2312" w:cs="仿宋_GB2312"/>
          <w:b/>
          <w:sz w:val="24"/>
          <w:szCs w:val="24"/>
        </w:rPr>
        <w:t>三、成交供应商的工作</w:t>
      </w:r>
      <w:bookmarkEnd w:id="33"/>
      <w:bookmarkEnd w:id="34"/>
      <w:bookmarkEnd w:id="35"/>
    </w:p>
    <w:p w14:paraId="3A02C02F">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1.工程立项、勘测设计、设备采购、施工安装、运维、验收、并网、移交等。</w:t>
      </w:r>
    </w:p>
    <w:p w14:paraId="3D84A92B">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2.设计成果和工程质量符合按照国家和行业相关规定。</w:t>
      </w:r>
    </w:p>
    <w:p w14:paraId="41AE3953">
      <w:pPr>
        <w:pStyle w:val="24"/>
        <w:keepNext w:val="0"/>
        <w:keepLines w:val="0"/>
        <w:pageBreakBefore w:val="0"/>
        <w:widowControl w:val="0"/>
        <w:kinsoku/>
        <w:wordWrap/>
        <w:overflowPunct/>
        <w:topLinePunct w:val="0"/>
        <w:bidi w:val="0"/>
        <w:snapToGrid w:val="0"/>
        <w:spacing w:line="360" w:lineRule="auto"/>
        <w:ind w:firstLine="562"/>
        <w:textAlignment w:val="auto"/>
        <w:outlineLvl w:val="1"/>
        <w:rPr>
          <w:rFonts w:hint="eastAsia" w:ascii="仿宋_GB2312" w:hAnsi="仿宋_GB2312" w:eastAsia="仿宋_GB2312" w:cs="仿宋_GB2312"/>
          <w:b/>
          <w:sz w:val="24"/>
          <w:szCs w:val="24"/>
        </w:rPr>
      </w:pPr>
      <w:bookmarkStart w:id="36" w:name="_Toc7332"/>
      <w:bookmarkStart w:id="37" w:name="_Toc12407"/>
      <w:r>
        <w:rPr>
          <w:rFonts w:hint="eastAsia" w:ascii="仿宋_GB2312" w:hAnsi="仿宋_GB2312" w:eastAsia="仿宋_GB2312" w:cs="仿宋_GB2312"/>
          <w:b/>
          <w:sz w:val="24"/>
          <w:szCs w:val="24"/>
        </w:rPr>
        <w:t>四、施工安全目标</w:t>
      </w:r>
      <w:bookmarkEnd w:id="36"/>
      <w:bookmarkEnd w:id="37"/>
    </w:p>
    <w:p w14:paraId="6A184422">
      <w:pPr>
        <w:pStyle w:val="24"/>
        <w:keepNext w:val="0"/>
        <w:keepLines w:val="0"/>
        <w:pageBreakBefore w:val="0"/>
        <w:widowControl w:val="0"/>
        <w:kinsoku/>
        <w:wordWrap/>
        <w:overflowPunct/>
        <w:topLinePunct w:val="0"/>
        <w:bidi w:val="0"/>
        <w:snapToGrid w:val="0"/>
        <w:spacing w:line="360" w:lineRule="auto"/>
        <w:ind w:firstLine="480"/>
        <w:textAlignment w:val="auto"/>
        <w:outlineLvl w:val="1"/>
        <w:rPr>
          <w:rFonts w:hint="eastAsia" w:ascii="仿宋_GB2312" w:hAnsi="仿宋_GB2312" w:eastAsia="仿宋_GB2312" w:cs="仿宋_GB2312"/>
          <w:kern w:val="2"/>
          <w:sz w:val="24"/>
          <w:szCs w:val="24"/>
          <w:lang w:val="en-US" w:eastAsia="zh-CN" w:bidi="ar"/>
        </w:rPr>
      </w:pPr>
      <w:bookmarkStart w:id="38" w:name="_Toc23564"/>
      <w:bookmarkStart w:id="39" w:name="_Toc18525"/>
      <w:r>
        <w:rPr>
          <w:rFonts w:hint="eastAsia" w:ascii="仿宋_GB2312" w:hAnsi="仿宋_GB2312" w:eastAsia="仿宋_GB2312" w:cs="仿宋_GB2312"/>
          <w:kern w:val="2"/>
          <w:sz w:val="24"/>
          <w:szCs w:val="24"/>
          <w:lang w:val="en-US" w:eastAsia="zh-CN" w:bidi="ar"/>
        </w:rPr>
        <w:t>本项目的安全问题由成交供应商终身负责，采购人不负任何连带责任。</w:t>
      </w:r>
      <w:bookmarkEnd w:id="38"/>
    </w:p>
    <w:p w14:paraId="7B129B2A">
      <w:pPr>
        <w:pStyle w:val="24"/>
        <w:keepNext w:val="0"/>
        <w:keepLines w:val="0"/>
        <w:pageBreakBefore w:val="0"/>
        <w:widowControl w:val="0"/>
        <w:kinsoku/>
        <w:wordWrap/>
        <w:overflowPunct/>
        <w:topLinePunct w:val="0"/>
        <w:bidi w:val="0"/>
        <w:snapToGrid w:val="0"/>
        <w:spacing w:line="360" w:lineRule="auto"/>
        <w:ind w:firstLine="562"/>
        <w:textAlignment w:val="auto"/>
        <w:outlineLvl w:val="1"/>
        <w:rPr>
          <w:rFonts w:hint="eastAsia" w:ascii="仿宋_GB2312" w:hAnsi="仿宋_GB2312" w:eastAsia="仿宋_GB2312" w:cs="仿宋_GB2312"/>
          <w:kern w:val="2"/>
          <w:sz w:val="24"/>
          <w:szCs w:val="24"/>
          <w:lang w:val="en-US" w:eastAsia="zh-CN" w:bidi="ar"/>
        </w:rPr>
      </w:pPr>
      <w:bookmarkStart w:id="40" w:name="_Toc8298"/>
      <w:r>
        <w:rPr>
          <w:rFonts w:hint="eastAsia" w:ascii="仿宋_GB2312" w:hAnsi="仿宋_GB2312" w:eastAsia="仿宋_GB2312" w:cs="仿宋_GB2312"/>
          <w:b/>
          <w:sz w:val="24"/>
          <w:szCs w:val="24"/>
        </w:rPr>
        <w:t>五、商务要求</w:t>
      </w:r>
      <w:bookmarkEnd w:id="39"/>
      <w:r>
        <w:rPr>
          <w:rFonts w:hint="eastAsia" w:ascii="仿宋_GB2312" w:hAnsi="仿宋_GB2312" w:eastAsia="仿宋_GB2312" w:cs="仿宋_GB2312"/>
          <w:bCs/>
          <w:sz w:val="24"/>
          <w:szCs w:val="24"/>
        </w:rPr>
        <w:t>（</w:t>
      </w:r>
      <w:r>
        <w:rPr>
          <w:rFonts w:hint="eastAsia" w:ascii="仿宋_GB2312" w:hAnsi="仿宋_GB2312" w:eastAsia="仿宋_GB2312" w:cs="仿宋_GB2312"/>
          <w:kern w:val="2"/>
          <w:sz w:val="24"/>
          <w:szCs w:val="24"/>
          <w:lang w:val="en-US" w:eastAsia="zh-CN" w:bidi="ar"/>
        </w:rPr>
        <w:t>以下仅为采购人最低要求，供应商必须实质响应，并欢迎供应商更优越、更详细的商务承诺。）</w:t>
      </w:r>
      <w:bookmarkEnd w:id="40"/>
    </w:p>
    <w:p w14:paraId="5E607B4A">
      <w:pPr>
        <w:keepNext w:val="0"/>
        <w:keepLines w:val="0"/>
        <w:pageBreakBefore w:val="0"/>
        <w:widowControl w:val="0"/>
        <w:kinsoku/>
        <w:wordWrap/>
        <w:overflowPunct/>
        <w:topLinePunct w:val="0"/>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1.质量保证</w:t>
      </w:r>
    </w:p>
    <w:p w14:paraId="17317584">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采购人和项目监理有权对送达工地的所有设备和材料随机抽检，若发现成交供应商以伪劣产品充抵采购人确认的设备和材料，采购人可要求成交供应商重新采购，伪劣产品已被安装的，采购人有权要求成交供应商拆除返工；经抽检为伪劣产品而发生的设备、材料损失，均由成交供应商承担全部责任。</w:t>
      </w:r>
    </w:p>
    <w:p w14:paraId="1DEC2187">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1.2成交供应商应确保太阳能光伏发电系统整体功能完整，转换及并网系统相应配件性能稳定，满足系统性能要求。</w:t>
      </w:r>
    </w:p>
    <w:p w14:paraId="3C75F1DD">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1.3成交供应商应确保项目实施屋顶不漏水，若项目实施致使屋顶漏水，成交供应商应进行修复，所产生的费用由成交供应商自行承担。</w:t>
      </w:r>
    </w:p>
    <w:p w14:paraId="72B14107">
      <w:pPr>
        <w:keepNext w:val="0"/>
        <w:keepLines w:val="0"/>
        <w:pageBreakBefore w:val="0"/>
        <w:widowControl w:val="0"/>
        <w:kinsoku/>
        <w:wordWrap/>
        <w:overflowPunct/>
        <w:topLinePunct w:val="0"/>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2.售后服务</w:t>
      </w:r>
    </w:p>
    <w:p w14:paraId="35B9E875">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2.1保修期内，成交供应商负责免费对其提供的设备整体进行维修和系统维护，但认为因素或不可抗力等自然因素造成的故障除外；</w:t>
      </w:r>
    </w:p>
    <w:p w14:paraId="3D16AC64">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2.2设备故障报修在检修8工作小时，非工作时间为24小时响应，必须在响应后8小时内到达现场；</w:t>
      </w:r>
    </w:p>
    <w:p w14:paraId="27D0E830">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2.3如果设备故障在检修8工作小时后仍无法派出的，成交供应商应在24小时内提供不低于故障设备规格型号搪瓷的设备供用户使用，直至故障设备修复；</w:t>
      </w:r>
    </w:p>
    <w:p w14:paraId="6042B6A5">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2.4所有设备保修服务方式均为成交供应商上门保修，即成交供应商派人员到设备使用现场维修，在免费质保期内由此产生的一切费用均由成交供应商承担，从运维基金中直接扣除。</w:t>
      </w:r>
    </w:p>
    <w:p w14:paraId="3B45C71A">
      <w:pPr>
        <w:pStyle w:val="67"/>
        <w:keepNext w:val="0"/>
        <w:keepLines w:val="0"/>
        <w:pageBreakBefore w:val="0"/>
        <w:widowControl w:val="0"/>
        <w:kinsoku/>
        <w:wordWrap/>
        <w:overflowPunct/>
        <w:topLinePunct w:val="0"/>
        <w:bidi w:val="0"/>
        <w:spacing w:line="360" w:lineRule="auto"/>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2.5供应商施工前必须在项目所在市区内设立运维办公场所及仓库。</w:t>
      </w:r>
    </w:p>
    <w:p w14:paraId="1CF4F249">
      <w:pPr>
        <w:keepNext w:val="0"/>
        <w:keepLines w:val="0"/>
        <w:pageBreakBefore w:val="0"/>
        <w:widowControl w:val="0"/>
        <w:kinsoku/>
        <w:wordWrap/>
        <w:overflowPunct/>
        <w:topLinePunct w:val="0"/>
        <w:bidi w:val="0"/>
        <w:adjustRightInd w:val="0"/>
        <w:snapToGrid w:val="0"/>
        <w:spacing w:line="360" w:lineRule="auto"/>
        <w:ind w:firstLine="482"/>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sz w:val="24"/>
          <w:szCs w:val="24"/>
        </w:rPr>
        <w:t>3.</w:t>
      </w:r>
      <w:r>
        <w:rPr>
          <w:rFonts w:hint="eastAsia" w:ascii="仿宋_GB2312" w:hAnsi="仿宋_GB2312" w:eastAsia="仿宋_GB2312" w:cs="仿宋_GB2312"/>
          <w:b/>
          <w:bCs/>
          <w:sz w:val="24"/>
          <w:szCs w:val="24"/>
        </w:rPr>
        <w:t>质保和运维年限及要求</w:t>
      </w:r>
    </w:p>
    <w:p w14:paraId="6FE351F8">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3.1免费质保期10年。</w:t>
      </w:r>
    </w:p>
    <w:p w14:paraId="68A10A6B">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3.2运维服务年限25年，其中无偿运维期限为</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年。（通过当地电力部门验收并且并网发电后开始计算）。所有设备材料的质保期应从并网运行之日起算。</w:t>
      </w:r>
    </w:p>
    <w:p w14:paraId="4151A1D3">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3.3成交供应商提供项目的质保期运维服务方案、培训方案、项目施工组织方案等。</w:t>
      </w:r>
    </w:p>
    <w:p w14:paraId="392504B2">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3.4运行维护和管理由成交供应商负责。若成交供应商在合同履行期间中止运行维护服务的，采购人有权解除运行维护合同没收运维基金并向成交供应商索赔。</w:t>
      </w:r>
    </w:p>
    <w:p w14:paraId="2AC302BC">
      <w:pPr>
        <w:keepNext w:val="0"/>
        <w:keepLines w:val="0"/>
        <w:pageBreakBefore w:val="0"/>
        <w:widowControl w:val="0"/>
        <w:kinsoku/>
        <w:wordWrap/>
        <w:overflowPunct/>
        <w:topLinePunct w:val="0"/>
        <w:bidi w:val="0"/>
        <w:adjustRightInd w:val="0"/>
        <w:snapToGrid w:val="0"/>
        <w:spacing w:line="360" w:lineRule="auto"/>
        <w:ind w:firstLine="482"/>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4.培训</w:t>
      </w:r>
    </w:p>
    <w:p w14:paraId="6FB1E3C6">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为了使得指定的员工熟练操作整个系统，保证系统良好运作，成交供应商应提供免费培训服务，对操作和管理人员进行培训。</w:t>
      </w:r>
    </w:p>
    <w:p w14:paraId="56D79605">
      <w:pPr>
        <w:keepNext w:val="0"/>
        <w:keepLines w:val="0"/>
        <w:pageBreakBefore w:val="0"/>
        <w:widowControl w:val="0"/>
        <w:kinsoku/>
        <w:wordWrap/>
        <w:overflowPunct/>
        <w:topLinePunct w:val="0"/>
        <w:bidi w:val="0"/>
        <w:adjustRightInd w:val="0"/>
        <w:snapToGrid w:val="0"/>
        <w:spacing w:line="360" w:lineRule="auto"/>
        <w:ind w:firstLine="482"/>
        <w:jc w:val="left"/>
        <w:textAlignment w:val="auto"/>
        <w:rPr>
          <w:rFonts w:hint="eastAsia" w:ascii="仿宋_GB2312" w:hAnsi="仿宋_GB2312" w:eastAsia="仿宋_GB2312" w:cs="仿宋_GB2312"/>
          <w:b/>
          <w:sz w:val="24"/>
          <w:szCs w:val="24"/>
        </w:rPr>
      </w:pPr>
      <w:bookmarkStart w:id="41" w:name="_Toc492537886"/>
      <w:r>
        <w:rPr>
          <w:rFonts w:hint="eastAsia" w:ascii="仿宋_GB2312" w:hAnsi="仿宋_GB2312" w:eastAsia="仿宋_GB2312" w:cs="仿宋_GB2312"/>
          <w:b/>
          <w:sz w:val="24"/>
          <w:szCs w:val="24"/>
        </w:rPr>
        <w:t>5.工期</w:t>
      </w:r>
      <w:bookmarkEnd w:id="41"/>
    </w:p>
    <w:p w14:paraId="3F4B81DC">
      <w:pPr>
        <w:keepNext w:val="0"/>
        <w:keepLines w:val="0"/>
        <w:pageBreakBefore w:val="0"/>
        <w:widowControl w:val="0"/>
        <w:kinsoku/>
        <w:wordWrap/>
        <w:overflowPunct/>
        <w:topLinePunct w:val="0"/>
        <w:bidi w:val="0"/>
        <w:adjustRightInd w:val="0"/>
        <w:snapToGrid w:val="0"/>
        <w:spacing w:line="360" w:lineRule="auto"/>
        <w:ind w:firstLine="480"/>
        <w:jc w:val="left"/>
        <w:textAlignment w:val="auto"/>
        <w:rPr>
          <w:rFonts w:hint="eastAsia" w:ascii="仿宋_GB2312" w:hAnsi="仿宋_GB2312" w:eastAsia="仿宋_GB2312" w:cs="仿宋_GB2312"/>
          <w:sz w:val="24"/>
          <w:szCs w:val="24"/>
        </w:rPr>
      </w:pPr>
      <w:bookmarkStart w:id="42" w:name="_Toc492537887"/>
      <w:r>
        <w:rPr>
          <w:rFonts w:hint="eastAsia" w:ascii="仿宋_GB2312" w:hAnsi="仿宋_GB2312" w:eastAsia="仿宋_GB2312" w:cs="仿宋_GB2312"/>
          <w:sz w:val="24"/>
          <w:szCs w:val="24"/>
        </w:rPr>
        <w:t>合同履行期限：合同签订之日起</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5天内完成安装、调试、并网发电并通过相关部门竣工验收，与供电部门并网发电并投入正常运行。</w:t>
      </w:r>
    </w:p>
    <w:p w14:paraId="372251F7">
      <w:pPr>
        <w:pStyle w:val="2"/>
        <w:rPr>
          <w:rFonts w:hint="default" w:eastAsia="仿宋_GB2312"/>
          <w:b/>
          <w:bCs/>
          <w:lang w:val="en-US" w:eastAsia="zh-CN"/>
        </w:rPr>
      </w:pPr>
      <w:r>
        <w:rPr>
          <w:rFonts w:hint="eastAsia" w:ascii="仿宋_GB2312" w:hAnsi="仿宋_GB2312" w:eastAsia="仿宋_GB2312" w:cs="仿宋_GB2312"/>
          <w:b/>
          <w:bCs/>
          <w:sz w:val="24"/>
          <w:szCs w:val="24"/>
          <w:lang w:val="en-US" w:eastAsia="zh-CN"/>
        </w:rPr>
        <w:t>6.支付方式</w:t>
      </w:r>
    </w:p>
    <w:bookmarkEnd w:id="42"/>
    <w:p w14:paraId="68A6BB89">
      <w:pPr>
        <w:keepNext w:val="0"/>
        <w:keepLines w:val="0"/>
        <w:pageBreakBefore w:val="0"/>
        <w:widowControl w:val="0"/>
        <w:kinsoku/>
        <w:wordWrap/>
        <w:overflowPunct/>
        <w:topLinePunct w:val="0"/>
        <w:autoSpaceDE w:val="0"/>
        <w:bidi w:val="0"/>
        <w:adjustRightInd w:val="0"/>
        <w:snapToGrid w:val="0"/>
        <w:spacing w:line="360" w:lineRule="auto"/>
        <w:ind w:firstLine="482"/>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u w:val="single"/>
          <w:lang w:val="en-US" w:eastAsia="zh-CN" w:bidi="ar-SA"/>
        </w:rPr>
        <w:t>项目安装完毕并通过当地电力部门验收且并网发电，并向甲方提交全套竣工资料和</w:t>
      </w:r>
      <w:r>
        <w:rPr>
          <w:rFonts w:hint="eastAsia" w:ascii="仿宋" w:hAnsi="仿宋" w:eastAsia="仿宋" w:cs="仿宋"/>
          <w:snapToGrid/>
          <w:color w:val="auto"/>
          <w:kern w:val="2"/>
          <w:sz w:val="24"/>
          <w:szCs w:val="24"/>
          <w:highlight w:val="none"/>
          <w:u w:val="single"/>
          <w:lang w:val="en-US" w:eastAsia="zh-CN" w:bidi="ar-SA"/>
        </w:rPr>
        <w:t>验收</w:t>
      </w:r>
      <w:r>
        <w:rPr>
          <w:rFonts w:hint="eastAsia" w:ascii="仿宋" w:hAnsi="仿宋" w:eastAsia="仿宋" w:cs="仿宋"/>
          <w:color w:val="auto"/>
          <w:kern w:val="2"/>
          <w:sz w:val="24"/>
          <w:szCs w:val="24"/>
          <w:highlight w:val="none"/>
          <w:u w:val="single"/>
          <w:lang w:val="en-US" w:eastAsia="zh-CN" w:bidi="ar-SA"/>
        </w:rPr>
        <w:t>后，按实际并网安装容量及成交单价计算支付至实际工程量价款，经验收合格后支付至结算合同总价的</w:t>
      </w:r>
      <w:r>
        <w:rPr>
          <w:rFonts w:hint="eastAsia" w:ascii="仿宋" w:hAnsi="仿宋" w:eastAsia="仿宋" w:cs="仿宋"/>
          <w:b/>
          <w:bCs/>
          <w:color w:val="auto"/>
          <w:kern w:val="2"/>
          <w:sz w:val="24"/>
          <w:szCs w:val="24"/>
          <w:highlight w:val="none"/>
          <w:u w:val="single"/>
          <w:lang w:val="en-US" w:eastAsia="zh-CN" w:bidi="ar-SA"/>
        </w:rPr>
        <w:t>100%</w:t>
      </w:r>
      <w:r>
        <w:rPr>
          <w:rFonts w:hint="eastAsia" w:ascii="仿宋" w:hAnsi="仿宋" w:eastAsia="仿宋" w:cs="仿宋"/>
          <w:color w:val="auto"/>
          <w:kern w:val="2"/>
          <w:sz w:val="24"/>
          <w:szCs w:val="24"/>
          <w:highlight w:val="none"/>
          <w:u w:val="single"/>
          <w:lang w:val="en-US" w:eastAsia="zh-CN" w:bidi="ar-SA"/>
        </w:rPr>
        <w:t>（无息）。</w:t>
      </w:r>
    </w:p>
    <w:p w14:paraId="36CDD86D">
      <w:pPr>
        <w:keepNext w:val="0"/>
        <w:keepLines w:val="0"/>
        <w:pageBreakBefore w:val="0"/>
        <w:widowControl w:val="0"/>
        <w:kinsoku/>
        <w:wordWrap/>
        <w:overflowPunct/>
        <w:topLinePunct w:val="0"/>
        <w:autoSpaceDE w:val="0"/>
        <w:bidi w:val="0"/>
        <w:adjustRightInd w:val="0"/>
        <w:snapToGrid w:val="0"/>
        <w:spacing w:line="360" w:lineRule="auto"/>
        <w:ind w:firstLine="482"/>
        <w:jc w:val="left"/>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bidi="ar"/>
        </w:rPr>
        <w:t>7.履约保证金</w:t>
      </w:r>
    </w:p>
    <w:p w14:paraId="033BB47A">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7.1交纳金额：成交供应商须向采购人交纳，为合同价格的1.0%。</w:t>
      </w:r>
    </w:p>
    <w:p w14:paraId="18531FAE">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7.2交纳方式：汇票/支票/银行转账/银行保函。</w:t>
      </w:r>
    </w:p>
    <w:p w14:paraId="0823A5B3">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7.3交纳时间：中标通知书发出后合同签订前交纳。</w:t>
      </w:r>
    </w:p>
    <w:p w14:paraId="7AFBD998">
      <w:pPr>
        <w:keepNext w:val="0"/>
        <w:keepLines w:val="0"/>
        <w:pageBreakBefore w:val="0"/>
        <w:widowControl w:val="0"/>
        <w:kinsoku/>
        <w:wordWrap/>
        <w:overflowPunct/>
        <w:topLinePunct w:val="0"/>
        <w:autoSpaceDE w:val="0"/>
        <w:bidi w:val="0"/>
        <w:adjustRightInd w:val="0"/>
        <w:snapToGrid w:val="0"/>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7.4退还条件：项目通过相关部门竣工验收，与供电部门并网发电并投入正常运行后全额自动转为运维基金，无偿运行维护期满后（</w:t>
      </w:r>
      <w:r>
        <w:rPr>
          <w:rFonts w:hint="eastAsia" w:ascii="仿宋_GB2312" w:hAnsi="仿宋_GB2312" w:eastAsia="仿宋_GB2312" w:cs="仿宋_GB2312"/>
          <w:sz w:val="24"/>
          <w:szCs w:val="24"/>
          <w:lang w:val="en-US" w:eastAsia="zh-CN" w:bidi="ar"/>
        </w:rPr>
        <w:t>5</w:t>
      </w:r>
      <w:r>
        <w:rPr>
          <w:rFonts w:hint="eastAsia" w:ascii="仿宋_GB2312" w:hAnsi="仿宋_GB2312" w:eastAsia="仿宋_GB2312" w:cs="仿宋_GB2312"/>
          <w:sz w:val="24"/>
          <w:szCs w:val="24"/>
          <w:lang w:bidi="ar"/>
        </w:rPr>
        <w:t>年），成交供应商无质量问题、纠纷及违约行为的，采购人退还（不计利息）。</w:t>
      </w:r>
    </w:p>
    <w:p w14:paraId="1527607C">
      <w:pPr>
        <w:keepNext w:val="0"/>
        <w:keepLines w:val="0"/>
        <w:pageBreakBefore w:val="0"/>
        <w:widowControl w:val="0"/>
        <w:kinsoku/>
        <w:wordWrap/>
        <w:overflowPunct/>
        <w:topLinePunct w:val="0"/>
        <w:autoSpaceDE/>
        <w:autoSpaceDN/>
        <w:bidi w:val="0"/>
        <w:adjustRightInd w:val="0"/>
        <w:snapToGrid/>
        <w:spacing w:beforeLines="0" w:afterLines="0" w:line="360" w:lineRule="auto"/>
        <w:textAlignment w:val="auto"/>
        <w:rPr>
          <w:rFonts w:ascii="仿宋" w:hAnsi="仿宋" w:eastAsia="仿宋" w:cs="仿宋_GB2312"/>
          <w:b/>
          <w:color w:val="auto"/>
          <w:sz w:val="24"/>
          <w:highlight w:val="none"/>
        </w:rPr>
      </w:pPr>
    </w:p>
    <w:p w14:paraId="4B09D419">
      <w:pPr>
        <w:snapToGrid w:val="0"/>
        <w:spacing w:line="360" w:lineRule="auto"/>
        <w:ind w:firstLine="2530" w:firstLineChars="700"/>
        <w:jc w:val="left"/>
        <w:rPr>
          <w:rFonts w:hint="eastAsia" w:ascii="仿宋_GB2312" w:hAnsi="仿宋_GB2312" w:eastAsia="仿宋_GB2312" w:cs="仿宋_GB2312"/>
          <w:b/>
          <w:color w:val="auto"/>
          <w:sz w:val="36"/>
          <w:szCs w:val="36"/>
          <w:highlight w:val="none"/>
        </w:rPr>
      </w:pPr>
      <w:r>
        <w:rPr>
          <w:rStyle w:val="90"/>
          <w:rFonts w:hint="eastAsia" w:ascii="仿宋_GB2312" w:hAnsi="仿宋_GB2312" w:eastAsia="仿宋_GB2312" w:cs="仿宋_GB2312"/>
          <w:color w:val="auto"/>
          <w:highlight w:val="none"/>
        </w:rPr>
        <w:t xml:space="preserve">第四部分   </w:t>
      </w:r>
      <w:bookmarkStart w:id="43" w:name="_Toc184314415"/>
      <w:bookmarkEnd w:id="43"/>
      <w:bookmarkStart w:id="44" w:name="_Toc184312112"/>
      <w:bookmarkEnd w:id="44"/>
      <w:bookmarkStart w:id="45" w:name="_Toc184308072"/>
      <w:bookmarkEnd w:id="45"/>
      <w:bookmarkStart w:id="46" w:name="_Toc184308044"/>
      <w:bookmarkEnd w:id="46"/>
      <w:bookmarkStart w:id="47" w:name="_Toc184313258"/>
      <w:bookmarkEnd w:id="47"/>
      <w:bookmarkStart w:id="48" w:name="_Toc184313293"/>
      <w:bookmarkEnd w:id="48"/>
      <w:bookmarkStart w:id="49" w:name="_Toc184308082"/>
      <w:bookmarkEnd w:id="49"/>
      <w:bookmarkStart w:id="50" w:name="_Toc184308106"/>
      <w:bookmarkEnd w:id="50"/>
      <w:bookmarkStart w:id="51" w:name="_Toc184313238"/>
      <w:bookmarkEnd w:id="51"/>
      <w:bookmarkStart w:id="52" w:name="_Toc184312097"/>
      <w:bookmarkEnd w:id="52"/>
      <w:bookmarkStart w:id="53" w:name="_Toc184310272"/>
      <w:bookmarkEnd w:id="53"/>
      <w:bookmarkStart w:id="54" w:name="_Toc184313263"/>
      <w:bookmarkEnd w:id="54"/>
      <w:bookmarkStart w:id="55" w:name="_Toc184312073"/>
      <w:bookmarkEnd w:id="55"/>
      <w:bookmarkStart w:id="56" w:name="_Toc184313261"/>
      <w:bookmarkEnd w:id="56"/>
      <w:bookmarkStart w:id="57" w:name="_Toc184308073"/>
      <w:bookmarkEnd w:id="57"/>
      <w:bookmarkStart w:id="58" w:name="_Toc184312126"/>
      <w:bookmarkEnd w:id="58"/>
      <w:bookmarkStart w:id="59" w:name="_Toc184314437"/>
      <w:bookmarkEnd w:id="59"/>
      <w:bookmarkStart w:id="60" w:name="_Toc184313250"/>
      <w:bookmarkEnd w:id="60"/>
      <w:bookmarkStart w:id="61" w:name="_Toc184310323"/>
      <w:bookmarkEnd w:id="61"/>
      <w:bookmarkStart w:id="62" w:name="_Toc184310301"/>
      <w:bookmarkEnd w:id="62"/>
      <w:bookmarkStart w:id="63" w:name="_Toc184314450"/>
      <w:bookmarkEnd w:id="63"/>
      <w:bookmarkStart w:id="64" w:name="_Toc184313290"/>
      <w:bookmarkEnd w:id="64"/>
      <w:bookmarkStart w:id="65" w:name="_Toc184314412"/>
      <w:bookmarkEnd w:id="65"/>
      <w:bookmarkStart w:id="66" w:name="_Toc184308074"/>
      <w:bookmarkEnd w:id="66"/>
      <w:bookmarkStart w:id="67" w:name="_Toc184312120"/>
      <w:bookmarkEnd w:id="67"/>
      <w:bookmarkStart w:id="68" w:name="_Toc184312122"/>
      <w:bookmarkEnd w:id="68"/>
      <w:bookmarkStart w:id="69" w:name="_Toc184312113"/>
      <w:bookmarkEnd w:id="69"/>
      <w:bookmarkStart w:id="70" w:name="_Toc184310335"/>
      <w:bookmarkEnd w:id="70"/>
      <w:bookmarkStart w:id="71" w:name="_Toc184313272"/>
      <w:bookmarkEnd w:id="71"/>
      <w:bookmarkStart w:id="72" w:name="_Toc184313248"/>
      <w:bookmarkEnd w:id="72"/>
      <w:bookmarkStart w:id="73" w:name="_Toc184314456"/>
      <w:bookmarkEnd w:id="73"/>
      <w:bookmarkStart w:id="74" w:name="_Toc184313310"/>
      <w:bookmarkEnd w:id="74"/>
      <w:bookmarkStart w:id="75" w:name="_Toc184312087"/>
      <w:bookmarkEnd w:id="75"/>
      <w:bookmarkStart w:id="76" w:name="_Toc184313285"/>
      <w:bookmarkEnd w:id="76"/>
      <w:bookmarkStart w:id="77" w:name="_Toc184310296"/>
      <w:bookmarkEnd w:id="77"/>
      <w:bookmarkStart w:id="78" w:name="_Toc184313253"/>
      <w:bookmarkEnd w:id="78"/>
      <w:bookmarkStart w:id="79" w:name="_Toc184310280"/>
      <w:bookmarkEnd w:id="79"/>
      <w:bookmarkStart w:id="80" w:name="_Toc184313287"/>
      <w:bookmarkEnd w:id="80"/>
      <w:bookmarkStart w:id="81" w:name="_Toc184313278"/>
      <w:bookmarkEnd w:id="81"/>
      <w:bookmarkStart w:id="82" w:name="_Toc184308104"/>
      <w:bookmarkEnd w:id="82"/>
      <w:bookmarkStart w:id="83" w:name="_Toc184308049"/>
      <w:bookmarkEnd w:id="83"/>
      <w:bookmarkStart w:id="84" w:name="_Toc184312138"/>
      <w:bookmarkEnd w:id="84"/>
      <w:bookmarkStart w:id="85" w:name="_Toc184308068"/>
      <w:bookmarkEnd w:id="85"/>
      <w:bookmarkStart w:id="86" w:name="_Toc184310338"/>
      <w:bookmarkEnd w:id="86"/>
      <w:bookmarkStart w:id="87" w:name="_Toc184313306"/>
      <w:bookmarkEnd w:id="87"/>
      <w:bookmarkStart w:id="88" w:name="_Toc184312133"/>
      <w:bookmarkEnd w:id="88"/>
      <w:bookmarkStart w:id="89" w:name="_Toc184314422"/>
      <w:bookmarkEnd w:id="89"/>
      <w:bookmarkStart w:id="90" w:name="_Toc184314432"/>
      <w:bookmarkEnd w:id="90"/>
      <w:bookmarkStart w:id="91" w:name="_Toc184310281"/>
      <w:bookmarkEnd w:id="91"/>
      <w:bookmarkStart w:id="92" w:name="_Toc184313241"/>
      <w:bookmarkEnd w:id="92"/>
      <w:bookmarkStart w:id="93" w:name="_Toc184313279"/>
      <w:bookmarkEnd w:id="93"/>
      <w:bookmarkStart w:id="94" w:name="_Toc184314441"/>
      <w:bookmarkEnd w:id="94"/>
      <w:bookmarkStart w:id="95" w:name="_Toc184314423"/>
      <w:bookmarkEnd w:id="95"/>
      <w:bookmarkStart w:id="96" w:name="_Toc184314418"/>
      <w:bookmarkEnd w:id="96"/>
      <w:bookmarkStart w:id="97" w:name="_Toc184314421"/>
      <w:bookmarkEnd w:id="97"/>
      <w:bookmarkStart w:id="98" w:name="_Toc184308084"/>
      <w:bookmarkEnd w:id="98"/>
      <w:bookmarkStart w:id="99" w:name="_Toc184314411"/>
      <w:bookmarkEnd w:id="99"/>
      <w:bookmarkStart w:id="100" w:name="_Toc184308079"/>
      <w:bookmarkEnd w:id="100"/>
      <w:bookmarkStart w:id="101" w:name="_Toc184314481"/>
      <w:bookmarkEnd w:id="101"/>
      <w:bookmarkStart w:id="102" w:name="_Toc184314428"/>
      <w:bookmarkEnd w:id="102"/>
      <w:bookmarkStart w:id="103" w:name="_Toc184312074"/>
      <w:bookmarkEnd w:id="103"/>
      <w:bookmarkStart w:id="104" w:name="_Toc184313298"/>
      <w:bookmarkEnd w:id="104"/>
      <w:bookmarkStart w:id="105" w:name="_Toc184310275"/>
      <w:bookmarkEnd w:id="105"/>
      <w:bookmarkStart w:id="106" w:name="_Toc184314466"/>
      <w:bookmarkEnd w:id="106"/>
      <w:bookmarkStart w:id="107" w:name="_Toc184310343"/>
      <w:bookmarkEnd w:id="107"/>
      <w:bookmarkStart w:id="108" w:name="_Toc184312093"/>
      <w:bookmarkEnd w:id="108"/>
      <w:bookmarkStart w:id="109" w:name="_Toc184313305"/>
      <w:bookmarkEnd w:id="109"/>
      <w:bookmarkStart w:id="110" w:name="_Toc184313247"/>
      <w:bookmarkEnd w:id="110"/>
      <w:bookmarkStart w:id="111" w:name="_Toc184308055"/>
      <w:bookmarkEnd w:id="111"/>
      <w:bookmarkStart w:id="112" w:name="_Toc184312105"/>
      <w:bookmarkEnd w:id="112"/>
      <w:bookmarkStart w:id="113" w:name="_Toc184313271"/>
      <w:bookmarkEnd w:id="113"/>
      <w:bookmarkStart w:id="114" w:name="_Toc184314419"/>
      <w:bookmarkEnd w:id="114"/>
      <w:bookmarkStart w:id="115" w:name="_Toc184314445"/>
      <w:bookmarkEnd w:id="115"/>
      <w:bookmarkStart w:id="116" w:name="_Toc184310309"/>
      <w:bookmarkEnd w:id="116"/>
      <w:bookmarkStart w:id="117" w:name="_Toc184312098"/>
      <w:bookmarkEnd w:id="117"/>
      <w:bookmarkStart w:id="118" w:name="_Toc184312070"/>
      <w:bookmarkEnd w:id="118"/>
      <w:bookmarkStart w:id="119" w:name="_Toc184314463"/>
      <w:bookmarkEnd w:id="119"/>
      <w:bookmarkStart w:id="120" w:name="_Toc184308064"/>
      <w:bookmarkEnd w:id="120"/>
      <w:bookmarkStart w:id="121" w:name="_Toc184314440"/>
      <w:bookmarkEnd w:id="121"/>
      <w:bookmarkStart w:id="122" w:name="_Toc184310290"/>
      <w:bookmarkEnd w:id="122"/>
      <w:bookmarkStart w:id="123" w:name="_Toc184310277"/>
      <w:bookmarkEnd w:id="123"/>
      <w:bookmarkStart w:id="124" w:name="_Toc184310318"/>
      <w:bookmarkEnd w:id="124"/>
      <w:bookmarkStart w:id="125" w:name="_Toc184308047"/>
      <w:bookmarkEnd w:id="125"/>
      <w:bookmarkStart w:id="126" w:name="_Toc184310312"/>
      <w:bookmarkEnd w:id="126"/>
      <w:bookmarkStart w:id="127" w:name="_Toc184308096"/>
      <w:bookmarkEnd w:id="127"/>
      <w:bookmarkStart w:id="128" w:name="_Toc184310310"/>
      <w:bookmarkEnd w:id="128"/>
      <w:bookmarkStart w:id="129" w:name="_Toc184314443"/>
      <w:bookmarkEnd w:id="129"/>
      <w:bookmarkStart w:id="130" w:name="_Toc184313282"/>
      <w:bookmarkEnd w:id="130"/>
      <w:bookmarkStart w:id="131" w:name="_Toc184314465"/>
      <w:bookmarkEnd w:id="131"/>
      <w:bookmarkStart w:id="132" w:name="_Toc184312088"/>
      <w:bookmarkEnd w:id="132"/>
      <w:bookmarkStart w:id="133" w:name="_Toc184314453"/>
      <w:bookmarkEnd w:id="133"/>
      <w:bookmarkStart w:id="134" w:name="_Toc184308048"/>
      <w:bookmarkEnd w:id="134"/>
      <w:bookmarkStart w:id="135" w:name="_Toc184308063"/>
      <w:bookmarkEnd w:id="135"/>
      <w:bookmarkStart w:id="136" w:name="_Toc184314447"/>
      <w:bookmarkEnd w:id="136"/>
      <w:bookmarkStart w:id="137" w:name="_Toc184308103"/>
      <w:bookmarkEnd w:id="137"/>
      <w:bookmarkStart w:id="138" w:name="_Toc184313254"/>
      <w:bookmarkEnd w:id="138"/>
      <w:bookmarkStart w:id="139" w:name="_Toc184312096"/>
      <w:bookmarkEnd w:id="139"/>
      <w:bookmarkStart w:id="140" w:name="_Toc184312129"/>
      <w:bookmarkEnd w:id="140"/>
      <w:bookmarkStart w:id="141" w:name="_Toc184314460"/>
      <w:bookmarkEnd w:id="141"/>
      <w:bookmarkStart w:id="142" w:name="_Toc184314416"/>
      <w:bookmarkEnd w:id="142"/>
      <w:bookmarkStart w:id="143" w:name="_Toc184312069"/>
      <w:bookmarkEnd w:id="143"/>
      <w:bookmarkStart w:id="144" w:name="_Toc184312130"/>
      <w:bookmarkEnd w:id="144"/>
      <w:bookmarkStart w:id="145" w:name="_Toc184313303"/>
      <w:bookmarkEnd w:id="145"/>
      <w:bookmarkStart w:id="146" w:name="_Toc184312134"/>
      <w:bookmarkEnd w:id="146"/>
      <w:bookmarkStart w:id="147" w:name="_Toc184308059"/>
      <w:bookmarkEnd w:id="147"/>
      <w:bookmarkStart w:id="148" w:name="_Toc184313273"/>
      <w:bookmarkEnd w:id="148"/>
      <w:bookmarkStart w:id="149" w:name="_Toc184312115"/>
      <w:bookmarkEnd w:id="149"/>
      <w:bookmarkStart w:id="150" w:name="_Toc184313302"/>
      <w:bookmarkEnd w:id="150"/>
      <w:bookmarkStart w:id="151" w:name="_Toc184313301"/>
      <w:bookmarkEnd w:id="151"/>
      <w:bookmarkStart w:id="152" w:name="_Toc184312078"/>
      <w:bookmarkEnd w:id="152"/>
      <w:bookmarkStart w:id="153" w:name="_Toc184313245"/>
      <w:bookmarkEnd w:id="153"/>
      <w:bookmarkStart w:id="154" w:name="_Toc184308042"/>
      <w:bookmarkEnd w:id="154"/>
      <w:bookmarkStart w:id="155" w:name="_Toc184310297"/>
      <w:bookmarkEnd w:id="155"/>
      <w:bookmarkStart w:id="156" w:name="_Toc184312117"/>
      <w:bookmarkEnd w:id="156"/>
      <w:bookmarkStart w:id="157" w:name="_Toc184310344"/>
      <w:bookmarkEnd w:id="157"/>
      <w:bookmarkStart w:id="158" w:name="_Toc184310287"/>
      <w:bookmarkEnd w:id="158"/>
      <w:bookmarkStart w:id="159" w:name="_Toc184310285"/>
      <w:bookmarkEnd w:id="159"/>
      <w:bookmarkStart w:id="160" w:name="_Toc184310340"/>
      <w:bookmarkEnd w:id="160"/>
      <w:bookmarkStart w:id="161" w:name="_Toc184314475"/>
      <w:bookmarkEnd w:id="161"/>
      <w:bookmarkStart w:id="162" w:name="_Toc184310305"/>
      <w:bookmarkEnd w:id="162"/>
      <w:bookmarkStart w:id="163" w:name="_Toc184314410"/>
      <w:bookmarkEnd w:id="163"/>
      <w:bookmarkStart w:id="164" w:name="_Toc184308101"/>
      <w:bookmarkEnd w:id="164"/>
      <w:bookmarkStart w:id="165" w:name="_Toc184310283"/>
      <w:bookmarkEnd w:id="165"/>
      <w:bookmarkStart w:id="166" w:name="_Toc184310324"/>
      <w:bookmarkEnd w:id="166"/>
      <w:bookmarkStart w:id="167" w:name="_Toc184310294"/>
      <w:bookmarkEnd w:id="167"/>
      <w:bookmarkStart w:id="168" w:name="_Toc184313270"/>
      <w:bookmarkEnd w:id="168"/>
      <w:bookmarkStart w:id="169" w:name="_Toc184314426"/>
      <w:bookmarkEnd w:id="169"/>
      <w:bookmarkStart w:id="170" w:name="_Toc184313291"/>
      <w:bookmarkEnd w:id="170"/>
      <w:bookmarkStart w:id="171" w:name="_Toc184312076"/>
      <w:bookmarkEnd w:id="171"/>
      <w:bookmarkStart w:id="172" w:name="_Toc184308051"/>
      <w:bookmarkEnd w:id="172"/>
      <w:bookmarkStart w:id="173" w:name="_Toc184310316"/>
      <w:bookmarkEnd w:id="173"/>
      <w:bookmarkStart w:id="174" w:name="_Toc184312084"/>
      <w:bookmarkEnd w:id="174"/>
      <w:bookmarkStart w:id="175" w:name="_Toc184312132"/>
      <w:bookmarkEnd w:id="175"/>
      <w:bookmarkStart w:id="176" w:name="_Toc184308078"/>
      <w:bookmarkEnd w:id="176"/>
      <w:bookmarkStart w:id="177" w:name="_Toc184314480"/>
      <w:bookmarkEnd w:id="177"/>
      <w:bookmarkStart w:id="178" w:name="_Toc184314451"/>
      <w:bookmarkEnd w:id="178"/>
      <w:bookmarkStart w:id="179" w:name="_Toc184313242"/>
      <w:bookmarkEnd w:id="179"/>
      <w:bookmarkStart w:id="180" w:name="_Toc184313240"/>
      <w:bookmarkEnd w:id="180"/>
      <w:bookmarkStart w:id="181" w:name="_Toc184310276"/>
      <w:bookmarkEnd w:id="181"/>
      <w:bookmarkStart w:id="182" w:name="_Toc184310273"/>
      <w:bookmarkEnd w:id="182"/>
      <w:bookmarkStart w:id="183" w:name="_Toc184310317"/>
      <w:bookmarkEnd w:id="183"/>
      <w:bookmarkStart w:id="184" w:name="_Toc184310315"/>
      <w:bookmarkEnd w:id="184"/>
      <w:bookmarkStart w:id="185" w:name="_Toc184310332"/>
      <w:bookmarkEnd w:id="185"/>
      <w:bookmarkStart w:id="186" w:name="_Toc184310293"/>
      <w:bookmarkEnd w:id="186"/>
      <w:bookmarkStart w:id="187" w:name="_Toc184314429"/>
      <w:bookmarkEnd w:id="187"/>
      <w:bookmarkStart w:id="188" w:name="_Toc184312118"/>
      <w:bookmarkEnd w:id="188"/>
      <w:bookmarkStart w:id="189" w:name="_Toc184314476"/>
      <w:bookmarkEnd w:id="189"/>
      <w:bookmarkStart w:id="190" w:name="_Toc184312083"/>
      <w:bookmarkEnd w:id="190"/>
      <w:bookmarkStart w:id="191" w:name="_Toc184312077"/>
      <w:bookmarkEnd w:id="191"/>
      <w:bookmarkStart w:id="192" w:name="_Toc184314413"/>
      <w:bookmarkEnd w:id="192"/>
      <w:bookmarkStart w:id="193" w:name="_Toc184313307"/>
      <w:bookmarkEnd w:id="193"/>
      <w:bookmarkStart w:id="194" w:name="_Toc184310321"/>
      <w:bookmarkEnd w:id="194"/>
      <w:bookmarkStart w:id="195" w:name="_Toc184310322"/>
      <w:bookmarkEnd w:id="195"/>
      <w:bookmarkStart w:id="196" w:name="_Toc184313274"/>
      <w:bookmarkEnd w:id="196"/>
      <w:bookmarkStart w:id="197" w:name="_Toc184314462"/>
      <w:bookmarkEnd w:id="197"/>
      <w:bookmarkStart w:id="198" w:name="_Toc184312107"/>
      <w:bookmarkEnd w:id="198"/>
      <w:bookmarkStart w:id="199" w:name="_Toc184314425"/>
      <w:bookmarkEnd w:id="199"/>
      <w:bookmarkStart w:id="200" w:name="_Toc184314482"/>
      <w:bookmarkEnd w:id="200"/>
      <w:bookmarkStart w:id="201" w:name="_Toc184312111"/>
      <w:bookmarkEnd w:id="201"/>
      <w:bookmarkStart w:id="202" w:name="_Toc184312104"/>
      <w:bookmarkEnd w:id="202"/>
      <w:bookmarkStart w:id="203" w:name="_Toc184310304"/>
      <w:bookmarkEnd w:id="203"/>
      <w:bookmarkStart w:id="204" w:name="_Toc184314438"/>
      <w:bookmarkEnd w:id="204"/>
      <w:bookmarkStart w:id="205" w:name="_Toc184312085"/>
      <w:bookmarkEnd w:id="205"/>
      <w:bookmarkStart w:id="206" w:name="_Toc184312094"/>
      <w:bookmarkEnd w:id="206"/>
      <w:bookmarkStart w:id="207" w:name="_Toc184308093"/>
      <w:bookmarkEnd w:id="207"/>
      <w:bookmarkStart w:id="208" w:name="_Toc184308069"/>
      <w:bookmarkEnd w:id="208"/>
      <w:bookmarkStart w:id="209" w:name="_Toc184314433"/>
      <w:bookmarkEnd w:id="209"/>
      <w:bookmarkStart w:id="210" w:name="_Toc184310334"/>
      <w:bookmarkEnd w:id="210"/>
      <w:bookmarkStart w:id="211" w:name="_Toc184308092"/>
      <w:bookmarkEnd w:id="211"/>
      <w:bookmarkStart w:id="212" w:name="_Toc184310300"/>
      <w:bookmarkEnd w:id="212"/>
      <w:bookmarkStart w:id="213" w:name="_Toc184310313"/>
      <w:bookmarkEnd w:id="213"/>
      <w:bookmarkStart w:id="214" w:name="_Toc184310289"/>
      <w:bookmarkEnd w:id="214"/>
      <w:bookmarkStart w:id="215" w:name="_Toc184308052"/>
      <w:bookmarkEnd w:id="215"/>
      <w:bookmarkStart w:id="216" w:name="_Toc184310327"/>
      <w:bookmarkEnd w:id="216"/>
      <w:bookmarkStart w:id="217" w:name="_Toc184312071"/>
      <w:bookmarkEnd w:id="217"/>
      <w:bookmarkStart w:id="218" w:name="_Toc184312075"/>
      <w:bookmarkEnd w:id="218"/>
      <w:bookmarkStart w:id="219" w:name="_Toc184313259"/>
      <w:bookmarkEnd w:id="219"/>
      <w:bookmarkStart w:id="220" w:name="_Toc184314477"/>
      <w:bookmarkEnd w:id="220"/>
      <w:bookmarkStart w:id="221" w:name="_Toc184313251"/>
      <w:bookmarkEnd w:id="221"/>
      <w:bookmarkStart w:id="222" w:name="_Toc184308100"/>
      <w:bookmarkEnd w:id="222"/>
      <w:bookmarkStart w:id="223" w:name="_Toc184308071"/>
      <w:bookmarkEnd w:id="223"/>
      <w:bookmarkStart w:id="224" w:name="_Toc184308089"/>
      <w:bookmarkEnd w:id="224"/>
      <w:bookmarkStart w:id="225" w:name="_Toc184314471"/>
      <w:bookmarkEnd w:id="225"/>
      <w:bookmarkStart w:id="226" w:name="_Toc184312109"/>
      <w:bookmarkEnd w:id="226"/>
      <w:bookmarkStart w:id="227" w:name="_Toc184308097"/>
      <w:bookmarkEnd w:id="227"/>
      <w:bookmarkStart w:id="228" w:name="_Toc184310292"/>
      <w:bookmarkEnd w:id="228"/>
      <w:bookmarkStart w:id="229" w:name="_Toc184314457"/>
      <w:bookmarkEnd w:id="229"/>
      <w:bookmarkStart w:id="230" w:name="_Toc184313257"/>
      <w:bookmarkEnd w:id="230"/>
      <w:bookmarkStart w:id="231" w:name="_Toc184314472"/>
      <w:bookmarkEnd w:id="231"/>
      <w:bookmarkStart w:id="232" w:name="_Toc184308098"/>
      <w:bookmarkEnd w:id="232"/>
      <w:bookmarkStart w:id="233" w:name="_Toc184308077"/>
      <w:bookmarkEnd w:id="233"/>
      <w:bookmarkStart w:id="234" w:name="_Toc184313239"/>
      <w:bookmarkEnd w:id="234"/>
      <w:bookmarkStart w:id="235" w:name="_Toc184313264"/>
      <w:bookmarkEnd w:id="235"/>
      <w:bookmarkStart w:id="236" w:name="_Toc184308065"/>
      <w:bookmarkEnd w:id="236"/>
      <w:bookmarkStart w:id="237" w:name="_Toc184308085"/>
      <w:bookmarkEnd w:id="237"/>
      <w:bookmarkStart w:id="238" w:name="_Toc184314473"/>
      <w:bookmarkEnd w:id="238"/>
      <w:bookmarkStart w:id="239" w:name="_Toc184313286"/>
      <w:bookmarkEnd w:id="239"/>
      <w:bookmarkStart w:id="240" w:name="_Toc184310333"/>
      <w:bookmarkEnd w:id="240"/>
      <w:bookmarkStart w:id="241" w:name="_Toc184310302"/>
      <w:bookmarkEnd w:id="241"/>
      <w:bookmarkStart w:id="242" w:name="_Toc184308088"/>
      <w:bookmarkEnd w:id="242"/>
      <w:bookmarkStart w:id="243" w:name="_Toc184308050"/>
      <w:bookmarkEnd w:id="243"/>
      <w:bookmarkStart w:id="244" w:name="_Toc184313288"/>
      <w:bookmarkEnd w:id="244"/>
      <w:bookmarkStart w:id="245" w:name="_Toc184310337"/>
      <w:bookmarkEnd w:id="245"/>
      <w:bookmarkStart w:id="246" w:name="_Toc184312103"/>
      <w:bookmarkEnd w:id="246"/>
      <w:bookmarkStart w:id="247" w:name="_Toc184308080"/>
      <w:bookmarkEnd w:id="247"/>
      <w:bookmarkStart w:id="248" w:name="_Toc184314444"/>
      <w:bookmarkEnd w:id="248"/>
      <w:bookmarkStart w:id="249" w:name="_Toc184308086"/>
      <w:bookmarkEnd w:id="249"/>
      <w:bookmarkStart w:id="250" w:name="_Toc184314464"/>
      <w:bookmarkEnd w:id="250"/>
      <w:bookmarkStart w:id="251" w:name="_Toc184308076"/>
      <w:bookmarkEnd w:id="251"/>
      <w:bookmarkStart w:id="252" w:name="_Toc184308041"/>
      <w:bookmarkEnd w:id="252"/>
      <w:bookmarkStart w:id="253" w:name="_Toc184310314"/>
      <w:bookmarkEnd w:id="253"/>
      <w:bookmarkStart w:id="254" w:name="_Toc184310286"/>
      <w:bookmarkEnd w:id="254"/>
      <w:bookmarkStart w:id="255" w:name="_Toc184308056"/>
      <w:bookmarkEnd w:id="255"/>
      <w:bookmarkStart w:id="256" w:name="_Toc184308038"/>
      <w:bookmarkEnd w:id="256"/>
      <w:bookmarkStart w:id="257" w:name="_Toc184313256"/>
      <w:bookmarkEnd w:id="257"/>
      <w:bookmarkStart w:id="258" w:name="_Toc184313292"/>
      <w:bookmarkEnd w:id="258"/>
      <w:bookmarkStart w:id="259" w:name="_Toc184314467"/>
      <w:bookmarkEnd w:id="259"/>
      <w:bookmarkStart w:id="260" w:name="_Toc184314430"/>
      <w:bookmarkEnd w:id="260"/>
      <w:bookmarkStart w:id="261" w:name="_Toc184312124"/>
      <w:bookmarkEnd w:id="261"/>
      <w:bookmarkStart w:id="262" w:name="_Toc184312125"/>
      <w:bookmarkEnd w:id="262"/>
      <w:bookmarkStart w:id="263" w:name="_Toc184310341"/>
      <w:bookmarkEnd w:id="263"/>
      <w:bookmarkStart w:id="264" w:name="_Toc184308039"/>
      <w:bookmarkEnd w:id="264"/>
      <w:bookmarkStart w:id="265" w:name="_Toc184312131"/>
      <w:bookmarkEnd w:id="265"/>
      <w:bookmarkStart w:id="266" w:name="_Toc184312135"/>
      <w:bookmarkEnd w:id="266"/>
      <w:bookmarkStart w:id="267" w:name="_Toc184314452"/>
      <w:bookmarkEnd w:id="267"/>
      <w:bookmarkStart w:id="268" w:name="_Toc184312114"/>
      <w:bookmarkEnd w:id="268"/>
      <w:bookmarkStart w:id="269" w:name="_Toc184314436"/>
      <w:bookmarkEnd w:id="269"/>
      <w:bookmarkStart w:id="270" w:name="_Toc184313289"/>
      <w:bookmarkEnd w:id="270"/>
      <w:bookmarkStart w:id="271" w:name="_Toc184312136"/>
      <w:bookmarkEnd w:id="271"/>
      <w:bookmarkStart w:id="272" w:name="_Toc184314439"/>
      <w:bookmarkEnd w:id="272"/>
      <w:bookmarkStart w:id="273" w:name="_Toc184308036"/>
      <w:bookmarkEnd w:id="273"/>
      <w:bookmarkStart w:id="274" w:name="_Toc184313243"/>
      <w:bookmarkEnd w:id="274"/>
      <w:bookmarkStart w:id="275" w:name="_Toc184313308"/>
      <w:bookmarkEnd w:id="275"/>
      <w:bookmarkStart w:id="276" w:name="_Toc184313309"/>
      <w:bookmarkEnd w:id="276"/>
      <w:bookmarkStart w:id="277" w:name="_Toc184313255"/>
      <w:bookmarkEnd w:id="277"/>
      <w:bookmarkStart w:id="278" w:name="_Toc184310331"/>
      <w:bookmarkEnd w:id="278"/>
      <w:bookmarkStart w:id="279" w:name="_Toc184313304"/>
      <w:bookmarkEnd w:id="279"/>
      <w:bookmarkStart w:id="280" w:name="_Toc184310311"/>
      <w:bookmarkEnd w:id="280"/>
      <w:bookmarkStart w:id="281" w:name="_Toc184313281"/>
      <w:bookmarkEnd w:id="281"/>
      <w:bookmarkStart w:id="282" w:name="_Toc184310339"/>
      <w:bookmarkEnd w:id="282"/>
      <w:bookmarkStart w:id="283" w:name="_Toc184308057"/>
      <w:bookmarkEnd w:id="283"/>
      <w:bookmarkStart w:id="284" w:name="_Toc184310307"/>
      <w:bookmarkEnd w:id="284"/>
      <w:bookmarkStart w:id="285" w:name="_Toc184313297"/>
      <w:bookmarkEnd w:id="285"/>
      <w:bookmarkStart w:id="286" w:name="_Toc184313277"/>
      <w:bookmarkEnd w:id="286"/>
      <w:bookmarkStart w:id="287" w:name="_Toc184313295"/>
      <w:bookmarkEnd w:id="287"/>
      <w:bookmarkStart w:id="288" w:name="_Toc184308058"/>
      <w:bookmarkEnd w:id="288"/>
      <w:bookmarkStart w:id="289" w:name="_Toc184310320"/>
      <w:bookmarkEnd w:id="289"/>
      <w:bookmarkStart w:id="290" w:name="_Toc184308091"/>
      <w:bookmarkEnd w:id="290"/>
      <w:bookmarkStart w:id="291" w:name="_Toc184308107"/>
      <w:bookmarkEnd w:id="291"/>
      <w:bookmarkStart w:id="292" w:name="_Toc184313252"/>
      <w:bookmarkEnd w:id="292"/>
      <w:bookmarkStart w:id="293" w:name="_Toc184312106"/>
      <w:bookmarkEnd w:id="293"/>
      <w:bookmarkStart w:id="294" w:name="_Toc184310336"/>
      <w:bookmarkEnd w:id="294"/>
      <w:bookmarkStart w:id="295" w:name="_Toc184313267"/>
      <w:bookmarkEnd w:id="295"/>
      <w:bookmarkStart w:id="296" w:name="_Toc184310329"/>
      <w:bookmarkEnd w:id="296"/>
      <w:bookmarkStart w:id="297" w:name="_Toc184308040"/>
      <w:bookmarkEnd w:id="297"/>
      <w:bookmarkStart w:id="298" w:name="_Toc184313280"/>
      <w:bookmarkEnd w:id="298"/>
      <w:bookmarkStart w:id="299" w:name="_Toc184308094"/>
      <w:bookmarkEnd w:id="299"/>
      <w:bookmarkStart w:id="300" w:name="_Toc184313260"/>
      <w:bookmarkEnd w:id="300"/>
      <w:bookmarkStart w:id="301" w:name="_Toc184308105"/>
      <w:bookmarkEnd w:id="301"/>
      <w:bookmarkStart w:id="302" w:name="_Toc184308108"/>
      <w:bookmarkEnd w:id="302"/>
      <w:bookmarkStart w:id="303" w:name="_Toc184312137"/>
      <w:bookmarkEnd w:id="303"/>
      <w:bookmarkStart w:id="304" w:name="_Toc184312095"/>
      <w:bookmarkEnd w:id="304"/>
      <w:bookmarkStart w:id="305" w:name="_Toc184314468"/>
      <w:bookmarkEnd w:id="305"/>
      <w:bookmarkStart w:id="306" w:name="_Toc184313294"/>
      <w:bookmarkEnd w:id="306"/>
      <w:bookmarkStart w:id="307" w:name="_Toc184314455"/>
      <w:bookmarkEnd w:id="307"/>
      <w:bookmarkStart w:id="308" w:name="_Toc184314434"/>
      <w:bookmarkEnd w:id="308"/>
      <w:bookmarkStart w:id="309" w:name="_Toc184314435"/>
      <w:bookmarkEnd w:id="309"/>
      <w:bookmarkStart w:id="310" w:name="_Toc184314469"/>
      <w:bookmarkEnd w:id="310"/>
      <w:bookmarkStart w:id="311" w:name="_Toc184312099"/>
      <w:bookmarkEnd w:id="311"/>
      <w:bookmarkStart w:id="312" w:name="_Toc184314431"/>
      <w:bookmarkEnd w:id="312"/>
      <w:bookmarkStart w:id="313" w:name="_Toc184313296"/>
      <w:bookmarkEnd w:id="313"/>
      <w:bookmarkStart w:id="314" w:name="_Toc184310298"/>
      <w:bookmarkEnd w:id="314"/>
      <w:bookmarkStart w:id="315" w:name="_Toc184314470"/>
      <w:bookmarkEnd w:id="315"/>
      <w:bookmarkStart w:id="316" w:name="_Toc184310279"/>
      <w:bookmarkEnd w:id="316"/>
      <w:bookmarkStart w:id="317" w:name="_Toc184312116"/>
      <w:bookmarkEnd w:id="317"/>
      <w:bookmarkStart w:id="318" w:name="_Toc184312092"/>
      <w:bookmarkEnd w:id="318"/>
      <w:bookmarkStart w:id="319" w:name="_Toc184310330"/>
      <w:bookmarkEnd w:id="319"/>
      <w:bookmarkStart w:id="320" w:name="_Toc184310299"/>
      <w:bookmarkEnd w:id="320"/>
      <w:bookmarkStart w:id="321" w:name="_Toc184310328"/>
      <w:bookmarkEnd w:id="321"/>
      <w:bookmarkStart w:id="322" w:name="_Toc184314449"/>
      <w:bookmarkEnd w:id="322"/>
      <w:bookmarkStart w:id="323" w:name="_Toc184312123"/>
      <w:bookmarkEnd w:id="323"/>
      <w:bookmarkStart w:id="324" w:name="_Toc184313299"/>
      <w:bookmarkEnd w:id="324"/>
      <w:bookmarkStart w:id="325" w:name="_Toc184308045"/>
      <w:bookmarkEnd w:id="325"/>
      <w:bookmarkStart w:id="326" w:name="_Toc184310291"/>
      <w:bookmarkEnd w:id="326"/>
      <w:bookmarkStart w:id="327" w:name="_Toc184313300"/>
      <w:bookmarkEnd w:id="327"/>
      <w:bookmarkStart w:id="328" w:name="_Toc184310308"/>
      <w:bookmarkEnd w:id="328"/>
      <w:bookmarkStart w:id="329" w:name="_Toc184313244"/>
      <w:bookmarkEnd w:id="329"/>
      <w:bookmarkStart w:id="330" w:name="_Toc184310274"/>
      <w:bookmarkEnd w:id="330"/>
      <w:bookmarkStart w:id="331" w:name="_Toc184312119"/>
      <w:bookmarkEnd w:id="331"/>
      <w:bookmarkStart w:id="332" w:name="_Toc184314461"/>
      <w:bookmarkEnd w:id="332"/>
      <w:bookmarkStart w:id="333" w:name="_Toc184312089"/>
      <w:bookmarkEnd w:id="333"/>
      <w:bookmarkStart w:id="334" w:name="_Toc184312082"/>
      <w:bookmarkEnd w:id="334"/>
      <w:bookmarkStart w:id="335" w:name="_Toc184310303"/>
      <w:bookmarkEnd w:id="335"/>
      <w:bookmarkStart w:id="336" w:name="_Toc184314424"/>
      <w:bookmarkEnd w:id="336"/>
      <w:bookmarkStart w:id="337" w:name="_Toc184314446"/>
      <w:bookmarkEnd w:id="337"/>
      <w:bookmarkStart w:id="338" w:name="_Toc184310326"/>
      <w:bookmarkEnd w:id="338"/>
      <w:bookmarkStart w:id="339" w:name="_Toc184312121"/>
      <w:bookmarkEnd w:id="339"/>
      <w:bookmarkStart w:id="340" w:name="_Toc184313275"/>
      <w:bookmarkEnd w:id="340"/>
      <w:bookmarkStart w:id="341" w:name="_Toc184308037"/>
      <w:bookmarkEnd w:id="341"/>
      <w:bookmarkStart w:id="342" w:name="_Toc184312068"/>
      <w:bookmarkEnd w:id="342"/>
      <w:bookmarkStart w:id="343" w:name="_Toc184310278"/>
      <w:bookmarkEnd w:id="343"/>
      <w:bookmarkStart w:id="344" w:name="_Toc184308060"/>
      <w:bookmarkEnd w:id="344"/>
      <w:bookmarkStart w:id="345" w:name="_Toc184312101"/>
      <w:bookmarkEnd w:id="345"/>
      <w:bookmarkStart w:id="346" w:name="_Toc184310342"/>
      <w:bookmarkEnd w:id="346"/>
      <w:bookmarkStart w:id="347" w:name="_Toc184312110"/>
      <w:bookmarkEnd w:id="347"/>
      <w:bookmarkStart w:id="348" w:name="_Toc184312079"/>
      <w:bookmarkEnd w:id="348"/>
      <w:bookmarkStart w:id="349" w:name="_Toc184308090"/>
      <w:bookmarkEnd w:id="349"/>
      <w:bookmarkStart w:id="350" w:name="_Toc184312091"/>
      <w:bookmarkEnd w:id="350"/>
      <w:bookmarkStart w:id="351" w:name="_Toc184313246"/>
      <w:bookmarkEnd w:id="351"/>
      <w:bookmarkStart w:id="352" w:name="_Toc184310282"/>
      <w:bookmarkEnd w:id="352"/>
      <w:bookmarkStart w:id="353" w:name="_Toc184310288"/>
      <w:bookmarkEnd w:id="353"/>
      <w:bookmarkStart w:id="354" w:name="_Toc184308053"/>
      <w:bookmarkEnd w:id="354"/>
      <w:bookmarkStart w:id="355" w:name="_Toc184310319"/>
      <w:bookmarkEnd w:id="355"/>
      <w:bookmarkStart w:id="356" w:name="_Toc184308099"/>
      <w:bookmarkEnd w:id="356"/>
      <w:bookmarkStart w:id="357" w:name="_Toc184313269"/>
      <w:bookmarkEnd w:id="357"/>
      <w:bookmarkStart w:id="358" w:name="_Toc184310306"/>
      <w:bookmarkEnd w:id="358"/>
      <w:bookmarkStart w:id="359" w:name="_Toc184308062"/>
      <w:bookmarkEnd w:id="359"/>
      <w:bookmarkStart w:id="360" w:name="_Toc184308066"/>
      <w:bookmarkEnd w:id="360"/>
      <w:bookmarkStart w:id="361" w:name="_Toc184308070"/>
      <w:bookmarkEnd w:id="361"/>
      <w:bookmarkStart w:id="362" w:name="_Toc184310325"/>
      <w:bookmarkEnd w:id="362"/>
      <w:bookmarkStart w:id="363" w:name="_Toc184312139"/>
      <w:bookmarkEnd w:id="363"/>
      <w:bookmarkStart w:id="364" w:name="_Toc184313265"/>
      <w:bookmarkEnd w:id="364"/>
      <w:bookmarkStart w:id="365" w:name="_Toc184308087"/>
      <w:bookmarkEnd w:id="365"/>
      <w:bookmarkStart w:id="366" w:name="_Toc184308102"/>
      <w:bookmarkEnd w:id="366"/>
      <w:bookmarkStart w:id="367" w:name="_Toc184314442"/>
      <w:bookmarkEnd w:id="367"/>
      <w:bookmarkStart w:id="368" w:name="_Toc184308054"/>
      <w:bookmarkEnd w:id="368"/>
      <w:bookmarkStart w:id="369" w:name="_Toc184314478"/>
      <w:bookmarkEnd w:id="369"/>
      <w:bookmarkStart w:id="370" w:name="_Toc184314454"/>
      <w:bookmarkEnd w:id="370"/>
      <w:bookmarkStart w:id="371" w:name="_Toc184308075"/>
      <w:bookmarkEnd w:id="371"/>
      <w:bookmarkStart w:id="372" w:name="_Toc184314479"/>
      <w:bookmarkEnd w:id="372"/>
      <w:bookmarkStart w:id="373" w:name="_Toc184314459"/>
      <w:bookmarkEnd w:id="373"/>
      <w:bookmarkStart w:id="374" w:name="_Toc184310295"/>
      <w:bookmarkEnd w:id="374"/>
      <w:bookmarkStart w:id="375" w:name="_Toc184313276"/>
      <w:bookmarkEnd w:id="375"/>
      <w:bookmarkStart w:id="376" w:name="_Toc184312102"/>
      <w:bookmarkEnd w:id="376"/>
      <w:bookmarkStart w:id="377" w:name="_Toc184312080"/>
      <w:bookmarkEnd w:id="377"/>
      <w:bookmarkStart w:id="378" w:name="_Toc184313266"/>
      <w:bookmarkEnd w:id="378"/>
      <w:bookmarkStart w:id="379" w:name="_Toc184312090"/>
      <w:bookmarkEnd w:id="379"/>
      <w:bookmarkStart w:id="380" w:name="_Toc184314414"/>
      <w:bookmarkEnd w:id="380"/>
      <w:bookmarkStart w:id="381" w:name="_Toc184313249"/>
      <w:bookmarkEnd w:id="381"/>
      <w:bookmarkStart w:id="382" w:name="_Toc184313284"/>
      <w:bookmarkEnd w:id="382"/>
      <w:bookmarkStart w:id="383" w:name="_Toc184312100"/>
      <w:bookmarkEnd w:id="383"/>
      <w:bookmarkStart w:id="384" w:name="_Toc184313283"/>
      <w:bookmarkEnd w:id="384"/>
      <w:bookmarkStart w:id="385" w:name="_Toc184308061"/>
      <w:bookmarkEnd w:id="385"/>
      <w:bookmarkStart w:id="386" w:name="_Toc184308067"/>
      <w:bookmarkEnd w:id="386"/>
      <w:bookmarkStart w:id="387" w:name="_Toc184312128"/>
      <w:bookmarkEnd w:id="387"/>
      <w:bookmarkStart w:id="388" w:name="_Toc184314417"/>
      <w:bookmarkEnd w:id="388"/>
      <w:bookmarkStart w:id="389" w:name="_Toc184308081"/>
      <w:bookmarkEnd w:id="389"/>
      <w:bookmarkStart w:id="390" w:name="_Toc184312067"/>
      <w:bookmarkEnd w:id="390"/>
      <w:bookmarkStart w:id="391" w:name="_Toc184308083"/>
      <w:bookmarkEnd w:id="391"/>
      <w:bookmarkStart w:id="392" w:name="_Toc184313262"/>
      <w:bookmarkEnd w:id="392"/>
      <w:bookmarkStart w:id="393" w:name="_Toc184312072"/>
      <w:bookmarkEnd w:id="393"/>
      <w:bookmarkStart w:id="394" w:name="_Toc184308095"/>
      <w:bookmarkEnd w:id="394"/>
      <w:bookmarkStart w:id="395" w:name="_Toc184312127"/>
      <w:bookmarkEnd w:id="395"/>
      <w:bookmarkStart w:id="396" w:name="_Toc184314474"/>
      <w:bookmarkEnd w:id="396"/>
      <w:bookmarkStart w:id="397" w:name="_Toc184308046"/>
      <w:bookmarkEnd w:id="397"/>
      <w:bookmarkStart w:id="398" w:name="_Toc184313268"/>
      <w:bookmarkEnd w:id="398"/>
      <w:bookmarkStart w:id="399" w:name="_Toc184314448"/>
      <w:bookmarkEnd w:id="399"/>
      <w:bookmarkStart w:id="400" w:name="_Toc184308043"/>
      <w:bookmarkEnd w:id="400"/>
      <w:bookmarkStart w:id="401" w:name="_Toc184312081"/>
      <w:bookmarkEnd w:id="401"/>
      <w:bookmarkStart w:id="402" w:name="_Toc184310284"/>
      <w:bookmarkEnd w:id="402"/>
      <w:bookmarkStart w:id="403" w:name="_Toc184314458"/>
      <w:bookmarkEnd w:id="403"/>
      <w:bookmarkStart w:id="404" w:name="_Toc184312086"/>
      <w:bookmarkEnd w:id="404"/>
      <w:bookmarkStart w:id="405" w:name="_Toc184314427"/>
      <w:bookmarkEnd w:id="405"/>
      <w:bookmarkStart w:id="406" w:name="_Toc184314420"/>
      <w:bookmarkEnd w:id="406"/>
      <w:bookmarkStart w:id="407" w:name="_Toc184312108"/>
      <w:bookmarkEnd w:id="407"/>
      <w:r>
        <w:rPr>
          <w:rStyle w:val="90"/>
          <w:rFonts w:hint="eastAsia" w:ascii="仿宋_GB2312" w:hAnsi="仿宋_GB2312" w:eastAsia="仿宋_GB2312" w:cs="仿宋_GB2312"/>
          <w:color w:val="auto"/>
          <w:highlight w:val="none"/>
        </w:rPr>
        <w:t>评标办法</w:t>
      </w:r>
    </w:p>
    <w:p w14:paraId="5DD4C756">
      <w:pPr>
        <w:snapToGrid w:val="0"/>
        <w:spacing w:line="360" w:lineRule="auto"/>
        <w:ind w:firstLine="2891" w:firstLineChars="900"/>
        <w:jc w:val="both"/>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评标办法前附表</w:t>
      </w:r>
    </w:p>
    <w:tbl>
      <w:tblPr>
        <w:tblStyle w:val="70"/>
        <w:tblW w:w="9879" w:type="dxa"/>
        <w:jc w:val="center"/>
        <w:tblLayout w:type="fixed"/>
        <w:tblCellMar>
          <w:top w:w="0" w:type="dxa"/>
          <w:left w:w="108" w:type="dxa"/>
          <w:bottom w:w="0" w:type="dxa"/>
          <w:right w:w="108" w:type="dxa"/>
        </w:tblCellMar>
      </w:tblPr>
      <w:tblGrid>
        <w:gridCol w:w="746"/>
        <w:gridCol w:w="1489"/>
        <w:gridCol w:w="6424"/>
        <w:gridCol w:w="1220"/>
      </w:tblGrid>
      <w:tr w14:paraId="25F3789C">
        <w:tblPrEx>
          <w:tblCellMar>
            <w:top w:w="0" w:type="dxa"/>
            <w:left w:w="108" w:type="dxa"/>
            <w:bottom w:w="0" w:type="dxa"/>
            <w:right w:w="108" w:type="dxa"/>
          </w:tblCellMar>
        </w:tblPrEx>
        <w:trPr>
          <w:trHeight w:val="670"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B47F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3AF6C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424" w:type="dxa"/>
            <w:tcBorders>
              <w:top w:val="single" w:color="auto" w:sz="4" w:space="0"/>
              <w:left w:val="nil"/>
              <w:bottom w:val="single" w:color="auto" w:sz="4" w:space="0"/>
              <w:right w:val="single" w:color="auto" w:sz="4" w:space="0"/>
            </w:tcBorders>
            <w:noWrap w:val="0"/>
            <w:vAlign w:val="center"/>
          </w:tcPr>
          <w:p w14:paraId="35432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评分标准</w:t>
            </w:r>
          </w:p>
        </w:tc>
        <w:tc>
          <w:tcPr>
            <w:tcW w:w="1220" w:type="dxa"/>
            <w:tcBorders>
              <w:top w:val="single" w:color="auto" w:sz="4" w:space="0"/>
              <w:left w:val="nil"/>
              <w:bottom w:val="single" w:color="auto" w:sz="4" w:space="0"/>
              <w:right w:val="single" w:color="auto" w:sz="4" w:space="0"/>
            </w:tcBorders>
            <w:noWrap w:val="0"/>
            <w:vAlign w:val="center"/>
          </w:tcPr>
          <w:p w14:paraId="12804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r>
      <w:tr w14:paraId="72778A00">
        <w:tblPrEx>
          <w:tblCellMar>
            <w:top w:w="0" w:type="dxa"/>
            <w:left w:w="108" w:type="dxa"/>
            <w:bottom w:w="0" w:type="dxa"/>
            <w:right w:w="108" w:type="dxa"/>
          </w:tblCellMar>
        </w:tblPrEx>
        <w:trPr>
          <w:trHeight w:val="1921"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4AE0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C93524B">
            <w:pPr>
              <w:pStyle w:val="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同类业绩</w:t>
            </w:r>
          </w:p>
        </w:tc>
        <w:tc>
          <w:tcPr>
            <w:tcW w:w="6424" w:type="dxa"/>
            <w:tcBorders>
              <w:top w:val="single" w:color="auto" w:sz="4" w:space="0"/>
              <w:left w:val="nil"/>
              <w:bottom w:val="single" w:color="auto" w:sz="4" w:space="0"/>
              <w:right w:val="single" w:color="auto" w:sz="4" w:space="0"/>
            </w:tcBorders>
            <w:noWrap w:val="0"/>
            <w:vAlign w:val="center"/>
          </w:tcPr>
          <w:p w14:paraId="0C706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自20</w:t>
            </w:r>
            <w:r>
              <w:rPr>
                <w:rFonts w:hint="eastAsia" w:ascii="宋体" w:hAnsi="宋体" w:cs="宋体"/>
                <w:color w:val="auto"/>
                <w:spacing w:val="-6"/>
                <w:sz w:val="21"/>
                <w:szCs w:val="21"/>
                <w:highlight w:val="none"/>
                <w:lang w:val="en-US" w:eastAsia="zh-CN"/>
              </w:rPr>
              <w:t>20</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val="en-US" w:eastAsia="zh-CN"/>
              </w:rPr>
              <w:t>7</w:t>
            </w:r>
            <w:r>
              <w:rPr>
                <w:rFonts w:hint="eastAsia" w:ascii="宋体" w:hAnsi="宋体" w:eastAsia="宋体" w:cs="宋体"/>
                <w:color w:val="auto"/>
                <w:spacing w:val="-6"/>
                <w:sz w:val="21"/>
                <w:szCs w:val="21"/>
                <w:highlight w:val="none"/>
              </w:rPr>
              <w:t>月1日以来至投标截止日（以合同签订时间为准），</w:t>
            </w:r>
            <w:r>
              <w:rPr>
                <w:rFonts w:hint="eastAsia" w:ascii="宋体" w:hAnsi="宋体" w:eastAsia="宋体" w:cs="宋体"/>
                <w:color w:val="auto"/>
                <w:spacing w:val="-6"/>
                <w:sz w:val="21"/>
                <w:szCs w:val="21"/>
                <w:highlight w:val="none"/>
                <w:lang w:val="en-US" w:eastAsia="zh-CN"/>
              </w:rPr>
              <w:t>投标人</w:t>
            </w:r>
            <w:r>
              <w:rPr>
                <w:rFonts w:hint="eastAsia" w:ascii="宋体" w:hAnsi="宋体" w:eastAsia="宋体" w:cs="宋体"/>
                <w:color w:val="auto"/>
                <w:sz w:val="21"/>
                <w:szCs w:val="21"/>
                <w:highlight w:val="none"/>
              </w:rPr>
              <w:t>已完成</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光伏发电项目的业绩</w:t>
            </w:r>
            <w:r>
              <w:rPr>
                <w:rFonts w:hint="eastAsia" w:ascii="宋体" w:hAnsi="宋体" w:eastAsia="宋体" w:cs="宋体"/>
                <w:color w:val="auto"/>
                <w:spacing w:val="-6"/>
                <w:sz w:val="21"/>
                <w:szCs w:val="21"/>
                <w:highlight w:val="none"/>
              </w:rPr>
              <w:t>，每提供一个得</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分，最高得</w:t>
            </w: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rPr>
              <w:t>分。</w:t>
            </w:r>
          </w:p>
          <w:p w14:paraId="0E8F2922">
            <w:pPr>
              <w:pStyle w:val="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证明材料须同时提供施工合同和电力部门出具的并网验收单</w:t>
            </w:r>
            <w:r>
              <w:rPr>
                <w:rFonts w:hint="eastAsia" w:ascii="宋体" w:hAnsi="宋体" w:eastAsia="宋体" w:cs="宋体"/>
                <w:b/>
                <w:bCs/>
                <w:color w:val="auto"/>
                <w:sz w:val="21"/>
                <w:szCs w:val="21"/>
                <w:highlight w:val="none"/>
                <w:lang w:val="en-US" w:eastAsia="zh-CN"/>
              </w:rPr>
              <w:t>并加盖单位公章</w:t>
            </w:r>
            <w:r>
              <w:rPr>
                <w:rFonts w:hint="eastAsia" w:ascii="宋体" w:hAnsi="宋体" w:eastAsia="宋体" w:cs="宋体"/>
                <w:b/>
                <w:bCs/>
                <w:color w:val="auto"/>
                <w:sz w:val="21"/>
                <w:szCs w:val="21"/>
                <w:highlight w:val="none"/>
              </w:rPr>
              <w:t>。</w:t>
            </w:r>
          </w:p>
        </w:tc>
        <w:tc>
          <w:tcPr>
            <w:tcW w:w="1220" w:type="dxa"/>
            <w:tcBorders>
              <w:top w:val="single" w:color="auto" w:sz="4" w:space="0"/>
              <w:left w:val="nil"/>
              <w:bottom w:val="single" w:color="auto" w:sz="4" w:space="0"/>
              <w:right w:val="single" w:color="auto" w:sz="4" w:space="0"/>
            </w:tcBorders>
            <w:noWrap w:val="0"/>
            <w:vAlign w:val="center"/>
          </w:tcPr>
          <w:p w14:paraId="06C642BD">
            <w:pPr>
              <w:pStyle w:val="99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527" w:leftChars="0" w:right="0" w:firstLine="527"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0-3</w:t>
            </w:r>
            <w:r>
              <w:rPr>
                <w:rFonts w:hint="eastAsia" w:ascii="宋体" w:hAnsi="宋体" w:eastAsia="宋体" w:cs="宋体"/>
                <w:color w:val="auto"/>
                <w:kern w:val="2"/>
                <w:sz w:val="21"/>
                <w:szCs w:val="21"/>
                <w:highlight w:val="none"/>
              </w:rPr>
              <w:t>分</w:t>
            </w:r>
          </w:p>
        </w:tc>
      </w:tr>
      <w:tr w14:paraId="18158CBE">
        <w:tblPrEx>
          <w:tblCellMar>
            <w:top w:w="0" w:type="dxa"/>
            <w:left w:w="108" w:type="dxa"/>
            <w:bottom w:w="0" w:type="dxa"/>
            <w:right w:w="108" w:type="dxa"/>
          </w:tblCellMar>
        </w:tblPrEx>
        <w:trPr>
          <w:trHeight w:val="90"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9B4D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4B6A894">
            <w:pPr>
              <w:pStyle w:val="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综合实力</w:t>
            </w:r>
          </w:p>
        </w:tc>
        <w:tc>
          <w:tcPr>
            <w:tcW w:w="6424" w:type="dxa"/>
            <w:tcBorders>
              <w:top w:val="single" w:color="auto" w:sz="4" w:space="0"/>
              <w:left w:val="nil"/>
              <w:bottom w:val="single" w:color="auto" w:sz="4" w:space="0"/>
              <w:right w:val="single" w:color="auto" w:sz="4" w:space="0"/>
            </w:tcBorders>
            <w:noWrap w:val="0"/>
            <w:vAlign w:val="center"/>
          </w:tcPr>
          <w:p w14:paraId="01C9C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①投标人具有</w:t>
            </w:r>
            <w:r>
              <w:rPr>
                <w:rFonts w:hint="eastAsia" w:ascii="宋体" w:hAnsi="宋体" w:eastAsia="宋体" w:cs="宋体"/>
                <w:color w:val="auto"/>
                <w:sz w:val="21"/>
                <w:szCs w:val="21"/>
                <w:highlight w:val="none"/>
              </w:rPr>
              <w:t>电力工程施工总承包</w:t>
            </w:r>
            <w:r>
              <w:rPr>
                <w:rFonts w:hint="eastAsia" w:ascii="宋体" w:hAnsi="宋体" w:eastAsia="宋体" w:cs="宋体"/>
                <w:color w:val="auto"/>
                <w:sz w:val="21"/>
                <w:szCs w:val="21"/>
                <w:highlight w:val="none"/>
                <w:lang w:val="en-US" w:eastAsia="zh-CN"/>
              </w:rPr>
              <w:t>三级及以上资质的或</w:t>
            </w:r>
            <w:r>
              <w:rPr>
                <w:rFonts w:hint="eastAsia" w:ascii="宋体" w:hAnsi="宋体" w:eastAsia="宋体" w:cs="宋体"/>
                <w:color w:val="auto"/>
                <w:sz w:val="21"/>
                <w:szCs w:val="21"/>
                <w:highlight w:val="none"/>
                <w:lang w:eastAsia="zh-CN"/>
              </w:rPr>
              <w:t>机电工程施工总承包二级及以上资质或</w:t>
            </w:r>
            <w:r>
              <w:rPr>
                <w:rFonts w:hint="eastAsia" w:ascii="宋体" w:hAnsi="宋体" w:eastAsia="宋体" w:cs="宋体"/>
                <w:color w:val="auto"/>
                <w:sz w:val="21"/>
                <w:szCs w:val="21"/>
                <w:highlight w:val="none"/>
                <w:lang w:val="en-US" w:eastAsia="zh-CN"/>
              </w:rPr>
              <w:t>承装（修、试）电力设施许可证五级及以上资质的，得3分；</w:t>
            </w:r>
          </w:p>
          <w:p w14:paraId="032F8713">
            <w:pPr>
              <w:pStyle w:val="6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color w:val="auto"/>
                <w:spacing w:val="-6"/>
                <w:kern w:val="2"/>
                <w:sz w:val="21"/>
                <w:szCs w:val="21"/>
                <w:highlight w:val="none"/>
                <w:u w:val="none"/>
                <w:lang w:val="en-US" w:eastAsia="zh-CN" w:bidi="ar-SA"/>
              </w:rPr>
            </w:pPr>
            <w:r>
              <w:rPr>
                <w:rFonts w:hint="eastAsia" w:ascii="宋体" w:hAnsi="宋体" w:eastAsia="宋体" w:cs="宋体"/>
                <w:b/>
                <w:bCs/>
                <w:color w:val="auto"/>
                <w:spacing w:val="-6"/>
                <w:kern w:val="2"/>
                <w:sz w:val="21"/>
                <w:szCs w:val="21"/>
                <w:highlight w:val="none"/>
                <w:u w:val="none"/>
                <w:lang w:val="en-US" w:eastAsia="zh-CN" w:bidi="ar-SA"/>
              </w:rPr>
              <w:t>注：证明材料须提供相关证书复印件编入投标文件并加盖单位公章。</w:t>
            </w:r>
          </w:p>
        </w:tc>
        <w:tc>
          <w:tcPr>
            <w:tcW w:w="1220" w:type="dxa"/>
            <w:tcBorders>
              <w:top w:val="single" w:color="auto" w:sz="4" w:space="0"/>
              <w:left w:val="nil"/>
              <w:bottom w:val="single" w:color="auto" w:sz="4" w:space="0"/>
              <w:right w:val="single" w:color="auto" w:sz="4" w:space="0"/>
            </w:tcBorders>
            <w:noWrap w:val="0"/>
            <w:vAlign w:val="center"/>
          </w:tcPr>
          <w:p w14:paraId="03347D18">
            <w:pPr>
              <w:pStyle w:val="99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527" w:leftChars="0" w:right="0" w:firstLine="527"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0-3分</w:t>
            </w:r>
          </w:p>
        </w:tc>
      </w:tr>
      <w:tr w14:paraId="3EA6F863">
        <w:tblPrEx>
          <w:tblCellMar>
            <w:top w:w="0" w:type="dxa"/>
            <w:left w:w="108" w:type="dxa"/>
            <w:bottom w:w="0" w:type="dxa"/>
            <w:right w:w="108" w:type="dxa"/>
          </w:tblCellMar>
        </w:tblPrEx>
        <w:trPr>
          <w:trHeight w:val="90"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79E3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AEE6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项目人员配备情况</w:t>
            </w:r>
          </w:p>
        </w:tc>
        <w:tc>
          <w:tcPr>
            <w:tcW w:w="6424" w:type="dxa"/>
            <w:tcBorders>
              <w:top w:val="single" w:color="auto" w:sz="4" w:space="0"/>
              <w:left w:val="nil"/>
              <w:bottom w:val="single" w:color="auto" w:sz="4" w:space="0"/>
              <w:right w:val="single" w:color="auto" w:sz="4" w:space="0"/>
            </w:tcBorders>
            <w:noWrap w:val="0"/>
            <w:vAlign w:val="center"/>
          </w:tcPr>
          <w:p w14:paraId="5FC68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根据投标人拟投入本项目的项目人员情况：</w:t>
            </w:r>
          </w:p>
          <w:p w14:paraId="1D88C089">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项目负责人持有行政主管部门核发的机电工程专业二级及以上注册建造价师职业资格（不含临时执业证书）和安全生产考核合格证书（B）证的，得2分；</w:t>
            </w:r>
          </w:p>
          <w:p w14:paraId="4124D50A">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拟投入人员中持有有效的低压电工证书的，每提供一个得1分，最高得2分；</w:t>
            </w:r>
          </w:p>
          <w:p w14:paraId="112006FE">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拟投入人员中持有有效的高处作业证书的，每提供一个得1分，最高得2分；</w:t>
            </w:r>
          </w:p>
          <w:p w14:paraId="17BE4FAB">
            <w:pPr>
              <w:pStyle w:val="34"/>
              <w:keepNext w:val="0"/>
              <w:keepLines w:val="0"/>
              <w:pageBreakBefore w:val="0"/>
              <w:suppressLineNumbers w:val="0"/>
              <w:kinsoku/>
              <w:wordWrap/>
              <w:overflowPunct/>
              <w:topLinePunct w:val="0"/>
              <w:bidi w:val="0"/>
              <w:adjustRightInd/>
              <w:snapToGrid/>
              <w:spacing w:before="0" w:beforeAutospacing="0" w:after="0" w:afterAutospacing="0" w:line="44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同时提供相关证明材料并加盖单位公章：①相应有效证书原件扫描件；②投标人为相对应人员缴纳的开标前3个月内任意月份社保证明复印件（缴纳凭证复印件或人社部门出具的证明复印件）。否则不得分。同一个人具有多个证书的，不重复计分。</w:t>
            </w:r>
          </w:p>
        </w:tc>
        <w:tc>
          <w:tcPr>
            <w:tcW w:w="1220" w:type="dxa"/>
            <w:tcBorders>
              <w:top w:val="single" w:color="auto" w:sz="4" w:space="0"/>
              <w:left w:val="nil"/>
              <w:bottom w:val="single" w:color="auto" w:sz="4" w:space="0"/>
              <w:right w:val="single" w:color="auto" w:sz="4" w:space="0"/>
            </w:tcBorders>
            <w:noWrap w:val="0"/>
            <w:vAlign w:val="center"/>
          </w:tcPr>
          <w:p w14:paraId="12A1A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6F49E1B0">
        <w:tblPrEx>
          <w:tblCellMar>
            <w:top w:w="0" w:type="dxa"/>
            <w:left w:w="108" w:type="dxa"/>
            <w:bottom w:w="0" w:type="dxa"/>
            <w:right w:w="108" w:type="dxa"/>
          </w:tblCellMar>
        </w:tblPrEx>
        <w:trPr>
          <w:trHeight w:val="90" w:hRule="atLeast"/>
          <w:jc w:val="center"/>
        </w:trPr>
        <w:tc>
          <w:tcPr>
            <w:tcW w:w="746" w:type="dxa"/>
            <w:vMerge w:val="restart"/>
            <w:tcBorders>
              <w:top w:val="single" w:color="auto" w:sz="4" w:space="0"/>
              <w:left w:val="single" w:color="auto" w:sz="4" w:space="0"/>
              <w:right w:val="single" w:color="auto" w:sz="4" w:space="0"/>
            </w:tcBorders>
            <w:noWrap w:val="0"/>
            <w:vAlign w:val="center"/>
          </w:tcPr>
          <w:p w14:paraId="696E0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89" w:type="dxa"/>
            <w:vMerge w:val="restart"/>
            <w:tcBorders>
              <w:top w:val="single" w:color="auto" w:sz="4" w:space="0"/>
              <w:left w:val="single" w:color="auto" w:sz="4" w:space="0"/>
              <w:right w:val="single" w:color="auto" w:sz="4" w:space="0"/>
            </w:tcBorders>
            <w:noWrap w:val="0"/>
            <w:vAlign w:val="center"/>
          </w:tcPr>
          <w:p w14:paraId="1C05C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设备性能</w:t>
            </w:r>
          </w:p>
          <w:p w14:paraId="36A385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p>
        </w:tc>
        <w:tc>
          <w:tcPr>
            <w:tcW w:w="6424" w:type="dxa"/>
            <w:tcBorders>
              <w:top w:val="single" w:color="auto" w:sz="4" w:space="0"/>
              <w:left w:val="nil"/>
              <w:bottom w:val="single" w:color="auto" w:sz="4" w:space="0"/>
              <w:right w:val="single" w:color="auto" w:sz="4" w:space="0"/>
            </w:tcBorders>
            <w:noWrap w:val="0"/>
            <w:vAlign w:val="center"/>
          </w:tcPr>
          <w:p w14:paraId="37620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投标人选用光伏组件转换效率≥20%的得2分。</w:t>
            </w:r>
          </w:p>
          <w:p w14:paraId="2AD77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须提供组件产品规格书并加盖厂家公章，否则不得分。</w:t>
            </w:r>
          </w:p>
        </w:tc>
        <w:tc>
          <w:tcPr>
            <w:tcW w:w="1220" w:type="dxa"/>
            <w:vMerge w:val="restart"/>
            <w:tcBorders>
              <w:top w:val="single" w:color="auto" w:sz="4" w:space="0"/>
              <w:left w:val="nil"/>
              <w:right w:val="single" w:color="auto" w:sz="4" w:space="0"/>
            </w:tcBorders>
            <w:noWrap w:val="0"/>
            <w:vAlign w:val="center"/>
          </w:tcPr>
          <w:p w14:paraId="5148C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37DEFE6B">
        <w:tblPrEx>
          <w:tblCellMar>
            <w:top w:w="0" w:type="dxa"/>
            <w:left w:w="108" w:type="dxa"/>
            <w:bottom w:w="0" w:type="dxa"/>
            <w:right w:w="108" w:type="dxa"/>
          </w:tblCellMar>
        </w:tblPrEx>
        <w:trPr>
          <w:trHeight w:val="892" w:hRule="atLeast"/>
          <w:jc w:val="center"/>
        </w:trPr>
        <w:tc>
          <w:tcPr>
            <w:tcW w:w="746" w:type="dxa"/>
            <w:vMerge w:val="continue"/>
            <w:tcBorders>
              <w:left w:val="single" w:color="auto" w:sz="4" w:space="0"/>
              <w:bottom w:val="single" w:color="auto" w:sz="4" w:space="0"/>
              <w:right w:val="single" w:color="auto" w:sz="4" w:space="0"/>
            </w:tcBorders>
            <w:noWrap w:val="0"/>
            <w:vAlign w:val="center"/>
          </w:tcPr>
          <w:p w14:paraId="09A74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p>
        </w:tc>
        <w:tc>
          <w:tcPr>
            <w:tcW w:w="1489" w:type="dxa"/>
            <w:vMerge w:val="continue"/>
            <w:tcBorders>
              <w:left w:val="single" w:color="auto" w:sz="4" w:space="0"/>
              <w:bottom w:val="single" w:color="auto" w:sz="4" w:space="0"/>
              <w:right w:val="single" w:color="auto" w:sz="4" w:space="0"/>
            </w:tcBorders>
            <w:noWrap w:val="0"/>
            <w:vAlign w:val="center"/>
          </w:tcPr>
          <w:p w14:paraId="1F117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p>
        </w:tc>
        <w:tc>
          <w:tcPr>
            <w:tcW w:w="6424" w:type="dxa"/>
            <w:tcBorders>
              <w:top w:val="single" w:color="auto" w:sz="4" w:space="0"/>
              <w:left w:val="nil"/>
              <w:bottom w:val="single" w:color="auto" w:sz="4" w:space="0"/>
              <w:right w:val="single" w:color="auto" w:sz="4" w:space="0"/>
            </w:tcBorders>
            <w:noWrap w:val="0"/>
            <w:vAlign w:val="center"/>
          </w:tcPr>
          <w:p w14:paraId="3A8A1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根据投标人选用光伏组件其他性能（如首年衰减率、每年衰减率、双面率、弱光性能、组件焊接工艺等）和选用逆变器的防护等级、逆变器形式、效率及选用部件品质进行评分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p>
        </w:tc>
        <w:tc>
          <w:tcPr>
            <w:tcW w:w="1220" w:type="dxa"/>
            <w:vMerge w:val="continue"/>
            <w:tcBorders>
              <w:left w:val="nil"/>
              <w:bottom w:val="single" w:color="auto" w:sz="4" w:space="0"/>
              <w:right w:val="single" w:color="auto" w:sz="4" w:space="0"/>
            </w:tcBorders>
            <w:noWrap w:val="0"/>
            <w:vAlign w:val="center"/>
          </w:tcPr>
          <w:p w14:paraId="20316F0C">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u w:val="none" w:color="FFFFFF"/>
                <w:lang w:val="en-US" w:eastAsia="zh-CN" w:bidi="ar-SA"/>
              </w:rPr>
            </w:pPr>
          </w:p>
        </w:tc>
      </w:tr>
      <w:tr w14:paraId="7990FE3E">
        <w:tblPrEx>
          <w:tblCellMar>
            <w:top w:w="0" w:type="dxa"/>
            <w:left w:w="108" w:type="dxa"/>
            <w:bottom w:w="0" w:type="dxa"/>
            <w:right w:w="108" w:type="dxa"/>
          </w:tblCellMar>
        </w:tblPrEx>
        <w:trPr>
          <w:trHeight w:val="1222"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955C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E5309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设计方案</w:t>
            </w:r>
          </w:p>
        </w:tc>
        <w:tc>
          <w:tcPr>
            <w:tcW w:w="6424" w:type="dxa"/>
            <w:tcBorders>
              <w:top w:val="single" w:color="auto" w:sz="4" w:space="0"/>
              <w:left w:val="nil"/>
              <w:bottom w:val="single" w:color="auto" w:sz="4" w:space="0"/>
              <w:right w:val="single" w:color="auto" w:sz="4" w:space="0"/>
            </w:tcBorders>
            <w:noWrap w:val="0"/>
            <w:vAlign w:val="center"/>
          </w:tcPr>
          <w:p w14:paraId="44A1A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b/>
                <w:bCs/>
                <w:color w:val="auto"/>
                <w:spacing w:val="-6"/>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结合本项目实际，提供太阳能光伏板配置图、施工总说明、实际施工图图纸等设计方案进行评分。设计方案完整、合理、可行的得10分；与前述要求程度基本符合的得8分；与前述要求符合程度一般的得5分；没有不得分。</w:t>
            </w:r>
          </w:p>
        </w:tc>
        <w:tc>
          <w:tcPr>
            <w:tcW w:w="1220" w:type="dxa"/>
            <w:tcBorders>
              <w:top w:val="single" w:color="auto" w:sz="4" w:space="0"/>
              <w:left w:val="nil"/>
              <w:bottom w:val="single" w:color="auto" w:sz="4" w:space="0"/>
              <w:right w:val="single" w:color="auto" w:sz="4" w:space="0"/>
            </w:tcBorders>
            <w:noWrap w:val="0"/>
            <w:vAlign w:val="center"/>
          </w:tcPr>
          <w:p w14:paraId="6ACBB6BA">
            <w:pPr>
              <w:keepNext w:val="0"/>
              <w:keepLines w:val="0"/>
              <w:pageBreakBefore w:val="0"/>
              <w:widowControl/>
              <w:suppressLineNumbers w:val="0"/>
              <w:kinsoku/>
              <w:wordWrap/>
              <w:overflowPunct/>
              <w:topLinePunct w:val="0"/>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highlight w:val="none"/>
                <w:u w:val="none" w:color="FFFFFF"/>
                <w:lang w:val="en-US" w:eastAsia="zh-CN" w:bidi="ar-SA"/>
              </w:rPr>
            </w:pPr>
            <w:r>
              <w:rPr>
                <w:rFonts w:hint="eastAsia" w:ascii="宋体" w:hAnsi="宋体" w:eastAsia="宋体" w:cs="宋体"/>
                <w:color w:val="auto"/>
                <w:sz w:val="21"/>
                <w:szCs w:val="21"/>
                <w:highlight w:val="none"/>
                <w:lang w:val="en-US" w:eastAsia="zh-CN"/>
              </w:rPr>
              <w:t>0-10分</w:t>
            </w:r>
          </w:p>
        </w:tc>
      </w:tr>
      <w:tr w14:paraId="5F6D2728">
        <w:tblPrEx>
          <w:tblCellMar>
            <w:top w:w="0" w:type="dxa"/>
            <w:left w:w="108" w:type="dxa"/>
            <w:bottom w:w="0" w:type="dxa"/>
            <w:right w:w="108" w:type="dxa"/>
          </w:tblCellMar>
        </w:tblPrEx>
        <w:trPr>
          <w:trHeight w:val="1352"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6FA2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4F124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施工方案</w:t>
            </w:r>
          </w:p>
        </w:tc>
        <w:tc>
          <w:tcPr>
            <w:tcW w:w="6424" w:type="dxa"/>
            <w:tcBorders>
              <w:top w:val="single" w:color="auto" w:sz="4" w:space="0"/>
              <w:left w:val="nil"/>
              <w:bottom w:val="single" w:color="auto" w:sz="4" w:space="0"/>
              <w:right w:val="single" w:color="auto" w:sz="4" w:space="0"/>
            </w:tcBorders>
            <w:noWrap w:val="0"/>
            <w:vAlign w:val="center"/>
          </w:tcPr>
          <w:p w14:paraId="0C7AC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提供施工方案、项目实施的技术力量和人力资源安排、运行调试、施工进度安排的完整性、合理性、可行性进行评分。施工方案完整、合理、可行的得10分；与前述要求程度基本符合的得8分；与前述要求符合程度一般的得5分；没有不得分。</w:t>
            </w:r>
          </w:p>
        </w:tc>
        <w:tc>
          <w:tcPr>
            <w:tcW w:w="1220" w:type="dxa"/>
            <w:tcBorders>
              <w:top w:val="single" w:color="auto" w:sz="4" w:space="0"/>
              <w:left w:val="nil"/>
              <w:bottom w:val="single" w:color="auto" w:sz="4" w:space="0"/>
              <w:right w:val="single" w:color="auto" w:sz="4" w:space="0"/>
            </w:tcBorders>
            <w:noWrap w:val="0"/>
            <w:vAlign w:val="center"/>
          </w:tcPr>
          <w:p w14:paraId="01501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67E2D563">
        <w:tblPrEx>
          <w:tblCellMar>
            <w:top w:w="0" w:type="dxa"/>
            <w:left w:w="108" w:type="dxa"/>
            <w:bottom w:w="0" w:type="dxa"/>
            <w:right w:w="108" w:type="dxa"/>
          </w:tblCellMar>
        </w:tblPrEx>
        <w:trPr>
          <w:trHeight w:val="90"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87F9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66B7C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运维方案</w:t>
            </w:r>
          </w:p>
        </w:tc>
        <w:tc>
          <w:tcPr>
            <w:tcW w:w="6424" w:type="dxa"/>
            <w:tcBorders>
              <w:top w:val="single" w:color="auto" w:sz="4" w:space="0"/>
              <w:left w:val="single" w:color="auto" w:sz="4" w:space="0"/>
              <w:bottom w:val="single" w:color="auto" w:sz="4" w:space="0"/>
              <w:right w:val="single" w:color="auto" w:sz="4" w:space="0"/>
            </w:tcBorders>
            <w:noWrap w:val="0"/>
            <w:vAlign w:val="center"/>
          </w:tcPr>
          <w:p w14:paraId="51C55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定经济合理的运维方案，保证电站安全可靠性，提高电站的发电量；对光伏电站的发电数据进行统计分析，针对环境和气候条件，找到影响发电量的主要因素，制定合理的方案，减少损耗等运维方案进行评分。运维方案完整、合理的得10分；与前述要求程度基本符合的得8分；与前述要求符合程度一般的得5分；没有不得分。</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30748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sz w:val="21"/>
                <w:szCs w:val="21"/>
                <w:highlight w:val="none"/>
                <w:lang w:val="en-US" w:eastAsia="zh-CN"/>
              </w:rPr>
              <w:t>10分</w:t>
            </w:r>
          </w:p>
        </w:tc>
      </w:tr>
      <w:tr w14:paraId="1F3B2E02">
        <w:tblPrEx>
          <w:tblCellMar>
            <w:top w:w="0" w:type="dxa"/>
            <w:left w:w="108" w:type="dxa"/>
            <w:bottom w:w="0" w:type="dxa"/>
            <w:right w:w="108" w:type="dxa"/>
          </w:tblCellMar>
        </w:tblPrEx>
        <w:trPr>
          <w:trHeight w:val="582"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B0A0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7BB815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验收方案及并网方案</w:t>
            </w:r>
          </w:p>
        </w:tc>
        <w:tc>
          <w:tcPr>
            <w:tcW w:w="6424" w:type="dxa"/>
            <w:tcBorders>
              <w:top w:val="single" w:color="auto" w:sz="4" w:space="0"/>
              <w:left w:val="single" w:color="auto" w:sz="4" w:space="0"/>
              <w:bottom w:val="single" w:color="auto" w:sz="4" w:space="0"/>
              <w:right w:val="single" w:color="auto" w:sz="4" w:space="0"/>
            </w:tcBorders>
            <w:noWrap w:val="0"/>
            <w:vAlign w:val="center"/>
          </w:tcPr>
          <w:p w14:paraId="5F149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根据投标人对本项目的验收方案和并网方案的完整性、合理性、科学性进行评分。方案是科学有效的得10分；方案措施一般的得8分；方案措施欠佳的得5分；方案措施不合理的不得分。</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2BA97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7E1A8DA0">
        <w:tblPrEx>
          <w:tblCellMar>
            <w:top w:w="0" w:type="dxa"/>
            <w:left w:w="108" w:type="dxa"/>
            <w:bottom w:w="0" w:type="dxa"/>
            <w:right w:w="108" w:type="dxa"/>
          </w:tblCellMar>
        </w:tblPrEx>
        <w:trPr>
          <w:trHeight w:val="1197"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9D49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24AEF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质保售后服务承诺及技术培训</w:t>
            </w:r>
          </w:p>
        </w:tc>
        <w:tc>
          <w:tcPr>
            <w:tcW w:w="6424" w:type="dxa"/>
            <w:tcBorders>
              <w:top w:val="single" w:color="auto" w:sz="4" w:space="0"/>
              <w:left w:val="single" w:color="auto" w:sz="4" w:space="0"/>
              <w:bottom w:val="single" w:color="auto" w:sz="4" w:space="0"/>
              <w:right w:val="single" w:color="auto" w:sz="4" w:space="0"/>
            </w:tcBorders>
            <w:noWrap w:val="0"/>
            <w:vAlign w:val="center"/>
          </w:tcPr>
          <w:p w14:paraId="30A5C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售后服务的具体内容和措施（包括质保期内的售后服务具体方案及质保期满后的售后服务具体方案），售后服务承诺的范围、完善程度（包括维保年限，维保、升级服务标准，人员配备，故障响应修复时间方式及保障措施）进行评分；方案完整、合理的得5分；与前述要求程度基本符合的得3分；与前述要求符合程度一般的得1分；没有不得分。</w:t>
            </w:r>
          </w:p>
          <w:p w14:paraId="5BD84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供应商的技术培训及技术支持承诺、人员培训计划的合理性、承诺免费培训课程情况、培训时间、师资及方式进行评分；方案完整、合理的得5分；与前述要求程度基本符合的得3分；与前述要求符合程度一般的得1分；没有不得分。</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A582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0"/>
                <w:sz w:val="21"/>
                <w:szCs w:val="21"/>
                <w:highlight w:val="none"/>
                <w:lang w:val="en-US" w:eastAsia="zh-CN"/>
              </w:rPr>
              <w:t>10分</w:t>
            </w:r>
          </w:p>
        </w:tc>
      </w:tr>
      <w:tr w14:paraId="3EF8FF4D">
        <w:tblPrEx>
          <w:tblCellMar>
            <w:top w:w="0" w:type="dxa"/>
            <w:left w:w="108" w:type="dxa"/>
            <w:bottom w:w="0" w:type="dxa"/>
            <w:right w:w="108" w:type="dxa"/>
          </w:tblCellMar>
        </w:tblPrEx>
        <w:trPr>
          <w:trHeight w:val="937"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5886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10</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DB8AB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应急措施</w:t>
            </w:r>
          </w:p>
        </w:tc>
        <w:tc>
          <w:tcPr>
            <w:tcW w:w="6424" w:type="dxa"/>
            <w:tcBorders>
              <w:top w:val="single" w:color="auto" w:sz="4" w:space="0"/>
              <w:left w:val="single" w:color="auto" w:sz="4" w:space="0"/>
              <w:bottom w:val="single" w:color="auto" w:sz="4" w:space="0"/>
              <w:right w:val="single" w:color="auto" w:sz="4" w:space="0"/>
            </w:tcBorders>
            <w:noWrap w:val="0"/>
            <w:vAlign w:val="center"/>
          </w:tcPr>
          <w:p w14:paraId="0C221D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根据投标人服务的便利性，遇紧急、特殊项目的应急投标制度、保障措施进行打分。应急措施合理有效的得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分；应急措施一般的得1分；应急措施不到位的得0分。</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26A0C8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0-2分</w:t>
            </w:r>
          </w:p>
        </w:tc>
      </w:tr>
      <w:tr w14:paraId="0954864E">
        <w:tblPrEx>
          <w:tblCellMar>
            <w:top w:w="0" w:type="dxa"/>
            <w:left w:w="108" w:type="dxa"/>
            <w:bottom w:w="0" w:type="dxa"/>
            <w:right w:w="108" w:type="dxa"/>
          </w:tblCellMar>
        </w:tblPrEx>
        <w:trPr>
          <w:trHeight w:val="1677"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FAA5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11</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BD248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本地化服务</w:t>
            </w:r>
          </w:p>
        </w:tc>
        <w:tc>
          <w:tcPr>
            <w:tcW w:w="6424" w:type="dxa"/>
            <w:tcBorders>
              <w:top w:val="single" w:color="auto" w:sz="4" w:space="0"/>
              <w:left w:val="single" w:color="auto" w:sz="4" w:space="0"/>
              <w:bottom w:val="single" w:color="auto" w:sz="4" w:space="0"/>
              <w:right w:val="single" w:color="auto" w:sz="4" w:space="0"/>
            </w:tcBorders>
            <w:noWrap w:val="0"/>
            <w:vAlign w:val="center"/>
          </w:tcPr>
          <w:p w14:paraId="60187856">
            <w:pPr>
              <w:pStyle w:val="67"/>
              <w:keepNext w:val="0"/>
              <w:keepLines w:val="0"/>
              <w:pageBreakBefore w:val="0"/>
              <w:widowControl/>
              <w:suppressLineNumbers w:val="0"/>
              <w:tabs>
                <w:tab w:val="left" w:pos="90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投标人提供本地化服务情况评分：</w:t>
            </w:r>
          </w:p>
          <w:p w14:paraId="573D3122">
            <w:pPr>
              <w:pStyle w:val="67"/>
              <w:keepNext w:val="0"/>
              <w:keepLines w:val="0"/>
              <w:pageBreakBefore w:val="0"/>
              <w:widowControl/>
              <w:suppressLineNumbers w:val="0"/>
              <w:tabs>
                <w:tab w:val="left" w:pos="90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投标人可提供自身分支机构的营业执照和办公现场照片证明已经在柯城区内设立公司,也可承诺中标后三个月内在柯城区内设立公司或子公司的得2分。</w:t>
            </w:r>
          </w:p>
          <w:p w14:paraId="50C0EA85">
            <w:pPr>
              <w:pStyle w:val="67"/>
              <w:keepNext w:val="0"/>
              <w:keepLines w:val="0"/>
              <w:pageBreakBefore w:val="0"/>
              <w:widowControl/>
              <w:suppressLineNumbers w:val="0"/>
              <w:tabs>
                <w:tab w:val="left" w:pos="90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rPr>
              <w:t>特别提醒：如公司中标后三个月内不设立公司或子公司的，将视为不履行合同，业主有权解除合同，并追究中标单位责任。</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179D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shd w:val="clear"/>
                <w:lang w:val="en-US" w:eastAsia="zh-CN"/>
              </w:rPr>
              <w:t>0-</w:t>
            </w:r>
            <w:r>
              <w:rPr>
                <w:rFonts w:hint="eastAsia" w:ascii="宋体" w:hAnsi="宋体" w:cs="宋体"/>
                <w:color w:val="auto"/>
                <w:kern w:val="0"/>
                <w:sz w:val="21"/>
                <w:szCs w:val="21"/>
                <w:highlight w:val="none"/>
                <w:shd w:val="clear"/>
                <w:lang w:val="en-US" w:eastAsia="zh-CN"/>
              </w:rPr>
              <w:t>2</w:t>
            </w:r>
            <w:r>
              <w:rPr>
                <w:rFonts w:hint="eastAsia" w:ascii="宋体" w:hAnsi="宋体" w:eastAsia="宋体" w:cs="宋体"/>
                <w:color w:val="auto"/>
                <w:kern w:val="0"/>
                <w:sz w:val="21"/>
                <w:szCs w:val="21"/>
                <w:highlight w:val="none"/>
                <w:shd w:val="clear"/>
              </w:rPr>
              <w:t>分</w:t>
            </w:r>
          </w:p>
        </w:tc>
      </w:tr>
      <w:tr w14:paraId="30D83959">
        <w:tblPrEx>
          <w:tblCellMar>
            <w:top w:w="0" w:type="dxa"/>
            <w:left w:w="108" w:type="dxa"/>
            <w:bottom w:w="0" w:type="dxa"/>
            <w:right w:w="108" w:type="dxa"/>
          </w:tblCellMar>
        </w:tblPrEx>
        <w:trPr>
          <w:trHeight w:val="974"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B707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12</w:t>
            </w: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5436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24" w:type="dxa"/>
            <w:tcBorders>
              <w:top w:val="single" w:color="auto" w:sz="4" w:space="0"/>
              <w:left w:val="single" w:color="auto" w:sz="4" w:space="0"/>
              <w:bottom w:val="single" w:color="auto" w:sz="4" w:space="0"/>
              <w:right w:val="single" w:color="auto" w:sz="4" w:space="0"/>
            </w:tcBorders>
            <w:noWrap w:val="0"/>
            <w:vAlign w:val="center"/>
          </w:tcPr>
          <w:p w14:paraId="1F7D4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满足招标文件要求且投标价格最低的投标报价为评标基准价，其价格分为满分，其他投标人的价格分统一按下列公式计算（按四舍五入取至小数点后两位）：</w:t>
            </w:r>
          </w:p>
          <w:p w14:paraId="5CD69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投标报价得分=（评标基准价/投标报价）×</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 xml:space="preserve">。        </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10E10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r>
      <w:tr w14:paraId="661A7D5D">
        <w:tblPrEx>
          <w:tblCellMar>
            <w:top w:w="0" w:type="dxa"/>
            <w:left w:w="108" w:type="dxa"/>
            <w:bottom w:w="0" w:type="dxa"/>
            <w:right w:w="108" w:type="dxa"/>
          </w:tblCellMar>
        </w:tblPrEx>
        <w:trPr>
          <w:trHeight w:val="411"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61AC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ight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489" w:type="dxa"/>
            <w:tcBorders>
              <w:top w:val="single" w:color="auto" w:sz="4" w:space="0"/>
              <w:left w:val="nil"/>
              <w:bottom w:val="single" w:color="auto" w:sz="4" w:space="0"/>
              <w:right w:val="single" w:color="auto" w:sz="4" w:space="0"/>
            </w:tcBorders>
            <w:noWrap w:val="0"/>
            <w:vAlign w:val="center"/>
          </w:tcPr>
          <w:p w14:paraId="05336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总得分</w:t>
            </w:r>
          </w:p>
        </w:tc>
        <w:tc>
          <w:tcPr>
            <w:tcW w:w="6424" w:type="dxa"/>
            <w:tcBorders>
              <w:top w:val="single" w:color="auto" w:sz="4" w:space="0"/>
              <w:left w:val="nil"/>
              <w:bottom w:val="single" w:color="auto" w:sz="4" w:space="0"/>
              <w:right w:val="single" w:color="auto" w:sz="4" w:space="0"/>
            </w:tcBorders>
            <w:noWrap w:val="0"/>
            <w:vAlign w:val="center"/>
          </w:tcPr>
          <w:p w14:paraId="3D899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总得分=技术</w:t>
            </w:r>
            <w:r>
              <w:rPr>
                <w:rFonts w:hint="eastAsia" w:ascii="宋体" w:hAnsi="宋体" w:eastAsia="宋体" w:cs="宋体"/>
                <w:color w:val="auto"/>
                <w:kern w:val="0"/>
                <w:sz w:val="21"/>
                <w:szCs w:val="21"/>
                <w:highlight w:val="none"/>
                <w:lang w:eastAsia="zh-CN"/>
              </w:rPr>
              <w:t>商务</w:t>
            </w:r>
            <w:r>
              <w:rPr>
                <w:rFonts w:hint="eastAsia" w:ascii="宋体" w:hAnsi="宋体" w:eastAsia="宋体" w:cs="宋体"/>
                <w:color w:val="auto"/>
                <w:kern w:val="0"/>
                <w:sz w:val="21"/>
                <w:szCs w:val="21"/>
                <w:highlight w:val="none"/>
              </w:rPr>
              <w:t>得分+报价得分</w:t>
            </w:r>
          </w:p>
        </w:tc>
        <w:tc>
          <w:tcPr>
            <w:tcW w:w="1220" w:type="dxa"/>
            <w:tcBorders>
              <w:top w:val="single" w:color="auto" w:sz="4" w:space="0"/>
              <w:left w:val="nil"/>
              <w:bottom w:val="single" w:color="auto" w:sz="4" w:space="0"/>
              <w:right w:val="single" w:color="auto" w:sz="4" w:space="0"/>
            </w:tcBorders>
            <w:noWrap w:val="0"/>
            <w:vAlign w:val="center"/>
          </w:tcPr>
          <w:p w14:paraId="05131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100</w:t>
            </w:r>
            <w:r>
              <w:rPr>
                <w:rFonts w:hint="eastAsia" w:ascii="宋体" w:hAnsi="宋体" w:eastAsia="宋体" w:cs="宋体"/>
                <w:color w:val="auto"/>
                <w:kern w:val="0"/>
                <w:sz w:val="21"/>
                <w:szCs w:val="21"/>
                <w:highlight w:val="none"/>
                <w:lang w:eastAsia="zh-CN"/>
              </w:rPr>
              <w:t>分</w:t>
            </w:r>
          </w:p>
        </w:tc>
      </w:tr>
    </w:tbl>
    <w:p w14:paraId="72279469">
      <w:pPr>
        <w:widowControl/>
        <w:spacing w:line="400" w:lineRule="exact"/>
        <w:jc w:val="left"/>
        <w:rPr>
          <w:rFonts w:hint="eastAsia" w:asciiTheme="minorEastAsia" w:hAnsiTheme="minorEastAsia" w:eastAsiaTheme="minorEastAsia" w:cstheme="minorEastAsia"/>
          <w:b/>
          <w:bCs/>
          <w:color w:val="auto"/>
          <w:kern w:val="0"/>
          <w:highlight w:val="none"/>
          <w:shd w:val="clear" w:color="auto" w:fill="FFFFFF"/>
          <w:lang w:eastAsia="zh-CN"/>
        </w:rPr>
      </w:pPr>
      <w:r>
        <w:rPr>
          <w:rFonts w:hint="eastAsia" w:asciiTheme="minorEastAsia" w:hAnsiTheme="minorEastAsia" w:eastAsiaTheme="minorEastAsia" w:cstheme="minorEastAsia"/>
          <w:b/>
          <w:bCs/>
          <w:color w:val="auto"/>
          <w:kern w:val="0"/>
          <w:highlight w:val="none"/>
          <w:shd w:val="clear" w:color="auto" w:fill="FFFFFF"/>
        </w:rPr>
        <w:t>注：1、投标人所使用的资格、信誉、荣誉、业绩与企业认证必须为本法人所拥有（且在有效期内）</w:t>
      </w:r>
      <w:r>
        <w:rPr>
          <w:rFonts w:hint="eastAsia" w:asciiTheme="minorEastAsia" w:hAnsiTheme="minorEastAsia" w:eastAsiaTheme="minorEastAsia" w:cstheme="minorEastAsia"/>
          <w:b/>
          <w:bCs/>
          <w:color w:val="auto"/>
          <w:kern w:val="0"/>
          <w:highlight w:val="none"/>
          <w:shd w:val="clear" w:color="auto" w:fill="FFFFFF"/>
          <w:lang w:eastAsia="zh-CN"/>
        </w:rPr>
        <w:t>。</w:t>
      </w:r>
    </w:p>
    <w:p w14:paraId="706E04AE">
      <w:pPr>
        <w:snapToGrid w:val="0"/>
        <w:spacing w:line="360" w:lineRule="auto"/>
        <w:rPr>
          <w:rFonts w:hint="eastAsia" w:ascii="仿宋_GB2312" w:hAnsi="仿宋_GB2312" w:eastAsia="仿宋_GB2312" w:cs="仿宋_GB2312"/>
          <w:color w:val="auto"/>
          <w:sz w:val="20"/>
          <w:szCs w:val="2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val="en-US" w:eastAsia="zh-CN"/>
        </w:rPr>
        <w:t>2、</w:t>
      </w:r>
      <w:r>
        <w:rPr>
          <w:rFonts w:hint="eastAsia" w:asciiTheme="minorEastAsia" w:hAnsiTheme="minorEastAsia" w:eastAsiaTheme="minorEastAsia" w:cstheme="minorEastAsia"/>
          <w:b/>
          <w:bCs/>
          <w:color w:val="auto"/>
          <w:kern w:val="0"/>
          <w:highlight w:val="none"/>
          <w:shd w:val="clear" w:color="auto" w:fill="FFFFFF"/>
        </w:rPr>
        <w:t>评标有关的原件无需携带至开标现场备查。投标正本中涉及资质证书和原件备查部分，一律采用彩色扫描件，使用彩色打印，副本可以为正本复印件。开标活动结束后，中标候选人须在中标公告发布前提供与投标相关的原件核查。</w:t>
      </w:r>
    </w:p>
    <w:p w14:paraId="67B74B2E">
      <w:pPr>
        <w:snapToGrid w:val="0"/>
        <w:spacing w:line="360" w:lineRule="auto"/>
        <w:outlineLvl w:val="1"/>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一、评标方法</w:t>
      </w:r>
    </w:p>
    <w:p w14:paraId="28F84585">
      <w:pPr>
        <w:adjustRightInd/>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1.本项目采用综合评分法。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p>
    <w:p w14:paraId="4E034AC0">
      <w:pPr>
        <w:adjustRightInd/>
        <w:spacing w:line="360" w:lineRule="auto"/>
        <w:outlineLvl w:val="1"/>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24"/>
          <w:highlight w:val="none"/>
        </w:rPr>
        <w:t>二、评标标准</w:t>
      </w:r>
    </w:p>
    <w:p w14:paraId="6940C77F">
      <w:pPr>
        <w:spacing w:line="360" w:lineRule="auto"/>
        <w:ind w:firstLine="472" w:firstLineChars="196"/>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_GB2312" w:eastAsia="仿宋_GB2312" w:cs="仿宋_GB2312"/>
          <w:color w:val="auto"/>
          <w:kern w:val="0"/>
          <w:sz w:val="24"/>
          <w:highlight w:val="none"/>
        </w:rPr>
        <w:t>见评标办法前附表。</w:t>
      </w:r>
    </w:p>
    <w:p w14:paraId="260689CF">
      <w:pPr>
        <w:spacing w:line="360" w:lineRule="auto"/>
        <w:outlineLvl w:val="1"/>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三、评标程序</w:t>
      </w:r>
    </w:p>
    <w:p w14:paraId="01A1DDF4">
      <w:pPr>
        <w:spacing w:line="360" w:lineRule="auto"/>
        <w:ind w:firstLine="472" w:firstLineChars="196"/>
        <w:outlineLvl w:val="2"/>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3.1符合性审查。</w:t>
      </w:r>
      <w:r>
        <w:rPr>
          <w:rFonts w:hint="eastAsia" w:ascii="仿宋_GB2312" w:hAnsi="仿宋_GB2312" w:eastAsia="仿宋_GB2312" w:cs="仿宋_GB2312"/>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36EF8E2">
      <w:pPr>
        <w:spacing w:line="360" w:lineRule="auto"/>
        <w:ind w:firstLine="472" w:firstLineChars="196"/>
        <w:outlineLvl w:val="2"/>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3.2 比较与评价。</w:t>
      </w:r>
      <w:r>
        <w:rPr>
          <w:rFonts w:hint="eastAsia" w:ascii="仿宋_GB2312" w:hAnsi="仿宋_GB2312" w:eastAsia="仿宋_GB2312" w:cs="仿宋_GB2312"/>
          <w:color w:val="auto"/>
          <w:kern w:val="0"/>
          <w:sz w:val="24"/>
          <w:highlight w:val="none"/>
        </w:rPr>
        <w:t>评标委员会应当按照招标文件中规定的评标方法和标准，对符合性审查合格的投标文件进行商务和技术评估，综合比较与评价。</w:t>
      </w:r>
    </w:p>
    <w:p w14:paraId="4FCF72BA">
      <w:pPr>
        <w:spacing w:line="360" w:lineRule="auto"/>
        <w:ind w:firstLine="472" w:firstLineChars="196"/>
        <w:outlineLvl w:val="2"/>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3.3汇总商务技术得分。</w:t>
      </w:r>
      <w:r>
        <w:rPr>
          <w:rFonts w:hint="eastAsia" w:ascii="仿宋_GB2312" w:hAnsi="仿宋_GB2312" w:eastAsia="仿宋_GB2312" w:cs="仿宋_GB2312"/>
          <w:color w:val="auto"/>
          <w:kern w:val="0"/>
          <w:sz w:val="24"/>
          <w:highlight w:val="none"/>
        </w:rPr>
        <w:t>评标委员会各成员应当独立对每个投标人的商务和技术文件进行评价，并汇总商务技术得分情况。</w:t>
      </w:r>
    </w:p>
    <w:p w14:paraId="583C0D0C">
      <w:pPr>
        <w:spacing w:line="360" w:lineRule="auto"/>
        <w:ind w:firstLine="472" w:firstLineChars="196"/>
        <w:outlineLvl w:val="2"/>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3.4报价评审。</w:t>
      </w:r>
    </w:p>
    <w:p w14:paraId="1A3A3AFA">
      <w:pPr>
        <w:pStyle w:val="140"/>
        <w:spacing w:before="0"/>
        <w:ind w:firstLine="508" w:firstLineChars="212"/>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3.4.1投标文件报价出现前后不一致的，按照下列规定修正：</w:t>
      </w:r>
    </w:p>
    <w:p w14:paraId="5712D045">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3.4.1.1投标文件中开标一览表(报价表)内容与投标文件中相应内容不一致的，以开标一览表(报价表)为准;</w:t>
      </w:r>
    </w:p>
    <w:p w14:paraId="664F2B41">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3.4.1.2大写金额和小写金额不一致的，以大写金额为准;</w:t>
      </w:r>
    </w:p>
    <w:p w14:paraId="0ABA3CB7">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3.4.1.3单价金额小数点或者百分比有明显错位的，以开标一览表的总价为准，并修改单价;</w:t>
      </w:r>
    </w:p>
    <w:p w14:paraId="133EC156">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3.4.1.4总价金额与按单价汇总金额不一致的，以单价金额计算结果为准。</w:t>
      </w:r>
    </w:p>
    <w:p w14:paraId="6FCB4646">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90E3CB3">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eastAsia="zh-CN"/>
        </w:rPr>
        <w:t>2.67</w:t>
      </w:r>
      <w:r>
        <w:rPr>
          <w:rFonts w:hint="eastAsia" w:ascii="仿宋_GB2312" w:hAnsi="仿宋_GB2312" w:eastAsia="仿宋_GB2312" w:cs="仿宋_GB2312"/>
          <w:color w:val="auto"/>
          <w:kern w:val="0"/>
          <w:sz w:val="24"/>
          <w:highlight w:val="none"/>
        </w:rPr>
        <w:t>投标文件出现不是唯一的、有选择性投标报价的，投标无效。</w:t>
      </w:r>
    </w:p>
    <w:p w14:paraId="56C3237D">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3.4.3投标报价超过招标文件中规定的预算金额或者最高限价的，投标无效。</w:t>
      </w:r>
    </w:p>
    <w:p w14:paraId="096E6BEC">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0241C1">
      <w:pPr>
        <w:pStyle w:val="140"/>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color w:val="auto"/>
          <w:kern w:val="0"/>
          <w:szCs w:val="24"/>
          <w:highlight w:val="none"/>
          <w:lang w:val="en-US" w:eastAsia="zh-CN"/>
        </w:rPr>
        <w:t>1</w:t>
      </w:r>
      <w:r>
        <w:rPr>
          <w:rFonts w:hint="eastAsia" w:ascii="仿宋_GB2312" w:hAnsi="仿宋_GB2312" w:eastAsia="仿宋_GB2312" w:cs="仿宋_GB2312"/>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E921B9E">
      <w:pPr>
        <w:spacing w:line="360" w:lineRule="auto"/>
        <w:ind w:firstLine="482" w:firstLineChars="200"/>
        <w:outlineLvl w:val="2"/>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3.5排序与推荐。</w:t>
      </w:r>
      <w:r>
        <w:rPr>
          <w:rFonts w:hint="eastAsia" w:ascii="仿宋_GB2312" w:hAnsi="仿宋_GB2312" w:eastAsia="仿宋_GB2312" w:cs="仿宋_GB2312"/>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CF5E86">
      <w:pPr>
        <w:spacing w:line="360" w:lineRule="auto"/>
        <w:ind w:firstLine="420"/>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FEF46E">
      <w:pPr>
        <w:spacing w:line="360" w:lineRule="auto"/>
        <w:ind w:firstLine="472" w:firstLineChars="196"/>
        <w:outlineLvl w:val="2"/>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3.6编写评标报告。</w:t>
      </w:r>
      <w:r>
        <w:rPr>
          <w:rFonts w:hint="eastAsia" w:ascii="仿宋_GB2312" w:hAnsi="仿宋_GB2312" w:eastAsia="仿宋_GB2312" w:cs="仿宋_GB2312"/>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1075A8">
      <w:pPr>
        <w:widowControl/>
        <w:shd w:val="clear" w:color="auto" w:fill="FFFFFF"/>
        <w:adjustRightInd/>
        <w:spacing w:after="225" w:line="315" w:lineRule="atLeast"/>
        <w:jc w:val="left"/>
        <w:outlineLvl w:val="1"/>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四、评标中的其他事项</w:t>
      </w:r>
    </w:p>
    <w:p w14:paraId="0C967134">
      <w:pPr>
        <w:pStyle w:val="140"/>
        <w:spacing w:before="0"/>
        <w:ind w:firstLine="472" w:firstLineChars="196"/>
        <w:outlineLvl w:val="2"/>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b/>
          <w:color w:val="auto"/>
          <w:kern w:val="0"/>
          <w:szCs w:val="24"/>
          <w:highlight w:val="none"/>
        </w:rPr>
        <w:t>4.1投标人澄清、说明或者补正。</w:t>
      </w:r>
      <w:r>
        <w:rPr>
          <w:rFonts w:hint="eastAsia" w:ascii="仿宋_GB2312" w:hAnsi="仿宋_GB2312" w:eastAsia="仿宋_GB2312" w:cs="仿宋_GB2312"/>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F259F9">
      <w:pPr>
        <w:pStyle w:val="31"/>
        <w:spacing w:line="360" w:lineRule="auto"/>
        <w:ind w:left="954" w:leftChars="226" w:hanging="479" w:firstLineChars="0"/>
        <w:outlineLvl w:val="2"/>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lang w:eastAsia="zh-CN"/>
        </w:rPr>
        <w:t>2.67</w:t>
      </w:r>
      <w:r>
        <w:rPr>
          <w:rFonts w:hint="eastAsia" w:ascii="仿宋_GB2312" w:hAnsi="仿宋_GB2312" w:eastAsia="仿宋_GB2312" w:cs="仿宋_GB2312"/>
          <w:b/>
          <w:color w:val="auto"/>
          <w:kern w:val="0"/>
          <w:highlight w:val="none"/>
        </w:rPr>
        <w:t>投标无效。</w:t>
      </w:r>
      <w:r>
        <w:rPr>
          <w:rFonts w:hint="eastAsia" w:ascii="仿宋_GB2312" w:hAnsi="仿宋_GB2312" w:eastAsia="仿宋_GB2312" w:cs="仿宋_GB2312"/>
          <w:color w:val="auto"/>
          <w:highlight w:val="none"/>
        </w:rPr>
        <w:t>有下列情况之一的，投标无效：</w:t>
      </w:r>
    </w:p>
    <w:p w14:paraId="69B5EE6A">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_GB2312" w:eastAsia="仿宋_GB2312" w:cs="仿宋_GB2312"/>
          <w:color w:val="auto"/>
          <w:kern w:val="0"/>
          <w:sz w:val="24"/>
          <w:highlight w:val="none"/>
          <w:lang w:eastAsia="zh-CN"/>
        </w:rPr>
        <w:t>2.67</w:t>
      </w:r>
      <w:r>
        <w:rPr>
          <w:rFonts w:hint="eastAsia" w:ascii="仿宋_GB2312" w:hAnsi="仿宋_GB2312" w:eastAsia="仿宋_GB2312" w:cs="仿宋_GB2312"/>
          <w:color w:val="auto"/>
          <w:kern w:val="0"/>
          <w:sz w:val="24"/>
          <w:highlight w:val="none"/>
        </w:rPr>
        <w:t>.1投标人不具备招标文件中规定的资格要求的（投标人未提供有效的资格</w:t>
      </w:r>
      <w:r>
        <w:rPr>
          <w:rFonts w:ascii="仿宋_GB2312" w:hAnsi="仿宋" w:eastAsia="仿宋_GB2312" w:cs="Arial"/>
          <w:color w:val="auto"/>
          <w:kern w:val="0"/>
          <w:sz w:val="24"/>
          <w:highlight w:val="none"/>
        </w:rPr>
        <w:t>文件的，视为投标人不具备招标文件中规定的资格要求）；</w:t>
      </w:r>
    </w:p>
    <w:p w14:paraId="4C3D999A">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.2投标文件未按照招标文件要求签署、盖章的；</w:t>
      </w:r>
    </w:p>
    <w:p w14:paraId="10F9C25B">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14:paraId="5021860A">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.4投标文件含有采购人不能接受的附加条件的；</w:t>
      </w:r>
    </w:p>
    <w:p w14:paraId="40349EE6">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.5投标文件中承诺的投标有效期少于招标文件中载明的投标有效期的；</w:t>
      </w:r>
    </w:p>
    <w:p w14:paraId="76EBDF25">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.6投标文件出现不是唯一的、有选择性投标报价的;</w:t>
      </w:r>
    </w:p>
    <w:p w14:paraId="13E3290F">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.7投标报价超过招标文件中规定的预算金额或者最高限价的;</w:t>
      </w:r>
    </w:p>
    <w:p w14:paraId="70A9E89F">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.8报价明显低于其他通过符合性审查投标人的报价，有可能影响产品质量或者不能诚信履约的，未能按要求提供书面说明或者提交相关证明材料，不能证明其报价合理性的;</w:t>
      </w:r>
    </w:p>
    <w:p w14:paraId="367FD919">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.9投标人对根据修正原则修正后的报价不确认的；</w:t>
      </w:r>
    </w:p>
    <w:p w14:paraId="40DE0253">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.10投标人提供虚假材料投标的；</w:t>
      </w:r>
    </w:p>
    <w:p w14:paraId="50435B51">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.11投标人有恶意串通、妨碍其他投标人的竞争行为、损害采购人或者其他投标人的合法权益情形的；</w:t>
      </w:r>
    </w:p>
    <w:p w14:paraId="3A126124">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.12投标人仅提交备份投标文件，没有在电子交易平台传输递交投标文件的，投标无效；</w:t>
      </w:r>
    </w:p>
    <w:p w14:paraId="0F77AAD2">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 xml:space="preserve">.13 </w:t>
      </w:r>
      <w:r>
        <w:rPr>
          <w:rFonts w:hint="eastAsia" w:ascii="仿宋_GB2312" w:hAnsi="仿宋" w:eastAsia="仿宋_GB2312" w:cs="Arial"/>
          <w:color w:val="auto"/>
          <w:kern w:val="0"/>
          <w:sz w:val="24"/>
          <w:highlight w:val="none"/>
        </w:rPr>
        <w:t>投标文件不满足招标文件的其它实质性要求的；</w:t>
      </w:r>
    </w:p>
    <w:p w14:paraId="04B35788">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lang w:eastAsia="zh-CN"/>
        </w:rPr>
        <w:t>2.67</w:t>
      </w:r>
      <w:r>
        <w:rPr>
          <w:rFonts w:ascii="仿宋_GB2312" w:hAnsi="仿宋" w:eastAsia="仿宋_GB2312" w:cs="Arial"/>
          <w:color w:val="auto"/>
          <w:kern w:val="0"/>
          <w:sz w:val="24"/>
          <w:highlight w:val="none"/>
        </w:rPr>
        <w:t>.14法律、法规、规章（适用本市的）及省级以上规范性文件（适用本市的）规定的其他无效情形。</w:t>
      </w:r>
    </w:p>
    <w:p w14:paraId="3D4FDEF7">
      <w:pPr>
        <w:pStyle w:val="31"/>
        <w:snapToGrid w:val="0"/>
        <w:spacing w:line="360" w:lineRule="auto"/>
        <w:ind w:firstLine="472" w:firstLineChars="196"/>
        <w:outlineLvl w:val="2"/>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14:paraId="4C30C8F3">
      <w:pPr>
        <w:pStyle w:val="31"/>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14:paraId="0164D994">
      <w:pPr>
        <w:pStyle w:val="31"/>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14:paraId="5F55AD27">
      <w:pPr>
        <w:pStyle w:val="31"/>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14:paraId="7E9D6A54">
      <w:pPr>
        <w:pStyle w:val="31"/>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14:paraId="522BB52D">
      <w:pPr>
        <w:pStyle w:val="31"/>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14:paraId="015DE656">
      <w:pPr>
        <w:pStyle w:val="31"/>
        <w:snapToGrid w:val="0"/>
        <w:spacing w:line="360" w:lineRule="auto"/>
        <w:ind w:firstLine="590" w:firstLineChars="245"/>
        <w:outlineLvl w:val="2"/>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516F73D">
      <w:pPr>
        <w:pStyle w:val="31"/>
        <w:snapToGrid w:val="0"/>
        <w:spacing w:line="360" w:lineRule="auto"/>
        <w:ind w:firstLine="590" w:firstLineChars="245"/>
        <w:outlineLvl w:val="2"/>
        <w:rPr>
          <w:rFonts w:ascii="仿宋_GB2312" w:hAnsi="仿宋" w:eastAsia="仿宋_GB2312" w:cs="仿宋_GB2312"/>
          <w:color w:val="auto"/>
          <w:sz w:val="24"/>
          <w:szCs w:val="24"/>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w:t>
      </w:r>
      <w:r>
        <w:rPr>
          <w:rFonts w:hint="eastAsia" w:ascii="仿宋_GB2312" w:hAnsi="仿宋" w:eastAsia="仿宋_GB2312" w:cs="仿宋_GB2312"/>
          <w:color w:val="auto"/>
          <w:sz w:val="24"/>
          <w:szCs w:val="24"/>
          <w:highlight w:val="none"/>
        </w:rPr>
        <w:t>交结果的，依照下列规定处理：</w:t>
      </w:r>
    </w:p>
    <w:p w14:paraId="5B352244">
      <w:pPr>
        <w:pStyle w:val="31"/>
        <w:snapToGrid w:val="0"/>
        <w:spacing w:line="360" w:lineRule="auto"/>
        <w:ind w:firstLine="600" w:firstLineChars="25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7.1未确定中标或者中标人的，终止本次政府采购活动，重新开展政府采购</w:t>
      </w:r>
      <w:r>
        <w:rPr>
          <w:rFonts w:hint="eastAsia" w:ascii="仿宋_GB2312" w:hAnsi="仿宋" w:eastAsia="仿宋_GB2312" w:cs="仿宋_GB2312"/>
          <w:color w:val="auto"/>
          <w:sz w:val="24"/>
          <w:szCs w:val="24"/>
          <w:highlight w:val="none"/>
        </w:rPr>
        <w:t>活动。</w:t>
      </w:r>
    </w:p>
    <w:p w14:paraId="14D6691C">
      <w:pPr>
        <w:pStyle w:val="31"/>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sz w:val="24"/>
          <w:szCs w:val="24"/>
          <w:highlight w:val="none"/>
        </w:rPr>
        <w:t>7.2已确定中标或者中标人但尚未签订政</w:t>
      </w:r>
      <w:r>
        <w:rPr>
          <w:rFonts w:ascii="仿宋_GB2312" w:hAnsi="仿宋" w:eastAsia="仿宋_GB2312" w:cs="仿宋_GB2312"/>
          <w:color w:val="auto"/>
          <w:highlight w:val="none"/>
        </w:rPr>
        <w:t>府采购合同的，中标或者成交结果无效，从合格的中标或者成交候选人中另行确定中标或者中标人；没有合格的中标或者成交候选人的，重新开展政府采购活动。</w:t>
      </w:r>
    </w:p>
    <w:p w14:paraId="1A88B18A">
      <w:pPr>
        <w:pStyle w:val="31"/>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14:paraId="001040BB">
      <w:pPr>
        <w:pStyle w:val="31"/>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14:paraId="669E28AE">
      <w:pPr>
        <w:pStyle w:val="31"/>
        <w:snapToGrid w:val="0"/>
        <w:spacing w:line="360" w:lineRule="auto"/>
        <w:rPr>
          <w:rFonts w:ascii="仿宋_GB2312" w:hAnsi="仿宋" w:eastAsia="仿宋_GB2312" w:cs="仿宋_GB2312"/>
          <w:b/>
          <w:color w:val="auto"/>
          <w:sz w:val="36"/>
          <w:szCs w:val="36"/>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bookmarkEnd w:id="26"/>
      <w:bookmarkStart w:id="408" w:name="第五部分"/>
      <w:bookmarkStart w:id="409" w:name="_Toc86217003"/>
      <w:r>
        <w:rPr>
          <w:rFonts w:ascii="仿宋_GB2312" w:hAnsi="仿宋" w:eastAsia="仿宋_GB2312" w:cs="仿宋_GB2312"/>
          <w:b/>
          <w:color w:val="auto"/>
          <w:sz w:val="36"/>
          <w:szCs w:val="36"/>
          <w:highlight w:val="none"/>
        </w:rPr>
        <w:t xml:space="preserve">    </w:t>
      </w:r>
    </w:p>
    <w:p w14:paraId="282735D4">
      <w:pPr>
        <w:rPr>
          <w:rFonts w:ascii="仿宋_GB2312" w:hAnsi="仿宋" w:eastAsia="仿宋_GB2312" w:cs="仿宋_GB2312"/>
          <w:b/>
          <w:color w:val="auto"/>
          <w:sz w:val="36"/>
          <w:szCs w:val="36"/>
          <w:highlight w:val="none"/>
        </w:rPr>
      </w:pPr>
    </w:p>
    <w:p w14:paraId="08F848FD">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14:paraId="7A3609EA">
      <w:pPr>
        <w:rPr>
          <w:rFonts w:hint="eastAsia" w:ascii="仿宋" w:hAnsi="仿宋" w:eastAsia="仿宋"/>
          <w:color w:val="auto"/>
          <w:sz w:val="24"/>
          <w:highlight w:val="none"/>
          <w:u w:val="single"/>
          <w:lang w:val="en-US" w:eastAsia="zh-CN"/>
        </w:rPr>
      </w:pPr>
      <w:r>
        <w:rPr>
          <w:rFonts w:hint="eastAsia" w:ascii="仿宋" w:hAnsi="仿宋" w:eastAsia="仿宋"/>
          <w:color w:val="auto"/>
          <w:sz w:val="24"/>
          <w:highlight w:val="none"/>
        </w:rPr>
        <w:t>合同编号：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p>
    <w:p w14:paraId="2AACB4A9">
      <w:pPr>
        <w:spacing w:line="480" w:lineRule="auto"/>
        <w:jc w:val="both"/>
        <w:rPr>
          <w:rFonts w:ascii="仿宋" w:hAnsi="仿宋" w:eastAsia="仿宋"/>
          <w:b/>
          <w:color w:val="auto"/>
          <w:sz w:val="24"/>
          <w:highlight w:val="none"/>
        </w:rPr>
      </w:pPr>
    </w:p>
    <w:p w14:paraId="3168252D">
      <w:pPr>
        <w:spacing w:line="480" w:lineRule="auto"/>
        <w:jc w:val="center"/>
        <w:rPr>
          <w:rFonts w:ascii="仿宋" w:hAnsi="仿宋" w:eastAsia="仿宋"/>
          <w:b/>
          <w:color w:val="auto"/>
          <w:sz w:val="24"/>
          <w:highlight w:val="none"/>
        </w:rPr>
      </w:pPr>
    </w:p>
    <w:p w14:paraId="0C9F381B">
      <w:pPr>
        <w:spacing w:line="480" w:lineRule="auto"/>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政府采购合同参考范本</w:t>
      </w:r>
    </w:p>
    <w:p w14:paraId="7DE349D7">
      <w:pPr>
        <w:spacing w:line="480" w:lineRule="auto"/>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w:t>
      </w:r>
      <w:r>
        <w:rPr>
          <w:rFonts w:hint="eastAsia" w:ascii="仿宋_GB2312" w:hAnsi="仿宋_GB2312" w:eastAsia="仿宋_GB2312" w:cs="仿宋_GB2312"/>
          <w:b/>
          <w:color w:val="auto"/>
          <w:sz w:val="36"/>
          <w:szCs w:val="36"/>
          <w:highlight w:val="none"/>
          <w:lang w:eastAsia="zh-CN"/>
        </w:rPr>
        <w:t>货物</w:t>
      </w:r>
      <w:r>
        <w:rPr>
          <w:rFonts w:hint="eastAsia" w:ascii="仿宋_GB2312" w:hAnsi="仿宋_GB2312" w:eastAsia="仿宋_GB2312" w:cs="仿宋_GB2312"/>
          <w:b/>
          <w:color w:val="auto"/>
          <w:sz w:val="36"/>
          <w:szCs w:val="36"/>
          <w:highlight w:val="none"/>
        </w:rPr>
        <w:t>类）</w:t>
      </w:r>
    </w:p>
    <w:p w14:paraId="2E75564F">
      <w:pPr>
        <w:pStyle w:val="707"/>
        <w:ind w:left="0" w:leftChars="0" w:firstLine="0" w:firstLineChars="0"/>
        <w:rPr>
          <w:rFonts w:hint="eastAsia" w:ascii="仿宋_GB2312" w:hAnsi="仿宋_GB2312" w:eastAsia="仿宋_GB2312" w:cs="仿宋_GB2312"/>
          <w:color w:val="auto"/>
          <w:szCs w:val="24"/>
          <w:highlight w:val="none"/>
        </w:rPr>
      </w:pPr>
    </w:p>
    <w:p w14:paraId="70D5672B">
      <w:pPr>
        <w:pStyle w:val="707"/>
        <w:jc w:val="center"/>
        <w:rPr>
          <w:rFonts w:hint="eastAsia" w:ascii="仿宋_GB2312" w:hAnsi="仿宋_GB2312" w:eastAsia="仿宋_GB2312" w:cs="仿宋_GB2312"/>
          <w:color w:val="auto"/>
          <w:szCs w:val="24"/>
          <w:highlight w:val="none"/>
        </w:rPr>
      </w:pPr>
    </w:p>
    <w:p w14:paraId="55C53FE9">
      <w:pPr>
        <w:pStyle w:val="707"/>
        <w:ind w:firstLine="2843" w:firstLineChars="118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第一部分 合同书</w:t>
      </w:r>
    </w:p>
    <w:p w14:paraId="3CA3F667">
      <w:pPr>
        <w:pStyle w:val="707"/>
        <w:rPr>
          <w:rFonts w:hint="eastAsia" w:ascii="仿宋_GB2312" w:hAnsi="仿宋_GB2312" w:eastAsia="仿宋_GB2312" w:cs="仿宋_GB2312"/>
          <w:color w:val="auto"/>
          <w:szCs w:val="24"/>
          <w:highlight w:val="none"/>
        </w:rPr>
      </w:pPr>
    </w:p>
    <w:p w14:paraId="15F980D1">
      <w:pPr>
        <w:pStyle w:val="707"/>
        <w:rPr>
          <w:rFonts w:hint="eastAsia" w:ascii="仿宋_GB2312" w:hAnsi="仿宋_GB2312" w:eastAsia="仿宋_GB2312" w:cs="仿宋_GB2312"/>
          <w:color w:val="auto"/>
          <w:szCs w:val="24"/>
          <w:highlight w:val="none"/>
        </w:rPr>
      </w:pPr>
    </w:p>
    <w:p w14:paraId="1FE6F9A7">
      <w:pPr>
        <w:spacing w:before="120" w:line="22" w:lineRule="atLeast"/>
        <w:rPr>
          <w:rFonts w:hint="eastAsia" w:ascii="仿宋_GB2312" w:hAnsi="仿宋_GB2312" w:eastAsia="仿宋_GB2312" w:cs="仿宋_GB2312"/>
          <w:color w:val="auto"/>
          <w:sz w:val="24"/>
          <w:highlight w:val="none"/>
        </w:rPr>
      </w:pPr>
    </w:p>
    <w:p w14:paraId="50DCA821">
      <w:pPr>
        <w:spacing w:before="120" w:line="22" w:lineRule="atLeast"/>
        <w:ind w:left="96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 xml:space="preserve">                                   </w:t>
      </w:r>
    </w:p>
    <w:p w14:paraId="5B46D950">
      <w:pPr>
        <w:pStyle w:val="604"/>
        <w:spacing w:before="120" w:line="22" w:lineRule="atLeast"/>
        <w:rPr>
          <w:rFonts w:hint="eastAsia" w:ascii="仿宋_GB2312" w:hAnsi="仿宋_GB2312" w:eastAsia="仿宋_GB2312" w:cs="仿宋_GB2312"/>
          <w:color w:val="auto"/>
          <w:szCs w:val="24"/>
          <w:highlight w:val="none"/>
        </w:rPr>
      </w:pPr>
    </w:p>
    <w:p w14:paraId="1BE7C53B">
      <w:pPr>
        <w:pStyle w:val="604"/>
        <w:spacing w:before="120" w:line="22" w:lineRule="atLeast"/>
        <w:rPr>
          <w:rFonts w:hint="eastAsia" w:ascii="仿宋_GB2312" w:hAnsi="仿宋_GB2312" w:eastAsia="仿宋_GB2312" w:cs="仿宋_GB2312"/>
          <w:color w:val="auto"/>
          <w:szCs w:val="24"/>
          <w:highlight w:val="none"/>
        </w:rPr>
      </w:pPr>
    </w:p>
    <w:p w14:paraId="072F38FD">
      <w:pPr>
        <w:rPr>
          <w:rFonts w:hint="eastAsia" w:ascii="仿宋_GB2312" w:hAnsi="仿宋_GB2312" w:eastAsia="仿宋_GB2312" w:cs="仿宋_GB2312"/>
          <w:color w:val="auto"/>
          <w:sz w:val="24"/>
          <w:highlight w:val="none"/>
        </w:rPr>
      </w:pPr>
    </w:p>
    <w:p w14:paraId="04ABA82D">
      <w:pPr>
        <w:spacing w:before="120" w:line="22" w:lineRule="atLeast"/>
        <w:ind w:left="96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甲方：</w:t>
      </w:r>
      <w:r>
        <w:rPr>
          <w:rFonts w:hint="eastAsia" w:ascii="仿宋_GB2312" w:hAnsi="仿宋_GB2312" w:eastAsia="仿宋_GB2312" w:cs="仿宋_GB2312"/>
          <w:color w:val="auto"/>
          <w:sz w:val="24"/>
          <w:highlight w:val="none"/>
          <w:u w:val="single"/>
        </w:rPr>
        <w:t xml:space="preserve">                                       </w:t>
      </w:r>
    </w:p>
    <w:p w14:paraId="39B11927">
      <w:pPr>
        <w:spacing w:before="120" w:line="22" w:lineRule="atLeast"/>
        <w:rPr>
          <w:rFonts w:hint="eastAsia" w:ascii="仿宋_GB2312" w:hAnsi="仿宋_GB2312" w:eastAsia="仿宋_GB2312" w:cs="仿宋_GB2312"/>
          <w:color w:val="auto"/>
          <w:sz w:val="24"/>
          <w:highlight w:val="none"/>
        </w:rPr>
      </w:pPr>
    </w:p>
    <w:p w14:paraId="18AD8835">
      <w:pPr>
        <w:spacing w:before="120" w:line="22" w:lineRule="atLeast"/>
        <w:ind w:left="96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乙方：</w:t>
      </w:r>
      <w:r>
        <w:rPr>
          <w:rFonts w:hint="eastAsia" w:ascii="仿宋_GB2312" w:hAnsi="仿宋_GB2312" w:eastAsia="仿宋_GB2312" w:cs="仿宋_GB2312"/>
          <w:color w:val="auto"/>
          <w:sz w:val="24"/>
          <w:highlight w:val="none"/>
          <w:u w:val="single"/>
        </w:rPr>
        <w:t xml:space="preserve">                                       </w:t>
      </w:r>
    </w:p>
    <w:p w14:paraId="3954BDCA">
      <w:pPr>
        <w:spacing w:before="120" w:line="22" w:lineRule="atLeast"/>
        <w:rPr>
          <w:rFonts w:hint="eastAsia" w:ascii="仿宋_GB2312" w:hAnsi="仿宋_GB2312" w:eastAsia="仿宋_GB2312" w:cs="仿宋_GB2312"/>
          <w:color w:val="auto"/>
          <w:sz w:val="24"/>
          <w:highlight w:val="none"/>
        </w:rPr>
      </w:pPr>
    </w:p>
    <w:p w14:paraId="57DEFBA9">
      <w:pPr>
        <w:spacing w:before="120" w:line="22" w:lineRule="atLeast"/>
        <w:ind w:firstLine="960" w:firstLineChars="4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签订地：</w:t>
      </w:r>
      <w:r>
        <w:rPr>
          <w:rFonts w:hint="eastAsia" w:ascii="仿宋_GB2312" w:hAnsi="仿宋_GB2312" w:eastAsia="仿宋_GB2312" w:cs="仿宋_GB2312"/>
          <w:color w:val="auto"/>
          <w:sz w:val="24"/>
          <w:highlight w:val="none"/>
          <w:u w:val="single"/>
        </w:rPr>
        <w:t xml:space="preserve">                                     </w:t>
      </w:r>
    </w:p>
    <w:p w14:paraId="01E9F999">
      <w:pPr>
        <w:spacing w:before="120" w:line="22" w:lineRule="atLeast"/>
        <w:rPr>
          <w:rFonts w:hint="eastAsia" w:ascii="仿宋_GB2312" w:hAnsi="仿宋_GB2312" w:eastAsia="仿宋_GB2312" w:cs="仿宋_GB2312"/>
          <w:color w:val="auto"/>
          <w:sz w:val="24"/>
          <w:highlight w:val="none"/>
        </w:rPr>
      </w:pPr>
    </w:p>
    <w:p w14:paraId="1A3776AF">
      <w:pPr>
        <w:spacing w:before="120" w:line="22" w:lineRule="atLeast"/>
        <w:ind w:firstLine="960" w:firstLineChars="4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签订日期：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0037CC5D">
      <w:pPr>
        <w:widowControl/>
        <w:jc w:val="left"/>
        <w:rPr>
          <w:rFonts w:hint="eastAsia" w:ascii="仿宋_GB2312" w:hAnsi="仿宋_GB2312" w:eastAsia="仿宋_GB2312" w:cs="仿宋_GB2312"/>
          <w:color w:val="auto"/>
          <w:kern w:val="0"/>
          <w:sz w:val="24"/>
          <w:highlight w:val="none"/>
        </w:rPr>
        <w:sectPr>
          <w:pgSz w:w="11907" w:h="16840"/>
          <w:pgMar w:top="1474" w:right="1474" w:bottom="1135" w:left="1474" w:header="851" w:footer="851" w:gutter="0"/>
          <w:cols w:space="720" w:num="1"/>
        </w:sectPr>
      </w:pPr>
    </w:p>
    <w:p w14:paraId="2F256B42">
      <w:pPr>
        <w:adjustRightInd w:val="0"/>
        <w:snapToGrid w:val="0"/>
        <w:spacing w:line="520" w:lineRule="exact"/>
        <w:ind w:firstLine="0" w:firstLineChars="0"/>
        <w:rPr>
          <w:rFonts w:hint="eastAsia" w:ascii="仿宋_GB2312" w:hAnsi="仿宋_GB2312" w:eastAsia="仿宋_GB2312" w:cs="仿宋_GB2312"/>
          <w:color w:val="000000"/>
          <w:sz w:val="24"/>
          <w:szCs w:val="24"/>
        </w:rPr>
      </w:pPr>
      <w:bookmarkStart w:id="410" w:name="_Toc331685783"/>
      <w:r>
        <w:rPr>
          <w:rFonts w:hint="eastAsia" w:ascii="仿宋_GB2312" w:hAnsi="仿宋_GB2312" w:eastAsia="仿宋_GB2312" w:cs="仿宋_GB2312"/>
          <w:color w:val="000000"/>
          <w:sz w:val="24"/>
          <w:szCs w:val="24"/>
        </w:rPr>
        <w:t>项目名称：</w:t>
      </w:r>
      <w:r>
        <w:rPr>
          <w:rFonts w:hint="eastAsia" w:ascii="仿宋_GB2312" w:hAnsi="仿宋_GB2312" w:eastAsia="仿宋_GB2312" w:cs="仿宋_GB2312"/>
          <w:color w:val="000000"/>
          <w:sz w:val="24"/>
          <w:szCs w:val="24"/>
          <w:lang w:val="zh-CN"/>
        </w:rPr>
        <w:t xml:space="preserve">航埠镇沿线沿路屋顶分布式光伏电站整改服务项目（三次）    </w:t>
      </w:r>
      <w:r>
        <w:rPr>
          <w:rFonts w:hint="eastAsia" w:ascii="仿宋_GB2312" w:hAnsi="仿宋_GB2312" w:eastAsia="仿宋_GB2312" w:cs="仿宋_GB2312"/>
          <w:color w:val="000000"/>
          <w:sz w:val="24"/>
          <w:szCs w:val="24"/>
        </w:rPr>
        <w:t xml:space="preserve">   </w:t>
      </w:r>
    </w:p>
    <w:p w14:paraId="7D759F11">
      <w:pPr>
        <w:adjustRightInd w:val="0"/>
        <w:snapToGrid w:val="0"/>
        <w:spacing w:line="52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项目编号：</w:t>
      </w:r>
    </w:p>
    <w:p w14:paraId="7D1850FE">
      <w:pPr>
        <w:pStyle w:val="38"/>
        <w:snapToGrid w:val="0"/>
        <w:spacing w:before="156" w:beforeLines="50" w:line="520" w:lineRule="exact"/>
        <w:ind w:firstLine="0" w:firstLineChars="0"/>
        <w:jc w:val="left"/>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lang w:val="zh-CN"/>
        </w:rPr>
        <w:t>衢州市柯城区航埠镇人民政府</w:t>
      </w:r>
      <w:r>
        <w:rPr>
          <w:rFonts w:hint="eastAsia" w:ascii="仿宋_GB2312" w:hAnsi="仿宋_GB2312" w:eastAsia="仿宋_GB2312" w:cs="仿宋_GB2312"/>
          <w:sz w:val="24"/>
          <w:szCs w:val="24"/>
        </w:rPr>
        <w:t>（以下简称甲方）</w:t>
      </w:r>
    </w:p>
    <w:p w14:paraId="4B84B4A0">
      <w:pPr>
        <w:adjustRightInd w:val="0"/>
        <w:snapToGrid w:val="0"/>
        <w:spacing w:line="52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乙方：              </w:t>
      </w:r>
      <w:r>
        <w:rPr>
          <w:rFonts w:hint="eastAsia" w:ascii="仿宋_GB2312" w:hAnsi="仿宋_GB2312" w:eastAsia="仿宋_GB2312" w:cs="仿宋_GB2312"/>
          <w:sz w:val="24"/>
          <w:szCs w:val="24"/>
        </w:rPr>
        <w:t>（以下简称乙方）</w:t>
      </w:r>
    </w:p>
    <w:p w14:paraId="4E7D2F67">
      <w:pPr>
        <w:pStyle w:val="38"/>
        <w:keepNext w:val="0"/>
        <w:keepLines w:val="0"/>
        <w:pageBreakBefore w:val="0"/>
        <w:numPr>
          <w:ilvl w:val="0"/>
          <w:numId w:val="4"/>
        </w:numPr>
        <w:kinsoku/>
        <w:wordWrap/>
        <w:overflowPunct/>
        <w:topLinePunct w:val="0"/>
        <w:autoSpaceDN/>
        <w:bidi w:val="0"/>
        <w:snapToGrid w:val="0"/>
        <w:spacing w:line="360" w:lineRule="auto"/>
        <w:ind w:left="0" w:firstLine="480"/>
        <w:jc w:val="left"/>
        <w:textAlignment w:val="auto"/>
        <w:outlineLvl w:val="1"/>
        <w:rPr>
          <w:rFonts w:hint="eastAsia" w:ascii="仿宋_GB2312" w:hAnsi="仿宋_GB2312" w:eastAsia="仿宋_GB2312" w:cs="仿宋_GB2312"/>
          <w:b/>
          <w:bCs/>
          <w:sz w:val="24"/>
          <w:szCs w:val="24"/>
        </w:rPr>
      </w:pPr>
      <w:bookmarkStart w:id="411" w:name="_Toc517703671"/>
      <w:bookmarkStart w:id="412" w:name="_Toc21943"/>
      <w:bookmarkStart w:id="413" w:name="_Toc28545"/>
      <w:bookmarkStart w:id="414" w:name="_Toc18686"/>
      <w:bookmarkStart w:id="415" w:name="_Toc457974238"/>
      <w:bookmarkStart w:id="416" w:name="_Toc19499"/>
      <w:bookmarkStart w:id="417" w:name="_Toc12220"/>
      <w:bookmarkStart w:id="418" w:name="_Toc28340"/>
      <w:r>
        <w:rPr>
          <w:rFonts w:hint="eastAsia" w:ascii="仿宋_GB2312" w:hAnsi="仿宋_GB2312" w:eastAsia="仿宋_GB2312" w:cs="仿宋_GB2312"/>
          <w:b/>
          <w:bCs/>
          <w:sz w:val="24"/>
          <w:szCs w:val="24"/>
        </w:rPr>
        <w:t xml:space="preserve"> 总则</w:t>
      </w:r>
      <w:bookmarkEnd w:id="411"/>
      <w:bookmarkEnd w:id="412"/>
      <w:bookmarkEnd w:id="413"/>
      <w:bookmarkEnd w:id="414"/>
      <w:bookmarkEnd w:id="415"/>
      <w:bookmarkEnd w:id="416"/>
      <w:bookmarkEnd w:id="417"/>
      <w:bookmarkEnd w:id="418"/>
    </w:p>
    <w:p w14:paraId="14CA918A">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left="0"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合同基本条款是指甲乙双方应共同遵守的基本原则，并作为双方签约的依据。对于合同的其他条款，双方应本着互谅互让的精神协商解决。</w:t>
      </w:r>
    </w:p>
    <w:p w14:paraId="0C8D8759">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left="0"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制定“合同主要条款”的依据是《中华人民共和国民法典》、采购文件、投标文件、补充文件、中标通知书等。</w:t>
      </w:r>
    </w:p>
    <w:p w14:paraId="6AED9081">
      <w:pPr>
        <w:keepNext w:val="0"/>
        <w:keepLines w:val="0"/>
        <w:pageBreakBefore w:val="0"/>
        <w:kinsoku/>
        <w:wordWrap/>
        <w:overflowPunct/>
        <w:topLinePunct w:val="0"/>
        <w:autoSpaceDE/>
        <w:autoSpaceDN/>
        <w:bidi w:val="0"/>
        <w:adjustRightInd w:val="0"/>
        <w:snapToGrid w:val="0"/>
        <w:spacing w:line="360" w:lineRule="auto"/>
        <w:ind w:firstLine="480"/>
        <w:jc w:val="left"/>
        <w:textAlignment w:val="auto"/>
        <w:outlineLvl w:val="1"/>
        <w:rPr>
          <w:rFonts w:hint="eastAsia" w:ascii="仿宋_GB2312" w:hAnsi="仿宋_GB2312" w:eastAsia="仿宋_GB2312" w:cs="仿宋_GB2312"/>
          <w:b/>
          <w:bCs/>
          <w:sz w:val="24"/>
          <w:szCs w:val="24"/>
        </w:rPr>
      </w:pPr>
      <w:bookmarkStart w:id="419" w:name="_Toc457974239"/>
      <w:bookmarkStart w:id="420" w:name="_Toc32173"/>
      <w:bookmarkStart w:id="421" w:name="_Toc11056"/>
      <w:bookmarkStart w:id="422" w:name="_Toc16580"/>
      <w:bookmarkStart w:id="423" w:name="_Toc19423"/>
      <w:bookmarkStart w:id="424" w:name="_Toc797"/>
      <w:bookmarkStart w:id="425" w:name="_Toc517703672"/>
      <w:bookmarkStart w:id="426" w:name="_Toc2448"/>
      <w:bookmarkStart w:id="427" w:name="_Toc8649"/>
      <w:bookmarkStart w:id="428" w:name="_Toc21975"/>
      <w:bookmarkStart w:id="429" w:name="_Toc23137"/>
      <w:bookmarkStart w:id="430" w:name="_Toc14741"/>
      <w:bookmarkStart w:id="431" w:name="_Toc10935"/>
      <w:bookmarkStart w:id="432" w:name="_Toc457974240"/>
      <w:bookmarkStart w:id="433" w:name="_Toc25659"/>
      <w:r>
        <w:rPr>
          <w:rFonts w:hint="eastAsia" w:ascii="仿宋_GB2312" w:hAnsi="仿宋_GB2312" w:eastAsia="仿宋_GB2312" w:cs="仿宋_GB2312"/>
          <w:b/>
          <w:bCs/>
          <w:sz w:val="24"/>
          <w:szCs w:val="24"/>
        </w:rPr>
        <w:t>第二条 合同</w:t>
      </w:r>
      <w:bookmarkEnd w:id="419"/>
      <w:r>
        <w:rPr>
          <w:rFonts w:hint="eastAsia" w:ascii="仿宋_GB2312" w:hAnsi="仿宋_GB2312" w:eastAsia="仿宋_GB2312" w:cs="仿宋_GB2312"/>
          <w:b/>
          <w:bCs/>
          <w:sz w:val="24"/>
          <w:szCs w:val="24"/>
        </w:rPr>
        <w:t>金额</w:t>
      </w:r>
      <w:bookmarkEnd w:id="420"/>
      <w:bookmarkEnd w:id="421"/>
      <w:bookmarkEnd w:id="422"/>
      <w:bookmarkEnd w:id="423"/>
      <w:bookmarkEnd w:id="424"/>
      <w:bookmarkEnd w:id="425"/>
      <w:bookmarkEnd w:id="426"/>
    </w:p>
    <w:p w14:paraId="42E05128">
      <w:pPr>
        <w:pStyle w:val="3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仿宋_GB2312" w:hAnsi="仿宋_GB2312" w:eastAsia="仿宋_GB2312" w:cs="仿宋_GB2312"/>
          <w:snapToGrid/>
          <w:kern w:val="2"/>
          <w:sz w:val="24"/>
          <w:szCs w:val="24"/>
          <w:lang w:val="en-US" w:eastAsia="zh-CN" w:bidi="ar-SA"/>
        </w:rPr>
      </w:pPr>
      <w:bookmarkStart w:id="434" w:name="_Toc18643"/>
      <w:bookmarkStart w:id="435" w:name="_Toc517703673"/>
      <w:r>
        <w:rPr>
          <w:rFonts w:hint="eastAsia" w:ascii="仿宋_GB2312" w:hAnsi="仿宋_GB2312" w:eastAsia="仿宋_GB2312" w:cs="仿宋_GB2312"/>
          <w:snapToGrid/>
          <w:kern w:val="2"/>
          <w:sz w:val="24"/>
          <w:szCs w:val="24"/>
          <w:lang w:val="en-US" w:eastAsia="zh-CN" w:bidi="ar-SA"/>
        </w:rPr>
        <w:t>本合同单价金额为（大写）：</w:t>
      </w:r>
      <w:r>
        <w:rPr>
          <w:rFonts w:hint="eastAsia" w:ascii="仿宋_GB2312" w:hAnsi="仿宋_GB2312" w:eastAsia="仿宋_GB2312" w:cs="仿宋_GB2312"/>
          <w:snapToGrid/>
          <w:kern w:val="2"/>
          <w:sz w:val="24"/>
          <w:szCs w:val="24"/>
          <w:u w:val="single"/>
          <w:lang w:val="en-US" w:eastAsia="zh-CN" w:bidi="ar-SA"/>
        </w:rPr>
        <w:t xml:space="preserve">       </w:t>
      </w:r>
      <w:r>
        <w:rPr>
          <w:rFonts w:hint="eastAsia" w:ascii="仿宋_GB2312" w:hAnsi="仿宋_GB2312" w:eastAsia="仿宋_GB2312" w:cs="仿宋_GB2312"/>
          <w:snapToGrid/>
          <w:kern w:val="2"/>
          <w:sz w:val="24"/>
          <w:szCs w:val="24"/>
          <w:lang w:val="en-US" w:eastAsia="zh-CN" w:bidi="ar-SA"/>
        </w:rPr>
        <w:t>元/瓦，小写￥：</w:t>
      </w:r>
      <w:r>
        <w:rPr>
          <w:rFonts w:hint="eastAsia" w:ascii="仿宋_GB2312" w:hAnsi="仿宋_GB2312" w:eastAsia="仿宋_GB2312" w:cs="仿宋_GB2312"/>
          <w:snapToGrid/>
          <w:kern w:val="2"/>
          <w:sz w:val="24"/>
          <w:szCs w:val="24"/>
          <w:u w:val="single"/>
          <w:lang w:val="en-US" w:eastAsia="zh-CN" w:bidi="ar-SA"/>
        </w:rPr>
        <w:t xml:space="preserve">        </w:t>
      </w:r>
      <w:r>
        <w:rPr>
          <w:rFonts w:hint="eastAsia" w:ascii="仿宋_GB2312" w:hAnsi="仿宋_GB2312" w:eastAsia="仿宋_GB2312" w:cs="仿宋_GB2312"/>
          <w:snapToGrid/>
          <w:kern w:val="2"/>
          <w:sz w:val="24"/>
          <w:szCs w:val="24"/>
          <w:lang w:val="en-US" w:eastAsia="zh-CN" w:bidi="ar-SA"/>
        </w:rPr>
        <w:t xml:space="preserve"> 元/瓦。</w:t>
      </w:r>
      <w:bookmarkEnd w:id="434"/>
    </w:p>
    <w:p w14:paraId="36031BC0">
      <w:pPr>
        <w:pStyle w:val="3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1"/>
        <w:rPr>
          <w:rFonts w:hint="eastAsia" w:ascii="仿宋_GB2312" w:hAnsi="仿宋_GB2312" w:eastAsia="仿宋_GB2312" w:cs="仿宋_GB2312"/>
          <w:snapToGrid/>
          <w:kern w:val="2"/>
          <w:sz w:val="24"/>
          <w:szCs w:val="24"/>
          <w:lang w:val="en-US" w:eastAsia="zh-CN" w:bidi="ar-SA"/>
        </w:rPr>
      </w:pPr>
      <w:bookmarkStart w:id="436" w:name="_Toc28506"/>
      <w:r>
        <w:rPr>
          <w:rFonts w:hint="eastAsia" w:ascii="仿宋_GB2312" w:hAnsi="仿宋_GB2312" w:eastAsia="仿宋_GB2312" w:cs="仿宋_GB2312"/>
          <w:snapToGrid/>
          <w:kern w:val="2"/>
          <w:sz w:val="24"/>
          <w:szCs w:val="24"/>
          <w:lang w:val="en-US" w:eastAsia="zh-CN" w:bidi="ar-SA"/>
        </w:rPr>
        <w:t>合同的最终结算金额按实际并网安装容量乘以成交单价进行计算。</w:t>
      </w:r>
      <w:bookmarkEnd w:id="436"/>
    </w:p>
    <w:p w14:paraId="2670E4D4">
      <w:pPr>
        <w:pStyle w:val="3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仿宋_GB2312" w:hAnsi="仿宋_GB2312" w:eastAsia="仿宋_GB2312" w:cs="仿宋_GB2312"/>
          <w:snapToGrid/>
          <w:kern w:val="2"/>
          <w:sz w:val="24"/>
          <w:szCs w:val="24"/>
          <w:lang w:val="en-US" w:eastAsia="zh-CN" w:bidi="ar-SA"/>
        </w:rPr>
      </w:pPr>
      <w:bookmarkStart w:id="437" w:name="_Toc32544"/>
      <w:r>
        <w:rPr>
          <w:rFonts w:hint="eastAsia" w:ascii="仿宋_GB2312" w:hAnsi="仿宋_GB2312" w:eastAsia="仿宋_GB2312" w:cs="仿宋_GB2312"/>
          <w:snapToGrid/>
          <w:kern w:val="2"/>
          <w:sz w:val="24"/>
          <w:szCs w:val="24"/>
          <w:lang w:val="zh-CN" w:eastAsia="zh-CN" w:bidi="ar-SA"/>
        </w:rPr>
        <w:t>本项目</w:t>
      </w:r>
      <w:r>
        <w:rPr>
          <w:rFonts w:hint="eastAsia" w:ascii="仿宋_GB2312" w:hAnsi="仿宋_GB2312" w:eastAsia="仿宋_GB2312" w:cs="仿宋_GB2312"/>
          <w:snapToGrid/>
          <w:kern w:val="2"/>
          <w:sz w:val="24"/>
          <w:szCs w:val="24"/>
          <w:lang w:val="en-US" w:eastAsia="zh-CN" w:bidi="ar-SA"/>
        </w:rPr>
        <w:t>投标报价</w:t>
      </w:r>
      <w:r>
        <w:rPr>
          <w:rFonts w:hint="eastAsia" w:ascii="仿宋_GB2312" w:hAnsi="仿宋_GB2312" w:eastAsia="仿宋_GB2312" w:cs="仿宋_GB2312"/>
          <w:snapToGrid/>
          <w:kern w:val="2"/>
          <w:sz w:val="24"/>
          <w:szCs w:val="24"/>
          <w:lang w:val="zh-CN" w:eastAsia="zh-CN" w:bidi="ar-SA"/>
        </w:rPr>
        <w:t>为单价包干，</w:t>
      </w:r>
      <w:r>
        <w:rPr>
          <w:rFonts w:hint="eastAsia" w:ascii="仿宋_GB2312" w:hAnsi="仿宋_GB2312" w:eastAsia="仿宋_GB2312" w:cs="仿宋_GB2312"/>
          <w:snapToGrid/>
          <w:kern w:val="2"/>
          <w:sz w:val="24"/>
          <w:szCs w:val="24"/>
          <w:lang w:val="en-US" w:eastAsia="zh-CN" w:bidi="ar-SA"/>
        </w:rPr>
        <w:t>投标报价</w:t>
      </w:r>
      <w:r>
        <w:rPr>
          <w:rFonts w:hint="eastAsia" w:ascii="仿宋_GB2312" w:hAnsi="仿宋_GB2312" w:eastAsia="仿宋_GB2312" w:cs="仿宋_GB2312"/>
          <w:snapToGrid/>
          <w:kern w:val="2"/>
          <w:sz w:val="24"/>
          <w:szCs w:val="24"/>
          <w:lang w:val="zh-CN" w:eastAsia="zh-CN" w:bidi="ar-SA"/>
        </w:rPr>
        <w:t>是指</w:t>
      </w:r>
      <w:r>
        <w:rPr>
          <w:rFonts w:hint="eastAsia" w:ascii="仿宋_GB2312" w:hAnsi="仿宋_GB2312" w:eastAsia="仿宋_GB2312" w:cs="仿宋_GB2312"/>
          <w:snapToGrid/>
          <w:kern w:val="2"/>
          <w:sz w:val="24"/>
          <w:szCs w:val="24"/>
          <w:lang w:val="en-US" w:eastAsia="zh-CN" w:bidi="ar-SA"/>
        </w:rPr>
        <w:t>乙方</w:t>
      </w:r>
      <w:r>
        <w:rPr>
          <w:rFonts w:hint="eastAsia" w:ascii="仿宋_GB2312" w:hAnsi="仿宋_GB2312" w:eastAsia="仿宋_GB2312" w:cs="仿宋_GB2312"/>
          <w:snapToGrid/>
          <w:kern w:val="2"/>
          <w:sz w:val="24"/>
          <w:szCs w:val="24"/>
          <w:lang w:val="zh-CN" w:eastAsia="zh-CN" w:bidi="ar-SA"/>
        </w:rPr>
        <w:t>在正确地完全履行合同义务后</w:t>
      </w:r>
      <w:r>
        <w:rPr>
          <w:rFonts w:hint="eastAsia" w:ascii="仿宋_GB2312" w:hAnsi="仿宋_GB2312" w:eastAsia="仿宋_GB2312" w:cs="仿宋_GB2312"/>
          <w:snapToGrid/>
          <w:kern w:val="2"/>
          <w:sz w:val="24"/>
          <w:szCs w:val="24"/>
          <w:lang w:val="en-US" w:eastAsia="zh-CN" w:bidi="ar-SA"/>
        </w:rPr>
        <w:t>甲方</w:t>
      </w:r>
      <w:r>
        <w:rPr>
          <w:rFonts w:hint="eastAsia" w:ascii="仿宋_GB2312" w:hAnsi="仿宋_GB2312" w:eastAsia="仿宋_GB2312" w:cs="仿宋_GB2312"/>
          <w:snapToGrid/>
          <w:kern w:val="2"/>
          <w:sz w:val="24"/>
          <w:szCs w:val="24"/>
          <w:lang w:val="zh-CN" w:eastAsia="zh-CN" w:bidi="ar-SA"/>
        </w:rPr>
        <w:t>应支付的货物和服务价格，包括项目设计、材料采购、工程施工、光伏支架，以及立项、审批、勘测、移交、辅材、运输搬运、损耗、备品备件、专用工具、产品保管、安装、调试、试运行、检验、验收、并网通电、运行维护、维保、售后服务、保险、利润和税金、招标代理费以及政策性文件规定费用及合同包含的所有风险、责任等所有费用</w:t>
      </w:r>
      <w:r>
        <w:rPr>
          <w:rFonts w:hint="eastAsia" w:ascii="仿宋_GB2312" w:hAnsi="仿宋_GB2312" w:eastAsia="仿宋_GB2312" w:cs="仿宋_GB2312"/>
          <w:snapToGrid/>
          <w:kern w:val="2"/>
          <w:sz w:val="24"/>
          <w:szCs w:val="24"/>
          <w:lang w:val="en-US" w:eastAsia="zh-CN" w:bidi="ar-SA"/>
        </w:rPr>
        <w:t>。如有漏项，视同已包含在其它产品中，价格不作调整，成交后甲方不允许乙方擅自更换产品、改变服务内容、质量标准、期限和追加项目费用。</w:t>
      </w:r>
      <w:bookmarkEnd w:id="437"/>
    </w:p>
    <w:p w14:paraId="16A70FD5">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outlineLvl w:val="1"/>
        <w:rPr>
          <w:rFonts w:hint="eastAsia" w:ascii="仿宋_GB2312" w:hAnsi="仿宋_GB2312" w:eastAsia="仿宋_GB2312" w:cs="仿宋_GB2312"/>
          <w:b/>
          <w:bCs/>
          <w:sz w:val="24"/>
          <w:szCs w:val="24"/>
          <w:lang w:val="en-US" w:eastAsia="zh-CN"/>
        </w:rPr>
      </w:pPr>
      <w:bookmarkStart w:id="438" w:name="_Toc363"/>
      <w:r>
        <w:rPr>
          <w:rFonts w:hint="eastAsia" w:ascii="仿宋_GB2312" w:hAnsi="仿宋_GB2312" w:eastAsia="仿宋_GB2312" w:cs="仿宋_GB2312"/>
          <w:b/>
          <w:bCs/>
          <w:sz w:val="24"/>
          <w:szCs w:val="24"/>
          <w:lang w:val="en-US" w:eastAsia="zh-CN"/>
        </w:rPr>
        <w:t>第三条 技术要求</w:t>
      </w:r>
      <w:bookmarkEnd w:id="438"/>
    </w:p>
    <w:p w14:paraId="6CCF0430">
      <w:pPr>
        <w:pStyle w:val="3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按</w:t>
      </w:r>
      <w:r>
        <w:rPr>
          <w:rFonts w:hint="eastAsia" w:ascii="仿宋_GB2312" w:hAnsi="仿宋_GB2312" w:eastAsia="仿宋_GB2312" w:cs="仿宋_GB2312"/>
          <w:snapToGrid/>
          <w:kern w:val="2"/>
          <w:sz w:val="24"/>
          <w:szCs w:val="24"/>
          <w:lang w:val="en-US" w:eastAsia="zh-CN" w:bidi="ar-SA"/>
        </w:rPr>
        <w:t>招标</w:t>
      </w:r>
      <w:r>
        <w:rPr>
          <w:rFonts w:hint="eastAsia" w:ascii="仿宋_GB2312" w:hAnsi="仿宋_GB2312" w:eastAsia="仿宋_GB2312" w:cs="仿宋_GB2312"/>
          <w:snapToGrid/>
          <w:kern w:val="2"/>
          <w:sz w:val="24"/>
          <w:szCs w:val="24"/>
          <w:lang w:val="zh-CN" w:eastAsia="zh-CN" w:bidi="ar-SA"/>
        </w:rPr>
        <w:t>文件</w:t>
      </w:r>
      <w:r>
        <w:rPr>
          <w:rFonts w:hint="eastAsia" w:ascii="仿宋_GB2312" w:hAnsi="仿宋_GB2312" w:eastAsia="仿宋_GB2312" w:cs="仿宋_GB2312"/>
          <w:snapToGrid/>
          <w:kern w:val="2"/>
          <w:sz w:val="24"/>
          <w:szCs w:val="24"/>
          <w:lang w:val="en-US" w:eastAsia="zh-CN" w:bidi="ar-SA"/>
        </w:rPr>
        <w:t>第三部分 采购内容及</w:t>
      </w:r>
      <w:r>
        <w:rPr>
          <w:rFonts w:hint="eastAsia" w:ascii="仿宋_GB2312" w:hAnsi="仿宋_GB2312" w:eastAsia="仿宋_GB2312" w:cs="仿宋_GB2312"/>
          <w:snapToGrid/>
          <w:kern w:val="2"/>
          <w:sz w:val="24"/>
          <w:szCs w:val="24"/>
          <w:lang w:val="zh-CN" w:eastAsia="zh-CN" w:bidi="ar-SA"/>
        </w:rPr>
        <w:t>要求。</w:t>
      </w:r>
    </w:p>
    <w:p w14:paraId="317E7EFD">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第四条 乙方工作内容</w:t>
      </w:r>
    </w:p>
    <w:p w14:paraId="1B969040">
      <w:pPr>
        <w:pStyle w:val="3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1.负责工程设计、设备采购、施工，以及立项、勘测、运维、验收、并网、移交等。</w:t>
      </w:r>
    </w:p>
    <w:p w14:paraId="2583C29C">
      <w:pPr>
        <w:pStyle w:val="3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2.负责项目建设、施工、管理的等工作。必须按照国家标准、规定规范和行业规定要求施工，一次性验收合格，确保安全无事故，如有发生一切责任均由乙方负责。</w:t>
      </w:r>
    </w:p>
    <w:p w14:paraId="5A19586E">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第五条 安全要求</w:t>
      </w:r>
    </w:p>
    <w:p w14:paraId="7A56E7B8">
      <w:pPr>
        <w:pStyle w:val="3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本项目的安全问题由乙方终身负责，甲方不负任何连带责任。</w:t>
      </w:r>
    </w:p>
    <w:p w14:paraId="5930D2ED">
      <w:pPr>
        <w:pStyle w:val="24"/>
        <w:keepNext w:val="0"/>
        <w:keepLines w:val="0"/>
        <w:pageBreakBefore w:val="0"/>
        <w:widowControl w:val="0"/>
        <w:kinsoku/>
        <w:wordWrap/>
        <w:overflowPunct/>
        <w:topLinePunct w:val="0"/>
        <w:autoSpaceDE/>
        <w:autoSpaceDN/>
        <w:bidi w:val="0"/>
        <w:adjustRightInd w:val="0"/>
        <w:snapToGrid w:val="0"/>
        <w:spacing w:line="360" w:lineRule="auto"/>
        <w:ind w:right="0" w:firstLine="482" w:firstLineChars="200"/>
        <w:textAlignment w:val="auto"/>
        <w:outlineLvl w:val="1"/>
        <w:rPr>
          <w:rFonts w:hint="eastAsia" w:ascii="仿宋_GB2312" w:hAnsi="仿宋_GB2312" w:eastAsia="仿宋_GB2312" w:cs="仿宋_GB2312"/>
          <w:b/>
          <w:bCs/>
          <w:snapToGrid/>
          <w:kern w:val="2"/>
          <w:sz w:val="24"/>
          <w:szCs w:val="24"/>
          <w:lang w:val="en-US" w:eastAsia="zh-CN" w:bidi="ar-SA"/>
        </w:rPr>
      </w:pPr>
      <w:r>
        <w:rPr>
          <w:rFonts w:hint="eastAsia" w:ascii="仿宋_GB2312" w:hAnsi="仿宋_GB2312" w:eastAsia="仿宋_GB2312" w:cs="仿宋_GB2312"/>
          <w:b/>
          <w:bCs/>
          <w:snapToGrid/>
          <w:kern w:val="2"/>
          <w:sz w:val="24"/>
          <w:szCs w:val="24"/>
          <w:lang w:val="en-US" w:eastAsia="zh-CN" w:bidi="ar-SA"/>
        </w:rPr>
        <w:t>第六条 供货期</w:t>
      </w:r>
    </w:p>
    <w:p w14:paraId="0B9D99B9">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leftChars="0"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合同签订之日起</w:t>
      </w:r>
      <w:r>
        <w:rPr>
          <w:rFonts w:hint="eastAsia" w:ascii="仿宋_GB2312" w:hAnsi="仿宋_GB2312" w:eastAsia="仿宋_GB2312" w:cs="仿宋_GB2312"/>
          <w:snapToGrid/>
          <w:kern w:val="2"/>
          <w:sz w:val="24"/>
          <w:szCs w:val="24"/>
          <w:u w:val="single"/>
          <w:lang w:val="en-US" w:eastAsia="zh-CN" w:bidi="ar-SA"/>
        </w:rPr>
        <w:t>25</w:t>
      </w:r>
      <w:r>
        <w:rPr>
          <w:rFonts w:hint="eastAsia" w:ascii="仿宋_GB2312" w:hAnsi="仿宋_GB2312" w:eastAsia="仿宋_GB2312" w:cs="仿宋_GB2312"/>
          <w:snapToGrid/>
          <w:kern w:val="2"/>
          <w:sz w:val="24"/>
          <w:szCs w:val="24"/>
          <w:u w:val="single"/>
          <w:lang w:val="zh-CN" w:eastAsia="zh-CN" w:bidi="ar-SA"/>
        </w:rPr>
        <w:t>天</w:t>
      </w:r>
      <w:r>
        <w:rPr>
          <w:rFonts w:hint="eastAsia" w:ascii="仿宋_GB2312" w:hAnsi="仿宋_GB2312" w:eastAsia="仿宋_GB2312" w:cs="仿宋_GB2312"/>
          <w:snapToGrid/>
          <w:kern w:val="2"/>
          <w:sz w:val="24"/>
          <w:szCs w:val="24"/>
          <w:lang w:val="zh-CN" w:eastAsia="zh-CN" w:bidi="ar-SA"/>
        </w:rPr>
        <w:t>内完成</w:t>
      </w:r>
      <w:r>
        <w:rPr>
          <w:rFonts w:hint="eastAsia" w:ascii="仿宋_GB2312" w:hAnsi="仿宋_GB2312" w:eastAsia="仿宋_GB2312" w:cs="仿宋_GB2312"/>
          <w:snapToGrid/>
          <w:kern w:val="2"/>
          <w:sz w:val="24"/>
          <w:szCs w:val="24"/>
          <w:lang w:val="en-US" w:eastAsia="zh-CN" w:bidi="ar-SA"/>
        </w:rPr>
        <w:t>安装、调试、并</w:t>
      </w:r>
      <w:r>
        <w:rPr>
          <w:rFonts w:hint="eastAsia" w:ascii="仿宋_GB2312" w:hAnsi="仿宋_GB2312" w:eastAsia="仿宋_GB2312" w:cs="仿宋_GB2312"/>
          <w:snapToGrid/>
          <w:kern w:val="2"/>
          <w:sz w:val="24"/>
          <w:szCs w:val="24"/>
          <w:lang w:val="zh-CN" w:eastAsia="zh-CN" w:bidi="ar-SA"/>
        </w:rPr>
        <w:t>网发电并通过相关部门竣工验收，与供电部门并网发电并投入正常运行。</w:t>
      </w:r>
    </w:p>
    <w:p w14:paraId="111E467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_GB2312" w:hAnsi="仿宋_GB2312" w:eastAsia="仿宋_GB2312" w:cs="仿宋_GB2312"/>
          <w:b/>
          <w:bCs/>
          <w:snapToGrid/>
          <w:kern w:val="2"/>
          <w:sz w:val="24"/>
          <w:szCs w:val="24"/>
          <w:lang w:val="en-US" w:eastAsia="zh-CN" w:bidi="ar-SA"/>
        </w:rPr>
      </w:pPr>
      <w:bookmarkStart w:id="439" w:name="_Toc12339"/>
      <w:bookmarkStart w:id="440" w:name="_Toc13670"/>
      <w:r>
        <w:rPr>
          <w:rFonts w:hint="eastAsia" w:ascii="仿宋_GB2312" w:hAnsi="仿宋_GB2312" w:eastAsia="仿宋_GB2312" w:cs="仿宋_GB2312"/>
          <w:b/>
          <w:bCs/>
          <w:snapToGrid/>
          <w:kern w:val="2"/>
          <w:sz w:val="24"/>
          <w:szCs w:val="24"/>
          <w:lang w:val="en-US" w:eastAsia="zh-CN" w:bidi="ar-SA"/>
        </w:rPr>
        <w:t>第七条 履约保证金</w:t>
      </w:r>
      <w:bookmarkEnd w:id="439"/>
      <w:bookmarkEnd w:id="440"/>
    </w:p>
    <w:p w14:paraId="3C34FF70">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leftChars="0"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1.交纳金额：乙方须向甲方交纳，为合同价格的1.0%，</w:t>
      </w:r>
      <w:r>
        <w:rPr>
          <w:rFonts w:hint="eastAsia" w:ascii="仿宋_GB2312" w:hAnsi="仿宋_GB2312" w:eastAsia="仿宋_GB2312" w:cs="仿宋_GB2312"/>
          <w:snapToGrid/>
          <w:kern w:val="2"/>
          <w:sz w:val="24"/>
          <w:szCs w:val="24"/>
          <w:lang w:val="en-US" w:eastAsia="zh-CN" w:bidi="ar-SA"/>
        </w:rPr>
        <w:t xml:space="preserve">即人民币：     </w:t>
      </w:r>
      <w:r>
        <w:rPr>
          <w:rFonts w:hint="eastAsia" w:ascii="仿宋_GB2312" w:hAnsi="仿宋_GB2312" w:eastAsia="仿宋_GB2312" w:cs="仿宋_GB2312"/>
          <w:snapToGrid/>
          <w:kern w:val="2"/>
          <w:sz w:val="24"/>
          <w:szCs w:val="24"/>
          <w:lang w:val="zh-CN" w:eastAsia="zh-CN" w:bidi="ar-SA"/>
        </w:rPr>
        <w:t>元；</w:t>
      </w:r>
    </w:p>
    <w:p w14:paraId="2E6190C4">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leftChars="0"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2.交纳方式：汇票/支票/银行转账/银行保函。</w:t>
      </w:r>
    </w:p>
    <w:p w14:paraId="0E4C4E8E">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leftChars="0" w:firstLine="480" w:firstLineChars="200"/>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zh-CN" w:eastAsia="zh-CN" w:bidi="ar-SA"/>
        </w:rPr>
        <w:t>3.</w:t>
      </w:r>
      <w:r>
        <w:rPr>
          <w:rFonts w:hint="eastAsia" w:ascii="仿宋_GB2312" w:hAnsi="仿宋_GB2312" w:eastAsia="仿宋_GB2312" w:cs="仿宋_GB2312"/>
          <w:snapToGrid/>
          <w:kern w:val="2"/>
          <w:sz w:val="24"/>
          <w:szCs w:val="24"/>
          <w:lang w:val="en-US" w:eastAsia="zh-CN" w:bidi="ar-SA"/>
        </w:rPr>
        <w:t>交纳时间：中标通知书发出后合同签订前交纳；</w:t>
      </w:r>
    </w:p>
    <w:p w14:paraId="57C01E0B">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leftChars="0" w:firstLine="480" w:firstLineChars="200"/>
        <w:textAlignment w:val="auto"/>
        <w:rPr>
          <w:rFonts w:hint="eastAsia" w:ascii="仿宋_GB2312" w:hAnsi="仿宋_GB2312" w:eastAsia="仿宋_GB2312" w:cs="仿宋_GB2312"/>
          <w:snapToGrid/>
          <w:kern w:val="2"/>
          <w:sz w:val="24"/>
          <w:szCs w:val="24"/>
          <w:lang w:val="en-US" w:eastAsia="zh-CN" w:bidi="ar-SA"/>
        </w:rPr>
      </w:pPr>
      <w:bookmarkStart w:id="441" w:name="_Toc487778127"/>
      <w:bookmarkStart w:id="442" w:name="_Toc487261667"/>
      <w:bookmarkStart w:id="443" w:name="_Toc20394"/>
      <w:bookmarkStart w:id="444" w:name="_Toc468429890"/>
      <w:bookmarkStart w:id="445" w:name="_Toc487468360"/>
      <w:bookmarkStart w:id="446" w:name="_Toc492534508"/>
      <w:bookmarkStart w:id="447" w:name="_Toc5816"/>
      <w:bookmarkStart w:id="448" w:name="_Toc487261585"/>
      <w:bookmarkStart w:id="449" w:name="_Toc487778290"/>
      <w:bookmarkStart w:id="450" w:name="_Toc492537900"/>
      <w:bookmarkStart w:id="451" w:name="_Toc487261723"/>
      <w:bookmarkStart w:id="452" w:name="_Toc492446971"/>
      <w:bookmarkStart w:id="453" w:name="_Toc492537895"/>
      <w:bookmarkStart w:id="454" w:name="_Toc487468355"/>
      <w:bookmarkStart w:id="455" w:name="_Toc487261718"/>
      <w:bookmarkStart w:id="456" w:name="_Toc487778285"/>
      <w:bookmarkStart w:id="457" w:name="_Toc487778122"/>
      <w:bookmarkStart w:id="458" w:name="_Toc487261662"/>
      <w:bookmarkStart w:id="459" w:name="_Toc468429884"/>
      <w:bookmarkStart w:id="460" w:name="_Toc492534503"/>
      <w:bookmarkStart w:id="461" w:name="_Toc487261580"/>
      <w:bookmarkStart w:id="462" w:name="_Toc492446966"/>
      <w:r>
        <w:rPr>
          <w:rFonts w:hint="eastAsia" w:ascii="仿宋_GB2312" w:hAnsi="仿宋_GB2312" w:eastAsia="仿宋_GB2312" w:cs="仿宋_GB2312"/>
          <w:snapToGrid/>
          <w:kern w:val="2"/>
          <w:sz w:val="24"/>
          <w:szCs w:val="24"/>
          <w:lang w:val="zh-CN" w:eastAsia="zh-CN" w:bidi="ar-SA"/>
        </w:rPr>
        <w:t>4</w:t>
      </w:r>
      <w:r>
        <w:rPr>
          <w:rFonts w:hint="eastAsia" w:ascii="仿宋_GB2312" w:hAnsi="仿宋_GB2312" w:eastAsia="仿宋_GB2312" w:cs="仿宋_GB2312"/>
          <w:snapToGrid/>
          <w:kern w:val="2"/>
          <w:sz w:val="24"/>
          <w:szCs w:val="24"/>
          <w:lang w:val="en-US" w:eastAsia="zh-CN" w:bidi="ar-SA"/>
        </w:rPr>
        <w:t>.</w:t>
      </w:r>
      <w:r>
        <w:rPr>
          <w:rFonts w:hint="eastAsia" w:ascii="仿宋_GB2312" w:hAnsi="仿宋_GB2312" w:eastAsia="仿宋_GB2312" w:cs="仿宋_GB2312"/>
          <w:snapToGrid/>
          <w:kern w:val="2"/>
          <w:sz w:val="24"/>
          <w:szCs w:val="24"/>
          <w:lang w:val="zh-CN" w:eastAsia="zh-CN" w:bidi="ar-SA"/>
        </w:rPr>
        <w:t>退还条件：</w:t>
      </w:r>
      <w:r>
        <w:rPr>
          <w:rFonts w:hint="eastAsia" w:ascii="仿宋_GB2312" w:hAnsi="仿宋_GB2312" w:eastAsia="仿宋_GB2312" w:cs="仿宋_GB2312"/>
          <w:snapToGrid/>
          <w:kern w:val="2"/>
          <w:sz w:val="24"/>
          <w:szCs w:val="24"/>
          <w:lang w:val="en-US" w:eastAsia="zh-CN" w:bidi="ar-SA"/>
        </w:rPr>
        <w:t>项目通过相关部门竣工验收，与供电部门并网发电并投入正常运行后全额自动转为运维基金，无偿运行维护期（5年）满后，乙方无质量问题、纠纷及违约行为的，甲方退还（不计利息）。</w:t>
      </w:r>
    </w:p>
    <w:p w14:paraId="5ED3E14D">
      <w:pPr>
        <w:pStyle w:val="3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_GB2312" w:hAnsi="仿宋_GB2312" w:eastAsia="仿宋_GB2312" w:cs="仿宋_GB2312"/>
          <w:b/>
          <w:bCs/>
          <w:snapToGrid/>
          <w:kern w:val="2"/>
          <w:sz w:val="24"/>
          <w:szCs w:val="24"/>
          <w:lang w:val="en-US" w:eastAsia="zh-CN" w:bidi="ar-SA"/>
        </w:rPr>
      </w:pPr>
      <w:bookmarkStart w:id="463" w:name="_Toc6585"/>
      <w:r>
        <w:rPr>
          <w:rFonts w:hint="eastAsia" w:ascii="仿宋_GB2312" w:hAnsi="仿宋_GB2312" w:eastAsia="仿宋_GB2312" w:cs="仿宋_GB2312"/>
          <w:b/>
          <w:bCs/>
          <w:snapToGrid/>
          <w:kern w:val="2"/>
          <w:sz w:val="24"/>
          <w:szCs w:val="24"/>
          <w:lang w:val="en-US" w:eastAsia="zh-CN" w:bidi="ar-SA"/>
        </w:rPr>
        <w:t>第八条 款项支付</w:t>
      </w:r>
      <w:bookmarkEnd w:id="441"/>
      <w:bookmarkEnd w:id="442"/>
      <w:bookmarkEnd w:id="443"/>
      <w:bookmarkEnd w:id="444"/>
      <w:bookmarkEnd w:id="445"/>
      <w:bookmarkEnd w:id="446"/>
      <w:bookmarkEnd w:id="447"/>
      <w:bookmarkEnd w:id="448"/>
      <w:bookmarkEnd w:id="449"/>
      <w:bookmarkEnd w:id="450"/>
      <w:bookmarkEnd w:id="451"/>
      <w:bookmarkEnd w:id="452"/>
      <w:bookmarkEnd w:id="463"/>
      <w:bookmarkStart w:id="464" w:name="_Toc487261588"/>
      <w:bookmarkStart w:id="465" w:name="_Toc26417"/>
      <w:bookmarkStart w:id="466" w:name="_Toc487778130"/>
      <w:bookmarkStart w:id="467" w:name="_Toc492534511"/>
      <w:bookmarkStart w:id="468" w:name="_Toc487778293"/>
      <w:bookmarkStart w:id="469" w:name="_Toc492446974"/>
      <w:bookmarkStart w:id="470" w:name="_Toc487261670"/>
      <w:bookmarkStart w:id="471" w:name="_Toc487468363"/>
      <w:bookmarkStart w:id="472" w:name="_Toc487261726"/>
      <w:bookmarkStart w:id="473" w:name="_Toc468429888"/>
      <w:bookmarkStart w:id="474" w:name="_Toc492537903"/>
      <w:bookmarkStart w:id="475" w:name="_Toc28994"/>
      <w:bookmarkStart w:id="476" w:name="_Toc8145"/>
      <w:bookmarkStart w:id="477" w:name="_Toc487778284"/>
      <w:bookmarkStart w:id="478" w:name="_Toc487778121"/>
      <w:bookmarkStart w:id="479" w:name="_Toc492534502"/>
      <w:bookmarkStart w:id="480" w:name="_Toc487468354"/>
      <w:bookmarkStart w:id="481" w:name="_Toc487261579"/>
      <w:bookmarkStart w:id="482" w:name="_Toc487261717"/>
      <w:bookmarkStart w:id="483" w:name="_Toc468429883"/>
      <w:bookmarkStart w:id="484" w:name="_Toc492446965"/>
      <w:bookmarkStart w:id="485" w:name="_Toc492537894"/>
      <w:bookmarkStart w:id="486" w:name="_Toc487261661"/>
    </w:p>
    <w:p w14:paraId="0ED33222">
      <w:pPr>
        <w:keepNext w:val="0"/>
        <w:keepLines w:val="0"/>
        <w:pageBreakBefore w:val="0"/>
        <w:widowControl w:val="0"/>
        <w:kinsoku/>
        <w:wordWrap/>
        <w:overflowPunct/>
        <w:topLinePunct w:val="0"/>
        <w:autoSpaceDE w:val="0"/>
        <w:bidi w:val="0"/>
        <w:adjustRightInd w:val="0"/>
        <w:snapToGrid w:val="0"/>
        <w:spacing w:line="360" w:lineRule="auto"/>
        <w:ind w:firstLine="482"/>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auto"/>
          <w:kern w:val="2"/>
          <w:sz w:val="24"/>
          <w:szCs w:val="24"/>
          <w:highlight w:val="none"/>
          <w:u w:val="single"/>
          <w:lang w:val="en-US" w:eastAsia="zh-CN" w:bidi="ar-SA"/>
        </w:rPr>
        <w:t>项目安装完毕并通过当地电力部门验收且并网发电，并向甲方提交全套竣工资料和</w:t>
      </w:r>
      <w:r>
        <w:rPr>
          <w:rFonts w:hint="eastAsia" w:ascii="仿宋" w:hAnsi="仿宋" w:eastAsia="仿宋" w:cs="仿宋"/>
          <w:snapToGrid/>
          <w:color w:val="auto"/>
          <w:kern w:val="2"/>
          <w:sz w:val="24"/>
          <w:szCs w:val="24"/>
          <w:highlight w:val="none"/>
          <w:u w:val="single"/>
          <w:lang w:val="en-US" w:eastAsia="zh-CN" w:bidi="ar-SA"/>
        </w:rPr>
        <w:t>验收</w:t>
      </w:r>
      <w:r>
        <w:rPr>
          <w:rFonts w:hint="eastAsia" w:ascii="仿宋" w:hAnsi="仿宋" w:eastAsia="仿宋" w:cs="仿宋"/>
          <w:color w:val="auto"/>
          <w:kern w:val="2"/>
          <w:sz w:val="24"/>
          <w:szCs w:val="24"/>
          <w:highlight w:val="none"/>
          <w:u w:val="single"/>
          <w:lang w:val="en-US" w:eastAsia="zh-CN" w:bidi="ar-SA"/>
        </w:rPr>
        <w:t>后，按实际并网安装容量及成交单价计算支付至实际工程量价款，经验收合格后支付至结算合同总价的</w:t>
      </w:r>
      <w:r>
        <w:rPr>
          <w:rFonts w:hint="eastAsia" w:ascii="仿宋" w:hAnsi="仿宋" w:eastAsia="仿宋" w:cs="仿宋"/>
          <w:b/>
          <w:bCs/>
          <w:color w:val="auto"/>
          <w:kern w:val="2"/>
          <w:sz w:val="24"/>
          <w:szCs w:val="24"/>
          <w:highlight w:val="none"/>
          <w:u w:val="single"/>
          <w:lang w:val="en-US" w:eastAsia="zh-CN" w:bidi="ar-SA"/>
        </w:rPr>
        <w:t>100%</w:t>
      </w:r>
      <w:r>
        <w:rPr>
          <w:rFonts w:hint="eastAsia" w:ascii="仿宋" w:hAnsi="仿宋" w:eastAsia="仿宋" w:cs="仿宋"/>
          <w:color w:val="auto"/>
          <w:kern w:val="2"/>
          <w:sz w:val="24"/>
          <w:szCs w:val="24"/>
          <w:highlight w:val="none"/>
          <w:u w:val="single"/>
          <w:lang w:val="en-US" w:eastAsia="zh-CN" w:bidi="ar-SA"/>
        </w:rPr>
        <w:t>（无息）。</w:t>
      </w:r>
    </w:p>
    <w:p w14:paraId="6AC0F98F">
      <w:pPr>
        <w:pStyle w:val="3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_GB2312" w:hAnsi="仿宋_GB2312" w:eastAsia="仿宋_GB2312" w:cs="仿宋_GB2312"/>
          <w:b/>
          <w:bCs/>
          <w:snapToGrid/>
          <w:kern w:val="2"/>
          <w:sz w:val="24"/>
          <w:szCs w:val="24"/>
          <w:lang w:val="en-US" w:eastAsia="zh-CN" w:bidi="ar-SA"/>
        </w:rPr>
      </w:pPr>
      <w:r>
        <w:rPr>
          <w:rFonts w:hint="eastAsia" w:ascii="仿宋_GB2312" w:hAnsi="仿宋_GB2312" w:eastAsia="仿宋_GB2312" w:cs="仿宋_GB2312"/>
          <w:b/>
          <w:bCs/>
          <w:snapToGrid/>
          <w:kern w:val="2"/>
          <w:sz w:val="24"/>
          <w:szCs w:val="24"/>
          <w:lang w:val="en-US" w:eastAsia="zh-CN" w:bidi="ar-SA"/>
        </w:rPr>
        <w:t>第九条 运维服务</w:t>
      </w:r>
      <w:bookmarkEnd w:id="464"/>
      <w:bookmarkEnd w:id="465"/>
      <w:bookmarkEnd w:id="466"/>
      <w:bookmarkEnd w:id="467"/>
      <w:bookmarkEnd w:id="468"/>
      <w:bookmarkEnd w:id="469"/>
      <w:bookmarkEnd w:id="470"/>
      <w:bookmarkEnd w:id="471"/>
      <w:bookmarkEnd w:id="472"/>
      <w:bookmarkEnd w:id="473"/>
      <w:bookmarkEnd w:id="474"/>
      <w:bookmarkEnd w:id="475"/>
      <w:bookmarkEnd w:id="476"/>
    </w:p>
    <w:p w14:paraId="35B003D0">
      <w:pPr>
        <w:pStyle w:val="38"/>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1"/>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1.运维服务年限25年，其中无偿运行维护年限为</w:t>
      </w:r>
      <w:r>
        <w:rPr>
          <w:rFonts w:hint="eastAsia" w:ascii="仿宋_GB2312" w:hAnsi="仿宋_GB2312" w:eastAsia="仿宋_GB2312" w:cs="仿宋_GB2312"/>
          <w:snapToGrid/>
          <w:kern w:val="2"/>
          <w:sz w:val="24"/>
          <w:szCs w:val="24"/>
          <w:lang w:val="en-US" w:eastAsia="zh-CN" w:bidi="ar-SA"/>
        </w:rPr>
        <w:t>5</w:t>
      </w:r>
      <w:r>
        <w:rPr>
          <w:rFonts w:hint="eastAsia" w:ascii="仿宋_GB2312" w:hAnsi="仿宋_GB2312" w:eastAsia="仿宋_GB2312" w:cs="仿宋_GB2312"/>
          <w:snapToGrid/>
          <w:kern w:val="2"/>
          <w:sz w:val="24"/>
          <w:szCs w:val="24"/>
          <w:lang w:val="zh-CN" w:eastAsia="zh-CN" w:bidi="ar-SA"/>
        </w:rPr>
        <w:t>年，无偿运行维护期满后的有偿运维年限为</w:t>
      </w:r>
      <w:r>
        <w:rPr>
          <w:rFonts w:hint="eastAsia" w:ascii="仿宋_GB2312" w:hAnsi="仿宋_GB2312" w:eastAsia="仿宋_GB2312" w:cs="仿宋_GB2312"/>
          <w:snapToGrid/>
          <w:kern w:val="2"/>
          <w:sz w:val="24"/>
          <w:szCs w:val="24"/>
          <w:lang w:val="en-US" w:eastAsia="zh-CN" w:bidi="ar-SA"/>
        </w:rPr>
        <w:t>20</w:t>
      </w:r>
      <w:r>
        <w:rPr>
          <w:rFonts w:hint="eastAsia" w:ascii="仿宋_GB2312" w:hAnsi="仿宋_GB2312" w:eastAsia="仿宋_GB2312" w:cs="仿宋_GB2312"/>
          <w:snapToGrid/>
          <w:kern w:val="2"/>
          <w:sz w:val="24"/>
          <w:szCs w:val="24"/>
          <w:lang w:val="zh-CN" w:eastAsia="zh-CN" w:bidi="ar-SA"/>
        </w:rPr>
        <w:t>年，运维服务</w:t>
      </w:r>
      <w:r>
        <w:rPr>
          <w:rFonts w:hint="eastAsia" w:ascii="仿宋_GB2312" w:hAnsi="仿宋_GB2312" w:eastAsia="仿宋_GB2312" w:cs="仿宋_GB2312"/>
          <w:snapToGrid/>
          <w:kern w:val="2"/>
          <w:sz w:val="24"/>
          <w:szCs w:val="24"/>
          <w:lang w:val="en-US" w:eastAsia="zh-CN" w:bidi="ar-SA"/>
        </w:rPr>
        <w:t>费用为人民币</w:t>
      </w:r>
      <w:r>
        <w:rPr>
          <w:rFonts w:hint="eastAsia" w:ascii="仿宋_GB2312" w:hAnsi="仿宋_GB2312" w:eastAsia="仿宋_GB2312" w:cs="仿宋_GB2312"/>
          <w:snapToGrid/>
          <w:kern w:val="2"/>
          <w:sz w:val="24"/>
          <w:szCs w:val="24"/>
          <w:lang w:val="zh-CN" w:eastAsia="zh-CN" w:bidi="ar-SA"/>
        </w:rPr>
        <w:t>（大写）：</w:t>
      </w:r>
      <w:r>
        <w:rPr>
          <w:rFonts w:hint="eastAsia" w:ascii="仿宋_GB2312" w:hAnsi="仿宋_GB2312" w:eastAsia="仿宋_GB2312" w:cs="仿宋_GB2312"/>
          <w:snapToGrid/>
          <w:kern w:val="2"/>
          <w:sz w:val="24"/>
          <w:szCs w:val="24"/>
          <w:u w:val="single"/>
          <w:lang w:val="en-US" w:eastAsia="zh-CN" w:bidi="ar-SA"/>
        </w:rPr>
        <w:t xml:space="preserve">     </w:t>
      </w:r>
      <w:r>
        <w:rPr>
          <w:rFonts w:hint="eastAsia" w:ascii="仿宋_GB2312" w:hAnsi="仿宋_GB2312" w:eastAsia="仿宋_GB2312" w:cs="仿宋_GB2312"/>
          <w:snapToGrid/>
          <w:kern w:val="2"/>
          <w:sz w:val="24"/>
          <w:szCs w:val="24"/>
          <w:lang w:val="zh-CN" w:eastAsia="zh-CN" w:bidi="ar-SA"/>
        </w:rPr>
        <w:t>元</w:t>
      </w:r>
      <w:r>
        <w:rPr>
          <w:rFonts w:hint="eastAsia" w:ascii="仿宋_GB2312" w:hAnsi="仿宋_GB2312" w:eastAsia="仿宋_GB2312" w:cs="仿宋_GB2312"/>
          <w:snapToGrid/>
          <w:kern w:val="2"/>
          <w:sz w:val="24"/>
          <w:szCs w:val="24"/>
          <w:lang w:val="en-US" w:eastAsia="zh-CN" w:bidi="ar-SA"/>
        </w:rPr>
        <w:t>/瓦，小写</w:t>
      </w:r>
      <w:r>
        <w:rPr>
          <w:rFonts w:hint="eastAsia" w:ascii="仿宋_GB2312" w:hAnsi="仿宋_GB2312" w:eastAsia="仿宋_GB2312" w:cs="仿宋_GB2312"/>
          <w:snapToGrid/>
          <w:kern w:val="2"/>
          <w:sz w:val="24"/>
          <w:szCs w:val="24"/>
          <w:lang w:val="zh-CN" w:eastAsia="zh-CN" w:bidi="ar-SA"/>
        </w:rPr>
        <w:t>￥：</w:t>
      </w:r>
      <w:r>
        <w:rPr>
          <w:rFonts w:hint="eastAsia" w:ascii="仿宋_GB2312" w:hAnsi="仿宋_GB2312" w:eastAsia="仿宋_GB2312" w:cs="仿宋_GB2312"/>
          <w:snapToGrid/>
          <w:kern w:val="2"/>
          <w:sz w:val="24"/>
          <w:szCs w:val="24"/>
          <w:u w:val="single"/>
          <w:lang w:val="en-US" w:eastAsia="zh-CN" w:bidi="ar-SA"/>
        </w:rPr>
        <w:t xml:space="preserve">    </w:t>
      </w:r>
      <w:r>
        <w:rPr>
          <w:rFonts w:hint="eastAsia" w:ascii="仿宋_GB2312" w:hAnsi="仿宋_GB2312" w:eastAsia="仿宋_GB2312" w:cs="仿宋_GB2312"/>
          <w:snapToGrid/>
          <w:kern w:val="2"/>
          <w:sz w:val="24"/>
          <w:szCs w:val="24"/>
          <w:lang w:val="zh-CN" w:eastAsia="zh-CN" w:bidi="ar-SA"/>
        </w:rPr>
        <w:t>元</w:t>
      </w:r>
      <w:r>
        <w:rPr>
          <w:rFonts w:hint="eastAsia" w:ascii="仿宋_GB2312" w:hAnsi="仿宋_GB2312" w:eastAsia="仿宋_GB2312" w:cs="仿宋_GB2312"/>
          <w:snapToGrid/>
          <w:kern w:val="2"/>
          <w:sz w:val="24"/>
          <w:szCs w:val="24"/>
          <w:lang w:val="en-US" w:eastAsia="zh-CN" w:bidi="ar-SA"/>
        </w:rPr>
        <w:t>/瓦</w:t>
      </w:r>
      <w:r>
        <w:rPr>
          <w:rFonts w:hint="eastAsia" w:ascii="仿宋_GB2312" w:hAnsi="仿宋_GB2312" w:eastAsia="仿宋_GB2312" w:cs="仿宋_GB2312"/>
          <w:snapToGrid/>
          <w:kern w:val="2"/>
          <w:sz w:val="24"/>
          <w:szCs w:val="24"/>
          <w:lang w:val="zh-CN" w:eastAsia="zh-CN" w:bidi="ar-SA"/>
        </w:rPr>
        <w:t>。</w:t>
      </w:r>
    </w:p>
    <w:p w14:paraId="5B6CAFC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2.要求乙方提供项目的质保期运维服务方案、培训方案、项目施工组织方案等。</w:t>
      </w:r>
    </w:p>
    <w:p w14:paraId="52F1A7C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en-US" w:eastAsia="zh-CN" w:bidi="ar-SA"/>
        </w:rPr>
        <w:t>3.</w:t>
      </w:r>
      <w:r>
        <w:rPr>
          <w:rFonts w:hint="eastAsia" w:ascii="仿宋_GB2312" w:hAnsi="仿宋_GB2312" w:eastAsia="仿宋_GB2312" w:cs="仿宋_GB2312"/>
          <w:snapToGrid/>
          <w:kern w:val="2"/>
          <w:sz w:val="24"/>
          <w:szCs w:val="24"/>
          <w:lang w:val="zh-CN" w:eastAsia="zh-CN" w:bidi="ar-SA"/>
        </w:rPr>
        <w:t>运行维护和管理由乙方负责。若乙方在合同履行期间中止运行维护服务的，甲方有权解除运行维护合同没收维护基金并向乙方索赔。</w:t>
      </w:r>
    </w:p>
    <w:p w14:paraId="7D1966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4.具体事项详见附件</w:t>
      </w:r>
      <w:r>
        <w:rPr>
          <w:rFonts w:hint="eastAsia" w:ascii="仿宋_GB2312" w:hAnsi="仿宋_GB2312" w:eastAsia="仿宋_GB2312" w:cs="仿宋_GB2312"/>
          <w:snapToGrid/>
          <w:kern w:val="2"/>
          <w:sz w:val="24"/>
          <w:szCs w:val="24"/>
          <w:lang w:val="zh-CN" w:eastAsia="zh-CN" w:bidi="ar-SA"/>
        </w:rPr>
        <w:t>航埠镇沿线沿路屋顶分布式光伏电站整改服务项目（三次）运行维护合同。</w:t>
      </w:r>
    </w:p>
    <w:p w14:paraId="04749B17">
      <w:pPr>
        <w:pStyle w:val="3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_GB2312" w:hAnsi="仿宋_GB2312" w:eastAsia="仿宋_GB2312" w:cs="仿宋_GB2312"/>
          <w:b/>
          <w:bCs/>
          <w:snapToGrid/>
          <w:kern w:val="2"/>
          <w:sz w:val="24"/>
          <w:szCs w:val="24"/>
          <w:lang w:val="en-US" w:eastAsia="zh-CN" w:bidi="ar-SA"/>
        </w:rPr>
      </w:pPr>
      <w:bookmarkStart w:id="487" w:name="_Toc485"/>
      <w:bookmarkStart w:id="488" w:name="_Toc2237"/>
      <w:r>
        <w:rPr>
          <w:rFonts w:hint="eastAsia" w:ascii="仿宋_GB2312" w:hAnsi="仿宋_GB2312" w:eastAsia="仿宋_GB2312" w:cs="仿宋_GB2312"/>
          <w:b/>
          <w:bCs/>
          <w:snapToGrid/>
          <w:kern w:val="2"/>
          <w:sz w:val="24"/>
          <w:szCs w:val="24"/>
          <w:lang w:val="en-US" w:eastAsia="zh-CN" w:bidi="ar-SA"/>
        </w:rPr>
        <w:t>第十条 技术资料</w:t>
      </w:r>
      <w:bookmarkEnd w:id="477"/>
      <w:bookmarkEnd w:id="478"/>
      <w:bookmarkEnd w:id="479"/>
      <w:bookmarkEnd w:id="480"/>
      <w:bookmarkEnd w:id="481"/>
      <w:bookmarkEnd w:id="482"/>
      <w:bookmarkEnd w:id="483"/>
      <w:bookmarkEnd w:id="484"/>
      <w:bookmarkEnd w:id="485"/>
      <w:bookmarkEnd w:id="486"/>
      <w:bookmarkEnd w:id="487"/>
      <w:bookmarkEnd w:id="488"/>
    </w:p>
    <w:p w14:paraId="2B6A832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1.乙方应按招标文件规定的时间向甲方提供使用货物的有关技术资料。</w:t>
      </w:r>
    </w:p>
    <w:p w14:paraId="793F5AE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D3A8E5">
      <w:pPr>
        <w:pStyle w:val="3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_GB2312" w:hAnsi="仿宋_GB2312" w:eastAsia="仿宋_GB2312" w:cs="仿宋_GB2312"/>
          <w:b/>
          <w:bCs/>
          <w:snapToGrid/>
          <w:kern w:val="2"/>
          <w:sz w:val="24"/>
          <w:szCs w:val="24"/>
          <w:lang w:val="en-US" w:eastAsia="zh-CN" w:bidi="ar-SA"/>
        </w:rPr>
      </w:pPr>
      <w:bookmarkStart w:id="489" w:name="_Toc28468"/>
      <w:bookmarkStart w:id="490" w:name="_Toc3100"/>
      <w:bookmarkStart w:id="491" w:name="_Toc7381"/>
      <w:r>
        <w:rPr>
          <w:rFonts w:hint="eastAsia" w:ascii="仿宋_GB2312" w:hAnsi="仿宋_GB2312" w:eastAsia="仿宋_GB2312" w:cs="仿宋_GB2312"/>
          <w:b/>
          <w:bCs/>
          <w:snapToGrid/>
          <w:kern w:val="2"/>
          <w:sz w:val="24"/>
          <w:szCs w:val="24"/>
          <w:lang w:val="en-US" w:eastAsia="zh-CN" w:bidi="ar-SA"/>
        </w:rPr>
        <w:t>第十一条 知识产权</w:t>
      </w:r>
      <w:bookmarkEnd w:id="453"/>
      <w:bookmarkEnd w:id="454"/>
      <w:bookmarkEnd w:id="455"/>
      <w:bookmarkEnd w:id="456"/>
      <w:bookmarkEnd w:id="457"/>
      <w:bookmarkEnd w:id="458"/>
      <w:bookmarkEnd w:id="459"/>
      <w:bookmarkEnd w:id="460"/>
      <w:bookmarkEnd w:id="461"/>
      <w:bookmarkEnd w:id="462"/>
      <w:bookmarkEnd w:id="489"/>
      <w:bookmarkEnd w:id="490"/>
      <w:bookmarkEnd w:id="491"/>
    </w:p>
    <w:p w14:paraId="7319B44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乙方应保证所提供的货物或其任何一部分均不会侵犯任何第三方的知识产权。</w:t>
      </w:r>
    </w:p>
    <w:p w14:paraId="3EAC922B">
      <w:pPr>
        <w:pStyle w:val="3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_GB2312" w:hAnsi="仿宋_GB2312" w:eastAsia="仿宋_GB2312" w:cs="仿宋_GB2312"/>
          <w:b/>
          <w:bCs/>
          <w:snapToGrid/>
          <w:kern w:val="2"/>
          <w:sz w:val="24"/>
          <w:szCs w:val="24"/>
          <w:lang w:val="en-US" w:eastAsia="zh-CN" w:bidi="ar-SA"/>
        </w:rPr>
      </w:pPr>
      <w:bookmarkStart w:id="492" w:name="_Toc9199"/>
      <w:bookmarkStart w:id="493" w:name="_Toc492537896"/>
      <w:bookmarkStart w:id="494" w:name="_Toc487778123"/>
      <w:bookmarkStart w:id="495" w:name="_Toc25652"/>
      <w:bookmarkStart w:id="496" w:name="_Toc468429885"/>
      <w:bookmarkStart w:id="497" w:name="_Toc487261663"/>
      <w:bookmarkStart w:id="498" w:name="_Toc487778286"/>
      <w:bookmarkStart w:id="499" w:name="_Toc487261581"/>
      <w:bookmarkStart w:id="500" w:name="_Toc487468356"/>
      <w:bookmarkStart w:id="501" w:name="_Toc487261719"/>
      <w:bookmarkStart w:id="502" w:name="_Toc24456"/>
      <w:bookmarkStart w:id="503" w:name="_Toc492446967"/>
      <w:bookmarkStart w:id="504" w:name="_Toc492534504"/>
      <w:r>
        <w:rPr>
          <w:rFonts w:hint="eastAsia" w:ascii="仿宋_GB2312" w:hAnsi="仿宋_GB2312" w:eastAsia="仿宋_GB2312" w:cs="仿宋_GB2312"/>
          <w:b/>
          <w:bCs/>
          <w:snapToGrid/>
          <w:kern w:val="2"/>
          <w:sz w:val="24"/>
          <w:szCs w:val="24"/>
          <w:lang w:val="en-US" w:eastAsia="zh-CN" w:bidi="ar-SA"/>
        </w:rPr>
        <w:t>第十二条 产权担保</w:t>
      </w:r>
      <w:bookmarkEnd w:id="492"/>
      <w:bookmarkEnd w:id="493"/>
      <w:bookmarkEnd w:id="494"/>
      <w:bookmarkEnd w:id="495"/>
      <w:bookmarkEnd w:id="496"/>
      <w:bookmarkEnd w:id="497"/>
      <w:bookmarkEnd w:id="498"/>
      <w:bookmarkEnd w:id="499"/>
      <w:bookmarkEnd w:id="500"/>
      <w:bookmarkEnd w:id="501"/>
      <w:bookmarkEnd w:id="502"/>
      <w:bookmarkEnd w:id="503"/>
      <w:bookmarkEnd w:id="504"/>
    </w:p>
    <w:p w14:paraId="5B77543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乙方保证所交付的货物的所有权完全属于乙方且无任何抵押、查封等产权瑕疵。</w:t>
      </w:r>
    </w:p>
    <w:p w14:paraId="22A59B4D">
      <w:pPr>
        <w:pStyle w:val="3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_GB2312" w:hAnsi="仿宋_GB2312" w:eastAsia="仿宋_GB2312" w:cs="仿宋_GB2312"/>
          <w:b/>
          <w:bCs/>
          <w:snapToGrid/>
          <w:kern w:val="2"/>
          <w:sz w:val="24"/>
          <w:szCs w:val="24"/>
          <w:lang w:val="en-US" w:eastAsia="zh-CN" w:bidi="ar-SA"/>
        </w:rPr>
      </w:pPr>
      <w:bookmarkStart w:id="505" w:name="_Toc492534506"/>
      <w:bookmarkStart w:id="506" w:name="_Toc25619"/>
      <w:bookmarkStart w:id="507" w:name="_Toc25325"/>
      <w:bookmarkStart w:id="508" w:name="_Toc492446969"/>
      <w:bookmarkStart w:id="509" w:name="_Toc487778288"/>
      <w:bookmarkStart w:id="510" w:name="_Toc468429887"/>
      <w:bookmarkStart w:id="511" w:name="_Toc487778125"/>
      <w:bookmarkStart w:id="512" w:name="_Toc487468358"/>
      <w:bookmarkStart w:id="513" w:name="_Toc487261583"/>
      <w:bookmarkStart w:id="514" w:name="_Toc487261665"/>
      <w:bookmarkStart w:id="515" w:name="_Toc492537898"/>
      <w:bookmarkStart w:id="516" w:name="_Toc487261721"/>
      <w:r>
        <w:rPr>
          <w:rFonts w:hint="eastAsia" w:ascii="仿宋_GB2312" w:hAnsi="仿宋_GB2312" w:eastAsia="仿宋_GB2312" w:cs="仿宋_GB2312"/>
          <w:b/>
          <w:bCs/>
          <w:snapToGrid/>
          <w:kern w:val="2"/>
          <w:sz w:val="24"/>
          <w:szCs w:val="24"/>
          <w:lang w:val="en-US" w:eastAsia="zh-CN" w:bidi="ar-SA"/>
        </w:rPr>
        <w:t>第十三条 转包或分包</w:t>
      </w:r>
      <w:bookmarkEnd w:id="505"/>
      <w:bookmarkEnd w:id="506"/>
      <w:bookmarkEnd w:id="507"/>
      <w:bookmarkEnd w:id="508"/>
      <w:bookmarkEnd w:id="509"/>
      <w:bookmarkEnd w:id="510"/>
      <w:bookmarkEnd w:id="511"/>
      <w:bookmarkEnd w:id="512"/>
      <w:bookmarkEnd w:id="513"/>
      <w:bookmarkEnd w:id="514"/>
      <w:bookmarkEnd w:id="515"/>
      <w:bookmarkEnd w:id="516"/>
    </w:p>
    <w:p w14:paraId="1A8AFD1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1.本合同范围的货物，应由乙方直接供应及安装，不得转让他人采购供应。</w:t>
      </w:r>
    </w:p>
    <w:p w14:paraId="1D8E0B8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2.除非得到甲方的书面同意，乙方不得将本合同范围的货物全部或部分分包给他人供应。</w:t>
      </w:r>
    </w:p>
    <w:p w14:paraId="4218FB0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zh-CN" w:eastAsia="zh-CN" w:bidi="ar-SA"/>
        </w:rPr>
        <w:t>3.如有转让和未经甲方同意的分包行为，甲方有权解除合同，没收履约保证金并追究乙方的违约责任。</w:t>
      </w:r>
    </w:p>
    <w:p w14:paraId="0CC50B69">
      <w:pPr>
        <w:pStyle w:val="3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_GB2312" w:hAnsi="仿宋_GB2312" w:eastAsia="仿宋_GB2312" w:cs="仿宋_GB2312"/>
          <w:b/>
          <w:bCs/>
          <w:snapToGrid/>
          <w:kern w:val="2"/>
          <w:sz w:val="24"/>
          <w:szCs w:val="24"/>
          <w:lang w:val="en-US" w:eastAsia="zh-CN" w:bidi="ar-SA"/>
        </w:rPr>
      </w:pPr>
      <w:bookmarkStart w:id="517" w:name="_Toc492446973"/>
      <w:bookmarkStart w:id="518" w:name="_Toc487778292"/>
      <w:bookmarkStart w:id="519" w:name="_Toc492534510"/>
      <w:bookmarkStart w:id="520" w:name="_Toc22096"/>
      <w:bookmarkStart w:id="521" w:name="_Toc487261725"/>
      <w:bookmarkStart w:id="522" w:name="_Toc21453"/>
      <w:bookmarkStart w:id="523" w:name="_Toc9836"/>
      <w:bookmarkStart w:id="524" w:name="_Toc487261669"/>
      <w:bookmarkStart w:id="525" w:name="_Toc487778129"/>
      <w:bookmarkStart w:id="526" w:name="_Toc468429892"/>
      <w:bookmarkStart w:id="527" w:name="_Toc492537902"/>
      <w:bookmarkStart w:id="528" w:name="_Toc487261587"/>
      <w:bookmarkStart w:id="529" w:name="_Toc487468362"/>
      <w:r>
        <w:rPr>
          <w:rFonts w:hint="eastAsia" w:ascii="仿宋_GB2312" w:hAnsi="仿宋_GB2312" w:eastAsia="仿宋_GB2312" w:cs="仿宋_GB2312"/>
          <w:b/>
          <w:bCs/>
          <w:snapToGrid/>
          <w:kern w:val="2"/>
          <w:sz w:val="24"/>
          <w:szCs w:val="24"/>
          <w:lang w:val="en-US" w:eastAsia="zh-CN" w:bidi="ar-SA"/>
        </w:rPr>
        <w:t>第十四条 质量保证及售后服务</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0AA4B61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snapToGrid/>
          <w:kern w:val="2"/>
          <w:sz w:val="24"/>
          <w:szCs w:val="24"/>
          <w:lang w:val="zh-CN" w:eastAsia="zh-CN" w:bidi="ar-SA"/>
        </w:rPr>
      </w:pPr>
      <w:bookmarkStart w:id="530" w:name="_Toc487261591"/>
      <w:bookmarkStart w:id="531" w:name="_Toc487468366"/>
      <w:bookmarkStart w:id="532" w:name="_Toc487261729"/>
      <w:bookmarkStart w:id="533" w:name="_Toc468429895"/>
      <w:bookmarkStart w:id="534" w:name="_Toc487261673"/>
      <w:bookmarkStart w:id="535" w:name="_Toc487778133"/>
      <w:bookmarkStart w:id="536" w:name="_Toc492537906"/>
      <w:bookmarkStart w:id="537" w:name="_Toc492534514"/>
      <w:bookmarkStart w:id="538" w:name="_Toc30275"/>
      <w:bookmarkStart w:id="539" w:name="_Toc487778296"/>
      <w:bookmarkStart w:id="540" w:name="_Toc19021"/>
      <w:bookmarkStart w:id="541" w:name="_Toc492446977"/>
      <w:r>
        <w:rPr>
          <w:rFonts w:hint="eastAsia" w:ascii="仿宋_GB2312" w:hAnsi="仿宋_GB2312" w:eastAsia="仿宋_GB2312" w:cs="仿宋_GB2312"/>
          <w:b/>
          <w:bCs/>
          <w:snapToGrid/>
          <w:kern w:val="2"/>
          <w:sz w:val="24"/>
          <w:szCs w:val="24"/>
          <w:lang w:val="en-US" w:eastAsia="zh-CN" w:bidi="ar-SA"/>
        </w:rPr>
        <w:t>1.质量保证</w:t>
      </w:r>
    </w:p>
    <w:p w14:paraId="522B4D6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en-US" w:eastAsia="zh-CN" w:bidi="ar-SA"/>
        </w:rPr>
        <w:t>1.1甲方和项目监理有权对送达工地的所有设备和材料随机抽检，若发现乙方以伪劣产品充抵甲方确认的设备和材料，甲方可要求乙方重新采购，伪劣产品已被安装的，甲方有权要求乙方拆除返工；经抽检为伪劣产品而发生的设备、材料损失，均由乙方承担全部责任。</w:t>
      </w:r>
    </w:p>
    <w:p w14:paraId="229C2DD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en-US" w:eastAsia="zh-CN" w:bidi="ar-SA"/>
        </w:rPr>
        <w:t>1.2乙方应确保太阳能光伏发电系统整体功能完整，转换及并网系统相应配件性能稳定，满足系统性能要求。</w:t>
      </w:r>
    </w:p>
    <w:p w14:paraId="091152C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napToGrid/>
          <w:kern w:val="2"/>
          <w:sz w:val="24"/>
          <w:szCs w:val="24"/>
          <w:lang w:val="zh-CN" w:eastAsia="zh-CN" w:bidi="ar-SA"/>
        </w:rPr>
      </w:pPr>
      <w:r>
        <w:rPr>
          <w:rFonts w:hint="eastAsia" w:ascii="仿宋_GB2312" w:hAnsi="仿宋_GB2312" w:eastAsia="仿宋_GB2312" w:cs="仿宋_GB2312"/>
          <w:snapToGrid/>
          <w:kern w:val="2"/>
          <w:sz w:val="24"/>
          <w:szCs w:val="24"/>
          <w:lang w:val="en-US" w:eastAsia="zh-CN" w:bidi="ar-SA"/>
        </w:rPr>
        <w:t>1.3乙方应确保项目实施结构不漏水，若项目实施致使结构漏水，乙方应进行修复，所产生的费用由乙方自行承担。</w:t>
      </w:r>
    </w:p>
    <w:p w14:paraId="1830D19C">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482" w:firstLineChars="200"/>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b/>
          <w:bCs w:val="0"/>
          <w:color w:val="auto"/>
          <w:kern w:val="2"/>
          <w:sz w:val="24"/>
          <w:szCs w:val="24"/>
          <w:lang w:val="en-US" w:eastAsia="zh-CN" w:bidi="ar"/>
        </w:rPr>
        <w:t>2.售后服务</w:t>
      </w:r>
    </w:p>
    <w:p w14:paraId="1EE016F1">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480" w:firstLineChars="200"/>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2.1保修期内，乙方负责免费对其提供的设备整体进行维修和系统维护，但认为因素或不可抗力等自然因素造成的故障除外；</w:t>
      </w:r>
    </w:p>
    <w:p w14:paraId="64A12723">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480" w:firstLineChars="200"/>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2.2设备故障报修在检修8小时工作，非工作时间为24小时响应，必须在响应后8小时内到达现场；</w:t>
      </w:r>
    </w:p>
    <w:p w14:paraId="6A317CC9">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480" w:firstLineChars="200"/>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2.3如果设备故障在检修8工作小时后仍无法派出的，乙方应在24小时内提供不低于故障设备规格型号搪瓷的设备供用户使用，直至故障设备修复；</w:t>
      </w:r>
    </w:p>
    <w:p w14:paraId="3ADC4C88">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2.4所有设备保修服务方式均为乙方上门保修，即乙方派人员到设备使用现场维修，在免费质保期内由此产生的一切费用均由乙方承担，从运维基金中直接扣除。</w:t>
      </w:r>
    </w:p>
    <w:p w14:paraId="26B34BF5">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2.5乙方施工前必须在项目所在县（区）内设立运维办公场所及仓库。</w:t>
      </w:r>
    </w:p>
    <w:p w14:paraId="3A4AF380">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482" w:firstLineChars="200"/>
        <w:jc w:val="both"/>
        <w:textAlignment w:val="auto"/>
        <w:rPr>
          <w:rFonts w:hint="eastAsia" w:ascii="仿宋_GB2312" w:hAnsi="仿宋_GB2312" w:eastAsia="仿宋_GB2312" w:cs="仿宋_GB2312"/>
          <w:b/>
          <w:bCs/>
          <w:color w:val="auto"/>
          <w:kern w:val="2"/>
          <w:sz w:val="24"/>
          <w:szCs w:val="24"/>
          <w:lang w:val="en-US" w:eastAsia="zh-CN" w:bidi="ar"/>
        </w:rPr>
      </w:pPr>
      <w:r>
        <w:rPr>
          <w:rFonts w:hint="eastAsia" w:ascii="仿宋_GB2312" w:hAnsi="仿宋_GB2312" w:eastAsia="仿宋_GB2312" w:cs="仿宋_GB2312"/>
          <w:b/>
          <w:bCs/>
          <w:color w:val="auto"/>
          <w:kern w:val="2"/>
          <w:sz w:val="24"/>
          <w:szCs w:val="24"/>
          <w:lang w:val="en-US" w:eastAsia="zh-CN" w:bidi="ar"/>
        </w:rPr>
        <w:t>3.质保和运维年限及要求</w:t>
      </w:r>
    </w:p>
    <w:p w14:paraId="68182CD8">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2" w:firstLineChars="0"/>
        <w:jc w:val="lef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3.1整个光伏系统免费质保期：</w:t>
      </w:r>
      <w:r>
        <w:rPr>
          <w:rFonts w:hint="eastAsia" w:ascii="仿宋_GB2312" w:hAnsi="仿宋_GB2312" w:eastAsia="仿宋_GB2312" w:cs="仿宋_GB2312"/>
          <w:color w:val="auto"/>
          <w:kern w:val="2"/>
          <w:sz w:val="24"/>
          <w:szCs w:val="24"/>
          <w:u w:val="single"/>
          <w:lang w:val="en-US" w:eastAsia="zh-CN" w:bidi="ar"/>
        </w:rPr>
        <w:t xml:space="preserve">   </w:t>
      </w:r>
      <w:r>
        <w:rPr>
          <w:rFonts w:hint="eastAsia" w:ascii="仿宋_GB2312" w:hAnsi="仿宋_GB2312" w:eastAsia="仿宋_GB2312" w:cs="仿宋_GB2312"/>
          <w:color w:val="auto"/>
          <w:kern w:val="2"/>
          <w:sz w:val="24"/>
          <w:szCs w:val="24"/>
          <w:lang w:val="en-US" w:eastAsia="zh-CN" w:bidi="ar"/>
        </w:rPr>
        <w:t>年</w:t>
      </w:r>
      <w:r>
        <w:rPr>
          <w:rFonts w:hint="eastAsia" w:ascii="仿宋_GB2312" w:hAnsi="仿宋_GB2312" w:eastAsia="仿宋_GB2312" w:cs="仿宋_GB2312"/>
          <w:b w:val="0"/>
          <w:color w:val="auto"/>
          <w:sz w:val="24"/>
          <w:szCs w:val="24"/>
          <w:u w:val="none"/>
          <w:lang w:bidi="ar"/>
        </w:rPr>
        <w:t>（通过当地电力部门验收并且并网发电后开始计算）</w:t>
      </w:r>
      <w:r>
        <w:rPr>
          <w:rFonts w:hint="eastAsia" w:ascii="仿宋_GB2312" w:hAnsi="仿宋_GB2312" w:eastAsia="仿宋_GB2312" w:cs="仿宋_GB2312"/>
          <w:b w:val="0"/>
          <w:color w:val="auto"/>
          <w:sz w:val="24"/>
          <w:szCs w:val="24"/>
          <w:u w:val="none"/>
          <w:lang w:eastAsia="zh-CN" w:bidi="ar"/>
        </w:rPr>
        <w:t>。所有设备材料的质保期应从并网运行之日起算。</w:t>
      </w:r>
    </w:p>
    <w:p w14:paraId="28BDE4FB">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3.2运维服务年限：</w:t>
      </w:r>
      <w:r>
        <w:rPr>
          <w:rFonts w:hint="eastAsia" w:ascii="仿宋_GB2312" w:hAnsi="仿宋_GB2312" w:eastAsia="仿宋_GB2312" w:cs="仿宋_GB2312"/>
          <w:color w:val="auto"/>
          <w:kern w:val="2"/>
          <w:sz w:val="24"/>
          <w:szCs w:val="24"/>
          <w:u w:val="single"/>
          <w:lang w:val="en-US" w:eastAsia="zh-CN" w:bidi="ar"/>
        </w:rPr>
        <w:t xml:space="preserve">    </w:t>
      </w:r>
      <w:r>
        <w:rPr>
          <w:rFonts w:hint="eastAsia" w:ascii="仿宋_GB2312" w:hAnsi="仿宋_GB2312" w:eastAsia="仿宋_GB2312" w:cs="仿宋_GB2312"/>
          <w:color w:val="auto"/>
          <w:kern w:val="2"/>
          <w:sz w:val="24"/>
          <w:szCs w:val="24"/>
          <w:lang w:val="en-US" w:eastAsia="zh-CN" w:bidi="ar"/>
        </w:rPr>
        <w:t>年，其中无偿运维期限为</w:t>
      </w:r>
      <w:r>
        <w:rPr>
          <w:rFonts w:hint="eastAsia" w:ascii="仿宋_GB2312" w:hAnsi="仿宋_GB2312" w:eastAsia="仿宋_GB2312" w:cs="仿宋_GB2312"/>
          <w:color w:val="auto"/>
          <w:kern w:val="2"/>
          <w:sz w:val="24"/>
          <w:szCs w:val="24"/>
          <w:u w:val="single"/>
          <w:lang w:val="en-US" w:eastAsia="zh-CN" w:bidi="ar"/>
        </w:rPr>
        <w:t xml:space="preserve">    </w:t>
      </w:r>
      <w:r>
        <w:rPr>
          <w:rFonts w:hint="eastAsia" w:ascii="仿宋_GB2312" w:hAnsi="仿宋_GB2312" w:eastAsia="仿宋_GB2312" w:cs="仿宋_GB2312"/>
          <w:color w:val="auto"/>
          <w:kern w:val="2"/>
          <w:sz w:val="24"/>
          <w:szCs w:val="24"/>
          <w:lang w:val="en-US" w:eastAsia="zh-CN" w:bidi="ar"/>
        </w:rPr>
        <w:t>年。</w:t>
      </w:r>
    </w:p>
    <w:p w14:paraId="74A739EB">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3.3乙方提供项目的质保期运维服务方案、培训方案、项目施工组织方案等。</w:t>
      </w:r>
    </w:p>
    <w:p w14:paraId="559F4B0D">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360" w:lineRule="auto"/>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3.4运行维护和管理由乙方负责。若乙方在合同履行期间中止运行维护服务的，甲方有权解除运行维护合同没收运维基金并向乙方索赔。</w:t>
      </w:r>
    </w:p>
    <w:p w14:paraId="4FD04D64">
      <w:pPr>
        <w:pStyle w:val="38"/>
        <w:keepNext w:val="0"/>
        <w:keepLines w:val="0"/>
        <w:pageBreakBefore w:val="0"/>
        <w:kinsoku/>
        <w:wordWrap/>
        <w:overflowPunct/>
        <w:topLinePunct w:val="0"/>
        <w:autoSpaceDN/>
        <w:bidi w:val="0"/>
        <w:adjustRightInd w:val="0"/>
        <w:snapToGrid w:val="0"/>
        <w:spacing w:line="360" w:lineRule="auto"/>
        <w:ind w:firstLine="482" w:firstLineChars="200"/>
        <w:textAlignment w:val="auto"/>
        <w:outlineLvl w:val="1"/>
        <w:rPr>
          <w:rFonts w:hint="eastAsia" w:ascii="仿宋_GB2312" w:hAnsi="仿宋_GB2312" w:eastAsia="仿宋_GB2312" w:cs="仿宋_GB2312"/>
          <w:b/>
          <w:color w:val="auto"/>
          <w:sz w:val="24"/>
          <w:szCs w:val="24"/>
        </w:rPr>
      </w:pPr>
      <w:bookmarkStart w:id="542" w:name="_Toc21179"/>
      <w:r>
        <w:rPr>
          <w:rFonts w:hint="eastAsia" w:ascii="仿宋_GB2312" w:hAnsi="仿宋_GB2312" w:eastAsia="仿宋_GB2312" w:cs="仿宋_GB2312"/>
          <w:b/>
          <w:color w:val="auto"/>
          <w:sz w:val="24"/>
          <w:szCs w:val="24"/>
          <w:lang w:eastAsia="zh-CN"/>
        </w:rPr>
        <w:t>第十五条</w:t>
      </w:r>
      <w:r>
        <w:rPr>
          <w:rFonts w:hint="eastAsia" w:ascii="仿宋_GB2312" w:hAnsi="仿宋_GB2312" w:eastAsia="仿宋_GB2312" w:cs="仿宋_GB2312"/>
          <w:b/>
          <w:color w:val="auto"/>
          <w:sz w:val="24"/>
          <w:szCs w:val="24"/>
          <w:lang w:val="en-US" w:eastAsia="zh-CN"/>
        </w:rPr>
        <w:t xml:space="preserve"> </w:t>
      </w:r>
      <w:r>
        <w:rPr>
          <w:rFonts w:hint="eastAsia" w:ascii="仿宋_GB2312" w:hAnsi="仿宋_GB2312" w:eastAsia="仿宋_GB2312" w:cs="仿宋_GB2312"/>
          <w:b/>
          <w:color w:val="auto"/>
          <w:sz w:val="24"/>
          <w:szCs w:val="24"/>
        </w:rPr>
        <w:t>违约责</w:t>
      </w:r>
      <w:bookmarkEnd w:id="530"/>
      <w:bookmarkEnd w:id="531"/>
      <w:bookmarkEnd w:id="532"/>
      <w:bookmarkEnd w:id="533"/>
      <w:bookmarkEnd w:id="534"/>
      <w:r>
        <w:rPr>
          <w:rFonts w:hint="eastAsia" w:ascii="仿宋_GB2312" w:hAnsi="仿宋_GB2312" w:eastAsia="仿宋_GB2312" w:cs="仿宋_GB2312"/>
          <w:b/>
          <w:color w:val="auto"/>
          <w:sz w:val="24"/>
          <w:szCs w:val="24"/>
          <w:lang w:eastAsia="zh-CN"/>
        </w:rPr>
        <w:t>任</w:t>
      </w:r>
      <w:bookmarkEnd w:id="535"/>
      <w:bookmarkEnd w:id="536"/>
      <w:bookmarkEnd w:id="537"/>
      <w:bookmarkEnd w:id="538"/>
      <w:bookmarkEnd w:id="539"/>
      <w:bookmarkEnd w:id="540"/>
      <w:bookmarkEnd w:id="541"/>
      <w:bookmarkEnd w:id="542"/>
    </w:p>
    <w:p w14:paraId="42AFEBC3">
      <w:pPr>
        <w:keepNext w:val="0"/>
        <w:keepLines w:val="0"/>
        <w:pageBreakBefore w:val="0"/>
        <w:widowControl/>
        <w:kinsoku/>
        <w:wordWrap/>
        <w:overflowPunct/>
        <w:topLinePunct w:val="0"/>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1.甲方无正当理由拒收货物的，甲方向乙方偿付拒收货款总值的百分之五违约金。</w:t>
      </w:r>
    </w:p>
    <w:p w14:paraId="6A62BC80">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2.甲方无故逾期验收和办理货款支付手续的，甲方应按逾期付款总额每日万分之五向乙方支付违约金。</w:t>
      </w:r>
    </w:p>
    <w:p w14:paraId="0906826C">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3.乙方未能按期完工并网发电的，逾期违约金按工程价款每日0.5%计算，甲方直接从工程款中扣除，甲方可解除本合同。</w:t>
      </w:r>
    </w:p>
    <w:p w14:paraId="60CC31B3">
      <w:pPr>
        <w:keepNext w:val="0"/>
        <w:keepLines w:val="0"/>
        <w:pageBreakBefore w:val="0"/>
        <w:kinsoku/>
        <w:wordWrap/>
        <w:overflowPunct/>
        <w:topLinePunct w:val="0"/>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B82B55D">
      <w:pPr>
        <w:pStyle w:val="38"/>
        <w:keepNext w:val="0"/>
        <w:keepLines w:val="0"/>
        <w:pageBreakBefore w:val="0"/>
        <w:kinsoku/>
        <w:wordWrap/>
        <w:overflowPunct/>
        <w:topLinePunct w:val="0"/>
        <w:autoSpaceDN/>
        <w:bidi w:val="0"/>
        <w:adjustRightInd w:val="0"/>
        <w:snapToGrid w:val="0"/>
        <w:spacing w:line="360" w:lineRule="auto"/>
        <w:ind w:firstLine="482" w:firstLineChars="200"/>
        <w:textAlignment w:val="auto"/>
        <w:outlineLvl w:val="1"/>
        <w:rPr>
          <w:rFonts w:hint="eastAsia" w:ascii="仿宋_GB2312" w:hAnsi="仿宋_GB2312" w:eastAsia="仿宋_GB2312" w:cs="仿宋_GB2312"/>
          <w:b/>
          <w:color w:val="auto"/>
          <w:sz w:val="24"/>
          <w:szCs w:val="24"/>
        </w:rPr>
      </w:pPr>
      <w:bookmarkStart w:id="543" w:name="_Toc468429896"/>
      <w:bookmarkStart w:id="544" w:name="_Toc487778134"/>
      <w:bookmarkStart w:id="545" w:name="_Toc3422"/>
      <w:bookmarkStart w:id="546" w:name="_Toc487778297"/>
      <w:bookmarkStart w:id="547" w:name="_Toc487261674"/>
      <w:bookmarkStart w:id="548" w:name="_Toc487261592"/>
      <w:bookmarkStart w:id="549" w:name="_Toc487261730"/>
      <w:bookmarkStart w:id="550" w:name="_Toc487468367"/>
      <w:bookmarkStart w:id="551" w:name="_Toc492446978"/>
      <w:bookmarkStart w:id="552" w:name="_Toc492537907"/>
      <w:bookmarkStart w:id="553" w:name="_Toc492534515"/>
      <w:bookmarkStart w:id="554" w:name="_Toc22796"/>
      <w:r>
        <w:rPr>
          <w:rFonts w:hint="eastAsia" w:ascii="仿宋_GB2312" w:hAnsi="仿宋_GB2312" w:eastAsia="仿宋_GB2312" w:cs="仿宋_GB2312"/>
          <w:b/>
          <w:color w:val="auto"/>
          <w:sz w:val="24"/>
          <w:szCs w:val="24"/>
          <w:lang w:eastAsia="zh-CN"/>
        </w:rPr>
        <w:t>第十六条</w:t>
      </w:r>
      <w:r>
        <w:rPr>
          <w:rFonts w:hint="eastAsia" w:ascii="仿宋_GB2312" w:hAnsi="仿宋_GB2312" w:eastAsia="仿宋_GB2312" w:cs="仿宋_GB2312"/>
          <w:b/>
          <w:color w:val="auto"/>
          <w:sz w:val="24"/>
          <w:szCs w:val="24"/>
          <w:lang w:val="en-US" w:eastAsia="zh-CN"/>
        </w:rPr>
        <w:t xml:space="preserve"> </w:t>
      </w:r>
      <w:r>
        <w:rPr>
          <w:rFonts w:hint="eastAsia" w:ascii="仿宋_GB2312" w:hAnsi="仿宋_GB2312" w:eastAsia="仿宋_GB2312" w:cs="仿宋_GB2312"/>
          <w:b/>
          <w:color w:val="auto"/>
          <w:sz w:val="24"/>
          <w:szCs w:val="24"/>
        </w:rPr>
        <w:t>不可抗力事件处理</w:t>
      </w:r>
      <w:bookmarkEnd w:id="543"/>
      <w:bookmarkEnd w:id="544"/>
      <w:bookmarkEnd w:id="545"/>
      <w:bookmarkEnd w:id="546"/>
      <w:bookmarkEnd w:id="547"/>
      <w:bookmarkEnd w:id="548"/>
      <w:bookmarkEnd w:id="549"/>
      <w:bookmarkEnd w:id="550"/>
      <w:bookmarkEnd w:id="551"/>
      <w:bookmarkEnd w:id="552"/>
      <w:bookmarkEnd w:id="553"/>
      <w:bookmarkEnd w:id="554"/>
    </w:p>
    <w:p w14:paraId="0610703C">
      <w:pPr>
        <w:keepNext w:val="0"/>
        <w:keepLines w:val="0"/>
        <w:pageBreakBefore w:val="0"/>
        <w:widowControl/>
        <w:kinsoku/>
        <w:wordWrap/>
        <w:overflowPunct/>
        <w:topLinePunct w:val="0"/>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1.在合同有效期内，任何一方因不可抗力事件导致不能履行合同，则合同履行期可延长，其延长期与不可抗力影响期相同。</w:t>
      </w:r>
    </w:p>
    <w:p w14:paraId="1C671B1E">
      <w:pPr>
        <w:keepNext w:val="0"/>
        <w:keepLines w:val="0"/>
        <w:pageBreakBefore w:val="0"/>
        <w:widowControl/>
        <w:kinsoku/>
        <w:wordWrap/>
        <w:overflowPunct/>
        <w:topLinePunct w:val="0"/>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2.不可抗力事件发生后，应立即通知对方，并寄送有关权威机构出具的证明。</w:t>
      </w:r>
    </w:p>
    <w:p w14:paraId="0E087635">
      <w:pPr>
        <w:keepNext w:val="0"/>
        <w:keepLines w:val="0"/>
        <w:pageBreakBefore w:val="0"/>
        <w:widowControl/>
        <w:kinsoku/>
        <w:wordWrap/>
        <w:overflowPunct/>
        <w:topLinePunct w:val="0"/>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3.不可抗力事件延续120天以上，双方应通过友好协商，确定是否继续履行合同。</w:t>
      </w:r>
    </w:p>
    <w:p w14:paraId="2A78F7EA">
      <w:pPr>
        <w:pStyle w:val="38"/>
        <w:keepNext w:val="0"/>
        <w:keepLines w:val="0"/>
        <w:pageBreakBefore w:val="0"/>
        <w:kinsoku/>
        <w:wordWrap/>
        <w:overflowPunct/>
        <w:topLinePunct w:val="0"/>
        <w:autoSpaceDN/>
        <w:bidi w:val="0"/>
        <w:adjustRightInd w:val="0"/>
        <w:snapToGrid w:val="0"/>
        <w:spacing w:line="360" w:lineRule="auto"/>
        <w:ind w:firstLine="482" w:firstLineChars="200"/>
        <w:textAlignment w:val="auto"/>
        <w:outlineLvl w:val="1"/>
        <w:rPr>
          <w:rFonts w:hint="eastAsia" w:ascii="仿宋_GB2312" w:hAnsi="仿宋_GB2312" w:eastAsia="仿宋_GB2312" w:cs="仿宋_GB2312"/>
          <w:b/>
          <w:color w:val="auto"/>
          <w:sz w:val="24"/>
          <w:szCs w:val="24"/>
        </w:rPr>
      </w:pPr>
      <w:bookmarkStart w:id="555" w:name="_Toc5920"/>
      <w:bookmarkStart w:id="556" w:name="_Toc492446979"/>
      <w:bookmarkStart w:id="557" w:name="_Toc492534516"/>
      <w:bookmarkStart w:id="558" w:name="_Toc487261675"/>
      <w:bookmarkStart w:id="559" w:name="_Toc487778135"/>
      <w:bookmarkStart w:id="560" w:name="_Toc487261593"/>
      <w:bookmarkStart w:id="561" w:name="_Toc468429897"/>
      <w:bookmarkStart w:id="562" w:name="_Toc487778298"/>
      <w:bookmarkStart w:id="563" w:name="_Toc487261731"/>
      <w:bookmarkStart w:id="564" w:name="_Toc492537908"/>
      <w:bookmarkStart w:id="565" w:name="_Toc487468368"/>
      <w:bookmarkStart w:id="566" w:name="_Toc13435"/>
      <w:r>
        <w:rPr>
          <w:rFonts w:hint="eastAsia" w:ascii="仿宋_GB2312" w:hAnsi="仿宋_GB2312" w:eastAsia="仿宋_GB2312" w:cs="仿宋_GB2312"/>
          <w:b/>
          <w:color w:val="auto"/>
          <w:sz w:val="24"/>
          <w:szCs w:val="24"/>
          <w:lang w:eastAsia="zh-CN"/>
        </w:rPr>
        <w:t>第十七条</w:t>
      </w:r>
      <w:r>
        <w:rPr>
          <w:rFonts w:hint="eastAsia" w:ascii="仿宋_GB2312" w:hAnsi="仿宋_GB2312" w:eastAsia="仿宋_GB2312" w:cs="仿宋_GB2312"/>
          <w:b/>
          <w:color w:val="auto"/>
          <w:sz w:val="24"/>
          <w:szCs w:val="24"/>
          <w:lang w:val="en-US" w:eastAsia="zh-CN"/>
        </w:rPr>
        <w:t xml:space="preserve"> </w:t>
      </w:r>
      <w:r>
        <w:rPr>
          <w:rFonts w:hint="eastAsia" w:ascii="仿宋_GB2312" w:hAnsi="仿宋_GB2312" w:eastAsia="仿宋_GB2312" w:cs="仿宋_GB2312"/>
          <w:b/>
          <w:color w:val="auto"/>
          <w:sz w:val="24"/>
          <w:szCs w:val="24"/>
        </w:rPr>
        <w:t>诉讼</w:t>
      </w:r>
      <w:bookmarkEnd w:id="555"/>
      <w:bookmarkEnd w:id="556"/>
      <w:bookmarkEnd w:id="557"/>
      <w:bookmarkEnd w:id="558"/>
      <w:bookmarkEnd w:id="559"/>
      <w:bookmarkEnd w:id="560"/>
      <w:bookmarkEnd w:id="561"/>
      <w:bookmarkEnd w:id="562"/>
      <w:bookmarkEnd w:id="563"/>
      <w:bookmarkEnd w:id="564"/>
      <w:bookmarkEnd w:id="565"/>
      <w:bookmarkEnd w:id="566"/>
    </w:p>
    <w:p w14:paraId="3B65CCAA">
      <w:pPr>
        <w:keepNext w:val="0"/>
        <w:keepLines w:val="0"/>
        <w:pageBreakBefore w:val="0"/>
        <w:widowControl/>
        <w:kinsoku/>
        <w:wordWrap/>
        <w:overflowPunct/>
        <w:topLinePunct w:val="0"/>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双方在执行合同中所发生的一切争议，应通过协商解决。如协商不成，可向甲方所在地法院起诉。</w:t>
      </w:r>
    </w:p>
    <w:p w14:paraId="0A4B7D8F">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仿宋_GB2312" w:hAnsi="仿宋_GB2312" w:eastAsia="仿宋_GB2312" w:cs="仿宋_GB2312"/>
          <w:b/>
          <w:color w:val="auto"/>
          <w:sz w:val="24"/>
          <w:szCs w:val="24"/>
        </w:rPr>
      </w:pPr>
      <w:bookmarkStart w:id="567" w:name="_Toc7567"/>
      <w:bookmarkStart w:id="568" w:name="_Toc12281"/>
      <w:bookmarkStart w:id="569" w:name="_Toc26991"/>
      <w:r>
        <w:rPr>
          <w:rFonts w:hint="eastAsia" w:ascii="仿宋_GB2312" w:hAnsi="仿宋_GB2312" w:eastAsia="仿宋_GB2312" w:cs="仿宋_GB2312"/>
          <w:b/>
          <w:color w:val="auto"/>
          <w:sz w:val="24"/>
          <w:szCs w:val="24"/>
          <w:lang w:val="en-US" w:eastAsia="zh-CN"/>
        </w:rPr>
        <w:t xml:space="preserve">第十八条 </w:t>
      </w:r>
      <w:r>
        <w:rPr>
          <w:rFonts w:hint="eastAsia" w:ascii="仿宋_GB2312" w:hAnsi="仿宋_GB2312" w:eastAsia="仿宋_GB2312" w:cs="仿宋_GB2312"/>
          <w:b/>
          <w:color w:val="auto"/>
          <w:sz w:val="24"/>
          <w:szCs w:val="24"/>
        </w:rPr>
        <w:t>争议的解决</w:t>
      </w:r>
      <w:bookmarkEnd w:id="567"/>
      <w:bookmarkEnd w:id="568"/>
      <w:bookmarkEnd w:id="569"/>
    </w:p>
    <w:p w14:paraId="5775E1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_GB2312" w:hAnsi="仿宋_GB2312" w:eastAsia="仿宋_GB2312" w:cs="仿宋_GB2312"/>
          <w:color w:val="auto"/>
          <w:sz w:val="24"/>
          <w:szCs w:val="24"/>
        </w:rPr>
        <w:t>本合同中所指甲方与鉴证方享有同等权力，在发生服务的质量等问题时，甲方有权直接向乙方索赔，签订必要的书面处理协议。如协商不成，任何一方有权在合同签约地选择仲裁或诉讼的途径解决。</w:t>
      </w:r>
    </w:p>
    <w:bookmarkEnd w:id="427"/>
    <w:bookmarkEnd w:id="428"/>
    <w:bookmarkEnd w:id="429"/>
    <w:bookmarkEnd w:id="430"/>
    <w:bookmarkEnd w:id="431"/>
    <w:bookmarkEnd w:id="432"/>
    <w:bookmarkEnd w:id="433"/>
    <w:bookmarkEnd w:id="435"/>
    <w:p w14:paraId="05419CE4">
      <w:pPr>
        <w:pStyle w:val="38"/>
        <w:keepNext w:val="0"/>
        <w:keepLines w:val="0"/>
        <w:pageBreakBefore w:val="0"/>
        <w:kinsoku/>
        <w:wordWrap/>
        <w:overflowPunct/>
        <w:topLinePunct w:val="0"/>
        <w:autoSpaceDE/>
        <w:autoSpaceDN/>
        <w:bidi w:val="0"/>
        <w:adjustRightInd w:val="0"/>
        <w:snapToGrid w:val="0"/>
        <w:spacing w:line="360" w:lineRule="auto"/>
        <w:ind w:firstLine="480"/>
        <w:textAlignment w:val="auto"/>
        <w:outlineLvl w:val="1"/>
        <w:rPr>
          <w:rFonts w:hint="eastAsia" w:ascii="仿宋_GB2312" w:hAnsi="仿宋_GB2312" w:eastAsia="仿宋_GB2312" w:cs="仿宋_GB2312"/>
          <w:b/>
          <w:bCs/>
          <w:sz w:val="24"/>
          <w:szCs w:val="24"/>
        </w:rPr>
      </w:pPr>
      <w:bookmarkStart w:id="570" w:name="_Toc517703688"/>
      <w:bookmarkStart w:id="571" w:name="_Toc457974255"/>
      <w:bookmarkStart w:id="572" w:name="_Toc17970"/>
      <w:bookmarkStart w:id="573" w:name="_Toc15235"/>
      <w:bookmarkStart w:id="574" w:name="_Toc29205"/>
      <w:bookmarkStart w:id="575" w:name="_Toc26951"/>
      <w:bookmarkStart w:id="576" w:name="_Toc17626"/>
      <w:bookmarkStart w:id="577" w:name="_Toc11395"/>
      <w:r>
        <w:rPr>
          <w:rFonts w:hint="eastAsia" w:ascii="仿宋_GB2312" w:hAnsi="仿宋_GB2312" w:eastAsia="仿宋_GB2312" w:cs="仿宋_GB2312"/>
          <w:b/>
          <w:bCs/>
          <w:sz w:val="24"/>
          <w:szCs w:val="24"/>
        </w:rPr>
        <w:t>第十</w:t>
      </w:r>
      <w:r>
        <w:rPr>
          <w:rFonts w:hint="eastAsia" w:ascii="仿宋_GB2312" w:hAnsi="仿宋_GB2312" w:eastAsia="仿宋_GB2312" w:cs="仿宋_GB2312"/>
          <w:b/>
          <w:bCs/>
          <w:sz w:val="24"/>
          <w:szCs w:val="24"/>
          <w:lang w:eastAsia="zh-CN"/>
        </w:rPr>
        <w:t>九</w:t>
      </w:r>
      <w:r>
        <w:rPr>
          <w:rFonts w:hint="eastAsia" w:ascii="仿宋_GB2312" w:hAnsi="仿宋_GB2312" w:eastAsia="仿宋_GB2312" w:cs="仿宋_GB2312"/>
          <w:b/>
          <w:bCs/>
          <w:sz w:val="24"/>
          <w:szCs w:val="24"/>
        </w:rPr>
        <w:t>条 合同生效及其它</w:t>
      </w:r>
      <w:bookmarkEnd w:id="570"/>
      <w:bookmarkEnd w:id="571"/>
      <w:bookmarkEnd w:id="572"/>
      <w:bookmarkEnd w:id="573"/>
      <w:bookmarkEnd w:id="574"/>
      <w:bookmarkEnd w:id="575"/>
      <w:bookmarkEnd w:id="576"/>
      <w:bookmarkEnd w:id="577"/>
    </w:p>
    <w:p w14:paraId="5126C04E">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1.合同经双方法定代表人或授权代表签字并加盖单位公章，并经</w:t>
      </w:r>
      <w:r>
        <w:rPr>
          <w:rFonts w:hint="eastAsia" w:ascii="仿宋_GB2312" w:hAnsi="仿宋_GB2312" w:eastAsia="仿宋_GB2312" w:cs="仿宋_GB2312"/>
          <w:sz w:val="24"/>
          <w:szCs w:val="24"/>
          <w:lang w:eastAsia="zh-CN"/>
        </w:rPr>
        <w:t>浙江天平投资咨询有限公司</w:t>
      </w:r>
      <w:r>
        <w:rPr>
          <w:rFonts w:hint="eastAsia" w:ascii="仿宋_GB2312" w:hAnsi="仿宋_GB2312" w:eastAsia="仿宋_GB2312" w:cs="仿宋_GB2312"/>
          <w:sz w:val="24"/>
          <w:szCs w:val="24"/>
        </w:rPr>
        <w:t>加盖鉴证章后生效。</w:t>
      </w:r>
    </w:p>
    <w:p w14:paraId="1FE238F5">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2.合同执行中涉及采购资金和采购内容修改或补充的，须经</w:t>
      </w:r>
      <w:r>
        <w:rPr>
          <w:rFonts w:hint="eastAsia" w:ascii="仿宋_GB2312" w:hAnsi="仿宋_GB2312" w:eastAsia="仿宋_GB2312" w:cs="仿宋_GB2312"/>
          <w:sz w:val="24"/>
          <w:szCs w:val="24"/>
          <w:lang w:eastAsia="zh-CN"/>
        </w:rPr>
        <w:t>衢州市柯城区</w:t>
      </w:r>
      <w:r>
        <w:rPr>
          <w:rFonts w:hint="eastAsia" w:ascii="仿宋_GB2312" w:hAnsi="仿宋_GB2312" w:eastAsia="仿宋_GB2312" w:cs="仿宋_GB2312"/>
          <w:sz w:val="24"/>
          <w:szCs w:val="24"/>
        </w:rPr>
        <w:t>财政局备案同意，方可作为主合同不可分割的一部分。</w:t>
      </w:r>
    </w:p>
    <w:p w14:paraId="31D86328">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3.本合同未尽事宜，遵照《中华人民共和国民法典》有关条文执行。</w:t>
      </w:r>
    </w:p>
    <w:p w14:paraId="249B7929">
      <w:pPr>
        <w:widowControl/>
        <w:snapToGrid w:val="0"/>
        <w:spacing w:line="52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4.本合同一式</w:t>
      </w:r>
      <w:r>
        <w:rPr>
          <w:rFonts w:hint="eastAsia" w:ascii="仿宋_GB2312" w:hAnsi="仿宋_GB2312" w:eastAsia="仿宋_GB2312" w:cs="仿宋_GB2312"/>
          <w:sz w:val="24"/>
          <w:szCs w:val="24"/>
          <w:lang w:eastAsia="zh-CN"/>
        </w:rPr>
        <w:t>柒</w:t>
      </w:r>
      <w:r>
        <w:rPr>
          <w:rFonts w:hint="eastAsia" w:ascii="仿宋_GB2312" w:hAnsi="仿宋_GB2312" w:eastAsia="仿宋_GB2312" w:cs="仿宋_GB2312"/>
          <w:sz w:val="24"/>
          <w:szCs w:val="24"/>
        </w:rPr>
        <w:t>份，其中，甲乙双方各执</w:t>
      </w:r>
      <w:r>
        <w:rPr>
          <w:rFonts w:hint="eastAsia" w:ascii="仿宋_GB2312" w:hAnsi="仿宋_GB2312" w:eastAsia="仿宋_GB2312" w:cs="仿宋_GB2312"/>
          <w:sz w:val="24"/>
          <w:szCs w:val="24"/>
          <w:lang w:eastAsia="zh-CN"/>
        </w:rPr>
        <w:t>叁</w:t>
      </w:r>
      <w:r>
        <w:rPr>
          <w:rFonts w:hint="eastAsia" w:ascii="仿宋_GB2312" w:hAnsi="仿宋_GB2312" w:eastAsia="仿宋_GB2312" w:cs="仿宋_GB2312"/>
          <w:sz w:val="24"/>
          <w:szCs w:val="24"/>
        </w:rPr>
        <w:t>份，</w:t>
      </w:r>
      <w:r>
        <w:rPr>
          <w:rFonts w:hint="eastAsia" w:ascii="仿宋_GB2312" w:hAnsi="仿宋_GB2312" w:eastAsia="仿宋_GB2312" w:cs="仿宋_GB2312"/>
          <w:sz w:val="24"/>
          <w:szCs w:val="24"/>
          <w:lang w:eastAsia="zh-CN"/>
        </w:rPr>
        <w:t>浙江天平投资咨询有限公司</w:t>
      </w:r>
      <w:r>
        <w:rPr>
          <w:rFonts w:hint="eastAsia" w:ascii="仿宋_GB2312" w:hAnsi="仿宋_GB2312" w:eastAsia="仿宋_GB2312" w:cs="仿宋_GB2312"/>
          <w:sz w:val="24"/>
          <w:szCs w:val="24"/>
        </w:rPr>
        <w:t>留存</w:t>
      </w:r>
      <w:r>
        <w:rPr>
          <w:rFonts w:hint="eastAsia" w:ascii="仿宋_GB2312" w:hAnsi="仿宋_GB2312" w:eastAsia="仿宋_GB2312" w:cs="仿宋_GB2312"/>
          <w:sz w:val="24"/>
          <w:szCs w:val="24"/>
          <w:lang w:eastAsia="zh-CN"/>
        </w:rPr>
        <w:t>壹</w:t>
      </w:r>
      <w:r>
        <w:rPr>
          <w:rFonts w:hint="eastAsia" w:ascii="仿宋_GB2312" w:hAnsi="仿宋_GB2312" w:eastAsia="仿宋_GB2312" w:cs="仿宋_GB2312"/>
          <w:sz w:val="24"/>
          <w:szCs w:val="24"/>
        </w:rPr>
        <w:t>份。具有同等法律效力。</w:t>
      </w:r>
    </w:p>
    <w:p w14:paraId="70EA25CC">
      <w:pPr>
        <w:pStyle w:val="38"/>
        <w:snapToGrid w:val="0"/>
        <w:spacing w:line="520" w:lineRule="exact"/>
        <w:ind w:firstLine="480"/>
        <w:rPr>
          <w:rFonts w:hint="eastAsia" w:ascii="仿宋_GB2312" w:hAnsi="仿宋_GB2312" w:eastAsia="仿宋_GB2312" w:cs="仿宋_GB2312"/>
          <w:sz w:val="24"/>
          <w:szCs w:val="24"/>
        </w:rPr>
      </w:pPr>
    </w:p>
    <w:p w14:paraId="0B34C7FF">
      <w:pPr>
        <w:pStyle w:val="38"/>
        <w:snapToGrid w:val="0"/>
        <w:spacing w:line="520" w:lineRule="exact"/>
        <w:ind w:firstLine="480"/>
        <w:rPr>
          <w:rFonts w:hint="eastAsia" w:ascii="仿宋_GB2312" w:hAnsi="仿宋_GB2312" w:eastAsia="仿宋_GB2312" w:cs="仿宋_GB2312"/>
          <w:sz w:val="24"/>
          <w:szCs w:val="24"/>
        </w:rPr>
      </w:pPr>
    </w:p>
    <w:p w14:paraId="36F32DBA">
      <w:pPr>
        <w:pStyle w:val="38"/>
        <w:snapToGrid w:val="0"/>
        <w:spacing w:line="52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                                   乙方：</w:t>
      </w:r>
    </w:p>
    <w:p w14:paraId="4B622091">
      <w:pPr>
        <w:pStyle w:val="38"/>
        <w:snapToGrid w:val="0"/>
        <w:spacing w:line="52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地址：</w:t>
      </w:r>
    </w:p>
    <w:p w14:paraId="011C5C60">
      <w:pPr>
        <w:pStyle w:val="38"/>
        <w:snapToGrid w:val="0"/>
        <w:spacing w:line="52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法定（授权）代表人：                     法定（授权）代表人：</w:t>
      </w:r>
    </w:p>
    <w:p w14:paraId="07074456">
      <w:pPr>
        <w:pStyle w:val="38"/>
        <w:snapToGrid w:val="0"/>
        <w:spacing w:line="52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签订地点：                               签字日期：  年  月  日</w:t>
      </w:r>
    </w:p>
    <w:p w14:paraId="1D4475DE">
      <w:pPr>
        <w:pStyle w:val="4"/>
        <w:spacing w:before="156" w:after="156" w:line="520" w:lineRule="exact"/>
        <w:jc w:val="both"/>
        <w:rPr>
          <w:rFonts w:hint="eastAsia" w:ascii="仿宋_GB2312" w:hAnsi="仿宋_GB2312" w:eastAsia="仿宋_GB2312" w:cs="仿宋_GB2312"/>
          <w:sz w:val="24"/>
          <w:szCs w:val="24"/>
        </w:rPr>
      </w:pPr>
    </w:p>
    <w:p w14:paraId="6357B997">
      <w:pPr>
        <w:pStyle w:val="38"/>
        <w:snapToGrid w:val="0"/>
        <w:spacing w:line="520" w:lineRule="exact"/>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合同鉴证方: </w:t>
      </w:r>
      <w:r>
        <w:rPr>
          <w:rFonts w:hint="eastAsia" w:ascii="仿宋_GB2312" w:hAnsi="仿宋_GB2312" w:eastAsia="仿宋_GB2312" w:cs="仿宋_GB2312"/>
          <w:snapToGrid w:val="0"/>
          <w:sz w:val="24"/>
          <w:szCs w:val="24"/>
          <w:lang w:eastAsia="zh-CN"/>
        </w:rPr>
        <w:t>浙江天平投资咨询有限公司</w:t>
      </w:r>
    </w:p>
    <w:p w14:paraId="4736B84B">
      <w:pPr>
        <w:pStyle w:val="38"/>
        <w:snapToGrid w:val="0"/>
        <w:spacing w:line="52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鉴证日期:    </w:t>
      </w:r>
      <w:r>
        <w:rPr>
          <w:rFonts w:hint="eastAsia" w:ascii="仿宋_GB2312" w:hAnsi="仿宋_GB2312" w:eastAsia="仿宋_GB2312" w:cs="仿宋_GB2312"/>
          <w:sz w:val="24"/>
          <w:szCs w:val="24"/>
          <w:lang w:val="zh-CN"/>
        </w:rPr>
        <w:t xml:space="preserve">年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zh-CN"/>
        </w:rPr>
        <w:t>月</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zh-CN"/>
        </w:rPr>
        <w:t xml:space="preserve"> 日</w:t>
      </w:r>
    </w:p>
    <w:p w14:paraId="781EB1A1">
      <w:pPr>
        <w:pStyle w:val="69"/>
        <w:spacing w:line="520" w:lineRule="exact"/>
        <w:rPr>
          <w:rFonts w:hint="eastAsia" w:ascii="仿宋_GB2312" w:hAnsi="仿宋_GB2312" w:eastAsia="仿宋_GB2312" w:cs="仿宋_GB2312"/>
          <w:sz w:val="24"/>
          <w:szCs w:val="24"/>
        </w:rPr>
      </w:pPr>
    </w:p>
    <w:p w14:paraId="67EAF3A0">
      <w:pPr>
        <w:pStyle w:val="69"/>
        <w:spacing w:line="520" w:lineRule="exact"/>
        <w:rPr>
          <w:rFonts w:hint="eastAsia" w:ascii="仿宋" w:hAnsi="仿宋" w:eastAsia="仿宋" w:cs="仿宋"/>
          <w:sz w:val="24"/>
          <w:szCs w:val="24"/>
        </w:rPr>
      </w:pPr>
    </w:p>
    <w:p w14:paraId="7B27D8F8">
      <w:pPr>
        <w:pStyle w:val="69"/>
        <w:spacing w:line="520" w:lineRule="exact"/>
        <w:rPr>
          <w:rFonts w:hint="eastAsia" w:ascii="仿宋" w:hAnsi="仿宋" w:eastAsia="仿宋" w:cs="仿宋"/>
          <w:sz w:val="24"/>
          <w:szCs w:val="24"/>
        </w:rPr>
      </w:pPr>
    </w:p>
    <w:p w14:paraId="36DB0DCD">
      <w:pPr>
        <w:pStyle w:val="69"/>
        <w:spacing w:line="520" w:lineRule="exact"/>
        <w:rPr>
          <w:rFonts w:hint="eastAsia" w:ascii="仿宋" w:hAnsi="仿宋" w:eastAsia="仿宋" w:cs="仿宋"/>
          <w:sz w:val="24"/>
          <w:szCs w:val="24"/>
        </w:rPr>
      </w:pPr>
    </w:p>
    <w:p w14:paraId="235581C1">
      <w:pPr>
        <w:pStyle w:val="69"/>
        <w:spacing w:line="520" w:lineRule="exact"/>
        <w:rPr>
          <w:rFonts w:hint="eastAsia" w:ascii="仿宋" w:hAnsi="仿宋" w:eastAsia="仿宋" w:cs="仿宋"/>
          <w:sz w:val="24"/>
          <w:szCs w:val="24"/>
        </w:rPr>
      </w:pPr>
    </w:p>
    <w:p w14:paraId="480AC514">
      <w:pPr>
        <w:pStyle w:val="978"/>
        <w:spacing w:line="380" w:lineRule="exact"/>
        <w:rPr>
          <w:rFonts w:hint="eastAsia" w:ascii="仿宋" w:hAnsi="仿宋" w:eastAsia="仿宋" w:cs="仿宋"/>
          <w:sz w:val="24"/>
          <w:szCs w:val="24"/>
        </w:rPr>
      </w:pPr>
    </w:p>
    <w:p w14:paraId="201D5B01">
      <w:pPr>
        <w:pStyle w:val="978"/>
        <w:spacing w:line="380" w:lineRule="exact"/>
        <w:rPr>
          <w:rFonts w:hint="eastAsia" w:ascii="仿宋" w:hAnsi="仿宋" w:eastAsia="仿宋" w:cs="仿宋"/>
          <w:sz w:val="24"/>
          <w:szCs w:val="24"/>
        </w:rPr>
      </w:pPr>
    </w:p>
    <w:p w14:paraId="1B45C2EF">
      <w:pPr>
        <w:pStyle w:val="978"/>
        <w:spacing w:line="380" w:lineRule="exact"/>
        <w:rPr>
          <w:rFonts w:hint="eastAsia" w:ascii="仿宋" w:hAnsi="仿宋" w:eastAsia="仿宋" w:cs="仿宋"/>
          <w:sz w:val="24"/>
          <w:szCs w:val="24"/>
        </w:rPr>
      </w:pPr>
    </w:p>
    <w:p w14:paraId="77AD72F0">
      <w:pPr>
        <w:pStyle w:val="978"/>
        <w:spacing w:line="380" w:lineRule="exact"/>
        <w:rPr>
          <w:rFonts w:hint="eastAsia" w:ascii="仿宋" w:hAnsi="仿宋" w:eastAsia="仿宋" w:cs="仿宋"/>
          <w:sz w:val="24"/>
          <w:szCs w:val="24"/>
        </w:rPr>
      </w:pPr>
    </w:p>
    <w:p w14:paraId="592D9876">
      <w:pPr>
        <w:pStyle w:val="978"/>
        <w:spacing w:line="380" w:lineRule="exact"/>
        <w:rPr>
          <w:rFonts w:hint="eastAsia" w:ascii="仿宋" w:hAnsi="仿宋" w:eastAsia="仿宋" w:cs="仿宋"/>
          <w:sz w:val="24"/>
          <w:szCs w:val="24"/>
        </w:rPr>
      </w:pPr>
    </w:p>
    <w:p w14:paraId="5CE407B5">
      <w:pPr>
        <w:pStyle w:val="978"/>
        <w:spacing w:line="380" w:lineRule="exact"/>
        <w:rPr>
          <w:rFonts w:hint="eastAsia" w:ascii="仿宋" w:hAnsi="仿宋" w:eastAsia="仿宋" w:cs="仿宋"/>
          <w:sz w:val="24"/>
          <w:szCs w:val="24"/>
        </w:rPr>
      </w:pPr>
    </w:p>
    <w:p w14:paraId="1F27FEC9">
      <w:pPr>
        <w:pStyle w:val="978"/>
        <w:spacing w:line="380" w:lineRule="exact"/>
        <w:rPr>
          <w:rFonts w:hint="eastAsia" w:ascii="仿宋" w:hAnsi="仿宋" w:eastAsia="仿宋" w:cs="仿宋"/>
          <w:sz w:val="24"/>
          <w:szCs w:val="24"/>
        </w:rPr>
      </w:pPr>
    </w:p>
    <w:p w14:paraId="7D066500">
      <w:pPr>
        <w:pStyle w:val="978"/>
        <w:spacing w:line="380" w:lineRule="exact"/>
        <w:rPr>
          <w:rFonts w:hint="eastAsia" w:ascii="仿宋" w:hAnsi="仿宋" w:eastAsia="仿宋" w:cs="仿宋"/>
          <w:sz w:val="24"/>
          <w:szCs w:val="24"/>
        </w:rPr>
      </w:pPr>
    </w:p>
    <w:p w14:paraId="78983790">
      <w:pPr>
        <w:pStyle w:val="978"/>
        <w:spacing w:line="380" w:lineRule="exact"/>
        <w:rPr>
          <w:rFonts w:hint="eastAsia" w:ascii="仿宋" w:hAnsi="仿宋" w:eastAsia="仿宋" w:cs="仿宋"/>
          <w:sz w:val="24"/>
          <w:szCs w:val="24"/>
        </w:rPr>
      </w:pPr>
    </w:p>
    <w:p w14:paraId="6FDF5478">
      <w:pPr>
        <w:pStyle w:val="978"/>
        <w:spacing w:line="380" w:lineRule="exact"/>
        <w:rPr>
          <w:rFonts w:hint="eastAsia" w:ascii="仿宋" w:hAnsi="仿宋" w:eastAsia="仿宋" w:cs="仿宋"/>
          <w:sz w:val="24"/>
          <w:szCs w:val="24"/>
        </w:rPr>
      </w:pPr>
    </w:p>
    <w:p w14:paraId="6093BA5B">
      <w:pPr>
        <w:pStyle w:val="978"/>
        <w:spacing w:line="380" w:lineRule="exact"/>
        <w:rPr>
          <w:rFonts w:hint="eastAsia" w:ascii="仿宋" w:hAnsi="仿宋" w:eastAsia="仿宋" w:cs="仿宋"/>
          <w:sz w:val="24"/>
          <w:szCs w:val="24"/>
        </w:rPr>
      </w:pPr>
    </w:p>
    <w:p w14:paraId="54849514">
      <w:pPr>
        <w:pStyle w:val="978"/>
        <w:spacing w:line="380" w:lineRule="exact"/>
        <w:rPr>
          <w:rFonts w:hint="eastAsia" w:ascii="仿宋" w:hAnsi="仿宋" w:eastAsia="仿宋" w:cs="仿宋"/>
          <w:sz w:val="24"/>
          <w:szCs w:val="24"/>
        </w:rPr>
      </w:pPr>
    </w:p>
    <w:p w14:paraId="351CA747">
      <w:pPr>
        <w:pStyle w:val="978"/>
        <w:spacing w:line="380" w:lineRule="exact"/>
        <w:rPr>
          <w:rFonts w:hint="eastAsia" w:ascii="仿宋" w:hAnsi="仿宋" w:eastAsia="仿宋" w:cs="仿宋"/>
          <w:sz w:val="24"/>
          <w:szCs w:val="24"/>
        </w:rPr>
      </w:pPr>
    </w:p>
    <w:p w14:paraId="390C3E32">
      <w:pPr>
        <w:pStyle w:val="978"/>
        <w:spacing w:line="380" w:lineRule="exact"/>
        <w:rPr>
          <w:rFonts w:hint="eastAsia" w:ascii="仿宋" w:hAnsi="仿宋" w:eastAsia="仿宋" w:cs="仿宋"/>
          <w:sz w:val="24"/>
          <w:szCs w:val="24"/>
        </w:rPr>
      </w:pPr>
    </w:p>
    <w:p w14:paraId="37571BDA">
      <w:pPr>
        <w:keepNext w:val="0"/>
        <w:keepLines w:val="0"/>
        <w:pageBreakBefore w:val="0"/>
        <w:widowControl w:val="0"/>
        <w:kinsoku/>
        <w:wordWrap/>
        <w:overflowPunct/>
        <w:topLinePunct w:val="0"/>
        <w:autoSpaceDE/>
        <w:autoSpaceDN/>
        <w:bidi w:val="0"/>
        <w:adjustRightInd w:val="0"/>
        <w:snapToGrid/>
        <w:spacing w:line="288" w:lineRule="auto"/>
        <w:ind w:left="0" w:leftChars="0" w:firstLine="0" w:firstLineChars="0"/>
        <w:jc w:val="both"/>
        <w:textAlignment w:val="auto"/>
        <w:outlineLvl w:val="1"/>
        <w:rPr>
          <w:rFonts w:hint="eastAsia" w:ascii="仿宋_GB2312" w:hAnsi="仿宋_GB2312" w:eastAsia="仿宋_GB2312" w:cs="仿宋_GB2312"/>
          <w:b/>
          <w:bCs/>
          <w:color w:val="auto"/>
          <w:spacing w:val="4"/>
          <w:sz w:val="24"/>
          <w:szCs w:val="24"/>
          <w:lang w:val="en-US" w:eastAsia="zh-CN"/>
        </w:rPr>
      </w:pPr>
      <w:bookmarkStart w:id="578" w:name="_Toc19215"/>
      <w:r>
        <w:rPr>
          <w:rFonts w:hint="eastAsia" w:ascii="仿宋_GB2312" w:hAnsi="仿宋_GB2312" w:eastAsia="仿宋_GB2312" w:cs="仿宋_GB2312"/>
          <w:b/>
          <w:bCs/>
          <w:color w:val="auto"/>
          <w:spacing w:val="4"/>
          <w:sz w:val="24"/>
          <w:szCs w:val="24"/>
          <w:lang w:val="en-US" w:eastAsia="zh-CN"/>
        </w:rPr>
        <w:t>附件</w:t>
      </w:r>
      <w:bookmarkEnd w:id="578"/>
      <w:r>
        <w:rPr>
          <w:rFonts w:hint="eastAsia" w:ascii="仿宋_GB2312" w:hAnsi="仿宋_GB2312" w:eastAsia="仿宋_GB2312" w:cs="仿宋_GB2312"/>
          <w:b/>
          <w:bCs/>
          <w:color w:val="auto"/>
          <w:spacing w:val="4"/>
          <w:sz w:val="24"/>
          <w:szCs w:val="24"/>
          <w:lang w:val="en-US" w:eastAsia="zh-CN"/>
        </w:rPr>
        <w:t>：</w:t>
      </w:r>
    </w:p>
    <w:p w14:paraId="7A149C28">
      <w:pPr>
        <w:adjustRightInd w:val="0"/>
        <w:spacing w:before="120" w:beforeLines="50"/>
        <w:ind w:left="0" w:leftChars="0" w:firstLine="0" w:firstLineChars="0"/>
        <w:jc w:val="center"/>
        <w:outlineLvl w:val="1"/>
        <w:rPr>
          <w:rFonts w:hint="eastAsia" w:ascii="仿宋_GB2312" w:hAnsi="仿宋_GB2312" w:eastAsia="仿宋_GB2312" w:cs="仿宋_GB2312"/>
          <w:b/>
          <w:bCs/>
          <w:color w:val="auto"/>
          <w:spacing w:val="4"/>
          <w:sz w:val="32"/>
          <w:szCs w:val="32"/>
          <w:lang w:eastAsia="zh-CN"/>
        </w:rPr>
      </w:pPr>
      <w:bookmarkStart w:id="579" w:name="_Toc18179"/>
      <w:r>
        <w:rPr>
          <w:rFonts w:hint="eastAsia" w:ascii="仿宋_GB2312" w:hAnsi="仿宋_GB2312" w:eastAsia="仿宋_GB2312" w:cs="仿宋_GB2312"/>
          <w:b/>
          <w:bCs/>
          <w:color w:val="auto"/>
          <w:spacing w:val="4"/>
          <w:sz w:val="32"/>
          <w:szCs w:val="32"/>
          <w:lang w:eastAsia="zh-CN"/>
        </w:rPr>
        <w:t>航埠镇沿线沿路屋顶分布式光伏电站整改服务项目（三次）</w:t>
      </w:r>
    </w:p>
    <w:p w14:paraId="0D44D0FE">
      <w:pPr>
        <w:adjustRightInd w:val="0"/>
        <w:spacing w:before="120" w:beforeLines="50"/>
        <w:ind w:left="0" w:leftChars="0" w:firstLine="0" w:firstLineChars="0"/>
        <w:jc w:val="center"/>
        <w:outlineLvl w:val="1"/>
        <w:rPr>
          <w:rStyle w:val="78"/>
          <w:rFonts w:hint="eastAsia" w:ascii="仿宋_GB2312" w:hAnsi="仿宋_GB2312" w:eastAsia="仿宋_GB2312" w:cs="仿宋_GB2312"/>
          <w:color w:val="auto"/>
          <w:sz w:val="32"/>
          <w:szCs w:val="32"/>
        </w:rPr>
      </w:pPr>
      <w:r>
        <w:rPr>
          <w:rStyle w:val="78"/>
          <w:rFonts w:hint="eastAsia" w:ascii="仿宋_GB2312" w:hAnsi="仿宋_GB2312" w:eastAsia="仿宋_GB2312" w:cs="仿宋_GB2312"/>
          <w:color w:val="auto"/>
          <w:sz w:val="32"/>
          <w:szCs w:val="32"/>
        </w:rPr>
        <w:t>运行维护合同</w:t>
      </w:r>
      <w:bookmarkEnd w:id="579"/>
    </w:p>
    <w:p w14:paraId="5B0902C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szCs w:val="24"/>
          <w:highlight w:val="none"/>
        </w:rPr>
      </w:pPr>
      <w:bookmarkStart w:id="580" w:name="_Toc3617"/>
      <w:bookmarkStart w:id="581" w:name="_Toc25395"/>
    </w:p>
    <w:p w14:paraId="38B09E3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甲方： </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（以下简称甲方）</w:t>
      </w:r>
    </w:p>
    <w:p w14:paraId="3304E845">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w:t>
      </w:r>
    </w:p>
    <w:p w14:paraId="3CF65437">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一、项目概况</w:t>
      </w:r>
      <w:bookmarkEnd w:id="580"/>
      <w:bookmarkEnd w:id="581"/>
    </w:p>
    <w:p w14:paraId="7EA14A47">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1.项目名称:</w:t>
      </w:r>
    </w:p>
    <w:p w14:paraId="0D26D835">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2.项目地点:</w:t>
      </w:r>
    </w:p>
    <w:p w14:paraId="7A733248">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582" w:name="_Toc10627"/>
      <w:bookmarkStart w:id="583" w:name="_Toc29275"/>
      <w:bookmarkStart w:id="584" w:name="_Toc6793"/>
      <w:r>
        <w:rPr>
          <w:rFonts w:hint="eastAsia" w:ascii="仿宋_GB2312" w:hAnsi="仿宋_GB2312" w:eastAsia="仿宋_GB2312" w:cs="仿宋_GB2312"/>
          <w:b/>
          <w:color w:val="auto"/>
          <w:sz w:val="24"/>
          <w:szCs w:val="24"/>
        </w:rPr>
        <w:t>二、项目运维范围及内容</w:t>
      </w:r>
      <w:bookmarkEnd w:id="582"/>
      <w:bookmarkEnd w:id="583"/>
      <w:bookmarkEnd w:id="584"/>
    </w:p>
    <w:p w14:paraId="0CE4E7FD">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本项目所在区域是</w:t>
      </w:r>
      <w:r>
        <w:rPr>
          <w:rFonts w:hint="eastAsia" w:ascii="仿宋_GB2312" w:hAnsi="仿宋_GB2312" w:eastAsia="仿宋_GB2312" w:cs="仿宋_GB2312"/>
          <w:color w:val="auto"/>
          <w:sz w:val="24"/>
          <w:szCs w:val="24"/>
          <w:lang w:eastAsia="zh-CN"/>
        </w:rPr>
        <w:t>衢州市柯城区航埠镇</w:t>
      </w:r>
      <w:r>
        <w:rPr>
          <w:rFonts w:hint="eastAsia" w:ascii="仿宋_GB2312" w:hAnsi="仿宋_GB2312" w:eastAsia="仿宋_GB2312" w:cs="仿宋_GB2312"/>
          <w:color w:val="auto"/>
          <w:sz w:val="24"/>
          <w:szCs w:val="24"/>
        </w:rPr>
        <w:t>屋顶</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光伏发电，站外设备包括：光伏区、汇流箱、逆变器、防雷设施等所有配件。</w:t>
      </w:r>
    </w:p>
    <w:p w14:paraId="51B31C52">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设备运行维护工作包括以下内容：</w:t>
      </w:r>
    </w:p>
    <w:p w14:paraId="131D33B0">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为保证设备和系统安全、文明、稳定、经济运行而需要开展的所有工作，本项目各专业统一性的维修工作内容如下：</w:t>
      </w:r>
    </w:p>
    <w:p w14:paraId="55E7814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1.建立完善的技术文件管理体系，主要包括：建立电站的设备技术档案和设计施工图纸档案，建立电站的信息化管理系统，建立电站的运行期档案</w:t>
      </w:r>
    </w:p>
    <w:p w14:paraId="11F01FFE">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建立电站设备技术档案和设计施工图纸档案，设计施工、竣工图纸，设备的基本工作原理、技术参数、设备安装规程、设备调试的步骤，所有操作开关、旋钮、手柄以及状态和信号指示的说明，设备运行的操作步骤，电站维护的项目及内容，维护日程和所有维护项目的操作规程。</w:t>
      </w:r>
    </w:p>
    <w:p w14:paraId="568430D9">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建立信息化管理系统，利用数字化信息化技术，来统一标定和处理光伏电站的信息采集、传输、处理、通讯，整合光伏电站设备监控管理、状态监测管理系统、综合自动保护系统，实现光伏电站数据共享和远程监控。</w:t>
      </w:r>
    </w:p>
    <w:p w14:paraId="655AAF2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4.应制定对设备定期巡视检查的制度，并按规定进行检查，做好记录。</w:t>
      </w:r>
    </w:p>
    <w:p w14:paraId="6FCE1E4D">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5.要保证防范带电设备的安全措施，如隔栏、标识等，防止无关人员误入带电区域。</w:t>
      </w:r>
    </w:p>
    <w:p w14:paraId="15877B6C">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6.应制定发生事故的应急措施。重点说明如果发生人员触电或设备故障时，如何进行切断电源和隔离设备，保证人员的安全和故障设备的隔离。</w:t>
      </w:r>
    </w:p>
    <w:p w14:paraId="27BDE3F0">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7.光伏电站的运行与维护应保证系统本身安全，以及系统不会对人员造成危害，并使系统维持最大的发电能力。</w:t>
      </w:r>
    </w:p>
    <w:p w14:paraId="2448E71C">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8.光伏电站的主要部件应始终运行在产品标准规定的范围之内，达不到要求的部件应及时维修或更换。</w:t>
      </w:r>
    </w:p>
    <w:p w14:paraId="76AB867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9.光伏电站的主要部件周围不得堆积易燃易爆物品，设备本身及周围环境应通风散热良好，设备上的灰尘和污物应及时清理。</w:t>
      </w:r>
    </w:p>
    <w:p w14:paraId="263F690F">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10.光伏电站的主要部件上的各种警示标识应保持完整，各个接线端子应牢固可靠，设备的接线孔处应采取有效措施防止蛇、鼠等小动物进入设备内部。</w:t>
      </w:r>
    </w:p>
    <w:p w14:paraId="43023F7F">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11.光伏电站的主要部件在运行时，温度、声音、气味等不应出现异常情况，指示灯应正常工作并保持清洁。</w:t>
      </w:r>
    </w:p>
    <w:p w14:paraId="7D10B3D6">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光伏电站运行和维护人员应具备与自身职责相应的专业技能。在工作之前必须做好安全准备，断开所有应断开开关，确保电容、电感放电完全，必要时应穿绝缘鞋，带低压绝缘手套，使用绝缘工具，工作完毕后应排除系统可能存在的事故隐患。</w:t>
      </w:r>
    </w:p>
    <w:p w14:paraId="142B17C3">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13.光伏电站运行和维护的全部过程需要进行详细的记录，对于所有记录必须妥善保管，并对每次故障记录进行分析。</w:t>
      </w:r>
    </w:p>
    <w:p w14:paraId="32EA16BB">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14.设备应该日常巡检、消缺、消漏、抢修。</w:t>
      </w:r>
    </w:p>
    <w:p w14:paraId="0CBB4CC4">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15.设备需定期进行的各项检查、检修、充气、各项试验等。</w:t>
      </w:r>
    </w:p>
    <w:p w14:paraId="12C027F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16.保温、搭脚手架、油漆、防腐、焊接、起重等工作。</w:t>
      </w:r>
    </w:p>
    <w:p w14:paraId="46D8F9CC">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17.所有照明设备的维护和检修。</w:t>
      </w:r>
    </w:p>
    <w:p w14:paraId="625D9697">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18.本项目所辖区域内系统设备、电缆沟道、电缆桥架卫生。</w:t>
      </w:r>
    </w:p>
    <w:p w14:paraId="020E94F3">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19.区域和控制室内所有消防设施的维护。</w:t>
      </w:r>
    </w:p>
    <w:p w14:paraId="547C5D09">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20.为使设备正常运行及部件、构件的完好或复原而进行的定期调整检测、预防性检查测试、消缺、及事故抢修和备品配件更换等工作都属于本项目维修工作内容。</w:t>
      </w:r>
    </w:p>
    <w:p w14:paraId="16151518">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21.做好设备每天的夜间正常维护、消缺和值班工作。</w:t>
      </w:r>
    </w:p>
    <w:p w14:paraId="53CE05B4">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highlight w:val="none"/>
        </w:rPr>
      </w:pPr>
      <w:bookmarkStart w:id="585" w:name="_Toc23039"/>
      <w:bookmarkStart w:id="586" w:name="_Toc3538"/>
      <w:bookmarkStart w:id="587" w:name="_Toc18115"/>
      <w:r>
        <w:rPr>
          <w:rFonts w:hint="eastAsia" w:ascii="仿宋_GB2312" w:hAnsi="仿宋_GB2312" w:eastAsia="仿宋_GB2312" w:cs="仿宋_GB2312"/>
          <w:b/>
          <w:color w:val="auto"/>
          <w:sz w:val="24"/>
          <w:szCs w:val="24"/>
          <w:highlight w:val="none"/>
        </w:rPr>
        <w:t>三、合同期限</w:t>
      </w:r>
      <w:bookmarkEnd w:id="585"/>
      <w:bookmarkEnd w:id="586"/>
      <w:bookmarkEnd w:id="587"/>
    </w:p>
    <w:p w14:paraId="555F8004">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1.合同期限：自</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   月  日起至</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  月  日止；</w:t>
      </w:r>
    </w:p>
    <w:p w14:paraId="42B13973">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Cs/>
          <w:color w:val="auto"/>
          <w:sz w:val="24"/>
          <w:szCs w:val="24"/>
          <w:highlight w:val="none"/>
        </w:rPr>
        <w:t>运维服务年限25年，即</w:t>
      </w:r>
      <w:r>
        <w:rPr>
          <w:rFonts w:hint="eastAsia" w:ascii="仿宋_GB2312" w:hAnsi="仿宋_GB2312" w:eastAsia="仿宋_GB2312" w:cs="仿宋_GB2312"/>
          <w:color w:val="auto"/>
          <w:sz w:val="24"/>
          <w:szCs w:val="24"/>
          <w:highlight w:val="none"/>
        </w:rPr>
        <w:t>无偿运行维护</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年+有偿运行维护</w:t>
      </w:r>
      <w:r>
        <w:rPr>
          <w:rFonts w:hint="eastAsia" w:ascii="仿宋_GB2312" w:hAnsi="仿宋_GB2312" w:eastAsia="仿宋_GB2312" w:cs="仿宋_GB2312"/>
          <w:color w:val="auto"/>
          <w:sz w:val="24"/>
          <w:szCs w:val="24"/>
          <w:highlight w:val="none"/>
          <w:lang w:val="en-US" w:eastAsia="zh-CN"/>
        </w:rPr>
        <w:t>20</w:t>
      </w:r>
      <w:r>
        <w:rPr>
          <w:rFonts w:hint="eastAsia" w:ascii="仿宋_GB2312" w:hAnsi="仿宋_GB2312" w:eastAsia="仿宋_GB2312" w:cs="仿宋_GB2312"/>
          <w:color w:val="auto"/>
          <w:sz w:val="24"/>
          <w:szCs w:val="24"/>
          <w:highlight w:val="none"/>
        </w:rPr>
        <w:t>年。</w:t>
      </w:r>
    </w:p>
    <w:p w14:paraId="61CE1A29">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highlight w:val="none"/>
          <w:lang w:eastAsia="zh-CN"/>
        </w:rPr>
      </w:pPr>
      <w:bookmarkStart w:id="588" w:name="_Toc7402"/>
      <w:bookmarkStart w:id="589" w:name="_Toc19541"/>
      <w:bookmarkStart w:id="590" w:name="_Toc9871"/>
      <w:r>
        <w:rPr>
          <w:rFonts w:hint="eastAsia" w:ascii="仿宋_GB2312" w:hAnsi="仿宋_GB2312" w:eastAsia="仿宋_GB2312" w:cs="仿宋_GB2312"/>
          <w:b/>
          <w:color w:val="auto"/>
          <w:sz w:val="24"/>
          <w:szCs w:val="24"/>
          <w:highlight w:val="none"/>
          <w:lang w:val="en-US" w:eastAsia="zh-CN"/>
        </w:rPr>
        <w:t>四</w:t>
      </w:r>
      <w:r>
        <w:rPr>
          <w:rFonts w:hint="eastAsia" w:ascii="仿宋_GB2312" w:hAnsi="仿宋_GB2312" w:eastAsia="仿宋_GB2312" w:cs="仿宋_GB2312"/>
          <w:b/>
          <w:color w:val="auto"/>
          <w:sz w:val="24"/>
          <w:szCs w:val="24"/>
          <w:highlight w:val="none"/>
        </w:rPr>
        <w:t>、</w:t>
      </w:r>
      <w:bookmarkEnd w:id="588"/>
      <w:r>
        <w:rPr>
          <w:rFonts w:hint="eastAsia" w:ascii="仿宋_GB2312" w:hAnsi="仿宋_GB2312" w:eastAsia="仿宋_GB2312" w:cs="仿宋_GB2312"/>
          <w:b/>
          <w:color w:val="auto"/>
          <w:sz w:val="24"/>
          <w:szCs w:val="24"/>
          <w:highlight w:val="none"/>
          <w:lang w:eastAsia="zh-CN"/>
        </w:rPr>
        <w:t>运维基金</w:t>
      </w:r>
    </w:p>
    <w:p w14:paraId="3ADE2944">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1.项目通过相关部门竣工验收，与供电部门并网发电并投入正常运行后</w:t>
      </w:r>
      <w:r>
        <w:rPr>
          <w:rFonts w:hint="eastAsia" w:ascii="仿宋_GB2312" w:hAnsi="仿宋_GB2312" w:eastAsia="仿宋_GB2312" w:cs="仿宋_GB2312"/>
          <w:color w:val="auto"/>
          <w:sz w:val="24"/>
          <w:szCs w:val="24"/>
          <w:highlight w:val="none"/>
          <w:lang w:eastAsia="zh-CN"/>
        </w:rPr>
        <w:t>，履约保证金</w:t>
      </w:r>
      <w:r>
        <w:rPr>
          <w:rFonts w:hint="eastAsia" w:ascii="仿宋_GB2312" w:hAnsi="仿宋_GB2312" w:eastAsia="仿宋_GB2312" w:cs="仿宋_GB2312"/>
          <w:color w:val="auto"/>
          <w:sz w:val="24"/>
          <w:szCs w:val="24"/>
          <w:highlight w:val="none"/>
        </w:rPr>
        <w:t>全额自动转为运维基金</w:t>
      </w:r>
      <w:r>
        <w:rPr>
          <w:rFonts w:hint="eastAsia" w:ascii="仿宋_GB2312" w:hAnsi="仿宋_GB2312" w:eastAsia="仿宋_GB2312" w:cs="仿宋_GB2312"/>
          <w:color w:val="auto"/>
          <w:sz w:val="24"/>
          <w:szCs w:val="24"/>
          <w:highlight w:val="none"/>
          <w:lang w:eastAsia="zh-CN"/>
        </w:rPr>
        <w:t>，金额</w:t>
      </w:r>
      <w:r>
        <w:rPr>
          <w:rFonts w:hint="eastAsia" w:ascii="仿宋_GB2312" w:hAnsi="仿宋_GB2312" w:eastAsia="仿宋_GB2312" w:cs="仿宋_GB2312"/>
          <w:color w:val="auto"/>
          <w:sz w:val="24"/>
          <w:szCs w:val="24"/>
          <w:highlight w:val="none"/>
          <w:lang w:val="en-US" w:eastAsia="zh-CN"/>
        </w:rPr>
        <w:fldChar w:fldCharType="begin"/>
      </w:r>
      <w:r>
        <w:rPr>
          <w:rFonts w:hint="eastAsia" w:ascii="仿宋_GB2312" w:hAnsi="仿宋_GB2312" w:eastAsia="仿宋_GB2312" w:cs="仿宋_GB2312"/>
          <w:color w:val="auto"/>
          <w:sz w:val="24"/>
          <w:szCs w:val="24"/>
          <w:highlight w:val="none"/>
          <w:lang w:val="en-US" w:eastAsia="zh-CN"/>
        </w:rPr>
        <w:instrText xml:space="preserve"> = 150000 \* CHINESENUM4 \* MERGEFORMAT </w:instrText>
      </w:r>
      <w:r>
        <w:rPr>
          <w:rFonts w:hint="eastAsia" w:ascii="仿宋_GB2312" w:hAnsi="仿宋_GB2312" w:eastAsia="仿宋_GB2312" w:cs="仿宋_GB2312"/>
          <w:color w:val="auto"/>
          <w:sz w:val="24"/>
          <w:szCs w:val="24"/>
          <w:highlight w:val="none"/>
          <w:lang w:val="en-US" w:eastAsia="zh-CN"/>
        </w:rPr>
        <w:fldChar w:fldCharType="separate"/>
      </w:r>
      <w:r>
        <w:rPr>
          <w:rFonts w:hint="eastAsia" w:ascii="仿宋_GB2312" w:hAnsi="仿宋_GB2312" w:eastAsia="仿宋_GB2312" w:cs="仿宋_GB2312"/>
          <w:color w:val="auto"/>
          <w:sz w:val="24"/>
          <w:szCs w:val="24"/>
          <w:highlight w:val="none"/>
          <w:lang w:val="en-US" w:eastAsia="zh-CN"/>
        </w:rPr>
        <w:t>为</w:t>
      </w:r>
      <w:r>
        <w:rPr>
          <w:rFonts w:hint="eastAsia" w:ascii="仿宋_GB2312" w:hAnsi="仿宋_GB2312" w:eastAsia="仿宋_GB2312" w:cs="仿宋_GB2312"/>
          <w:color w:val="auto"/>
          <w:sz w:val="24"/>
          <w:szCs w:val="24"/>
          <w:highlight w:val="none"/>
          <w:lang w:val="en-US" w:eastAsia="zh-CN"/>
        </w:rPr>
        <w:fldChar w:fldCharType="end"/>
      </w:r>
      <w:r>
        <w:rPr>
          <w:rFonts w:hint="eastAsia" w:ascii="仿宋_GB2312" w:hAnsi="仿宋_GB2312" w:eastAsia="仿宋_GB2312" w:cs="仿宋_GB2312"/>
          <w:color w:val="auto"/>
          <w:sz w:val="24"/>
          <w:szCs w:val="24"/>
          <w:highlight w:val="none"/>
          <w:lang w:val="en-US" w:eastAsia="zh-CN"/>
        </w:rPr>
        <w:t>人民币大写：     元；小写：（￥     元）。</w:t>
      </w:r>
    </w:p>
    <w:p w14:paraId="24BF3B4C">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无偿运行维护</w:t>
      </w:r>
      <w:r>
        <w:rPr>
          <w:rFonts w:hint="eastAsia" w:ascii="仿宋_GB2312" w:hAnsi="仿宋_GB2312" w:eastAsia="仿宋_GB2312" w:cs="仿宋_GB2312"/>
          <w:color w:val="auto"/>
          <w:sz w:val="24"/>
          <w:szCs w:val="24"/>
          <w:highlight w:val="none"/>
          <w:lang w:eastAsia="zh-CN"/>
        </w:rPr>
        <w:t>期满后（</w:t>
      </w:r>
      <w:r>
        <w:rPr>
          <w:rFonts w:hint="eastAsia" w:ascii="仿宋_GB2312" w:hAnsi="仿宋_GB2312" w:eastAsia="仿宋_GB2312" w:cs="仿宋_GB2312"/>
          <w:color w:val="auto"/>
          <w:sz w:val="24"/>
          <w:szCs w:val="24"/>
          <w:highlight w:val="none"/>
          <w:lang w:val="en-US" w:eastAsia="zh-CN"/>
        </w:rPr>
        <w:t>5年</w:t>
      </w:r>
      <w:r>
        <w:rPr>
          <w:rFonts w:hint="eastAsia" w:ascii="仿宋_GB2312" w:hAnsi="仿宋_GB2312" w:eastAsia="仿宋_GB2312" w:cs="仿宋_GB2312"/>
          <w:color w:val="auto"/>
          <w:sz w:val="24"/>
          <w:szCs w:val="24"/>
          <w:highlight w:val="none"/>
          <w:lang w:eastAsia="zh-CN"/>
        </w:rPr>
        <w:t>），乙方无质量问题、纠纷及违约行为的，甲方退还</w:t>
      </w:r>
      <w:r>
        <w:rPr>
          <w:rFonts w:hint="eastAsia" w:ascii="仿宋_GB2312" w:hAnsi="仿宋_GB2312" w:eastAsia="仿宋_GB2312" w:cs="仿宋_GB2312"/>
          <w:color w:val="auto"/>
          <w:sz w:val="24"/>
          <w:szCs w:val="24"/>
          <w:highlight w:val="none"/>
        </w:rPr>
        <w:t>（不计利息）</w:t>
      </w:r>
      <w:r>
        <w:rPr>
          <w:rFonts w:hint="eastAsia" w:ascii="仿宋_GB2312" w:hAnsi="仿宋_GB2312" w:eastAsia="仿宋_GB2312" w:cs="仿宋_GB2312"/>
          <w:color w:val="auto"/>
          <w:sz w:val="24"/>
          <w:szCs w:val="24"/>
          <w:highlight w:val="none"/>
          <w:lang w:eastAsia="zh-CN"/>
        </w:rPr>
        <w:t>。</w:t>
      </w:r>
    </w:p>
    <w:p w14:paraId="5458430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五</w:t>
      </w:r>
      <w:r>
        <w:rPr>
          <w:rFonts w:hint="eastAsia" w:ascii="仿宋_GB2312" w:hAnsi="仿宋_GB2312" w:eastAsia="仿宋_GB2312" w:cs="仿宋_GB2312"/>
          <w:b/>
          <w:color w:val="auto"/>
          <w:sz w:val="24"/>
          <w:szCs w:val="24"/>
          <w:highlight w:val="none"/>
        </w:rPr>
        <w:t>、运维费用</w:t>
      </w:r>
      <w:bookmarkEnd w:id="589"/>
      <w:bookmarkEnd w:id="590"/>
    </w:p>
    <w:p w14:paraId="03B7DE5B">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.无偿运行维护费用包含在乙方磋商报价中，甲方不支付运行维护的费用。</w:t>
      </w:r>
    </w:p>
    <w:p w14:paraId="20D3A942">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.有偿运行维护费用，无偿运行维护期满后的运维收费为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元/瓦。</w:t>
      </w:r>
    </w:p>
    <w:p w14:paraId="5ECB3B8F">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highlight w:val="none"/>
        </w:rPr>
      </w:pPr>
      <w:bookmarkStart w:id="591" w:name="_Toc2097"/>
      <w:bookmarkStart w:id="592" w:name="_Toc23896"/>
      <w:bookmarkStart w:id="593" w:name="_Toc22688"/>
      <w:r>
        <w:rPr>
          <w:rFonts w:hint="eastAsia" w:ascii="仿宋_GB2312" w:hAnsi="仿宋_GB2312" w:eastAsia="仿宋_GB2312" w:cs="仿宋_GB2312"/>
          <w:b/>
          <w:color w:val="auto"/>
          <w:sz w:val="24"/>
          <w:szCs w:val="24"/>
          <w:lang w:val="en-US" w:eastAsia="zh-CN"/>
        </w:rPr>
        <w:t>六</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b/>
          <w:color w:val="auto"/>
          <w:sz w:val="24"/>
          <w:szCs w:val="24"/>
          <w:highlight w:val="none"/>
        </w:rPr>
        <w:t>费用支付</w:t>
      </w:r>
      <w:bookmarkEnd w:id="591"/>
      <w:bookmarkEnd w:id="592"/>
      <w:bookmarkEnd w:id="593"/>
    </w:p>
    <w:p w14:paraId="56660A0B">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w:t>
      </w:r>
      <w:r>
        <w:rPr>
          <w:rFonts w:hint="eastAsia" w:ascii="仿宋_GB2312" w:hAnsi="仿宋_GB2312" w:eastAsia="仿宋_GB2312" w:cs="仿宋_GB2312"/>
          <w:color w:val="auto"/>
          <w:sz w:val="24"/>
          <w:szCs w:val="24"/>
          <w:highlight w:val="none"/>
          <w:lang w:val="en-US" w:eastAsia="zh-CN"/>
        </w:rPr>
        <w:t>年</w:t>
      </w:r>
      <w:r>
        <w:rPr>
          <w:rFonts w:hint="eastAsia" w:ascii="仿宋_GB2312" w:hAnsi="仿宋_GB2312" w:eastAsia="仿宋_GB2312" w:cs="仿宋_GB2312"/>
          <w:color w:val="auto"/>
          <w:sz w:val="24"/>
          <w:szCs w:val="24"/>
          <w:highlight w:val="none"/>
        </w:rPr>
        <w:t>支付方式（自有偿运维时间开始之日起）,甲方</w:t>
      </w:r>
      <w:r>
        <w:rPr>
          <w:rFonts w:hint="eastAsia" w:ascii="仿宋_GB2312" w:hAnsi="仿宋_GB2312" w:eastAsia="仿宋_GB2312" w:cs="仿宋_GB2312"/>
          <w:color w:val="auto"/>
          <w:sz w:val="24"/>
          <w:szCs w:val="24"/>
          <w:highlight w:val="none"/>
          <w:lang w:val="en-US" w:eastAsia="zh-CN"/>
        </w:rPr>
        <w:t>在当年运维结束后10个工作日内</w:t>
      </w:r>
      <w:r>
        <w:rPr>
          <w:rFonts w:hint="eastAsia" w:ascii="仿宋_GB2312" w:hAnsi="仿宋_GB2312" w:eastAsia="仿宋_GB2312" w:cs="仿宋_GB2312"/>
          <w:color w:val="auto"/>
          <w:sz w:val="24"/>
          <w:szCs w:val="24"/>
          <w:highlight w:val="none"/>
        </w:rPr>
        <w:t>支付乙方</w:t>
      </w:r>
      <w:r>
        <w:rPr>
          <w:rFonts w:hint="eastAsia" w:ascii="仿宋_GB2312" w:hAnsi="仿宋_GB2312" w:eastAsia="仿宋_GB2312" w:cs="仿宋_GB2312"/>
          <w:color w:val="auto"/>
          <w:sz w:val="24"/>
          <w:szCs w:val="24"/>
          <w:highlight w:val="none"/>
          <w:lang w:val="en-US" w:eastAsia="zh-CN"/>
        </w:rPr>
        <w:t>每年</w:t>
      </w:r>
      <w:r>
        <w:rPr>
          <w:rFonts w:hint="eastAsia" w:ascii="仿宋_GB2312" w:hAnsi="仿宋_GB2312" w:eastAsia="仿宋_GB2312" w:cs="仿宋_GB2312"/>
          <w:color w:val="auto"/>
          <w:sz w:val="24"/>
          <w:szCs w:val="24"/>
          <w:highlight w:val="none"/>
        </w:rPr>
        <w:t>应支付的运维费用。</w:t>
      </w:r>
    </w:p>
    <w:p w14:paraId="1EA63494">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2.根据甲方要求，乙方提供相应的</w:t>
      </w:r>
      <w:r>
        <w:rPr>
          <w:rFonts w:hint="eastAsia" w:ascii="仿宋_GB2312" w:hAnsi="仿宋_GB2312" w:eastAsia="仿宋_GB2312" w:cs="仿宋_GB2312"/>
          <w:color w:val="auto"/>
          <w:sz w:val="24"/>
          <w:szCs w:val="24"/>
          <w:highlight w:val="none"/>
          <w:lang w:val="en-US" w:eastAsia="zh-CN"/>
        </w:rPr>
        <w:t>发票</w:t>
      </w:r>
      <w:r>
        <w:rPr>
          <w:rFonts w:hint="eastAsia" w:ascii="仿宋_GB2312" w:hAnsi="仿宋_GB2312" w:eastAsia="仿宋_GB2312" w:cs="仿宋_GB2312"/>
          <w:color w:val="auto"/>
          <w:sz w:val="24"/>
          <w:szCs w:val="24"/>
          <w:highlight w:val="none"/>
        </w:rPr>
        <w:t>。</w:t>
      </w:r>
    </w:p>
    <w:p w14:paraId="239E4429">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594" w:name="_Toc5355"/>
      <w:bookmarkStart w:id="595" w:name="_Toc23651"/>
      <w:bookmarkStart w:id="596" w:name="_Toc32201"/>
      <w:r>
        <w:rPr>
          <w:rFonts w:hint="eastAsia" w:ascii="仿宋_GB2312" w:hAnsi="仿宋_GB2312" w:eastAsia="仿宋_GB2312" w:cs="仿宋_GB2312"/>
          <w:b/>
          <w:color w:val="auto"/>
          <w:sz w:val="24"/>
          <w:szCs w:val="24"/>
          <w:lang w:val="en-US" w:eastAsia="zh-CN"/>
        </w:rPr>
        <w:t>七</w:t>
      </w:r>
      <w:r>
        <w:rPr>
          <w:rFonts w:hint="eastAsia" w:ascii="仿宋_GB2312" w:hAnsi="仿宋_GB2312" w:eastAsia="仿宋_GB2312" w:cs="仿宋_GB2312"/>
          <w:b/>
          <w:color w:val="auto"/>
          <w:sz w:val="24"/>
          <w:szCs w:val="24"/>
        </w:rPr>
        <w:t>、甲方责任</w:t>
      </w:r>
      <w:bookmarkEnd w:id="594"/>
      <w:bookmarkEnd w:id="595"/>
      <w:bookmarkEnd w:id="596"/>
    </w:p>
    <w:p w14:paraId="58EFEB3B">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1.审查乙方的资质和检查其安全、质量管理体系及实施情况。</w:t>
      </w:r>
    </w:p>
    <w:p w14:paraId="533C9AE2">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2.负责对乙方运行维护、设备管理工作的检查、指导和监督。</w:t>
      </w:r>
    </w:p>
    <w:p w14:paraId="0AFB927D">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3.审核乙方提供的维护进度计划、技术方案、作业指导书或检修文件包。</w:t>
      </w:r>
    </w:p>
    <w:p w14:paraId="05981815">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4.工作中如需与其他专业、部门、单位进行协调时，由甲方协助联系、协调。</w:t>
      </w:r>
    </w:p>
    <w:p w14:paraId="573614A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5.甲方有权要求乙方撤换不能胜任维护工作或玩忽职守的人员。</w:t>
      </w:r>
    </w:p>
    <w:p w14:paraId="6FABE8AA">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6.检查乙方维护人员的特殊劳动保护用品是否齐全（如：绝缘鞋、绝缘手套、电工安全带、速差器、防护面罩等）。</w:t>
      </w:r>
    </w:p>
    <w:p w14:paraId="68761F49">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597" w:name="_Toc5213"/>
      <w:bookmarkStart w:id="598" w:name="_Toc31695"/>
      <w:bookmarkStart w:id="599" w:name="_Toc16881"/>
      <w:r>
        <w:rPr>
          <w:rFonts w:hint="eastAsia" w:ascii="仿宋_GB2312" w:hAnsi="仿宋_GB2312" w:eastAsia="仿宋_GB2312" w:cs="仿宋_GB2312"/>
          <w:b/>
          <w:color w:val="auto"/>
          <w:sz w:val="24"/>
          <w:szCs w:val="24"/>
          <w:lang w:val="en-US" w:eastAsia="zh-CN"/>
        </w:rPr>
        <w:t>八</w:t>
      </w:r>
      <w:r>
        <w:rPr>
          <w:rFonts w:hint="eastAsia" w:ascii="仿宋_GB2312" w:hAnsi="仿宋_GB2312" w:eastAsia="仿宋_GB2312" w:cs="仿宋_GB2312"/>
          <w:b/>
          <w:color w:val="auto"/>
          <w:sz w:val="24"/>
          <w:szCs w:val="24"/>
        </w:rPr>
        <w:t>、乙方责任</w:t>
      </w:r>
      <w:bookmarkEnd w:id="597"/>
      <w:bookmarkEnd w:id="598"/>
      <w:bookmarkEnd w:id="599"/>
    </w:p>
    <w:p w14:paraId="12BAB948">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1.乙方应在劳务服务中同意甲方进入场地检查与预控管理,并必须达到甲方提出的相应管理目标与管理要求</w:t>
      </w:r>
    </w:p>
    <w:p w14:paraId="405EAA8C">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2.乙方应根据甲方设备运行、维护的需要，在现场设立完善的组织管理机构，并服从甲方的生产监督。</w:t>
      </w:r>
    </w:p>
    <w:p w14:paraId="13CC47E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必须遵守《电业安全工作规程》和甲方安全生产有关规定。乙方负责管理本单位职工，严格执行国家法律、法规有关规定，并进行安全生产知识和安全生产规程的培训，经专业技能考试合格后持证或佩带标志上岗。</w:t>
      </w:r>
    </w:p>
    <w:p w14:paraId="1B23E81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4.乙方应积极主动接受甲方对运行、维护、设备管理工作的检查、指导、监督与考核。</w:t>
      </w:r>
    </w:p>
    <w:p w14:paraId="2972BC9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5.乙方根据合同对设备进行运行、维护和调试，有义务完成甲方要求。</w:t>
      </w:r>
    </w:p>
    <w:p w14:paraId="3D3149B8">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6.乙方应将审阅合同文件及设备维护过程的项目设计或技术规范发现的任何错误、遗漏、误差和缺陷，及时以书面形式通知甲方。</w:t>
      </w:r>
    </w:p>
    <w:p w14:paraId="193436CF">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7.乙方应根据服务项目的具体要求、特点和性质，选送合格的人员担任工作。特殊工种（焊工、起重工、电工等）必须持证上岗。</w:t>
      </w:r>
    </w:p>
    <w:p w14:paraId="22A4C297">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8.乙方必须安排工作人员24小时值班（含节假日），及时处理现场缺陷。</w:t>
      </w:r>
    </w:p>
    <w:p w14:paraId="3DA60DC6">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9.乙方必须按甲方要求对设备进行巡检，履行其对设备维护的职责，并对设备安全负责。</w:t>
      </w:r>
    </w:p>
    <w:p w14:paraId="752B6259">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10.乙方必须每天两次全面地巡视、检查设备运行情况，并提供书面的巡检记录，将发现的缺陷及时到主控室登记并向甲方汇报，得到确认后及时处理。</w:t>
      </w:r>
    </w:p>
    <w:p w14:paraId="753B12E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11.乙方维护中需要更换提供备品配件、材料、工器具的，先必须供甲方确认、审核后方可更换。</w:t>
      </w:r>
    </w:p>
    <w:p w14:paraId="6ECF2064">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12.乙方应建立完善的设备巡视检查制度，将本合同范围内的运行维护工作纳入日常管理范围。</w:t>
      </w:r>
    </w:p>
    <w:p w14:paraId="2C9FD380">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13.合同范围内如遇有狂风暴雨等自然灾害时要特巡，巡视要有记录。查到的缺陷要及时处理，消缺记录齐全。</w:t>
      </w:r>
    </w:p>
    <w:p w14:paraId="30FCA50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乙方在合同范围内应为乙方工作人员提供相应的保险（如：意外事故险等），负责施工过程中全体施工人员及设备的安全管理，并负有施工中的安全责任，乙方必须按国家和地方有关法律、法规的规定为本单位员工交纳相应的保险费，包括工伤保险，施工中非甲方原因而造成的人身伤害、设备损坏，由乙方承担赔偿责任。</w:t>
      </w:r>
    </w:p>
    <w:p w14:paraId="3CF71047">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600" w:name="_Toc31264"/>
      <w:bookmarkStart w:id="601" w:name="_Toc15910"/>
      <w:bookmarkStart w:id="602" w:name="_Toc20966"/>
      <w:r>
        <w:rPr>
          <w:rFonts w:hint="eastAsia" w:ascii="仿宋_GB2312" w:hAnsi="仿宋_GB2312" w:eastAsia="仿宋_GB2312" w:cs="仿宋_GB2312"/>
          <w:b/>
          <w:color w:val="auto"/>
          <w:sz w:val="24"/>
          <w:szCs w:val="24"/>
          <w:lang w:val="en-US" w:eastAsia="zh-CN"/>
        </w:rPr>
        <w:t>九</w:t>
      </w:r>
      <w:r>
        <w:rPr>
          <w:rFonts w:hint="eastAsia" w:ascii="仿宋_GB2312" w:hAnsi="仿宋_GB2312" w:eastAsia="仿宋_GB2312" w:cs="仿宋_GB2312"/>
          <w:b/>
          <w:color w:val="auto"/>
          <w:sz w:val="24"/>
          <w:szCs w:val="24"/>
        </w:rPr>
        <w:t>、设备运行、维护质量的要求</w:t>
      </w:r>
      <w:bookmarkEnd w:id="600"/>
      <w:bookmarkEnd w:id="601"/>
      <w:bookmarkEnd w:id="602"/>
    </w:p>
    <w:p w14:paraId="1C02EF8D">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1.甲方生产技术部门是项目法人对乙方运行维护项目质量进行监督管理的部门，生产技术部门管理人员负责质量监督管理工作的具体实施。</w:t>
      </w:r>
    </w:p>
    <w:p w14:paraId="491F88E9">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2.乙方须有运行维护质量措施，如ISO9000质量体系，技改方案整体措施等，符合甲方有关质量标准的规定。</w:t>
      </w:r>
    </w:p>
    <w:p w14:paraId="37ED8F80">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3.设备运行维护质量标准应以检修文件包、检修规程、厂家说明书、设计图纸、国家和部门的相关标准和规范为基准，当出现差异时按较高标准执行。</w:t>
      </w:r>
    </w:p>
    <w:p w14:paraId="143A9A12">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603" w:name="_Toc1050"/>
      <w:bookmarkStart w:id="604" w:name="_Toc6051"/>
      <w:bookmarkStart w:id="605" w:name="_Toc6955"/>
      <w:r>
        <w:rPr>
          <w:rFonts w:hint="eastAsia" w:ascii="仿宋_GB2312" w:hAnsi="仿宋_GB2312" w:eastAsia="仿宋_GB2312" w:cs="仿宋_GB2312"/>
          <w:b/>
          <w:color w:val="auto"/>
          <w:sz w:val="24"/>
          <w:szCs w:val="24"/>
        </w:rPr>
        <w:t>十、现场作业基本要求</w:t>
      </w:r>
      <w:bookmarkEnd w:id="603"/>
      <w:bookmarkEnd w:id="604"/>
      <w:bookmarkEnd w:id="605"/>
    </w:p>
    <w:p w14:paraId="169895CC">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在现场的运行、维护人员的数量和素质，应能满足现场设备维护和参与设备技术监督管理的需要。夜间和节假日现场应留有足够的值班人员。运行人员的人数应满足现场设备运行操作以及巡检需要并且应满足24小时值班的要求，运行人员值班时不得从事与运行无关的工作。</w:t>
      </w:r>
    </w:p>
    <w:p w14:paraId="7437E4FB">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2.乙方应严格遵守与执行甲方生产部门管理人员就有关运行、维护项目范围内任何事项所发出的指令。</w:t>
      </w:r>
    </w:p>
    <w:p w14:paraId="43753B92">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3.乙方作为设备运行、维护责任人，要参与设备技术监督与技术改造，应明确包括设备检修质量验收在内的各种工作流程。</w:t>
      </w:r>
    </w:p>
    <w:p w14:paraId="756CEA40">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4.乙方应严格按合同完成运行、维护项目，现场设备应保持“安全文明达标”的标准。</w:t>
      </w:r>
    </w:p>
    <w:p w14:paraId="16F5133C">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5.严格执行甲方的检修作业标准、技术标准、以及电力行业标准及厂家说明书。</w:t>
      </w:r>
    </w:p>
    <w:p w14:paraId="6F663C7B">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6.乙方应保证24小时值班，在接到缺陷通知后白天15分钟内赶到现场，夜晚30分钟内赶到现场。</w:t>
      </w:r>
    </w:p>
    <w:p w14:paraId="21369D36">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606" w:name="_Toc8549"/>
      <w:bookmarkStart w:id="607" w:name="_Toc32498"/>
      <w:bookmarkStart w:id="608" w:name="_Toc26798"/>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一</w:t>
      </w:r>
      <w:r>
        <w:rPr>
          <w:rFonts w:hint="eastAsia" w:ascii="仿宋_GB2312" w:hAnsi="仿宋_GB2312" w:eastAsia="仿宋_GB2312" w:cs="仿宋_GB2312"/>
          <w:b/>
          <w:color w:val="auto"/>
          <w:sz w:val="24"/>
          <w:szCs w:val="24"/>
        </w:rPr>
        <w:t>、现场安全管理</w:t>
      </w:r>
      <w:bookmarkEnd w:id="606"/>
      <w:bookmarkEnd w:id="607"/>
      <w:bookmarkEnd w:id="608"/>
    </w:p>
    <w:p w14:paraId="192B2B2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必须坚决贯彻执行国家、地方、行业的一系列方针、政策、法规、条例和规定，必须采取一切必要措施和手段强化维修安全管理，提高安全维修水平，确定严格的安全维修秩序以保证现场人员和设备在维修工作中的安全与健康。</w:t>
      </w:r>
    </w:p>
    <w:p w14:paraId="0F674CBF">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必须贯彻执行“安全第一、预防为主、综合治理”的方针，严格执行国家电力公司《电业生产安全工作规程》、《安全生产工作规定》、《防止电力生产重大事故的二十五项重点要求》等和甲方有关安全规章制度的规定。</w:t>
      </w:r>
    </w:p>
    <w:p w14:paraId="1AF6C2AD">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3.乙方的项目经理是本项目的安全第一责任人，必须亲自抓安全，必须建立严密的安全监察网络和有效的安全保障体系，同时满足甲方要求。</w:t>
      </w:r>
    </w:p>
    <w:p w14:paraId="27F61524">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4.乙方在本合同开始履行前，制定出维护工作安全技术措施和防火措施，经甲方审核批准后方可开工。</w:t>
      </w:r>
    </w:p>
    <w:p w14:paraId="572AC223">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5.甲乙双方均应接受上级、地方及有关部门的业务指导、检查和考核，严格执行安全生产责任追究制。</w:t>
      </w:r>
    </w:p>
    <w:p w14:paraId="24703DAA">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6.在危险性较大的区域内进行工作4小时前，乙方必须制定书面的现场施工安全措施，并送达甲方，甲方在4小时内审查合格后交乙方实施。</w:t>
      </w:r>
    </w:p>
    <w:p w14:paraId="2E78D856">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609" w:name="_Toc6703"/>
      <w:bookmarkStart w:id="610" w:name="_Toc14172"/>
      <w:bookmarkStart w:id="611" w:name="_Toc29443"/>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二</w:t>
      </w:r>
      <w:r>
        <w:rPr>
          <w:rFonts w:hint="eastAsia" w:ascii="仿宋_GB2312" w:hAnsi="仿宋_GB2312" w:eastAsia="仿宋_GB2312" w:cs="仿宋_GB2312"/>
          <w:b/>
          <w:color w:val="auto"/>
          <w:sz w:val="24"/>
          <w:szCs w:val="24"/>
        </w:rPr>
        <w:t>、现场文明生产要求</w:t>
      </w:r>
      <w:bookmarkEnd w:id="609"/>
      <w:bookmarkEnd w:id="610"/>
      <w:bookmarkEnd w:id="611"/>
    </w:p>
    <w:p w14:paraId="1B5AF7FE">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1.乙方在现场应遵守甲方有关文明生产的文件、规定、考核办法。</w:t>
      </w:r>
    </w:p>
    <w:p w14:paraId="79474D5F">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2.乙方在现场的工作人员应着装统一，佩带明显的能够表明身份的标牌。</w:t>
      </w:r>
    </w:p>
    <w:p w14:paraId="0A9C23B4">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3.乙方应采取一切合理措施，保护现场及周围的环境，避免污染、噪音或由于其设备维修方法的不当造成的对人员和设施等的危害或干扰。</w:t>
      </w:r>
    </w:p>
    <w:p w14:paraId="2956D2F8">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4.乙方应随时保持所负责维护设备的整洁与卫生，禁止在设备上乱涂乱画，维护现场内的沟道、地面应无垃圾，每个维修作业点都应做到“工完、料净、场地清”。</w:t>
      </w:r>
    </w:p>
    <w:p w14:paraId="4DBAD680">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612" w:name="_Toc30416"/>
      <w:bookmarkStart w:id="613" w:name="_Toc19488"/>
      <w:bookmarkStart w:id="614" w:name="_Toc18682"/>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三</w:t>
      </w:r>
      <w:r>
        <w:rPr>
          <w:rFonts w:hint="eastAsia" w:ascii="仿宋_GB2312" w:hAnsi="仿宋_GB2312" w:eastAsia="仿宋_GB2312" w:cs="仿宋_GB2312"/>
          <w:b/>
          <w:color w:val="auto"/>
          <w:sz w:val="24"/>
          <w:szCs w:val="24"/>
        </w:rPr>
        <w:t>、备品配件、材料、工器具、技术资料的要求</w:t>
      </w:r>
      <w:bookmarkEnd w:id="612"/>
      <w:bookmarkEnd w:id="613"/>
      <w:bookmarkEnd w:id="614"/>
    </w:p>
    <w:p w14:paraId="7008ECF9">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1.现场维护使用的设备备品配件的更换需经过甲方管理人员的确认与批准。乙方做好备品备件领用与使用台账。</w:t>
      </w:r>
    </w:p>
    <w:p w14:paraId="72927496">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2.现场维护使用的设备一般消耗性材料，由乙方自行采购储备。</w:t>
      </w:r>
    </w:p>
    <w:p w14:paraId="6AD514C7">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3.乙方应向甲方提供一份现场维护工作的工器具明细表，工器具应符合安全标准，所用仪器、仪表的精度应满足标准要求，并在检定的有效期内。甲方应不定期进行监督检查及定期对仪器、仪表的精度校验工作。</w:t>
      </w:r>
    </w:p>
    <w:p w14:paraId="1169F6DD">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615" w:name="_Toc20677"/>
      <w:bookmarkStart w:id="616" w:name="_Toc22560"/>
      <w:bookmarkStart w:id="617" w:name="_Toc12384"/>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四</w:t>
      </w:r>
      <w:r>
        <w:rPr>
          <w:rFonts w:hint="eastAsia" w:ascii="仿宋_GB2312" w:hAnsi="仿宋_GB2312" w:eastAsia="仿宋_GB2312" w:cs="仿宋_GB2312"/>
          <w:b/>
          <w:color w:val="auto"/>
          <w:sz w:val="24"/>
          <w:szCs w:val="24"/>
        </w:rPr>
        <w:t>、乙方维护人员的要求</w:t>
      </w:r>
      <w:bookmarkEnd w:id="615"/>
      <w:bookmarkEnd w:id="616"/>
      <w:bookmarkEnd w:id="617"/>
    </w:p>
    <w:p w14:paraId="0B2A6C9C">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1.乙方必须配备总人数70%以上的各专业技术人员，技术工人要求年龄在50周岁以下，有两年电力系统相关专业的检修经验，同时具备国家电网公司或劳动和社会保障部颁发的技能鉴定证书。</w:t>
      </w:r>
    </w:p>
    <w:p w14:paraId="3A391960">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的工作人员名单经双方协商、甲方认可后，将人员的详细资料，包括工作简历、技能鉴定证书和特殊工种资质证的复印件等送甲方备案，进入现场前所有人员必须通过安全培训，乙方人员必须是身体健康，无任何身体缺陷。</w:t>
      </w:r>
    </w:p>
    <w:p w14:paraId="569B3068">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618" w:name="_Toc26626"/>
      <w:bookmarkStart w:id="619" w:name="_Toc12069"/>
      <w:bookmarkStart w:id="620" w:name="_Toc31679"/>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五</w:t>
      </w:r>
      <w:r>
        <w:rPr>
          <w:rFonts w:hint="eastAsia" w:ascii="仿宋_GB2312" w:hAnsi="仿宋_GB2312" w:eastAsia="仿宋_GB2312" w:cs="仿宋_GB2312"/>
          <w:b/>
          <w:color w:val="auto"/>
          <w:sz w:val="24"/>
          <w:szCs w:val="24"/>
        </w:rPr>
        <w:t>、乙方人数的要求</w:t>
      </w:r>
      <w:bookmarkEnd w:id="618"/>
      <w:bookmarkEnd w:id="619"/>
      <w:bookmarkEnd w:id="620"/>
    </w:p>
    <w:p w14:paraId="1AFA2419">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维护人员及岗位要求必须报甲方备案并同意。</w:t>
      </w:r>
    </w:p>
    <w:p w14:paraId="2576CEA4">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621" w:name="_Toc23578"/>
      <w:bookmarkStart w:id="622" w:name="_Toc27442"/>
      <w:bookmarkStart w:id="623" w:name="_Toc21868"/>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六</w:t>
      </w:r>
      <w:r>
        <w:rPr>
          <w:rFonts w:hint="eastAsia" w:ascii="仿宋_GB2312" w:hAnsi="仿宋_GB2312" w:eastAsia="仿宋_GB2312" w:cs="仿宋_GB2312"/>
          <w:b/>
          <w:color w:val="auto"/>
          <w:sz w:val="24"/>
          <w:szCs w:val="24"/>
        </w:rPr>
        <w:t>、乙方项目维护要求</w:t>
      </w:r>
      <w:bookmarkEnd w:id="621"/>
      <w:bookmarkEnd w:id="622"/>
      <w:bookmarkEnd w:id="623"/>
    </w:p>
    <w:p w14:paraId="6A586A48">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1.周期性维护（一年内小修，三年内大修）。</w:t>
      </w:r>
    </w:p>
    <w:p w14:paraId="658E1CE0">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2.光伏组件清洗项目（定期、刮风、下雪、下雨等情况）。</w:t>
      </w:r>
    </w:p>
    <w:p w14:paraId="088A9AAA">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3.主变、逆变器、箱式变、故障录波器等设备的单体大修。</w:t>
      </w:r>
    </w:p>
    <w:p w14:paraId="40521604">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4.行政交换机、调度交换机、电力线载波设备、光传输设备、光终端设备、微蜂窝系统的定期维护保养等。</w:t>
      </w:r>
    </w:p>
    <w:p w14:paraId="4241432C">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5.室内外构筑物、设备基础、电缆沟道及盖板维护项目</w:t>
      </w:r>
    </w:p>
    <w:p w14:paraId="1927A72B">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6.光伏组件区域及站内安全保卫工作。</w:t>
      </w:r>
    </w:p>
    <w:p w14:paraId="4A43669B">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624" w:name="_Toc7465"/>
      <w:bookmarkStart w:id="625" w:name="_Toc4998"/>
      <w:bookmarkStart w:id="626" w:name="_Toc5899"/>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七</w:t>
      </w:r>
      <w:r>
        <w:rPr>
          <w:rFonts w:hint="eastAsia" w:ascii="仿宋_GB2312" w:hAnsi="仿宋_GB2312" w:eastAsia="仿宋_GB2312" w:cs="仿宋_GB2312"/>
          <w:b/>
          <w:color w:val="auto"/>
          <w:sz w:val="24"/>
          <w:szCs w:val="24"/>
        </w:rPr>
        <w:t>、不可抗力</w:t>
      </w:r>
      <w:bookmarkEnd w:id="624"/>
      <w:bookmarkEnd w:id="625"/>
      <w:bookmarkEnd w:id="626"/>
    </w:p>
    <w:p w14:paraId="1E39852B">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不可抗力的定义</w:t>
      </w:r>
    </w:p>
    <w:p w14:paraId="60FBB76E">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可抗力或者重大事件：是指双方在签署本合同时不能预见，对发生及后果不能避免并且超过合理控制范围的，不能克服的自然事件和社会事件。此类事件包括特大暴风雨、水灾、火灾、瘟疫、战争、骚乱、叛乱以及超设计标准的地震、强台风等。</w:t>
      </w:r>
    </w:p>
    <w:p w14:paraId="3611C3BF">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627" w:name="_Toc9987"/>
      <w:bookmarkStart w:id="628" w:name="_Toc10233"/>
      <w:bookmarkStart w:id="629" w:name="_Toc6300"/>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八</w:t>
      </w:r>
      <w:r>
        <w:rPr>
          <w:rFonts w:hint="eastAsia" w:ascii="仿宋_GB2312" w:hAnsi="仿宋_GB2312" w:eastAsia="仿宋_GB2312" w:cs="仿宋_GB2312"/>
          <w:b/>
          <w:color w:val="auto"/>
          <w:sz w:val="24"/>
          <w:szCs w:val="24"/>
        </w:rPr>
        <w:t>、违约及争议的解决</w:t>
      </w:r>
      <w:bookmarkEnd w:id="627"/>
      <w:bookmarkEnd w:id="628"/>
      <w:bookmarkEnd w:id="629"/>
    </w:p>
    <w:p w14:paraId="38FA4D7E">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1.违约</w:t>
      </w:r>
    </w:p>
    <w:p w14:paraId="1129B2E7">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1.1甲方违约。当发生下列情况时:</w:t>
      </w:r>
    </w:p>
    <w:p w14:paraId="67EB226B">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(l)甲方不按合同约定支付合同款,导致维护工作无法正常进行；</w:t>
      </w:r>
    </w:p>
    <w:p w14:paraId="7D10159A">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(2)甲方不履行合同义务或不按合同约定履行义务的其他情况。</w:t>
      </w:r>
    </w:p>
    <w:p w14:paraId="52E8102A">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1.2乙方违约。当发生下列情况时:</w:t>
      </w:r>
    </w:p>
    <w:p w14:paraId="1F9EDB7F">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(l)不能按照合同约定的按时维护；</w:t>
      </w:r>
    </w:p>
    <w:p w14:paraId="0D891A97">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(2)运行、维护质量达不到合同约定的质量标准；</w:t>
      </w:r>
    </w:p>
    <w:p w14:paraId="68F503F8">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(3)乙方不履行合同义务或不按合同约定履行义务的其他情况；</w:t>
      </w:r>
    </w:p>
    <w:p w14:paraId="1AC2A839">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(4)乙方不能履行维护过程中组织设计中安全、文明施工的承诺,不能做到日清日洁等；</w:t>
      </w:r>
    </w:p>
    <w:p w14:paraId="5E11F722">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(5)转让或分包。</w:t>
      </w:r>
    </w:p>
    <w:p w14:paraId="67CE29DF">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1.3一方违约后,另一方要求违约方继续履行合同时,违约方承担上述违约责任后仍应继续履行合同。</w:t>
      </w:r>
    </w:p>
    <w:p w14:paraId="647F3495">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1.4当乙方由于人员、技术或管理等原因而无法履行合同条款时，甲方有权提前终止合同，乙方承担由此造成的一切损失。</w:t>
      </w:r>
    </w:p>
    <w:p w14:paraId="420A920C">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2.争议</w:t>
      </w:r>
    </w:p>
    <w:p w14:paraId="1D8F4FF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2.1合同双方在本合同履行过程中产生争议时，双方应首先尽力通过友好协商或调解解决该争议。</w:t>
      </w:r>
    </w:p>
    <w:p w14:paraId="0B05A68E">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2.2若双方中任一方不同意协商解决，或调解开始20天内未能得到解决，任何一方有权向甲方所在地有管辖权的人民法院提起诉讼。</w:t>
      </w:r>
    </w:p>
    <w:p w14:paraId="6F884F46">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b/>
          <w:color w:val="auto"/>
          <w:sz w:val="24"/>
          <w:szCs w:val="24"/>
        </w:rPr>
      </w:pPr>
      <w:bookmarkStart w:id="630" w:name="_Toc22946"/>
      <w:bookmarkStart w:id="631" w:name="_Toc13728"/>
      <w:bookmarkStart w:id="632" w:name="_Toc26410"/>
      <w:r>
        <w:rPr>
          <w:rFonts w:hint="eastAsia" w:ascii="仿宋_GB2312" w:hAnsi="仿宋_GB2312" w:eastAsia="仿宋_GB2312" w:cs="仿宋_GB2312"/>
          <w:b/>
          <w:color w:val="auto"/>
          <w:sz w:val="24"/>
          <w:szCs w:val="24"/>
        </w:rPr>
        <w:t>十</w:t>
      </w:r>
      <w:r>
        <w:rPr>
          <w:rFonts w:hint="eastAsia" w:ascii="仿宋_GB2312" w:hAnsi="仿宋_GB2312" w:eastAsia="仿宋_GB2312" w:cs="仿宋_GB2312"/>
          <w:b/>
          <w:color w:val="auto"/>
          <w:sz w:val="24"/>
          <w:szCs w:val="24"/>
          <w:lang w:val="en-US" w:eastAsia="zh-CN"/>
        </w:rPr>
        <w:t>九</w:t>
      </w:r>
      <w:r>
        <w:rPr>
          <w:rFonts w:hint="eastAsia" w:ascii="仿宋_GB2312" w:hAnsi="仿宋_GB2312" w:eastAsia="仿宋_GB2312" w:cs="仿宋_GB2312"/>
          <w:b/>
          <w:color w:val="auto"/>
          <w:sz w:val="24"/>
          <w:szCs w:val="24"/>
        </w:rPr>
        <w:t>、合同的文件</w:t>
      </w:r>
      <w:bookmarkEnd w:id="630"/>
      <w:bookmarkEnd w:id="631"/>
      <w:bookmarkEnd w:id="632"/>
    </w:p>
    <w:p w14:paraId="09D8DA71">
      <w:pPr>
        <w:pStyle w:val="6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2"/>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组成本合同的文件包括:双方协商同意的变更纪要、协议。</w:t>
      </w:r>
    </w:p>
    <w:p w14:paraId="048A3C8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_GB2312" w:hAnsi="仿宋_GB2312" w:eastAsia="仿宋_GB2312" w:cs="仿宋_GB2312"/>
          <w:color w:val="auto"/>
          <w:sz w:val="24"/>
          <w:szCs w:val="24"/>
          <w:lang w:val="en-US" w:eastAsia="zh-CN"/>
        </w:rPr>
      </w:pPr>
    </w:p>
    <w:p w14:paraId="07F420AF">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签署页，本页无正文：</w:t>
      </w:r>
    </w:p>
    <w:tbl>
      <w:tblPr>
        <w:tblStyle w:val="70"/>
        <w:tblW w:w="9286" w:type="dxa"/>
        <w:jc w:val="center"/>
        <w:tblLayout w:type="fixed"/>
        <w:tblCellMar>
          <w:top w:w="0" w:type="dxa"/>
          <w:left w:w="108" w:type="dxa"/>
          <w:bottom w:w="0" w:type="dxa"/>
          <w:right w:w="108" w:type="dxa"/>
        </w:tblCellMar>
      </w:tblPr>
      <w:tblGrid>
        <w:gridCol w:w="4643"/>
        <w:gridCol w:w="4643"/>
      </w:tblGrid>
      <w:tr w14:paraId="67996E6B">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1D0FA279">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（盖章）：</w:t>
            </w:r>
            <w:r>
              <w:rPr>
                <w:rFonts w:hint="eastAsia" w:ascii="仿宋_GB2312" w:hAnsi="仿宋_GB2312" w:eastAsia="仿宋_GB2312" w:cs="仿宋_GB2312"/>
                <w:color w:val="auto"/>
                <w:sz w:val="24"/>
                <w:szCs w:val="24"/>
                <w:u w:val="single"/>
              </w:rPr>
              <w:t xml:space="preserve">                    </w:t>
            </w:r>
          </w:p>
        </w:tc>
        <w:tc>
          <w:tcPr>
            <w:tcW w:w="4643" w:type="dxa"/>
            <w:tcBorders>
              <w:top w:val="nil"/>
              <w:left w:val="nil"/>
              <w:bottom w:val="nil"/>
              <w:right w:val="nil"/>
            </w:tcBorders>
            <w:vAlign w:val="center"/>
          </w:tcPr>
          <w:p w14:paraId="1A956F96">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（盖章）：</w:t>
            </w:r>
            <w:r>
              <w:rPr>
                <w:rFonts w:hint="eastAsia" w:ascii="仿宋_GB2312" w:hAnsi="仿宋_GB2312" w:eastAsia="仿宋_GB2312" w:cs="仿宋_GB2312"/>
                <w:color w:val="auto"/>
                <w:sz w:val="24"/>
                <w:szCs w:val="24"/>
                <w:u w:val="single"/>
              </w:rPr>
              <w:t xml:space="preserve">                    </w:t>
            </w:r>
          </w:p>
        </w:tc>
      </w:tr>
      <w:tr w14:paraId="7F1C97CB">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03145C33">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单位负责人或授权</w:t>
            </w:r>
          </w:p>
          <w:p w14:paraId="713C1112">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代理人（签字）：</w:t>
            </w:r>
            <w:r>
              <w:rPr>
                <w:rFonts w:hint="eastAsia" w:ascii="仿宋_GB2312" w:hAnsi="仿宋_GB2312" w:eastAsia="仿宋_GB2312" w:cs="仿宋_GB2312"/>
                <w:color w:val="auto"/>
                <w:sz w:val="24"/>
                <w:szCs w:val="24"/>
                <w:u w:val="single"/>
              </w:rPr>
              <w:t xml:space="preserve">                  </w:t>
            </w:r>
          </w:p>
        </w:tc>
        <w:tc>
          <w:tcPr>
            <w:tcW w:w="4643" w:type="dxa"/>
            <w:tcBorders>
              <w:top w:val="nil"/>
              <w:left w:val="nil"/>
              <w:bottom w:val="nil"/>
              <w:right w:val="nil"/>
            </w:tcBorders>
            <w:vAlign w:val="center"/>
          </w:tcPr>
          <w:p w14:paraId="3C4C8A86">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单位负责人或授权</w:t>
            </w:r>
          </w:p>
          <w:p w14:paraId="31ADB7B0">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代理人（签字）：</w:t>
            </w:r>
            <w:r>
              <w:rPr>
                <w:rFonts w:hint="eastAsia" w:ascii="仿宋_GB2312" w:hAnsi="仿宋_GB2312" w:eastAsia="仿宋_GB2312" w:cs="仿宋_GB2312"/>
                <w:color w:val="auto"/>
                <w:sz w:val="24"/>
                <w:szCs w:val="24"/>
                <w:u w:val="single"/>
              </w:rPr>
              <w:t xml:space="preserve">                  </w:t>
            </w:r>
          </w:p>
        </w:tc>
      </w:tr>
      <w:tr w14:paraId="2A659A08">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690EFC7C">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地址：</w:t>
            </w:r>
          </w:p>
        </w:tc>
        <w:tc>
          <w:tcPr>
            <w:tcW w:w="4643" w:type="dxa"/>
            <w:tcBorders>
              <w:top w:val="nil"/>
              <w:left w:val="nil"/>
              <w:bottom w:val="nil"/>
              <w:right w:val="nil"/>
            </w:tcBorders>
            <w:vAlign w:val="center"/>
          </w:tcPr>
          <w:p w14:paraId="3F2A3B9B">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地址：</w:t>
            </w:r>
          </w:p>
        </w:tc>
      </w:tr>
      <w:tr w14:paraId="6FC915C6">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6021DFDC">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联系方式：</w:t>
            </w:r>
          </w:p>
        </w:tc>
        <w:tc>
          <w:tcPr>
            <w:tcW w:w="4643" w:type="dxa"/>
            <w:tcBorders>
              <w:top w:val="nil"/>
              <w:left w:val="nil"/>
              <w:bottom w:val="nil"/>
              <w:right w:val="nil"/>
            </w:tcBorders>
            <w:vAlign w:val="center"/>
          </w:tcPr>
          <w:p w14:paraId="27C12D61">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联系方式：</w:t>
            </w:r>
          </w:p>
        </w:tc>
      </w:tr>
      <w:tr w14:paraId="73C33D61">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2C9AFCA8">
            <w:pPr>
              <w:keepNext w:val="0"/>
              <w:keepLines w:val="0"/>
              <w:pageBreakBefore w:val="0"/>
              <w:widowControl/>
              <w:kinsoku/>
              <w:wordWrap/>
              <w:overflowPunct/>
              <w:topLinePunct w:val="0"/>
              <w:autoSpaceDN/>
              <w:bidi w:val="0"/>
              <w:adjustRightInd w:val="0"/>
              <w:snapToGrid w:val="0"/>
              <w:spacing w:line="312" w:lineRule="auto"/>
              <w:ind w:left="0" w:leftChars="0" w:firstLine="480" w:firstLineChars="20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签订日期：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c>
        <w:tc>
          <w:tcPr>
            <w:tcW w:w="4643" w:type="dxa"/>
            <w:tcBorders>
              <w:top w:val="nil"/>
              <w:left w:val="nil"/>
              <w:bottom w:val="nil"/>
              <w:right w:val="nil"/>
            </w:tcBorders>
            <w:vAlign w:val="center"/>
          </w:tcPr>
          <w:p w14:paraId="081FACFA">
            <w:pPr>
              <w:keepNext w:val="0"/>
              <w:keepLines w:val="0"/>
              <w:pageBreakBefore w:val="0"/>
              <w:widowControl/>
              <w:kinsoku/>
              <w:wordWrap/>
              <w:overflowPunct/>
              <w:topLinePunct w:val="0"/>
              <w:autoSpaceDN/>
              <w:bidi w:val="0"/>
              <w:adjustRightInd w:val="0"/>
              <w:snapToGrid w:val="0"/>
              <w:spacing w:line="312" w:lineRule="auto"/>
              <w:ind w:left="0" w:leftChars="0" w:firstLine="480" w:firstLineChars="20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签订日期：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c>
      </w:tr>
      <w:tr w14:paraId="4018D501">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64647125">
            <w:pPr>
              <w:keepNext w:val="0"/>
              <w:keepLines w:val="0"/>
              <w:pageBreakBefore w:val="0"/>
              <w:widowControl/>
              <w:kinsoku/>
              <w:wordWrap/>
              <w:overflowPunct/>
              <w:topLinePunct w:val="0"/>
              <w:autoSpaceDN/>
              <w:bidi w:val="0"/>
              <w:adjustRightInd w:val="0"/>
              <w:snapToGrid w:val="0"/>
              <w:spacing w:line="312" w:lineRule="auto"/>
              <w:jc w:val="left"/>
              <w:textAlignment w:val="auto"/>
              <w:rPr>
                <w:rFonts w:hint="eastAsia" w:ascii="仿宋_GB2312" w:hAnsi="仿宋_GB2312" w:eastAsia="仿宋_GB2312" w:cs="仿宋_GB2312"/>
                <w:color w:val="auto"/>
                <w:sz w:val="24"/>
                <w:szCs w:val="24"/>
              </w:rPr>
            </w:pPr>
          </w:p>
        </w:tc>
        <w:tc>
          <w:tcPr>
            <w:tcW w:w="4643" w:type="dxa"/>
            <w:tcBorders>
              <w:top w:val="nil"/>
              <w:left w:val="nil"/>
              <w:bottom w:val="nil"/>
              <w:right w:val="nil"/>
            </w:tcBorders>
            <w:vAlign w:val="center"/>
          </w:tcPr>
          <w:p w14:paraId="707D4309">
            <w:pPr>
              <w:keepNext w:val="0"/>
              <w:keepLines w:val="0"/>
              <w:pageBreakBefore w:val="0"/>
              <w:widowControl/>
              <w:kinsoku/>
              <w:wordWrap/>
              <w:overflowPunct/>
              <w:topLinePunct w:val="0"/>
              <w:autoSpaceDN/>
              <w:bidi w:val="0"/>
              <w:adjustRightInd w:val="0"/>
              <w:snapToGrid w:val="0"/>
              <w:spacing w:line="312" w:lineRule="auto"/>
              <w:ind w:left="0" w:firstLine="480" w:firstLineChars="200"/>
              <w:jc w:val="left"/>
              <w:textAlignment w:val="auto"/>
              <w:rPr>
                <w:rFonts w:hint="eastAsia" w:ascii="仿宋_GB2312" w:hAnsi="仿宋_GB2312" w:eastAsia="仿宋_GB2312" w:cs="仿宋_GB2312"/>
                <w:color w:val="auto"/>
                <w:sz w:val="24"/>
                <w:szCs w:val="24"/>
              </w:rPr>
            </w:pPr>
          </w:p>
        </w:tc>
      </w:tr>
      <w:bookmarkEnd w:id="410"/>
    </w:tbl>
    <w:p w14:paraId="2ED08E4B">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408"/>
      <w:r>
        <w:rPr>
          <w:rFonts w:ascii="仿宋" w:hAnsi="仿宋" w:eastAsia="仿宋" w:cs="仿宋_GB2312"/>
          <w:b/>
          <w:color w:val="auto"/>
          <w:sz w:val="36"/>
          <w:szCs w:val="20"/>
          <w:highlight w:val="none"/>
        </w:rPr>
        <w:t xml:space="preserve"> </w:t>
      </w:r>
      <w:bookmarkEnd w:id="409"/>
      <w:r>
        <w:rPr>
          <w:rFonts w:hint="eastAsia" w:ascii="仿宋" w:hAnsi="仿宋" w:eastAsia="仿宋" w:cs="仿宋_GB2312"/>
          <w:b/>
          <w:color w:val="auto"/>
          <w:sz w:val="36"/>
          <w:szCs w:val="20"/>
          <w:highlight w:val="none"/>
        </w:rPr>
        <w:t>应提交的有关格式范例</w:t>
      </w:r>
    </w:p>
    <w:p w14:paraId="0B094566">
      <w:pPr>
        <w:spacing w:line="360" w:lineRule="auto"/>
        <w:jc w:val="center"/>
        <w:rPr>
          <w:rFonts w:ascii="仿宋_GB2312" w:hAnsi="仿宋" w:eastAsia="仿宋_GB2312" w:cs="仿宋_GB2312"/>
          <w:b/>
          <w:color w:val="auto"/>
          <w:kern w:val="0"/>
          <w:sz w:val="36"/>
          <w:szCs w:val="36"/>
          <w:highlight w:val="none"/>
        </w:rPr>
      </w:pPr>
    </w:p>
    <w:p w14:paraId="2511C478">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5C7D69C0">
      <w:pPr>
        <w:spacing w:line="360" w:lineRule="auto"/>
        <w:jc w:val="center"/>
        <w:outlineLvl w:val="2"/>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333EF07E">
      <w:pPr>
        <w:spacing w:line="360" w:lineRule="auto"/>
        <w:jc w:val="center"/>
        <w:rPr>
          <w:rFonts w:ascii="仿宋_GB2312" w:hAnsi="仿宋" w:eastAsia="仿宋_GB2312" w:cs="仿宋_GB2312"/>
          <w:b/>
          <w:color w:val="auto"/>
          <w:kern w:val="0"/>
          <w:sz w:val="36"/>
          <w:szCs w:val="36"/>
          <w:highlight w:val="none"/>
        </w:rPr>
      </w:pPr>
    </w:p>
    <w:p w14:paraId="789B8CCC">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14:paraId="492290D0">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14:paraId="5CD57BA2">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14:paraId="112A52D2">
      <w:pPr>
        <w:snapToGrid w:val="0"/>
        <w:spacing w:line="360" w:lineRule="auto"/>
        <w:ind w:firstLine="480" w:firstLineChars="200"/>
        <w:rPr>
          <w:rFonts w:ascii="仿宋_GB2312" w:hAnsi="仿宋" w:eastAsia="仿宋_GB2312" w:cs="仿宋_GB2312"/>
          <w:color w:val="auto"/>
          <w:sz w:val="24"/>
          <w:highlight w:val="none"/>
        </w:rPr>
      </w:pPr>
    </w:p>
    <w:p w14:paraId="0F27DBA7">
      <w:pPr>
        <w:spacing w:line="360" w:lineRule="auto"/>
        <w:ind w:firstLine="480" w:firstLineChars="200"/>
        <w:rPr>
          <w:rFonts w:ascii="仿宋_GB2312" w:hAnsi="仿宋" w:eastAsia="仿宋_GB2312" w:cs="仿宋_GB2312"/>
          <w:color w:val="auto"/>
          <w:sz w:val="24"/>
          <w:highlight w:val="none"/>
        </w:rPr>
      </w:pPr>
    </w:p>
    <w:p w14:paraId="34BD23FE">
      <w:pPr>
        <w:snapToGrid w:val="0"/>
        <w:spacing w:line="360" w:lineRule="auto"/>
        <w:ind w:right="480"/>
        <w:jc w:val="center"/>
        <w:outlineLvl w:val="2"/>
        <w:rPr>
          <w:rFonts w:ascii="仿宋_GB2312" w:hAnsi="仿宋" w:eastAsia="仿宋_GB2312" w:cs="仿宋_GB2312"/>
          <w:color w:val="auto"/>
          <w:kern w:val="0"/>
          <w:sz w:val="24"/>
          <w:highlight w:val="none"/>
        </w:rPr>
      </w:pPr>
    </w:p>
    <w:p w14:paraId="47A9442A">
      <w:pPr>
        <w:snapToGrid w:val="0"/>
        <w:spacing w:line="360" w:lineRule="auto"/>
        <w:ind w:right="480"/>
        <w:jc w:val="center"/>
        <w:outlineLvl w:val="2"/>
        <w:rPr>
          <w:rFonts w:ascii="仿宋_GB2312" w:hAnsi="仿宋" w:eastAsia="仿宋_GB2312" w:cs="仿宋_GB2312"/>
          <w:color w:val="auto"/>
          <w:kern w:val="0"/>
          <w:sz w:val="24"/>
          <w:highlight w:val="none"/>
        </w:rPr>
      </w:pPr>
    </w:p>
    <w:p w14:paraId="5A2BF0EC">
      <w:pPr>
        <w:snapToGrid w:val="0"/>
        <w:spacing w:line="360" w:lineRule="auto"/>
        <w:ind w:right="480"/>
        <w:jc w:val="center"/>
        <w:outlineLvl w:val="2"/>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br w:type="page"/>
      </w:r>
    </w:p>
    <w:p w14:paraId="52C7042B">
      <w:pPr>
        <w:snapToGrid w:val="0"/>
        <w:spacing w:line="240" w:lineRule="auto"/>
        <w:ind w:right="0"/>
        <w:jc w:val="center"/>
        <w:outlineLvl w:val="2"/>
        <w:rPr>
          <w:rFonts w:ascii="仿宋_GB2312" w:hAnsi="仿宋" w:eastAsia="仿宋_GB2312" w:cs="仿宋_GB2312"/>
          <w:color w:val="auto"/>
          <w:kern w:val="0"/>
          <w:sz w:val="24"/>
          <w:highlight w:val="none"/>
        </w:rPr>
      </w:pPr>
    </w:p>
    <w:p w14:paraId="0C0E5491">
      <w:pPr>
        <w:snapToGrid w:val="0"/>
        <w:spacing w:line="360" w:lineRule="auto"/>
        <w:ind w:right="480"/>
        <w:jc w:val="center"/>
        <w:outlineLvl w:val="2"/>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一、 符合参加政府采购活动应当具备的一般条件的承诺函</w:t>
      </w:r>
    </w:p>
    <w:p w14:paraId="5BCEC44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衢州市柯城区航埠镇人民政府</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浙江天平投资咨询有限公司</w:t>
      </w:r>
      <w:r>
        <w:rPr>
          <w:rFonts w:hint="eastAsia" w:ascii="仿宋_GB2312" w:hAnsi="仿宋" w:eastAsia="仿宋_GB2312" w:cs="仿宋_GB2312"/>
          <w:color w:val="auto"/>
          <w:sz w:val="24"/>
          <w:highlight w:val="none"/>
        </w:rPr>
        <w:t>：</w:t>
      </w:r>
    </w:p>
    <w:p w14:paraId="623F7032">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航埠镇沿线沿路屋顶分布式光伏电站整改服务项目（三次）</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ZJTP-KCCG-2025068</w:t>
      </w:r>
      <w:r>
        <w:rPr>
          <w:rFonts w:hint="eastAsia" w:ascii="仿宋_GB2312" w:hAnsi="仿宋" w:eastAsia="仿宋_GB2312" w:cs="仿宋_GB2312"/>
          <w:color w:val="auto"/>
          <w:sz w:val="24"/>
          <w:highlight w:val="none"/>
        </w:rPr>
        <w:t>】政府采购活动，郑重承诺：</w:t>
      </w:r>
    </w:p>
    <w:p w14:paraId="76498CFD">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3D8E498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03271C71">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7A045B1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0EDF66B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544C707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73BD199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576408F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677F53C8">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782AF06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397FED32">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12CCFDDE">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3、本单位属于公益一类事业单位、使用事业编制且由财政拨款保障的群团组织。</w:t>
      </w:r>
    </w:p>
    <w:p w14:paraId="1CB2D141">
      <w:pPr>
        <w:snapToGrid w:val="0"/>
        <w:spacing w:line="360" w:lineRule="auto"/>
        <w:ind w:firstLine="5520" w:firstLineChars="2300"/>
        <w:rPr>
          <w:rFonts w:hint="eastAsia" w:ascii="仿宋_GB2312" w:hAnsi="仿宋" w:eastAsia="仿宋_GB2312" w:cs="仿宋_GB2312"/>
          <w:color w:val="auto"/>
          <w:kern w:val="0"/>
          <w:sz w:val="24"/>
          <w:highlight w:val="none"/>
          <w:lang w:val="zh-CN"/>
        </w:rPr>
      </w:pPr>
    </w:p>
    <w:p w14:paraId="6C474EC5">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292B7B12">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D7BB9CB">
      <w:pPr>
        <w:snapToGrid w:val="0"/>
        <w:spacing w:line="360" w:lineRule="auto"/>
        <w:ind w:right="480"/>
        <w:jc w:val="center"/>
        <w:rPr>
          <w:rFonts w:ascii="仿宋_GB2312" w:hAnsi="仿宋" w:eastAsia="仿宋_GB2312" w:cs="仿宋_GB2312"/>
          <w:b/>
          <w:color w:val="auto"/>
          <w:kern w:val="0"/>
          <w:sz w:val="32"/>
          <w:szCs w:val="32"/>
          <w:highlight w:val="none"/>
        </w:rPr>
      </w:pPr>
    </w:p>
    <w:p w14:paraId="15142C75">
      <w:pPr>
        <w:snapToGrid w:val="0"/>
        <w:spacing w:line="360" w:lineRule="auto"/>
        <w:ind w:right="480"/>
        <w:jc w:val="center"/>
        <w:rPr>
          <w:rFonts w:ascii="仿宋_GB2312" w:hAnsi="仿宋" w:eastAsia="仿宋_GB2312" w:cs="仿宋_GB2312"/>
          <w:b/>
          <w:color w:val="auto"/>
          <w:kern w:val="0"/>
          <w:sz w:val="32"/>
          <w:szCs w:val="32"/>
          <w:highlight w:val="none"/>
        </w:rPr>
      </w:pPr>
    </w:p>
    <w:p w14:paraId="43B1817F">
      <w:pPr>
        <w:snapToGrid w:val="0"/>
        <w:spacing w:line="360" w:lineRule="auto"/>
        <w:ind w:right="480"/>
        <w:jc w:val="center"/>
        <w:rPr>
          <w:rFonts w:ascii="仿宋_GB2312" w:hAnsi="仿宋" w:eastAsia="仿宋_GB2312" w:cs="仿宋_GB2312"/>
          <w:b/>
          <w:color w:val="auto"/>
          <w:kern w:val="0"/>
          <w:sz w:val="32"/>
          <w:szCs w:val="32"/>
          <w:highlight w:val="none"/>
        </w:rPr>
      </w:pPr>
    </w:p>
    <w:p w14:paraId="5DD329D3">
      <w:pPr>
        <w:rPr>
          <w:color w:val="auto"/>
          <w:highlight w:val="none"/>
        </w:rPr>
      </w:pPr>
    </w:p>
    <w:p w14:paraId="50064EAD">
      <w:pPr>
        <w:snapToGrid w:val="0"/>
        <w:spacing w:line="360" w:lineRule="auto"/>
        <w:ind w:right="480"/>
        <w:jc w:val="both"/>
        <w:rPr>
          <w:rFonts w:ascii="仿宋_GB2312" w:hAnsi="仿宋" w:eastAsia="仿宋_GB2312" w:cs="仿宋_GB2312"/>
          <w:b/>
          <w:color w:val="auto"/>
          <w:kern w:val="0"/>
          <w:sz w:val="32"/>
          <w:szCs w:val="32"/>
          <w:highlight w:val="none"/>
        </w:rPr>
      </w:pPr>
    </w:p>
    <w:p w14:paraId="66825D2B">
      <w:pPr>
        <w:snapToGrid w:val="0"/>
        <w:spacing w:line="360" w:lineRule="auto"/>
        <w:ind w:right="480"/>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14:paraId="4F138A4B">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50B7F879">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14:paraId="2885588D">
      <w:pPr>
        <w:widowControl/>
        <w:spacing w:line="360" w:lineRule="auto"/>
        <w:ind w:firstLine="480"/>
        <w:jc w:val="left"/>
        <w:rPr>
          <w:rFonts w:ascii="仿宋_GB2312" w:hAnsi="宋体" w:eastAsia="仿宋_GB2312"/>
          <w:color w:val="auto"/>
          <w:sz w:val="24"/>
          <w:highlight w:val="none"/>
        </w:rPr>
      </w:pPr>
    </w:p>
    <w:p w14:paraId="21A1062F">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BCF9182">
      <w:pPr>
        <w:spacing w:line="360" w:lineRule="auto"/>
        <w:ind w:firstLine="480" w:firstLineChars="200"/>
        <w:rPr>
          <w:rFonts w:ascii="仿宋_GB2312" w:hAnsi="仿宋" w:eastAsia="仿宋_GB2312" w:cs="仿宋_GB2312"/>
          <w:color w:val="auto"/>
          <w:sz w:val="24"/>
          <w:highlight w:val="none"/>
        </w:rPr>
      </w:pPr>
    </w:p>
    <w:p w14:paraId="102C077B">
      <w:pP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b/>
          <w:color w:val="auto"/>
          <w:kern w:val="0"/>
          <w:sz w:val="32"/>
          <w:szCs w:val="32"/>
          <w:highlight w:val="none"/>
        </w:rPr>
        <w:br w:type="page"/>
      </w:r>
    </w:p>
    <w:p w14:paraId="7A609034">
      <w:pPr>
        <w:widowControl/>
        <w:spacing w:line="360" w:lineRule="auto"/>
        <w:ind w:left="150"/>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14:paraId="3169BFCB">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14:paraId="3DB9CAEF">
      <w:pPr>
        <w:rPr>
          <w:color w:val="auto"/>
          <w:highlight w:val="none"/>
        </w:rPr>
      </w:pPr>
    </w:p>
    <w:p w14:paraId="661B9CC9">
      <w:pPr>
        <w:snapToGrid w:val="0"/>
        <w:spacing w:line="360" w:lineRule="auto"/>
        <w:ind w:right="480"/>
        <w:jc w:val="center"/>
        <w:rPr>
          <w:rFonts w:ascii="仿宋_GB2312" w:hAnsi="仿宋" w:eastAsia="仿宋_GB2312" w:cs="仿宋_GB2312"/>
          <w:b/>
          <w:color w:val="auto"/>
          <w:kern w:val="0"/>
          <w:sz w:val="32"/>
          <w:szCs w:val="32"/>
          <w:highlight w:val="none"/>
        </w:rPr>
      </w:pPr>
    </w:p>
    <w:p w14:paraId="5BAB5875">
      <w:pPr>
        <w:snapToGrid w:val="0"/>
        <w:spacing w:line="360" w:lineRule="auto"/>
        <w:ind w:right="480"/>
        <w:jc w:val="center"/>
        <w:rPr>
          <w:rFonts w:ascii="仿宋_GB2312" w:hAnsi="仿宋" w:eastAsia="仿宋_GB2312" w:cs="仿宋_GB2312"/>
          <w:b/>
          <w:color w:val="auto"/>
          <w:kern w:val="0"/>
          <w:sz w:val="32"/>
          <w:szCs w:val="32"/>
          <w:highlight w:val="none"/>
        </w:rPr>
      </w:pPr>
    </w:p>
    <w:p w14:paraId="39B5BB73">
      <w:pPr>
        <w:snapToGrid w:val="0"/>
        <w:spacing w:line="360" w:lineRule="auto"/>
        <w:ind w:right="480"/>
        <w:jc w:val="center"/>
        <w:rPr>
          <w:rFonts w:ascii="仿宋_GB2312" w:hAnsi="仿宋" w:eastAsia="仿宋_GB2312" w:cs="仿宋_GB2312"/>
          <w:b/>
          <w:color w:val="auto"/>
          <w:kern w:val="0"/>
          <w:sz w:val="32"/>
          <w:szCs w:val="32"/>
          <w:highlight w:val="none"/>
        </w:rPr>
      </w:pPr>
    </w:p>
    <w:p w14:paraId="53C005C9">
      <w:pPr>
        <w:snapToGrid w:val="0"/>
        <w:spacing w:line="360" w:lineRule="auto"/>
        <w:ind w:right="480"/>
        <w:jc w:val="center"/>
        <w:rPr>
          <w:rFonts w:ascii="仿宋_GB2312" w:hAnsi="仿宋" w:eastAsia="仿宋_GB2312" w:cs="仿宋_GB2312"/>
          <w:b/>
          <w:color w:val="auto"/>
          <w:kern w:val="0"/>
          <w:sz w:val="32"/>
          <w:szCs w:val="32"/>
          <w:highlight w:val="none"/>
        </w:rPr>
      </w:pPr>
    </w:p>
    <w:p w14:paraId="1D62E9C7">
      <w:pPr>
        <w:snapToGrid w:val="0"/>
        <w:spacing w:line="360" w:lineRule="auto"/>
        <w:ind w:right="480"/>
        <w:jc w:val="center"/>
        <w:rPr>
          <w:rFonts w:ascii="仿宋_GB2312" w:hAnsi="仿宋" w:eastAsia="仿宋_GB2312" w:cs="仿宋_GB2312"/>
          <w:b/>
          <w:color w:val="auto"/>
          <w:kern w:val="0"/>
          <w:sz w:val="32"/>
          <w:szCs w:val="32"/>
          <w:highlight w:val="none"/>
        </w:rPr>
      </w:pPr>
    </w:p>
    <w:p w14:paraId="1657A0D0">
      <w:pPr>
        <w:snapToGrid w:val="0"/>
        <w:spacing w:line="360" w:lineRule="auto"/>
        <w:ind w:right="480"/>
        <w:jc w:val="center"/>
        <w:rPr>
          <w:rFonts w:ascii="仿宋_GB2312" w:hAnsi="仿宋" w:eastAsia="仿宋_GB2312" w:cs="仿宋_GB2312"/>
          <w:b/>
          <w:color w:val="auto"/>
          <w:kern w:val="0"/>
          <w:sz w:val="32"/>
          <w:szCs w:val="32"/>
          <w:highlight w:val="none"/>
        </w:rPr>
      </w:pPr>
    </w:p>
    <w:p w14:paraId="0B3BB82B">
      <w:pPr>
        <w:spacing w:line="360" w:lineRule="auto"/>
        <w:jc w:val="center"/>
        <w:rPr>
          <w:rFonts w:ascii="仿宋_GB2312" w:hAnsi="仿宋" w:eastAsia="仿宋_GB2312" w:cs="仿宋_GB2312"/>
          <w:b/>
          <w:color w:val="auto"/>
          <w:kern w:val="0"/>
          <w:sz w:val="36"/>
          <w:szCs w:val="36"/>
          <w:highlight w:val="none"/>
        </w:rPr>
      </w:pPr>
    </w:p>
    <w:p w14:paraId="6D11177C">
      <w:pPr>
        <w:snapToGrid w:val="0"/>
        <w:spacing w:line="360" w:lineRule="auto"/>
        <w:ind w:right="480"/>
        <w:jc w:val="center"/>
        <w:rPr>
          <w:rFonts w:ascii="仿宋_GB2312" w:hAnsi="仿宋" w:eastAsia="仿宋_GB2312" w:cs="仿宋_GB2312"/>
          <w:b/>
          <w:color w:val="auto"/>
          <w:kern w:val="0"/>
          <w:sz w:val="32"/>
          <w:szCs w:val="32"/>
          <w:highlight w:val="none"/>
        </w:rPr>
      </w:pPr>
    </w:p>
    <w:p w14:paraId="79754D6E">
      <w:pPr>
        <w:spacing w:line="360" w:lineRule="auto"/>
        <w:jc w:val="center"/>
        <w:rPr>
          <w:rFonts w:ascii="仿宋_GB2312" w:hAnsi="仿宋" w:eastAsia="仿宋_GB2312" w:cs="仿宋_GB2312"/>
          <w:b/>
          <w:color w:val="auto"/>
          <w:kern w:val="0"/>
          <w:sz w:val="36"/>
          <w:szCs w:val="36"/>
          <w:highlight w:val="none"/>
        </w:rPr>
      </w:pPr>
    </w:p>
    <w:p w14:paraId="16A14616">
      <w:pPr>
        <w:pStyle w:val="66"/>
        <w:rPr>
          <w:color w:val="auto"/>
          <w:highlight w:val="none"/>
        </w:rPr>
      </w:pPr>
    </w:p>
    <w:p w14:paraId="324817C1">
      <w:pPr>
        <w:snapToGrid w:val="0"/>
        <w:spacing w:line="360" w:lineRule="auto"/>
        <w:ind w:right="480"/>
        <w:jc w:val="center"/>
        <w:rPr>
          <w:rFonts w:ascii="仿宋_GB2312" w:hAnsi="仿宋" w:eastAsia="仿宋_GB2312" w:cs="仿宋_GB2312"/>
          <w:b/>
          <w:color w:val="auto"/>
          <w:kern w:val="0"/>
          <w:sz w:val="32"/>
          <w:szCs w:val="32"/>
          <w:highlight w:val="none"/>
        </w:rPr>
      </w:pPr>
    </w:p>
    <w:p w14:paraId="4117752F">
      <w:pPr>
        <w:pStyle w:val="67"/>
        <w:ind w:firstLine="643"/>
        <w:rPr>
          <w:rFonts w:ascii="仿宋_GB2312" w:hAnsi="仿宋" w:eastAsia="仿宋_GB2312" w:cs="仿宋_GB2312"/>
          <w:b/>
          <w:color w:val="auto"/>
          <w:kern w:val="0"/>
          <w:sz w:val="32"/>
          <w:szCs w:val="32"/>
          <w:highlight w:val="none"/>
        </w:rPr>
      </w:pPr>
    </w:p>
    <w:p w14:paraId="2583B5EC">
      <w:pPr>
        <w:pStyle w:val="67"/>
        <w:ind w:firstLine="643"/>
        <w:rPr>
          <w:rFonts w:ascii="仿宋_GB2312" w:hAnsi="仿宋" w:eastAsia="仿宋_GB2312" w:cs="仿宋_GB2312"/>
          <w:b/>
          <w:color w:val="auto"/>
          <w:kern w:val="0"/>
          <w:sz w:val="32"/>
          <w:szCs w:val="32"/>
          <w:highlight w:val="none"/>
        </w:rPr>
      </w:pPr>
    </w:p>
    <w:p w14:paraId="42B1F595">
      <w:pPr>
        <w:pStyle w:val="67"/>
        <w:ind w:firstLine="420"/>
        <w:rPr>
          <w:color w:val="auto"/>
          <w:highlight w:val="none"/>
        </w:rPr>
      </w:pPr>
    </w:p>
    <w:p w14:paraId="7B6F69F0">
      <w:pPr>
        <w:spacing w:line="360" w:lineRule="auto"/>
        <w:jc w:val="center"/>
        <w:rPr>
          <w:rFonts w:ascii="仿宋_GB2312" w:hAnsi="仿宋" w:eastAsia="仿宋_GB2312" w:cs="仿宋_GB2312"/>
          <w:b/>
          <w:color w:val="auto"/>
          <w:kern w:val="0"/>
          <w:sz w:val="36"/>
          <w:szCs w:val="36"/>
          <w:highlight w:val="none"/>
        </w:rPr>
      </w:pPr>
    </w:p>
    <w:p w14:paraId="33D51AB6">
      <w:pPr>
        <w:pStyle w:val="66"/>
        <w:rPr>
          <w:color w:val="auto"/>
          <w:highlight w:val="none"/>
        </w:rPr>
      </w:pPr>
    </w:p>
    <w:p w14:paraId="42A588B6">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14:paraId="0782AD29">
      <w:pPr>
        <w:spacing w:line="360" w:lineRule="auto"/>
        <w:ind w:right="420"/>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lang w:val="en-US" w:eastAsia="zh-CN"/>
        </w:rPr>
        <w:t xml:space="preserve">   </w:t>
      </w:r>
      <w:r>
        <w:rPr>
          <w:rFonts w:hint="eastAsia" w:ascii="仿宋_GB2312" w:hAnsi="仿宋" w:eastAsia="仿宋_GB2312" w:cs="仿宋_GB2312"/>
          <w:b/>
          <w:color w:val="auto"/>
          <w:kern w:val="0"/>
          <w:sz w:val="36"/>
          <w:szCs w:val="36"/>
          <w:highlight w:val="none"/>
        </w:rPr>
        <w:t>商务技术文件部分</w:t>
      </w:r>
    </w:p>
    <w:p w14:paraId="275AE10A">
      <w:pPr>
        <w:spacing w:line="360" w:lineRule="auto"/>
        <w:jc w:val="center"/>
        <w:rPr>
          <w:rFonts w:ascii="仿宋_GB2312" w:hAnsi="仿宋" w:eastAsia="仿宋_GB2312" w:cs="仿宋_GB2312"/>
          <w:b/>
          <w:color w:val="auto"/>
          <w:kern w:val="0"/>
          <w:sz w:val="24"/>
          <w:highlight w:val="none"/>
        </w:rPr>
      </w:pPr>
    </w:p>
    <w:p w14:paraId="2E0AA738">
      <w:pPr>
        <w:spacing w:line="360" w:lineRule="auto"/>
        <w:jc w:val="center"/>
        <w:outlineLvl w:val="2"/>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14:paraId="3991E1F4">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14:paraId="0A22428A">
      <w:pPr>
        <w:keepNext w:val="0"/>
        <w:keepLines w:val="0"/>
        <w:pageBreakBefore w:val="0"/>
        <w:widowControl/>
        <w:suppressLineNumbers w:val="0"/>
        <w:kinsoku/>
        <w:wordWrap/>
        <w:overflowPunct/>
        <w:topLinePunct w:val="0"/>
        <w:autoSpaceDE/>
        <w:autoSpaceDN/>
        <w:bidi w:val="0"/>
        <w:adjustRightInd w:val="0"/>
        <w:spacing w:line="360" w:lineRule="auto"/>
        <w:ind w:firstLine="480" w:firstLineChars="200"/>
        <w:jc w:val="left"/>
        <w:textAlignment w:val="auto"/>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lang w:val="en-US" w:eastAsia="zh-CN"/>
        </w:rPr>
        <w:t>供应商情况表</w:t>
      </w:r>
      <w:r>
        <w:rPr>
          <w:rFonts w:hint="eastAsia" w:cs="仿宋_GB2312"/>
          <w:color w:val="auto"/>
          <w:highlight w:val="none"/>
        </w:rPr>
        <w:t>…………………………………………………………………………</w:t>
      </w:r>
      <w:r>
        <w:rPr>
          <w:rFonts w:hint="eastAsia" w:cs="仿宋_GB2312"/>
          <w:color w:val="auto"/>
          <w:highlight w:val="none"/>
          <w:lang w:val="en-US" w:eastAsia="zh-CN"/>
        </w:rPr>
        <w:t xml:space="preserve"> </w:t>
      </w:r>
      <w:r>
        <w:rPr>
          <w:rFonts w:hint="eastAsia" w:cs="仿宋_GB2312"/>
          <w:color w:val="auto"/>
          <w:highlight w:val="none"/>
        </w:rPr>
        <w:t>（页码）</w:t>
      </w:r>
    </w:p>
    <w:p w14:paraId="04C37C80">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4）符合性审查资料</w:t>
      </w:r>
      <w:r>
        <w:rPr>
          <w:rFonts w:hint="eastAsia" w:cs="仿宋_GB2312"/>
          <w:color w:val="auto"/>
          <w:highlight w:val="none"/>
        </w:rPr>
        <w:t>………………………………………………………………………（页码）</w:t>
      </w:r>
    </w:p>
    <w:p w14:paraId="7FC09D23">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5）评标标准相应的商务技术资料</w:t>
      </w:r>
      <w:r>
        <w:rPr>
          <w:rFonts w:hint="eastAsia" w:cs="仿宋_GB2312"/>
          <w:color w:val="auto"/>
          <w:highlight w:val="none"/>
        </w:rPr>
        <w:t>…………</w:t>
      </w:r>
      <w:r>
        <w:rPr>
          <w:rFonts w:ascii="仿宋_GB2312" w:hAnsi="仿宋" w:eastAsia="仿宋_GB2312" w:cs="仿宋_GB2312"/>
          <w:color w:val="auto"/>
          <w:sz w:val="24"/>
          <w:highlight w:val="none"/>
        </w:rPr>
        <w:t>…………</w:t>
      </w:r>
      <w:r>
        <w:rPr>
          <w:rFonts w:hint="eastAsia" w:cs="仿宋_GB2312"/>
          <w:color w:val="auto"/>
          <w:highlight w:val="none"/>
        </w:rPr>
        <w:t>…</w:t>
      </w:r>
      <w:r>
        <w:rPr>
          <w:rFonts w:ascii="仿宋_GB2312" w:hAnsi="仿宋" w:eastAsia="仿宋_GB2312" w:cs="仿宋_GB2312"/>
          <w:color w:val="auto"/>
          <w:sz w:val="24"/>
          <w:highlight w:val="none"/>
        </w:rPr>
        <w:t>………………………</w:t>
      </w:r>
      <w:r>
        <w:rPr>
          <w:rFonts w:hint="eastAsia" w:cs="仿宋_GB2312"/>
          <w:color w:val="auto"/>
          <w:highlight w:val="none"/>
        </w:rPr>
        <w:t>（页码）</w:t>
      </w:r>
    </w:p>
    <w:p w14:paraId="7B92778A">
      <w:pPr>
        <w:keepNext w:val="0"/>
        <w:keepLines w:val="0"/>
        <w:pageBreakBefore w:val="0"/>
        <w:kinsoku/>
        <w:wordWrap/>
        <w:overflowPunct/>
        <w:topLinePunct w:val="0"/>
        <w:autoSpaceDE/>
        <w:autoSpaceDN/>
        <w:bidi w:val="0"/>
        <w:adjustRightInd w:val="0"/>
        <w:snapToGrid w:val="0"/>
        <w:spacing w:line="360" w:lineRule="auto"/>
        <w:ind w:left="479" w:leftChars="228"/>
        <w:textAlignment w:val="auto"/>
        <w:rPr>
          <w:rFonts w:cs="仿宋_GB2312"/>
          <w:color w:val="auto"/>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6</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14:paraId="747631ED">
      <w:pPr>
        <w:snapToGrid w:val="0"/>
        <w:spacing w:line="360" w:lineRule="auto"/>
        <w:ind w:left="479" w:leftChars="228"/>
        <w:rPr>
          <w:rFonts w:hint="eastAsia"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14:paraId="4DBFB116">
      <w:pPr>
        <w:snapToGrid w:val="0"/>
        <w:spacing w:line="360" w:lineRule="auto"/>
        <w:ind w:left="479" w:leftChars="228"/>
        <w:rPr>
          <w:rFonts w:hint="eastAsia" w:cs="仿宋_GB2312"/>
          <w:color w:val="auto"/>
          <w:highlight w:val="none"/>
        </w:rPr>
      </w:pPr>
      <w:r>
        <w:rPr>
          <w:rFonts w:hint="eastAsia" w:ascii="仿宋_GB2312" w:hAnsi="仿宋" w:eastAsia="仿宋_GB2312" w:cs="仿宋_GB2312"/>
          <w:color w:val="auto"/>
          <w:kern w:val="2"/>
          <w:sz w:val="24"/>
          <w:szCs w:val="24"/>
          <w:highlight w:val="none"/>
          <w:lang w:val="en-GB" w:eastAsia="zh-CN" w:bidi="ar-SA"/>
        </w:rPr>
        <w:t>（</w:t>
      </w:r>
      <w:r>
        <w:rPr>
          <w:rFonts w:hint="eastAsia" w:ascii="仿宋_GB2312" w:hAnsi="仿宋" w:eastAsia="仿宋_GB2312" w:cs="仿宋_GB2312"/>
          <w:color w:val="auto"/>
          <w:kern w:val="2"/>
          <w:sz w:val="24"/>
          <w:szCs w:val="24"/>
          <w:highlight w:val="none"/>
          <w:lang w:val="en-US" w:eastAsia="zh-CN" w:bidi="ar-SA"/>
        </w:rPr>
        <w:t>8</w:t>
      </w:r>
      <w:r>
        <w:rPr>
          <w:rFonts w:hint="eastAsia" w:ascii="仿宋_GB2312" w:hAnsi="仿宋" w:eastAsia="仿宋_GB2312" w:cs="仿宋_GB2312"/>
          <w:color w:val="auto"/>
          <w:kern w:val="2"/>
          <w:sz w:val="24"/>
          <w:szCs w:val="24"/>
          <w:highlight w:val="none"/>
          <w:lang w:val="en-GB" w:eastAsia="zh-CN" w:bidi="ar-SA"/>
        </w:rPr>
        <w:t>）技术支持及服务承诺书</w:t>
      </w:r>
      <w:r>
        <w:rPr>
          <w:rFonts w:hint="eastAsia" w:cs="仿宋_GB2312"/>
          <w:color w:val="auto"/>
          <w:highlight w:val="none"/>
        </w:rPr>
        <w:t>………………………………………………………………（页码）</w:t>
      </w:r>
    </w:p>
    <w:p w14:paraId="17782522">
      <w:pPr>
        <w:pStyle w:val="67"/>
        <w:ind w:left="0" w:leftChars="0" w:firstLine="480" w:firstLineChars="200"/>
        <w:rPr>
          <w:rFonts w:hint="eastAsia" w:ascii="仿宋_GB2312" w:hAnsi="仿宋" w:eastAsia="仿宋_GB2312" w:cs="仿宋_GB2312"/>
          <w:color w:val="auto"/>
          <w:kern w:val="2"/>
          <w:sz w:val="24"/>
          <w:szCs w:val="24"/>
          <w:highlight w:val="none"/>
          <w:lang w:val="zh-CN" w:eastAsia="zh-CN" w:bidi="ar-SA"/>
        </w:rPr>
      </w:pPr>
    </w:p>
    <w:p w14:paraId="153DC61A">
      <w:pPr>
        <w:snapToGrid w:val="0"/>
        <w:spacing w:line="360" w:lineRule="auto"/>
        <w:jc w:val="center"/>
        <w:rPr>
          <w:rFonts w:ascii="仿宋_GB2312" w:hAnsi="仿宋" w:eastAsia="仿宋_GB2312" w:cs="仿宋_GB2312"/>
          <w:b/>
          <w:color w:val="auto"/>
          <w:kern w:val="0"/>
          <w:sz w:val="32"/>
          <w:szCs w:val="32"/>
          <w:highlight w:val="none"/>
          <w:lang w:val="zh-CN"/>
        </w:rPr>
      </w:pPr>
    </w:p>
    <w:p w14:paraId="11442A5B">
      <w:pPr>
        <w:snapToGrid w:val="0"/>
        <w:spacing w:line="360" w:lineRule="auto"/>
        <w:jc w:val="center"/>
        <w:rPr>
          <w:rFonts w:ascii="仿宋_GB2312" w:hAnsi="仿宋" w:eastAsia="仿宋_GB2312" w:cs="仿宋_GB2312"/>
          <w:b/>
          <w:color w:val="auto"/>
          <w:kern w:val="0"/>
          <w:sz w:val="32"/>
          <w:szCs w:val="32"/>
          <w:highlight w:val="none"/>
          <w:lang w:val="zh-CN"/>
        </w:rPr>
      </w:pPr>
    </w:p>
    <w:p w14:paraId="14F24CF3">
      <w:pPr>
        <w:snapToGrid w:val="0"/>
        <w:spacing w:line="360" w:lineRule="auto"/>
        <w:jc w:val="center"/>
        <w:rPr>
          <w:rFonts w:ascii="仿宋_GB2312" w:hAnsi="仿宋" w:eastAsia="仿宋_GB2312" w:cs="仿宋_GB2312"/>
          <w:b/>
          <w:color w:val="auto"/>
          <w:kern w:val="0"/>
          <w:sz w:val="32"/>
          <w:szCs w:val="32"/>
          <w:highlight w:val="none"/>
          <w:lang w:val="zh-CN"/>
        </w:rPr>
      </w:pPr>
    </w:p>
    <w:p w14:paraId="143A2385">
      <w:pPr>
        <w:snapToGrid w:val="0"/>
        <w:spacing w:line="360" w:lineRule="auto"/>
        <w:jc w:val="center"/>
        <w:rPr>
          <w:rFonts w:ascii="仿宋_GB2312" w:hAnsi="仿宋" w:eastAsia="仿宋_GB2312" w:cs="仿宋_GB2312"/>
          <w:b/>
          <w:color w:val="auto"/>
          <w:kern w:val="0"/>
          <w:sz w:val="32"/>
          <w:szCs w:val="32"/>
          <w:highlight w:val="none"/>
          <w:lang w:val="zh-CN"/>
        </w:rPr>
      </w:pPr>
    </w:p>
    <w:p w14:paraId="1DB17DB1">
      <w:pPr>
        <w:snapToGrid w:val="0"/>
        <w:spacing w:line="360" w:lineRule="auto"/>
        <w:jc w:val="center"/>
        <w:rPr>
          <w:rFonts w:ascii="仿宋_GB2312" w:hAnsi="仿宋" w:eastAsia="仿宋_GB2312" w:cs="仿宋_GB2312"/>
          <w:b/>
          <w:color w:val="auto"/>
          <w:kern w:val="0"/>
          <w:sz w:val="32"/>
          <w:szCs w:val="32"/>
          <w:highlight w:val="none"/>
          <w:lang w:val="zh-CN"/>
        </w:rPr>
      </w:pPr>
    </w:p>
    <w:p w14:paraId="30B9B749">
      <w:pPr>
        <w:snapToGrid w:val="0"/>
        <w:spacing w:line="360" w:lineRule="auto"/>
        <w:jc w:val="center"/>
        <w:rPr>
          <w:rFonts w:ascii="仿宋_GB2312" w:hAnsi="仿宋" w:eastAsia="仿宋_GB2312" w:cs="仿宋_GB2312"/>
          <w:b/>
          <w:color w:val="auto"/>
          <w:kern w:val="0"/>
          <w:sz w:val="32"/>
          <w:szCs w:val="32"/>
          <w:highlight w:val="none"/>
        </w:rPr>
      </w:pPr>
    </w:p>
    <w:p w14:paraId="7AB62F51">
      <w:pPr>
        <w:snapToGrid w:val="0"/>
        <w:spacing w:line="360" w:lineRule="auto"/>
        <w:jc w:val="center"/>
        <w:rPr>
          <w:rFonts w:ascii="仿宋_GB2312" w:hAnsi="仿宋" w:eastAsia="仿宋_GB2312" w:cs="仿宋_GB2312"/>
          <w:b/>
          <w:color w:val="auto"/>
          <w:kern w:val="0"/>
          <w:sz w:val="32"/>
          <w:szCs w:val="32"/>
          <w:highlight w:val="none"/>
        </w:rPr>
      </w:pPr>
    </w:p>
    <w:p w14:paraId="4E467F21">
      <w:pPr>
        <w:rPr>
          <w:color w:val="auto"/>
          <w:highlight w:val="none"/>
        </w:rPr>
      </w:pPr>
    </w:p>
    <w:p w14:paraId="17457357">
      <w:pPr>
        <w:pStyle w:val="24"/>
      </w:pPr>
    </w:p>
    <w:p w14:paraId="5BB6AC06">
      <w:pPr>
        <w:snapToGrid w:val="0"/>
        <w:spacing w:line="360" w:lineRule="auto"/>
        <w:jc w:val="center"/>
        <w:rPr>
          <w:rFonts w:ascii="仿宋_GB2312" w:hAnsi="仿宋" w:eastAsia="仿宋_GB2312" w:cs="仿宋_GB2312"/>
          <w:b/>
          <w:color w:val="auto"/>
          <w:kern w:val="0"/>
          <w:sz w:val="32"/>
          <w:szCs w:val="32"/>
          <w:highlight w:val="none"/>
        </w:rPr>
      </w:pPr>
    </w:p>
    <w:p w14:paraId="27F543F5">
      <w:pPr>
        <w:snapToGrid w:val="0"/>
        <w:spacing w:line="360" w:lineRule="auto"/>
        <w:jc w:val="center"/>
        <w:rPr>
          <w:rFonts w:ascii="仿宋_GB2312" w:hAnsi="仿宋" w:eastAsia="仿宋_GB2312" w:cs="仿宋_GB2312"/>
          <w:b/>
          <w:color w:val="auto"/>
          <w:kern w:val="0"/>
          <w:sz w:val="32"/>
          <w:szCs w:val="32"/>
          <w:highlight w:val="none"/>
        </w:rPr>
      </w:pPr>
    </w:p>
    <w:p w14:paraId="3F805592">
      <w:pPr>
        <w:snapToGrid w:val="0"/>
        <w:spacing w:line="360" w:lineRule="auto"/>
        <w:jc w:val="center"/>
        <w:rPr>
          <w:rFonts w:ascii="仿宋_GB2312" w:hAnsi="仿宋" w:eastAsia="仿宋_GB2312" w:cs="仿宋_GB2312"/>
          <w:b/>
          <w:color w:val="auto"/>
          <w:kern w:val="0"/>
          <w:sz w:val="32"/>
          <w:szCs w:val="32"/>
          <w:highlight w:val="none"/>
        </w:rPr>
      </w:pPr>
    </w:p>
    <w:p w14:paraId="41AA4664">
      <w:pPr>
        <w:snapToGrid w:val="0"/>
        <w:spacing w:line="360" w:lineRule="auto"/>
        <w:jc w:val="center"/>
        <w:rPr>
          <w:rFonts w:ascii="仿宋_GB2312" w:hAnsi="仿宋" w:eastAsia="仿宋_GB2312" w:cs="仿宋_GB2312"/>
          <w:b/>
          <w:color w:val="auto"/>
          <w:kern w:val="0"/>
          <w:sz w:val="32"/>
          <w:szCs w:val="32"/>
          <w:highlight w:val="none"/>
        </w:rPr>
      </w:pPr>
    </w:p>
    <w:p w14:paraId="643B928F">
      <w:pPr>
        <w:snapToGrid w:val="0"/>
        <w:spacing w:line="360" w:lineRule="auto"/>
        <w:jc w:val="both"/>
        <w:rPr>
          <w:rFonts w:ascii="仿宋_GB2312" w:hAnsi="仿宋" w:eastAsia="仿宋_GB2312" w:cs="仿宋_GB2312"/>
          <w:b/>
          <w:color w:val="auto"/>
          <w:kern w:val="0"/>
          <w:sz w:val="32"/>
          <w:szCs w:val="32"/>
          <w:highlight w:val="none"/>
        </w:rPr>
      </w:pPr>
    </w:p>
    <w:p w14:paraId="57B3F752">
      <w:pPr>
        <w:snapToGrid w:val="0"/>
        <w:spacing w:line="360" w:lineRule="auto"/>
        <w:jc w:val="center"/>
        <w:outlineLvl w:val="2"/>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241D051E">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衢州市柯城区航埠镇人民政府</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浙江天平投资咨询有限公司</w:t>
      </w:r>
      <w:r>
        <w:rPr>
          <w:rFonts w:hint="eastAsia" w:ascii="仿宋_GB2312" w:hAnsi="仿宋" w:eastAsia="仿宋_GB2312" w:cs="仿宋_GB2312"/>
          <w:color w:val="auto"/>
          <w:sz w:val="24"/>
          <w:highlight w:val="none"/>
        </w:rPr>
        <w:t>：</w:t>
      </w:r>
    </w:p>
    <w:p w14:paraId="4767BF7A">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航埠镇沿线沿路屋顶分布式光伏电站整改服务项目（三次）</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ZJTP-KCCG-2025068</w:t>
      </w:r>
      <w:r>
        <w:rPr>
          <w:rFonts w:hint="eastAsia" w:ascii="仿宋_GB2312" w:hAnsi="仿宋" w:eastAsia="仿宋_GB2312" w:cs="仿宋_GB2312"/>
          <w:color w:val="auto"/>
          <w:sz w:val="24"/>
          <w:highlight w:val="none"/>
        </w:rPr>
        <w:t>】招标的有关活动，并对此项目进行投标。为此：</w:t>
      </w:r>
    </w:p>
    <w:p w14:paraId="3C467D47">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3E1C8A67">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14:paraId="5897BE9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14:paraId="1062642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63269448">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14:paraId="74B1FB07">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14:paraId="1B3DC11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78521F39">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14:paraId="6EE5D36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14:paraId="6CF0B8C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14:paraId="5EA03FA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14:paraId="24764F98">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14:paraId="690FD68F">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14:paraId="5A60BEB1">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14:paraId="5020394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3DE5F2ED">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14:paraId="01C456D3">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r>
        <w:rPr>
          <w:rFonts w:hint="eastAsia" w:ascii="仿宋_GB2312" w:hAnsi="仿宋" w:eastAsia="仿宋_GB2312" w:cs="仿宋_GB2312"/>
          <w:color w:val="auto"/>
          <w:sz w:val="24"/>
          <w:highlight w:val="none"/>
        </w:rPr>
        <w:t>。</w:t>
      </w:r>
    </w:p>
    <w:p w14:paraId="26FBB85C">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w:t>
      </w:r>
    </w:p>
    <w:p w14:paraId="02D15155">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14:paraId="4CB5243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6DF1578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3223C00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2.67</w:t>
      </w:r>
      <w:r>
        <w:rPr>
          <w:rFonts w:ascii="仿宋_GB2312" w:hAnsi="仿宋" w:eastAsia="仿宋_GB2312" w:cs="仿宋_GB2312"/>
          <w:color w:val="auto"/>
          <w:sz w:val="24"/>
          <w:highlight w:val="none"/>
        </w:rPr>
        <w:t xml:space="preserve">在签订合同时不向你方提出附加条件； </w:t>
      </w:r>
    </w:p>
    <w:p w14:paraId="045A608D">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4.3按照招标文件要求提交履约保证金</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 xml:space="preserve">； </w:t>
      </w:r>
    </w:p>
    <w:p w14:paraId="2FF01D0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14:paraId="45ACEF4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2CCDD910">
      <w:pPr>
        <w:keepNext w:val="0"/>
        <w:keepLines w:val="0"/>
        <w:pageBreakBefore w:val="0"/>
        <w:widowControl w:val="0"/>
        <w:kinsoku/>
        <w:wordWrap/>
        <w:overflowPunct/>
        <w:topLinePunct w:val="0"/>
        <w:autoSpaceDE/>
        <w:autoSpaceDN/>
        <w:bidi w:val="0"/>
        <w:adjustRightInd w:val="0"/>
        <w:spacing w:line="336" w:lineRule="auto"/>
        <w:ind w:firstLine="3600" w:firstLineChars="15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0A9F4581">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仿宋_GB2312" w:hAnsi="仿宋" w:eastAsia="仿宋_GB2312" w:cs="仿宋_GB2312"/>
          <w:b/>
          <w:color w:val="auto"/>
          <w:kern w:val="0"/>
          <w:sz w:val="32"/>
          <w:szCs w:val="32"/>
          <w:highlight w:val="none"/>
          <w:lang w:val="zh-CN"/>
        </w:rPr>
      </w:pPr>
      <w:r>
        <w:rPr>
          <w:rFonts w:ascii="仿宋_GB2312" w:hAnsi="仿宋" w:eastAsia="仿宋_GB2312" w:cs="仿宋_GB2312"/>
          <w:color w:val="auto"/>
          <w:sz w:val="24"/>
          <w:highlight w:val="none"/>
        </w:rPr>
        <w:t xml:space="preserve">     日期：  年   月   日</w:t>
      </w:r>
    </w:p>
    <w:p w14:paraId="28325823">
      <w:pPr>
        <w:jc w:val="both"/>
        <w:outlineLvl w:val="2"/>
        <w:rPr>
          <w:rFonts w:hint="eastAsia" w:ascii="仿宋_GB2312" w:hAnsi="仿宋" w:eastAsia="仿宋_GB2312" w:cs="仿宋_GB2312"/>
          <w:b/>
          <w:color w:val="auto"/>
          <w:kern w:val="0"/>
          <w:sz w:val="32"/>
          <w:szCs w:val="32"/>
          <w:highlight w:val="none"/>
          <w:lang w:val="zh-CN"/>
        </w:rPr>
      </w:pPr>
    </w:p>
    <w:p w14:paraId="499F840F">
      <w:pPr>
        <w:jc w:val="center"/>
        <w:outlineLvl w:val="2"/>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197D610C">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51781CD9">
      <w:pPr>
        <w:snapToGrid w:val="0"/>
        <w:spacing w:line="360" w:lineRule="auto"/>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14:paraId="4A65180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衢州市柯城区航埠镇人民政府</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浙江天平投资咨询有限公司</w:t>
      </w:r>
      <w:r>
        <w:rPr>
          <w:rFonts w:hint="eastAsia" w:ascii="仿宋_GB2312" w:hAnsi="仿宋" w:eastAsia="仿宋_GB2312" w:cs="仿宋_GB2312"/>
          <w:color w:val="auto"/>
          <w:kern w:val="0"/>
          <w:sz w:val="24"/>
          <w:highlight w:val="none"/>
          <w:lang w:val="zh-CN"/>
        </w:rPr>
        <w:t>：</w:t>
      </w:r>
    </w:p>
    <w:p w14:paraId="7A7B6A25">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航埠镇沿线沿路屋顶分布式光伏电站整改服务项目（三次）</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ZJTP-KCCG-2025068</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53946629">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16D2A654">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3820E697">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14:paraId="08963EAF">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kern w:val="0"/>
          <w:sz w:val="24"/>
          <w:highlight w:val="none"/>
          <w:lang w:val="zh-CN"/>
        </w:rPr>
        <w:t xml:space="preserve">                                                 签发日期：  年  月   日</w:t>
      </w:r>
    </w:p>
    <w:p w14:paraId="2077065E">
      <w:pPr>
        <w:snapToGrid w:val="0"/>
        <w:spacing w:line="360" w:lineRule="auto"/>
        <w:ind w:firstLine="6746" w:firstLineChars="2100"/>
        <w:rPr>
          <w:rFonts w:ascii="仿宋_GB2312" w:hAnsi="仿宋" w:eastAsia="仿宋_GB2312" w:cs="仿宋_GB2312"/>
          <w:color w:val="auto"/>
          <w:kern w:val="0"/>
          <w:sz w:val="24"/>
          <w:highlight w:val="none"/>
          <w:lang w:val="zh-CN"/>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p>
    <w:p w14:paraId="6A8B96E8">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592A8AE3">
      <w:pPr>
        <w:pStyle w:val="158"/>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7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39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8" w:hRule="atLeast"/>
          <w:jc w:val="center"/>
        </w:trPr>
        <w:tc>
          <w:tcPr>
            <w:tcW w:w="9207" w:type="dxa"/>
          </w:tcPr>
          <w:p w14:paraId="52154BA7">
            <w:pPr>
              <w:pStyle w:val="158"/>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tc>
      </w:tr>
    </w:tbl>
    <w:p w14:paraId="45629E32">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299E5648">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14:paraId="046FEDF8">
      <w:pPr>
        <w:spacing w:line="360" w:lineRule="auto"/>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lang w:val="zh-CN"/>
        </w:rPr>
        <w:t xml:space="preserve">                   日期：  年  月  日</w:t>
      </w:r>
    </w:p>
    <w:p w14:paraId="340F3E9C">
      <w:pP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br w:type="page"/>
      </w:r>
    </w:p>
    <w:p w14:paraId="2B24D514">
      <w:pPr>
        <w:ind w:firstLine="2891" w:firstLineChars="900"/>
        <w:jc w:val="both"/>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三、</w:t>
      </w:r>
      <w:r>
        <w:rPr>
          <w:rFonts w:hint="eastAsia" w:ascii="仿宋_GB2312" w:hAnsi="仿宋" w:eastAsia="仿宋_GB2312" w:cs="仿宋_GB2312"/>
          <w:b/>
          <w:color w:val="auto"/>
          <w:kern w:val="0"/>
          <w:sz w:val="32"/>
          <w:szCs w:val="32"/>
          <w:highlight w:val="none"/>
        </w:rPr>
        <w:t>供应商基本情况表</w:t>
      </w:r>
    </w:p>
    <w:p w14:paraId="13208C14">
      <w:pPr>
        <w:jc w:val="center"/>
        <w:outlineLvl w:val="2"/>
        <w:rPr>
          <w:rFonts w:hint="eastAsia" w:ascii="仿宋_GB2312" w:hAnsi="仿宋" w:eastAsia="仿宋_GB2312" w:cs="仿宋_GB2312"/>
          <w:b/>
          <w:color w:val="auto"/>
          <w:kern w:val="0"/>
          <w:sz w:val="32"/>
          <w:szCs w:val="32"/>
          <w:highlight w:val="none"/>
        </w:rPr>
      </w:pPr>
    </w:p>
    <w:tbl>
      <w:tblPr>
        <w:tblStyle w:val="70"/>
        <w:tblpPr w:leftFromText="180" w:rightFromText="180" w:vertAnchor="text" w:horzAnchor="page" w:tblpXSpec="center" w:tblpY="504"/>
        <w:tblOverlap w:val="never"/>
        <w:tblW w:w="9735"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708"/>
        <w:gridCol w:w="1735"/>
        <w:gridCol w:w="3135"/>
      </w:tblGrid>
      <w:tr w14:paraId="10C2433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35" w:type="dxa"/>
            <w:gridSpan w:val="4"/>
            <w:tcBorders>
              <w:top w:val="thinThickSmallGap" w:color="auto" w:sz="12" w:space="0"/>
            </w:tcBorders>
            <w:noWrap/>
            <w:vAlign w:val="center"/>
          </w:tcPr>
          <w:p w14:paraId="0031D275">
            <w:pPr>
              <w:snapToGrid w:val="0"/>
              <w:spacing w:before="93" w:after="93" w:line="40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信息</w:t>
            </w:r>
          </w:p>
        </w:tc>
      </w:tr>
      <w:tr w14:paraId="384A937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25D273BB">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企业名称</w:t>
            </w:r>
          </w:p>
        </w:tc>
        <w:tc>
          <w:tcPr>
            <w:tcW w:w="7578" w:type="dxa"/>
            <w:gridSpan w:val="3"/>
            <w:noWrap/>
            <w:vAlign w:val="center"/>
          </w:tcPr>
          <w:p w14:paraId="16BC4A39">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091884E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45E5E094">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性质</w:t>
            </w:r>
          </w:p>
        </w:tc>
        <w:tc>
          <w:tcPr>
            <w:tcW w:w="7578" w:type="dxa"/>
            <w:gridSpan w:val="3"/>
            <w:noWrap/>
            <w:vAlign w:val="center"/>
          </w:tcPr>
          <w:p w14:paraId="39BE1B47">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个人□</w:t>
            </w:r>
          </w:p>
        </w:tc>
      </w:tr>
      <w:tr w14:paraId="320EFB9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7D5FD3CA">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统一社会信用代码</w:t>
            </w:r>
          </w:p>
        </w:tc>
        <w:tc>
          <w:tcPr>
            <w:tcW w:w="2708" w:type="dxa"/>
            <w:noWrap/>
            <w:vAlign w:val="center"/>
          </w:tcPr>
          <w:p w14:paraId="41D8DBB7">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75FBCD82">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注册资金</w:t>
            </w:r>
          </w:p>
        </w:tc>
        <w:tc>
          <w:tcPr>
            <w:tcW w:w="3135" w:type="dxa"/>
            <w:noWrap/>
            <w:vAlign w:val="center"/>
          </w:tcPr>
          <w:p w14:paraId="391BDA3F">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75994B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0C16D401">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w:t>
            </w:r>
          </w:p>
        </w:tc>
        <w:tc>
          <w:tcPr>
            <w:tcW w:w="2708" w:type="dxa"/>
            <w:noWrap/>
            <w:vAlign w:val="center"/>
          </w:tcPr>
          <w:p w14:paraId="2E913C13">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58183712">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身份证号码</w:t>
            </w:r>
          </w:p>
        </w:tc>
        <w:tc>
          <w:tcPr>
            <w:tcW w:w="3135" w:type="dxa"/>
            <w:noWrap/>
            <w:vAlign w:val="center"/>
          </w:tcPr>
          <w:p w14:paraId="2C88FC01">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42BE63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77D84B55">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通信地址</w:t>
            </w:r>
          </w:p>
        </w:tc>
        <w:tc>
          <w:tcPr>
            <w:tcW w:w="2708" w:type="dxa"/>
            <w:noWrap/>
            <w:vAlign w:val="center"/>
          </w:tcPr>
          <w:p w14:paraId="0FCA780B">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0AF2C403">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邮政编码</w:t>
            </w:r>
          </w:p>
        </w:tc>
        <w:tc>
          <w:tcPr>
            <w:tcW w:w="3135" w:type="dxa"/>
            <w:noWrap/>
            <w:vAlign w:val="center"/>
          </w:tcPr>
          <w:p w14:paraId="4AB0D3EA">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0906AA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34CC0DA4">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公司电话</w:t>
            </w:r>
          </w:p>
        </w:tc>
        <w:tc>
          <w:tcPr>
            <w:tcW w:w="2708" w:type="dxa"/>
            <w:noWrap/>
            <w:vAlign w:val="center"/>
          </w:tcPr>
          <w:p w14:paraId="1D829C76">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57EBD179">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传真</w:t>
            </w:r>
          </w:p>
        </w:tc>
        <w:tc>
          <w:tcPr>
            <w:tcW w:w="3135" w:type="dxa"/>
            <w:noWrap/>
            <w:vAlign w:val="center"/>
          </w:tcPr>
          <w:p w14:paraId="50D9A777">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3948EEA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27ABA13C">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公司网址</w:t>
            </w:r>
          </w:p>
        </w:tc>
        <w:tc>
          <w:tcPr>
            <w:tcW w:w="2708" w:type="dxa"/>
            <w:noWrap/>
            <w:vAlign w:val="center"/>
          </w:tcPr>
          <w:p w14:paraId="302FB27F">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6FB6E3D1">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3135" w:type="dxa"/>
            <w:noWrap/>
            <w:vAlign w:val="center"/>
          </w:tcPr>
          <w:p w14:paraId="5F15944D">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22ABA88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7AAC8BC8">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开户银行及账号</w:t>
            </w:r>
          </w:p>
        </w:tc>
        <w:tc>
          <w:tcPr>
            <w:tcW w:w="7578" w:type="dxa"/>
            <w:gridSpan w:val="3"/>
            <w:noWrap/>
            <w:vAlign w:val="center"/>
          </w:tcPr>
          <w:p w14:paraId="192EC21C">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752EF07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6BD231BA">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企业资质</w:t>
            </w:r>
          </w:p>
        </w:tc>
        <w:tc>
          <w:tcPr>
            <w:tcW w:w="7578" w:type="dxa"/>
            <w:gridSpan w:val="3"/>
            <w:noWrap/>
            <w:vAlign w:val="center"/>
          </w:tcPr>
          <w:p w14:paraId="00A6DD0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before="156" w:after="156" w:line="400" w:lineRule="exact"/>
              <w:ind w:firstLine="0" w:firstLineChars="0"/>
              <w:jc w:val="left"/>
              <w:rPr>
                <w:rFonts w:hint="eastAsia" w:ascii="仿宋_GB2312" w:hAnsi="仿宋_GB2312" w:eastAsia="仿宋_GB2312" w:cs="仿宋_GB2312"/>
                <w:b/>
                <w:color w:val="auto"/>
                <w:sz w:val="24"/>
                <w:szCs w:val="24"/>
              </w:rPr>
            </w:pPr>
          </w:p>
        </w:tc>
      </w:tr>
      <w:tr w14:paraId="1B83312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57" w:type="dxa"/>
            <w:noWrap/>
            <w:vAlign w:val="center"/>
          </w:tcPr>
          <w:p w14:paraId="2413F5C7">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权威认证</w:t>
            </w:r>
          </w:p>
        </w:tc>
        <w:tc>
          <w:tcPr>
            <w:tcW w:w="7578" w:type="dxa"/>
            <w:gridSpan w:val="3"/>
            <w:noWrap/>
            <w:vAlign w:val="center"/>
          </w:tcPr>
          <w:p w14:paraId="6176BF71">
            <w:pPr>
              <w:snapToGrid w:val="0"/>
              <w:spacing w:before="156" w:after="156" w:line="400" w:lineRule="exact"/>
              <w:ind w:firstLine="0" w:firstLineChars="0"/>
              <w:rPr>
                <w:rFonts w:hint="eastAsia" w:ascii="仿宋_GB2312" w:hAnsi="仿宋_GB2312" w:eastAsia="仿宋_GB2312" w:cs="仿宋_GB2312"/>
                <w:color w:val="auto"/>
                <w:sz w:val="24"/>
                <w:szCs w:val="24"/>
              </w:rPr>
            </w:pPr>
          </w:p>
        </w:tc>
      </w:tr>
      <w:tr w14:paraId="45DA299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1F745297">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企业获奖（如有）</w:t>
            </w:r>
          </w:p>
        </w:tc>
        <w:tc>
          <w:tcPr>
            <w:tcW w:w="7578" w:type="dxa"/>
            <w:gridSpan w:val="3"/>
            <w:noWrap/>
            <w:vAlign w:val="center"/>
          </w:tcPr>
          <w:p w14:paraId="1F58F801">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57D039C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157" w:type="dxa"/>
            <w:noWrap/>
            <w:vAlign w:val="center"/>
          </w:tcPr>
          <w:p w14:paraId="68BB388F">
            <w:pPr>
              <w:snapToGrid w:val="0"/>
              <w:spacing w:before="93" w:after="93" w:line="400" w:lineRule="exact"/>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7578" w:type="dxa"/>
            <w:gridSpan w:val="3"/>
            <w:noWrap/>
            <w:vAlign w:val="center"/>
          </w:tcPr>
          <w:p w14:paraId="2B62DD24">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6187FFE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35" w:type="dxa"/>
            <w:gridSpan w:val="4"/>
            <w:noWrap/>
            <w:vAlign w:val="center"/>
          </w:tcPr>
          <w:p w14:paraId="4804129C">
            <w:pPr>
              <w:snapToGrid w:val="0"/>
              <w:spacing w:before="93" w:after="93" w:line="40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投标人联系人信息</w:t>
            </w:r>
          </w:p>
        </w:tc>
      </w:tr>
      <w:tr w14:paraId="25FAB30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3E593549">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2708" w:type="dxa"/>
            <w:noWrap/>
            <w:vAlign w:val="center"/>
          </w:tcPr>
          <w:p w14:paraId="1B5AA6D8">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77C49A1B">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手机</w:t>
            </w:r>
          </w:p>
        </w:tc>
        <w:tc>
          <w:tcPr>
            <w:tcW w:w="3135" w:type="dxa"/>
            <w:noWrap/>
            <w:vAlign w:val="center"/>
          </w:tcPr>
          <w:p w14:paraId="68208CC9">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007C3E3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ign w:val="center"/>
          </w:tcPr>
          <w:p w14:paraId="31E52A2C">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固定电话</w:t>
            </w:r>
          </w:p>
        </w:tc>
        <w:tc>
          <w:tcPr>
            <w:tcW w:w="2708" w:type="dxa"/>
            <w:noWrap/>
            <w:vAlign w:val="center"/>
          </w:tcPr>
          <w:p w14:paraId="4D4D81D5">
            <w:pPr>
              <w:snapToGrid w:val="0"/>
              <w:spacing w:before="93" w:after="93" w:line="400" w:lineRule="exact"/>
              <w:ind w:firstLine="0" w:firstLineChars="0"/>
              <w:rPr>
                <w:rFonts w:hint="eastAsia" w:ascii="仿宋_GB2312" w:hAnsi="仿宋_GB2312" w:eastAsia="仿宋_GB2312" w:cs="仿宋_GB2312"/>
                <w:color w:val="auto"/>
                <w:sz w:val="24"/>
                <w:szCs w:val="24"/>
              </w:rPr>
            </w:pPr>
          </w:p>
        </w:tc>
        <w:tc>
          <w:tcPr>
            <w:tcW w:w="1735" w:type="dxa"/>
            <w:noWrap/>
            <w:vAlign w:val="center"/>
          </w:tcPr>
          <w:p w14:paraId="2326F2D2">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3135" w:type="dxa"/>
            <w:noWrap/>
            <w:vAlign w:val="center"/>
          </w:tcPr>
          <w:p w14:paraId="14E0A422">
            <w:pPr>
              <w:snapToGrid w:val="0"/>
              <w:spacing w:before="93" w:after="93" w:line="400" w:lineRule="exact"/>
              <w:ind w:firstLine="0" w:firstLineChars="0"/>
              <w:rPr>
                <w:rFonts w:hint="eastAsia" w:ascii="仿宋_GB2312" w:hAnsi="仿宋_GB2312" w:eastAsia="仿宋_GB2312" w:cs="仿宋_GB2312"/>
                <w:color w:val="auto"/>
                <w:sz w:val="24"/>
                <w:szCs w:val="24"/>
              </w:rPr>
            </w:pPr>
          </w:p>
        </w:tc>
      </w:tr>
      <w:tr w14:paraId="23BA095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35" w:type="dxa"/>
            <w:gridSpan w:val="4"/>
            <w:tcBorders>
              <w:bottom w:val="thinThickSmallGap" w:color="auto" w:sz="12" w:space="0"/>
            </w:tcBorders>
            <w:noWrap/>
            <w:vAlign w:val="center"/>
          </w:tcPr>
          <w:p w14:paraId="5EA34F86">
            <w:pPr>
              <w:snapToGrid w:val="0"/>
              <w:spacing w:before="93" w:after="93" w:line="40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企业简介：（可另附页或企业对外宣传手册）</w:t>
            </w:r>
          </w:p>
        </w:tc>
      </w:tr>
    </w:tbl>
    <w:p w14:paraId="78A3919D">
      <w:pPr>
        <w:jc w:val="both"/>
        <w:outlineLvl w:val="2"/>
        <w:rPr>
          <w:rFonts w:hint="eastAsia" w:ascii="仿宋_GB2312" w:hAnsi="仿宋_GB2312" w:eastAsia="仿宋_GB2312" w:cs="仿宋_GB2312"/>
          <w:b/>
          <w:color w:val="auto"/>
          <w:kern w:val="0"/>
          <w:sz w:val="24"/>
          <w:szCs w:val="24"/>
          <w:highlight w:val="none"/>
        </w:rPr>
      </w:pPr>
    </w:p>
    <w:p w14:paraId="554F57C5">
      <w:pPr>
        <w:jc w:val="center"/>
        <w:outlineLvl w:val="2"/>
        <w:rPr>
          <w:rFonts w:hint="eastAsia" w:ascii="仿宋_GB2312" w:hAnsi="仿宋_GB2312" w:eastAsia="仿宋_GB2312" w:cs="仿宋_GB2312"/>
          <w:b/>
          <w:color w:val="auto"/>
          <w:kern w:val="0"/>
          <w:sz w:val="24"/>
          <w:szCs w:val="24"/>
          <w:highlight w:val="none"/>
        </w:rPr>
      </w:pPr>
    </w:p>
    <w:p w14:paraId="6DEB45F8">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 xml:space="preserve">           </w:t>
      </w:r>
      <w:r>
        <w:rPr>
          <w:rFonts w:ascii="仿宋_GB2312" w:hAnsi="仿宋" w:eastAsia="仿宋_GB2312" w:cs="仿宋_GB2312"/>
          <w:color w:val="auto"/>
          <w:kern w:val="0"/>
          <w:sz w:val="24"/>
          <w:highlight w:val="none"/>
          <w:lang w:val="zh-CN"/>
        </w:rPr>
        <w:t xml:space="preserve"> 投标人名称(电子签名)：                              </w:t>
      </w:r>
    </w:p>
    <w:p w14:paraId="1D7C9734">
      <w:pPr>
        <w:spacing w:line="360" w:lineRule="auto"/>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lang w:val="zh-CN"/>
        </w:rPr>
        <w:t xml:space="preserve">                   日期：  年  月  日</w:t>
      </w:r>
    </w:p>
    <w:p w14:paraId="76AD3303">
      <w:pPr>
        <w:jc w:val="center"/>
        <w:outlineLvl w:val="2"/>
        <w:rPr>
          <w:rFonts w:hint="eastAsia" w:ascii="仿宋_GB2312" w:hAnsi="仿宋" w:eastAsia="仿宋_GB2312" w:cs="仿宋_GB2312"/>
          <w:b/>
          <w:color w:val="auto"/>
          <w:kern w:val="0"/>
          <w:sz w:val="32"/>
          <w:szCs w:val="32"/>
          <w:highlight w:val="none"/>
        </w:rPr>
      </w:pPr>
    </w:p>
    <w:p w14:paraId="45575C8D">
      <w:pPr>
        <w:jc w:val="center"/>
        <w:outlineLvl w:val="2"/>
        <w:rPr>
          <w:rFonts w:hint="eastAsia" w:ascii="仿宋_GB2312" w:hAnsi="仿宋" w:eastAsia="仿宋_GB2312" w:cs="仿宋_GB2312"/>
          <w:b/>
          <w:color w:val="auto"/>
          <w:kern w:val="0"/>
          <w:sz w:val="32"/>
          <w:szCs w:val="32"/>
          <w:highlight w:val="none"/>
        </w:rPr>
      </w:pPr>
    </w:p>
    <w:p w14:paraId="2E33A407">
      <w:pPr>
        <w:jc w:val="both"/>
        <w:outlineLvl w:val="2"/>
        <w:rPr>
          <w:rFonts w:hint="eastAsia" w:ascii="仿宋_GB2312" w:hAnsi="仿宋" w:eastAsia="仿宋_GB2312" w:cs="仿宋_GB2312"/>
          <w:b/>
          <w:color w:val="auto"/>
          <w:kern w:val="0"/>
          <w:sz w:val="32"/>
          <w:szCs w:val="32"/>
          <w:highlight w:val="none"/>
        </w:rPr>
      </w:pPr>
    </w:p>
    <w:p w14:paraId="21C32624">
      <w:pPr>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、符合性审查资料</w:t>
      </w:r>
    </w:p>
    <w:p w14:paraId="25F557D4">
      <w:pPr>
        <w:jc w:val="center"/>
        <w:rPr>
          <w:rFonts w:ascii="仿宋_GB2312" w:hAnsi="仿宋" w:eastAsia="仿宋_GB2312" w:cs="仿宋_GB2312"/>
          <w:b/>
          <w:color w:val="auto"/>
          <w:kern w:val="0"/>
          <w:sz w:val="32"/>
          <w:szCs w:val="32"/>
          <w:highlight w:val="none"/>
        </w:rPr>
      </w:pPr>
    </w:p>
    <w:tbl>
      <w:tblPr>
        <w:tblStyle w:val="7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FB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ECC655">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14:paraId="550F33B4">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14:paraId="67D2E1EE">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14:paraId="2B2E1471">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14:paraId="57BFA91C">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14:paraId="1C5D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0C5539">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14:paraId="0E5EAA45">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14:paraId="092C1A8E">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14:paraId="12BD2C5D">
            <w:pPr>
              <w:rPr>
                <w:rFonts w:ascii="仿宋" w:hAnsi="仿宋" w:eastAsia="仿宋" w:cs="仿宋_GB2312"/>
                <w:color w:val="auto"/>
                <w:sz w:val="24"/>
                <w:highlight w:val="none"/>
              </w:rPr>
            </w:pPr>
          </w:p>
          <w:p w14:paraId="1F60661B">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089DC9C8">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4176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605365">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14:paraId="7C0FCE8B">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EF1E132">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w:t>
            </w:r>
          </w:p>
        </w:tc>
        <w:tc>
          <w:tcPr>
            <w:tcW w:w="1418" w:type="dxa"/>
          </w:tcPr>
          <w:p w14:paraId="7A077FB2">
            <w:pPr>
              <w:rPr>
                <w:rFonts w:ascii="仿宋" w:hAnsi="仿宋" w:eastAsia="仿宋" w:cs="仿宋_GB2312"/>
                <w:color w:val="auto"/>
                <w:sz w:val="24"/>
                <w:highlight w:val="none"/>
              </w:rPr>
            </w:pPr>
          </w:p>
          <w:p w14:paraId="37AD4631">
            <w:pPr>
              <w:rPr>
                <w:rFonts w:ascii="仿宋" w:hAnsi="仿宋" w:eastAsia="仿宋" w:cs="仿宋_GB2312"/>
                <w:color w:val="auto"/>
                <w:sz w:val="24"/>
                <w:highlight w:val="none"/>
              </w:rPr>
            </w:pPr>
          </w:p>
          <w:p w14:paraId="40A698F0">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604FBC38">
            <w:pPr>
              <w:pStyle w:val="4"/>
              <w:rPr>
                <w:color w:val="auto"/>
                <w:highlight w:val="none"/>
                <w:lang w:val="en-US"/>
              </w:rPr>
            </w:pPr>
            <w:r>
              <w:rPr>
                <w:rFonts w:hint="eastAsia" w:ascii="仿宋" w:cs="仿宋_GB2312"/>
                <w:b w:val="0"/>
                <w:bCs w:val="0"/>
                <w:color w:val="auto"/>
                <w:sz w:val="24"/>
                <w:szCs w:val="24"/>
                <w:highlight w:val="none"/>
                <w:lang w:val="en-US"/>
              </w:rPr>
              <w:t>第</w:t>
            </w:r>
            <w:r>
              <w:rPr>
                <w:rFonts w:ascii="仿宋" w:cs="仿宋_GB2312"/>
                <w:b w:val="0"/>
                <w:bCs w:val="0"/>
                <w:color w:val="auto"/>
                <w:sz w:val="24"/>
                <w:szCs w:val="24"/>
                <w:highlight w:val="none"/>
                <w:u w:val="single"/>
                <w:lang w:val="en-US"/>
              </w:rPr>
              <w:t xml:space="preserve">  </w:t>
            </w:r>
            <w:r>
              <w:rPr>
                <w:rFonts w:hint="eastAsia" w:ascii="仿宋" w:cs="仿宋_GB2312"/>
                <w:b w:val="0"/>
                <w:bCs w:val="0"/>
                <w:color w:val="auto"/>
                <w:sz w:val="24"/>
                <w:szCs w:val="24"/>
                <w:highlight w:val="none"/>
                <w:lang w:val="en-US"/>
              </w:rPr>
              <w:t>页</w:t>
            </w:r>
          </w:p>
        </w:tc>
      </w:tr>
      <w:tr w14:paraId="4825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384ACF">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14:paraId="3C269D8D">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14:paraId="0A0BDCAB">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14:paraId="13471275">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5A5F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F2FDFA">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14:paraId="3E1F196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14:paraId="5E8F4D0D">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14:paraId="5774B6CF">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69A7CCC1">
      <w:pPr>
        <w:jc w:val="center"/>
        <w:rPr>
          <w:rFonts w:ascii="仿宋_GB2312" w:hAnsi="仿宋" w:eastAsia="仿宋_GB2312" w:cs="仿宋_GB2312"/>
          <w:b/>
          <w:color w:val="auto"/>
          <w:kern w:val="0"/>
          <w:sz w:val="32"/>
          <w:szCs w:val="32"/>
          <w:highlight w:val="none"/>
        </w:rPr>
      </w:pPr>
    </w:p>
    <w:p w14:paraId="1798C3E4">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5E478B3F">
      <w:pPr>
        <w:jc w:val="center"/>
        <w:rPr>
          <w:rFonts w:ascii="仿宋_GB2312" w:hAnsi="仿宋" w:eastAsia="仿宋_GB2312" w:cs="仿宋_GB2312"/>
          <w:b/>
          <w:color w:val="auto"/>
          <w:kern w:val="0"/>
          <w:sz w:val="32"/>
          <w:szCs w:val="32"/>
          <w:highlight w:val="none"/>
        </w:rPr>
      </w:pPr>
    </w:p>
    <w:p w14:paraId="36D92DF8">
      <w:pPr>
        <w:jc w:val="center"/>
        <w:rPr>
          <w:rFonts w:ascii="仿宋_GB2312" w:hAnsi="仿宋" w:eastAsia="仿宋_GB2312" w:cs="仿宋_GB2312"/>
          <w:b/>
          <w:color w:val="auto"/>
          <w:kern w:val="0"/>
          <w:sz w:val="32"/>
          <w:szCs w:val="32"/>
          <w:highlight w:val="none"/>
        </w:rPr>
      </w:pPr>
    </w:p>
    <w:p w14:paraId="3F0C99AE">
      <w:pPr>
        <w:jc w:val="center"/>
        <w:rPr>
          <w:rFonts w:ascii="仿宋_GB2312" w:hAnsi="仿宋" w:eastAsia="仿宋_GB2312" w:cs="仿宋_GB2312"/>
          <w:b/>
          <w:color w:val="auto"/>
          <w:kern w:val="0"/>
          <w:sz w:val="32"/>
          <w:szCs w:val="32"/>
          <w:highlight w:val="none"/>
        </w:rPr>
      </w:pPr>
    </w:p>
    <w:p w14:paraId="57463627">
      <w:pPr>
        <w:jc w:val="center"/>
        <w:rPr>
          <w:rFonts w:ascii="仿宋_GB2312" w:hAnsi="仿宋" w:eastAsia="仿宋_GB2312" w:cs="仿宋_GB2312"/>
          <w:b/>
          <w:color w:val="auto"/>
          <w:kern w:val="0"/>
          <w:sz w:val="32"/>
          <w:szCs w:val="32"/>
          <w:highlight w:val="none"/>
        </w:rPr>
      </w:pPr>
    </w:p>
    <w:p w14:paraId="71F90BA1">
      <w:pPr>
        <w:jc w:val="center"/>
        <w:rPr>
          <w:rFonts w:ascii="仿宋_GB2312" w:hAnsi="仿宋" w:eastAsia="仿宋_GB2312" w:cs="仿宋_GB2312"/>
          <w:b/>
          <w:color w:val="auto"/>
          <w:kern w:val="0"/>
          <w:sz w:val="32"/>
          <w:szCs w:val="32"/>
          <w:highlight w:val="none"/>
        </w:rPr>
      </w:pPr>
    </w:p>
    <w:p w14:paraId="093B9AB7">
      <w:pPr>
        <w:jc w:val="center"/>
        <w:rPr>
          <w:rFonts w:ascii="仿宋_GB2312" w:hAnsi="仿宋" w:eastAsia="仿宋_GB2312" w:cs="仿宋_GB2312"/>
          <w:b/>
          <w:color w:val="auto"/>
          <w:kern w:val="0"/>
          <w:sz w:val="32"/>
          <w:szCs w:val="32"/>
          <w:highlight w:val="none"/>
        </w:rPr>
      </w:pPr>
    </w:p>
    <w:p w14:paraId="214C1CDF">
      <w:pPr>
        <w:jc w:val="center"/>
        <w:rPr>
          <w:rFonts w:ascii="仿宋_GB2312" w:hAnsi="仿宋" w:eastAsia="仿宋_GB2312" w:cs="仿宋_GB2312"/>
          <w:b/>
          <w:color w:val="auto"/>
          <w:kern w:val="0"/>
          <w:sz w:val="32"/>
          <w:szCs w:val="32"/>
          <w:highlight w:val="none"/>
        </w:rPr>
      </w:pPr>
    </w:p>
    <w:p w14:paraId="7BED7154">
      <w:pPr>
        <w:jc w:val="center"/>
        <w:rPr>
          <w:rFonts w:ascii="仿宋_GB2312" w:hAnsi="仿宋" w:eastAsia="仿宋_GB2312" w:cs="仿宋_GB2312"/>
          <w:b/>
          <w:color w:val="auto"/>
          <w:kern w:val="0"/>
          <w:sz w:val="32"/>
          <w:szCs w:val="32"/>
          <w:highlight w:val="none"/>
        </w:rPr>
      </w:pPr>
    </w:p>
    <w:p w14:paraId="1FB92C10">
      <w:pPr>
        <w:jc w:val="center"/>
        <w:rPr>
          <w:rFonts w:ascii="仿宋_GB2312" w:hAnsi="仿宋" w:eastAsia="仿宋_GB2312" w:cs="仿宋_GB2312"/>
          <w:b/>
          <w:color w:val="auto"/>
          <w:kern w:val="0"/>
          <w:sz w:val="32"/>
          <w:szCs w:val="32"/>
          <w:highlight w:val="none"/>
        </w:rPr>
      </w:pPr>
    </w:p>
    <w:p w14:paraId="556DACA4">
      <w:pPr>
        <w:jc w:val="center"/>
        <w:rPr>
          <w:rFonts w:ascii="仿宋_GB2312" w:hAnsi="仿宋" w:eastAsia="仿宋_GB2312" w:cs="仿宋_GB2312"/>
          <w:b/>
          <w:color w:val="auto"/>
          <w:kern w:val="0"/>
          <w:sz w:val="32"/>
          <w:szCs w:val="32"/>
          <w:highlight w:val="none"/>
        </w:rPr>
      </w:pPr>
    </w:p>
    <w:p w14:paraId="68F42CD6">
      <w:pPr>
        <w:jc w:val="center"/>
        <w:rPr>
          <w:rFonts w:ascii="仿宋_GB2312" w:hAnsi="仿宋" w:eastAsia="仿宋_GB2312" w:cs="仿宋_GB2312"/>
          <w:b/>
          <w:color w:val="auto"/>
          <w:kern w:val="0"/>
          <w:sz w:val="32"/>
          <w:szCs w:val="32"/>
          <w:highlight w:val="none"/>
        </w:rPr>
      </w:pPr>
    </w:p>
    <w:p w14:paraId="6E5FBD0B">
      <w:pPr>
        <w:jc w:val="center"/>
        <w:rPr>
          <w:rFonts w:ascii="仿宋_GB2312" w:hAnsi="仿宋" w:eastAsia="仿宋_GB2312" w:cs="仿宋_GB2312"/>
          <w:b/>
          <w:color w:val="auto"/>
          <w:kern w:val="0"/>
          <w:sz w:val="32"/>
          <w:szCs w:val="32"/>
          <w:highlight w:val="none"/>
        </w:rPr>
      </w:pPr>
    </w:p>
    <w:p w14:paraId="68A9BCB0">
      <w:pPr>
        <w:jc w:val="center"/>
        <w:rPr>
          <w:rFonts w:ascii="仿宋_GB2312" w:hAnsi="仿宋" w:eastAsia="仿宋_GB2312" w:cs="仿宋_GB2312"/>
          <w:b/>
          <w:color w:val="auto"/>
          <w:kern w:val="0"/>
          <w:sz w:val="32"/>
          <w:szCs w:val="32"/>
          <w:highlight w:val="none"/>
        </w:rPr>
      </w:pPr>
    </w:p>
    <w:p w14:paraId="3B7B52D0">
      <w:pPr>
        <w:jc w:val="center"/>
        <w:rPr>
          <w:rFonts w:ascii="仿宋_GB2312" w:hAnsi="仿宋" w:eastAsia="仿宋_GB2312" w:cs="仿宋_GB2312"/>
          <w:b/>
          <w:color w:val="auto"/>
          <w:kern w:val="0"/>
          <w:sz w:val="32"/>
          <w:szCs w:val="32"/>
          <w:highlight w:val="none"/>
        </w:rPr>
      </w:pPr>
    </w:p>
    <w:p w14:paraId="74F5D5B6">
      <w:pPr>
        <w:jc w:val="center"/>
        <w:outlineLvl w:val="2"/>
        <w:rPr>
          <w:color w:val="auto"/>
          <w:highlight w:val="none"/>
        </w:rPr>
      </w:pPr>
      <w:r>
        <w:rPr>
          <w:rFonts w:hint="eastAsia" w:ascii="仿宋_GB2312" w:hAnsi="仿宋" w:eastAsia="仿宋_GB2312" w:cs="仿宋_GB2312"/>
          <w:b/>
          <w:color w:val="auto"/>
          <w:kern w:val="0"/>
          <w:sz w:val="32"/>
          <w:szCs w:val="32"/>
          <w:highlight w:val="none"/>
          <w:lang w:eastAsia="zh-CN"/>
        </w:rPr>
        <w:t>五</w:t>
      </w:r>
      <w:r>
        <w:rPr>
          <w:rFonts w:hint="eastAsia" w:ascii="仿宋_GB2312" w:hAnsi="仿宋" w:eastAsia="仿宋_GB2312" w:cs="仿宋_GB2312"/>
          <w:b/>
          <w:color w:val="auto"/>
          <w:kern w:val="0"/>
          <w:sz w:val="32"/>
          <w:szCs w:val="32"/>
          <w:highlight w:val="none"/>
        </w:rPr>
        <w:t>、评标标准相应的商务技术资料</w:t>
      </w:r>
    </w:p>
    <w:p w14:paraId="004A1DB7">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5A1273F9">
      <w:pPr>
        <w:jc w:val="center"/>
        <w:rPr>
          <w:rFonts w:ascii="仿宋_GB2312" w:hAnsi="仿宋" w:eastAsia="仿宋_GB2312" w:cs="仿宋_GB2312"/>
          <w:b/>
          <w:color w:val="auto"/>
          <w:kern w:val="0"/>
          <w:sz w:val="32"/>
          <w:szCs w:val="32"/>
          <w:highlight w:val="none"/>
        </w:rPr>
      </w:pPr>
    </w:p>
    <w:p w14:paraId="03FB4E39">
      <w:pPr>
        <w:jc w:val="center"/>
        <w:rPr>
          <w:rFonts w:ascii="仿宋_GB2312" w:hAnsi="仿宋" w:eastAsia="仿宋_GB2312" w:cs="仿宋_GB2312"/>
          <w:b/>
          <w:color w:val="auto"/>
          <w:kern w:val="0"/>
          <w:sz w:val="32"/>
          <w:szCs w:val="32"/>
          <w:highlight w:val="none"/>
        </w:rPr>
      </w:pPr>
    </w:p>
    <w:p w14:paraId="574D873A">
      <w:pPr>
        <w:jc w:val="center"/>
        <w:rPr>
          <w:rFonts w:ascii="仿宋_GB2312" w:hAnsi="仿宋" w:eastAsia="仿宋_GB2312" w:cs="仿宋_GB2312"/>
          <w:b/>
          <w:color w:val="auto"/>
          <w:kern w:val="0"/>
          <w:sz w:val="32"/>
          <w:szCs w:val="32"/>
          <w:highlight w:val="none"/>
        </w:rPr>
      </w:pPr>
    </w:p>
    <w:p w14:paraId="180DD073">
      <w:pPr>
        <w:jc w:val="center"/>
        <w:rPr>
          <w:rFonts w:ascii="仿宋_GB2312" w:hAnsi="仿宋" w:eastAsia="仿宋_GB2312" w:cs="仿宋_GB2312"/>
          <w:b/>
          <w:color w:val="auto"/>
          <w:kern w:val="0"/>
          <w:sz w:val="32"/>
          <w:szCs w:val="32"/>
          <w:highlight w:val="none"/>
        </w:rPr>
      </w:pPr>
    </w:p>
    <w:p w14:paraId="255889CC">
      <w:pPr>
        <w:pStyle w:val="67"/>
        <w:rPr>
          <w:rFonts w:ascii="仿宋_GB2312" w:hAnsi="仿宋" w:eastAsia="仿宋_GB2312" w:cs="仿宋_GB2312"/>
          <w:b/>
          <w:color w:val="auto"/>
          <w:kern w:val="0"/>
          <w:sz w:val="32"/>
          <w:szCs w:val="32"/>
          <w:highlight w:val="none"/>
        </w:rPr>
      </w:pPr>
    </w:p>
    <w:p w14:paraId="5CE05494">
      <w:pPr>
        <w:rPr>
          <w:rFonts w:ascii="仿宋_GB2312" w:hAnsi="仿宋" w:eastAsia="仿宋_GB2312" w:cs="仿宋_GB2312"/>
          <w:b/>
          <w:color w:val="auto"/>
          <w:kern w:val="0"/>
          <w:sz w:val="32"/>
          <w:szCs w:val="32"/>
          <w:highlight w:val="none"/>
        </w:rPr>
      </w:pPr>
    </w:p>
    <w:p w14:paraId="39286CBC">
      <w:pPr>
        <w:pStyle w:val="67"/>
        <w:rPr>
          <w:rFonts w:ascii="仿宋_GB2312" w:hAnsi="仿宋" w:eastAsia="仿宋_GB2312" w:cs="仿宋_GB2312"/>
          <w:b/>
          <w:color w:val="auto"/>
          <w:kern w:val="0"/>
          <w:sz w:val="32"/>
          <w:szCs w:val="32"/>
          <w:highlight w:val="none"/>
        </w:rPr>
      </w:pPr>
    </w:p>
    <w:p w14:paraId="759B0322">
      <w:pPr>
        <w:rPr>
          <w:rFonts w:ascii="仿宋_GB2312" w:hAnsi="仿宋" w:eastAsia="仿宋_GB2312" w:cs="仿宋_GB2312"/>
          <w:b/>
          <w:color w:val="auto"/>
          <w:kern w:val="0"/>
          <w:sz w:val="32"/>
          <w:szCs w:val="32"/>
          <w:highlight w:val="none"/>
        </w:rPr>
      </w:pPr>
    </w:p>
    <w:p w14:paraId="622BD68F">
      <w:pPr>
        <w:pStyle w:val="67"/>
        <w:rPr>
          <w:rFonts w:ascii="仿宋_GB2312" w:hAnsi="仿宋" w:eastAsia="仿宋_GB2312" w:cs="仿宋_GB2312"/>
          <w:b/>
          <w:color w:val="auto"/>
          <w:kern w:val="0"/>
          <w:sz w:val="32"/>
          <w:szCs w:val="32"/>
          <w:highlight w:val="none"/>
        </w:rPr>
      </w:pPr>
    </w:p>
    <w:p w14:paraId="6911B616">
      <w:pPr>
        <w:rPr>
          <w:rFonts w:ascii="仿宋_GB2312" w:hAnsi="仿宋" w:eastAsia="仿宋_GB2312" w:cs="仿宋_GB2312"/>
          <w:b/>
          <w:color w:val="auto"/>
          <w:kern w:val="0"/>
          <w:sz w:val="32"/>
          <w:szCs w:val="32"/>
          <w:highlight w:val="none"/>
        </w:rPr>
      </w:pPr>
    </w:p>
    <w:p w14:paraId="2AB7B13F">
      <w:pPr>
        <w:pStyle w:val="67"/>
        <w:rPr>
          <w:rFonts w:ascii="仿宋_GB2312" w:hAnsi="仿宋" w:eastAsia="仿宋_GB2312" w:cs="仿宋_GB2312"/>
          <w:b/>
          <w:color w:val="auto"/>
          <w:kern w:val="0"/>
          <w:sz w:val="32"/>
          <w:szCs w:val="32"/>
          <w:highlight w:val="none"/>
        </w:rPr>
      </w:pPr>
    </w:p>
    <w:p w14:paraId="137C78EF">
      <w:pPr>
        <w:rPr>
          <w:rFonts w:ascii="仿宋_GB2312" w:hAnsi="仿宋" w:eastAsia="仿宋_GB2312" w:cs="仿宋_GB2312"/>
          <w:b/>
          <w:color w:val="auto"/>
          <w:kern w:val="0"/>
          <w:sz w:val="32"/>
          <w:szCs w:val="32"/>
          <w:highlight w:val="none"/>
        </w:rPr>
      </w:pPr>
    </w:p>
    <w:p w14:paraId="42FCFFCB">
      <w:pPr>
        <w:pStyle w:val="67"/>
        <w:rPr>
          <w:rFonts w:ascii="仿宋_GB2312" w:hAnsi="仿宋" w:eastAsia="仿宋_GB2312" w:cs="仿宋_GB2312"/>
          <w:b/>
          <w:color w:val="auto"/>
          <w:kern w:val="0"/>
          <w:sz w:val="32"/>
          <w:szCs w:val="32"/>
          <w:highlight w:val="none"/>
        </w:rPr>
      </w:pPr>
    </w:p>
    <w:p w14:paraId="2F0EB774">
      <w:pPr>
        <w:rPr>
          <w:rFonts w:ascii="仿宋_GB2312" w:hAnsi="仿宋" w:eastAsia="仿宋_GB2312" w:cs="仿宋_GB2312"/>
          <w:b/>
          <w:color w:val="auto"/>
          <w:kern w:val="0"/>
          <w:sz w:val="32"/>
          <w:szCs w:val="32"/>
          <w:highlight w:val="none"/>
        </w:rPr>
      </w:pPr>
    </w:p>
    <w:p w14:paraId="12E3C457">
      <w:pPr>
        <w:pStyle w:val="67"/>
      </w:pPr>
    </w:p>
    <w:p w14:paraId="0B9E510C">
      <w:pPr>
        <w:jc w:val="center"/>
        <w:rPr>
          <w:rFonts w:ascii="仿宋_GB2312" w:hAnsi="仿宋" w:eastAsia="仿宋_GB2312" w:cs="仿宋_GB2312"/>
          <w:b/>
          <w:color w:val="auto"/>
          <w:kern w:val="0"/>
          <w:sz w:val="32"/>
          <w:szCs w:val="32"/>
          <w:highlight w:val="none"/>
        </w:rPr>
      </w:pPr>
    </w:p>
    <w:p w14:paraId="1EF13ABB">
      <w:pPr>
        <w:jc w:val="center"/>
        <w:rPr>
          <w:rFonts w:ascii="仿宋_GB2312" w:hAnsi="仿宋" w:eastAsia="仿宋_GB2312" w:cs="仿宋_GB2312"/>
          <w:b/>
          <w:color w:val="auto"/>
          <w:kern w:val="0"/>
          <w:sz w:val="32"/>
          <w:szCs w:val="32"/>
          <w:highlight w:val="none"/>
        </w:rPr>
      </w:pPr>
    </w:p>
    <w:p w14:paraId="525681E5">
      <w:pPr>
        <w:jc w:val="center"/>
        <w:rPr>
          <w:rFonts w:ascii="仿宋_GB2312" w:hAnsi="仿宋" w:eastAsia="仿宋_GB2312" w:cs="仿宋_GB2312"/>
          <w:b/>
          <w:color w:val="auto"/>
          <w:kern w:val="0"/>
          <w:sz w:val="32"/>
          <w:szCs w:val="32"/>
          <w:highlight w:val="none"/>
        </w:rPr>
      </w:pPr>
    </w:p>
    <w:p w14:paraId="11830A42">
      <w:pPr>
        <w:jc w:val="center"/>
        <w:rPr>
          <w:rFonts w:ascii="仿宋_GB2312" w:hAnsi="仿宋" w:eastAsia="仿宋_GB2312" w:cs="仿宋_GB2312"/>
          <w:b/>
          <w:color w:val="auto"/>
          <w:kern w:val="0"/>
          <w:sz w:val="32"/>
          <w:szCs w:val="32"/>
          <w:highlight w:val="none"/>
        </w:rPr>
      </w:pPr>
    </w:p>
    <w:p w14:paraId="3B468C0E">
      <w:pPr>
        <w:jc w:val="center"/>
        <w:rPr>
          <w:rFonts w:ascii="仿宋_GB2312" w:hAnsi="仿宋" w:eastAsia="仿宋_GB2312" w:cs="仿宋_GB2312"/>
          <w:b/>
          <w:color w:val="auto"/>
          <w:kern w:val="0"/>
          <w:sz w:val="32"/>
          <w:szCs w:val="32"/>
          <w:highlight w:val="none"/>
        </w:rPr>
      </w:pPr>
    </w:p>
    <w:p w14:paraId="0269BDE9">
      <w:pPr>
        <w:jc w:val="center"/>
        <w:rPr>
          <w:rFonts w:ascii="仿宋_GB2312" w:hAnsi="仿宋" w:eastAsia="仿宋_GB2312" w:cs="仿宋_GB2312"/>
          <w:b/>
          <w:color w:val="auto"/>
          <w:kern w:val="0"/>
          <w:sz w:val="32"/>
          <w:szCs w:val="32"/>
          <w:highlight w:val="none"/>
        </w:rPr>
      </w:pPr>
    </w:p>
    <w:p w14:paraId="50B5CDC2">
      <w:pPr>
        <w:pStyle w:val="67"/>
        <w:ind w:left="0" w:leftChars="0" w:firstLine="0" w:firstLineChars="0"/>
        <w:rPr>
          <w:color w:val="auto"/>
          <w:highlight w:val="none"/>
        </w:rPr>
      </w:pPr>
    </w:p>
    <w:p w14:paraId="2B6600EE">
      <w:pPr>
        <w:jc w:val="center"/>
        <w:rPr>
          <w:rFonts w:ascii="仿宋_GB2312" w:hAnsi="仿宋" w:eastAsia="仿宋_GB2312" w:cs="仿宋_GB2312"/>
          <w:b/>
          <w:color w:val="auto"/>
          <w:kern w:val="0"/>
          <w:sz w:val="32"/>
          <w:szCs w:val="32"/>
          <w:highlight w:val="none"/>
        </w:rPr>
      </w:pPr>
    </w:p>
    <w:p w14:paraId="04D56DD9">
      <w:pPr>
        <w:jc w:val="center"/>
        <w:rPr>
          <w:rFonts w:ascii="仿宋_GB2312" w:hAnsi="仿宋" w:eastAsia="仿宋_GB2312" w:cs="仿宋_GB2312"/>
          <w:b/>
          <w:color w:val="auto"/>
          <w:kern w:val="0"/>
          <w:sz w:val="32"/>
          <w:szCs w:val="32"/>
          <w:highlight w:val="none"/>
        </w:rPr>
      </w:pPr>
    </w:p>
    <w:p w14:paraId="6ECEA9FC">
      <w:pPr>
        <w:pStyle w:val="67"/>
      </w:pPr>
    </w:p>
    <w:p w14:paraId="732E2BE9">
      <w:pPr>
        <w:jc w:val="center"/>
        <w:rPr>
          <w:rFonts w:ascii="仿宋_GB2312" w:hAnsi="仿宋" w:eastAsia="仿宋_GB2312" w:cs="仿宋_GB2312"/>
          <w:b/>
          <w:color w:val="auto"/>
          <w:kern w:val="0"/>
          <w:sz w:val="32"/>
          <w:szCs w:val="32"/>
          <w:highlight w:val="none"/>
        </w:rPr>
      </w:pPr>
    </w:p>
    <w:p w14:paraId="00EF7A31">
      <w:pPr>
        <w:jc w:val="center"/>
        <w:rPr>
          <w:rFonts w:ascii="仿宋_GB2312" w:hAnsi="仿宋" w:eastAsia="仿宋_GB2312" w:cs="仿宋_GB2312"/>
          <w:b/>
          <w:color w:val="auto"/>
          <w:kern w:val="0"/>
          <w:sz w:val="32"/>
          <w:szCs w:val="32"/>
          <w:highlight w:val="none"/>
        </w:rPr>
      </w:pPr>
    </w:p>
    <w:p w14:paraId="1629E389">
      <w:pPr>
        <w:jc w:val="center"/>
        <w:rPr>
          <w:rFonts w:ascii="仿宋_GB2312" w:hAnsi="仿宋" w:eastAsia="仿宋_GB2312" w:cs="仿宋_GB2312"/>
          <w:b/>
          <w:color w:val="auto"/>
          <w:kern w:val="0"/>
          <w:sz w:val="32"/>
          <w:szCs w:val="32"/>
          <w:highlight w:val="none"/>
        </w:rPr>
      </w:pPr>
    </w:p>
    <w:p w14:paraId="3005E73A">
      <w:pPr>
        <w:jc w:val="center"/>
        <w:outlineLvl w:val="2"/>
        <w:rPr>
          <w:rFonts w:hint="eastAsia" w:ascii="仿宋_GB2312" w:hAnsi="仿宋" w:eastAsia="仿宋_GB2312" w:cs="仿宋_GB2312"/>
          <w:b/>
          <w:color w:val="auto"/>
          <w:kern w:val="0"/>
          <w:sz w:val="32"/>
          <w:szCs w:val="32"/>
          <w:highlight w:val="none"/>
          <w:lang w:eastAsia="zh-CN"/>
        </w:rPr>
      </w:pPr>
    </w:p>
    <w:p w14:paraId="5750CBDA">
      <w:pPr>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六</w:t>
      </w:r>
      <w:r>
        <w:rPr>
          <w:rFonts w:hint="eastAsia" w:ascii="仿宋_GB2312" w:hAnsi="仿宋" w:eastAsia="仿宋_GB2312" w:cs="仿宋_GB2312"/>
          <w:b/>
          <w:color w:val="auto"/>
          <w:kern w:val="0"/>
          <w:sz w:val="32"/>
          <w:szCs w:val="32"/>
          <w:highlight w:val="none"/>
        </w:rPr>
        <w:t>、商务技术偏离表</w:t>
      </w:r>
    </w:p>
    <w:tbl>
      <w:tblPr>
        <w:tblStyle w:val="7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14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9D7107">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6A8974E4">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73A9916D">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7F9674A9">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1DB4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1AEDDB">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00595B11">
            <w:pPr>
              <w:jc w:val="center"/>
              <w:rPr>
                <w:rFonts w:ascii="仿宋_GB2312" w:hAnsi="仿宋" w:eastAsia="仿宋_GB2312" w:cs="仿宋_GB2312"/>
                <w:b/>
                <w:color w:val="auto"/>
                <w:kern w:val="0"/>
                <w:sz w:val="32"/>
                <w:szCs w:val="32"/>
                <w:highlight w:val="none"/>
              </w:rPr>
            </w:pPr>
          </w:p>
        </w:tc>
        <w:tc>
          <w:tcPr>
            <w:tcW w:w="3546" w:type="dxa"/>
          </w:tcPr>
          <w:p w14:paraId="57282E7C">
            <w:pPr>
              <w:jc w:val="center"/>
              <w:rPr>
                <w:rFonts w:ascii="仿宋_GB2312" w:hAnsi="仿宋" w:eastAsia="仿宋_GB2312" w:cs="仿宋_GB2312"/>
                <w:b/>
                <w:color w:val="auto"/>
                <w:kern w:val="0"/>
                <w:sz w:val="32"/>
                <w:szCs w:val="32"/>
                <w:highlight w:val="none"/>
              </w:rPr>
            </w:pPr>
          </w:p>
        </w:tc>
        <w:tc>
          <w:tcPr>
            <w:tcW w:w="1276" w:type="dxa"/>
          </w:tcPr>
          <w:p w14:paraId="343A56A9">
            <w:pPr>
              <w:jc w:val="center"/>
              <w:rPr>
                <w:rFonts w:ascii="仿宋_GB2312" w:hAnsi="仿宋" w:eastAsia="仿宋_GB2312" w:cs="仿宋_GB2312"/>
                <w:b/>
                <w:color w:val="auto"/>
                <w:kern w:val="0"/>
                <w:sz w:val="32"/>
                <w:szCs w:val="32"/>
                <w:highlight w:val="none"/>
              </w:rPr>
            </w:pPr>
          </w:p>
        </w:tc>
      </w:tr>
      <w:tr w14:paraId="085E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A47DE5">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29594D4F">
            <w:pPr>
              <w:jc w:val="center"/>
              <w:rPr>
                <w:rFonts w:ascii="仿宋_GB2312" w:hAnsi="仿宋" w:eastAsia="仿宋_GB2312" w:cs="仿宋_GB2312"/>
                <w:b/>
                <w:color w:val="auto"/>
                <w:kern w:val="0"/>
                <w:sz w:val="32"/>
                <w:szCs w:val="32"/>
                <w:highlight w:val="none"/>
              </w:rPr>
            </w:pPr>
          </w:p>
        </w:tc>
        <w:tc>
          <w:tcPr>
            <w:tcW w:w="3546" w:type="dxa"/>
          </w:tcPr>
          <w:p w14:paraId="38C170E6">
            <w:pPr>
              <w:jc w:val="center"/>
              <w:rPr>
                <w:rFonts w:ascii="仿宋_GB2312" w:hAnsi="仿宋" w:eastAsia="仿宋_GB2312" w:cs="仿宋_GB2312"/>
                <w:b/>
                <w:color w:val="auto"/>
                <w:kern w:val="0"/>
                <w:sz w:val="32"/>
                <w:szCs w:val="32"/>
                <w:highlight w:val="none"/>
              </w:rPr>
            </w:pPr>
          </w:p>
        </w:tc>
        <w:tc>
          <w:tcPr>
            <w:tcW w:w="1276" w:type="dxa"/>
          </w:tcPr>
          <w:p w14:paraId="0A27F379">
            <w:pPr>
              <w:jc w:val="center"/>
              <w:rPr>
                <w:rFonts w:ascii="仿宋_GB2312" w:hAnsi="仿宋" w:eastAsia="仿宋_GB2312" w:cs="仿宋_GB2312"/>
                <w:b/>
                <w:color w:val="auto"/>
                <w:kern w:val="0"/>
                <w:sz w:val="32"/>
                <w:szCs w:val="32"/>
                <w:highlight w:val="none"/>
              </w:rPr>
            </w:pPr>
          </w:p>
        </w:tc>
      </w:tr>
      <w:tr w14:paraId="20DD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996CEC">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14:paraId="6D653818">
            <w:pPr>
              <w:jc w:val="center"/>
              <w:rPr>
                <w:rFonts w:ascii="仿宋_GB2312" w:hAnsi="仿宋" w:eastAsia="仿宋_GB2312" w:cs="仿宋_GB2312"/>
                <w:b/>
                <w:color w:val="auto"/>
                <w:kern w:val="0"/>
                <w:sz w:val="32"/>
                <w:szCs w:val="32"/>
                <w:highlight w:val="none"/>
              </w:rPr>
            </w:pPr>
          </w:p>
        </w:tc>
        <w:tc>
          <w:tcPr>
            <w:tcW w:w="3546" w:type="dxa"/>
          </w:tcPr>
          <w:p w14:paraId="3D705813">
            <w:pPr>
              <w:jc w:val="center"/>
              <w:rPr>
                <w:rFonts w:ascii="仿宋_GB2312" w:hAnsi="仿宋" w:eastAsia="仿宋_GB2312" w:cs="仿宋_GB2312"/>
                <w:b/>
                <w:color w:val="auto"/>
                <w:kern w:val="0"/>
                <w:sz w:val="32"/>
                <w:szCs w:val="32"/>
                <w:highlight w:val="none"/>
              </w:rPr>
            </w:pPr>
          </w:p>
        </w:tc>
        <w:tc>
          <w:tcPr>
            <w:tcW w:w="1276" w:type="dxa"/>
          </w:tcPr>
          <w:p w14:paraId="65E75D27">
            <w:pPr>
              <w:jc w:val="center"/>
              <w:rPr>
                <w:rFonts w:ascii="仿宋_GB2312" w:hAnsi="仿宋" w:eastAsia="仿宋_GB2312" w:cs="仿宋_GB2312"/>
                <w:b/>
                <w:color w:val="auto"/>
                <w:kern w:val="0"/>
                <w:sz w:val="32"/>
                <w:szCs w:val="32"/>
                <w:highlight w:val="none"/>
              </w:rPr>
            </w:pPr>
          </w:p>
        </w:tc>
      </w:tr>
    </w:tbl>
    <w:p w14:paraId="0C4DCB36">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7B698146">
      <w:pPr>
        <w:jc w:val="center"/>
        <w:rPr>
          <w:rFonts w:ascii="仿宋_GB2312" w:hAnsi="仿宋" w:eastAsia="仿宋_GB2312" w:cs="仿宋_GB2312"/>
          <w:b/>
          <w:color w:val="auto"/>
          <w:kern w:val="0"/>
          <w:sz w:val="32"/>
          <w:szCs w:val="32"/>
          <w:highlight w:val="none"/>
        </w:rPr>
      </w:pPr>
    </w:p>
    <w:p w14:paraId="0749C7D8">
      <w:pPr>
        <w:jc w:val="center"/>
        <w:rPr>
          <w:rFonts w:ascii="仿宋_GB2312" w:hAnsi="仿宋" w:eastAsia="仿宋_GB2312" w:cs="仿宋_GB2312"/>
          <w:b/>
          <w:color w:val="auto"/>
          <w:kern w:val="0"/>
          <w:sz w:val="32"/>
          <w:szCs w:val="32"/>
          <w:highlight w:val="none"/>
        </w:rPr>
      </w:pPr>
    </w:p>
    <w:p w14:paraId="2ED145FF">
      <w:pPr>
        <w:jc w:val="center"/>
        <w:rPr>
          <w:rFonts w:ascii="仿宋_GB2312" w:hAnsi="仿宋" w:eastAsia="仿宋_GB2312" w:cs="仿宋_GB2312"/>
          <w:b/>
          <w:color w:val="auto"/>
          <w:kern w:val="0"/>
          <w:sz w:val="32"/>
          <w:szCs w:val="32"/>
          <w:highlight w:val="none"/>
        </w:rPr>
      </w:pPr>
    </w:p>
    <w:p w14:paraId="5E3E23C7">
      <w:pPr>
        <w:jc w:val="center"/>
        <w:rPr>
          <w:rFonts w:ascii="仿宋_GB2312" w:hAnsi="仿宋" w:eastAsia="仿宋_GB2312" w:cs="仿宋_GB2312"/>
          <w:b/>
          <w:color w:val="auto"/>
          <w:kern w:val="0"/>
          <w:sz w:val="32"/>
          <w:szCs w:val="32"/>
          <w:highlight w:val="none"/>
        </w:rPr>
      </w:pPr>
    </w:p>
    <w:p w14:paraId="1F8069D2">
      <w:pPr>
        <w:jc w:val="center"/>
        <w:rPr>
          <w:rFonts w:ascii="仿宋_GB2312" w:hAnsi="仿宋" w:eastAsia="仿宋_GB2312" w:cs="仿宋_GB2312"/>
          <w:b/>
          <w:color w:val="auto"/>
          <w:kern w:val="0"/>
          <w:sz w:val="32"/>
          <w:szCs w:val="32"/>
          <w:highlight w:val="none"/>
        </w:rPr>
      </w:pPr>
    </w:p>
    <w:p w14:paraId="2D8D8651">
      <w:pPr>
        <w:jc w:val="center"/>
        <w:rPr>
          <w:rFonts w:ascii="仿宋_GB2312" w:hAnsi="仿宋" w:eastAsia="仿宋_GB2312" w:cs="仿宋_GB2312"/>
          <w:b/>
          <w:color w:val="auto"/>
          <w:kern w:val="0"/>
          <w:sz w:val="32"/>
          <w:szCs w:val="32"/>
          <w:highlight w:val="none"/>
        </w:rPr>
      </w:pPr>
    </w:p>
    <w:p w14:paraId="3E00C82B">
      <w:pPr>
        <w:jc w:val="center"/>
        <w:rPr>
          <w:rFonts w:ascii="仿宋_GB2312" w:hAnsi="仿宋" w:eastAsia="仿宋_GB2312" w:cs="仿宋_GB2312"/>
          <w:b/>
          <w:color w:val="auto"/>
          <w:kern w:val="0"/>
          <w:sz w:val="32"/>
          <w:szCs w:val="32"/>
          <w:highlight w:val="none"/>
        </w:rPr>
      </w:pPr>
    </w:p>
    <w:p w14:paraId="28B3B066">
      <w:pPr>
        <w:jc w:val="center"/>
        <w:rPr>
          <w:rFonts w:ascii="仿宋_GB2312" w:hAnsi="仿宋" w:eastAsia="仿宋_GB2312" w:cs="仿宋_GB2312"/>
          <w:b/>
          <w:color w:val="auto"/>
          <w:kern w:val="0"/>
          <w:sz w:val="32"/>
          <w:szCs w:val="32"/>
          <w:highlight w:val="none"/>
        </w:rPr>
      </w:pPr>
    </w:p>
    <w:p w14:paraId="2736CF98">
      <w:pPr>
        <w:pStyle w:val="67"/>
        <w:rPr>
          <w:rFonts w:ascii="仿宋_GB2312" w:hAnsi="仿宋" w:eastAsia="仿宋_GB2312" w:cs="仿宋_GB2312"/>
          <w:b/>
          <w:color w:val="auto"/>
          <w:kern w:val="0"/>
          <w:sz w:val="32"/>
          <w:szCs w:val="32"/>
          <w:highlight w:val="none"/>
        </w:rPr>
      </w:pPr>
    </w:p>
    <w:p w14:paraId="6AAA7D05">
      <w:pPr>
        <w:rPr>
          <w:rFonts w:ascii="仿宋_GB2312" w:hAnsi="仿宋" w:eastAsia="仿宋_GB2312" w:cs="仿宋_GB2312"/>
          <w:b/>
          <w:color w:val="auto"/>
          <w:kern w:val="0"/>
          <w:sz w:val="32"/>
          <w:szCs w:val="32"/>
          <w:highlight w:val="none"/>
        </w:rPr>
      </w:pPr>
    </w:p>
    <w:p w14:paraId="4A0ABF12">
      <w:pPr>
        <w:pStyle w:val="67"/>
        <w:rPr>
          <w:rFonts w:ascii="仿宋_GB2312" w:hAnsi="仿宋" w:eastAsia="仿宋_GB2312" w:cs="仿宋_GB2312"/>
          <w:b/>
          <w:color w:val="auto"/>
          <w:kern w:val="0"/>
          <w:sz w:val="32"/>
          <w:szCs w:val="32"/>
          <w:highlight w:val="none"/>
        </w:rPr>
      </w:pPr>
    </w:p>
    <w:p w14:paraId="79D967FC">
      <w:pPr>
        <w:rPr>
          <w:rFonts w:ascii="仿宋_GB2312" w:hAnsi="仿宋" w:eastAsia="仿宋_GB2312" w:cs="仿宋_GB2312"/>
          <w:b/>
          <w:color w:val="auto"/>
          <w:kern w:val="0"/>
          <w:sz w:val="32"/>
          <w:szCs w:val="32"/>
          <w:highlight w:val="none"/>
        </w:rPr>
      </w:pPr>
    </w:p>
    <w:p w14:paraId="4F7410E9">
      <w:pPr>
        <w:pStyle w:val="67"/>
        <w:rPr>
          <w:rFonts w:ascii="仿宋_GB2312" w:hAnsi="仿宋" w:eastAsia="仿宋_GB2312" w:cs="仿宋_GB2312"/>
          <w:b/>
          <w:color w:val="auto"/>
          <w:kern w:val="0"/>
          <w:sz w:val="32"/>
          <w:szCs w:val="32"/>
          <w:highlight w:val="none"/>
        </w:rPr>
      </w:pPr>
    </w:p>
    <w:p w14:paraId="2321F65B">
      <w:pPr>
        <w:rPr>
          <w:rFonts w:ascii="仿宋_GB2312" w:hAnsi="仿宋" w:eastAsia="仿宋_GB2312" w:cs="仿宋_GB2312"/>
          <w:b/>
          <w:color w:val="auto"/>
          <w:kern w:val="0"/>
          <w:sz w:val="32"/>
          <w:szCs w:val="32"/>
          <w:highlight w:val="none"/>
        </w:rPr>
      </w:pPr>
    </w:p>
    <w:p w14:paraId="2702BD1F">
      <w:pPr>
        <w:pStyle w:val="67"/>
        <w:rPr>
          <w:rFonts w:ascii="仿宋_GB2312" w:hAnsi="仿宋" w:eastAsia="仿宋_GB2312" w:cs="仿宋_GB2312"/>
          <w:b/>
          <w:color w:val="auto"/>
          <w:kern w:val="0"/>
          <w:sz w:val="32"/>
          <w:szCs w:val="32"/>
          <w:highlight w:val="none"/>
        </w:rPr>
      </w:pPr>
    </w:p>
    <w:p w14:paraId="66B34AA4">
      <w:pPr>
        <w:rPr>
          <w:rFonts w:ascii="仿宋_GB2312" w:hAnsi="仿宋" w:eastAsia="仿宋_GB2312" w:cs="仿宋_GB2312"/>
          <w:b/>
          <w:color w:val="auto"/>
          <w:kern w:val="0"/>
          <w:sz w:val="32"/>
          <w:szCs w:val="32"/>
          <w:highlight w:val="none"/>
        </w:rPr>
      </w:pPr>
    </w:p>
    <w:p w14:paraId="5300B6B1">
      <w:pPr>
        <w:pStyle w:val="67"/>
        <w:rPr>
          <w:rFonts w:ascii="仿宋_GB2312" w:hAnsi="仿宋" w:eastAsia="仿宋_GB2312" w:cs="仿宋_GB2312"/>
          <w:b/>
          <w:color w:val="auto"/>
          <w:kern w:val="0"/>
          <w:sz w:val="32"/>
          <w:szCs w:val="32"/>
          <w:highlight w:val="none"/>
        </w:rPr>
      </w:pPr>
    </w:p>
    <w:p w14:paraId="3E9EE36C">
      <w:pPr>
        <w:rPr>
          <w:rFonts w:ascii="仿宋_GB2312" w:hAnsi="仿宋" w:eastAsia="仿宋_GB2312" w:cs="仿宋_GB2312"/>
          <w:b/>
          <w:color w:val="auto"/>
          <w:kern w:val="0"/>
          <w:sz w:val="32"/>
          <w:szCs w:val="32"/>
          <w:highlight w:val="none"/>
        </w:rPr>
      </w:pPr>
    </w:p>
    <w:p w14:paraId="2E79F248">
      <w:pPr>
        <w:pStyle w:val="67"/>
        <w:rPr>
          <w:rFonts w:ascii="仿宋_GB2312" w:hAnsi="仿宋" w:eastAsia="仿宋_GB2312" w:cs="仿宋_GB2312"/>
          <w:b/>
          <w:color w:val="auto"/>
          <w:kern w:val="0"/>
          <w:sz w:val="32"/>
          <w:szCs w:val="32"/>
          <w:highlight w:val="none"/>
        </w:rPr>
      </w:pPr>
    </w:p>
    <w:p w14:paraId="00DE4633">
      <w:pPr>
        <w:rPr>
          <w:rFonts w:ascii="仿宋_GB2312" w:hAnsi="仿宋" w:eastAsia="仿宋_GB2312" w:cs="仿宋_GB2312"/>
          <w:b/>
          <w:color w:val="auto"/>
          <w:kern w:val="0"/>
          <w:sz w:val="32"/>
          <w:szCs w:val="32"/>
          <w:highlight w:val="none"/>
        </w:rPr>
      </w:pPr>
    </w:p>
    <w:p w14:paraId="087FBEF0">
      <w:pPr>
        <w:pStyle w:val="67"/>
        <w:rPr>
          <w:rFonts w:ascii="仿宋_GB2312" w:hAnsi="仿宋" w:eastAsia="仿宋_GB2312" w:cs="仿宋_GB2312"/>
          <w:b/>
          <w:color w:val="auto"/>
          <w:kern w:val="0"/>
          <w:sz w:val="32"/>
          <w:szCs w:val="32"/>
          <w:highlight w:val="none"/>
        </w:rPr>
      </w:pPr>
    </w:p>
    <w:p w14:paraId="18D8D24F">
      <w:pPr>
        <w:rPr>
          <w:rFonts w:ascii="仿宋_GB2312" w:hAnsi="仿宋" w:eastAsia="仿宋_GB2312" w:cs="仿宋_GB2312"/>
          <w:b/>
          <w:color w:val="auto"/>
          <w:kern w:val="0"/>
          <w:sz w:val="32"/>
          <w:szCs w:val="32"/>
          <w:highlight w:val="none"/>
        </w:rPr>
      </w:pPr>
    </w:p>
    <w:p w14:paraId="29DBE629">
      <w:pPr>
        <w:pStyle w:val="67"/>
        <w:rPr>
          <w:rFonts w:ascii="仿宋_GB2312" w:hAnsi="仿宋" w:eastAsia="仿宋_GB2312" w:cs="仿宋_GB2312"/>
          <w:b/>
          <w:color w:val="auto"/>
          <w:kern w:val="0"/>
          <w:sz w:val="32"/>
          <w:szCs w:val="32"/>
          <w:highlight w:val="none"/>
        </w:rPr>
      </w:pPr>
    </w:p>
    <w:p w14:paraId="61EB5077"/>
    <w:p w14:paraId="0A45DA11">
      <w:pPr>
        <w:rPr>
          <w:rFonts w:ascii="仿宋_GB2312" w:hAnsi="仿宋" w:eastAsia="仿宋_GB2312" w:cs="仿宋_GB2312"/>
          <w:b/>
          <w:color w:val="auto"/>
          <w:kern w:val="0"/>
          <w:sz w:val="32"/>
          <w:szCs w:val="32"/>
          <w:highlight w:val="none"/>
        </w:rPr>
      </w:pPr>
    </w:p>
    <w:p w14:paraId="21435D8F">
      <w:pPr>
        <w:ind w:firstLine="3319" w:firstLineChars="1033"/>
        <w:rPr>
          <w:rFonts w:ascii="仿宋_GB2312" w:hAnsi="仿宋" w:eastAsia="仿宋_GB2312" w:cs="仿宋_GB2312"/>
          <w:b/>
          <w:color w:val="auto"/>
          <w:kern w:val="0"/>
          <w:sz w:val="32"/>
          <w:szCs w:val="32"/>
          <w:highlight w:val="none"/>
        </w:rPr>
      </w:pPr>
    </w:p>
    <w:p w14:paraId="1E6F1F84">
      <w:pPr>
        <w:keepNext w:val="0"/>
        <w:keepLines w:val="0"/>
        <w:widowControl/>
        <w:suppressLineNumbers w:val="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七</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14:paraId="4E9CB339">
      <w:pPr>
        <w:snapToGrid w:val="0"/>
        <w:spacing w:line="360" w:lineRule="auto"/>
        <w:rPr>
          <w:rFonts w:ascii="仿宋_GB2312" w:hAnsi="仿宋" w:eastAsia="仿宋_GB2312" w:cs="仿宋_GB2312"/>
          <w:color w:val="auto"/>
          <w:sz w:val="24"/>
          <w:highlight w:val="none"/>
        </w:rPr>
      </w:pPr>
    </w:p>
    <w:p w14:paraId="4D5FCBE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衢州市柯城区航埠镇人民政府</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浙江天平投资咨询有限公司</w:t>
      </w:r>
      <w:r>
        <w:rPr>
          <w:rFonts w:hint="eastAsia" w:ascii="仿宋_GB2312" w:hAnsi="仿宋" w:eastAsia="仿宋_GB2312" w:cs="仿宋_GB2312"/>
          <w:color w:val="auto"/>
          <w:kern w:val="0"/>
          <w:sz w:val="24"/>
          <w:highlight w:val="none"/>
          <w:lang w:val="zh-CN"/>
        </w:rPr>
        <w:t>：</w:t>
      </w:r>
    </w:p>
    <w:p w14:paraId="2DB24F39">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2ED43EAC">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3A28857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40096CF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2B249EB4">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13DF3BD1">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30FF6F43">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75A899BA">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278A0686">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3F558CA7">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w:t>
      </w:r>
      <w:r>
        <w:rPr>
          <w:rFonts w:hint="eastAsia" w:ascii="仿宋_GB2312" w:hAnsi="仿宋_GB2312" w:eastAsia="仿宋_GB2312" w:cs="仿宋_GB2312"/>
          <w:color w:val="auto"/>
          <w:kern w:val="0"/>
          <w:sz w:val="24"/>
          <w:highlight w:val="none"/>
        </w:rPr>
        <w:t>省财政厅</w:t>
      </w:r>
      <w:r>
        <w:rPr>
          <w:rFonts w:hint="eastAsia" w:ascii="仿宋_GB2312" w:hAnsi="仿宋_GB2312" w:eastAsia="仿宋_GB2312" w:cs="仿宋_GB2312"/>
          <w:color w:val="auto"/>
          <w:kern w:val="0"/>
          <w:sz w:val="24"/>
          <w:highlight w:val="none"/>
          <w:lang w:val="zh-CN"/>
        </w:rPr>
        <w:t>。由此引起的相应损失均由我单位承担。</w:t>
      </w:r>
    </w:p>
    <w:p w14:paraId="699EB385">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8576736">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7635B805">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0244D1D3">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1742CD6D">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78CD8356">
      <w:pPr>
        <w:spacing w:line="360" w:lineRule="auto"/>
        <w:jc w:val="center"/>
        <w:rPr>
          <w:rFonts w:ascii="仿宋_GB2312" w:hAnsi="仿宋" w:eastAsia="仿宋_GB2312" w:cs="仿宋_GB2312"/>
          <w:b/>
          <w:bCs/>
          <w:color w:val="auto"/>
          <w:sz w:val="24"/>
          <w:highlight w:val="none"/>
        </w:rPr>
      </w:pPr>
    </w:p>
    <w:p w14:paraId="19B78560">
      <w:pPr>
        <w:pStyle w:val="67"/>
        <w:rPr>
          <w:rFonts w:ascii="仿宋_GB2312" w:hAnsi="仿宋" w:eastAsia="仿宋_GB2312" w:cs="仿宋_GB2312"/>
          <w:b/>
          <w:bCs/>
          <w:color w:val="auto"/>
          <w:sz w:val="24"/>
          <w:highlight w:val="none"/>
        </w:rPr>
      </w:pPr>
    </w:p>
    <w:p w14:paraId="709D1F6D">
      <w:pPr>
        <w:rPr>
          <w:rFonts w:ascii="仿宋_GB2312" w:hAnsi="仿宋" w:eastAsia="仿宋_GB2312" w:cs="仿宋_GB2312"/>
          <w:b/>
          <w:bCs/>
          <w:color w:val="auto"/>
          <w:sz w:val="24"/>
          <w:highlight w:val="none"/>
        </w:rPr>
      </w:pPr>
    </w:p>
    <w:p w14:paraId="29058885">
      <w:pPr>
        <w:pStyle w:val="67"/>
        <w:rPr>
          <w:rFonts w:ascii="仿宋_GB2312" w:hAnsi="仿宋" w:eastAsia="仿宋_GB2312" w:cs="仿宋_GB2312"/>
          <w:b/>
          <w:bCs/>
          <w:color w:val="auto"/>
          <w:sz w:val="24"/>
          <w:highlight w:val="none"/>
        </w:rPr>
      </w:pPr>
    </w:p>
    <w:p w14:paraId="3AD7C4A3">
      <w:pPr>
        <w:rPr>
          <w:rFonts w:ascii="仿宋_GB2312" w:hAnsi="仿宋" w:eastAsia="仿宋_GB2312" w:cs="仿宋_GB2312"/>
          <w:b/>
          <w:bCs/>
          <w:color w:val="auto"/>
          <w:sz w:val="24"/>
          <w:highlight w:val="none"/>
        </w:rPr>
      </w:pPr>
    </w:p>
    <w:p w14:paraId="0F95896C">
      <w:pPr>
        <w:pStyle w:val="67"/>
        <w:rPr>
          <w:rFonts w:ascii="仿宋_GB2312" w:hAnsi="仿宋" w:eastAsia="仿宋_GB2312" w:cs="仿宋_GB2312"/>
          <w:b/>
          <w:bCs/>
          <w:color w:val="auto"/>
          <w:sz w:val="24"/>
          <w:highlight w:val="none"/>
        </w:rPr>
      </w:pPr>
    </w:p>
    <w:p w14:paraId="0D7E39B0">
      <w:pPr>
        <w:rPr>
          <w:rFonts w:ascii="仿宋_GB2312" w:hAnsi="仿宋" w:eastAsia="仿宋_GB2312" w:cs="仿宋_GB2312"/>
          <w:b/>
          <w:bCs/>
          <w:color w:val="auto"/>
          <w:sz w:val="24"/>
          <w:highlight w:val="none"/>
        </w:rPr>
      </w:pPr>
    </w:p>
    <w:p w14:paraId="76CA5CF8">
      <w:pPr>
        <w:pStyle w:val="67"/>
      </w:pPr>
    </w:p>
    <w:p w14:paraId="54E8385F">
      <w:pPr>
        <w:pStyle w:val="67"/>
        <w:ind w:firstLine="1928" w:firstLineChars="600"/>
        <w:rPr>
          <w:rFonts w:hint="eastAsia" w:ascii="仿宋_GB2312" w:hAnsi="仿宋" w:eastAsia="仿宋_GB2312" w:cs="仿宋_GB2312"/>
          <w:b/>
          <w:color w:val="auto"/>
          <w:kern w:val="0"/>
          <w:sz w:val="32"/>
          <w:szCs w:val="32"/>
          <w:highlight w:val="none"/>
          <w:lang w:val="en-GB" w:eastAsia="zh-CN" w:bidi="ar-SA"/>
        </w:rPr>
      </w:pPr>
    </w:p>
    <w:p w14:paraId="6572AB68">
      <w:pPr>
        <w:pStyle w:val="67"/>
        <w:ind w:firstLine="1928" w:firstLineChars="600"/>
        <w:rPr>
          <w:rFonts w:hint="eastAsia" w:ascii="仿宋_GB2312" w:hAnsi="仿宋" w:eastAsia="仿宋_GB2312" w:cs="仿宋_GB2312"/>
          <w:b/>
          <w:color w:val="auto"/>
          <w:kern w:val="0"/>
          <w:sz w:val="32"/>
          <w:szCs w:val="32"/>
          <w:highlight w:val="none"/>
          <w:lang w:val="zh-CN" w:eastAsia="zh-CN" w:bidi="ar-SA"/>
        </w:rPr>
      </w:pPr>
      <w:r>
        <w:rPr>
          <w:rFonts w:hint="eastAsia" w:ascii="仿宋_GB2312" w:hAnsi="仿宋" w:eastAsia="仿宋_GB2312" w:cs="仿宋_GB2312"/>
          <w:b/>
          <w:color w:val="auto"/>
          <w:kern w:val="0"/>
          <w:sz w:val="32"/>
          <w:szCs w:val="32"/>
          <w:highlight w:val="none"/>
          <w:lang w:val="en-GB" w:eastAsia="zh-CN" w:bidi="ar-SA"/>
        </w:rPr>
        <w:t>八、技术支持及服务承诺书</w:t>
      </w:r>
    </w:p>
    <w:tbl>
      <w:tblPr>
        <w:tblStyle w:val="70"/>
        <w:tblW w:w="9781" w:type="dxa"/>
        <w:jc w:val="center"/>
        <w:tblLayout w:type="fixed"/>
        <w:tblCellMar>
          <w:top w:w="0" w:type="dxa"/>
          <w:left w:w="0" w:type="dxa"/>
          <w:bottom w:w="0" w:type="dxa"/>
          <w:right w:w="0" w:type="dxa"/>
        </w:tblCellMar>
      </w:tblPr>
      <w:tblGrid>
        <w:gridCol w:w="579"/>
        <w:gridCol w:w="3535"/>
        <w:gridCol w:w="3867"/>
        <w:gridCol w:w="1800"/>
      </w:tblGrid>
      <w:tr w14:paraId="3FB59B99">
        <w:tblPrEx>
          <w:tblCellMar>
            <w:top w:w="0" w:type="dxa"/>
            <w:left w:w="0" w:type="dxa"/>
            <w:bottom w:w="0" w:type="dxa"/>
            <w:right w:w="0" w:type="dxa"/>
          </w:tblCellMar>
        </w:tblPrEx>
        <w:trPr>
          <w:cantSplit/>
          <w:trHeight w:val="737" w:hRule="atLeast"/>
          <w:jc w:val="center"/>
        </w:trPr>
        <w:tc>
          <w:tcPr>
            <w:tcW w:w="579" w:type="dxa"/>
            <w:tcBorders>
              <w:top w:val="single" w:color="auto" w:sz="8" w:space="0"/>
              <w:left w:val="single" w:color="auto" w:sz="8" w:space="0"/>
              <w:bottom w:val="single" w:color="auto" w:sz="8" w:space="0"/>
              <w:right w:val="single" w:color="auto" w:sz="8" w:space="0"/>
            </w:tcBorders>
            <w:noWrap w:val="0"/>
            <w:vAlign w:val="center"/>
          </w:tcPr>
          <w:p w14:paraId="19862E3A">
            <w:pPr>
              <w:autoSpaceDE w:val="0"/>
              <w:autoSpaceDN w:val="0"/>
              <w:spacing w:line="360" w:lineRule="auto"/>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序号</w:t>
            </w:r>
          </w:p>
        </w:tc>
        <w:tc>
          <w:tcPr>
            <w:tcW w:w="3535" w:type="dxa"/>
            <w:tcBorders>
              <w:top w:val="single" w:color="auto" w:sz="8" w:space="0"/>
              <w:left w:val="nil"/>
              <w:bottom w:val="single" w:color="auto" w:sz="8" w:space="0"/>
              <w:right w:val="single" w:color="auto" w:sz="4" w:space="0"/>
            </w:tcBorders>
            <w:noWrap w:val="0"/>
            <w:vAlign w:val="center"/>
          </w:tcPr>
          <w:p w14:paraId="0DBF1ACA">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质量保障措施及服务内容</w:t>
            </w:r>
          </w:p>
        </w:tc>
        <w:tc>
          <w:tcPr>
            <w:tcW w:w="3867" w:type="dxa"/>
            <w:tcBorders>
              <w:top w:val="single" w:color="auto" w:sz="8" w:space="0"/>
              <w:left w:val="single" w:color="auto" w:sz="4" w:space="0"/>
              <w:bottom w:val="single" w:color="auto" w:sz="8" w:space="0"/>
              <w:right w:val="single" w:color="auto" w:sz="8" w:space="0"/>
            </w:tcBorders>
            <w:noWrap w:val="0"/>
            <w:vAlign w:val="center"/>
          </w:tcPr>
          <w:p w14:paraId="152B5988">
            <w:pPr>
              <w:autoSpaceDE w:val="0"/>
              <w:autoSpaceDN w:val="0"/>
              <w:spacing w:line="360" w:lineRule="auto"/>
              <w:ind w:firstLine="1440" w:firstLineChars="6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承  诺</w:t>
            </w:r>
          </w:p>
        </w:tc>
        <w:tc>
          <w:tcPr>
            <w:tcW w:w="18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3E1033B">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备注</w:t>
            </w:r>
          </w:p>
        </w:tc>
      </w:tr>
      <w:tr w14:paraId="21604C8E">
        <w:tblPrEx>
          <w:tblCellMar>
            <w:top w:w="0" w:type="dxa"/>
            <w:left w:w="0" w:type="dxa"/>
            <w:bottom w:w="0" w:type="dxa"/>
            <w:right w:w="0" w:type="dxa"/>
          </w:tblCellMar>
        </w:tblPrEx>
        <w:trPr>
          <w:cantSplit/>
          <w:trHeight w:val="1081" w:hRule="atLeast"/>
          <w:jc w:val="center"/>
        </w:trPr>
        <w:tc>
          <w:tcPr>
            <w:tcW w:w="579" w:type="dxa"/>
            <w:tcBorders>
              <w:top w:val="nil"/>
              <w:left w:val="single" w:color="auto" w:sz="8" w:space="0"/>
              <w:bottom w:val="single" w:color="auto" w:sz="8" w:space="0"/>
              <w:right w:val="single" w:color="auto" w:sz="8" w:space="0"/>
            </w:tcBorders>
            <w:noWrap w:val="0"/>
            <w:vAlign w:val="center"/>
          </w:tcPr>
          <w:p w14:paraId="6B74F430">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w:t>
            </w:r>
          </w:p>
        </w:tc>
        <w:tc>
          <w:tcPr>
            <w:tcW w:w="3535" w:type="dxa"/>
            <w:tcBorders>
              <w:top w:val="nil"/>
              <w:left w:val="nil"/>
              <w:bottom w:val="single" w:color="auto" w:sz="8" w:space="0"/>
              <w:right w:val="single" w:color="auto" w:sz="4" w:space="0"/>
            </w:tcBorders>
            <w:noWrap w:val="0"/>
            <w:vAlign w:val="center"/>
          </w:tcPr>
          <w:p w14:paraId="08476975">
            <w:pPr>
              <w:autoSpaceDE w:val="0"/>
              <w:autoSpaceDN w:val="0"/>
              <w:spacing w:line="360" w:lineRule="auto"/>
              <w:ind w:firstLine="482"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color w:val="auto"/>
                <w:kern w:val="0"/>
                <w:sz w:val="24"/>
                <w:highlight w:val="none"/>
                <w:lang w:val="zh-CN"/>
              </w:rPr>
              <w:t>保修时间及保修范围</w:t>
            </w:r>
          </w:p>
        </w:tc>
        <w:tc>
          <w:tcPr>
            <w:tcW w:w="3867" w:type="dxa"/>
            <w:tcBorders>
              <w:top w:val="nil"/>
              <w:left w:val="single" w:color="auto" w:sz="4" w:space="0"/>
              <w:bottom w:val="single" w:color="auto" w:sz="8" w:space="0"/>
              <w:right w:val="single" w:color="auto" w:sz="8" w:space="0"/>
            </w:tcBorders>
            <w:noWrap w:val="0"/>
            <w:vAlign w:val="center"/>
          </w:tcPr>
          <w:p w14:paraId="122A25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sz w:val="24"/>
                <w:szCs w:val="24"/>
              </w:rPr>
              <w:t>免费质保期10年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运维服务年限25年，其中无偿运维期限为</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年。（通过当地电力部门验收并且并网发电后开始计算）。所有设备材料的质保期应从并网运行之日起算</w:t>
            </w: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606698">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r>
      <w:tr w14:paraId="1EB729BF">
        <w:tblPrEx>
          <w:tblCellMar>
            <w:top w:w="0" w:type="dxa"/>
            <w:left w:w="0" w:type="dxa"/>
            <w:bottom w:w="0" w:type="dxa"/>
            <w:right w:w="0" w:type="dxa"/>
          </w:tblCellMar>
        </w:tblPrEx>
        <w:trPr>
          <w:cantSplit/>
          <w:trHeight w:val="719" w:hRule="atLeast"/>
          <w:jc w:val="center"/>
        </w:trPr>
        <w:tc>
          <w:tcPr>
            <w:tcW w:w="579" w:type="dxa"/>
            <w:tcBorders>
              <w:top w:val="nil"/>
              <w:left w:val="single" w:color="auto" w:sz="8" w:space="0"/>
              <w:bottom w:val="single" w:color="auto" w:sz="8" w:space="0"/>
              <w:right w:val="single" w:color="auto" w:sz="8" w:space="0"/>
            </w:tcBorders>
            <w:noWrap w:val="0"/>
            <w:vAlign w:val="center"/>
          </w:tcPr>
          <w:p w14:paraId="20138070">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w:t>
            </w:r>
          </w:p>
        </w:tc>
        <w:tc>
          <w:tcPr>
            <w:tcW w:w="3535" w:type="dxa"/>
            <w:tcBorders>
              <w:top w:val="nil"/>
              <w:left w:val="nil"/>
              <w:bottom w:val="single" w:color="auto" w:sz="8" w:space="0"/>
              <w:right w:val="single" w:color="auto" w:sz="4" w:space="0"/>
            </w:tcBorders>
            <w:noWrap w:val="0"/>
            <w:vAlign w:val="center"/>
          </w:tcPr>
          <w:p w14:paraId="635CE179">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有关技术人员现场免费提供安装、调试服务</w:t>
            </w:r>
          </w:p>
        </w:tc>
        <w:tc>
          <w:tcPr>
            <w:tcW w:w="3867" w:type="dxa"/>
            <w:tcBorders>
              <w:top w:val="nil"/>
              <w:left w:val="single" w:color="auto" w:sz="4" w:space="0"/>
              <w:bottom w:val="single" w:color="auto" w:sz="8" w:space="0"/>
              <w:right w:val="single" w:color="auto" w:sz="8" w:space="0"/>
            </w:tcBorders>
            <w:noWrap w:val="0"/>
            <w:vAlign w:val="center"/>
          </w:tcPr>
          <w:p w14:paraId="1005450E">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p w14:paraId="13E28970">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5F15386">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r>
      <w:tr w14:paraId="730EFDBC">
        <w:tblPrEx>
          <w:tblCellMar>
            <w:top w:w="0" w:type="dxa"/>
            <w:left w:w="0" w:type="dxa"/>
            <w:bottom w:w="0" w:type="dxa"/>
            <w:right w:w="0" w:type="dxa"/>
          </w:tblCellMar>
        </w:tblPrEx>
        <w:trPr>
          <w:cantSplit/>
          <w:trHeight w:val="567" w:hRule="atLeast"/>
          <w:jc w:val="center"/>
        </w:trPr>
        <w:tc>
          <w:tcPr>
            <w:tcW w:w="579" w:type="dxa"/>
            <w:tcBorders>
              <w:top w:val="nil"/>
              <w:left w:val="single" w:color="auto" w:sz="8" w:space="0"/>
              <w:bottom w:val="single" w:color="auto" w:sz="8" w:space="0"/>
              <w:right w:val="single" w:color="auto" w:sz="8" w:space="0"/>
            </w:tcBorders>
            <w:noWrap w:val="0"/>
            <w:vAlign w:val="center"/>
          </w:tcPr>
          <w:p w14:paraId="198F8D68">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w:t>
            </w:r>
          </w:p>
        </w:tc>
        <w:tc>
          <w:tcPr>
            <w:tcW w:w="3535" w:type="dxa"/>
            <w:tcBorders>
              <w:top w:val="nil"/>
              <w:left w:val="nil"/>
              <w:bottom w:val="single" w:color="auto" w:sz="8" w:space="0"/>
              <w:right w:val="single" w:color="auto" w:sz="4" w:space="0"/>
            </w:tcBorders>
            <w:noWrap w:val="0"/>
            <w:vAlign w:val="center"/>
          </w:tcPr>
          <w:p w14:paraId="1963135A">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免费换货期限</w:t>
            </w:r>
          </w:p>
        </w:tc>
        <w:tc>
          <w:tcPr>
            <w:tcW w:w="3867" w:type="dxa"/>
            <w:tcBorders>
              <w:top w:val="nil"/>
              <w:left w:val="single" w:color="auto" w:sz="4" w:space="0"/>
              <w:bottom w:val="single" w:color="auto" w:sz="8" w:space="0"/>
              <w:right w:val="single" w:color="auto" w:sz="8" w:space="0"/>
            </w:tcBorders>
            <w:noWrap w:val="0"/>
            <w:vAlign w:val="center"/>
          </w:tcPr>
          <w:p w14:paraId="1BBF6162">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425B67">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r>
      <w:tr w14:paraId="2756B7CD">
        <w:tblPrEx>
          <w:tblCellMar>
            <w:top w:w="0" w:type="dxa"/>
            <w:left w:w="0" w:type="dxa"/>
            <w:bottom w:w="0" w:type="dxa"/>
            <w:right w:w="0" w:type="dxa"/>
          </w:tblCellMar>
        </w:tblPrEx>
        <w:trPr>
          <w:cantSplit/>
          <w:trHeight w:val="567" w:hRule="atLeast"/>
          <w:jc w:val="center"/>
        </w:trPr>
        <w:tc>
          <w:tcPr>
            <w:tcW w:w="579" w:type="dxa"/>
            <w:tcBorders>
              <w:top w:val="nil"/>
              <w:left w:val="single" w:color="auto" w:sz="8" w:space="0"/>
              <w:bottom w:val="single" w:color="auto" w:sz="8" w:space="0"/>
              <w:right w:val="single" w:color="auto" w:sz="8" w:space="0"/>
            </w:tcBorders>
            <w:noWrap w:val="0"/>
            <w:vAlign w:val="center"/>
          </w:tcPr>
          <w:p w14:paraId="78E31A80">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p>
        </w:tc>
        <w:tc>
          <w:tcPr>
            <w:tcW w:w="3535" w:type="dxa"/>
            <w:tcBorders>
              <w:top w:val="nil"/>
              <w:left w:val="nil"/>
              <w:bottom w:val="single" w:color="auto" w:sz="8" w:space="0"/>
              <w:right w:val="single" w:color="auto" w:sz="4" w:space="0"/>
            </w:tcBorders>
            <w:noWrap w:val="0"/>
            <w:vAlign w:val="center"/>
          </w:tcPr>
          <w:p w14:paraId="557D4D9E">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免费上门服务期限</w:t>
            </w:r>
          </w:p>
        </w:tc>
        <w:tc>
          <w:tcPr>
            <w:tcW w:w="3867" w:type="dxa"/>
            <w:tcBorders>
              <w:top w:val="nil"/>
              <w:left w:val="single" w:color="auto" w:sz="4" w:space="0"/>
              <w:bottom w:val="single" w:color="auto" w:sz="8" w:space="0"/>
              <w:right w:val="single" w:color="auto" w:sz="8" w:space="0"/>
            </w:tcBorders>
            <w:noWrap w:val="0"/>
            <w:vAlign w:val="center"/>
          </w:tcPr>
          <w:p w14:paraId="64E3A2F2">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5A8CC2">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r>
      <w:tr w14:paraId="6F0B2BCD">
        <w:tblPrEx>
          <w:tblCellMar>
            <w:top w:w="0" w:type="dxa"/>
            <w:left w:w="0" w:type="dxa"/>
            <w:bottom w:w="0" w:type="dxa"/>
            <w:right w:w="0" w:type="dxa"/>
          </w:tblCellMar>
        </w:tblPrEx>
        <w:trPr>
          <w:cantSplit/>
          <w:trHeight w:val="567" w:hRule="atLeast"/>
          <w:jc w:val="center"/>
        </w:trPr>
        <w:tc>
          <w:tcPr>
            <w:tcW w:w="579" w:type="dxa"/>
            <w:tcBorders>
              <w:top w:val="nil"/>
              <w:left w:val="single" w:color="auto" w:sz="8" w:space="0"/>
              <w:bottom w:val="single" w:color="auto" w:sz="8" w:space="0"/>
              <w:right w:val="single" w:color="auto" w:sz="8" w:space="0"/>
            </w:tcBorders>
            <w:noWrap w:val="0"/>
            <w:vAlign w:val="center"/>
          </w:tcPr>
          <w:p w14:paraId="169F46FF">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5</w:t>
            </w:r>
          </w:p>
        </w:tc>
        <w:tc>
          <w:tcPr>
            <w:tcW w:w="3535" w:type="dxa"/>
            <w:tcBorders>
              <w:top w:val="nil"/>
              <w:left w:val="nil"/>
              <w:bottom w:val="single" w:color="auto" w:sz="8" w:space="0"/>
              <w:right w:val="single" w:color="auto" w:sz="4" w:space="0"/>
            </w:tcBorders>
            <w:noWrap w:val="0"/>
            <w:vAlign w:val="center"/>
          </w:tcPr>
          <w:p w14:paraId="39D3984A">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质保期内产品故障服务响应时限</w:t>
            </w:r>
          </w:p>
        </w:tc>
        <w:tc>
          <w:tcPr>
            <w:tcW w:w="3867" w:type="dxa"/>
            <w:tcBorders>
              <w:top w:val="nil"/>
              <w:left w:val="single" w:color="auto" w:sz="4" w:space="0"/>
              <w:bottom w:val="single" w:color="auto" w:sz="8" w:space="0"/>
              <w:right w:val="single" w:color="auto" w:sz="8" w:space="0"/>
            </w:tcBorders>
            <w:noWrap w:val="0"/>
            <w:vAlign w:val="center"/>
          </w:tcPr>
          <w:p w14:paraId="240471BF">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22F04F">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r>
      <w:tr w14:paraId="75E7F5D8">
        <w:tblPrEx>
          <w:tblCellMar>
            <w:top w:w="0" w:type="dxa"/>
            <w:left w:w="0" w:type="dxa"/>
            <w:bottom w:w="0" w:type="dxa"/>
            <w:right w:w="0" w:type="dxa"/>
          </w:tblCellMar>
        </w:tblPrEx>
        <w:trPr>
          <w:cantSplit/>
          <w:trHeight w:val="567" w:hRule="atLeast"/>
          <w:jc w:val="center"/>
        </w:trPr>
        <w:tc>
          <w:tcPr>
            <w:tcW w:w="579" w:type="dxa"/>
            <w:tcBorders>
              <w:top w:val="nil"/>
              <w:left w:val="single" w:color="auto" w:sz="8" w:space="0"/>
              <w:bottom w:val="single" w:color="auto" w:sz="4" w:space="0"/>
              <w:right w:val="single" w:color="auto" w:sz="8" w:space="0"/>
            </w:tcBorders>
            <w:noWrap w:val="0"/>
            <w:vAlign w:val="center"/>
          </w:tcPr>
          <w:p w14:paraId="42882592">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6</w:t>
            </w:r>
          </w:p>
        </w:tc>
        <w:tc>
          <w:tcPr>
            <w:tcW w:w="3535" w:type="dxa"/>
            <w:tcBorders>
              <w:top w:val="nil"/>
              <w:left w:val="nil"/>
              <w:bottom w:val="single" w:color="auto" w:sz="4" w:space="0"/>
              <w:right w:val="single" w:color="auto" w:sz="4" w:space="0"/>
            </w:tcBorders>
            <w:noWrap w:val="0"/>
            <w:vAlign w:val="center"/>
          </w:tcPr>
          <w:p w14:paraId="58E92759">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质保期满后的保修服务费用</w:t>
            </w:r>
          </w:p>
        </w:tc>
        <w:tc>
          <w:tcPr>
            <w:tcW w:w="3867" w:type="dxa"/>
            <w:tcBorders>
              <w:top w:val="nil"/>
              <w:left w:val="single" w:color="auto" w:sz="4" w:space="0"/>
              <w:bottom w:val="single" w:color="auto" w:sz="4" w:space="0"/>
              <w:right w:val="single" w:color="auto" w:sz="8" w:space="0"/>
            </w:tcBorders>
            <w:noWrap w:val="0"/>
            <w:vAlign w:val="center"/>
          </w:tcPr>
          <w:p w14:paraId="01B356B9">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c>
          <w:tcPr>
            <w:tcW w:w="180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19077C1A">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r>
      <w:tr w14:paraId="73EB33A5">
        <w:tblPrEx>
          <w:tblCellMar>
            <w:top w:w="0" w:type="dxa"/>
            <w:left w:w="0" w:type="dxa"/>
            <w:bottom w:w="0" w:type="dxa"/>
            <w:right w:w="0" w:type="dxa"/>
          </w:tblCellMar>
        </w:tblPrEx>
        <w:trPr>
          <w:cantSplit/>
          <w:trHeight w:val="567" w:hRule="atLeast"/>
          <w:jc w:val="center"/>
        </w:trPr>
        <w:tc>
          <w:tcPr>
            <w:tcW w:w="579" w:type="dxa"/>
            <w:tcBorders>
              <w:top w:val="single" w:color="auto" w:sz="4" w:space="0"/>
              <w:left w:val="single" w:color="auto" w:sz="8" w:space="0"/>
              <w:bottom w:val="single" w:color="auto" w:sz="4" w:space="0"/>
              <w:right w:val="single" w:color="auto" w:sz="8" w:space="0"/>
            </w:tcBorders>
            <w:noWrap w:val="0"/>
            <w:vAlign w:val="center"/>
          </w:tcPr>
          <w:p w14:paraId="3B4FF66F">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7</w:t>
            </w:r>
          </w:p>
        </w:tc>
        <w:tc>
          <w:tcPr>
            <w:tcW w:w="3535" w:type="dxa"/>
            <w:tcBorders>
              <w:top w:val="single" w:color="auto" w:sz="4" w:space="0"/>
              <w:left w:val="nil"/>
              <w:bottom w:val="single" w:color="auto" w:sz="4" w:space="0"/>
              <w:right w:val="single" w:color="auto" w:sz="4" w:space="0"/>
            </w:tcBorders>
            <w:noWrap w:val="0"/>
            <w:vAlign w:val="center"/>
          </w:tcPr>
          <w:p w14:paraId="6E285AE1">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交货时间</w:t>
            </w:r>
          </w:p>
        </w:tc>
        <w:tc>
          <w:tcPr>
            <w:tcW w:w="3867" w:type="dxa"/>
            <w:tcBorders>
              <w:top w:val="single" w:color="auto" w:sz="4" w:space="0"/>
              <w:left w:val="single" w:color="auto" w:sz="4" w:space="0"/>
              <w:bottom w:val="single" w:color="auto" w:sz="4" w:space="0"/>
              <w:right w:val="single" w:color="auto" w:sz="8" w:space="0"/>
            </w:tcBorders>
            <w:noWrap w:val="0"/>
            <w:vAlign w:val="center"/>
          </w:tcPr>
          <w:p w14:paraId="373B5E4D">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1195A6BE">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r>
      <w:tr w14:paraId="5C2E7E93">
        <w:tblPrEx>
          <w:tblCellMar>
            <w:top w:w="0" w:type="dxa"/>
            <w:left w:w="0" w:type="dxa"/>
            <w:bottom w:w="0" w:type="dxa"/>
            <w:right w:w="0" w:type="dxa"/>
          </w:tblCellMar>
        </w:tblPrEx>
        <w:trPr>
          <w:cantSplit/>
          <w:trHeight w:val="567" w:hRule="atLeast"/>
          <w:jc w:val="center"/>
        </w:trPr>
        <w:tc>
          <w:tcPr>
            <w:tcW w:w="579" w:type="dxa"/>
            <w:tcBorders>
              <w:top w:val="single" w:color="auto" w:sz="4" w:space="0"/>
              <w:left w:val="single" w:color="auto" w:sz="8" w:space="0"/>
              <w:bottom w:val="single" w:color="auto" w:sz="4" w:space="0"/>
              <w:right w:val="single" w:color="auto" w:sz="8" w:space="0"/>
            </w:tcBorders>
            <w:noWrap w:val="0"/>
            <w:vAlign w:val="center"/>
          </w:tcPr>
          <w:p w14:paraId="057FDEFD">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8</w:t>
            </w:r>
          </w:p>
        </w:tc>
        <w:tc>
          <w:tcPr>
            <w:tcW w:w="3535" w:type="dxa"/>
            <w:tcBorders>
              <w:top w:val="single" w:color="auto" w:sz="4" w:space="0"/>
              <w:left w:val="nil"/>
              <w:bottom w:val="single" w:color="auto" w:sz="4" w:space="0"/>
              <w:right w:val="single" w:color="auto" w:sz="4" w:space="0"/>
            </w:tcBorders>
            <w:noWrap w:val="0"/>
            <w:vAlign w:val="center"/>
          </w:tcPr>
          <w:p w14:paraId="2086877D">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是否有提供备品备件</w:t>
            </w:r>
          </w:p>
        </w:tc>
        <w:tc>
          <w:tcPr>
            <w:tcW w:w="3867" w:type="dxa"/>
            <w:tcBorders>
              <w:top w:val="single" w:color="auto" w:sz="4" w:space="0"/>
              <w:left w:val="single" w:color="auto" w:sz="4" w:space="0"/>
              <w:bottom w:val="single" w:color="auto" w:sz="4" w:space="0"/>
              <w:right w:val="single" w:color="auto" w:sz="8" w:space="0"/>
            </w:tcBorders>
            <w:noWrap w:val="0"/>
            <w:vAlign w:val="center"/>
          </w:tcPr>
          <w:p w14:paraId="2F03A6A2">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DF8F45B">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r>
      <w:tr w14:paraId="57934A32">
        <w:tblPrEx>
          <w:tblCellMar>
            <w:top w:w="0" w:type="dxa"/>
            <w:left w:w="0" w:type="dxa"/>
            <w:bottom w:w="0" w:type="dxa"/>
            <w:right w:w="0" w:type="dxa"/>
          </w:tblCellMar>
        </w:tblPrEx>
        <w:trPr>
          <w:cantSplit/>
          <w:trHeight w:val="567" w:hRule="atLeast"/>
          <w:jc w:val="center"/>
        </w:trPr>
        <w:tc>
          <w:tcPr>
            <w:tcW w:w="579" w:type="dxa"/>
            <w:tcBorders>
              <w:top w:val="single" w:color="auto" w:sz="4" w:space="0"/>
              <w:left w:val="single" w:color="auto" w:sz="8" w:space="0"/>
              <w:bottom w:val="single" w:color="auto" w:sz="4" w:space="0"/>
              <w:right w:val="single" w:color="auto" w:sz="8" w:space="0"/>
            </w:tcBorders>
            <w:noWrap w:val="0"/>
            <w:vAlign w:val="center"/>
          </w:tcPr>
          <w:p w14:paraId="67DA5E26">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9</w:t>
            </w:r>
          </w:p>
        </w:tc>
        <w:tc>
          <w:tcPr>
            <w:tcW w:w="3535" w:type="dxa"/>
            <w:tcBorders>
              <w:top w:val="single" w:color="auto" w:sz="4" w:space="0"/>
              <w:left w:val="nil"/>
              <w:bottom w:val="single" w:color="auto" w:sz="4" w:space="0"/>
              <w:right w:val="single" w:color="auto" w:sz="4" w:space="0"/>
            </w:tcBorders>
            <w:noWrap w:val="0"/>
            <w:vAlign w:val="center"/>
          </w:tcPr>
          <w:p w14:paraId="0DC15F0C">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是否有质保期外的服务承诺</w:t>
            </w:r>
          </w:p>
        </w:tc>
        <w:tc>
          <w:tcPr>
            <w:tcW w:w="3867" w:type="dxa"/>
            <w:tcBorders>
              <w:top w:val="single" w:color="auto" w:sz="4" w:space="0"/>
              <w:left w:val="single" w:color="auto" w:sz="4" w:space="0"/>
              <w:bottom w:val="single" w:color="auto" w:sz="4" w:space="0"/>
              <w:right w:val="single" w:color="auto" w:sz="8" w:space="0"/>
            </w:tcBorders>
            <w:noWrap w:val="0"/>
            <w:vAlign w:val="center"/>
          </w:tcPr>
          <w:p w14:paraId="6C41E69C">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156668E">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r>
      <w:tr w14:paraId="1A90DDA6">
        <w:tblPrEx>
          <w:tblCellMar>
            <w:top w:w="0" w:type="dxa"/>
            <w:left w:w="0" w:type="dxa"/>
            <w:bottom w:w="0" w:type="dxa"/>
            <w:right w:w="0" w:type="dxa"/>
          </w:tblCellMar>
        </w:tblPrEx>
        <w:trPr>
          <w:cantSplit/>
          <w:trHeight w:val="567" w:hRule="atLeast"/>
          <w:jc w:val="center"/>
        </w:trPr>
        <w:tc>
          <w:tcPr>
            <w:tcW w:w="579" w:type="dxa"/>
            <w:tcBorders>
              <w:top w:val="single" w:color="auto" w:sz="4" w:space="0"/>
              <w:left w:val="single" w:color="auto" w:sz="8" w:space="0"/>
              <w:bottom w:val="single" w:color="auto" w:sz="4" w:space="0"/>
              <w:right w:val="single" w:color="auto" w:sz="8" w:space="0"/>
            </w:tcBorders>
            <w:noWrap w:val="0"/>
            <w:vAlign w:val="center"/>
          </w:tcPr>
          <w:p w14:paraId="450D8B1B">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10</w:t>
            </w:r>
          </w:p>
        </w:tc>
        <w:tc>
          <w:tcPr>
            <w:tcW w:w="3535" w:type="dxa"/>
            <w:tcBorders>
              <w:top w:val="single" w:color="auto" w:sz="4" w:space="0"/>
              <w:left w:val="nil"/>
              <w:bottom w:val="single" w:color="auto" w:sz="4" w:space="0"/>
              <w:right w:val="single" w:color="auto" w:sz="4" w:space="0"/>
            </w:tcBorders>
            <w:noWrap w:val="0"/>
            <w:vAlign w:val="center"/>
          </w:tcPr>
          <w:p w14:paraId="6D90996B">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货物品牌是否原装正品</w:t>
            </w:r>
          </w:p>
        </w:tc>
        <w:tc>
          <w:tcPr>
            <w:tcW w:w="3867" w:type="dxa"/>
            <w:tcBorders>
              <w:top w:val="single" w:color="auto" w:sz="4" w:space="0"/>
              <w:left w:val="single" w:color="auto" w:sz="4" w:space="0"/>
              <w:bottom w:val="single" w:color="auto" w:sz="4" w:space="0"/>
              <w:right w:val="single" w:color="auto" w:sz="8" w:space="0"/>
            </w:tcBorders>
            <w:noWrap w:val="0"/>
            <w:vAlign w:val="center"/>
          </w:tcPr>
          <w:p w14:paraId="528A8671">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2D57459">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r>
      <w:tr w14:paraId="56DA891A">
        <w:tblPrEx>
          <w:tblCellMar>
            <w:top w:w="0" w:type="dxa"/>
            <w:left w:w="0" w:type="dxa"/>
            <w:bottom w:w="0" w:type="dxa"/>
            <w:right w:w="0" w:type="dxa"/>
          </w:tblCellMar>
        </w:tblPrEx>
        <w:trPr>
          <w:cantSplit/>
          <w:trHeight w:val="567" w:hRule="atLeast"/>
          <w:jc w:val="center"/>
        </w:trPr>
        <w:tc>
          <w:tcPr>
            <w:tcW w:w="579" w:type="dxa"/>
            <w:tcBorders>
              <w:top w:val="single" w:color="auto" w:sz="4" w:space="0"/>
              <w:left w:val="single" w:color="auto" w:sz="8" w:space="0"/>
              <w:bottom w:val="single" w:color="auto" w:sz="4" w:space="0"/>
              <w:right w:val="single" w:color="auto" w:sz="8" w:space="0"/>
            </w:tcBorders>
            <w:noWrap w:val="0"/>
            <w:vAlign w:val="center"/>
          </w:tcPr>
          <w:p w14:paraId="2C017BEF">
            <w:pPr>
              <w:autoSpaceDE w:val="0"/>
              <w:autoSpaceDN w:val="0"/>
              <w:spacing w:line="360" w:lineRule="auto"/>
              <w:ind w:firstLine="240" w:firstLineChars="100"/>
              <w:jc w:val="both"/>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11</w:t>
            </w:r>
          </w:p>
        </w:tc>
        <w:tc>
          <w:tcPr>
            <w:tcW w:w="3535" w:type="dxa"/>
            <w:tcBorders>
              <w:top w:val="single" w:color="auto" w:sz="4" w:space="0"/>
              <w:left w:val="nil"/>
              <w:bottom w:val="single" w:color="auto" w:sz="4" w:space="0"/>
              <w:right w:val="single" w:color="auto" w:sz="4" w:space="0"/>
            </w:tcBorders>
            <w:noWrap w:val="0"/>
            <w:vAlign w:val="center"/>
          </w:tcPr>
          <w:p w14:paraId="15EC3FF9">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其他</w:t>
            </w:r>
          </w:p>
        </w:tc>
        <w:tc>
          <w:tcPr>
            <w:tcW w:w="3867" w:type="dxa"/>
            <w:tcBorders>
              <w:top w:val="single" w:color="auto" w:sz="4" w:space="0"/>
              <w:left w:val="single" w:color="auto" w:sz="4" w:space="0"/>
              <w:bottom w:val="single" w:color="auto" w:sz="4" w:space="0"/>
              <w:right w:val="single" w:color="auto" w:sz="8" w:space="0"/>
            </w:tcBorders>
            <w:noWrap w:val="0"/>
            <w:vAlign w:val="center"/>
          </w:tcPr>
          <w:p w14:paraId="38AF946D">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c>
          <w:tcPr>
            <w:tcW w:w="180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05DCA667">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tc>
      </w:tr>
    </w:tbl>
    <w:p w14:paraId="7B942320">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p>
    <w:p w14:paraId="21E17CD6">
      <w:pPr>
        <w:pStyle w:val="67"/>
      </w:pPr>
    </w:p>
    <w:p w14:paraId="17E96E78"/>
    <w:p w14:paraId="691F879D">
      <w:pPr>
        <w:pStyle w:val="67"/>
      </w:pPr>
    </w:p>
    <w:p w14:paraId="284DF181"/>
    <w:p w14:paraId="5B7A83E6">
      <w:pPr>
        <w:pStyle w:val="67"/>
      </w:pPr>
    </w:p>
    <w:p w14:paraId="0BB546C1">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09131FA4">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7864E284"/>
    <w:p w14:paraId="1513621A">
      <w:pPr>
        <w:pStyle w:val="67"/>
      </w:pPr>
    </w:p>
    <w:p w14:paraId="5B11C490">
      <w:pPr>
        <w:pStyle w:val="67"/>
        <w:ind w:left="0" w:leftChars="0" w:firstLine="0" w:firstLineChars="0"/>
      </w:pPr>
    </w:p>
    <w:p w14:paraId="0969301C"/>
    <w:p w14:paraId="7FC282F7">
      <w:pPr>
        <w:pStyle w:val="24"/>
      </w:pPr>
    </w:p>
    <w:p w14:paraId="274E96FC">
      <w:pPr>
        <w:pStyle w:val="25"/>
      </w:pPr>
    </w:p>
    <w:p w14:paraId="0EA3A488">
      <w:pPr>
        <w:pStyle w:val="26"/>
      </w:pPr>
    </w:p>
    <w:p w14:paraId="794116BB">
      <w:pPr>
        <w:pStyle w:val="28"/>
      </w:pPr>
    </w:p>
    <w:p w14:paraId="429E836E">
      <w:pPr>
        <w:pStyle w:val="67"/>
      </w:pPr>
    </w:p>
    <w:p w14:paraId="5902280E">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7275CD1E">
      <w:pPr>
        <w:spacing w:line="360" w:lineRule="auto"/>
        <w:jc w:val="center"/>
        <w:outlineLvl w:val="2"/>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01CB5325">
      <w:pPr>
        <w:spacing w:line="360" w:lineRule="auto"/>
        <w:jc w:val="center"/>
        <w:rPr>
          <w:rFonts w:ascii="仿宋_GB2312" w:hAnsi="仿宋" w:eastAsia="仿宋_GB2312" w:cs="仿宋_GB2312"/>
          <w:b/>
          <w:color w:val="auto"/>
          <w:kern w:val="0"/>
          <w:sz w:val="36"/>
          <w:szCs w:val="36"/>
          <w:highlight w:val="none"/>
        </w:rPr>
      </w:pPr>
    </w:p>
    <w:p w14:paraId="2F09B6CF">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29F6B554">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r>
        <w:rPr>
          <w:rFonts w:hint="eastAsia" w:ascii="仿宋_GB2312" w:hAnsi="仿宋" w:eastAsia="仿宋_GB2312" w:cs="仿宋_GB2312"/>
          <w:color w:val="auto"/>
          <w:sz w:val="24"/>
          <w:highlight w:val="none"/>
          <w:lang w:val="en-US" w:eastAsia="zh-CN"/>
        </w:rPr>
        <w:t xml:space="preserve"> </w:t>
      </w:r>
    </w:p>
    <w:p w14:paraId="0D8B7A56">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（3）残疾人福利性单位声明函（如有）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（页码）</w:t>
      </w:r>
    </w:p>
    <w:p w14:paraId="01B84E80">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（4）监狱企业的证明文件（如有）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（页码）</w:t>
      </w:r>
    </w:p>
    <w:p w14:paraId="03B07971">
      <w:pPr>
        <w:snapToGrid w:val="0"/>
        <w:spacing w:line="360" w:lineRule="auto"/>
        <w:ind w:right="480"/>
        <w:jc w:val="center"/>
        <w:rPr>
          <w:rFonts w:ascii="仿宋_GB2312" w:hAnsi="仿宋" w:eastAsia="仿宋_GB2312" w:cs="仿宋_GB2312"/>
          <w:b/>
          <w:color w:val="auto"/>
          <w:kern w:val="0"/>
          <w:sz w:val="32"/>
          <w:szCs w:val="32"/>
          <w:highlight w:val="none"/>
        </w:rPr>
      </w:pPr>
    </w:p>
    <w:p w14:paraId="265F0479">
      <w:pPr>
        <w:snapToGrid w:val="0"/>
        <w:spacing w:line="360" w:lineRule="auto"/>
        <w:ind w:right="480"/>
        <w:jc w:val="center"/>
        <w:rPr>
          <w:rFonts w:ascii="仿宋_GB2312" w:hAnsi="仿宋" w:eastAsia="仿宋_GB2312" w:cs="仿宋_GB2312"/>
          <w:b/>
          <w:color w:val="auto"/>
          <w:kern w:val="0"/>
          <w:sz w:val="32"/>
          <w:szCs w:val="32"/>
          <w:highlight w:val="none"/>
        </w:rPr>
      </w:pPr>
    </w:p>
    <w:p w14:paraId="198BA2A5">
      <w:pPr>
        <w:snapToGrid w:val="0"/>
        <w:spacing w:line="360" w:lineRule="auto"/>
        <w:ind w:right="480"/>
        <w:jc w:val="center"/>
        <w:rPr>
          <w:rFonts w:ascii="仿宋_GB2312" w:hAnsi="仿宋" w:eastAsia="仿宋_GB2312" w:cs="仿宋_GB2312"/>
          <w:b/>
          <w:color w:val="auto"/>
          <w:kern w:val="0"/>
          <w:sz w:val="32"/>
          <w:szCs w:val="32"/>
          <w:highlight w:val="none"/>
        </w:rPr>
      </w:pPr>
    </w:p>
    <w:p w14:paraId="6F570920">
      <w:pPr>
        <w:snapToGrid w:val="0"/>
        <w:spacing w:line="360" w:lineRule="auto"/>
        <w:ind w:right="480"/>
        <w:jc w:val="center"/>
        <w:rPr>
          <w:rFonts w:ascii="仿宋_GB2312" w:hAnsi="仿宋" w:eastAsia="仿宋_GB2312" w:cs="仿宋_GB2312"/>
          <w:b/>
          <w:color w:val="auto"/>
          <w:kern w:val="0"/>
          <w:sz w:val="32"/>
          <w:szCs w:val="32"/>
          <w:highlight w:val="none"/>
        </w:rPr>
      </w:pPr>
    </w:p>
    <w:p w14:paraId="0F5A79A9">
      <w:pPr>
        <w:snapToGrid w:val="0"/>
        <w:spacing w:line="360" w:lineRule="auto"/>
        <w:ind w:right="480"/>
        <w:jc w:val="center"/>
        <w:rPr>
          <w:rFonts w:ascii="仿宋_GB2312" w:hAnsi="仿宋" w:eastAsia="仿宋_GB2312" w:cs="仿宋_GB2312"/>
          <w:b/>
          <w:color w:val="auto"/>
          <w:kern w:val="0"/>
          <w:sz w:val="32"/>
          <w:szCs w:val="32"/>
          <w:highlight w:val="none"/>
        </w:rPr>
      </w:pPr>
    </w:p>
    <w:p w14:paraId="05C6281B">
      <w:pPr>
        <w:snapToGrid w:val="0"/>
        <w:spacing w:line="360" w:lineRule="auto"/>
        <w:ind w:right="480"/>
        <w:jc w:val="center"/>
        <w:rPr>
          <w:rFonts w:ascii="仿宋_GB2312" w:hAnsi="仿宋" w:eastAsia="仿宋_GB2312" w:cs="仿宋_GB2312"/>
          <w:b/>
          <w:color w:val="auto"/>
          <w:kern w:val="0"/>
          <w:sz w:val="32"/>
          <w:szCs w:val="32"/>
          <w:highlight w:val="none"/>
        </w:rPr>
      </w:pPr>
    </w:p>
    <w:p w14:paraId="6FBD1A88">
      <w:pPr>
        <w:snapToGrid w:val="0"/>
        <w:spacing w:line="360" w:lineRule="auto"/>
        <w:ind w:right="480"/>
        <w:jc w:val="center"/>
        <w:rPr>
          <w:rFonts w:ascii="仿宋_GB2312" w:hAnsi="仿宋" w:eastAsia="仿宋_GB2312" w:cs="仿宋_GB2312"/>
          <w:b/>
          <w:color w:val="auto"/>
          <w:kern w:val="0"/>
          <w:sz w:val="32"/>
          <w:szCs w:val="32"/>
          <w:highlight w:val="none"/>
        </w:rPr>
      </w:pPr>
    </w:p>
    <w:p w14:paraId="704B75B5">
      <w:pPr>
        <w:snapToGrid w:val="0"/>
        <w:spacing w:line="360" w:lineRule="auto"/>
        <w:ind w:right="480"/>
        <w:jc w:val="center"/>
        <w:rPr>
          <w:rFonts w:ascii="仿宋_GB2312" w:hAnsi="仿宋" w:eastAsia="仿宋_GB2312" w:cs="仿宋_GB2312"/>
          <w:b/>
          <w:color w:val="auto"/>
          <w:kern w:val="0"/>
          <w:sz w:val="32"/>
          <w:szCs w:val="32"/>
          <w:highlight w:val="none"/>
        </w:rPr>
      </w:pPr>
    </w:p>
    <w:p w14:paraId="52416E52">
      <w:pPr>
        <w:snapToGrid w:val="0"/>
        <w:spacing w:line="360" w:lineRule="auto"/>
        <w:ind w:right="480"/>
        <w:jc w:val="center"/>
        <w:rPr>
          <w:rFonts w:ascii="仿宋_GB2312" w:hAnsi="仿宋" w:eastAsia="仿宋_GB2312" w:cs="仿宋_GB2312"/>
          <w:b/>
          <w:color w:val="auto"/>
          <w:kern w:val="0"/>
          <w:sz w:val="32"/>
          <w:szCs w:val="32"/>
          <w:highlight w:val="none"/>
        </w:rPr>
      </w:pPr>
    </w:p>
    <w:p w14:paraId="070AA69A">
      <w:pPr>
        <w:snapToGrid w:val="0"/>
        <w:spacing w:line="360" w:lineRule="auto"/>
        <w:ind w:right="480"/>
        <w:jc w:val="center"/>
        <w:rPr>
          <w:rFonts w:ascii="仿宋_GB2312" w:hAnsi="仿宋" w:eastAsia="仿宋_GB2312" w:cs="仿宋_GB2312"/>
          <w:b/>
          <w:color w:val="auto"/>
          <w:kern w:val="0"/>
          <w:sz w:val="32"/>
          <w:szCs w:val="32"/>
          <w:highlight w:val="none"/>
        </w:rPr>
      </w:pPr>
    </w:p>
    <w:p w14:paraId="5BE432BC">
      <w:pPr>
        <w:pStyle w:val="24"/>
        <w:rPr>
          <w:rFonts w:ascii="仿宋_GB2312" w:hAnsi="仿宋" w:eastAsia="仿宋_GB2312" w:cs="仿宋_GB2312"/>
          <w:b/>
          <w:color w:val="auto"/>
          <w:kern w:val="0"/>
          <w:sz w:val="32"/>
          <w:szCs w:val="32"/>
          <w:highlight w:val="none"/>
        </w:rPr>
      </w:pPr>
    </w:p>
    <w:p w14:paraId="683F4F4D">
      <w:pPr>
        <w:pStyle w:val="25"/>
      </w:pPr>
    </w:p>
    <w:p w14:paraId="1B26DC59">
      <w:pPr>
        <w:snapToGrid w:val="0"/>
        <w:spacing w:line="360" w:lineRule="auto"/>
        <w:ind w:right="480"/>
        <w:jc w:val="both"/>
        <w:rPr>
          <w:rFonts w:ascii="仿宋_GB2312" w:hAnsi="仿宋" w:eastAsia="仿宋_GB2312" w:cs="仿宋_GB2312"/>
          <w:b/>
          <w:color w:val="auto"/>
          <w:kern w:val="0"/>
          <w:sz w:val="32"/>
          <w:szCs w:val="32"/>
          <w:highlight w:val="none"/>
        </w:rPr>
      </w:pPr>
    </w:p>
    <w:p w14:paraId="320ACEEA"/>
    <w:p w14:paraId="5E535E05">
      <w:pPr>
        <w:pStyle w:val="698"/>
        <w:keepNext w:val="0"/>
        <w:pageBreakBefore w:val="0"/>
        <w:tabs>
          <w:tab w:val="clear" w:pos="720"/>
        </w:tabs>
        <w:snapToGrid w:val="0"/>
        <w:spacing w:before="120" w:after="120"/>
        <w:ind w:firstLine="2907" w:firstLineChars="905"/>
        <w:jc w:val="both"/>
        <w:outlineLvl w:val="2"/>
        <w:rPr>
          <w:rFonts w:hint="eastAsia" w:ascii="仿宋_GB2312" w:hAnsi="仿宋" w:eastAsia="仿宋_GB2312" w:cs="仿宋_GB2312"/>
          <w:color w:val="auto"/>
          <w:kern w:val="2"/>
          <w:sz w:val="32"/>
          <w:szCs w:val="32"/>
          <w:highlight w:val="none"/>
        </w:rPr>
      </w:pPr>
    </w:p>
    <w:p w14:paraId="53800366">
      <w:pPr>
        <w:pStyle w:val="698"/>
        <w:keepNext w:val="0"/>
        <w:pageBreakBefore w:val="0"/>
        <w:tabs>
          <w:tab w:val="clear" w:pos="720"/>
        </w:tabs>
        <w:snapToGrid w:val="0"/>
        <w:spacing w:before="120" w:after="120"/>
        <w:ind w:firstLine="2907" w:firstLineChars="905"/>
        <w:jc w:val="both"/>
        <w:outlineLvl w:val="2"/>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14:paraId="19C58AE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衢州市柯城区航埠镇人民政府</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浙江天平投资咨询有限公司</w:t>
      </w:r>
      <w:r>
        <w:rPr>
          <w:rFonts w:hint="eastAsia" w:ascii="仿宋_GB2312" w:hAnsi="仿宋" w:eastAsia="仿宋_GB2312" w:cs="仿宋_GB2312"/>
          <w:color w:val="auto"/>
          <w:kern w:val="0"/>
          <w:sz w:val="24"/>
          <w:highlight w:val="none"/>
          <w:lang w:val="zh-CN"/>
        </w:rPr>
        <w:t>：</w:t>
      </w:r>
    </w:p>
    <w:p w14:paraId="0C6D440B">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我方承诺按照如下开标一览表（报价表）的价格完成</w:t>
      </w:r>
      <w:r>
        <w:rPr>
          <w:rFonts w:hint="eastAsia" w:ascii="仿宋_GB2312" w:hAnsi="仿宋" w:eastAsia="仿宋_GB2312" w:cs="仿宋_GB2312"/>
          <w:color w:val="auto"/>
          <w:sz w:val="24"/>
          <w:highlight w:val="none"/>
          <w:lang w:eastAsia="zh-CN"/>
        </w:rPr>
        <w:t>航埠镇沿线沿路屋顶分布式光伏电站整改服务项目（三次）</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lang w:eastAsia="zh-CN"/>
        </w:rPr>
        <w:t>ZJTP-KCCG-2025068</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14:paraId="56562834">
      <w:pPr>
        <w:spacing w:line="360" w:lineRule="auto"/>
        <w:ind w:firstLine="2891" w:firstLineChars="120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70"/>
        <w:tblpPr w:leftFromText="180" w:rightFromText="180" w:vertAnchor="text" w:horzAnchor="page" w:tblpX="1307" w:tblpY="257"/>
        <w:tblOverlap w:val="never"/>
        <w:tblW w:w="9470"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7648"/>
      </w:tblGrid>
      <w:tr w14:paraId="10B36F4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822" w:type="dxa"/>
            <w:tcBorders>
              <w:top w:val="thinThickSmallGap" w:color="auto" w:sz="12" w:space="0"/>
            </w:tcBorders>
            <w:vAlign w:val="center"/>
          </w:tcPr>
          <w:p w14:paraId="40012508">
            <w:pPr>
              <w:pStyle w:val="989"/>
              <w:spacing w:before="0" w:beforeAutospacing="0" w:after="0" w:afterAutospacing="0" w:line="460" w:lineRule="exact"/>
              <w:ind w:firstLine="0" w:firstLineChars="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项目名称</w:t>
            </w:r>
          </w:p>
        </w:tc>
        <w:tc>
          <w:tcPr>
            <w:tcW w:w="7648" w:type="dxa"/>
            <w:tcBorders>
              <w:top w:val="thinThickSmallGap" w:color="auto" w:sz="12" w:space="0"/>
            </w:tcBorders>
            <w:vAlign w:val="center"/>
          </w:tcPr>
          <w:p w14:paraId="76854532">
            <w:pPr>
              <w:snapToGrid w:val="0"/>
              <w:ind w:firstLine="480"/>
              <w:rPr>
                <w:rFonts w:hint="eastAsia" w:ascii="仿宋_GB2312" w:hAnsi="仿宋_GB2312" w:eastAsia="仿宋_GB2312" w:cs="仿宋_GB2312"/>
                <w:color w:val="auto"/>
                <w:sz w:val="24"/>
                <w:szCs w:val="24"/>
              </w:rPr>
            </w:pPr>
          </w:p>
        </w:tc>
      </w:tr>
      <w:tr w14:paraId="6655DF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822" w:type="dxa"/>
            <w:vAlign w:val="center"/>
          </w:tcPr>
          <w:p w14:paraId="281D1AFB">
            <w:pPr>
              <w:pStyle w:val="989"/>
              <w:spacing w:before="0" w:beforeAutospacing="0" w:after="0" w:afterAutospacing="0" w:line="46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项目编号</w:t>
            </w:r>
          </w:p>
        </w:tc>
        <w:tc>
          <w:tcPr>
            <w:tcW w:w="7648" w:type="dxa"/>
            <w:vAlign w:val="center"/>
          </w:tcPr>
          <w:p w14:paraId="588C1FDC">
            <w:pPr>
              <w:pStyle w:val="989"/>
              <w:spacing w:before="0" w:beforeAutospacing="0" w:after="0" w:afterAutospacing="0" w:line="460" w:lineRule="exact"/>
              <w:ind w:firstLine="0" w:firstLineChars="0"/>
              <w:rPr>
                <w:rFonts w:hint="eastAsia" w:ascii="仿宋_GB2312" w:hAnsi="仿宋_GB2312" w:eastAsia="仿宋_GB2312" w:cs="仿宋_GB2312"/>
                <w:color w:val="auto"/>
                <w:sz w:val="24"/>
                <w:szCs w:val="24"/>
              </w:rPr>
            </w:pPr>
          </w:p>
        </w:tc>
      </w:tr>
      <w:tr w14:paraId="70AAE1E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822" w:type="dxa"/>
            <w:vAlign w:val="center"/>
          </w:tcPr>
          <w:p w14:paraId="3B9C93C3">
            <w:pPr>
              <w:pStyle w:val="989"/>
              <w:spacing w:before="0" w:beforeAutospacing="0" w:after="0" w:afterAutospacing="0" w:line="460" w:lineRule="exact"/>
              <w:ind w:firstLine="0" w:firstLine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供货期</w:t>
            </w:r>
          </w:p>
        </w:tc>
        <w:tc>
          <w:tcPr>
            <w:tcW w:w="7648" w:type="dxa"/>
            <w:vAlign w:val="center"/>
          </w:tcPr>
          <w:p w14:paraId="46CB0B72">
            <w:pPr>
              <w:pStyle w:val="989"/>
              <w:spacing w:before="0" w:beforeAutospacing="0" w:after="0" w:afterAutospacing="0" w:line="460" w:lineRule="exact"/>
              <w:ind w:firstLine="0" w:firstLineChars="0"/>
              <w:rPr>
                <w:rFonts w:hint="eastAsia" w:ascii="仿宋_GB2312" w:hAnsi="仿宋_GB2312" w:eastAsia="仿宋_GB2312" w:cs="仿宋_GB2312"/>
                <w:color w:val="auto"/>
                <w:sz w:val="24"/>
                <w:szCs w:val="24"/>
              </w:rPr>
            </w:pPr>
          </w:p>
        </w:tc>
      </w:tr>
      <w:tr w14:paraId="1284AF9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22" w:type="dxa"/>
            <w:vAlign w:val="center"/>
          </w:tcPr>
          <w:p w14:paraId="534109CF">
            <w:pPr>
              <w:pStyle w:val="989"/>
              <w:spacing w:before="0" w:beforeAutospacing="0" w:after="0" w:afterAutospacing="0" w:line="460" w:lineRule="exact"/>
              <w:ind w:firstLine="0" w:firstLineChars="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项目负责人</w:t>
            </w:r>
          </w:p>
        </w:tc>
        <w:tc>
          <w:tcPr>
            <w:tcW w:w="7648" w:type="dxa"/>
            <w:vAlign w:val="center"/>
          </w:tcPr>
          <w:p w14:paraId="26EA1C15">
            <w:pPr>
              <w:pStyle w:val="989"/>
              <w:spacing w:before="0" w:beforeAutospacing="0" w:after="0" w:afterAutospacing="0" w:line="460" w:lineRule="exact"/>
              <w:ind w:firstLine="0" w:firstLineChars="0"/>
              <w:rPr>
                <w:rFonts w:hint="eastAsia" w:ascii="仿宋_GB2312" w:hAnsi="仿宋_GB2312" w:eastAsia="仿宋_GB2312" w:cs="仿宋_GB2312"/>
                <w:color w:val="auto"/>
                <w:kern w:val="2"/>
                <w:sz w:val="24"/>
                <w:szCs w:val="24"/>
              </w:rPr>
            </w:pPr>
          </w:p>
        </w:tc>
      </w:tr>
      <w:tr w14:paraId="6E8A777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2" w:type="dxa"/>
            <w:vAlign w:val="center"/>
          </w:tcPr>
          <w:p w14:paraId="5A712264">
            <w:pPr>
              <w:ind w:left="0" w:leftChars="0" w:firstLine="0" w:firstLineChars="0"/>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综合单价</w:t>
            </w:r>
          </w:p>
        </w:tc>
        <w:tc>
          <w:tcPr>
            <w:tcW w:w="7648" w:type="dxa"/>
            <w:vAlign w:val="center"/>
          </w:tcPr>
          <w:p w14:paraId="343CE0DD">
            <w:pPr>
              <w:snapToGrid w:val="0"/>
              <w:ind w:left="0" w:leftChars="0" w:firstLine="0" w:firstLineChars="0"/>
              <w:jc w:val="both"/>
              <w:rPr>
                <w:rFonts w:hint="eastAsia" w:ascii="仿宋_GB2312" w:hAnsi="仿宋_GB2312" w:eastAsia="仿宋_GB2312" w:cs="仿宋_GB2312"/>
                <w:color w:val="auto"/>
                <w:spacing w:val="-5"/>
                <w:sz w:val="24"/>
                <w:szCs w:val="24"/>
                <w:u w:val="single"/>
                <w:lang w:val="en-US" w:eastAsia="zh-CN"/>
              </w:rPr>
            </w:pPr>
            <w:r>
              <w:rPr>
                <w:rFonts w:hint="eastAsia" w:ascii="仿宋_GB2312" w:hAnsi="仿宋_GB2312" w:eastAsia="仿宋_GB2312" w:cs="仿宋_GB2312"/>
                <w:color w:val="auto"/>
                <w:sz w:val="24"/>
                <w:szCs w:val="24"/>
                <w:u w:val="none"/>
                <w:lang w:val="en-US" w:eastAsia="zh-CN"/>
              </w:rPr>
              <w:t>人民币大写</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w:t>
            </w:r>
            <w:r>
              <w:rPr>
                <w:rFonts w:hint="eastAsia" w:ascii="仿宋_GB2312" w:hAnsi="仿宋_GB2312" w:eastAsia="仿宋_GB2312" w:cs="仿宋_GB2312"/>
                <w:color w:val="auto"/>
                <w:kern w:val="2"/>
                <w:sz w:val="24"/>
                <w:szCs w:val="24"/>
              </w:rPr>
              <w:t>瓦</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sz w:val="24"/>
                <w:szCs w:val="24"/>
                <w:u w:val="none"/>
                <w:lang w:val="en-US" w:eastAsia="zh-CN"/>
              </w:rPr>
              <w:t>小写¥：</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w:t>
            </w:r>
            <w:r>
              <w:rPr>
                <w:rFonts w:hint="eastAsia" w:ascii="仿宋_GB2312" w:hAnsi="仿宋_GB2312" w:eastAsia="仿宋_GB2312" w:cs="仿宋_GB2312"/>
                <w:color w:val="auto"/>
                <w:kern w:val="2"/>
                <w:sz w:val="24"/>
                <w:szCs w:val="24"/>
              </w:rPr>
              <w:t>瓦</w:t>
            </w:r>
            <w:r>
              <w:rPr>
                <w:rFonts w:hint="eastAsia" w:ascii="仿宋_GB2312" w:hAnsi="仿宋_GB2312" w:eastAsia="仿宋_GB2312" w:cs="仿宋_GB2312"/>
                <w:color w:val="auto"/>
                <w:kern w:val="2"/>
                <w:sz w:val="24"/>
                <w:szCs w:val="24"/>
                <w:lang w:eastAsia="zh-CN"/>
              </w:rPr>
              <w:t>。</w:t>
            </w:r>
          </w:p>
        </w:tc>
      </w:tr>
      <w:tr w14:paraId="5E79AF4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2" w:type="dxa"/>
            <w:tcBorders>
              <w:bottom w:val="thinThickSmallGap" w:color="auto" w:sz="12" w:space="0"/>
            </w:tcBorders>
            <w:vAlign w:val="center"/>
          </w:tcPr>
          <w:p w14:paraId="7EAA4931">
            <w:pPr>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2"/>
                <w:sz w:val="24"/>
                <w:szCs w:val="24"/>
                <w:lang w:val="en-US" w:eastAsia="zh-CN"/>
              </w:rPr>
              <w:t>投标总价</w:t>
            </w:r>
          </w:p>
        </w:tc>
        <w:tc>
          <w:tcPr>
            <w:tcW w:w="7648" w:type="dxa"/>
            <w:tcBorders>
              <w:bottom w:val="thinThickSmallGap" w:color="auto" w:sz="12" w:space="0"/>
            </w:tcBorders>
            <w:vAlign w:val="center"/>
          </w:tcPr>
          <w:p w14:paraId="2A4DB994">
            <w:pPr>
              <w:snapToGrid w:val="0"/>
              <w:ind w:left="0" w:leftChars="0" w:firstLine="0" w:firstLineChars="0"/>
              <w:jc w:val="both"/>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人民币大写</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kern w:val="2"/>
                <w:sz w:val="24"/>
                <w:szCs w:val="24"/>
                <w:u w:val="single"/>
              </w:rPr>
              <w:t xml:space="preserve">     </w:t>
            </w:r>
            <w:r>
              <w:rPr>
                <w:rFonts w:hint="eastAsia" w:ascii="仿宋_GB2312" w:hAnsi="仿宋_GB2312" w:eastAsia="仿宋_GB2312" w:cs="仿宋_GB2312"/>
                <w:color w:val="auto"/>
                <w:kern w:val="2"/>
                <w:sz w:val="24"/>
                <w:szCs w:val="24"/>
              </w:rPr>
              <w:t>元</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sz w:val="24"/>
                <w:szCs w:val="24"/>
                <w:u w:val="none"/>
                <w:lang w:val="en-US" w:eastAsia="zh-CN"/>
              </w:rPr>
              <w:t>小写¥：</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kern w:val="2"/>
                <w:sz w:val="24"/>
                <w:szCs w:val="24"/>
                <w:u w:val="single"/>
              </w:rPr>
              <w:t xml:space="preserve">     </w:t>
            </w:r>
            <w:r>
              <w:rPr>
                <w:rFonts w:hint="eastAsia" w:ascii="仿宋_GB2312" w:hAnsi="仿宋_GB2312" w:eastAsia="仿宋_GB2312" w:cs="仿宋_GB2312"/>
                <w:color w:val="auto"/>
                <w:kern w:val="2"/>
                <w:sz w:val="24"/>
                <w:szCs w:val="24"/>
              </w:rPr>
              <w:t>元</w:t>
            </w:r>
            <w:r>
              <w:rPr>
                <w:rFonts w:hint="eastAsia" w:ascii="仿宋_GB2312" w:hAnsi="仿宋_GB2312" w:eastAsia="仿宋_GB2312" w:cs="仿宋_GB2312"/>
                <w:color w:val="auto"/>
                <w:kern w:val="2"/>
                <w:sz w:val="24"/>
                <w:szCs w:val="24"/>
                <w:lang w:eastAsia="zh-CN"/>
              </w:rPr>
              <w:t>。</w:t>
            </w:r>
          </w:p>
        </w:tc>
      </w:tr>
    </w:tbl>
    <w:p w14:paraId="5381787A">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_GB2312" w:eastAsia="仿宋_GB2312" w:cs="仿宋_GB2312"/>
          <w:b/>
          <w:color w:val="auto"/>
          <w:kern w:val="0"/>
          <w:sz w:val="24"/>
          <w:szCs w:val="24"/>
          <w:highlight w:val="none"/>
          <w:lang w:val="zh-CN"/>
        </w:rPr>
        <w:t>注：</w:t>
      </w:r>
      <w:r>
        <w:rPr>
          <w:rFonts w:hint="eastAsia" w:ascii="仿宋_GB2312" w:hAnsi="仿宋_GB2312" w:eastAsia="仿宋_GB2312" w:cs="仿宋_GB2312"/>
          <w:color w:val="auto"/>
          <w:kern w:val="0"/>
          <w:sz w:val="24"/>
          <w:szCs w:val="24"/>
          <w:highlight w:val="none"/>
          <w:lang w:val="zh-CN"/>
        </w:rPr>
        <w:t>1、投标人需按本表格式填写，不得自行更改。</w:t>
      </w:r>
    </w:p>
    <w:p w14:paraId="3CA0C386">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w:t>
      </w:r>
      <w:r>
        <w:rPr>
          <w:rFonts w:hint="eastAsia" w:ascii="仿宋_GB2312" w:hAnsi="仿宋" w:eastAsia="仿宋_GB2312" w:cs="仿宋_GB2312"/>
          <w:color w:val="auto"/>
          <w:kern w:val="0"/>
          <w:sz w:val="24"/>
          <w:highlight w:val="none"/>
          <w:lang w:val="zh-CN"/>
        </w:rPr>
        <w:t>注：报价应为提供本次采购全包干价，包含</w:t>
      </w:r>
      <w:r>
        <w:rPr>
          <w:rFonts w:hint="eastAsia" w:ascii="仿宋_GB2312" w:hAnsi="仿宋_GB2312" w:eastAsia="仿宋_GB2312" w:cs="仿宋_GB2312"/>
          <w:snapToGrid/>
          <w:kern w:val="2"/>
          <w:sz w:val="24"/>
          <w:szCs w:val="24"/>
          <w:lang w:val="zh-CN" w:eastAsia="zh-CN" w:bidi="ar-SA"/>
        </w:rPr>
        <w:t>包括项目设计、材料采购、工程施工、光伏支架，以及立项、审批、勘测、移交、辅材、运输搬运、损耗、备品备件、专用工具、产品保管、安装、调试、试运行、检验、验收、并网通电、运行维护、维保、售后服务、保险、利润和税金、招标代理费以及政策性文件规定费用及合同包含的所有风险、责任等所有费用</w:t>
      </w:r>
      <w:r>
        <w:rPr>
          <w:rFonts w:hint="eastAsia" w:ascii="仿宋_GB2312" w:hAnsi="仿宋" w:eastAsia="仿宋_GB2312" w:cs="仿宋_GB2312"/>
          <w:color w:val="auto"/>
          <w:kern w:val="0"/>
          <w:sz w:val="24"/>
          <w:highlight w:val="none"/>
          <w:lang w:val="zh-CN"/>
        </w:rPr>
        <w:t>。</w:t>
      </w:r>
    </w:p>
    <w:p w14:paraId="008595BB">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7ED40964">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0C1B17F5">
      <w:pPr>
        <w:spacing w:line="360" w:lineRule="auto"/>
        <w:ind w:firstLine="482" w:firstLineChars="200"/>
        <w:rPr>
          <w:rFonts w:ascii="仿宋_GB2312" w:hAnsi="仿宋" w:eastAsia="仿宋_GB2312"/>
          <w:b/>
          <w:color w:val="auto"/>
          <w:kern w:val="0"/>
          <w:sz w:val="24"/>
          <w:highlight w:val="none"/>
        </w:rPr>
      </w:pPr>
    </w:p>
    <w:p w14:paraId="5A354D53">
      <w:pPr>
        <w:pStyle w:val="698"/>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8" w:type="first"/>
          <w:footerReference r:id="rId10" w:type="first"/>
          <w:headerReference r:id="rId7" w:type="default"/>
          <w:footerReference r:id="rId9" w:type="default"/>
          <w:pgSz w:w="11906" w:h="16838"/>
          <w:pgMar w:top="1247" w:right="1418" w:bottom="1276" w:left="1418" w:header="851" w:footer="992" w:gutter="0"/>
          <w:cols w:space="0" w:num="1"/>
          <w:titlePg/>
          <w:rtlGutter w:val="0"/>
          <w:docGrid w:linePitch="312" w:charSpace="0"/>
        </w:sectPr>
      </w:pPr>
    </w:p>
    <w:p w14:paraId="3907369D">
      <w:pPr>
        <w:pStyle w:val="698"/>
        <w:keepNext w:val="0"/>
        <w:pageBreakBefore w:val="0"/>
        <w:tabs>
          <w:tab w:val="clear" w:pos="720"/>
        </w:tabs>
        <w:snapToGrid w:val="0"/>
        <w:spacing w:before="120" w:after="120"/>
        <w:jc w:val="both"/>
        <w:outlineLvl w:val="2"/>
        <w:rPr>
          <w:rFonts w:hint="eastAsia" w:ascii="仿宋_GB2312" w:hAnsi="仿宋" w:eastAsia="仿宋_GB2312" w:cs="仿宋_GB2312"/>
          <w:color w:val="auto"/>
          <w:kern w:val="2"/>
          <w:sz w:val="32"/>
          <w:szCs w:val="32"/>
          <w:highlight w:val="none"/>
        </w:rPr>
      </w:pPr>
    </w:p>
    <w:p w14:paraId="2D56E619">
      <w:pPr>
        <w:pStyle w:val="698"/>
        <w:keepNext w:val="0"/>
        <w:pageBreakBefore w:val="0"/>
        <w:tabs>
          <w:tab w:val="clear" w:pos="720"/>
        </w:tabs>
        <w:snapToGrid w:val="0"/>
        <w:spacing w:before="120" w:after="120"/>
        <w:ind w:firstLine="2586" w:firstLineChars="805"/>
        <w:jc w:val="both"/>
        <w:outlineLvl w:val="2"/>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7EE03D9D">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609ABD6D">
      <w:pPr>
        <w:pStyle w:val="698"/>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14:paraId="51F91D75">
      <w:pPr>
        <w:spacing w:line="360" w:lineRule="auto"/>
        <w:ind w:right="420" w:firstLine="3614" w:firstLineChars="1000"/>
        <w:rPr>
          <w:rFonts w:ascii="仿宋_GB2312" w:hAnsi="仿宋" w:eastAsia="仿宋_GB2312" w:cs="仿宋_GB2312"/>
          <w:b/>
          <w:color w:val="auto"/>
          <w:kern w:val="0"/>
          <w:sz w:val="36"/>
          <w:szCs w:val="36"/>
          <w:highlight w:val="none"/>
        </w:rPr>
      </w:pPr>
    </w:p>
    <w:p w14:paraId="54A20726">
      <w:pPr>
        <w:spacing w:line="360" w:lineRule="auto"/>
        <w:ind w:right="420" w:firstLine="3614" w:firstLineChars="1000"/>
        <w:rPr>
          <w:rFonts w:ascii="仿宋_GB2312" w:hAnsi="仿宋" w:eastAsia="仿宋_GB2312" w:cs="仿宋_GB2312"/>
          <w:b/>
          <w:color w:val="auto"/>
          <w:kern w:val="0"/>
          <w:sz w:val="36"/>
          <w:szCs w:val="36"/>
          <w:highlight w:val="none"/>
        </w:rPr>
      </w:pPr>
    </w:p>
    <w:p w14:paraId="628656B5">
      <w:pPr>
        <w:spacing w:line="360" w:lineRule="auto"/>
        <w:ind w:right="420" w:firstLine="3614" w:firstLineChars="1000"/>
        <w:rPr>
          <w:rFonts w:ascii="仿宋_GB2312" w:hAnsi="仿宋" w:eastAsia="仿宋_GB2312" w:cs="仿宋_GB2312"/>
          <w:b/>
          <w:color w:val="auto"/>
          <w:kern w:val="0"/>
          <w:sz w:val="36"/>
          <w:szCs w:val="36"/>
          <w:highlight w:val="none"/>
        </w:rPr>
      </w:pPr>
    </w:p>
    <w:p w14:paraId="00B2D278">
      <w:pPr>
        <w:spacing w:line="360" w:lineRule="auto"/>
        <w:ind w:right="420" w:firstLine="3614" w:firstLineChars="1000"/>
        <w:rPr>
          <w:rFonts w:ascii="仿宋_GB2312" w:hAnsi="仿宋" w:eastAsia="仿宋_GB2312" w:cs="仿宋_GB2312"/>
          <w:b/>
          <w:color w:val="auto"/>
          <w:kern w:val="0"/>
          <w:sz w:val="36"/>
          <w:szCs w:val="36"/>
          <w:highlight w:val="none"/>
        </w:rPr>
      </w:pPr>
    </w:p>
    <w:p w14:paraId="41AA94A2">
      <w:pPr>
        <w:spacing w:line="360" w:lineRule="auto"/>
        <w:ind w:right="420" w:firstLine="3614" w:firstLineChars="1000"/>
        <w:rPr>
          <w:rFonts w:ascii="仿宋_GB2312" w:hAnsi="仿宋" w:eastAsia="仿宋_GB2312" w:cs="仿宋_GB2312"/>
          <w:b/>
          <w:color w:val="auto"/>
          <w:kern w:val="0"/>
          <w:sz w:val="36"/>
          <w:szCs w:val="36"/>
          <w:highlight w:val="none"/>
        </w:rPr>
      </w:pPr>
    </w:p>
    <w:p w14:paraId="25579E04">
      <w:pPr>
        <w:spacing w:line="360" w:lineRule="auto"/>
        <w:ind w:right="420" w:firstLine="3614" w:firstLineChars="1000"/>
        <w:rPr>
          <w:rFonts w:ascii="仿宋_GB2312" w:hAnsi="仿宋" w:eastAsia="仿宋_GB2312" w:cs="仿宋_GB2312"/>
          <w:b/>
          <w:color w:val="auto"/>
          <w:kern w:val="0"/>
          <w:sz w:val="36"/>
          <w:szCs w:val="36"/>
          <w:highlight w:val="none"/>
        </w:rPr>
      </w:pPr>
    </w:p>
    <w:p w14:paraId="45488DDB">
      <w:pPr>
        <w:spacing w:line="360" w:lineRule="auto"/>
        <w:ind w:right="420" w:firstLine="3614" w:firstLineChars="1000"/>
        <w:rPr>
          <w:rFonts w:ascii="仿宋_GB2312" w:hAnsi="仿宋" w:eastAsia="仿宋_GB2312" w:cs="仿宋_GB2312"/>
          <w:b/>
          <w:color w:val="auto"/>
          <w:kern w:val="0"/>
          <w:sz w:val="36"/>
          <w:szCs w:val="36"/>
          <w:highlight w:val="none"/>
        </w:rPr>
      </w:pPr>
    </w:p>
    <w:p w14:paraId="55933FE4">
      <w:pPr>
        <w:spacing w:line="360" w:lineRule="auto"/>
        <w:ind w:right="420" w:firstLine="3614" w:firstLineChars="1000"/>
        <w:rPr>
          <w:rFonts w:ascii="仿宋_GB2312" w:hAnsi="仿宋" w:eastAsia="仿宋_GB2312" w:cs="仿宋_GB2312"/>
          <w:b/>
          <w:color w:val="auto"/>
          <w:kern w:val="0"/>
          <w:sz w:val="36"/>
          <w:szCs w:val="36"/>
          <w:highlight w:val="none"/>
        </w:rPr>
      </w:pPr>
    </w:p>
    <w:p w14:paraId="3D5A4870">
      <w:pPr>
        <w:spacing w:line="360" w:lineRule="auto"/>
        <w:ind w:right="420" w:firstLine="3614" w:firstLineChars="1000"/>
        <w:rPr>
          <w:rFonts w:ascii="仿宋_GB2312" w:hAnsi="仿宋" w:eastAsia="仿宋_GB2312" w:cs="仿宋_GB2312"/>
          <w:b/>
          <w:color w:val="auto"/>
          <w:kern w:val="0"/>
          <w:sz w:val="36"/>
          <w:szCs w:val="36"/>
          <w:highlight w:val="none"/>
        </w:rPr>
      </w:pPr>
    </w:p>
    <w:p w14:paraId="13D7B4F3">
      <w:pPr>
        <w:spacing w:line="360" w:lineRule="auto"/>
        <w:ind w:right="420" w:firstLine="3614" w:firstLineChars="1000"/>
        <w:rPr>
          <w:rFonts w:ascii="仿宋_GB2312" w:hAnsi="仿宋" w:eastAsia="仿宋_GB2312" w:cs="仿宋_GB2312"/>
          <w:b/>
          <w:color w:val="auto"/>
          <w:kern w:val="0"/>
          <w:sz w:val="36"/>
          <w:szCs w:val="36"/>
          <w:highlight w:val="none"/>
        </w:rPr>
      </w:pPr>
    </w:p>
    <w:p w14:paraId="6A958FE1">
      <w:pPr>
        <w:spacing w:line="360" w:lineRule="auto"/>
        <w:ind w:right="420" w:firstLine="3614" w:firstLineChars="1000"/>
        <w:rPr>
          <w:rFonts w:ascii="仿宋_GB2312" w:hAnsi="仿宋" w:eastAsia="仿宋_GB2312" w:cs="仿宋_GB2312"/>
          <w:b/>
          <w:color w:val="auto"/>
          <w:kern w:val="0"/>
          <w:sz w:val="36"/>
          <w:szCs w:val="36"/>
          <w:highlight w:val="none"/>
        </w:rPr>
      </w:pPr>
    </w:p>
    <w:p w14:paraId="1C895057">
      <w:pPr>
        <w:spacing w:line="360" w:lineRule="auto"/>
        <w:ind w:right="420" w:firstLine="3614" w:firstLineChars="1000"/>
        <w:rPr>
          <w:rFonts w:ascii="仿宋_GB2312" w:hAnsi="仿宋" w:eastAsia="仿宋_GB2312" w:cs="仿宋_GB2312"/>
          <w:b/>
          <w:color w:val="auto"/>
          <w:kern w:val="0"/>
          <w:sz w:val="36"/>
          <w:szCs w:val="36"/>
          <w:highlight w:val="none"/>
        </w:rPr>
      </w:pPr>
    </w:p>
    <w:p w14:paraId="40D9FAA7">
      <w:pPr>
        <w:spacing w:line="360" w:lineRule="auto"/>
        <w:ind w:right="420" w:firstLine="3614" w:firstLineChars="1000"/>
        <w:rPr>
          <w:rFonts w:ascii="仿宋_GB2312" w:hAnsi="仿宋" w:eastAsia="仿宋_GB2312" w:cs="仿宋_GB2312"/>
          <w:b/>
          <w:color w:val="auto"/>
          <w:kern w:val="0"/>
          <w:sz w:val="36"/>
          <w:szCs w:val="36"/>
          <w:highlight w:val="none"/>
        </w:rPr>
      </w:pPr>
    </w:p>
    <w:p w14:paraId="24404353">
      <w:pPr>
        <w:spacing w:line="360" w:lineRule="auto"/>
        <w:ind w:right="420" w:firstLine="3614" w:firstLineChars="1000"/>
        <w:rPr>
          <w:rFonts w:ascii="仿宋_GB2312" w:hAnsi="仿宋" w:eastAsia="仿宋_GB2312" w:cs="仿宋_GB2312"/>
          <w:b/>
          <w:color w:val="auto"/>
          <w:kern w:val="0"/>
          <w:sz w:val="36"/>
          <w:szCs w:val="36"/>
          <w:highlight w:val="none"/>
        </w:rPr>
      </w:pPr>
    </w:p>
    <w:p w14:paraId="7E5056D7">
      <w:pPr>
        <w:spacing w:line="360" w:lineRule="auto"/>
        <w:ind w:right="420" w:firstLine="3614" w:firstLineChars="1000"/>
        <w:rPr>
          <w:rFonts w:ascii="仿宋_GB2312" w:hAnsi="仿宋" w:eastAsia="仿宋_GB2312" w:cs="仿宋_GB2312"/>
          <w:b/>
          <w:color w:val="auto"/>
          <w:kern w:val="0"/>
          <w:sz w:val="36"/>
          <w:szCs w:val="36"/>
          <w:highlight w:val="none"/>
        </w:rPr>
      </w:pPr>
    </w:p>
    <w:p w14:paraId="6E20C1B3">
      <w:pPr>
        <w:pStyle w:val="3"/>
        <w:keepNext w:val="0"/>
        <w:keepLines w:val="0"/>
        <w:pageBreakBefore/>
        <w:widowControl/>
        <w:spacing w:before="100" w:beforeAutospacing="1" w:after="100" w:afterAutospacing="1"/>
        <w:jc w:val="both"/>
        <w:rPr>
          <w:rFonts w:ascii="仿宋_GB2312" w:hAnsi="仿宋" w:eastAsia="仿宋_GB2312"/>
          <w:color w:val="auto"/>
          <w:highlight w:val="none"/>
        </w:rPr>
      </w:pPr>
      <w:bookmarkStart w:id="633" w:name="_Toc465665161"/>
      <w:r>
        <w:rPr>
          <w:rFonts w:hint="eastAsia" w:ascii="仿宋_GB2312" w:hAnsi="仿宋" w:eastAsia="仿宋_GB2312"/>
          <w:color w:val="auto"/>
          <w:highlight w:val="none"/>
        </w:rPr>
        <w:t>附件</w:t>
      </w:r>
      <w:bookmarkEnd w:id="633"/>
    </w:p>
    <w:p w14:paraId="60DA2330">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00CF9FBC">
      <w:pPr>
        <w:spacing w:line="360" w:lineRule="auto"/>
        <w:jc w:val="center"/>
        <w:rPr>
          <w:rFonts w:ascii="仿宋_GB2312" w:hAnsi="仿宋" w:eastAsia="仿宋_GB2312"/>
          <w:b/>
          <w:color w:val="auto"/>
          <w:spacing w:val="6"/>
          <w:sz w:val="32"/>
          <w:szCs w:val="32"/>
          <w:highlight w:val="none"/>
        </w:rPr>
      </w:pPr>
      <w:bookmarkStart w:id="634" w:name="OLE_LINK14"/>
      <w:bookmarkStart w:id="635" w:name="OLE_LINK13"/>
      <w:r>
        <w:rPr>
          <w:rFonts w:hint="eastAsia" w:ascii="仿宋_GB2312" w:hAnsi="仿宋" w:eastAsia="仿宋_GB2312"/>
          <w:b/>
          <w:color w:val="auto"/>
          <w:spacing w:val="6"/>
          <w:sz w:val="32"/>
          <w:szCs w:val="32"/>
          <w:highlight w:val="none"/>
        </w:rPr>
        <w:t>残疾人福利性单位声明函</w:t>
      </w:r>
    </w:p>
    <w:bookmarkEnd w:id="634"/>
    <w:bookmarkEnd w:id="635"/>
    <w:p w14:paraId="511AF50B">
      <w:pPr>
        <w:spacing w:line="360" w:lineRule="auto"/>
        <w:rPr>
          <w:rFonts w:ascii="仿宋_GB2312" w:hAnsi="仿宋" w:eastAsia="仿宋_GB2312"/>
          <w:b/>
          <w:color w:val="auto"/>
          <w:spacing w:val="6"/>
          <w:sz w:val="30"/>
          <w:szCs w:val="30"/>
          <w:highlight w:val="none"/>
        </w:rPr>
      </w:pPr>
    </w:p>
    <w:p w14:paraId="54435D6B">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服务（由本单位承担工程/提供本单位制造的货物），或者提供其他残疾人福利性单位制造的货物（不包括使用非残疾人福利性单位注册商标的货物）。</w:t>
      </w:r>
    </w:p>
    <w:p w14:paraId="327178F9">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7822ECFC">
      <w:pPr>
        <w:spacing w:line="360" w:lineRule="auto"/>
        <w:ind w:firstLine="480" w:firstLineChars="200"/>
        <w:rPr>
          <w:rFonts w:ascii="仿宋_GB2312" w:hAnsi="仿宋" w:eastAsia="仿宋_GB2312" w:cs="仿宋_GB2312"/>
          <w:color w:val="auto"/>
          <w:sz w:val="24"/>
          <w:highlight w:val="none"/>
        </w:rPr>
      </w:pPr>
    </w:p>
    <w:p w14:paraId="18920753">
      <w:pPr>
        <w:spacing w:line="360" w:lineRule="auto"/>
        <w:ind w:firstLine="480" w:firstLineChars="200"/>
        <w:rPr>
          <w:rFonts w:ascii="仿宋_GB2312" w:hAnsi="仿宋" w:eastAsia="仿宋_GB2312" w:cs="仿宋_GB2312"/>
          <w:color w:val="auto"/>
          <w:sz w:val="24"/>
          <w:highlight w:val="none"/>
        </w:rPr>
      </w:pPr>
    </w:p>
    <w:p w14:paraId="7029EC45">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sz w:val="24"/>
          <w:highlight w:val="none"/>
        </w:rPr>
        <w:t>：</w:t>
      </w:r>
    </w:p>
    <w:p w14:paraId="60D96D86">
      <w:pPr>
        <w:tabs>
          <w:tab w:val="left" w:pos="4860"/>
        </w:tabs>
        <w:spacing w:line="360" w:lineRule="auto"/>
        <w:ind w:right="1560" w:firstLine="3600" w:firstLineChars="15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日  期：</w:t>
      </w:r>
    </w:p>
    <w:p w14:paraId="51C5AA51">
      <w:pPr>
        <w:spacing w:line="360" w:lineRule="auto"/>
        <w:ind w:firstLine="480" w:firstLineChars="200"/>
        <w:rPr>
          <w:rFonts w:ascii="仿宋_GB2312" w:hAnsi="仿宋" w:eastAsia="仿宋_GB2312" w:cs="仿宋_GB2312"/>
          <w:color w:val="auto"/>
          <w:sz w:val="24"/>
          <w:highlight w:val="none"/>
        </w:rPr>
      </w:pPr>
    </w:p>
    <w:p w14:paraId="4EBCAE1F">
      <w:pPr>
        <w:spacing w:line="360" w:lineRule="auto"/>
        <w:ind w:firstLine="420" w:firstLineChars="200"/>
        <w:rPr>
          <w:rFonts w:ascii="仿宋_GB2312" w:hAnsi="仿宋" w:eastAsia="仿宋_GB2312"/>
          <w:color w:val="auto"/>
          <w:highlight w:val="none"/>
        </w:rPr>
      </w:pPr>
    </w:p>
    <w:p w14:paraId="4D37BA4B">
      <w:pPr>
        <w:spacing w:line="360" w:lineRule="auto"/>
        <w:ind w:firstLine="420" w:firstLineChars="200"/>
        <w:rPr>
          <w:rFonts w:ascii="仿宋_GB2312" w:hAnsi="仿宋" w:eastAsia="仿宋_GB2312"/>
          <w:color w:val="auto"/>
          <w:highlight w:val="none"/>
        </w:rPr>
      </w:pPr>
    </w:p>
    <w:p w14:paraId="4658F973">
      <w:pPr>
        <w:spacing w:line="360" w:lineRule="auto"/>
        <w:ind w:firstLine="420" w:firstLineChars="200"/>
        <w:rPr>
          <w:rFonts w:ascii="仿宋_GB2312" w:hAnsi="仿宋" w:eastAsia="仿宋_GB2312"/>
          <w:color w:val="auto"/>
          <w:highlight w:val="none"/>
        </w:rPr>
      </w:pPr>
    </w:p>
    <w:p w14:paraId="4D1371D7">
      <w:pPr>
        <w:spacing w:line="360" w:lineRule="auto"/>
        <w:ind w:firstLine="420" w:firstLineChars="200"/>
        <w:rPr>
          <w:rFonts w:ascii="仿宋_GB2312" w:hAnsi="仿宋" w:eastAsia="仿宋_GB2312"/>
          <w:color w:val="auto"/>
          <w:highlight w:val="none"/>
        </w:rPr>
      </w:pPr>
    </w:p>
    <w:p w14:paraId="0E0C3B8F">
      <w:pPr>
        <w:spacing w:line="360" w:lineRule="auto"/>
        <w:rPr>
          <w:rFonts w:ascii="仿宋_GB2312" w:hAnsi="仿宋" w:eastAsia="仿宋_GB2312" w:cs="仿宋_GB2312"/>
          <w:b/>
          <w:color w:val="auto"/>
          <w:sz w:val="24"/>
          <w:highlight w:val="none"/>
        </w:rPr>
      </w:pPr>
    </w:p>
    <w:p w14:paraId="790F85ED">
      <w:pPr>
        <w:spacing w:line="360" w:lineRule="auto"/>
        <w:rPr>
          <w:rFonts w:ascii="仿宋_GB2312" w:hAnsi="仿宋" w:eastAsia="仿宋_GB2312" w:cs="仿宋_GB2312"/>
          <w:b/>
          <w:color w:val="auto"/>
          <w:sz w:val="24"/>
          <w:highlight w:val="none"/>
        </w:rPr>
      </w:pPr>
    </w:p>
    <w:p w14:paraId="4A3C176F">
      <w:pPr>
        <w:spacing w:line="360" w:lineRule="auto"/>
        <w:rPr>
          <w:rFonts w:ascii="仿宋_GB2312" w:hAnsi="仿宋" w:eastAsia="仿宋_GB2312" w:cs="仿宋_GB2312"/>
          <w:b/>
          <w:color w:val="auto"/>
          <w:sz w:val="24"/>
          <w:highlight w:val="none"/>
        </w:rPr>
      </w:pPr>
    </w:p>
    <w:p w14:paraId="666E071A">
      <w:pPr>
        <w:spacing w:line="360" w:lineRule="auto"/>
        <w:rPr>
          <w:rFonts w:ascii="仿宋_GB2312" w:hAnsi="仿宋" w:eastAsia="仿宋_GB2312" w:cs="仿宋_GB2312"/>
          <w:b/>
          <w:color w:val="auto"/>
          <w:sz w:val="24"/>
          <w:highlight w:val="none"/>
        </w:rPr>
      </w:pPr>
    </w:p>
    <w:p w14:paraId="63E5BEE7">
      <w:pPr>
        <w:spacing w:line="360" w:lineRule="auto"/>
        <w:rPr>
          <w:rFonts w:ascii="仿宋_GB2312" w:hAnsi="仿宋" w:eastAsia="仿宋_GB2312" w:cs="仿宋_GB2312"/>
          <w:b/>
          <w:color w:val="auto"/>
          <w:sz w:val="24"/>
          <w:highlight w:val="none"/>
        </w:rPr>
      </w:pPr>
    </w:p>
    <w:p w14:paraId="673BCC67">
      <w:pPr>
        <w:spacing w:line="360" w:lineRule="auto"/>
        <w:rPr>
          <w:rFonts w:ascii="仿宋_GB2312" w:hAnsi="仿宋" w:eastAsia="仿宋_GB2312" w:cs="仿宋_GB2312"/>
          <w:b/>
          <w:color w:val="auto"/>
          <w:sz w:val="24"/>
          <w:highlight w:val="none"/>
        </w:rPr>
      </w:pPr>
    </w:p>
    <w:p w14:paraId="3EC202DF">
      <w:pPr>
        <w:spacing w:line="360" w:lineRule="auto"/>
        <w:rPr>
          <w:rFonts w:ascii="仿宋_GB2312" w:hAnsi="仿宋" w:eastAsia="仿宋_GB2312" w:cs="仿宋_GB2312"/>
          <w:b/>
          <w:color w:val="auto"/>
          <w:sz w:val="24"/>
          <w:highlight w:val="none"/>
        </w:rPr>
      </w:pPr>
    </w:p>
    <w:p w14:paraId="2AD53993">
      <w:pPr>
        <w:spacing w:line="360" w:lineRule="auto"/>
        <w:rPr>
          <w:rFonts w:ascii="仿宋_GB2312" w:hAnsi="仿宋" w:eastAsia="仿宋_GB2312" w:cs="仿宋_GB2312"/>
          <w:b/>
          <w:color w:val="auto"/>
          <w:sz w:val="24"/>
          <w:highlight w:val="none"/>
        </w:rPr>
      </w:pPr>
    </w:p>
    <w:p w14:paraId="11982424">
      <w:pPr>
        <w:spacing w:line="360" w:lineRule="auto"/>
        <w:rPr>
          <w:rFonts w:ascii="仿宋_GB2312" w:hAnsi="仿宋" w:eastAsia="仿宋_GB2312" w:cs="仿宋_GB2312"/>
          <w:b/>
          <w:color w:val="auto"/>
          <w:sz w:val="24"/>
          <w:highlight w:val="none"/>
        </w:rPr>
      </w:pPr>
    </w:p>
    <w:p w14:paraId="0F72632B">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6F842337">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08389CB3">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60B5FC5A">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5F4BCFED">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7F821B8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43BFC87A">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3A6E94DD">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6E5DA48E">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60F58D05">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7B869110">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60564A10">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338A4937">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03D9231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1E4001FA">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01D39F74">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14:paraId="7D574561">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3CB954BD">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6D51DFB7">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0FEC8DA0">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0532632C">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41FB3BAA">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581B0027">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6BDF59C3">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7774E21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7A52EF9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6EA352D5">
      <w:pPr>
        <w:spacing w:line="360" w:lineRule="auto"/>
        <w:jc w:val="center"/>
        <w:rPr>
          <w:rFonts w:ascii="仿宋_GB2312" w:hAnsi="仿宋" w:eastAsia="仿宋_GB2312" w:cs="仿宋"/>
          <w:b/>
          <w:bCs/>
          <w:color w:val="auto"/>
          <w:sz w:val="24"/>
          <w:highlight w:val="none"/>
        </w:rPr>
      </w:pPr>
    </w:p>
    <w:p w14:paraId="5F332375">
      <w:pPr>
        <w:spacing w:line="360" w:lineRule="auto"/>
        <w:rPr>
          <w:rFonts w:ascii="仿宋_GB2312" w:hAnsi="仿宋" w:eastAsia="仿宋_GB2312"/>
          <w:b/>
          <w:color w:val="auto"/>
          <w:sz w:val="24"/>
          <w:highlight w:val="none"/>
        </w:rPr>
      </w:pPr>
    </w:p>
    <w:p w14:paraId="74F468ED">
      <w:pPr>
        <w:spacing w:line="360" w:lineRule="auto"/>
        <w:rPr>
          <w:rFonts w:ascii="仿宋_GB2312" w:hAnsi="仿宋" w:eastAsia="仿宋_GB2312"/>
          <w:b/>
          <w:color w:val="auto"/>
          <w:sz w:val="24"/>
          <w:highlight w:val="none"/>
        </w:rPr>
      </w:pPr>
    </w:p>
    <w:p w14:paraId="076144FE">
      <w:pPr>
        <w:spacing w:line="360" w:lineRule="auto"/>
        <w:rPr>
          <w:rFonts w:ascii="仿宋_GB2312" w:hAnsi="仿宋" w:eastAsia="仿宋_GB2312"/>
          <w:b/>
          <w:color w:val="auto"/>
          <w:sz w:val="24"/>
          <w:highlight w:val="none"/>
        </w:rPr>
      </w:pPr>
    </w:p>
    <w:p w14:paraId="72E08B9D">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51BEDC4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14:paraId="32F2380D">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30112C75">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14:paraId="01391780">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14:paraId="5A67217C">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14:paraId="2BFBBFE4">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14:paraId="282CF333">
      <w:pPr>
        <w:widowControl/>
        <w:spacing w:line="360" w:lineRule="auto"/>
        <w:ind w:firstLine="600" w:firstLineChars="200"/>
        <w:jc w:val="left"/>
        <w:rPr>
          <w:rFonts w:ascii="仿宋_GB2312" w:hAnsi="仿宋" w:eastAsia="仿宋_GB2312"/>
          <w:color w:val="auto"/>
          <w:sz w:val="30"/>
          <w:szCs w:val="30"/>
          <w:highlight w:val="none"/>
        </w:rPr>
      </w:pPr>
    </w:p>
    <w:p w14:paraId="059E8923">
      <w:pPr>
        <w:spacing w:line="360" w:lineRule="auto"/>
        <w:jc w:val="center"/>
        <w:rPr>
          <w:rFonts w:ascii="仿宋_GB2312" w:hAnsi="仿宋" w:eastAsia="仿宋_GB2312"/>
          <w:b/>
          <w:color w:val="auto"/>
          <w:spacing w:val="6"/>
          <w:sz w:val="32"/>
          <w:szCs w:val="32"/>
          <w:highlight w:val="none"/>
        </w:rPr>
      </w:pPr>
    </w:p>
    <w:p w14:paraId="5BD602EB">
      <w:pPr>
        <w:spacing w:line="360" w:lineRule="auto"/>
        <w:jc w:val="center"/>
        <w:rPr>
          <w:rFonts w:ascii="仿宋_GB2312" w:hAnsi="仿宋" w:eastAsia="仿宋_GB2312"/>
          <w:b/>
          <w:color w:val="auto"/>
          <w:spacing w:val="6"/>
          <w:sz w:val="32"/>
          <w:szCs w:val="32"/>
          <w:highlight w:val="none"/>
        </w:rPr>
      </w:pPr>
    </w:p>
    <w:p w14:paraId="3BB5C129">
      <w:pPr>
        <w:spacing w:line="360" w:lineRule="auto"/>
        <w:jc w:val="center"/>
        <w:rPr>
          <w:rFonts w:ascii="仿宋_GB2312" w:hAnsi="仿宋" w:eastAsia="仿宋_GB2312"/>
          <w:b/>
          <w:color w:val="auto"/>
          <w:spacing w:val="6"/>
          <w:sz w:val="32"/>
          <w:szCs w:val="32"/>
          <w:highlight w:val="none"/>
        </w:rPr>
      </w:pPr>
    </w:p>
    <w:p w14:paraId="0DE41D99">
      <w:pPr>
        <w:spacing w:line="360" w:lineRule="auto"/>
        <w:jc w:val="center"/>
        <w:rPr>
          <w:rFonts w:ascii="仿宋_GB2312" w:hAnsi="仿宋" w:eastAsia="仿宋_GB2312"/>
          <w:b/>
          <w:color w:val="auto"/>
          <w:spacing w:val="6"/>
          <w:sz w:val="32"/>
          <w:szCs w:val="32"/>
          <w:highlight w:val="none"/>
        </w:rPr>
      </w:pPr>
    </w:p>
    <w:p w14:paraId="3D722046">
      <w:pPr>
        <w:spacing w:line="360" w:lineRule="auto"/>
        <w:jc w:val="center"/>
        <w:rPr>
          <w:rFonts w:ascii="仿宋_GB2312" w:hAnsi="仿宋" w:eastAsia="仿宋_GB2312"/>
          <w:b/>
          <w:color w:val="auto"/>
          <w:spacing w:val="6"/>
          <w:sz w:val="32"/>
          <w:szCs w:val="32"/>
          <w:highlight w:val="none"/>
        </w:rPr>
      </w:pPr>
    </w:p>
    <w:p w14:paraId="1658BF15">
      <w:pPr>
        <w:spacing w:line="360" w:lineRule="auto"/>
        <w:jc w:val="center"/>
        <w:rPr>
          <w:rFonts w:ascii="仿宋_GB2312" w:hAnsi="仿宋" w:eastAsia="仿宋_GB2312"/>
          <w:b/>
          <w:color w:val="auto"/>
          <w:spacing w:val="6"/>
          <w:sz w:val="32"/>
          <w:szCs w:val="32"/>
          <w:highlight w:val="none"/>
        </w:rPr>
      </w:pPr>
    </w:p>
    <w:p w14:paraId="169DC373">
      <w:pPr>
        <w:spacing w:line="360" w:lineRule="auto"/>
        <w:jc w:val="center"/>
        <w:rPr>
          <w:rFonts w:ascii="仿宋_GB2312" w:hAnsi="仿宋" w:eastAsia="仿宋_GB2312"/>
          <w:b/>
          <w:color w:val="auto"/>
          <w:spacing w:val="6"/>
          <w:sz w:val="32"/>
          <w:szCs w:val="32"/>
          <w:highlight w:val="none"/>
        </w:rPr>
      </w:pPr>
    </w:p>
    <w:p w14:paraId="672959F4">
      <w:pPr>
        <w:spacing w:line="360" w:lineRule="auto"/>
        <w:jc w:val="center"/>
        <w:rPr>
          <w:rFonts w:ascii="仿宋_GB2312" w:hAnsi="仿宋" w:eastAsia="仿宋_GB2312"/>
          <w:b/>
          <w:color w:val="auto"/>
          <w:spacing w:val="6"/>
          <w:sz w:val="32"/>
          <w:szCs w:val="32"/>
          <w:highlight w:val="none"/>
        </w:rPr>
      </w:pPr>
    </w:p>
    <w:p w14:paraId="753922AC">
      <w:pPr>
        <w:spacing w:line="360" w:lineRule="auto"/>
        <w:jc w:val="center"/>
        <w:rPr>
          <w:rFonts w:ascii="仿宋_GB2312" w:hAnsi="仿宋" w:eastAsia="仿宋_GB2312"/>
          <w:b/>
          <w:color w:val="auto"/>
          <w:spacing w:val="6"/>
          <w:sz w:val="32"/>
          <w:szCs w:val="32"/>
          <w:highlight w:val="none"/>
        </w:rPr>
      </w:pPr>
    </w:p>
    <w:p w14:paraId="61BFF605">
      <w:pPr>
        <w:spacing w:line="360" w:lineRule="auto"/>
        <w:jc w:val="center"/>
        <w:rPr>
          <w:rFonts w:ascii="仿宋_GB2312" w:hAnsi="仿宋" w:eastAsia="仿宋_GB2312"/>
          <w:b/>
          <w:color w:val="auto"/>
          <w:spacing w:val="6"/>
          <w:sz w:val="32"/>
          <w:szCs w:val="32"/>
          <w:highlight w:val="none"/>
        </w:rPr>
      </w:pPr>
    </w:p>
    <w:p w14:paraId="7FA384CB">
      <w:pPr>
        <w:spacing w:line="360" w:lineRule="auto"/>
        <w:jc w:val="center"/>
        <w:rPr>
          <w:rFonts w:ascii="仿宋_GB2312" w:hAnsi="仿宋" w:eastAsia="仿宋_GB2312"/>
          <w:b/>
          <w:color w:val="auto"/>
          <w:spacing w:val="6"/>
          <w:sz w:val="32"/>
          <w:szCs w:val="32"/>
          <w:highlight w:val="none"/>
        </w:rPr>
      </w:pPr>
    </w:p>
    <w:p w14:paraId="014342A7">
      <w:pPr>
        <w:spacing w:line="360" w:lineRule="auto"/>
        <w:jc w:val="center"/>
        <w:rPr>
          <w:rFonts w:ascii="仿宋_GB2312" w:hAnsi="仿宋" w:eastAsia="仿宋_GB2312"/>
          <w:b/>
          <w:color w:val="auto"/>
          <w:spacing w:val="6"/>
          <w:sz w:val="32"/>
          <w:szCs w:val="32"/>
          <w:highlight w:val="none"/>
        </w:rPr>
      </w:pPr>
    </w:p>
    <w:p w14:paraId="0600558B">
      <w:pPr>
        <w:spacing w:line="360" w:lineRule="auto"/>
        <w:jc w:val="left"/>
        <w:rPr>
          <w:rFonts w:ascii="仿宋_GB2312" w:hAnsi="仿宋" w:eastAsia="仿宋_GB2312"/>
          <w:b/>
          <w:color w:val="auto"/>
          <w:spacing w:val="6"/>
          <w:sz w:val="32"/>
          <w:szCs w:val="32"/>
          <w:highlight w:val="none"/>
        </w:rPr>
      </w:pPr>
    </w:p>
    <w:p w14:paraId="63673BC4">
      <w:pPr>
        <w:spacing w:line="360" w:lineRule="auto"/>
        <w:jc w:val="left"/>
        <w:rPr>
          <w:rFonts w:ascii="仿宋_GB2312" w:hAnsi="仿宋" w:eastAsia="仿宋_GB2312"/>
          <w:b/>
          <w:color w:val="auto"/>
          <w:spacing w:val="6"/>
          <w:sz w:val="32"/>
          <w:szCs w:val="32"/>
          <w:highlight w:val="none"/>
        </w:rPr>
      </w:pPr>
    </w:p>
    <w:p w14:paraId="653F23AF">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14:paraId="2F346EBB">
      <w:pPr>
        <w:spacing w:line="360" w:lineRule="auto"/>
        <w:jc w:val="center"/>
        <w:rPr>
          <w:rFonts w:ascii="仿宋_GB2312" w:hAnsi="仿宋" w:eastAsia="仿宋_GB2312"/>
          <w:b/>
          <w:color w:val="auto"/>
          <w:sz w:val="24"/>
          <w:highlight w:val="none"/>
        </w:rPr>
      </w:pPr>
    </w:p>
    <w:p w14:paraId="34EC9346">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564745AB">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14F07BB1">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1CA5D25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66C1452">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1291B612">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462EB07D">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49C6DED4">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5CA37406">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2A4F0F0">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F490550">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6253CC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4999BB47">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34A2C94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3158C9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727F301">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3B87BA7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5749456F">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14:paraId="6B62E60C">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33FB597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7B6AA71">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43B362F8">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6257D447">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22C2205B">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4A7C2880">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4EA92ECC">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43C358C3">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14:paraId="706BE25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10A00DA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14:paraId="71053C9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0F8A42C1">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5283976B">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439193AB">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620DA61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1D228BEA">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5BAFF94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7860D98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77B51EE4">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4D928C5A">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1AAC8D3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64190AB7">
      <w:pPr>
        <w:spacing w:line="360" w:lineRule="auto"/>
        <w:rPr>
          <w:rFonts w:ascii="仿宋_GB2312" w:hAnsi="仿宋" w:eastAsia="仿宋_GB2312"/>
          <w:b/>
          <w:color w:val="auto"/>
          <w:sz w:val="24"/>
          <w:highlight w:val="none"/>
        </w:rPr>
      </w:pPr>
    </w:p>
    <w:p w14:paraId="36735C63">
      <w:pPr>
        <w:spacing w:line="360" w:lineRule="auto"/>
        <w:rPr>
          <w:rFonts w:ascii="仿宋_GB2312" w:hAnsi="仿宋" w:eastAsia="仿宋_GB2312"/>
          <w:b/>
          <w:color w:val="auto"/>
          <w:sz w:val="24"/>
          <w:highlight w:val="none"/>
        </w:rPr>
      </w:pPr>
    </w:p>
    <w:p w14:paraId="7D289865">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26C61F0C">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14:paraId="61F4ED0D">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6FF76A2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14:paraId="64F45960">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14:paraId="2BE06E65">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14:paraId="72E9027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14:paraId="08D7BF88">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462C2391">
      <w:pPr>
        <w:spacing w:line="360" w:lineRule="auto"/>
        <w:rPr>
          <w:rFonts w:ascii="仿宋_GB2312" w:hAnsi="仿宋" w:eastAsia="仿宋_GB2312" w:cs="仿宋_GB2312"/>
          <w:b/>
          <w:color w:val="auto"/>
          <w:sz w:val="24"/>
          <w:highlight w:val="none"/>
        </w:rPr>
      </w:pPr>
    </w:p>
    <w:p w14:paraId="13B074A7">
      <w:pPr>
        <w:autoSpaceDE w:val="0"/>
        <w:autoSpaceDN w:val="0"/>
        <w:jc w:val="center"/>
        <w:rPr>
          <w:rFonts w:ascii="仿宋" w:hAnsi="仿宋" w:eastAsia="仿宋"/>
          <w:b/>
          <w:color w:val="auto"/>
          <w:spacing w:val="6"/>
          <w:sz w:val="32"/>
          <w:szCs w:val="32"/>
          <w:highlight w:val="none"/>
        </w:rPr>
      </w:pPr>
    </w:p>
    <w:p w14:paraId="415FF552">
      <w:pPr>
        <w:autoSpaceDE w:val="0"/>
        <w:autoSpaceDN w:val="0"/>
        <w:jc w:val="center"/>
        <w:rPr>
          <w:rFonts w:ascii="仿宋" w:hAnsi="仿宋" w:eastAsia="仿宋"/>
          <w:b/>
          <w:color w:val="auto"/>
          <w:spacing w:val="6"/>
          <w:sz w:val="32"/>
          <w:szCs w:val="32"/>
          <w:highlight w:val="none"/>
        </w:rPr>
      </w:pPr>
    </w:p>
    <w:p w14:paraId="5AAC1049">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14:paraId="66D3B895">
      <w:pPr>
        <w:spacing w:line="360" w:lineRule="auto"/>
        <w:rPr>
          <w:rFonts w:hint="eastAsia" w:ascii="仿宋" w:hAnsi="仿宋" w:eastAsia="仿宋"/>
          <w:color w:val="auto"/>
          <w:sz w:val="24"/>
          <w:highlight w:val="none"/>
          <w:lang w:eastAsia="zh-CN"/>
        </w:rPr>
      </w:pPr>
      <w:r>
        <w:rPr>
          <w:rFonts w:hint="eastAsia" w:ascii="仿宋" w:hAnsi="仿宋" w:eastAsia="仿宋" w:cs="仿宋_GB2312"/>
          <w:color w:val="auto"/>
          <w:sz w:val="24"/>
          <w:highlight w:val="none"/>
          <w:u w:val="single"/>
          <w:lang w:eastAsia="zh-CN"/>
        </w:rPr>
        <w:t>衢州市柯城区航埠镇人民政府</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浙江天平投资咨询有限公司</w:t>
      </w:r>
    </w:p>
    <w:p w14:paraId="4206A3CD">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航埠镇沿线沿路屋顶分布式光伏电站整改服务项目（三次）</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ZJTP-KCCG-2025068</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524FFEE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601C08AE">
      <w:pPr>
        <w:spacing w:line="360" w:lineRule="auto"/>
        <w:ind w:firstLine="494"/>
        <w:rPr>
          <w:rFonts w:ascii="仿宋" w:hAnsi="仿宋" w:eastAsia="仿宋" w:cs="宋体"/>
          <w:color w:val="auto"/>
          <w:sz w:val="24"/>
          <w:highlight w:val="none"/>
        </w:rPr>
      </w:pPr>
    </w:p>
    <w:p w14:paraId="2677C8F6">
      <w:pPr>
        <w:spacing w:line="360" w:lineRule="auto"/>
        <w:ind w:firstLine="494"/>
        <w:rPr>
          <w:rFonts w:ascii="仿宋" w:hAnsi="仿宋" w:eastAsia="仿宋" w:cs="宋体"/>
          <w:color w:val="auto"/>
          <w:sz w:val="24"/>
          <w:highlight w:val="none"/>
        </w:rPr>
      </w:pPr>
    </w:p>
    <w:p w14:paraId="316A52B6">
      <w:pPr>
        <w:spacing w:line="360" w:lineRule="auto"/>
        <w:ind w:firstLine="494"/>
        <w:rPr>
          <w:rFonts w:ascii="仿宋" w:hAnsi="仿宋" w:eastAsia="仿宋" w:cs="宋体"/>
          <w:color w:val="auto"/>
          <w:sz w:val="24"/>
          <w:highlight w:val="none"/>
        </w:rPr>
      </w:pPr>
    </w:p>
    <w:p w14:paraId="4AA04992">
      <w:pPr>
        <w:spacing w:line="360" w:lineRule="auto"/>
        <w:ind w:firstLine="494"/>
        <w:rPr>
          <w:rFonts w:ascii="仿宋" w:hAnsi="仿宋" w:eastAsia="仿宋" w:cs="宋体"/>
          <w:color w:val="auto"/>
          <w:sz w:val="24"/>
          <w:highlight w:val="none"/>
        </w:rPr>
      </w:pPr>
    </w:p>
    <w:p w14:paraId="67448EA6">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0B27B3EE">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14:paraId="49AABE2D">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4085C1C">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2EA728BE">
      <w:pPr>
        <w:autoSpaceDE w:val="0"/>
        <w:autoSpaceDN w:val="0"/>
        <w:jc w:val="center"/>
        <w:rPr>
          <w:rFonts w:ascii="仿宋" w:hAnsi="仿宋" w:eastAsia="仿宋"/>
          <w:b/>
          <w:color w:val="auto"/>
          <w:spacing w:val="6"/>
          <w:sz w:val="32"/>
          <w:szCs w:val="32"/>
          <w:highlight w:val="none"/>
        </w:rPr>
      </w:pPr>
    </w:p>
    <w:p w14:paraId="1DDD33B2">
      <w:pPr>
        <w:autoSpaceDE w:val="0"/>
        <w:autoSpaceDN w:val="0"/>
        <w:jc w:val="center"/>
        <w:rPr>
          <w:rFonts w:ascii="仿宋" w:hAnsi="仿宋" w:eastAsia="仿宋"/>
          <w:b/>
          <w:color w:val="auto"/>
          <w:spacing w:val="6"/>
          <w:sz w:val="32"/>
          <w:szCs w:val="32"/>
          <w:highlight w:val="none"/>
        </w:rPr>
      </w:pPr>
    </w:p>
    <w:p w14:paraId="13F6C054">
      <w:pPr>
        <w:autoSpaceDE w:val="0"/>
        <w:autoSpaceDN w:val="0"/>
        <w:jc w:val="center"/>
        <w:rPr>
          <w:rFonts w:ascii="仿宋" w:hAnsi="仿宋" w:eastAsia="仿宋"/>
          <w:b/>
          <w:color w:val="auto"/>
          <w:spacing w:val="6"/>
          <w:sz w:val="32"/>
          <w:szCs w:val="32"/>
          <w:highlight w:val="none"/>
        </w:rPr>
      </w:pPr>
    </w:p>
    <w:p w14:paraId="759419B0">
      <w:pPr>
        <w:autoSpaceDE w:val="0"/>
        <w:autoSpaceDN w:val="0"/>
        <w:jc w:val="center"/>
        <w:rPr>
          <w:rFonts w:ascii="仿宋" w:hAnsi="仿宋" w:eastAsia="仿宋"/>
          <w:b/>
          <w:color w:val="auto"/>
          <w:spacing w:val="6"/>
          <w:sz w:val="32"/>
          <w:szCs w:val="32"/>
          <w:highlight w:val="none"/>
        </w:rPr>
      </w:pPr>
    </w:p>
    <w:p w14:paraId="2BB54998">
      <w:pPr>
        <w:autoSpaceDE w:val="0"/>
        <w:autoSpaceDN w:val="0"/>
        <w:jc w:val="center"/>
        <w:rPr>
          <w:rFonts w:ascii="仿宋" w:hAnsi="仿宋" w:eastAsia="仿宋"/>
          <w:b/>
          <w:color w:val="auto"/>
          <w:spacing w:val="6"/>
          <w:sz w:val="32"/>
          <w:szCs w:val="32"/>
          <w:highlight w:val="none"/>
        </w:rPr>
      </w:pPr>
    </w:p>
    <w:p w14:paraId="3D5C3530">
      <w:pPr>
        <w:autoSpaceDE w:val="0"/>
        <w:autoSpaceDN w:val="0"/>
        <w:jc w:val="center"/>
        <w:rPr>
          <w:rFonts w:ascii="仿宋" w:hAnsi="仿宋" w:eastAsia="仿宋"/>
          <w:b/>
          <w:color w:val="auto"/>
          <w:spacing w:val="6"/>
          <w:sz w:val="32"/>
          <w:szCs w:val="32"/>
          <w:highlight w:val="none"/>
        </w:rPr>
      </w:pPr>
    </w:p>
    <w:p w14:paraId="2C4817D1">
      <w:pPr>
        <w:autoSpaceDE w:val="0"/>
        <w:autoSpaceDN w:val="0"/>
        <w:jc w:val="center"/>
        <w:rPr>
          <w:rFonts w:ascii="仿宋" w:hAnsi="仿宋" w:eastAsia="仿宋"/>
          <w:b/>
          <w:color w:val="auto"/>
          <w:spacing w:val="6"/>
          <w:sz w:val="32"/>
          <w:szCs w:val="32"/>
          <w:highlight w:val="none"/>
        </w:rPr>
      </w:pPr>
    </w:p>
    <w:p w14:paraId="632D29D8">
      <w:pPr>
        <w:autoSpaceDE w:val="0"/>
        <w:autoSpaceDN w:val="0"/>
        <w:jc w:val="center"/>
        <w:rPr>
          <w:rFonts w:ascii="仿宋" w:hAnsi="仿宋" w:eastAsia="仿宋"/>
          <w:b/>
          <w:color w:val="auto"/>
          <w:spacing w:val="6"/>
          <w:sz w:val="32"/>
          <w:szCs w:val="32"/>
          <w:highlight w:val="none"/>
        </w:rPr>
      </w:pPr>
    </w:p>
    <w:p w14:paraId="1B3E9E5C">
      <w:pPr>
        <w:autoSpaceDE w:val="0"/>
        <w:autoSpaceDN w:val="0"/>
        <w:jc w:val="center"/>
        <w:rPr>
          <w:rFonts w:ascii="仿宋" w:hAnsi="仿宋" w:eastAsia="仿宋"/>
          <w:b/>
          <w:color w:val="auto"/>
          <w:spacing w:val="6"/>
          <w:sz w:val="32"/>
          <w:szCs w:val="32"/>
          <w:highlight w:val="none"/>
        </w:rPr>
      </w:pPr>
    </w:p>
    <w:p w14:paraId="4409E256">
      <w:pPr>
        <w:autoSpaceDE w:val="0"/>
        <w:autoSpaceDN w:val="0"/>
        <w:jc w:val="center"/>
        <w:rPr>
          <w:rFonts w:ascii="仿宋" w:hAnsi="仿宋" w:eastAsia="仿宋"/>
          <w:b/>
          <w:color w:val="auto"/>
          <w:spacing w:val="6"/>
          <w:sz w:val="32"/>
          <w:szCs w:val="32"/>
          <w:highlight w:val="none"/>
        </w:rPr>
      </w:pPr>
    </w:p>
    <w:p w14:paraId="31822B0D">
      <w:pPr>
        <w:autoSpaceDE w:val="0"/>
        <w:autoSpaceDN w:val="0"/>
        <w:jc w:val="center"/>
        <w:rPr>
          <w:rFonts w:ascii="仿宋" w:hAnsi="仿宋" w:eastAsia="仿宋"/>
          <w:b/>
          <w:color w:val="auto"/>
          <w:spacing w:val="6"/>
          <w:sz w:val="32"/>
          <w:szCs w:val="32"/>
          <w:highlight w:val="none"/>
        </w:rPr>
      </w:pPr>
    </w:p>
    <w:p w14:paraId="7BED3AAF">
      <w:pPr>
        <w:autoSpaceDE w:val="0"/>
        <w:autoSpaceDN w:val="0"/>
        <w:jc w:val="center"/>
        <w:rPr>
          <w:rFonts w:ascii="仿宋" w:hAnsi="仿宋" w:eastAsia="仿宋"/>
          <w:b/>
          <w:color w:val="auto"/>
          <w:spacing w:val="6"/>
          <w:sz w:val="32"/>
          <w:szCs w:val="32"/>
          <w:highlight w:val="none"/>
        </w:rPr>
      </w:pPr>
    </w:p>
    <w:p w14:paraId="04851417">
      <w:pPr>
        <w:autoSpaceDE w:val="0"/>
        <w:autoSpaceDN w:val="0"/>
        <w:jc w:val="center"/>
        <w:rPr>
          <w:rFonts w:ascii="仿宋" w:hAnsi="仿宋" w:eastAsia="仿宋"/>
          <w:b/>
          <w:color w:val="auto"/>
          <w:spacing w:val="6"/>
          <w:sz w:val="32"/>
          <w:szCs w:val="32"/>
          <w:highlight w:val="none"/>
        </w:rPr>
      </w:pPr>
    </w:p>
    <w:p w14:paraId="13233506">
      <w:pPr>
        <w:autoSpaceDE w:val="0"/>
        <w:autoSpaceDN w:val="0"/>
        <w:jc w:val="center"/>
        <w:rPr>
          <w:rFonts w:ascii="仿宋" w:hAnsi="仿宋" w:eastAsia="仿宋"/>
          <w:b/>
          <w:color w:val="auto"/>
          <w:spacing w:val="6"/>
          <w:sz w:val="32"/>
          <w:szCs w:val="32"/>
          <w:highlight w:val="none"/>
        </w:rPr>
      </w:pPr>
    </w:p>
    <w:p w14:paraId="28CADBB4">
      <w:pPr>
        <w:autoSpaceDE w:val="0"/>
        <w:autoSpaceDN w:val="0"/>
        <w:rPr>
          <w:rFonts w:ascii="仿宋" w:hAnsi="仿宋" w:eastAsia="仿宋"/>
          <w:b/>
          <w:color w:val="auto"/>
          <w:spacing w:val="6"/>
          <w:sz w:val="32"/>
          <w:szCs w:val="32"/>
          <w:highlight w:val="none"/>
        </w:rPr>
      </w:pPr>
    </w:p>
    <w:p w14:paraId="763D8997">
      <w:pPr>
        <w:pStyle w:val="67"/>
        <w:rPr>
          <w:color w:val="auto"/>
        </w:rPr>
      </w:pPr>
    </w:p>
    <w:p w14:paraId="42CC64F5">
      <w:pPr>
        <w:autoSpaceDE w:val="0"/>
        <w:autoSpaceDN w:val="0"/>
        <w:jc w:val="center"/>
        <w:rPr>
          <w:rFonts w:ascii="仿宋" w:hAnsi="仿宋" w:eastAsia="仿宋"/>
          <w:b/>
          <w:color w:val="auto"/>
          <w:spacing w:val="6"/>
          <w:sz w:val="32"/>
          <w:szCs w:val="32"/>
          <w:highlight w:val="none"/>
        </w:rPr>
      </w:pPr>
    </w:p>
    <w:p w14:paraId="7130D9D5">
      <w:pPr>
        <w:autoSpaceDE w:val="0"/>
        <w:autoSpaceDN w:val="0"/>
        <w:jc w:val="center"/>
        <w:rPr>
          <w:rFonts w:ascii="仿宋" w:hAnsi="仿宋" w:eastAsia="仿宋"/>
          <w:b/>
          <w:color w:val="auto"/>
          <w:spacing w:val="6"/>
          <w:sz w:val="32"/>
          <w:szCs w:val="32"/>
          <w:highlight w:val="none"/>
        </w:rPr>
      </w:pPr>
    </w:p>
    <w:p w14:paraId="489CC92E">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49D694E7">
      <w:pPr>
        <w:spacing w:line="360" w:lineRule="auto"/>
        <w:rPr>
          <w:rFonts w:ascii="仿宋_GB2312" w:hAnsi="仿宋" w:eastAsia="仿宋_GB2312" w:cs="仿宋_GB2312"/>
          <w:b/>
          <w:color w:val="auto"/>
          <w:sz w:val="32"/>
          <w:szCs w:val="32"/>
          <w:highlight w:val="none"/>
        </w:rPr>
      </w:pPr>
    </w:p>
    <w:p w14:paraId="33A1CE9D">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w:t>
      </w:r>
      <w:r>
        <w:rPr>
          <w:rFonts w:hint="eastAsia" w:ascii="仿宋_GB2312" w:hAnsi="宋体" w:eastAsia="仿宋_GB2312"/>
          <w:b/>
          <w:color w:val="auto"/>
          <w:sz w:val="32"/>
          <w:szCs w:val="32"/>
          <w:highlight w:val="none"/>
          <w:lang w:eastAsia="zh-CN"/>
        </w:rPr>
        <w:t>货物</w:t>
      </w:r>
      <w:r>
        <w:rPr>
          <w:rFonts w:hint="eastAsia" w:ascii="仿宋_GB2312" w:hAnsi="宋体" w:eastAsia="仿宋_GB2312"/>
          <w:b/>
          <w:color w:val="auto"/>
          <w:sz w:val="32"/>
          <w:szCs w:val="32"/>
          <w:highlight w:val="none"/>
        </w:rPr>
        <w:t>）</w:t>
      </w:r>
    </w:p>
    <w:p w14:paraId="39694B8E">
      <w:pPr>
        <w:spacing w:line="360" w:lineRule="auto"/>
        <w:rPr>
          <w:rFonts w:ascii="仿宋_GB2312" w:hAnsi="仿宋" w:eastAsia="仿宋_GB2312"/>
          <w:color w:val="auto"/>
          <w:highlight w:val="none"/>
        </w:rPr>
      </w:pPr>
    </w:p>
    <w:p w14:paraId="54EA0553">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rPr>
        <w:t>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航埠镇沿线沿路屋顶分布式光伏电站整改服务项目（三次）</w:t>
      </w:r>
      <w:r>
        <w:rPr>
          <w:rFonts w:hint="eastAsia" w:ascii="仿宋_GB2312" w:hAnsi="宋体" w:eastAsia="仿宋_GB2312"/>
          <w:color w:val="auto"/>
          <w:sz w:val="24"/>
          <w:highlight w:val="none"/>
        </w:rPr>
        <w:t>采购活动，服务全部由符合政策要求的中小企业承接。相关企业的具体情况如下：</w:t>
      </w:r>
    </w:p>
    <w:p w14:paraId="220EE6A9">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eastAsia="zh-CN"/>
        </w:rPr>
        <w:t>航埠镇沿线沿路屋顶分布式光伏电站整改服务项目（三次）</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eastAsia="zh-CN"/>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3B43D502">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4CA89244">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6C4C3630">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7C0E55C3">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533E587E">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106B4151">
      <w:pPr>
        <w:spacing w:line="360" w:lineRule="auto"/>
        <w:ind w:firstLine="310" w:firstLineChars="147"/>
        <w:jc w:val="left"/>
        <w:rPr>
          <w:rFonts w:hint="eastAsia" w:ascii="仿宋_GB2312" w:hAnsi="宋体" w:eastAsia="仿宋_GB2312"/>
          <w:b/>
          <w:color w:val="auto"/>
          <w:szCs w:val="21"/>
          <w:highlight w:val="none"/>
        </w:rPr>
      </w:pPr>
    </w:p>
    <w:p w14:paraId="3B348E74">
      <w:pPr>
        <w:spacing w:line="360" w:lineRule="auto"/>
        <w:ind w:firstLine="310" w:firstLineChars="147"/>
        <w:jc w:val="left"/>
        <w:rPr>
          <w:rFonts w:hint="eastAsia" w:ascii="仿宋_GB2312" w:hAnsi="宋体" w:eastAsia="仿宋_GB2312"/>
          <w:b/>
          <w:color w:val="auto"/>
          <w:szCs w:val="21"/>
          <w:highlight w:val="none"/>
        </w:rPr>
      </w:pPr>
    </w:p>
    <w:p w14:paraId="4DA76253">
      <w:pPr>
        <w:spacing w:line="360" w:lineRule="auto"/>
        <w:ind w:firstLine="310" w:firstLineChars="147"/>
        <w:jc w:val="left"/>
        <w:rPr>
          <w:rFonts w:hint="eastAsia" w:ascii="仿宋_GB2312" w:hAnsi="宋体" w:eastAsia="仿宋_GB2312"/>
          <w:b/>
          <w:color w:val="auto"/>
          <w:szCs w:val="21"/>
          <w:highlight w:val="none"/>
        </w:rPr>
      </w:pPr>
    </w:p>
    <w:p w14:paraId="02A4C5C1">
      <w:pPr>
        <w:spacing w:line="360" w:lineRule="auto"/>
        <w:ind w:firstLine="310" w:firstLineChars="147"/>
        <w:jc w:val="left"/>
        <w:rPr>
          <w:rFonts w:hint="eastAsia" w:ascii="仿宋_GB2312" w:hAnsi="宋体" w:eastAsia="仿宋_GB2312"/>
          <w:b/>
          <w:color w:val="auto"/>
          <w:szCs w:val="21"/>
          <w:highlight w:val="none"/>
        </w:rPr>
      </w:pPr>
    </w:p>
    <w:p w14:paraId="6761B9C0">
      <w:pPr>
        <w:spacing w:line="360" w:lineRule="auto"/>
        <w:ind w:firstLine="310" w:firstLineChars="147"/>
        <w:jc w:val="left"/>
        <w:rPr>
          <w:rFonts w:hint="eastAsia" w:ascii="仿宋_GB2312" w:hAnsi="宋体" w:eastAsia="仿宋_GB2312"/>
          <w:b/>
          <w:color w:val="auto"/>
          <w:szCs w:val="21"/>
          <w:highlight w:val="none"/>
        </w:rPr>
      </w:pPr>
    </w:p>
    <w:p w14:paraId="4F7A1C32">
      <w:pPr>
        <w:spacing w:line="360" w:lineRule="auto"/>
        <w:ind w:firstLine="310" w:firstLineChars="147"/>
        <w:jc w:val="left"/>
        <w:rPr>
          <w:rFonts w:hint="eastAsia" w:ascii="仿宋_GB2312" w:hAnsi="宋体" w:eastAsia="仿宋_GB2312"/>
          <w:b/>
          <w:color w:val="auto"/>
          <w:szCs w:val="21"/>
          <w:highlight w:val="none"/>
        </w:rPr>
      </w:pPr>
    </w:p>
    <w:p w14:paraId="49983FE8">
      <w:pPr>
        <w:spacing w:line="360" w:lineRule="auto"/>
        <w:ind w:firstLine="310" w:firstLineChars="147"/>
        <w:jc w:val="left"/>
        <w:rPr>
          <w:rFonts w:hint="eastAsia" w:ascii="仿宋_GB2312" w:hAnsi="宋体" w:eastAsia="仿宋_GB2312"/>
          <w:b/>
          <w:color w:val="auto"/>
          <w:szCs w:val="21"/>
          <w:highlight w:val="none"/>
        </w:rPr>
      </w:pPr>
    </w:p>
    <w:p w14:paraId="71C11F35">
      <w:pPr>
        <w:spacing w:line="360" w:lineRule="auto"/>
        <w:ind w:firstLine="310" w:firstLineChars="147"/>
        <w:jc w:val="left"/>
        <w:rPr>
          <w:rFonts w:hint="eastAsia" w:ascii="仿宋_GB2312" w:hAnsi="宋体" w:eastAsia="仿宋_GB2312"/>
          <w:b/>
          <w:color w:val="auto"/>
          <w:szCs w:val="21"/>
          <w:highlight w:val="none"/>
        </w:rPr>
      </w:pPr>
    </w:p>
    <w:p w14:paraId="711DA15E">
      <w:pPr>
        <w:spacing w:line="360" w:lineRule="auto"/>
        <w:ind w:firstLine="310" w:firstLineChars="147"/>
        <w:jc w:val="left"/>
        <w:rPr>
          <w:rFonts w:hint="eastAsia" w:ascii="仿宋_GB2312" w:hAnsi="宋体" w:eastAsia="仿宋_GB2312"/>
          <w:b/>
          <w:color w:val="auto"/>
          <w:szCs w:val="21"/>
          <w:highlight w:val="none"/>
        </w:rPr>
      </w:pPr>
    </w:p>
    <w:p w14:paraId="532891A2">
      <w:pPr>
        <w:spacing w:line="360" w:lineRule="auto"/>
        <w:ind w:firstLine="310" w:firstLineChars="147"/>
        <w:jc w:val="left"/>
        <w:rPr>
          <w:rFonts w:hint="eastAsia" w:ascii="仿宋_GB2312" w:hAnsi="宋体" w:eastAsia="仿宋_GB2312"/>
          <w:b/>
          <w:color w:val="auto"/>
          <w:szCs w:val="21"/>
          <w:highlight w:val="none"/>
        </w:rPr>
      </w:pPr>
    </w:p>
    <w:p w14:paraId="23D8B118">
      <w:pPr>
        <w:spacing w:line="360" w:lineRule="auto"/>
        <w:ind w:firstLine="310" w:firstLineChars="147"/>
        <w:jc w:val="left"/>
        <w:rPr>
          <w:rFonts w:hint="eastAsia" w:ascii="仿宋_GB2312" w:hAnsi="宋体" w:eastAsia="仿宋_GB2312"/>
          <w:b/>
          <w:color w:val="auto"/>
          <w:szCs w:val="21"/>
          <w:highlight w:val="none"/>
        </w:rPr>
      </w:pPr>
    </w:p>
    <w:p w14:paraId="08D5785A">
      <w:pPr>
        <w:spacing w:line="360" w:lineRule="auto"/>
        <w:ind w:firstLine="310" w:firstLineChars="147"/>
        <w:jc w:val="left"/>
        <w:rPr>
          <w:rFonts w:hint="eastAsia" w:ascii="仿宋_GB2312" w:hAnsi="宋体" w:eastAsia="仿宋_GB2312"/>
          <w:b/>
          <w:color w:val="auto"/>
          <w:szCs w:val="21"/>
          <w:highlight w:val="none"/>
        </w:rPr>
      </w:pPr>
    </w:p>
    <w:p w14:paraId="51ACC9F2">
      <w:pPr>
        <w:spacing w:line="360" w:lineRule="auto"/>
        <w:ind w:firstLine="310" w:firstLineChars="147"/>
        <w:jc w:val="left"/>
        <w:rPr>
          <w:rFonts w:hint="eastAsia" w:ascii="仿宋_GB2312" w:hAnsi="宋体" w:eastAsia="仿宋_GB2312"/>
          <w:b/>
          <w:color w:val="auto"/>
          <w:szCs w:val="21"/>
          <w:highlight w:val="none"/>
        </w:rPr>
      </w:pPr>
    </w:p>
    <w:p w14:paraId="50B68486">
      <w:pPr>
        <w:spacing w:line="360" w:lineRule="auto"/>
        <w:ind w:firstLine="310" w:firstLineChars="147"/>
        <w:jc w:val="left"/>
        <w:rPr>
          <w:rFonts w:hint="eastAsia" w:ascii="仿宋_GB2312" w:hAnsi="宋体" w:eastAsia="仿宋_GB2312"/>
          <w:b/>
          <w:color w:val="auto"/>
          <w:szCs w:val="21"/>
          <w:highlight w:val="none"/>
        </w:rPr>
      </w:pPr>
    </w:p>
    <w:p w14:paraId="74B3E1BA">
      <w:pPr>
        <w:spacing w:line="360" w:lineRule="auto"/>
        <w:ind w:firstLine="310" w:firstLineChars="147"/>
        <w:jc w:val="left"/>
        <w:rPr>
          <w:rFonts w:hint="eastAsia" w:ascii="仿宋_GB2312" w:hAnsi="宋体" w:eastAsia="仿宋_GB2312"/>
          <w:b/>
          <w:color w:val="auto"/>
          <w:szCs w:val="21"/>
          <w:highlight w:val="none"/>
        </w:rPr>
      </w:pPr>
    </w:p>
    <w:p w14:paraId="4C2FC47A">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14:paraId="6E55F9DF">
      <w:pPr>
        <w:spacing w:line="360" w:lineRule="auto"/>
        <w:ind w:right="420"/>
        <w:rPr>
          <w:rFonts w:ascii="仿宋_GB2312" w:hAnsi="仿宋" w:eastAsia="仿宋_GB2312" w:cs="仿宋_GB2312"/>
          <w:color w:val="auto"/>
          <w:sz w:val="24"/>
          <w:highlight w:val="none"/>
        </w:rPr>
      </w:pPr>
    </w:p>
    <w:p w14:paraId="52DA6804">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p>
    <w:p w14:paraId="7D273120">
      <w:pPr>
        <w:spacing w:line="360" w:lineRule="auto"/>
        <w:ind w:right="420"/>
        <w:rPr>
          <w:rFonts w:ascii="仿宋" w:hAnsi="仿宋" w:eastAsia="仿宋" w:cs="仿宋"/>
          <w:color w:val="auto"/>
          <w:sz w:val="24"/>
          <w:highlight w:val="none"/>
        </w:rPr>
      </w:pPr>
      <w:r>
        <w:rPr>
          <w:rFonts w:hint="eastAsia" w:ascii="仿宋_GB2312" w:hAnsi="仿宋" w:eastAsia="仿宋_GB2312" w:cs="仿宋_GB2312"/>
          <w:color w:val="auto"/>
          <w:sz w:val="24"/>
          <w:highlight w:val="none"/>
        </w:rPr>
        <w:tab/>
      </w:r>
      <w:r>
        <w:rPr>
          <w:rFonts w:hint="eastAsia" w:ascii="仿宋_GB2312" w:hAnsi="仿宋" w:eastAsia="仿宋_GB2312" w:cs="仿宋_GB2312"/>
          <w:color w:val="auto"/>
          <w:sz w:val="24"/>
          <w:highlight w:val="none"/>
        </w:rPr>
        <w:t>1、</w:t>
      </w:r>
      <w:r>
        <w:rPr>
          <w:rFonts w:hint="eastAsia" w:ascii="仿宋" w:hAnsi="仿宋" w:eastAsia="仿宋" w:cs="仿宋"/>
          <w:color w:val="auto"/>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8C5B4F">
      <w:pPr>
        <w:spacing w:line="360" w:lineRule="auto"/>
        <w:ind w:right="420" w:firstLine="420"/>
        <w:rPr>
          <w:rFonts w:ascii="仿宋_GB2312" w:hAnsi="仿宋" w:eastAsia="仿宋_GB2312" w:cs="仿宋_GB2312"/>
          <w:color w:val="auto"/>
          <w:sz w:val="24"/>
          <w:highlight w:val="none"/>
        </w:rPr>
      </w:pPr>
      <w:r>
        <w:rPr>
          <w:rFonts w:hint="eastAsia" w:ascii="仿宋" w:hAnsi="仿宋" w:eastAsia="仿宋" w:cs="仿宋"/>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9A0B3C">
      <w:pPr>
        <w:pStyle w:val="4"/>
        <w:rPr>
          <w:color w:val="auto"/>
          <w:highlight w:val="none"/>
          <w:lang w:val="en-US"/>
        </w:rPr>
      </w:pPr>
    </w:p>
    <w:p w14:paraId="64EFCD8C">
      <w:pPr>
        <w:spacing w:line="360" w:lineRule="auto"/>
        <w:ind w:right="420"/>
        <w:rPr>
          <w:color w:val="auto"/>
          <w:highlight w:val="none"/>
        </w:rPr>
      </w:pPr>
    </w:p>
    <w:p w14:paraId="138F8FE5">
      <w:pPr>
        <w:spacing w:line="360" w:lineRule="auto"/>
        <w:rPr>
          <w:rFonts w:ascii="仿宋" w:hAnsi="仿宋" w:eastAsia="仿宋"/>
          <w:bCs/>
          <w:color w:val="auto"/>
          <w:sz w:val="24"/>
          <w:highlight w:val="none"/>
        </w:rPr>
      </w:pPr>
    </w:p>
    <w:sectPr>
      <w:headerReference r:id="rId12" w:type="first"/>
      <w:footerReference r:id="rId15" w:type="first"/>
      <w:headerReference r:id="rId11" w:type="default"/>
      <w:footerReference r:id="rId13" w:type="default"/>
      <w:footerReference r:id="rId14"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3B7E">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4DAF">
    <w:pPr>
      <w:pStyle w:val="45"/>
      <w:framePr w:wrap="around" w:vAnchor="text" w:hAnchor="margin" w:xAlign="right" w:y="1"/>
      <w:rPr>
        <w:rStyle w:val="80"/>
      </w:rPr>
    </w:pPr>
    <w:r>
      <w:fldChar w:fldCharType="begin"/>
    </w:r>
    <w:r>
      <w:rPr>
        <w:rStyle w:val="80"/>
      </w:rPr>
      <w:instrText xml:space="preserve">PAGE  </w:instrText>
    </w:r>
    <w:r>
      <w:fldChar w:fldCharType="end"/>
    </w:r>
  </w:p>
  <w:p w14:paraId="79C117A0">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19A2">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A7A8">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043F26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8B80">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4E834B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284CE">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2772">
    <w:pPr>
      <w:pStyle w:val="45"/>
      <w:framePr w:wrap="around" w:vAnchor="text" w:hAnchor="margin" w:xAlign="right" w:y="1"/>
      <w:rPr>
        <w:rStyle w:val="80"/>
      </w:rPr>
    </w:pPr>
    <w:r>
      <w:fldChar w:fldCharType="begin"/>
    </w:r>
    <w:r>
      <w:rPr>
        <w:rStyle w:val="80"/>
      </w:rPr>
      <w:instrText xml:space="preserve">PAGE  </w:instrText>
    </w:r>
    <w:r>
      <w:fldChar w:fldCharType="end"/>
    </w:r>
  </w:p>
  <w:p w14:paraId="0CFCBE45">
    <w:pPr>
      <w:pStyle w:val="4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80328">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636" w:name="_Toc91899912"/>
    <w:bookmarkStart w:id="637" w:name="_Toc164085800"/>
    <w:bookmarkStart w:id="638" w:name="_Toc131845147"/>
    <w:bookmarkStart w:id="639" w:name="_Toc36110187"/>
    <w:r>
      <w:rPr>
        <w:rFonts w:hint="eastAsia" w:ascii="仿宋_GB2312" w:eastAsia="仿宋_GB2312"/>
        <w:kern w:val="0"/>
        <w:szCs w:val="21"/>
      </w:rPr>
      <w:t xml:space="preserve"> 页</w:t>
    </w:r>
    <w:bookmarkEnd w:id="636"/>
    <w:bookmarkEnd w:id="637"/>
    <w:bookmarkEnd w:id="638"/>
    <w:bookmarkEnd w:id="63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BFB7">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DD7F5">
    <w:pPr>
      <w:pStyle w:val="47"/>
      <w:jc w:val="right"/>
      <w:rPr>
        <w:rFonts w:ascii="仿宋_GB2312" w:eastAsia="仿宋_GB2312"/>
        <w:b/>
        <w:i/>
        <w:u w:val="single"/>
      </w:rPr>
    </w:pPr>
    <w:r>
      <w:rPr>
        <w:rFonts w:hint="eastAsia"/>
      </w:rPr>
      <w:t xml:space="preserve">                              </w:t>
    </w:r>
  </w:p>
  <w:p w14:paraId="08416621">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A6772">
    <w:pPr>
      <w:pStyle w:val="47"/>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B69D">
    <w:pPr>
      <w:pStyle w:val="47"/>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9FD2">
    <w:pPr>
      <w:pStyle w:val="47"/>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7818C"/>
    <w:multiLevelType w:val="singleLevel"/>
    <w:tmpl w:val="8B67818C"/>
    <w:lvl w:ilvl="0" w:tentative="0">
      <w:start w:val="3"/>
      <w:numFmt w:val="chineseCounting"/>
      <w:suff w:val="space"/>
      <w:lvlText w:val="第%1部分"/>
      <w:lvlJc w:val="left"/>
      <w:rPr>
        <w:rFonts w:hint="eastAsia"/>
      </w:rPr>
    </w:lvl>
  </w:abstractNum>
  <w:abstractNum w:abstractNumId="1">
    <w:nsid w:val="EE3D5F20"/>
    <w:multiLevelType w:val="singleLevel"/>
    <w:tmpl w:val="EE3D5F20"/>
    <w:lvl w:ilvl="0" w:tentative="0">
      <w:start w:val="1"/>
      <w:numFmt w:val="decimal"/>
      <w:suff w:val="nothing"/>
      <w:lvlText w:val="%1、"/>
      <w:lvlJc w:val="left"/>
      <w:rPr>
        <w:rFonts w:hint="default" w:ascii="宋体" w:hAnsi="宋体" w:eastAsia="宋体" w:cs="宋体"/>
      </w:rPr>
    </w:lvl>
  </w:abstractNum>
  <w:abstractNum w:abstractNumId="2">
    <w:nsid w:val="2298614A"/>
    <w:multiLevelType w:val="multilevel"/>
    <w:tmpl w:val="2298614A"/>
    <w:lvl w:ilvl="0" w:tentative="0">
      <w:start w:val="1"/>
      <w:numFmt w:val="japaneseCounting"/>
      <w:lvlText w:val="第%1条"/>
      <w:lvlJc w:val="left"/>
      <w:pPr>
        <w:ind w:left="734" w:hanging="720"/>
      </w:pPr>
      <w:rPr>
        <w:rFonts w:hint="default"/>
      </w:rPr>
    </w:lvl>
    <w:lvl w:ilvl="1" w:tentative="0">
      <w:start w:val="1"/>
      <w:numFmt w:val="lowerLetter"/>
      <w:lvlText w:val="%2)"/>
      <w:lvlJc w:val="left"/>
      <w:pPr>
        <w:ind w:left="854" w:hanging="420"/>
      </w:pPr>
    </w:lvl>
    <w:lvl w:ilvl="2" w:tentative="0">
      <w:start w:val="1"/>
      <w:numFmt w:val="lowerRoman"/>
      <w:lvlText w:val="%3."/>
      <w:lvlJc w:val="right"/>
      <w:pPr>
        <w:ind w:left="1274" w:hanging="420"/>
      </w:pPr>
    </w:lvl>
    <w:lvl w:ilvl="3" w:tentative="0">
      <w:start w:val="1"/>
      <w:numFmt w:val="decimal"/>
      <w:lvlText w:val="%4."/>
      <w:lvlJc w:val="left"/>
      <w:pPr>
        <w:ind w:left="1694" w:hanging="420"/>
      </w:pPr>
    </w:lvl>
    <w:lvl w:ilvl="4" w:tentative="0">
      <w:start w:val="1"/>
      <w:numFmt w:val="lowerLetter"/>
      <w:lvlText w:val="%5)"/>
      <w:lvlJc w:val="left"/>
      <w:pPr>
        <w:ind w:left="2114" w:hanging="420"/>
      </w:pPr>
    </w:lvl>
    <w:lvl w:ilvl="5" w:tentative="0">
      <w:start w:val="1"/>
      <w:numFmt w:val="lowerRoman"/>
      <w:lvlText w:val="%6."/>
      <w:lvlJc w:val="right"/>
      <w:pPr>
        <w:ind w:left="2534" w:hanging="420"/>
      </w:pPr>
    </w:lvl>
    <w:lvl w:ilvl="6" w:tentative="0">
      <w:start w:val="1"/>
      <w:numFmt w:val="decimal"/>
      <w:lvlText w:val="%7."/>
      <w:lvlJc w:val="left"/>
      <w:pPr>
        <w:ind w:left="2954" w:hanging="420"/>
      </w:pPr>
    </w:lvl>
    <w:lvl w:ilvl="7" w:tentative="0">
      <w:start w:val="1"/>
      <w:numFmt w:val="lowerLetter"/>
      <w:lvlText w:val="%8)"/>
      <w:lvlJc w:val="left"/>
      <w:pPr>
        <w:ind w:left="3374" w:hanging="420"/>
      </w:pPr>
    </w:lvl>
    <w:lvl w:ilvl="8" w:tentative="0">
      <w:start w:val="1"/>
      <w:numFmt w:val="lowerRoman"/>
      <w:lvlText w:val="%9."/>
      <w:lvlJc w:val="right"/>
      <w:pPr>
        <w:ind w:left="3794" w:hanging="420"/>
      </w:pPr>
    </w:lvl>
  </w:abstractNum>
  <w:abstractNum w:abstractNumId="3">
    <w:nsid w:val="7ADE66BE"/>
    <w:multiLevelType w:val="multilevel"/>
    <w:tmpl w:val="7ADE66BE"/>
    <w:lvl w:ilvl="0" w:tentative="0">
      <w:start w:val="1"/>
      <w:numFmt w:val="decimal"/>
      <w:suff w:val="space"/>
      <w:lvlText w:val="%1."/>
      <w:lvlJc w:val="left"/>
      <w:pPr>
        <w:ind w:left="420" w:hanging="420"/>
      </w:pPr>
      <w:rPr>
        <w:rFonts w:hint="eastAsia" w:asci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A682D9"/>
    <w:multiLevelType w:val="singleLevel"/>
    <w:tmpl w:val="7FA682D9"/>
    <w:lvl w:ilvl="0" w:tentative="0">
      <w:start w:val="14"/>
      <w:numFmt w:val="decimal"/>
      <w:suff w:val="space"/>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1NWQzMjE2NTRhNDhjZGI3NGUwZmRkMGM3NjEzY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3E4"/>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663"/>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504"/>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37"/>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797"/>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4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63B"/>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4DA"/>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751"/>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B8F"/>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B16"/>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CB0"/>
    <w:rsid w:val="00F16E1A"/>
    <w:rsid w:val="00F16F92"/>
    <w:rsid w:val="00F17C3E"/>
    <w:rsid w:val="00F20197"/>
    <w:rsid w:val="00F20369"/>
    <w:rsid w:val="00F20607"/>
    <w:rsid w:val="00F208BB"/>
    <w:rsid w:val="00F20C9E"/>
    <w:rsid w:val="00F211EF"/>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53AD"/>
    <w:rsid w:val="01147474"/>
    <w:rsid w:val="011F6449"/>
    <w:rsid w:val="01236AFB"/>
    <w:rsid w:val="01347894"/>
    <w:rsid w:val="015C48BA"/>
    <w:rsid w:val="01875DDB"/>
    <w:rsid w:val="019B4334"/>
    <w:rsid w:val="019F7441"/>
    <w:rsid w:val="01A65C79"/>
    <w:rsid w:val="01B00253"/>
    <w:rsid w:val="01B37585"/>
    <w:rsid w:val="01D55165"/>
    <w:rsid w:val="01DF6BF8"/>
    <w:rsid w:val="01EC2C57"/>
    <w:rsid w:val="02021C2C"/>
    <w:rsid w:val="0235060F"/>
    <w:rsid w:val="02351FA3"/>
    <w:rsid w:val="02430FE8"/>
    <w:rsid w:val="024D44B0"/>
    <w:rsid w:val="0252700C"/>
    <w:rsid w:val="025F7D3E"/>
    <w:rsid w:val="026A3B24"/>
    <w:rsid w:val="026B2E25"/>
    <w:rsid w:val="026C33C9"/>
    <w:rsid w:val="027D6372"/>
    <w:rsid w:val="02824D4D"/>
    <w:rsid w:val="029069AD"/>
    <w:rsid w:val="02A2026F"/>
    <w:rsid w:val="02B72CE3"/>
    <w:rsid w:val="02DC1741"/>
    <w:rsid w:val="02DC4B10"/>
    <w:rsid w:val="02DD76CE"/>
    <w:rsid w:val="02E37073"/>
    <w:rsid w:val="02F36323"/>
    <w:rsid w:val="02F5619C"/>
    <w:rsid w:val="02F959C1"/>
    <w:rsid w:val="030742CA"/>
    <w:rsid w:val="03183FDB"/>
    <w:rsid w:val="032534B8"/>
    <w:rsid w:val="0326446A"/>
    <w:rsid w:val="032D5555"/>
    <w:rsid w:val="034C72DC"/>
    <w:rsid w:val="036634D2"/>
    <w:rsid w:val="03DD35E4"/>
    <w:rsid w:val="04076900"/>
    <w:rsid w:val="040B081A"/>
    <w:rsid w:val="041557D3"/>
    <w:rsid w:val="041918A1"/>
    <w:rsid w:val="041A5A3B"/>
    <w:rsid w:val="042311BA"/>
    <w:rsid w:val="042B157A"/>
    <w:rsid w:val="043F201D"/>
    <w:rsid w:val="04567A8F"/>
    <w:rsid w:val="046461C7"/>
    <w:rsid w:val="048F763B"/>
    <w:rsid w:val="049F330E"/>
    <w:rsid w:val="04AA775C"/>
    <w:rsid w:val="04AF1889"/>
    <w:rsid w:val="04EB46D9"/>
    <w:rsid w:val="04F66F48"/>
    <w:rsid w:val="05251E14"/>
    <w:rsid w:val="053F4C56"/>
    <w:rsid w:val="05467CB0"/>
    <w:rsid w:val="054B34A5"/>
    <w:rsid w:val="054C09C4"/>
    <w:rsid w:val="0580486A"/>
    <w:rsid w:val="05A16594"/>
    <w:rsid w:val="05A7762D"/>
    <w:rsid w:val="060663C3"/>
    <w:rsid w:val="060E0271"/>
    <w:rsid w:val="060E5941"/>
    <w:rsid w:val="06110FAF"/>
    <w:rsid w:val="06493CA7"/>
    <w:rsid w:val="06500E91"/>
    <w:rsid w:val="065A6178"/>
    <w:rsid w:val="066B3FFA"/>
    <w:rsid w:val="066F1CF3"/>
    <w:rsid w:val="06827C83"/>
    <w:rsid w:val="06930BB8"/>
    <w:rsid w:val="06C66BB1"/>
    <w:rsid w:val="06C70A28"/>
    <w:rsid w:val="06E92202"/>
    <w:rsid w:val="07245D42"/>
    <w:rsid w:val="07264C62"/>
    <w:rsid w:val="072D0052"/>
    <w:rsid w:val="0779354C"/>
    <w:rsid w:val="0801074D"/>
    <w:rsid w:val="08061376"/>
    <w:rsid w:val="0829615E"/>
    <w:rsid w:val="0837004E"/>
    <w:rsid w:val="08452D77"/>
    <w:rsid w:val="084A190F"/>
    <w:rsid w:val="084A281E"/>
    <w:rsid w:val="086401F8"/>
    <w:rsid w:val="08751CAA"/>
    <w:rsid w:val="087E4C40"/>
    <w:rsid w:val="08D22573"/>
    <w:rsid w:val="08D66AD6"/>
    <w:rsid w:val="08DA33A3"/>
    <w:rsid w:val="08E80F13"/>
    <w:rsid w:val="0902031A"/>
    <w:rsid w:val="090C0CAF"/>
    <w:rsid w:val="0922335A"/>
    <w:rsid w:val="09241F56"/>
    <w:rsid w:val="092B569F"/>
    <w:rsid w:val="09335624"/>
    <w:rsid w:val="0944690F"/>
    <w:rsid w:val="09535675"/>
    <w:rsid w:val="095F057D"/>
    <w:rsid w:val="09642282"/>
    <w:rsid w:val="09644C54"/>
    <w:rsid w:val="09701653"/>
    <w:rsid w:val="09733572"/>
    <w:rsid w:val="09772C16"/>
    <w:rsid w:val="098353B5"/>
    <w:rsid w:val="09A339CE"/>
    <w:rsid w:val="09A92330"/>
    <w:rsid w:val="09AB4631"/>
    <w:rsid w:val="09B06B87"/>
    <w:rsid w:val="09BA6209"/>
    <w:rsid w:val="09C13146"/>
    <w:rsid w:val="09D74664"/>
    <w:rsid w:val="09E04166"/>
    <w:rsid w:val="0A1C0718"/>
    <w:rsid w:val="0A3C5E6F"/>
    <w:rsid w:val="0A3E7710"/>
    <w:rsid w:val="0A5B7E63"/>
    <w:rsid w:val="0AA25A34"/>
    <w:rsid w:val="0AA374A5"/>
    <w:rsid w:val="0AAB7649"/>
    <w:rsid w:val="0AB47F80"/>
    <w:rsid w:val="0ABC5606"/>
    <w:rsid w:val="0B30404E"/>
    <w:rsid w:val="0B4C6C14"/>
    <w:rsid w:val="0B5D6A7A"/>
    <w:rsid w:val="0B631A88"/>
    <w:rsid w:val="0B683D45"/>
    <w:rsid w:val="0B7F3F11"/>
    <w:rsid w:val="0B884417"/>
    <w:rsid w:val="0B912609"/>
    <w:rsid w:val="0BC101A8"/>
    <w:rsid w:val="0BC61C91"/>
    <w:rsid w:val="0BD2596A"/>
    <w:rsid w:val="0BF6188C"/>
    <w:rsid w:val="0BF73C91"/>
    <w:rsid w:val="0C170175"/>
    <w:rsid w:val="0C571A41"/>
    <w:rsid w:val="0C5C1171"/>
    <w:rsid w:val="0C5E1CBC"/>
    <w:rsid w:val="0C615B50"/>
    <w:rsid w:val="0C703433"/>
    <w:rsid w:val="0C7700BC"/>
    <w:rsid w:val="0C8445DA"/>
    <w:rsid w:val="0C87121B"/>
    <w:rsid w:val="0CC007F7"/>
    <w:rsid w:val="0CCA34D3"/>
    <w:rsid w:val="0CDC2E05"/>
    <w:rsid w:val="0CF87DDE"/>
    <w:rsid w:val="0CFE707A"/>
    <w:rsid w:val="0D063BDA"/>
    <w:rsid w:val="0D08375F"/>
    <w:rsid w:val="0D184CFB"/>
    <w:rsid w:val="0D2C6762"/>
    <w:rsid w:val="0D3E11E5"/>
    <w:rsid w:val="0D4A7419"/>
    <w:rsid w:val="0D6527A8"/>
    <w:rsid w:val="0D7E3DB4"/>
    <w:rsid w:val="0D827401"/>
    <w:rsid w:val="0D84094E"/>
    <w:rsid w:val="0D8A00E9"/>
    <w:rsid w:val="0D8D589E"/>
    <w:rsid w:val="0DA01C73"/>
    <w:rsid w:val="0DD63300"/>
    <w:rsid w:val="0DDC715B"/>
    <w:rsid w:val="0DE83824"/>
    <w:rsid w:val="0DF2607F"/>
    <w:rsid w:val="0DF50604"/>
    <w:rsid w:val="0DF702FE"/>
    <w:rsid w:val="0E060E51"/>
    <w:rsid w:val="0E3B6B0F"/>
    <w:rsid w:val="0E5604B2"/>
    <w:rsid w:val="0E5E026D"/>
    <w:rsid w:val="0E6D5D79"/>
    <w:rsid w:val="0E9D0089"/>
    <w:rsid w:val="0E9E4EA0"/>
    <w:rsid w:val="0EB803EE"/>
    <w:rsid w:val="0ED70A7A"/>
    <w:rsid w:val="0EF94D4B"/>
    <w:rsid w:val="0EFE202E"/>
    <w:rsid w:val="0F2F0DEF"/>
    <w:rsid w:val="0F4958DC"/>
    <w:rsid w:val="0F4B669A"/>
    <w:rsid w:val="0F4F321B"/>
    <w:rsid w:val="0F515DF7"/>
    <w:rsid w:val="0F596BA8"/>
    <w:rsid w:val="0F6248D2"/>
    <w:rsid w:val="0F693536"/>
    <w:rsid w:val="0F6C5407"/>
    <w:rsid w:val="0F7B0511"/>
    <w:rsid w:val="0F7B76D9"/>
    <w:rsid w:val="0F816ACD"/>
    <w:rsid w:val="0F890F70"/>
    <w:rsid w:val="0F9832DB"/>
    <w:rsid w:val="0FA26B14"/>
    <w:rsid w:val="0FAD1BA5"/>
    <w:rsid w:val="0FBD0C1A"/>
    <w:rsid w:val="0FBF3FD2"/>
    <w:rsid w:val="0FBF7FF3"/>
    <w:rsid w:val="0FD338F9"/>
    <w:rsid w:val="10260421"/>
    <w:rsid w:val="106043C7"/>
    <w:rsid w:val="10646583"/>
    <w:rsid w:val="107D4B15"/>
    <w:rsid w:val="10835914"/>
    <w:rsid w:val="108A3C80"/>
    <w:rsid w:val="10AD1F58"/>
    <w:rsid w:val="10C26171"/>
    <w:rsid w:val="10D00F7D"/>
    <w:rsid w:val="10F33360"/>
    <w:rsid w:val="10FC16EA"/>
    <w:rsid w:val="110F1D40"/>
    <w:rsid w:val="11180FD0"/>
    <w:rsid w:val="11266F33"/>
    <w:rsid w:val="117741FA"/>
    <w:rsid w:val="118963A1"/>
    <w:rsid w:val="118E018F"/>
    <w:rsid w:val="119711DD"/>
    <w:rsid w:val="11AC5EFF"/>
    <w:rsid w:val="11C6522A"/>
    <w:rsid w:val="11E104CC"/>
    <w:rsid w:val="11E20309"/>
    <w:rsid w:val="12255233"/>
    <w:rsid w:val="12400213"/>
    <w:rsid w:val="124708E4"/>
    <w:rsid w:val="12472655"/>
    <w:rsid w:val="124C5AE6"/>
    <w:rsid w:val="12530213"/>
    <w:rsid w:val="126D1E81"/>
    <w:rsid w:val="1274357A"/>
    <w:rsid w:val="127723A9"/>
    <w:rsid w:val="12862074"/>
    <w:rsid w:val="12883966"/>
    <w:rsid w:val="128D0D77"/>
    <w:rsid w:val="12902616"/>
    <w:rsid w:val="129E45B4"/>
    <w:rsid w:val="12A77526"/>
    <w:rsid w:val="12D81596"/>
    <w:rsid w:val="13072A44"/>
    <w:rsid w:val="130F75B0"/>
    <w:rsid w:val="132912E9"/>
    <w:rsid w:val="132B5D92"/>
    <w:rsid w:val="13491DC8"/>
    <w:rsid w:val="135F4BE2"/>
    <w:rsid w:val="13994007"/>
    <w:rsid w:val="139B1A0A"/>
    <w:rsid w:val="139D25C7"/>
    <w:rsid w:val="13BF3CE4"/>
    <w:rsid w:val="13D82C0F"/>
    <w:rsid w:val="13E451F9"/>
    <w:rsid w:val="141008D8"/>
    <w:rsid w:val="14125FE6"/>
    <w:rsid w:val="1438418F"/>
    <w:rsid w:val="146D271E"/>
    <w:rsid w:val="147928F4"/>
    <w:rsid w:val="148719D9"/>
    <w:rsid w:val="14982588"/>
    <w:rsid w:val="14997BBB"/>
    <w:rsid w:val="149A5AD9"/>
    <w:rsid w:val="149C1746"/>
    <w:rsid w:val="14A7619D"/>
    <w:rsid w:val="14D10924"/>
    <w:rsid w:val="14E63A77"/>
    <w:rsid w:val="14F7743B"/>
    <w:rsid w:val="14FC433B"/>
    <w:rsid w:val="14FE64A4"/>
    <w:rsid w:val="150536C3"/>
    <w:rsid w:val="150C1963"/>
    <w:rsid w:val="151447A0"/>
    <w:rsid w:val="15220550"/>
    <w:rsid w:val="152432D7"/>
    <w:rsid w:val="153E4596"/>
    <w:rsid w:val="15466EC7"/>
    <w:rsid w:val="154A6454"/>
    <w:rsid w:val="15753975"/>
    <w:rsid w:val="15762120"/>
    <w:rsid w:val="157B5478"/>
    <w:rsid w:val="15915C09"/>
    <w:rsid w:val="15DD733A"/>
    <w:rsid w:val="16323F77"/>
    <w:rsid w:val="164A42B4"/>
    <w:rsid w:val="16A8729C"/>
    <w:rsid w:val="16B33777"/>
    <w:rsid w:val="16BC70A7"/>
    <w:rsid w:val="16C12CDD"/>
    <w:rsid w:val="16C6339E"/>
    <w:rsid w:val="17032907"/>
    <w:rsid w:val="17195DDB"/>
    <w:rsid w:val="171C2062"/>
    <w:rsid w:val="172C5220"/>
    <w:rsid w:val="172F2D79"/>
    <w:rsid w:val="17431364"/>
    <w:rsid w:val="17557BEF"/>
    <w:rsid w:val="1766769E"/>
    <w:rsid w:val="177C69A3"/>
    <w:rsid w:val="17881779"/>
    <w:rsid w:val="179139F2"/>
    <w:rsid w:val="17D349C1"/>
    <w:rsid w:val="17F21A4A"/>
    <w:rsid w:val="1830729E"/>
    <w:rsid w:val="184E272D"/>
    <w:rsid w:val="1870062C"/>
    <w:rsid w:val="18817102"/>
    <w:rsid w:val="18830A15"/>
    <w:rsid w:val="18852B28"/>
    <w:rsid w:val="188B5321"/>
    <w:rsid w:val="189271D5"/>
    <w:rsid w:val="18EB67F8"/>
    <w:rsid w:val="18F86EE8"/>
    <w:rsid w:val="196E7285"/>
    <w:rsid w:val="19906B90"/>
    <w:rsid w:val="19932372"/>
    <w:rsid w:val="19A20DD5"/>
    <w:rsid w:val="19AE03F1"/>
    <w:rsid w:val="19E14603"/>
    <w:rsid w:val="1A071A03"/>
    <w:rsid w:val="1A0E66C0"/>
    <w:rsid w:val="1A1F16AE"/>
    <w:rsid w:val="1A2A47D6"/>
    <w:rsid w:val="1A3B5C77"/>
    <w:rsid w:val="1A984BAD"/>
    <w:rsid w:val="1AB8220E"/>
    <w:rsid w:val="1ACF0AFF"/>
    <w:rsid w:val="1ACF6B75"/>
    <w:rsid w:val="1AD24842"/>
    <w:rsid w:val="1AE4166C"/>
    <w:rsid w:val="1AF06CFB"/>
    <w:rsid w:val="1AF11B8D"/>
    <w:rsid w:val="1AFF6057"/>
    <w:rsid w:val="1B11359C"/>
    <w:rsid w:val="1B197364"/>
    <w:rsid w:val="1B2A271F"/>
    <w:rsid w:val="1B2C7B82"/>
    <w:rsid w:val="1B416BA3"/>
    <w:rsid w:val="1B530544"/>
    <w:rsid w:val="1B561202"/>
    <w:rsid w:val="1B713184"/>
    <w:rsid w:val="1B7237FB"/>
    <w:rsid w:val="1B9E4922"/>
    <w:rsid w:val="1BA209CF"/>
    <w:rsid w:val="1BB163E1"/>
    <w:rsid w:val="1BB4777D"/>
    <w:rsid w:val="1BD75AB8"/>
    <w:rsid w:val="1BE0460E"/>
    <w:rsid w:val="1BF260EF"/>
    <w:rsid w:val="1BFA5378"/>
    <w:rsid w:val="1C0459C2"/>
    <w:rsid w:val="1C116C14"/>
    <w:rsid w:val="1C1B3B4A"/>
    <w:rsid w:val="1C32333E"/>
    <w:rsid w:val="1C42303D"/>
    <w:rsid w:val="1C7E1D8C"/>
    <w:rsid w:val="1C88086E"/>
    <w:rsid w:val="1C947262"/>
    <w:rsid w:val="1CCE0310"/>
    <w:rsid w:val="1CE830FF"/>
    <w:rsid w:val="1D0333F5"/>
    <w:rsid w:val="1D266CE1"/>
    <w:rsid w:val="1D3963AF"/>
    <w:rsid w:val="1D436C02"/>
    <w:rsid w:val="1D6A4D4C"/>
    <w:rsid w:val="1D6A673C"/>
    <w:rsid w:val="1D9247AE"/>
    <w:rsid w:val="1DB567EC"/>
    <w:rsid w:val="1DCE24FB"/>
    <w:rsid w:val="1DF51A98"/>
    <w:rsid w:val="1E3D060F"/>
    <w:rsid w:val="1E3F7D2E"/>
    <w:rsid w:val="1E4134E4"/>
    <w:rsid w:val="1E5062B3"/>
    <w:rsid w:val="1E523514"/>
    <w:rsid w:val="1E541B2D"/>
    <w:rsid w:val="1E714A66"/>
    <w:rsid w:val="1E802593"/>
    <w:rsid w:val="1E881AE5"/>
    <w:rsid w:val="1E955CE2"/>
    <w:rsid w:val="1EA703CC"/>
    <w:rsid w:val="1EB7330C"/>
    <w:rsid w:val="1EBF7A68"/>
    <w:rsid w:val="1ECA08A3"/>
    <w:rsid w:val="1ECD7436"/>
    <w:rsid w:val="1F0A0FF3"/>
    <w:rsid w:val="1F204CB4"/>
    <w:rsid w:val="1F2F6AF6"/>
    <w:rsid w:val="1F374407"/>
    <w:rsid w:val="1F3D6C75"/>
    <w:rsid w:val="1F5771FF"/>
    <w:rsid w:val="1F761C37"/>
    <w:rsid w:val="1FE66420"/>
    <w:rsid w:val="1FE868A9"/>
    <w:rsid w:val="1FEC767D"/>
    <w:rsid w:val="20034907"/>
    <w:rsid w:val="20173E4B"/>
    <w:rsid w:val="202C3EE5"/>
    <w:rsid w:val="204E48BC"/>
    <w:rsid w:val="208921B3"/>
    <w:rsid w:val="20973DEB"/>
    <w:rsid w:val="20AA3C5F"/>
    <w:rsid w:val="20B26522"/>
    <w:rsid w:val="20B44310"/>
    <w:rsid w:val="20CC1A0F"/>
    <w:rsid w:val="20D10281"/>
    <w:rsid w:val="211116EB"/>
    <w:rsid w:val="211A3535"/>
    <w:rsid w:val="21221225"/>
    <w:rsid w:val="216133FC"/>
    <w:rsid w:val="218A19D9"/>
    <w:rsid w:val="21B32F5E"/>
    <w:rsid w:val="21CD6A94"/>
    <w:rsid w:val="21D56769"/>
    <w:rsid w:val="21DF041A"/>
    <w:rsid w:val="21E52EF3"/>
    <w:rsid w:val="21FB5D7B"/>
    <w:rsid w:val="220B1C3D"/>
    <w:rsid w:val="221D1D20"/>
    <w:rsid w:val="221E1D7C"/>
    <w:rsid w:val="22334A87"/>
    <w:rsid w:val="225B49EE"/>
    <w:rsid w:val="225C591A"/>
    <w:rsid w:val="22757BB6"/>
    <w:rsid w:val="227F3771"/>
    <w:rsid w:val="229C5E4A"/>
    <w:rsid w:val="22BE6801"/>
    <w:rsid w:val="233500BF"/>
    <w:rsid w:val="23377FF7"/>
    <w:rsid w:val="234704FE"/>
    <w:rsid w:val="23613062"/>
    <w:rsid w:val="236B425F"/>
    <w:rsid w:val="23836192"/>
    <w:rsid w:val="23901F29"/>
    <w:rsid w:val="239C0061"/>
    <w:rsid w:val="23B908A4"/>
    <w:rsid w:val="23C066A7"/>
    <w:rsid w:val="23E95BEF"/>
    <w:rsid w:val="23F042D6"/>
    <w:rsid w:val="23F23DBF"/>
    <w:rsid w:val="23FD0064"/>
    <w:rsid w:val="23FF7B33"/>
    <w:rsid w:val="24044DE6"/>
    <w:rsid w:val="24064EF2"/>
    <w:rsid w:val="24313A27"/>
    <w:rsid w:val="245375B0"/>
    <w:rsid w:val="24560133"/>
    <w:rsid w:val="245F12E5"/>
    <w:rsid w:val="24637BAD"/>
    <w:rsid w:val="24642C0A"/>
    <w:rsid w:val="249765B8"/>
    <w:rsid w:val="24B22173"/>
    <w:rsid w:val="24B95AD9"/>
    <w:rsid w:val="24BE24DA"/>
    <w:rsid w:val="24CF5825"/>
    <w:rsid w:val="24D663E6"/>
    <w:rsid w:val="24D77F2B"/>
    <w:rsid w:val="25143471"/>
    <w:rsid w:val="258036D4"/>
    <w:rsid w:val="25822292"/>
    <w:rsid w:val="258B00E2"/>
    <w:rsid w:val="259D0E7A"/>
    <w:rsid w:val="259D3570"/>
    <w:rsid w:val="25A917A6"/>
    <w:rsid w:val="25B04D2A"/>
    <w:rsid w:val="25BE27CC"/>
    <w:rsid w:val="25C55DD5"/>
    <w:rsid w:val="25F74A5C"/>
    <w:rsid w:val="25FD7D8A"/>
    <w:rsid w:val="260929B3"/>
    <w:rsid w:val="260C1DEB"/>
    <w:rsid w:val="2628662C"/>
    <w:rsid w:val="262B619C"/>
    <w:rsid w:val="262D45DE"/>
    <w:rsid w:val="263347D5"/>
    <w:rsid w:val="26354F4F"/>
    <w:rsid w:val="265F444B"/>
    <w:rsid w:val="266D051C"/>
    <w:rsid w:val="269D7312"/>
    <w:rsid w:val="26A53EF9"/>
    <w:rsid w:val="26A94201"/>
    <w:rsid w:val="26AC274F"/>
    <w:rsid w:val="26D66255"/>
    <w:rsid w:val="27044A29"/>
    <w:rsid w:val="270C0786"/>
    <w:rsid w:val="271D34C8"/>
    <w:rsid w:val="27423F70"/>
    <w:rsid w:val="276142BF"/>
    <w:rsid w:val="2767237D"/>
    <w:rsid w:val="27783712"/>
    <w:rsid w:val="27907362"/>
    <w:rsid w:val="27B3766B"/>
    <w:rsid w:val="27B87703"/>
    <w:rsid w:val="27DE07D4"/>
    <w:rsid w:val="281C4467"/>
    <w:rsid w:val="281F281F"/>
    <w:rsid w:val="28333E1D"/>
    <w:rsid w:val="28454BD6"/>
    <w:rsid w:val="28455253"/>
    <w:rsid w:val="28484CB0"/>
    <w:rsid w:val="28551971"/>
    <w:rsid w:val="285B1C53"/>
    <w:rsid w:val="28926C90"/>
    <w:rsid w:val="2895709D"/>
    <w:rsid w:val="289F7086"/>
    <w:rsid w:val="28BE3992"/>
    <w:rsid w:val="28C32028"/>
    <w:rsid w:val="28CC490F"/>
    <w:rsid w:val="28DE40AA"/>
    <w:rsid w:val="29345E77"/>
    <w:rsid w:val="29385A89"/>
    <w:rsid w:val="294240B5"/>
    <w:rsid w:val="294C65AD"/>
    <w:rsid w:val="29691379"/>
    <w:rsid w:val="29806583"/>
    <w:rsid w:val="298B3C4C"/>
    <w:rsid w:val="29B24089"/>
    <w:rsid w:val="29CE3AF2"/>
    <w:rsid w:val="29D21B8B"/>
    <w:rsid w:val="29F05754"/>
    <w:rsid w:val="29F26D24"/>
    <w:rsid w:val="2A15033F"/>
    <w:rsid w:val="2A1662C1"/>
    <w:rsid w:val="2A1C7367"/>
    <w:rsid w:val="2A2815FA"/>
    <w:rsid w:val="2A363870"/>
    <w:rsid w:val="2A366D91"/>
    <w:rsid w:val="2A425A7D"/>
    <w:rsid w:val="2A6D6092"/>
    <w:rsid w:val="2A7518C6"/>
    <w:rsid w:val="2A7D76B4"/>
    <w:rsid w:val="2A8B5E31"/>
    <w:rsid w:val="2ADD0936"/>
    <w:rsid w:val="2B092E98"/>
    <w:rsid w:val="2B437463"/>
    <w:rsid w:val="2B4D41F8"/>
    <w:rsid w:val="2B7807EE"/>
    <w:rsid w:val="2BBF00EC"/>
    <w:rsid w:val="2BC37CFD"/>
    <w:rsid w:val="2BCE4483"/>
    <w:rsid w:val="2BD5237F"/>
    <w:rsid w:val="2BE536CE"/>
    <w:rsid w:val="2BE758D9"/>
    <w:rsid w:val="2BFD6239"/>
    <w:rsid w:val="2C09049E"/>
    <w:rsid w:val="2C0A653C"/>
    <w:rsid w:val="2C127AB6"/>
    <w:rsid w:val="2C191F85"/>
    <w:rsid w:val="2C191FFE"/>
    <w:rsid w:val="2C1E5565"/>
    <w:rsid w:val="2C2D0C58"/>
    <w:rsid w:val="2C74153C"/>
    <w:rsid w:val="2CA13506"/>
    <w:rsid w:val="2CD47877"/>
    <w:rsid w:val="2CE82D6F"/>
    <w:rsid w:val="2D05099B"/>
    <w:rsid w:val="2D2500D2"/>
    <w:rsid w:val="2D343236"/>
    <w:rsid w:val="2DB800CF"/>
    <w:rsid w:val="2DD15014"/>
    <w:rsid w:val="2DDF0A87"/>
    <w:rsid w:val="2DF72DE4"/>
    <w:rsid w:val="2E0220AF"/>
    <w:rsid w:val="2E155451"/>
    <w:rsid w:val="2E4B082A"/>
    <w:rsid w:val="2E5D4E86"/>
    <w:rsid w:val="2E5D790B"/>
    <w:rsid w:val="2E9A3C18"/>
    <w:rsid w:val="2EBB0FEE"/>
    <w:rsid w:val="2EC63002"/>
    <w:rsid w:val="2ECA11F1"/>
    <w:rsid w:val="2ED71B04"/>
    <w:rsid w:val="2EEC74B0"/>
    <w:rsid w:val="2F0A6B38"/>
    <w:rsid w:val="2F416CAC"/>
    <w:rsid w:val="2F946CCB"/>
    <w:rsid w:val="2F9E7AF5"/>
    <w:rsid w:val="2FB126E5"/>
    <w:rsid w:val="2FD25781"/>
    <w:rsid w:val="2FE86672"/>
    <w:rsid w:val="2FF552F1"/>
    <w:rsid w:val="2FFD7934"/>
    <w:rsid w:val="301A5EE8"/>
    <w:rsid w:val="30274161"/>
    <w:rsid w:val="304A5743"/>
    <w:rsid w:val="304F12C3"/>
    <w:rsid w:val="30733ACD"/>
    <w:rsid w:val="308C3862"/>
    <w:rsid w:val="309379D8"/>
    <w:rsid w:val="30A270F7"/>
    <w:rsid w:val="30DF1478"/>
    <w:rsid w:val="30E92112"/>
    <w:rsid w:val="30EC586F"/>
    <w:rsid w:val="31477D1F"/>
    <w:rsid w:val="31691079"/>
    <w:rsid w:val="319C6071"/>
    <w:rsid w:val="31AC537E"/>
    <w:rsid w:val="31AE7197"/>
    <w:rsid w:val="31E3679B"/>
    <w:rsid w:val="31E732FD"/>
    <w:rsid w:val="322D07CA"/>
    <w:rsid w:val="32301F7D"/>
    <w:rsid w:val="323513CA"/>
    <w:rsid w:val="32517576"/>
    <w:rsid w:val="3262778D"/>
    <w:rsid w:val="3264199E"/>
    <w:rsid w:val="32A53545"/>
    <w:rsid w:val="32B42D36"/>
    <w:rsid w:val="32B53CA7"/>
    <w:rsid w:val="32BE5C2C"/>
    <w:rsid w:val="32FB6478"/>
    <w:rsid w:val="330216D2"/>
    <w:rsid w:val="331A495C"/>
    <w:rsid w:val="331A61FF"/>
    <w:rsid w:val="33263B3F"/>
    <w:rsid w:val="333D27A6"/>
    <w:rsid w:val="336963EB"/>
    <w:rsid w:val="33816EEB"/>
    <w:rsid w:val="33BC1065"/>
    <w:rsid w:val="33EB55CD"/>
    <w:rsid w:val="33EC4C02"/>
    <w:rsid w:val="33FB7EBC"/>
    <w:rsid w:val="340B667B"/>
    <w:rsid w:val="340D2360"/>
    <w:rsid w:val="3410665D"/>
    <w:rsid w:val="3413132F"/>
    <w:rsid w:val="34211214"/>
    <w:rsid w:val="342E63AB"/>
    <w:rsid w:val="344C7199"/>
    <w:rsid w:val="345A0A72"/>
    <w:rsid w:val="34910605"/>
    <w:rsid w:val="34950E68"/>
    <w:rsid w:val="34986E94"/>
    <w:rsid w:val="34AF62C9"/>
    <w:rsid w:val="34CB4388"/>
    <w:rsid w:val="34FA6E12"/>
    <w:rsid w:val="35004F81"/>
    <w:rsid w:val="352C344D"/>
    <w:rsid w:val="35634299"/>
    <w:rsid w:val="357B4690"/>
    <w:rsid w:val="358D5588"/>
    <w:rsid w:val="35D84D97"/>
    <w:rsid w:val="35FF5ADB"/>
    <w:rsid w:val="360B75C3"/>
    <w:rsid w:val="36120D5D"/>
    <w:rsid w:val="363A3B40"/>
    <w:rsid w:val="363E53DC"/>
    <w:rsid w:val="365067DB"/>
    <w:rsid w:val="36507CCE"/>
    <w:rsid w:val="365302AE"/>
    <w:rsid w:val="365F01AD"/>
    <w:rsid w:val="36607A0A"/>
    <w:rsid w:val="366E227C"/>
    <w:rsid w:val="366F2E0D"/>
    <w:rsid w:val="367A5416"/>
    <w:rsid w:val="367B6A5C"/>
    <w:rsid w:val="36A74ADA"/>
    <w:rsid w:val="36AD60D5"/>
    <w:rsid w:val="36B224F9"/>
    <w:rsid w:val="36BB634B"/>
    <w:rsid w:val="36E060CF"/>
    <w:rsid w:val="36E70D89"/>
    <w:rsid w:val="36EC0CC9"/>
    <w:rsid w:val="37242FD7"/>
    <w:rsid w:val="373975EE"/>
    <w:rsid w:val="373F410B"/>
    <w:rsid w:val="374C3917"/>
    <w:rsid w:val="374D556F"/>
    <w:rsid w:val="37BF01FE"/>
    <w:rsid w:val="37C231F5"/>
    <w:rsid w:val="37C9549C"/>
    <w:rsid w:val="37D9735D"/>
    <w:rsid w:val="37EE7094"/>
    <w:rsid w:val="37F25055"/>
    <w:rsid w:val="37FE0274"/>
    <w:rsid w:val="37FF7772"/>
    <w:rsid w:val="382216E1"/>
    <w:rsid w:val="38296C89"/>
    <w:rsid w:val="383002EB"/>
    <w:rsid w:val="383B2EA0"/>
    <w:rsid w:val="38586797"/>
    <w:rsid w:val="388B724B"/>
    <w:rsid w:val="38BC0149"/>
    <w:rsid w:val="38D87D1C"/>
    <w:rsid w:val="38FA42DE"/>
    <w:rsid w:val="390727AC"/>
    <w:rsid w:val="39247AF2"/>
    <w:rsid w:val="395064D7"/>
    <w:rsid w:val="39551D3F"/>
    <w:rsid w:val="39579DDC"/>
    <w:rsid w:val="395E5E08"/>
    <w:rsid w:val="39636459"/>
    <w:rsid w:val="396B7F6C"/>
    <w:rsid w:val="397F21B1"/>
    <w:rsid w:val="39B417A9"/>
    <w:rsid w:val="39FC5695"/>
    <w:rsid w:val="39FF4592"/>
    <w:rsid w:val="3A006D8E"/>
    <w:rsid w:val="3A3651E5"/>
    <w:rsid w:val="3A4430A8"/>
    <w:rsid w:val="3A543316"/>
    <w:rsid w:val="3A570EE5"/>
    <w:rsid w:val="3A744481"/>
    <w:rsid w:val="3A8C7BEF"/>
    <w:rsid w:val="3A906246"/>
    <w:rsid w:val="3A9A1A36"/>
    <w:rsid w:val="3AAE63D8"/>
    <w:rsid w:val="3AB17449"/>
    <w:rsid w:val="3AB6060B"/>
    <w:rsid w:val="3AE50598"/>
    <w:rsid w:val="3B2349B7"/>
    <w:rsid w:val="3B616CFF"/>
    <w:rsid w:val="3B6259F6"/>
    <w:rsid w:val="3B6D3F66"/>
    <w:rsid w:val="3B781CF1"/>
    <w:rsid w:val="3B7E79D8"/>
    <w:rsid w:val="3B976654"/>
    <w:rsid w:val="3BC01EFC"/>
    <w:rsid w:val="3BCA786A"/>
    <w:rsid w:val="3BD31E2F"/>
    <w:rsid w:val="3BDD229D"/>
    <w:rsid w:val="3BF07052"/>
    <w:rsid w:val="3BF15831"/>
    <w:rsid w:val="3C105946"/>
    <w:rsid w:val="3C2652CD"/>
    <w:rsid w:val="3C471448"/>
    <w:rsid w:val="3C5F759A"/>
    <w:rsid w:val="3C6C525A"/>
    <w:rsid w:val="3C7F3A24"/>
    <w:rsid w:val="3C9C4B1E"/>
    <w:rsid w:val="3CA4693B"/>
    <w:rsid w:val="3CCE23CB"/>
    <w:rsid w:val="3CD16A9B"/>
    <w:rsid w:val="3CD17D17"/>
    <w:rsid w:val="3D103806"/>
    <w:rsid w:val="3D3C7F39"/>
    <w:rsid w:val="3D440F09"/>
    <w:rsid w:val="3D4504A0"/>
    <w:rsid w:val="3D5C34FB"/>
    <w:rsid w:val="3D760BF8"/>
    <w:rsid w:val="3D8734BB"/>
    <w:rsid w:val="3D9A11D4"/>
    <w:rsid w:val="3DA16D89"/>
    <w:rsid w:val="3DA364BE"/>
    <w:rsid w:val="3DA66B67"/>
    <w:rsid w:val="3DCB238E"/>
    <w:rsid w:val="3DE041CB"/>
    <w:rsid w:val="3E0D48F6"/>
    <w:rsid w:val="3E1868B4"/>
    <w:rsid w:val="3E377251"/>
    <w:rsid w:val="3E42664B"/>
    <w:rsid w:val="3E43504C"/>
    <w:rsid w:val="3E5A7334"/>
    <w:rsid w:val="3E785849"/>
    <w:rsid w:val="3E7B5D6B"/>
    <w:rsid w:val="3E843E66"/>
    <w:rsid w:val="3E8F51FE"/>
    <w:rsid w:val="3E926F87"/>
    <w:rsid w:val="3E9A59DE"/>
    <w:rsid w:val="3E9B36AB"/>
    <w:rsid w:val="3EAF4836"/>
    <w:rsid w:val="3EC33DFA"/>
    <w:rsid w:val="3EC3747E"/>
    <w:rsid w:val="3F060E16"/>
    <w:rsid w:val="3F1D1096"/>
    <w:rsid w:val="3F2F0234"/>
    <w:rsid w:val="3F393C9A"/>
    <w:rsid w:val="3F6363FE"/>
    <w:rsid w:val="3F756B8F"/>
    <w:rsid w:val="3F7B2385"/>
    <w:rsid w:val="3F7F5DE2"/>
    <w:rsid w:val="3F89048F"/>
    <w:rsid w:val="3F95482B"/>
    <w:rsid w:val="3FB64ED1"/>
    <w:rsid w:val="3FD02D5B"/>
    <w:rsid w:val="3FDC320D"/>
    <w:rsid w:val="3FE21CD4"/>
    <w:rsid w:val="3FF027C2"/>
    <w:rsid w:val="40155D85"/>
    <w:rsid w:val="4019356B"/>
    <w:rsid w:val="401F374A"/>
    <w:rsid w:val="4042014E"/>
    <w:rsid w:val="404604CE"/>
    <w:rsid w:val="405721EA"/>
    <w:rsid w:val="40592157"/>
    <w:rsid w:val="406E1CAE"/>
    <w:rsid w:val="4083129A"/>
    <w:rsid w:val="408350AF"/>
    <w:rsid w:val="40A0133A"/>
    <w:rsid w:val="40A639A7"/>
    <w:rsid w:val="40A84F3A"/>
    <w:rsid w:val="40B82BB4"/>
    <w:rsid w:val="40C31A53"/>
    <w:rsid w:val="40FF545D"/>
    <w:rsid w:val="410067C8"/>
    <w:rsid w:val="411553AB"/>
    <w:rsid w:val="412C730D"/>
    <w:rsid w:val="41572C26"/>
    <w:rsid w:val="41596145"/>
    <w:rsid w:val="41604167"/>
    <w:rsid w:val="416819D2"/>
    <w:rsid w:val="418F0D2A"/>
    <w:rsid w:val="4197384C"/>
    <w:rsid w:val="41986E23"/>
    <w:rsid w:val="41B56AA0"/>
    <w:rsid w:val="41CE08E1"/>
    <w:rsid w:val="41D01505"/>
    <w:rsid w:val="41EB4A8D"/>
    <w:rsid w:val="422D2642"/>
    <w:rsid w:val="42473AEB"/>
    <w:rsid w:val="42474939"/>
    <w:rsid w:val="424C3C57"/>
    <w:rsid w:val="42613FF3"/>
    <w:rsid w:val="42660D96"/>
    <w:rsid w:val="428667D2"/>
    <w:rsid w:val="42C35FEF"/>
    <w:rsid w:val="42C550A8"/>
    <w:rsid w:val="42CD1CE0"/>
    <w:rsid w:val="42E1381E"/>
    <w:rsid w:val="42ED6459"/>
    <w:rsid w:val="42FE58DD"/>
    <w:rsid w:val="43174B3D"/>
    <w:rsid w:val="434B790E"/>
    <w:rsid w:val="4360274F"/>
    <w:rsid w:val="43977AB6"/>
    <w:rsid w:val="43A3342B"/>
    <w:rsid w:val="43C77C27"/>
    <w:rsid w:val="43DE09EE"/>
    <w:rsid w:val="44002FAD"/>
    <w:rsid w:val="44626C63"/>
    <w:rsid w:val="449101DD"/>
    <w:rsid w:val="44924125"/>
    <w:rsid w:val="44B002F9"/>
    <w:rsid w:val="44DE1391"/>
    <w:rsid w:val="44EA7BD3"/>
    <w:rsid w:val="451B225C"/>
    <w:rsid w:val="452410C9"/>
    <w:rsid w:val="452D68E7"/>
    <w:rsid w:val="45317DFB"/>
    <w:rsid w:val="456D3CE4"/>
    <w:rsid w:val="4579042C"/>
    <w:rsid w:val="457F0571"/>
    <w:rsid w:val="45851176"/>
    <w:rsid w:val="45C63B94"/>
    <w:rsid w:val="45C82544"/>
    <w:rsid w:val="45E93E7C"/>
    <w:rsid w:val="45EB4F5C"/>
    <w:rsid w:val="46073E72"/>
    <w:rsid w:val="460E7DA5"/>
    <w:rsid w:val="462131F5"/>
    <w:rsid w:val="46422483"/>
    <w:rsid w:val="4659254A"/>
    <w:rsid w:val="465B0637"/>
    <w:rsid w:val="465E3F0D"/>
    <w:rsid w:val="466A16E6"/>
    <w:rsid w:val="4684674C"/>
    <w:rsid w:val="46893F2B"/>
    <w:rsid w:val="46C4686E"/>
    <w:rsid w:val="46E6701B"/>
    <w:rsid w:val="46F67091"/>
    <w:rsid w:val="476364D9"/>
    <w:rsid w:val="47760441"/>
    <w:rsid w:val="477B778F"/>
    <w:rsid w:val="477D0A38"/>
    <w:rsid w:val="478203EC"/>
    <w:rsid w:val="47B025FA"/>
    <w:rsid w:val="47E103A1"/>
    <w:rsid w:val="47EF15B1"/>
    <w:rsid w:val="4809698F"/>
    <w:rsid w:val="480E12A6"/>
    <w:rsid w:val="4811697D"/>
    <w:rsid w:val="4829624A"/>
    <w:rsid w:val="483C3E0E"/>
    <w:rsid w:val="487934FE"/>
    <w:rsid w:val="487A3E25"/>
    <w:rsid w:val="488B5503"/>
    <w:rsid w:val="48937E21"/>
    <w:rsid w:val="489A0361"/>
    <w:rsid w:val="48B94FF3"/>
    <w:rsid w:val="48E37AAB"/>
    <w:rsid w:val="48E7289B"/>
    <w:rsid w:val="48EA268D"/>
    <w:rsid w:val="48FD4B4C"/>
    <w:rsid w:val="49060164"/>
    <w:rsid w:val="490A68E0"/>
    <w:rsid w:val="491055FE"/>
    <w:rsid w:val="494B7060"/>
    <w:rsid w:val="495F5B3E"/>
    <w:rsid w:val="496071DB"/>
    <w:rsid w:val="496F77D7"/>
    <w:rsid w:val="497654FD"/>
    <w:rsid w:val="49B64211"/>
    <w:rsid w:val="49C030E6"/>
    <w:rsid w:val="49F6167F"/>
    <w:rsid w:val="49FF0E34"/>
    <w:rsid w:val="4A0333C5"/>
    <w:rsid w:val="4A044128"/>
    <w:rsid w:val="4A064FA0"/>
    <w:rsid w:val="4A16615C"/>
    <w:rsid w:val="4A3A7DF2"/>
    <w:rsid w:val="4A4424D7"/>
    <w:rsid w:val="4A7C5796"/>
    <w:rsid w:val="4A7F73C8"/>
    <w:rsid w:val="4AA541A9"/>
    <w:rsid w:val="4AB44FBA"/>
    <w:rsid w:val="4AB82D0F"/>
    <w:rsid w:val="4ABC45D5"/>
    <w:rsid w:val="4ACE4322"/>
    <w:rsid w:val="4AD50A0A"/>
    <w:rsid w:val="4ADF60C8"/>
    <w:rsid w:val="4AEB7664"/>
    <w:rsid w:val="4AFD7C19"/>
    <w:rsid w:val="4B0567D1"/>
    <w:rsid w:val="4B121D06"/>
    <w:rsid w:val="4B236AAE"/>
    <w:rsid w:val="4B4430FA"/>
    <w:rsid w:val="4B4B2107"/>
    <w:rsid w:val="4B6B4326"/>
    <w:rsid w:val="4B707271"/>
    <w:rsid w:val="4B9739F7"/>
    <w:rsid w:val="4BC320B1"/>
    <w:rsid w:val="4BDB773A"/>
    <w:rsid w:val="4BEE2503"/>
    <w:rsid w:val="4BFC0267"/>
    <w:rsid w:val="4C100436"/>
    <w:rsid w:val="4C1B4498"/>
    <w:rsid w:val="4C1C3134"/>
    <w:rsid w:val="4C245A30"/>
    <w:rsid w:val="4C313AA9"/>
    <w:rsid w:val="4C4028FC"/>
    <w:rsid w:val="4C477BA1"/>
    <w:rsid w:val="4C7672F1"/>
    <w:rsid w:val="4C801E41"/>
    <w:rsid w:val="4C82117A"/>
    <w:rsid w:val="4CB6685F"/>
    <w:rsid w:val="4CC367FE"/>
    <w:rsid w:val="4CF907DC"/>
    <w:rsid w:val="4D077F3C"/>
    <w:rsid w:val="4D0D2A8A"/>
    <w:rsid w:val="4D123355"/>
    <w:rsid w:val="4D2A3B31"/>
    <w:rsid w:val="4D30293A"/>
    <w:rsid w:val="4D312C52"/>
    <w:rsid w:val="4D397E41"/>
    <w:rsid w:val="4D5F18BF"/>
    <w:rsid w:val="4D622EC8"/>
    <w:rsid w:val="4D6379EE"/>
    <w:rsid w:val="4D905305"/>
    <w:rsid w:val="4D964A72"/>
    <w:rsid w:val="4D9C1254"/>
    <w:rsid w:val="4DAB655F"/>
    <w:rsid w:val="4DD63967"/>
    <w:rsid w:val="4DE072EF"/>
    <w:rsid w:val="4DF463CD"/>
    <w:rsid w:val="4E3E7EBE"/>
    <w:rsid w:val="4E4111AF"/>
    <w:rsid w:val="4E793892"/>
    <w:rsid w:val="4E796078"/>
    <w:rsid w:val="4E800872"/>
    <w:rsid w:val="4E8F5282"/>
    <w:rsid w:val="4EA6124F"/>
    <w:rsid w:val="4EC569ED"/>
    <w:rsid w:val="4ED50EA1"/>
    <w:rsid w:val="4EEC050C"/>
    <w:rsid w:val="4EF80474"/>
    <w:rsid w:val="4F0A0A7E"/>
    <w:rsid w:val="4F104EC3"/>
    <w:rsid w:val="4F3D7818"/>
    <w:rsid w:val="4F47354A"/>
    <w:rsid w:val="4F7069C0"/>
    <w:rsid w:val="4F8E0EAB"/>
    <w:rsid w:val="4F911C54"/>
    <w:rsid w:val="4FB47B69"/>
    <w:rsid w:val="4FBD011C"/>
    <w:rsid w:val="4FC07E62"/>
    <w:rsid w:val="4FE625E0"/>
    <w:rsid w:val="5021480F"/>
    <w:rsid w:val="50962ECB"/>
    <w:rsid w:val="50A42E38"/>
    <w:rsid w:val="50A4577F"/>
    <w:rsid w:val="50A5444D"/>
    <w:rsid w:val="50B73D1F"/>
    <w:rsid w:val="50BD5BC9"/>
    <w:rsid w:val="50C11EEE"/>
    <w:rsid w:val="50E97CFC"/>
    <w:rsid w:val="50FA4028"/>
    <w:rsid w:val="51085264"/>
    <w:rsid w:val="510D65B7"/>
    <w:rsid w:val="511157AB"/>
    <w:rsid w:val="5136702A"/>
    <w:rsid w:val="5142540C"/>
    <w:rsid w:val="51826887"/>
    <w:rsid w:val="518832C8"/>
    <w:rsid w:val="51A0432A"/>
    <w:rsid w:val="51A86090"/>
    <w:rsid w:val="51B7396D"/>
    <w:rsid w:val="51C663E7"/>
    <w:rsid w:val="522E4CC3"/>
    <w:rsid w:val="5236005F"/>
    <w:rsid w:val="5244713B"/>
    <w:rsid w:val="52532739"/>
    <w:rsid w:val="52615633"/>
    <w:rsid w:val="528C2E07"/>
    <w:rsid w:val="52977FD4"/>
    <w:rsid w:val="52A25790"/>
    <w:rsid w:val="52A96B6F"/>
    <w:rsid w:val="52B45975"/>
    <w:rsid w:val="52D71EB9"/>
    <w:rsid w:val="52D94AA4"/>
    <w:rsid w:val="52EA3A62"/>
    <w:rsid w:val="52F50BB8"/>
    <w:rsid w:val="53097272"/>
    <w:rsid w:val="53234805"/>
    <w:rsid w:val="53262C33"/>
    <w:rsid w:val="534C54BD"/>
    <w:rsid w:val="53544462"/>
    <w:rsid w:val="536B7904"/>
    <w:rsid w:val="53764934"/>
    <w:rsid w:val="53914A28"/>
    <w:rsid w:val="5393134B"/>
    <w:rsid w:val="5397158E"/>
    <w:rsid w:val="53D56A22"/>
    <w:rsid w:val="54013861"/>
    <w:rsid w:val="54487265"/>
    <w:rsid w:val="544D6070"/>
    <w:rsid w:val="54605E1E"/>
    <w:rsid w:val="5463167E"/>
    <w:rsid w:val="54813CAB"/>
    <w:rsid w:val="548D00D7"/>
    <w:rsid w:val="54B3506A"/>
    <w:rsid w:val="54CA0D16"/>
    <w:rsid w:val="54D453C3"/>
    <w:rsid w:val="54D52686"/>
    <w:rsid w:val="54DD4057"/>
    <w:rsid w:val="54E7490F"/>
    <w:rsid w:val="54EF3A8D"/>
    <w:rsid w:val="550764A4"/>
    <w:rsid w:val="550B0C7F"/>
    <w:rsid w:val="550B2BF6"/>
    <w:rsid w:val="55173EF5"/>
    <w:rsid w:val="55214EB5"/>
    <w:rsid w:val="55364EFD"/>
    <w:rsid w:val="555D4828"/>
    <w:rsid w:val="55683ADA"/>
    <w:rsid w:val="5570724A"/>
    <w:rsid w:val="557A4C8B"/>
    <w:rsid w:val="558931E1"/>
    <w:rsid w:val="558D05EC"/>
    <w:rsid w:val="55923347"/>
    <w:rsid w:val="55925180"/>
    <w:rsid w:val="55983B1B"/>
    <w:rsid w:val="55A8376B"/>
    <w:rsid w:val="55C1153A"/>
    <w:rsid w:val="55D8165E"/>
    <w:rsid w:val="55DC29B6"/>
    <w:rsid w:val="55DD4241"/>
    <w:rsid w:val="55F6371E"/>
    <w:rsid w:val="566B6D1E"/>
    <w:rsid w:val="56816191"/>
    <w:rsid w:val="56824EA4"/>
    <w:rsid w:val="56C9606D"/>
    <w:rsid w:val="57032A2C"/>
    <w:rsid w:val="570F5219"/>
    <w:rsid w:val="57505DCD"/>
    <w:rsid w:val="575D12B5"/>
    <w:rsid w:val="57610A87"/>
    <w:rsid w:val="57791C17"/>
    <w:rsid w:val="577B1140"/>
    <w:rsid w:val="577B7F21"/>
    <w:rsid w:val="577F181B"/>
    <w:rsid w:val="57921984"/>
    <w:rsid w:val="579737F0"/>
    <w:rsid w:val="57975DB9"/>
    <w:rsid w:val="57AB7B30"/>
    <w:rsid w:val="57AF5251"/>
    <w:rsid w:val="57B26373"/>
    <w:rsid w:val="57B63F04"/>
    <w:rsid w:val="57CD20C2"/>
    <w:rsid w:val="57D675AB"/>
    <w:rsid w:val="57D95FDD"/>
    <w:rsid w:val="57E260AE"/>
    <w:rsid w:val="58417616"/>
    <w:rsid w:val="588A025D"/>
    <w:rsid w:val="58917D2F"/>
    <w:rsid w:val="5894085C"/>
    <w:rsid w:val="58A15A50"/>
    <w:rsid w:val="58AE4F0C"/>
    <w:rsid w:val="58B85899"/>
    <w:rsid w:val="58DD3B1F"/>
    <w:rsid w:val="58E363A9"/>
    <w:rsid w:val="58E66361"/>
    <w:rsid w:val="58F162FD"/>
    <w:rsid w:val="590258CE"/>
    <w:rsid w:val="591075D9"/>
    <w:rsid w:val="59140B58"/>
    <w:rsid w:val="591A5BE0"/>
    <w:rsid w:val="591C6869"/>
    <w:rsid w:val="59575208"/>
    <w:rsid w:val="595A3A1F"/>
    <w:rsid w:val="595E1678"/>
    <w:rsid w:val="596206C7"/>
    <w:rsid w:val="596D5BD4"/>
    <w:rsid w:val="597A159C"/>
    <w:rsid w:val="597E3DD8"/>
    <w:rsid w:val="59A2737D"/>
    <w:rsid w:val="59B55A23"/>
    <w:rsid w:val="59D86349"/>
    <w:rsid w:val="59F760A3"/>
    <w:rsid w:val="59F80043"/>
    <w:rsid w:val="5A09252F"/>
    <w:rsid w:val="5A0B2778"/>
    <w:rsid w:val="5A2A7C7B"/>
    <w:rsid w:val="5A3E2560"/>
    <w:rsid w:val="5A5B2AD6"/>
    <w:rsid w:val="5A5D3B6E"/>
    <w:rsid w:val="5A637A76"/>
    <w:rsid w:val="5A6D33BA"/>
    <w:rsid w:val="5A792B1F"/>
    <w:rsid w:val="5A874767"/>
    <w:rsid w:val="5A9E1775"/>
    <w:rsid w:val="5AA27C6A"/>
    <w:rsid w:val="5AAD6F28"/>
    <w:rsid w:val="5AB81DFE"/>
    <w:rsid w:val="5ACF3555"/>
    <w:rsid w:val="5AD63A24"/>
    <w:rsid w:val="5B1206B6"/>
    <w:rsid w:val="5B2E1A1D"/>
    <w:rsid w:val="5B630B3E"/>
    <w:rsid w:val="5B637ED8"/>
    <w:rsid w:val="5B6B2007"/>
    <w:rsid w:val="5B843A1C"/>
    <w:rsid w:val="5B873E3F"/>
    <w:rsid w:val="5B8B4226"/>
    <w:rsid w:val="5BB4007A"/>
    <w:rsid w:val="5BB92F8E"/>
    <w:rsid w:val="5BE36011"/>
    <w:rsid w:val="5BFC66D9"/>
    <w:rsid w:val="5BFD4E82"/>
    <w:rsid w:val="5C02690E"/>
    <w:rsid w:val="5C0F52BB"/>
    <w:rsid w:val="5C196DA7"/>
    <w:rsid w:val="5C1A4503"/>
    <w:rsid w:val="5C2A048C"/>
    <w:rsid w:val="5C2F7D76"/>
    <w:rsid w:val="5C3079EC"/>
    <w:rsid w:val="5C3D22DD"/>
    <w:rsid w:val="5C5F0DBA"/>
    <w:rsid w:val="5C5F6E15"/>
    <w:rsid w:val="5C7922D1"/>
    <w:rsid w:val="5C80234E"/>
    <w:rsid w:val="5C855F36"/>
    <w:rsid w:val="5C8A680C"/>
    <w:rsid w:val="5C98135C"/>
    <w:rsid w:val="5CB302F5"/>
    <w:rsid w:val="5CC02154"/>
    <w:rsid w:val="5CE24A87"/>
    <w:rsid w:val="5D0C4701"/>
    <w:rsid w:val="5D0F0395"/>
    <w:rsid w:val="5D182AD8"/>
    <w:rsid w:val="5D221076"/>
    <w:rsid w:val="5D2553D2"/>
    <w:rsid w:val="5D397964"/>
    <w:rsid w:val="5D5A391C"/>
    <w:rsid w:val="5D5F10C0"/>
    <w:rsid w:val="5D63417B"/>
    <w:rsid w:val="5D7F421E"/>
    <w:rsid w:val="5D891B7B"/>
    <w:rsid w:val="5D8A44FD"/>
    <w:rsid w:val="5DAD38EE"/>
    <w:rsid w:val="5DBA5A0B"/>
    <w:rsid w:val="5DD15771"/>
    <w:rsid w:val="5DE6548E"/>
    <w:rsid w:val="5E006862"/>
    <w:rsid w:val="5E0207B9"/>
    <w:rsid w:val="5E084D23"/>
    <w:rsid w:val="5E1834A1"/>
    <w:rsid w:val="5E261785"/>
    <w:rsid w:val="5E285DD7"/>
    <w:rsid w:val="5E4A7017"/>
    <w:rsid w:val="5E523EDE"/>
    <w:rsid w:val="5E552BBA"/>
    <w:rsid w:val="5E611C10"/>
    <w:rsid w:val="5E6D10BD"/>
    <w:rsid w:val="5E781692"/>
    <w:rsid w:val="5EC4042A"/>
    <w:rsid w:val="5ED47FDE"/>
    <w:rsid w:val="5EFC7377"/>
    <w:rsid w:val="5F06174D"/>
    <w:rsid w:val="5F0B0627"/>
    <w:rsid w:val="5F3605E8"/>
    <w:rsid w:val="5F3A3602"/>
    <w:rsid w:val="5F542E89"/>
    <w:rsid w:val="5F6277C6"/>
    <w:rsid w:val="5F696FE3"/>
    <w:rsid w:val="5F6D0B1D"/>
    <w:rsid w:val="5F7C7776"/>
    <w:rsid w:val="5F8D0B82"/>
    <w:rsid w:val="5F975A3F"/>
    <w:rsid w:val="5F98430C"/>
    <w:rsid w:val="5FA41A49"/>
    <w:rsid w:val="5FAF49C1"/>
    <w:rsid w:val="5FC62DBB"/>
    <w:rsid w:val="5FCC5339"/>
    <w:rsid w:val="5FD75934"/>
    <w:rsid w:val="5FE34A5B"/>
    <w:rsid w:val="5FE3C1BD"/>
    <w:rsid w:val="5FEF11FD"/>
    <w:rsid w:val="5FFE1E36"/>
    <w:rsid w:val="60232584"/>
    <w:rsid w:val="607330CE"/>
    <w:rsid w:val="60825176"/>
    <w:rsid w:val="609F2AC4"/>
    <w:rsid w:val="60C45483"/>
    <w:rsid w:val="60C67B6D"/>
    <w:rsid w:val="60FA2EE8"/>
    <w:rsid w:val="61054A27"/>
    <w:rsid w:val="610A52BC"/>
    <w:rsid w:val="611D2366"/>
    <w:rsid w:val="612D7D00"/>
    <w:rsid w:val="613C18C6"/>
    <w:rsid w:val="613E48E7"/>
    <w:rsid w:val="61421856"/>
    <w:rsid w:val="615227C4"/>
    <w:rsid w:val="61654E3F"/>
    <w:rsid w:val="616F1A9B"/>
    <w:rsid w:val="6182292A"/>
    <w:rsid w:val="618579CA"/>
    <w:rsid w:val="619F7F92"/>
    <w:rsid w:val="61F94C26"/>
    <w:rsid w:val="62000E56"/>
    <w:rsid w:val="62302F99"/>
    <w:rsid w:val="62354202"/>
    <w:rsid w:val="624D08A0"/>
    <w:rsid w:val="624F3E49"/>
    <w:rsid w:val="625443FC"/>
    <w:rsid w:val="62632286"/>
    <w:rsid w:val="62885958"/>
    <w:rsid w:val="629B7E1A"/>
    <w:rsid w:val="62B47227"/>
    <w:rsid w:val="62E0004A"/>
    <w:rsid w:val="62E1748A"/>
    <w:rsid w:val="62F40B65"/>
    <w:rsid w:val="62FC2CFE"/>
    <w:rsid w:val="63024505"/>
    <w:rsid w:val="63056B46"/>
    <w:rsid w:val="63145CAE"/>
    <w:rsid w:val="63163E12"/>
    <w:rsid w:val="63477890"/>
    <w:rsid w:val="635B1DB5"/>
    <w:rsid w:val="63711FED"/>
    <w:rsid w:val="63852C0C"/>
    <w:rsid w:val="63880DDC"/>
    <w:rsid w:val="638D750D"/>
    <w:rsid w:val="63AC6CC0"/>
    <w:rsid w:val="63C11BFC"/>
    <w:rsid w:val="63CB2E94"/>
    <w:rsid w:val="63D36808"/>
    <w:rsid w:val="63F56D96"/>
    <w:rsid w:val="63FA2D29"/>
    <w:rsid w:val="64055776"/>
    <w:rsid w:val="64240056"/>
    <w:rsid w:val="643E143A"/>
    <w:rsid w:val="645C1BAD"/>
    <w:rsid w:val="648B6EEF"/>
    <w:rsid w:val="64BB5A9C"/>
    <w:rsid w:val="64C158BF"/>
    <w:rsid w:val="64CE2EAA"/>
    <w:rsid w:val="64D712A6"/>
    <w:rsid w:val="6507372E"/>
    <w:rsid w:val="650D1615"/>
    <w:rsid w:val="650D4F34"/>
    <w:rsid w:val="653C3090"/>
    <w:rsid w:val="65854376"/>
    <w:rsid w:val="65856971"/>
    <w:rsid w:val="658767BE"/>
    <w:rsid w:val="65892531"/>
    <w:rsid w:val="65944411"/>
    <w:rsid w:val="65A978BE"/>
    <w:rsid w:val="65AB2B63"/>
    <w:rsid w:val="65AC3BD7"/>
    <w:rsid w:val="65C176AD"/>
    <w:rsid w:val="65E93AE6"/>
    <w:rsid w:val="65EB2B1E"/>
    <w:rsid w:val="66195831"/>
    <w:rsid w:val="662244D0"/>
    <w:rsid w:val="662E75B1"/>
    <w:rsid w:val="66342C2E"/>
    <w:rsid w:val="663E784C"/>
    <w:rsid w:val="665919FF"/>
    <w:rsid w:val="665F620F"/>
    <w:rsid w:val="666F5D27"/>
    <w:rsid w:val="667A6125"/>
    <w:rsid w:val="668B64F1"/>
    <w:rsid w:val="668B6A45"/>
    <w:rsid w:val="671348F5"/>
    <w:rsid w:val="67295564"/>
    <w:rsid w:val="672D53EC"/>
    <w:rsid w:val="672F3F24"/>
    <w:rsid w:val="673A7B78"/>
    <w:rsid w:val="673E055F"/>
    <w:rsid w:val="67551CE3"/>
    <w:rsid w:val="675E115E"/>
    <w:rsid w:val="676F6A10"/>
    <w:rsid w:val="67935737"/>
    <w:rsid w:val="67A22552"/>
    <w:rsid w:val="67B22DCC"/>
    <w:rsid w:val="67BE71AA"/>
    <w:rsid w:val="67D90273"/>
    <w:rsid w:val="67DE5875"/>
    <w:rsid w:val="67E55852"/>
    <w:rsid w:val="67EB1AB4"/>
    <w:rsid w:val="67FA1285"/>
    <w:rsid w:val="67FF0F45"/>
    <w:rsid w:val="681A7B2C"/>
    <w:rsid w:val="68201B70"/>
    <w:rsid w:val="68467214"/>
    <w:rsid w:val="68551F4F"/>
    <w:rsid w:val="686F4BDB"/>
    <w:rsid w:val="687C10C9"/>
    <w:rsid w:val="68840C16"/>
    <w:rsid w:val="68876EFB"/>
    <w:rsid w:val="68884654"/>
    <w:rsid w:val="688F586C"/>
    <w:rsid w:val="68925AA2"/>
    <w:rsid w:val="689F444F"/>
    <w:rsid w:val="68B96DBB"/>
    <w:rsid w:val="68CA2805"/>
    <w:rsid w:val="68DD4571"/>
    <w:rsid w:val="68E937A3"/>
    <w:rsid w:val="693A7B0B"/>
    <w:rsid w:val="693E15D3"/>
    <w:rsid w:val="695727C0"/>
    <w:rsid w:val="69627681"/>
    <w:rsid w:val="6977531D"/>
    <w:rsid w:val="69CC2BFF"/>
    <w:rsid w:val="69D17C29"/>
    <w:rsid w:val="69D56ECC"/>
    <w:rsid w:val="69D80A27"/>
    <w:rsid w:val="69EB141F"/>
    <w:rsid w:val="69EB1845"/>
    <w:rsid w:val="69FD55B8"/>
    <w:rsid w:val="6A0B1C62"/>
    <w:rsid w:val="6A0D0779"/>
    <w:rsid w:val="6A1A12C5"/>
    <w:rsid w:val="6A2406C8"/>
    <w:rsid w:val="6A2B78F2"/>
    <w:rsid w:val="6A5C19DA"/>
    <w:rsid w:val="6A61307C"/>
    <w:rsid w:val="6A761984"/>
    <w:rsid w:val="6A88688D"/>
    <w:rsid w:val="6ACB396B"/>
    <w:rsid w:val="6ADE0BD1"/>
    <w:rsid w:val="6AE1254D"/>
    <w:rsid w:val="6AE96859"/>
    <w:rsid w:val="6B147746"/>
    <w:rsid w:val="6B24787C"/>
    <w:rsid w:val="6B2C3DD8"/>
    <w:rsid w:val="6B403932"/>
    <w:rsid w:val="6B573233"/>
    <w:rsid w:val="6B5B6274"/>
    <w:rsid w:val="6B6B606E"/>
    <w:rsid w:val="6B825831"/>
    <w:rsid w:val="6B935D53"/>
    <w:rsid w:val="6B96537C"/>
    <w:rsid w:val="6BB05D9A"/>
    <w:rsid w:val="6BE21990"/>
    <w:rsid w:val="6C196F71"/>
    <w:rsid w:val="6C226FCB"/>
    <w:rsid w:val="6C270AD3"/>
    <w:rsid w:val="6C296F26"/>
    <w:rsid w:val="6C31226F"/>
    <w:rsid w:val="6C551B2C"/>
    <w:rsid w:val="6C552F0B"/>
    <w:rsid w:val="6C8252A9"/>
    <w:rsid w:val="6C8C67B7"/>
    <w:rsid w:val="6C913024"/>
    <w:rsid w:val="6C9D744C"/>
    <w:rsid w:val="6CA50320"/>
    <w:rsid w:val="6CB46912"/>
    <w:rsid w:val="6CF92406"/>
    <w:rsid w:val="6D013776"/>
    <w:rsid w:val="6D167928"/>
    <w:rsid w:val="6D26299B"/>
    <w:rsid w:val="6D4772EC"/>
    <w:rsid w:val="6D7FCBBB"/>
    <w:rsid w:val="6D82775B"/>
    <w:rsid w:val="6D9078AF"/>
    <w:rsid w:val="6D9330C7"/>
    <w:rsid w:val="6DAA3FEF"/>
    <w:rsid w:val="6DC0172B"/>
    <w:rsid w:val="6DCB690C"/>
    <w:rsid w:val="6DD41A5B"/>
    <w:rsid w:val="6DF43C2E"/>
    <w:rsid w:val="6DF51CA3"/>
    <w:rsid w:val="6E044187"/>
    <w:rsid w:val="6E2E6858"/>
    <w:rsid w:val="6E635641"/>
    <w:rsid w:val="6E6E718E"/>
    <w:rsid w:val="6E8335BD"/>
    <w:rsid w:val="6E8E12EF"/>
    <w:rsid w:val="6E9639DF"/>
    <w:rsid w:val="6E972936"/>
    <w:rsid w:val="6E9817AB"/>
    <w:rsid w:val="6EB15A8A"/>
    <w:rsid w:val="6ED446C5"/>
    <w:rsid w:val="6EDF1C3E"/>
    <w:rsid w:val="6EE42901"/>
    <w:rsid w:val="6EFFA6FA"/>
    <w:rsid w:val="6F046D6B"/>
    <w:rsid w:val="6F2338A6"/>
    <w:rsid w:val="6F27446A"/>
    <w:rsid w:val="6F2A7D94"/>
    <w:rsid w:val="6F477302"/>
    <w:rsid w:val="6F635616"/>
    <w:rsid w:val="6F8331F1"/>
    <w:rsid w:val="6F912E4A"/>
    <w:rsid w:val="6FA10B33"/>
    <w:rsid w:val="6FAE1A09"/>
    <w:rsid w:val="6FD75BF8"/>
    <w:rsid w:val="6FE169D2"/>
    <w:rsid w:val="6FEA4288"/>
    <w:rsid w:val="6FEC6252"/>
    <w:rsid w:val="70043BDB"/>
    <w:rsid w:val="701F44F5"/>
    <w:rsid w:val="707723D0"/>
    <w:rsid w:val="70AC5DF4"/>
    <w:rsid w:val="70BF3967"/>
    <w:rsid w:val="70C10CCB"/>
    <w:rsid w:val="70F51E37"/>
    <w:rsid w:val="70F5661B"/>
    <w:rsid w:val="71105675"/>
    <w:rsid w:val="71360107"/>
    <w:rsid w:val="713B688E"/>
    <w:rsid w:val="71D43752"/>
    <w:rsid w:val="71F14AF3"/>
    <w:rsid w:val="71F1796A"/>
    <w:rsid w:val="72154626"/>
    <w:rsid w:val="72262B5D"/>
    <w:rsid w:val="72283FF7"/>
    <w:rsid w:val="722E7212"/>
    <w:rsid w:val="723A0474"/>
    <w:rsid w:val="7257211E"/>
    <w:rsid w:val="725923E4"/>
    <w:rsid w:val="726402D3"/>
    <w:rsid w:val="72864BF7"/>
    <w:rsid w:val="728B4459"/>
    <w:rsid w:val="729023FC"/>
    <w:rsid w:val="729F5EE4"/>
    <w:rsid w:val="72B92879"/>
    <w:rsid w:val="72F20127"/>
    <w:rsid w:val="731442C1"/>
    <w:rsid w:val="73597D95"/>
    <w:rsid w:val="73610607"/>
    <w:rsid w:val="73883379"/>
    <w:rsid w:val="73AB3D2F"/>
    <w:rsid w:val="73BA74AC"/>
    <w:rsid w:val="73C0646E"/>
    <w:rsid w:val="73CF3445"/>
    <w:rsid w:val="73D04896"/>
    <w:rsid w:val="74155FAF"/>
    <w:rsid w:val="741E6BF6"/>
    <w:rsid w:val="742222F5"/>
    <w:rsid w:val="742C1C21"/>
    <w:rsid w:val="74476126"/>
    <w:rsid w:val="745C7E87"/>
    <w:rsid w:val="74706664"/>
    <w:rsid w:val="747F3682"/>
    <w:rsid w:val="749C4185"/>
    <w:rsid w:val="74B77DD5"/>
    <w:rsid w:val="74F348E9"/>
    <w:rsid w:val="75067759"/>
    <w:rsid w:val="75070825"/>
    <w:rsid w:val="75136900"/>
    <w:rsid w:val="752E6DCD"/>
    <w:rsid w:val="753C4AE2"/>
    <w:rsid w:val="753D4E5A"/>
    <w:rsid w:val="753F0C3E"/>
    <w:rsid w:val="7551380D"/>
    <w:rsid w:val="75574608"/>
    <w:rsid w:val="75600BE5"/>
    <w:rsid w:val="756156A0"/>
    <w:rsid w:val="7564475C"/>
    <w:rsid w:val="756F07B9"/>
    <w:rsid w:val="7583797F"/>
    <w:rsid w:val="758A1845"/>
    <w:rsid w:val="75946F62"/>
    <w:rsid w:val="75AB11C3"/>
    <w:rsid w:val="75BD3159"/>
    <w:rsid w:val="75C27F7D"/>
    <w:rsid w:val="75D20F1D"/>
    <w:rsid w:val="75D699B9"/>
    <w:rsid w:val="75DA2C18"/>
    <w:rsid w:val="75EB1328"/>
    <w:rsid w:val="75F24BBB"/>
    <w:rsid w:val="75F54412"/>
    <w:rsid w:val="76050F25"/>
    <w:rsid w:val="761D08E0"/>
    <w:rsid w:val="765D29D6"/>
    <w:rsid w:val="765D347C"/>
    <w:rsid w:val="766A7ED1"/>
    <w:rsid w:val="76817959"/>
    <w:rsid w:val="76826699"/>
    <w:rsid w:val="769479F8"/>
    <w:rsid w:val="769A1B89"/>
    <w:rsid w:val="76A80E96"/>
    <w:rsid w:val="76AA318E"/>
    <w:rsid w:val="76C87133"/>
    <w:rsid w:val="76C93B48"/>
    <w:rsid w:val="76CD08D5"/>
    <w:rsid w:val="76DB4B92"/>
    <w:rsid w:val="76E62EB5"/>
    <w:rsid w:val="76EA7583"/>
    <w:rsid w:val="77000DA2"/>
    <w:rsid w:val="77052AA4"/>
    <w:rsid w:val="77136511"/>
    <w:rsid w:val="771F2D4B"/>
    <w:rsid w:val="77340A39"/>
    <w:rsid w:val="77351FD0"/>
    <w:rsid w:val="77472422"/>
    <w:rsid w:val="7756284E"/>
    <w:rsid w:val="77625069"/>
    <w:rsid w:val="777F31F2"/>
    <w:rsid w:val="77B95F7C"/>
    <w:rsid w:val="77D1700D"/>
    <w:rsid w:val="77EC04CC"/>
    <w:rsid w:val="77EE9D35"/>
    <w:rsid w:val="7808125C"/>
    <w:rsid w:val="78234247"/>
    <w:rsid w:val="7831688D"/>
    <w:rsid w:val="784819FC"/>
    <w:rsid w:val="78775729"/>
    <w:rsid w:val="789376D9"/>
    <w:rsid w:val="78A42DB0"/>
    <w:rsid w:val="78A656AB"/>
    <w:rsid w:val="78B22357"/>
    <w:rsid w:val="78B2245C"/>
    <w:rsid w:val="78CA3DFC"/>
    <w:rsid w:val="78E172CC"/>
    <w:rsid w:val="78EA1D1F"/>
    <w:rsid w:val="7904172F"/>
    <w:rsid w:val="790F7E27"/>
    <w:rsid w:val="792A231A"/>
    <w:rsid w:val="79316829"/>
    <w:rsid w:val="795D7D8E"/>
    <w:rsid w:val="797E66A9"/>
    <w:rsid w:val="79856F15"/>
    <w:rsid w:val="79A97383"/>
    <w:rsid w:val="79E27E8B"/>
    <w:rsid w:val="79E87A8A"/>
    <w:rsid w:val="79F50F6F"/>
    <w:rsid w:val="79F850CE"/>
    <w:rsid w:val="79FD443C"/>
    <w:rsid w:val="7A1D1975"/>
    <w:rsid w:val="7A3E5150"/>
    <w:rsid w:val="7A4670D6"/>
    <w:rsid w:val="7A4B626B"/>
    <w:rsid w:val="7A52346A"/>
    <w:rsid w:val="7A534B63"/>
    <w:rsid w:val="7A615382"/>
    <w:rsid w:val="7A67303B"/>
    <w:rsid w:val="7A815AE5"/>
    <w:rsid w:val="7A831561"/>
    <w:rsid w:val="7A8D3FE6"/>
    <w:rsid w:val="7AAB1D04"/>
    <w:rsid w:val="7AB55ECE"/>
    <w:rsid w:val="7AB91427"/>
    <w:rsid w:val="7ABA4368"/>
    <w:rsid w:val="7ABE6126"/>
    <w:rsid w:val="7AD05746"/>
    <w:rsid w:val="7AFC357A"/>
    <w:rsid w:val="7AFE788A"/>
    <w:rsid w:val="7B000688"/>
    <w:rsid w:val="7B0F26FA"/>
    <w:rsid w:val="7B1167AD"/>
    <w:rsid w:val="7B257FFD"/>
    <w:rsid w:val="7B343476"/>
    <w:rsid w:val="7B5A2978"/>
    <w:rsid w:val="7B5A7E4C"/>
    <w:rsid w:val="7B5D6B91"/>
    <w:rsid w:val="7B5F3BF7"/>
    <w:rsid w:val="7B667AF9"/>
    <w:rsid w:val="7B7468F8"/>
    <w:rsid w:val="7B827A6B"/>
    <w:rsid w:val="7BB30B74"/>
    <w:rsid w:val="7BC0055B"/>
    <w:rsid w:val="7BCC69B1"/>
    <w:rsid w:val="7BE26321"/>
    <w:rsid w:val="7BEE0103"/>
    <w:rsid w:val="7C0A0FE4"/>
    <w:rsid w:val="7C254906"/>
    <w:rsid w:val="7C590818"/>
    <w:rsid w:val="7C5F3F2B"/>
    <w:rsid w:val="7C7C10F6"/>
    <w:rsid w:val="7C853BEA"/>
    <w:rsid w:val="7C881368"/>
    <w:rsid w:val="7C950194"/>
    <w:rsid w:val="7CA57625"/>
    <w:rsid w:val="7CC6752E"/>
    <w:rsid w:val="7CE27788"/>
    <w:rsid w:val="7CEA0AAC"/>
    <w:rsid w:val="7D0C32F1"/>
    <w:rsid w:val="7D0F408D"/>
    <w:rsid w:val="7D23120D"/>
    <w:rsid w:val="7D271898"/>
    <w:rsid w:val="7D491C6C"/>
    <w:rsid w:val="7D5429C0"/>
    <w:rsid w:val="7D6E6D43"/>
    <w:rsid w:val="7D89077C"/>
    <w:rsid w:val="7DB57A34"/>
    <w:rsid w:val="7DE60973"/>
    <w:rsid w:val="7DEF0916"/>
    <w:rsid w:val="7E1E5218"/>
    <w:rsid w:val="7E5B5AC3"/>
    <w:rsid w:val="7E9A4E1F"/>
    <w:rsid w:val="7EA7723A"/>
    <w:rsid w:val="7EEF12E5"/>
    <w:rsid w:val="7EF56FBB"/>
    <w:rsid w:val="7EFE2E81"/>
    <w:rsid w:val="7F0768EB"/>
    <w:rsid w:val="7F143BEC"/>
    <w:rsid w:val="7F2A7A8E"/>
    <w:rsid w:val="7F4A3445"/>
    <w:rsid w:val="7F715AF2"/>
    <w:rsid w:val="7F856010"/>
    <w:rsid w:val="7F886E69"/>
    <w:rsid w:val="7FC82359"/>
    <w:rsid w:val="7FED468C"/>
    <w:rsid w:val="8FCB4C11"/>
    <w:rsid w:val="95DC5C8A"/>
    <w:rsid w:val="AFF39F78"/>
    <w:rsid w:val="AFFF6D0B"/>
    <w:rsid w:val="B759AF75"/>
    <w:rsid w:val="BB7FA927"/>
    <w:rsid w:val="BBE7C45F"/>
    <w:rsid w:val="BD7F1C15"/>
    <w:rsid w:val="BE7BB4BD"/>
    <w:rsid w:val="BEF47250"/>
    <w:rsid w:val="BFF9B23F"/>
    <w:rsid w:val="CEF48C36"/>
    <w:rsid w:val="DF471A27"/>
    <w:rsid w:val="EBDEA9A8"/>
    <w:rsid w:val="F37D11C3"/>
    <w:rsid w:val="F58F1A04"/>
    <w:rsid w:val="F5FFD31F"/>
    <w:rsid w:val="F7FF7593"/>
    <w:rsid w:val="FBF52026"/>
    <w:rsid w:val="FBFF323A"/>
    <w:rsid w:val="FDFB9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9"/>
    <w:pPr>
      <w:keepNext/>
      <w:keepLines/>
      <w:tabs>
        <w:tab w:val="left" w:pos="432"/>
      </w:tabs>
      <w:spacing w:line="360" w:lineRule="auto"/>
      <w:jc w:val="center"/>
      <w:outlineLvl w:val="0"/>
    </w:pPr>
    <w:rPr>
      <w:rFonts w:eastAsia="仿宋"/>
      <w:b/>
      <w:bCs/>
      <w:kern w:val="44"/>
      <w:sz w:val="36"/>
      <w:szCs w:val="44"/>
    </w:rPr>
  </w:style>
  <w:style w:type="paragraph" w:styleId="4">
    <w:name w:val="heading 2"/>
    <w:basedOn w:val="1"/>
    <w:next w:val="1"/>
    <w:link w:val="967"/>
    <w:qFormat/>
    <w:uiPriority w:val="0"/>
    <w:pPr>
      <w:keepNext/>
      <w:keepLines/>
      <w:tabs>
        <w:tab w:val="left" w:pos="432"/>
      </w:tabs>
      <w:adjustRightInd/>
      <w:spacing w:line="360" w:lineRule="auto"/>
      <w:ind w:left="432" w:hanging="432"/>
      <w:jc w:val="center"/>
      <w:outlineLvl w:val="1"/>
    </w:pPr>
    <w:rPr>
      <w:rFonts w:ascii="仿宋_GB2312" w:hAnsi="仿宋_GB2312" w:eastAsia="仿宋"/>
      <w:b/>
      <w:bCs/>
      <w:sz w:val="32"/>
      <w:szCs w:val="32"/>
      <w:lang w:val="zh-CN"/>
    </w:rPr>
  </w:style>
  <w:style w:type="paragraph" w:styleId="5">
    <w:name w:val="heading 3"/>
    <w:basedOn w:val="1"/>
    <w:next w:val="6"/>
    <w:link w:val="968"/>
    <w:qFormat/>
    <w:uiPriority w:val="0"/>
    <w:pPr>
      <w:keepNext/>
      <w:keepLines/>
      <w:tabs>
        <w:tab w:val="left" w:pos="900"/>
      </w:tabs>
      <w:spacing w:line="360" w:lineRule="auto"/>
      <w:ind w:left="181"/>
      <w:outlineLvl w:val="2"/>
    </w:pPr>
    <w:rPr>
      <w:rFonts w:eastAsia="仿宋"/>
      <w:b/>
      <w:bCs/>
      <w:sz w:val="24"/>
      <w:szCs w:val="32"/>
    </w:rPr>
  </w:style>
  <w:style w:type="paragraph" w:styleId="7">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7">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381"/>
    <w:qFormat/>
    <w:uiPriority w:val="0"/>
    <w:pPr>
      <w:spacing w:line="360" w:lineRule="auto"/>
      <w:ind w:firstLine="420"/>
    </w:pPr>
    <w:rPr>
      <w:sz w:val="24"/>
      <w:szCs w:val="20"/>
    </w:rPr>
  </w:style>
  <w:style w:type="paragraph" w:styleId="6">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next w:val="1"/>
    <w:link w:val="211"/>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6"/>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样式 表格正文 + 两端对齐"/>
    <w:basedOn w:val="1"/>
    <w:next w:val="26"/>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26">
    <w:name w:val="正文1"/>
    <w:basedOn w:val="27"/>
    <w:next w:val="28"/>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7">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8">
    <w:name w:val="自动更正"/>
    <w:next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xl39"/>
    <w:basedOn w:val="1"/>
    <w:next w:val="30"/>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31">
    <w:name w:val="Body Text Indent"/>
    <w:basedOn w:val="1"/>
    <w:next w:val="1"/>
    <w:link w:val="272"/>
    <w:qFormat/>
    <w:uiPriority w:val="0"/>
    <w:pPr>
      <w:spacing w:line="480" w:lineRule="exact"/>
      <w:ind w:firstLine="480" w:firstLineChars="200"/>
    </w:pPr>
    <w:rPr>
      <w:rFonts w:ascii="宋体" w:hAnsi="宋体"/>
      <w:sz w:val="24"/>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next w:val="24"/>
    <w:link w:val="134"/>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90"/>
    <w:qFormat/>
    <w:uiPriority w:val="0"/>
    <w:pPr>
      <w:ind w:left="100" w:leftChars="2500"/>
    </w:pPr>
    <w:rPr>
      <w:rFonts w:ascii="宋体"/>
      <w:sz w:val="24"/>
      <w:szCs w:val="21"/>
      <w:lang w:val="zh-CN"/>
    </w:rPr>
  </w:style>
  <w:style w:type="paragraph" w:styleId="42">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3">
    <w:name w:val="endnote text"/>
    <w:basedOn w:val="1"/>
    <w:link w:val="935"/>
    <w:qFormat/>
    <w:uiPriority w:val="0"/>
    <w:rPr>
      <w:lang w:val="zh-CN"/>
    </w:rPr>
  </w:style>
  <w:style w:type="paragraph" w:styleId="44">
    <w:name w:val="Balloon Text"/>
    <w:basedOn w:val="1"/>
    <w:link w:val="197"/>
    <w:qFormat/>
    <w:uiPriority w:val="0"/>
    <w:rPr>
      <w:sz w:val="18"/>
      <w:szCs w:val="18"/>
    </w:rPr>
  </w:style>
  <w:style w:type="paragraph" w:styleId="45">
    <w:name w:val="footer"/>
    <w:basedOn w:val="1"/>
    <w:link w:val="389"/>
    <w:qFormat/>
    <w:uiPriority w:val="99"/>
    <w:pPr>
      <w:tabs>
        <w:tab w:val="center" w:pos="4153"/>
        <w:tab w:val="right" w:pos="8306"/>
      </w:tabs>
      <w:snapToGrid w:val="0"/>
      <w:jc w:val="left"/>
    </w:pPr>
    <w:rPr>
      <w:sz w:val="18"/>
      <w:szCs w:val="18"/>
    </w:rPr>
  </w:style>
  <w:style w:type="paragraph" w:styleId="46">
    <w:name w:val="envelope return"/>
    <w:basedOn w:val="1"/>
    <w:unhideWhenUsed/>
    <w:qFormat/>
    <w:uiPriority w:val="99"/>
    <w:pPr>
      <w:snapToGrid w:val="0"/>
    </w:pPr>
    <w:rPr>
      <w:rFonts w:ascii="Arial" w:hAnsi="Arial"/>
    </w:rPr>
  </w:style>
  <w:style w:type="paragraph" w:styleId="47">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6"/>
    <w:link w:val="316"/>
    <w:qFormat/>
    <w:uiPriority w:val="0"/>
    <w:pPr>
      <w:adjustRightInd/>
      <w:snapToGrid/>
      <w:spacing w:before="60" w:after="60" w:line="300" w:lineRule="exact"/>
      <w:ind w:firstLine="0"/>
    </w:pPr>
    <w:rPr>
      <w:rFonts w:ascii="Calibri"/>
      <w:snapToGrid/>
      <w:color w:val="0000FF"/>
      <w:kern w:val="0"/>
      <w:sz w:val="21"/>
    </w:rPr>
  </w:style>
  <w:style w:type="paragraph" w:styleId="57">
    <w:name w:val="toc 6"/>
    <w:basedOn w:val="1"/>
    <w:next w:val="1"/>
    <w:qFormat/>
    <w:uiPriority w:val="0"/>
    <w:pPr>
      <w:ind w:left="2100" w:leftChars="1000"/>
    </w:pPr>
  </w:style>
  <w:style w:type="paragraph" w:styleId="58">
    <w:name w:val="List 5"/>
    <w:basedOn w:val="1"/>
    <w:qFormat/>
    <w:uiPriority w:val="0"/>
    <w:pPr>
      <w:adjustRightInd/>
      <w:ind w:left="100" w:leftChars="800" w:hanging="200" w:hangingChars="200"/>
    </w:p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8"/>
    <w:qFormat/>
    <w:uiPriority w:val="0"/>
    <w:pPr>
      <w:spacing w:after="120" w:line="480" w:lineRule="auto"/>
    </w:pPr>
  </w:style>
  <w:style w:type="paragraph" w:styleId="62">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next w:val="1"/>
    <w:link w:val="292"/>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0"/>
    <w:next w:val="20"/>
    <w:link w:val="105"/>
    <w:qFormat/>
    <w:uiPriority w:val="0"/>
    <w:rPr>
      <w:b/>
      <w:bCs/>
    </w:rPr>
  </w:style>
  <w:style w:type="paragraph" w:styleId="66">
    <w:name w:val="Body Text First Indent"/>
    <w:basedOn w:val="24"/>
    <w:next w:val="1"/>
    <w:link w:val="327"/>
    <w:qFormat/>
    <w:uiPriority w:val="0"/>
    <w:pPr>
      <w:ind w:firstLine="420"/>
    </w:pPr>
    <w:rPr>
      <w:rFonts w:hAnsi="Calibri" w:cs="Times New Roman"/>
      <w:snapToGrid/>
      <w:szCs w:val="20"/>
    </w:rPr>
  </w:style>
  <w:style w:type="paragraph" w:styleId="67">
    <w:name w:val="Body Text First Indent 2"/>
    <w:basedOn w:val="31"/>
    <w:next w:val="68"/>
    <w:link w:val="130"/>
    <w:qFormat/>
    <w:uiPriority w:val="0"/>
    <w:pPr>
      <w:adjustRightInd/>
      <w:spacing w:after="120" w:line="240" w:lineRule="auto"/>
      <w:ind w:left="420" w:leftChars="200" w:firstLine="210"/>
    </w:pPr>
    <w:rPr>
      <w:sz w:val="21"/>
    </w:rPr>
  </w:style>
  <w:style w:type="paragraph" w:customStyle="1" w:styleId="68">
    <w:name w:val="文章正文"/>
    <w:next w:val="69"/>
    <w:qFormat/>
    <w:uiPriority w:val="0"/>
    <w:pPr>
      <w:widowControl w:val="0"/>
      <w:spacing w:line="360" w:lineRule="auto"/>
      <w:ind w:firstLine="200" w:firstLineChars="200"/>
      <w:jc w:val="both"/>
    </w:pPr>
    <w:rPr>
      <w:rFonts w:ascii="Calibri" w:hAnsi="Calibri" w:eastAsia="宋体" w:cs="Times New Roman"/>
      <w:snapToGrid/>
      <w:sz w:val="24"/>
      <w:szCs w:val="24"/>
      <w:lang w:val="en-US" w:eastAsia="zh-CN" w:bidi="ar-SA"/>
    </w:rPr>
  </w:style>
  <w:style w:type="paragraph" w:customStyle="1" w:styleId="69">
    <w:name w:val="公式样式 变量"/>
    <w:qFormat/>
    <w:uiPriority w:val="0"/>
    <w:rPr>
      <w:rFonts w:ascii="Times New Roman" w:hAnsi="Times New Roman" w:eastAsia="宋体" w:cs="Times New Roman"/>
      <w:i/>
      <w:lang w:val="en-US" w:eastAsia="zh-CN" w:bidi="ar-SA"/>
    </w:rPr>
  </w:style>
  <w:style w:type="table" w:styleId="71">
    <w:name w:val="Table Grid"/>
    <w:basedOn w:val="7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Grid 5"/>
    <w:basedOn w:val="7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Grid 8"/>
    <w:basedOn w:val="7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6">
    <w:name w:val="Table Professional"/>
    <w:basedOn w:val="7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8">
    <w:name w:val="Strong"/>
    <w:qFormat/>
    <w:uiPriority w:val="22"/>
    <w:rPr>
      <w:b/>
      <w:bCs/>
    </w:rPr>
  </w:style>
  <w:style w:type="character" w:styleId="79">
    <w:name w:val="endnote reference"/>
    <w:qFormat/>
    <w:uiPriority w:val="0"/>
    <w:rPr>
      <w:vertAlign w:val="superscript"/>
    </w:rPr>
  </w:style>
  <w:style w:type="character" w:styleId="80">
    <w:name w:val="page number"/>
    <w:basedOn w:val="77"/>
    <w:qFormat/>
    <w:uiPriority w:val="0"/>
    <w:rPr>
      <w:rFonts w:ascii="Arial" w:hAnsi="Arial" w:eastAsia="黑体" w:cs="Arial"/>
      <w:snapToGrid w:val="0"/>
      <w:kern w:val="0"/>
      <w:szCs w:val="21"/>
    </w:rPr>
  </w:style>
  <w:style w:type="character" w:styleId="81">
    <w:name w:val="FollowedHyperlink"/>
    <w:qFormat/>
    <w:uiPriority w:val="99"/>
    <w:rPr>
      <w:rFonts w:ascii="Arial" w:hAnsi="Arial" w:eastAsia="黑体" w:cs="Arial"/>
      <w:snapToGrid w:val="0"/>
      <w:color w:val="000000"/>
      <w:kern w:val="0"/>
      <w:sz w:val="18"/>
      <w:szCs w:val="18"/>
      <w:u w:val="none"/>
    </w:rPr>
  </w:style>
  <w:style w:type="character" w:styleId="82">
    <w:name w:val="Emphasis"/>
    <w:qFormat/>
    <w:uiPriority w:val="20"/>
    <w:rPr>
      <w:color w:val="CC0033"/>
    </w:rPr>
  </w:style>
  <w:style w:type="character" w:styleId="83">
    <w:name w:val="line number"/>
    <w:basedOn w:val="77"/>
    <w:qFormat/>
    <w:uiPriority w:val="0"/>
    <w:rPr>
      <w:rFonts w:ascii="Arial" w:hAnsi="Arial" w:eastAsia="黑体" w:cs="Arial"/>
      <w:snapToGrid w:val="0"/>
      <w:kern w:val="0"/>
      <w:szCs w:val="21"/>
    </w:rPr>
  </w:style>
  <w:style w:type="character" w:styleId="84">
    <w:name w:val="Hyperlink"/>
    <w:qFormat/>
    <w:uiPriority w:val="99"/>
    <w:rPr>
      <w:rFonts w:ascii="Arial" w:hAnsi="Arial" w:eastAsia="黑体" w:cs="Arial"/>
      <w:snapToGrid w:val="0"/>
      <w:color w:val="000000"/>
      <w:kern w:val="0"/>
      <w:sz w:val="18"/>
      <w:szCs w:val="18"/>
      <w:u w:val="none"/>
    </w:rPr>
  </w:style>
  <w:style w:type="character" w:styleId="85">
    <w:name w:val="HTML Code"/>
    <w:qFormat/>
    <w:uiPriority w:val="0"/>
    <w:rPr>
      <w:rFonts w:ascii="黑体" w:hAnsi="Courier New" w:eastAsia="黑体" w:cs="楷体_GB2312"/>
      <w:sz w:val="20"/>
      <w:szCs w:val="20"/>
    </w:rPr>
  </w:style>
  <w:style w:type="character" w:styleId="86">
    <w:name w:val="annotation reference"/>
    <w:qFormat/>
    <w:uiPriority w:val="99"/>
    <w:rPr>
      <w:sz w:val="21"/>
      <w:szCs w:val="21"/>
    </w:rPr>
  </w:style>
  <w:style w:type="paragraph" w:customStyle="1" w:styleId="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88">
    <w:name w:val="Header Char"/>
    <w:qFormat/>
    <w:locked/>
    <w:uiPriority w:val="0"/>
    <w:rPr>
      <w:rFonts w:eastAsia="宋体"/>
      <w:kern w:val="2"/>
      <w:sz w:val="18"/>
      <w:szCs w:val="18"/>
      <w:lang w:val="en-US" w:eastAsia="zh-CN" w:bidi="ar-SA"/>
    </w:rPr>
  </w:style>
  <w:style w:type="character" w:customStyle="1" w:styleId="89">
    <w:name w:val="标题 2 Char"/>
    <w:qFormat/>
    <w:uiPriority w:val="0"/>
    <w:rPr>
      <w:rFonts w:ascii="Arial" w:hAnsi="Arial" w:eastAsia="黑体"/>
      <w:b/>
      <w:kern w:val="2"/>
      <w:sz w:val="32"/>
      <w:lang w:val="en-US" w:eastAsia="zh-CN"/>
    </w:rPr>
  </w:style>
  <w:style w:type="character" w:customStyle="1" w:styleId="90">
    <w:name w:val="标题 1 字符1"/>
    <w:link w:val="3"/>
    <w:qFormat/>
    <w:uiPriority w:val="9"/>
    <w:rPr>
      <w:rFonts w:eastAsia="仿宋"/>
      <w:b/>
      <w:bCs/>
      <w:kern w:val="44"/>
      <w:sz w:val="36"/>
      <w:szCs w:val="4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5"/>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qFormat/>
    <w:uiPriority w:val="9"/>
    <w:rPr>
      <w:b/>
      <w:bCs/>
      <w:kern w:val="2"/>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7"/>
    <w:qFormat/>
    <w:uiPriority w:val="0"/>
    <w:rPr>
      <w:rFonts w:ascii="宋体" w:hAnsi="宋体"/>
      <w:kern w:val="2"/>
      <w:sz w:val="21"/>
      <w:szCs w:val="24"/>
    </w:rPr>
  </w:style>
  <w:style w:type="character" w:customStyle="1" w:styleId="131">
    <w:name w:val="font11"/>
    <w:basedOn w:val="77"/>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7"/>
    <w:qFormat/>
    <w:uiPriority w:val="0"/>
    <w:rPr>
      <w:rFonts w:ascii="Arial" w:hAnsi="Arial" w:eastAsia="黑体" w:cs="Arial"/>
      <w:snapToGrid w:val="0"/>
      <w:kern w:val="0"/>
      <w:szCs w:val="21"/>
    </w:rPr>
  </w:style>
  <w:style w:type="character" w:customStyle="1" w:styleId="134">
    <w:name w:val="纯文本 字符1"/>
    <w:link w:val="38"/>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53"/>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basedOn w:val="77"/>
    <w:qFormat/>
    <w:uiPriority w:val="0"/>
    <w:rPr>
      <w:rFonts w:hint="eastAsia" w:ascii="仿宋_GB2312" w:eastAsia="仿宋_GB2312" w:cs="仿宋_GB2312"/>
      <w:color w:val="000000"/>
      <w:sz w:val="22"/>
      <w:szCs w:val="22"/>
      <w:u w:val="none"/>
    </w:rPr>
  </w:style>
  <w:style w:type="character" w:customStyle="1" w:styleId="156">
    <w:name w:val="标题 6 字符"/>
    <w:link w:val="9"/>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41"/>
    <w:qFormat/>
    <w:uiPriority w:val="0"/>
    <w:rPr>
      <w:rFonts w:ascii="宋体"/>
      <w:kern w:val="2"/>
      <w:sz w:val="24"/>
      <w:szCs w:val="21"/>
      <w:lang w:val="zh-CN"/>
    </w:rPr>
  </w:style>
  <w:style w:type="character" w:customStyle="1" w:styleId="191">
    <w:name w:val="标题 9 字符"/>
    <w:link w:val="12"/>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44"/>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6"/>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5"/>
    <w:qFormat/>
    <w:uiPriority w:val="99"/>
    <w:pPr>
      <w:keepLines w:val="0"/>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7"/>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8"/>
    <w:qFormat/>
    <w:uiPriority w:val="0"/>
    <w:rPr>
      <w:rFonts w:ascii="仿宋_GB2312" w:hAnsi="仿宋" w:eastAsia="仿宋_GB2312" w:cs="仿宋_GB2312"/>
      <w:sz w:val="32"/>
      <w:szCs w:val="30"/>
      <w:lang w:val="zh-CN"/>
    </w:rPr>
  </w:style>
  <w:style w:type="character" w:customStyle="1" w:styleId="227">
    <w:name w:val="HTML 地址 字符"/>
    <w:link w:val="36"/>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7"/>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列出段落1"/>
    <w:basedOn w:val="1"/>
    <w:next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31"/>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4"/>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8"/>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1"/>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62"/>
    <w:qFormat/>
    <w:uiPriority w:val="0"/>
    <w:rPr>
      <w:rFonts w:ascii="黑体" w:hAnsi="Courier New" w:eastAsia="黑体"/>
    </w:rPr>
  </w:style>
  <w:style w:type="character" w:customStyle="1" w:styleId="308">
    <w:name w:val="正文文本 2 字符1"/>
    <w:link w:val="61"/>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7"/>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10"/>
    <w:qFormat/>
    <w:uiPriority w:val="0"/>
    <w:rPr>
      <w:b/>
      <w:bCs/>
      <w:kern w:val="2"/>
      <w:sz w:val="24"/>
      <w:szCs w:val="24"/>
    </w:rPr>
  </w:style>
  <w:style w:type="character" w:customStyle="1" w:styleId="314">
    <w:name w:val="正文文本缩进 2 字符"/>
    <w:link w:val="42"/>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6"/>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66"/>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7"/>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2"/>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qFormat/>
    <w:uiPriority w:val="0"/>
    <w:rPr>
      <w:kern w:val="2"/>
      <w:sz w:val="21"/>
      <w:szCs w:val="24"/>
    </w:rPr>
  </w:style>
  <w:style w:type="character" w:customStyle="1" w:styleId="351">
    <w:name w:val="签名 字符"/>
    <w:link w:val="48"/>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1"/>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2"/>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45"/>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7"/>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7"/>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7">
    <w:name w:val="gray6"/>
    <w:basedOn w:val="77"/>
    <w:qFormat/>
    <w:uiPriority w:val="0"/>
    <w:rPr>
      <w:rFonts w:ascii="Arial" w:hAnsi="Arial" w:eastAsia="黑体" w:cs="Arial"/>
      <w:snapToGrid w:val="0"/>
      <w:kern w:val="0"/>
      <w:szCs w:val="21"/>
    </w:rPr>
  </w:style>
  <w:style w:type="character" w:customStyle="1" w:styleId="438">
    <w:name w:val="hui"/>
    <w:basedOn w:val="77"/>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936"/>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Bulleting First Indent 1"/>
    <w:basedOn w:val="6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2"/>
    <w:next w:val="242"/>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2"/>
    <w:next w:val="242"/>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1"/>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3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61"/>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qFormat/>
    <w:uiPriority w:val="0"/>
    <w:pPr>
      <w:tabs>
        <w:tab w:val="left" w:pos="578"/>
        <w:tab w:val="left" w:pos="900"/>
        <w:tab w:val="left" w:pos="1440"/>
      </w:tabs>
      <w:ind w:left="1440" w:hanging="360"/>
    </w:pPr>
    <w:rPr>
      <w:rFonts w:ascii="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qFormat/>
    <w:uiPriority w:val="0"/>
    <w:pPr>
      <w:snapToGrid w:val="0"/>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2"/>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 标题 3H3 + 两端对齐"/>
    <w:basedOn w:val="5"/>
    <w:qFormat/>
    <w:uiPriority w:val="0"/>
    <w:pPr>
      <w:keepLines w:val="0"/>
      <w:spacing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8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2"/>
    <w:qFormat/>
    <w:uiPriority w:val="0"/>
    <w:pPr>
      <w:tabs>
        <w:tab w:val="clear" w:pos="900"/>
      </w:tabs>
    </w:pPr>
    <w:rPr>
      <w:rFonts w:ascii="仿宋" w:hAnsi="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1"/>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9"/>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43"/>
    <w:qFormat/>
    <w:uiPriority w:val="0"/>
    <w:rPr>
      <w:kern w:val="2"/>
      <w:sz w:val="21"/>
      <w:szCs w:val="24"/>
      <w:lang w:val="zh-CN"/>
    </w:rPr>
  </w:style>
  <w:style w:type="character" w:customStyle="1" w:styleId="936">
    <w:name w:val="无间隔 Char"/>
    <w:link w:val="489"/>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7"/>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标题 2 字符1"/>
    <w:link w:val="4"/>
    <w:qFormat/>
    <w:uiPriority w:val="0"/>
    <w:rPr>
      <w:rFonts w:ascii="仿宋_GB2312" w:hAnsi="仿宋_GB2312" w:eastAsia="仿宋"/>
      <w:b/>
      <w:bCs/>
      <w:sz w:val="32"/>
      <w:szCs w:val="32"/>
      <w:lang w:val="zh-CN"/>
    </w:rPr>
  </w:style>
  <w:style w:type="character" w:customStyle="1" w:styleId="968">
    <w:name w:val="标题 3 字符1"/>
    <w:link w:val="5"/>
    <w:qFormat/>
    <w:uiPriority w:val="0"/>
    <w:rPr>
      <w:rFonts w:eastAsia="仿宋"/>
      <w:b/>
      <w:bCs/>
      <w:sz w:val="24"/>
      <w:szCs w:val="32"/>
    </w:rPr>
  </w:style>
  <w:style w:type="paragraph" w:customStyle="1" w:styleId="969">
    <w:name w:val="No Spacing1"/>
    <w:qFormat/>
    <w:uiPriority w:val="0"/>
    <w:rPr>
      <w:rFonts w:ascii="Calibri" w:hAnsi="Calibri" w:eastAsia="??" w:cs="宋体"/>
      <w:sz w:val="22"/>
      <w:szCs w:val="22"/>
      <w:lang w:val="en-US" w:eastAsia="en-US" w:bidi="ar-SA"/>
    </w:rPr>
  </w:style>
  <w:style w:type="paragraph" w:customStyle="1" w:styleId="970">
    <w:name w:val="石墨文档正文"/>
    <w:qFormat/>
    <w:uiPriority w:val="0"/>
    <w:rPr>
      <w:rFonts w:ascii="微软雅黑" w:hAnsi="微软雅黑" w:eastAsia="微软雅黑" w:cs="微软雅黑"/>
      <w:sz w:val="22"/>
      <w:szCs w:val="22"/>
      <w:lang w:val="en-US" w:eastAsia="zh-CN" w:bidi="ar-SA"/>
    </w:rPr>
  </w:style>
  <w:style w:type="paragraph" w:customStyle="1" w:styleId="971">
    <w:name w:val="列表段落2"/>
    <w:basedOn w:val="1"/>
    <w:qFormat/>
    <w:uiPriority w:val="34"/>
    <w:pPr>
      <w:spacing w:line="360" w:lineRule="auto"/>
      <w:ind w:firstLine="200" w:firstLineChars="200"/>
    </w:pPr>
    <w:rPr>
      <w:rFonts w:eastAsia="楷体_GB2312" w:cs="Lucida Sans"/>
      <w:sz w:val="24"/>
    </w:rPr>
  </w:style>
  <w:style w:type="paragraph" w:customStyle="1" w:styleId="972">
    <w:name w:val="正文，首行缩进:"/>
    <w:basedOn w:val="1"/>
    <w:qFormat/>
    <w:uiPriority w:val="0"/>
    <w:pPr>
      <w:widowControl/>
      <w:tabs>
        <w:tab w:val="left" w:pos="3376"/>
      </w:tabs>
      <w:ind w:firstLine="480"/>
    </w:pPr>
    <w:rPr>
      <w:rFonts w:ascii="宋体" w:hAnsi="宋体"/>
      <w:kern w:val="0"/>
      <w:sz w:val="24"/>
    </w:rPr>
  </w:style>
  <w:style w:type="paragraph" w:customStyle="1" w:styleId="973">
    <w:name w:val="正文_2_0_0"/>
    <w:basedOn w:val="974"/>
    <w:qFormat/>
    <w:uiPriority w:val="0"/>
  </w:style>
  <w:style w:type="paragraph" w:customStyle="1" w:styleId="974">
    <w:name w:val="正文_3_0"/>
    <w:basedOn w:val="975"/>
    <w:qFormat/>
    <w:uiPriority w:val="0"/>
  </w:style>
  <w:style w:type="paragraph" w:customStyle="1" w:styleId="975">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6">
    <w:name w:val="正文_2_2"/>
    <w:basedOn w:val="977"/>
    <w:qFormat/>
    <w:uiPriority w:val="0"/>
    <w:rPr>
      <w:rFonts w:cs="宋体"/>
      <w:szCs w:val="21"/>
    </w:rPr>
  </w:style>
  <w:style w:type="paragraph" w:customStyle="1" w:styleId="97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8">
    <w:name w:val="正文_2_1"/>
    <w:basedOn w:val="979"/>
    <w:qFormat/>
    <w:uiPriority w:val="0"/>
    <w:rPr>
      <w:rFonts w:ascii="Calibri" w:hAnsi="Calibri" w:cs="宋体"/>
      <w:szCs w:val="21"/>
    </w:rPr>
  </w:style>
  <w:style w:type="paragraph" w:customStyle="1" w:styleId="979">
    <w:name w:val="正文_2"/>
    <w:next w:val="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0">
    <w:name w:val="正文_2_0"/>
    <w:basedOn w:val="981"/>
    <w:next w:val="64"/>
    <w:qFormat/>
    <w:uiPriority w:val="0"/>
    <w:rPr>
      <w:szCs w:val="22"/>
    </w:rPr>
  </w:style>
  <w:style w:type="paragraph" w:customStyle="1" w:styleId="981">
    <w:name w:val="正文_3"/>
    <w:basedOn w:val="982"/>
    <w:qFormat/>
    <w:uiPriority w:val="0"/>
    <w:rPr>
      <w:szCs w:val="24"/>
    </w:rPr>
  </w:style>
  <w:style w:type="paragraph" w:customStyle="1" w:styleId="982">
    <w:name w:val="正文_4"/>
    <w:qFormat/>
    <w:uiPriority w:val="0"/>
    <w:pPr>
      <w:widowControl w:val="0"/>
      <w:jc w:val="both"/>
    </w:pPr>
    <w:rPr>
      <w:rFonts w:ascii="Calibri" w:hAnsi="Calibri" w:eastAsia="Times New Roman" w:cs="Times New Roman"/>
      <w:kern w:val="2"/>
      <w:sz w:val="21"/>
      <w:szCs w:val="22"/>
      <w:lang w:val="en-US" w:eastAsia="zh-CN" w:bidi="ar-SA"/>
    </w:rPr>
  </w:style>
  <w:style w:type="character" w:customStyle="1" w:styleId="983">
    <w:name w:val="10"/>
    <w:qFormat/>
    <w:uiPriority w:val="0"/>
    <w:rPr>
      <w:rFonts w:hint="default" w:ascii="Times New Roman" w:hAnsi="Times New Roman" w:cs="Times New Roman"/>
    </w:rPr>
  </w:style>
  <w:style w:type="paragraph" w:customStyle="1" w:styleId="984">
    <w:name w:val="正文_2_0_1"/>
    <w:basedOn w:val="985"/>
    <w:qFormat/>
    <w:uiPriority w:val="0"/>
    <w:rPr>
      <w:rFonts w:ascii="Calibri" w:hAnsi="Calibri" w:cs="Calibri"/>
      <w:szCs w:val="21"/>
    </w:rPr>
  </w:style>
  <w:style w:type="paragraph" w:customStyle="1" w:styleId="985">
    <w:name w:val="正文_2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6">
    <w:name w:val="p0_0_0"/>
    <w:basedOn w:val="987"/>
    <w:qFormat/>
    <w:uiPriority w:val="0"/>
    <w:pPr>
      <w:widowControl/>
    </w:pPr>
    <w:rPr>
      <w:rFonts w:ascii="宋体" w:hAnsi="宋体"/>
      <w:kern w:val="0"/>
      <w:szCs w:val="21"/>
    </w:rPr>
  </w:style>
  <w:style w:type="paragraph" w:customStyle="1" w:styleId="987">
    <w:name w:val="正文_2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8">
    <w:name w:val="正文_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reader-word-layer reader-word-s27-4"/>
    <w:basedOn w:val="1"/>
    <w:qFormat/>
    <w:uiPriority w:val="99"/>
    <w:pPr>
      <w:widowControl/>
      <w:spacing w:before="100" w:beforeAutospacing="1" w:after="100" w:afterAutospacing="1" w:line="440" w:lineRule="exact"/>
      <w:ind w:firstLine="1040"/>
      <w:jc w:val="left"/>
    </w:pPr>
    <w:rPr>
      <w:rFonts w:ascii="宋体" w:hAnsi="宋体" w:eastAsia="微软雅黑"/>
      <w:kern w:val="0"/>
    </w:rPr>
  </w:style>
  <w:style w:type="paragraph" w:customStyle="1" w:styleId="990">
    <w:name w:val="p18"/>
    <w:basedOn w:val="1"/>
    <w:qFormat/>
    <w:uiPriority w:val="99"/>
    <w:pPr>
      <w:widowControl/>
      <w:spacing w:line="748" w:lineRule="atLeast"/>
      <w:ind w:left="-527" w:firstLine="527"/>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华诚</Company>
  <Pages>73</Pages>
  <Words>2494</Words>
  <Characters>2766</Characters>
  <Lines>289</Lines>
  <Paragraphs>81</Paragraphs>
  <TotalTime>139</TotalTime>
  <ScaleCrop>false</ScaleCrop>
  <LinksUpToDate>false</LinksUpToDate>
  <CharactersWithSpaces>2886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2022-08-31T02:52:00Z</dcterms:created>
  <dc:creator>冯焕</dc:creator>
  <cp:lastModifiedBy>Administrator</cp:lastModifiedBy>
  <cp:lastPrinted>2025-03-06T02:55:00Z</cp:lastPrinted>
  <dcterms:modified xsi:type="dcterms:W3CDTF">2025-06-10T23:52:58Z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1AE9B4E179BA4B4CAA823D9C8904F6AC_13</vt:lpwstr>
  </property>
  <property fmtid="{D5CDD505-2E9C-101B-9397-08002B2CF9AE}" pid="5" name="KSOTemplateDocerSaveRecord">
    <vt:lpwstr>eyJoZGlkIjoiOTE2ZDU1YWIxNGY0ZTVjNTQ0MjM1NGEwZWVhMmU1ZGQiLCJ1c2VySWQiOiI0MjY4NjU5NjYifQ==</vt:lpwstr>
  </property>
</Properties>
</file>