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atLeast"/>
        <w:jc w:val="center"/>
        <w:rPr>
          <w:rFonts w:hint="eastAsia" w:ascii="宋体" w:hAnsi="宋体" w:cs="宋体"/>
          <w:b/>
          <w:color w:val="auto"/>
          <w:sz w:val="44"/>
          <w:highlight w:val="non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lang w:eastAsia="zh-CN"/>
        </w:rPr>
        <w:t>2025年龙游县耕地现状调查项目</w:t>
      </w:r>
    </w:p>
    <w:p>
      <w:pPr>
        <w:pStyle w:val="53"/>
        <w:ind w:firstLine="964"/>
        <w:rPr>
          <w:rFonts w:hint="eastAsia" w:ascii="宋体" w:hAnsi="宋体" w:cs="宋体"/>
          <w:b/>
          <w:color w:val="auto"/>
          <w:sz w:val="48"/>
          <w:szCs w:val="48"/>
          <w:highlight w:val="none"/>
        </w:rPr>
      </w:pPr>
    </w:p>
    <w:p>
      <w:pPr>
        <w:pStyle w:val="53"/>
        <w:ind w:firstLine="964"/>
        <w:rPr>
          <w:rFonts w:hint="eastAsia" w:ascii="宋体" w:hAnsi="宋体" w:cs="宋体"/>
          <w:b/>
          <w:color w:val="auto"/>
          <w:sz w:val="48"/>
          <w:szCs w:val="48"/>
          <w:highlight w:val="none"/>
        </w:rPr>
      </w:pPr>
    </w:p>
    <w:p>
      <w:pPr>
        <w:pStyle w:val="4"/>
        <w:rPr>
          <w:rFonts w:hint="eastAsia"/>
          <w:color w:val="auto"/>
          <w:highlight w:val="none"/>
        </w:rPr>
      </w:pPr>
    </w:p>
    <w:p>
      <w:pPr>
        <w:snapToGrid w:val="0"/>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公开招标采购文件</w:t>
      </w:r>
    </w:p>
    <w:p>
      <w:pPr>
        <w:widowControl/>
        <w:spacing w:line="360" w:lineRule="auto"/>
        <w:ind w:right="-2"/>
        <w:jc w:val="center"/>
        <w:rPr>
          <w:rFonts w:hint="eastAsia" w:ascii="宋体" w:hAnsi="宋体"/>
          <w:b/>
          <w:color w:val="auto"/>
          <w:sz w:val="36"/>
          <w:highlight w:val="none"/>
        </w:rPr>
      </w:pPr>
    </w:p>
    <w:p>
      <w:pPr>
        <w:widowControl/>
        <w:spacing w:line="360" w:lineRule="auto"/>
        <w:ind w:right="-2"/>
        <w:jc w:val="center"/>
        <w:rPr>
          <w:rFonts w:hint="eastAsia" w:ascii="仿宋" w:hAnsi="仿宋" w:eastAsia="仿宋" w:cs="仿宋"/>
          <w:b/>
          <w:color w:val="auto"/>
          <w:sz w:val="44"/>
          <w:szCs w:val="44"/>
          <w:highlight w:val="none"/>
        </w:rPr>
      </w:pPr>
      <w:r>
        <w:rPr>
          <w:rFonts w:hint="eastAsia" w:ascii="宋体" w:hAnsi="宋体"/>
          <w:b/>
          <w:color w:val="auto"/>
          <w:sz w:val="36"/>
          <w:highlight w:val="none"/>
        </w:rPr>
        <w:t>（线上电子招投标）</w:t>
      </w:r>
    </w:p>
    <w:p>
      <w:pPr>
        <w:pStyle w:val="3"/>
        <w:ind w:firstLine="210"/>
        <w:rPr>
          <w:rFonts w:hint="eastAsia"/>
          <w:color w:val="auto"/>
          <w:highlight w:val="none"/>
        </w:rPr>
      </w:pPr>
    </w:p>
    <w:p>
      <w:pPr>
        <w:pStyle w:val="53"/>
        <w:ind w:firstLine="723"/>
        <w:rPr>
          <w:rFonts w:hint="eastAsia" w:ascii="宋体" w:hAnsi="宋体" w:cs="宋体"/>
          <w:b/>
          <w:color w:val="auto"/>
          <w:sz w:val="36"/>
          <w:highlight w:val="none"/>
        </w:rPr>
      </w:pPr>
    </w:p>
    <w:p>
      <w:pPr>
        <w:pStyle w:val="3"/>
        <w:ind w:firstLine="210"/>
        <w:rPr>
          <w:rFonts w:hint="eastAsia"/>
          <w:color w:val="auto"/>
          <w:highlight w:val="none"/>
        </w:rPr>
      </w:pPr>
    </w:p>
    <w:p>
      <w:pPr>
        <w:spacing w:line="360" w:lineRule="auto"/>
        <w:ind w:firstLine="1400" w:firstLineChars="500"/>
        <w:rPr>
          <w:rFonts w:ascii="微软雅黑" w:hAnsi="微软雅黑" w:cs="宋体"/>
          <w:color w:val="auto"/>
          <w:sz w:val="30"/>
          <w:szCs w:val="30"/>
          <w:highlight w:val="none"/>
          <w:u w:val="single"/>
        </w:rPr>
      </w:pPr>
      <w:r>
        <w:rPr>
          <w:rFonts w:hint="eastAsia" w:ascii="微软雅黑" w:hAnsi="微软雅黑" w:eastAsia="微软雅黑" w:cs="宋体"/>
          <w:bCs/>
          <w:color w:val="auto"/>
          <w:sz w:val="28"/>
          <w:szCs w:val="28"/>
          <w:highlight w:val="none"/>
          <w:lang w:val="zh-CN"/>
        </w:rPr>
        <w:t>采购编号：</w:t>
      </w:r>
      <w:r>
        <w:rPr>
          <w:rFonts w:hint="eastAsia" w:ascii="微软雅黑" w:hAnsi="微软雅黑" w:eastAsia="微软雅黑" w:cs="宋体"/>
          <w:bCs/>
          <w:color w:val="auto"/>
          <w:sz w:val="28"/>
          <w:szCs w:val="28"/>
          <w:highlight w:val="none"/>
          <w:u w:val="single"/>
        </w:rPr>
        <w:t xml:space="preserve">    </w:t>
      </w:r>
      <w:r>
        <w:rPr>
          <w:rFonts w:hint="eastAsia" w:ascii="微软雅黑" w:hAnsi="微软雅黑" w:eastAsia="微软雅黑" w:cs="宋体"/>
          <w:bCs/>
          <w:color w:val="auto"/>
          <w:sz w:val="28"/>
          <w:szCs w:val="28"/>
          <w:highlight w:val="none"/>
          <w:u w:val="single"/>
          <w:lang w:val="en-US" w:eastAsia="zh-CN"/>
        </w:rPr>
        <w:t xml:space="preserve">  </w:t>
      </w:r>
      <w:r>
        <w:rPr>
          <w:rFonts w:hint="eastAsia" w:ascii="微软雅黑" w:hAnsi="微软雅黑" w:eastAsia="微软雅黑" w:cs="宋体"/>
          <w:bCs/>
          <w:color w:val="auto"/>
          <w:sz w:val="28"/>
          <w:szCs w:val="28"/>
          <w:highlight w:val="none"/>
          <w:u w:val="single"/>
        </w:rPr>
        <w:t xml:space="preserve">    </w:t>
      </w:r>
      <w:r>
        <w:rPr>
          <w:rFonts w:hint="eastAsia" w:ascii="微软雅黑" w:hAnsi="微软雅黑" w:eastAsia="微软雅黑" w:cs="宋体"/>
          <w:bCs/>
          <w:color w:val="auto"/>
          <w:sz w:val="28"/>
          <w:szCs w:val="28"/>
          <w:highlight w:val="none"/>
          <w:u w:val="single"/>
          <w:lang w:eastAsia="zh-CN"/>
        </w:rPr>
        <w:t>LYCG2025TY-047</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u w:val="single"/>
          <w:lang w:val="en-US" w:eastAsia="zh-CN"/>
        </w:rPr>
        <w:t xml:space="preserve">  </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u w:val="single"/>
          <w:lang w:val="en-US" w:eastAsia="zh-CN"/>
        </w:rPr>
        <w:t xml:space="preserve">  </w:t>
      </w:r>
      <w:r>
        <w:rPr>
          <w:rFonts w:hint="eastAsia" w:ascii="宋体" w:hAnsi="宋体" w:cs="宋体"/>
          <w:color w:val="auto"/>
          <w:sz w:val="30"/>
          <w:szCs w:val="30"/>
          <w:highlight w:val="none"/>
          <w:u w:val="single"/>
        </w:rPr>
        <w:t xml:space="preserve">  </w:t>
      </w:r>
    </w:p>
    <w:p>
      <w:pPr>
        <w:tabs>
          <w:tab w:val="left" w:pos="913"/>
        </w:tabs>
        <w:spacing w:line="360" w:lineRule="auto"/>
        <w:ind w:firstLine="554" w:firstLineChars="198"/>
        <w:jc w:val="center"/>
        <w:rPr>
          <w:rFonts w:hint="eastAsia" w:ascii="微软雅黑" w:hAnsi="微软雅黑" w:eastAsia="微软雅黑" w:cs="宋体"/>
          <w:bCs/>
          <w:color w:val="auto"/>
          <w:sz w:val="28"/>
          <w:szCs w:val="28"/>
          <w:highlight w:val="none"/>
        </w:rPr>
      </w:pPr>
    </w:p>
    <w:p>
      <w:pPr>
        <w:tabs>
          <w:tab w:val="left" w:pos="913"/>
        </w:tabs>
        <w:spacing w:line="360" w:lineRule="auto"/>
        <w:ind w:firstLine="1400" w:firstLineChars="500"/>
        <w:rPr>
          <w:rFonts w:ascii="宋体" w:hAnsi="宋体" w:cs="宋体"/>
          <w:bCs/>
          <w:color w:val="auto"/>
          <w:sz w:val="28"/>
          <w:szCs w:val="28"/>
          <w:highlight w:val="none"/>
          <w:u w:val="single"/>
        </w:rPr>
      </w:pPr>
      <w:r>
        <w:rPr>
          <w:rFonts w:hint="eastAsia" w:ascii="微软雅黑" w:hAnsi="微软雅黑" w:eastAsia="微软雅黑" w:cs="宋体"/>
          <w:bCs/>
          <w:color w:val="auto"/>
          <w:sz w:val="28"/>
          <w:szCs w:val="28"/>
          <w:highlight w:val="none"/>
        </w:rPr>
        <w:t>采购单位：</w:t>
      </w:r>
      <w:r>
        <w:rPr>
          <w:rFonts w:hint="eastAsia" w:ascii="微软雅黑" w:hAnsi="微软雅黑" w:eastAsia="微软雅黑" w:cs="宋体"/>
          <w:bCs/>
          <w:color w:val="auto"/>
          <w:sz w:val="32"/>
          <w:szCs w:val="44"/>
          <w:highlight w:val="none"/>
          <w:u w:val="single"/>
        </w:rPr>
        <w:t xml:space="preserve"> </w:t>
      </w:r>
      <w:r>
        <w:rPr>
          <w:rFonts w:hint="eastAsia" w:ascii="宋体" w:hAnsi="宋体" w:cs="宋体"/>
          <w:bCs/>
          <w:color w:val="auto"/>
          <w:sz w:val="28"/>
          <w:szCs w:val="28"/>
          <w:highlight w:val="none"/>
          <w:u w:val="single"/>
          <w:lang w:val="zh-CN"/>
        </w:rPr>
        <w:t xml:space="preserve"> </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zh-CN"/>
        </w:rPr>
        <w:t xml:space="preserve">龙游县自然资源和规划局 </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zh-CN"/>
        </w:rPr>
        <w:t>（盖章）</w:t>
      </w:r>
    </w:p>
    <w:p>
      <w:pPr>
        <w:tabs>
          <w:tab w:val="left" w:pos="913"/>
        </w:tabs>
        <w:spacing w:line="360" w:lineRule="auto"/>
        <w:rPr>
          <w:rFonts w:hint="eastAsia" w:ascii="微软雅黑" w:hAnsi="微软雅黑" w:eastAsia="微软雅黑" w:cs="宋体"/>
          <w:bCs/>
          <w:color w:val="auto"/>
          <w:sz w:val="28"/>
          <w:szCs w:val="28"/>
          <w:highlight w:val="none"/>
        </w:rPr>
      </w:pPr>
    </w:p>
    <w:p>
      <w:pPr>
        <w:tabs>
          <w:tab w:val="left" w:pos="913"/>
        </w:tabs>
        <w:spacing w:line="360" w:lineRule="auto"/>
        <w:ind w:firstLine="1400" w:firstLineChars="500"/>
        <w:rPr>
          <w:rFonts w:hint="eastAsia" w:ascii="宋体" w:hAnsi="宋体" w:cs="宋体"/>
          <w:bCs/>
          <w:color w:val="auto"/>
          <w:sz w:val="28"/>
          <w:szCs w:val="28"/>
          <w:highlight w:val="none"/>
          <w:u w:val="single"/>
          <w:lang w:val="zh-CN"/>
        </w:rPr>
      </w:pPr>
      <w:r>
        <w:rPr>
          <w:rFonts w:hint="eastAsia" w:ascii="微软雅黑" w:hAnsi="微软雅黑" w:eastAsia="微软雅黑" w:cs="宋体"/>
          <w:bCs/>
          <w:color w:val="auto"/>
          <w:sz w:val="28"/>
          <w:szCs w:val="28"/>
          <w:highlight w:val="none"/>
        </w:rPr>
        <w:t>代理机构：</w:t>
      </w:r>
      <w:r>
        <w:rPr>
          <w:rFonts w:hint="eastAsia" w:ascii="微软雅黑" w:hAnsi="微软雅黑" w:eastAsia="微软雅黑" w:cs="宋体"/>
          <w:bCs/>
          <w:color w:val="auto"/>
          <w:sz w:val="32"/>
          <w:szCs w:val="44"/>
          <w:highlight w:val="none"/>
          <w:u w:val="single"/>
        </w:rPr>
        <w:t xml:space="preserve"> </w:t>
      </w:r>
      <w:r>
        <w:rPr>
          <w:rFonts w:hint="eastAsia" w:ascii="微软雅黑" w:hAnsi="微软雅黑" w:eastAsia="微软雅黑" w:cs="宋体"/>
          <w:bCs/>
          <w:color w:val="auto"/>
          <w:szCs w:val="21"/>
          <w:highlight w:val="none"/>
          <w:u w:val="single"/>
        </w:rPr>
        <w:t xml:space="preserve"> </w:t>
      </w:r>
      <w:r>
        <w:rPr>
          <w:rFonts w:hint="eastAsia" w:ascii="宋体" w:hAnsi="宋体" w:cs="宋体"/>
          <w:bCs/>
          <w:color w:val="auto"/>
          <w:sz w:val="28"/>
          <w:szCs w:val="28"/>
          <w:highlight w:val="none"/>
          <w:u w:val="single"/>
          <w:lang w:val="zh-CN"/>
        </w:rPr>
        <w:t>泰宇建筑工程技术咨询有限公司 （盖章）</w:t>
      </w:r>
    </w:p>
    <w:p>
      <w:pPr>
        <w:pStyle w:val="3"/>
        <w:ind w:firstLine="0" w:firstLineChars="0"/>
        <w:rPr>
          <w:rFonts w:hint="eastAsia"/>
          <w:color w:val="auto"/>
          <w:highlight w:val="none"/>
          <w:lang w:val="zh-CN"/>
        </w:rPr>
      </w:pPr>
    </w:p>
    <w:p>
      <w:pPr>
        <w:snapToGrid w:val="0"/>
        <w:spacing w:line="360" w:lineRule="auto"/>
        <w:jc w:val="center"/>
        <w:rPr>
          <w:rFonts w:hint="eastAsia" w:ascii="宋体" w:hAnsi="宋体" w:cs="宋体"/>
          <w:color w:val="auto"/>
          <w:sz w:val="32"/>
          <w:szCs w:val="32"/>
          <w:highlight w:val="none"/>
        </w:rPr>
      </w:pPr>
    </w:p>
    <w:p>
      <w:pPr>
        <w:snapToGrid w:val="0"/>
        <w:spacing w:line="440" w:lineRule="exact"/>
        <w:jc w:val="center"/>
        <w:rPr>
          <w:rFonts w:hint="eastAsia" w:ascii="宋体" w:hAnsi="宋体" w:cs="宋体"/>
          <w:b/>
          <w:bCs/>
          <w:color w:val="auto"/>
          <w:sz w:val="44"/>
          <w:szCs w:val="44"/>
          <w:highlight w:val="none"/>
        </w:rPr>
        <w:sectPr>
          <w:headerReference r:id="rId4" w:type="first"/>
          <w:footerReference r:id="rId6" w:type="first"/>
          <w:headerReference r:id="rId3" w:type="default"/>
          <w:footerReference r:id="rId5" w:type="default"/>
          <w:pgSz w:w="11906" w:h="16838"/>
          <w:pgMar w:top="1440" w:right="1080" w:bottom="1440" w:left="1080" w:header="851" w:footer="850" w:gutter="0"/>
          <w:pgNumType w:start="1"/>
          <w:cols w:space="720" w:num="1"/>
          <w:titlePg/>
          <w:docGrid w:linePitch="312" w:charSpace="0"/>
        </w:sectPr>
      </w:pPr>
      <w:r>
        <w:rPr>
          <w:rFonts w:hint="eastAsia" w:ascii="微软雅黑" w:hAnsi="微软雅黑" w:eastAsia="微软雅黑" w:cs="宋体"/>
          <w:bCs/>
          <w:color w:val="auto"/>
          <w:sz w:val="28"/>
          <w:szCs w:val="28"/>
          <w:highlight w:val="none"/>
          <w:lang w:val="zh-CN"/>
        </w:rPr>
        <w:t>二0二</w:t>
      </w:r>
      <w:r>
        <w:rPr>
          <w:rFonts w:hint="eastAsia" w:ascii="微软雅黑" w:hAnsi="微软雅黑" w:eastAsia="微软雅黑" w:cs="宋体"/>
          <w:bCs/>
          <w:color w:val="auto"/>
          <w:sz w:val="28"/>
          <w:szCs w:val="28"/>
          <w:highlight w:val="none"/>
        </w:rPr>
        <w:t>五</w:t>
      </w:r>
      <w:r>
        <w:rPr>
          <w:rFonts w:hint="eastAsia" w:ascii="微软雅黑" w:hAnsi="微软雅黑" w:eastAsia="微软雅黑" w:cs="宋体"/>
          <w:bCs/>
          <w:color w:val="auto"/>
          <w:sz w:val="28"/>
          <w:szCs w:val="28"/>
          <w:highlight w:val="none"/>
          <w:lang w:val="zh-CN"/>
        </w:rPr>
        <w:t>年</w:t>
      </w:r>
      <w:r>
        <w:rPr>
          <w:rFonts w:hint="eastAsia" w:ascii="微软雅黑" w:hAnsi="微软雅黑" w:eastAsia="微软雅黑" w:cs="宋体"/>
          <w:bCs/>
          <w:color w:val="auto"/>
          <w:sz w:val="28"/>
          <w:szCs w:val="28"/>
          <w:highlight w:val="none"/>
          <w:lang w:val="en-US" w:eastAsia="zh-CN"/>
        </w:rPr>
        <w:t>七</w:t>
      </w:r>
      <w:r>
        <w:rPr>
          <w:rFonts w:hint="eastAsia" w:ascii="微软雅黑" w:hAnsi="微软雅黑" w:eastAsia="微软雅黑" w:cs="宋体"/>
          <w:bCs/>
          <w:color w:val="auto"/>
          <w:sz w:val="28"/>
          <w:szCs w:val="28"/>
          <w:highlight w:val="none"/>
          <w:lang w:val="zh-CN"/>
        </w:rPr>
        <w:t>月</w:t>
      </w:r>
    </w:p>
    <w:p>
      <w:pPr>
        <w:jc w:val="center"/>
        <w:rPr>
          <w:color w:val="auto"/>
          <w:sz w:val="44"/>
          <w:szCs w:val="44"/>
          <w:highlight w:val="none"/>
        </w:rPr>
      </w:pPr>
      <w:r>
        <w:rPr>
          <w:rFonts w:ascii="宋体" w:hAnsi="宋体"/>
          <w:color w:val="auto"/>
          <w:sz w:val="44"/>
          <w:szCs w:val="44"/>
          <w:highlight w:val="none"/>
        </w:rPr>
        <w:t>目录</w:t>
      </w:r>
    </w:p>
    <w:p>
      <w:pPr>
        <w:pStyle w:val="36"/>
        <w:tabs>
          <w:tab w:val="right" w:leader="dot" w:pos="9185"/>
          <w:tab w:val="clear" w:pos="9403"/>
        </w:tabs>
        <w:rPr>
          <w:b w:val="0"/>
          <w:color w:val="auto"/>
          <w:sz w:val="24"/>
          <w:highlight w:val="none"/>
        </w:rPr>
      </w:pPr>
      <w:r>
        <w:rPr>
          <w:rFonts w:hint="eastAsia" w:ascii="宋体" w:hAnsi="宋体" w:cs="宋体"/>
          <w:b w:val="0"/>
          <w:bCs w:val="0"/>
          <w:color w:val="auto"/>
          <w:sz w:val="24"/>
          <w:highlight w:val="none"/>
        </w:rPr>
        <w:fldChar w:fldCharType="begin"/>
      </w:r>
      <w:r>
        <w:rPr>
          <w:rStyle w:val="62"/>
          <w:rFonts w:hint="eastAsia" w:ascii="宋体" w:hAnsi="宋体" w:cs="宋体"/>
          <w:b w:val="0"/>
          <w:bCs w:val="0"/>
          <w:color w:val="auto"/>
          <w:sz w:val="24"/>
          <w:highlight w:val="none"/>
        </w:rPr>
        <w:instrText xml:space="preserve">TOC \o "1-1" \h \u </w:instrText>
      </w:r>
      <w:r>
        <w:rPr>
          <w:rFonts w:hint="eastAsia" w:ascii="宋体" w:hAnsi="宋体" w:cs="宋体"/>
          <w:b w:val="0"/>
          <w:bCs w:val="0"/>
          <w:color w:val="auto"/>
          <w:sz w:val="24"/>
          <w:highlight w:val="none"/>
        </w:rPr>
        <w:fldChar w:fldCharType="separate"/>
      </w:r>
      <w:r>
        <w:rPr>
          <w:rFonts w:hint="eastAsia" w:ascii="宋体" w:hAnsi="宋体" w:cs="宋体"/>
          <w:b w:val="0"/>
          <w:color w:val="auto"/>
          <w:sz w:val="24"/>
          <w:highlight w:val="none"/>
        </w:rPr>
        <w:fldChar w:fldCharType="begin"/>
      </w:r>
      <w:r>
        <w:rPr>
          <w:rFonts w:hint="eastAsia" w:ascii="宋体" w:hAnsi="宋体" w:cs="宋体"/>
          <w:b w:val="0"/>
          <w:color w:val="auto"/>
          <w:sz w:val="24"/>
          <w:highlight w:val="none"/>
        </w:rPr>
        <w:instrText xml:space="preserve"> HYPERLINK \l _Toc10383 </w:instrText>
      </w:r>
      <w:r>
        <w:rPr>
          <w:rFonts w:hint="eastAsia" w:ascii="宋体" w:hAnsi="宋体" w:cs="宋体"/>
          <w:b w:val="0"/>
          <w:color w:val="auto"/>
          <w:sz w:val="24"/>
          <w:highlight w:val="none"/>
        </w:rPr>
        <w:fldChar w:fldCharType="separate"/>
      </w:r>
      <w:r>
        <w:rPr>
          <w:rFonts w:hint="eastAsia" w:ascii="宋体" w:hAnsi="宋体" w:cs="宋体"/>
          <w:b w:val="0"/>
          <w:color w:val="auto"/>
          <w:sz w:val="24"/>
          <w:highlight w:val="none"/>
        </w:rPr>
        <w:t>第一章 采购公告</w:t>
      </w:r>
      <w:r>
        <w:rPr>
          <w:b w:val="0"/>
          <w:color w:val="auto"/>
          <w:sz w:val="24"/>
          <w:highlight w:val="none"/>
        </w:rPr>
        <w:tab/>
      </w:r>
      <w:r>
        <w:rPr>
          <w:b w:val="0"/>
          <w:color w:val="auto"/>
          <w:sz w:val="24"/>
          <w:highlight w:val="none"/>
        </w:rPr>
        <w:fldChar w:fldCharType="begin"/>
      </w:r>
      <w:r>
        <w:rPr>
          <w:b w:val="0"/>
          <w:color w:val="auto"/>
          <w:sz w:val="24"/>
          <w:highlight w:val="none"/>
        </w:rPr>
        <w:instrText xml:space="preserve"> PAGEREF _Toc10383 \h </w:instrText>
      </w:r>
      <w:r>
        <w:rPr>
          <w:b w:val="0"/>
          <w:color w:val="auto"/>
          <w:sz w:val="24"/>
          <w:highlight w:val="none"/>
        </w:rPr>
        <w:fldChar w:fldCharType="separate"/>
      </w:r>
      <w:r>
        <w:rPr>
          <w:b w:val="0"/>
          <w:color w:val="auto"/>
          <w:sz w:val="24"/>
          <w:highlight w:val="none"/>
        </w:rPr>
        <w:t>3</w:t>
      </w:r>
      <w:r>
        <w:rPr>
          <w:b w:val="0"/>
          <w:color w:val="auto"/>
          <w:sz w:val="24"/>
          <w:highlight w:val="none"/>
        </w:rPr>
        <w:fldChar w:fldCharType="end"/>
      </w:r>
      <w:r>
        <w:rPr>
          <w:rFonts w:hint="eastAsia" w:ascii="宋体" w:hAnsi="宋体" w:cs="宋体"/>
          <w:b w:val="0"/>
          <w:color w:val="auto"/>
          <w:sz w:val="24"/>
          <w:highlight w:val="none"/>
        </w:rPr>
        <w:fldChar w:fldCharType="end"/>
      </w:r>
    </w:p>
    <w:p>
      <w:pPr>
        <w:pStyle w:val="36"/>
        <w:tabs>
          <w:tab w:val="right" w:leader="dot" w:pos="9185"/>
          <w:tab w:val="clear" w:pos="9403"/>
        </w:tabs>
        <w:rPr>
          <w:b w:val="0"/>
          <w:color w:val="auto"/>
          <w:sz w:val="24"/>
          <w:highlight w:val="none"/>
        </w:rPr>
      </w:pPr>
      <w:r>
        <w:rPr>
          <w:rFonts w:hint="eastAsia" w:ascii="宋体" w:hAnsi="宋体" w:cs="宋体"/>
          <w:b w:val="0"/>
          <w:color w:val="auto"/>
          <w:sz w:val="24"/>
          <w:highlight w:val="none"/>
        </w:rPr>
        <w:fldChar w:fldCharType="begin"/>
      </w:r>
      <w:r>
        <w:rPr>
          <w:rFonts w:hint="eastAsia" w:ascii="宋体" w:hAnsi="宋体" w:cs="宋体"/>
          <w:b w:val="0"/>
          <w:color w:val="auto"/>
          <w:sz w:val="24"/>
          <w:highlight w:val="none"/>
        </w:rPr>
        <w:instrText xml:space="preserve"> HYPERLINK \l _Toc24942 </w:instrText>
      </w:r>
      <w:r>
        <w:rPr>
          <w:rFonts w:hint="eastAsia" w:ascii="宋体" w:hAnsi="宋体" w:cs="宋体"/>
          <w:b w:val="0"/>
          <w:color w:val="auto"/>
          <w:sz w:val="24"/>
          <w:highlight w:val="none"/>
        </w:rPr>
        <w:fldChar w:fldCharType="separate"/>
      </w:r>
      <w:r>
        <w:rPr>
          <w:rFonts w:hint="eastAsia" w:ascii="宋体" w:hAnsi="宋体" w:cs="宋体"/>
          <w:b w:val="0"/>
          <w:color w:val="auto"/>
          <w:sz w:val="24"/>
          <w:highlight w:val="none"/>
        </w:rPr>
        <w:t>第二章  投标人须知前附表</w:t>
      </w:r>
      <w:r>
        <w:rPr>
          <w:b w:val="0"/>
          <w:color w:val="auto"/>
          <w:sz w:val="24"/>
          <w:highlight w:val="none"/>
        </w:rPr>
        <w:tab/>
      </w:r>
      <w:r>
        <w:rPr>
          <w:b w:val="0"/>
          <w:color w:val="auto"/>
          <w:sz w:val="24"/>
          <w:highlight w:val="none"/>
        </w:rPr>
        <w:fldChar w:fldCharType="begin"/>
      </w:r>
      <w:r>
        <w:rPr>
          <w:b w:val="0"/>
          <w:color w:val="auto"/>
          <w:sz w:val="24"/>
          <w:highlight w:val="none"/>
        </w:rPr>
        <w:instrText xml:space="preserve"> PAGEREF _Toc24942 \h </w:instrText>
      </w:r>
      <w:r>
        <w:rPr>
          <w:b w:val="0"/>
          <w:color w:val="auto"/>
          <w:sz w:val="24"/>
          <w:highlight w:val="none"/>
        </w:rPr>
        <w:fldChar w:fldCharType="separate"/>
      </w:r>
      <w:r>
        <w:rPr>
          <w:b w:val="0"/>
          <w:color w:val="auto"/>
          <w:sz w:val="24"/>
          <w:highlight w:val="none"/>
        </w:rPr>
        <w:t>7</w:t>
      </w:r>
      <w:r>
        <w:rPr>
          <w:b w:val="0"/>
          <w:color w:val="auto"/>
          <w:sz w:val="24"/>
          <w:highlight w:val="none"/>
        </w:rPr>
        <w:fldChar w:fldCharType="end"/>
      </w:r>
      <w:r>
        <w:rPr>
          <w:rFonts w:hint="eastAsia" w:ascii="宋体" w:hAnsi="宋体" w:cs="宋体"/>
          <w:b w:val="0"/>
          <w:color w:val="auto"/>
          <w:sz w:val="24"/>
          <w:highlight w:val="none"/>
        </w:rPr>
        <w:fldChar w:fldCharType="end"/>
      </w:r>
    </w:p>
    <w:p>
      <w:pPr>
        <w:pStyle w:val="36"/>
        <w:tabs>
          <w:tab w:val="right" w:leader="dot" w:pos="9185"/>
          <w:tab w:val="clear" w:pos="9403"/>
        </w:tabs>
        <w:rPr>
          <w:b w:val="0"/>
          <w:color w:val="auto"/>
          <w:sz w:val="24"/>
          <w:highlight w:val="none"/>
        </w:rPr>
      </w:pPr>
      <w:r>
        <w:rPr>
          <w:rFonts w:hint="eastAsia" w:ascii="宋体" w:hAnsi="宋体" w:cs="宋体"/>
          <w:b w:val="0"/>
          <w:color w:val="auto"/>
          <w:sz w:val="24"/>
          <w:highlight w:val="none"/>
        </w:rPr>
        <w:fldChar w:fldCharType="begin"/>
      </w:r>
      <w:r>
        <w:rPr>
          <w:rFonts w:hint="eastAsia" w:ascii="宋体" w:hAnsi="宋体" w:cs="宋体"/>
          <w:b w:val="0"/>
          <w:color w:val="auto"/>
          <w:sz w:val="24"/>
          <w:highlight w:val="none"/>
        </w:rPr>
        <w:instrText xml:space="preserve"> HYPERLINK \l _Toc687 </w:instrText>
      </w:r>
      <w:r>
        <w:rPr>
          <w:rFonts w:hint="eastAsia" w:ascii="宋体" w:hAnsi="宋体" w:cs="宋体"/>
          <w:b w:val="0"/>
          <w:color w:val="auto"/>
          <w:sz w:val="24"/>
          <w:highlight w:val="none"/>
        </w:rPr>
        <w:fldChar w:fldCharType="separate"/>
      </w:r>
      <w:r>
        <w:rPr>
          <w:rFonts w:hint="eastAsia" w:ascii="宋体" w:hAnsi="宋体" w:cs="宋体"/>
          <w:b w:val="0"/>
          <w:color w:val="auto"/>
          <w:sz w:val="24"/>
          <w:highlight w:val="none"/>
        </w:rPr>
        <w:t>第三章  投标人须知</w:t>
      </w:r>
      <w:r>
        <w:rPr>
          <w:b w:val="0"/>
          <w:color w:val="auto"/>
          <w:sz w:val="24"/>
          <w:highlight w:val="none"/>
        </w:rPr>
        <w:tab/>
      </w:r>
      <w:r>
        <w:rPr>
          <w:b w:val="0"/>
          <w:color w:val="auto"/>
          <w:sz w:val="24"/>
          <w:highlight w:val="none"/>
        </w:rPr>
        <w:fldChar w:fldCharType="begin"/>
      </w:r>
      <w:r>
        <w:rPr>
          <w:b w:val="0"/>
          <w:color w:val="auto"/>
          <w:sz w:val="24"/>
          <w:highlight w:val="none"/>
        </w:rPr>
        <w:instrText xml:space="preserve"> PAGEREF _Toc687 \h </w:instrText>
      </w:r>
      <w:r>
        <w:rPr>
          <w:b w:val="0"/>
          <w:color w:val="auto"/>
          <w:sz w:val="24"/>
          <w:highlight w:val="none"/>
        </w:rPr>
        <w:fldChar w:fldCharType="separate"/>
      </w:r>
      <w:r>
        <w:rPr>
          <w:b w:val="0"/>
          <w:color w:val="auto"/>
          <w:sz w:val="24"/>
          <w:highlight w:val="none"/>
        </w:rPr>
        <w:t>13</w:t>
      </w:r>
      <w:r>
        <w:rPr>
          <w:b w:val="0"/>
          <w:color w:val="auto"/>
          <w:sz w:val="24"/>
          <w:highlight w:val="none"/>
        </w:rPr>
        <w:fldChar w:fldCharType="end"/>
      </w:r>
      <w:r>
        <w:rPr>
          <w:rFonts w:hint="eastAsia" w:ascii="宋体" w:hAnsi="宋体" w:cs="宋体"/>
          <w:b w:val="0"/>
          <w:color w:val="auto"/>
          <w:sz w:val="24"/>
          <w:highlight w:val="none"/>
        </w:rPr>
        <w:fldChar w:fldCharType="end"/>
      </w:r>
    </w:p>
    <w:p>
      <w:pPr>
        <w:pStyle w:val="36"/>
        <w:tabs>
          <w:tab w:val="right" w:leader="dot" w:pos="9185"/>
          <w:tab w:val="clear" w:pos="9403"/>
        </w:tabs>
        <w:rPr>
          <w:b w:val="0"/>
          <w:color w:val="auto"/>
          <w:sz w:val="24"/>
          <w:highlight w:val="none"/>
        </w:rPr>
      </w:pPr>
      <w:r>
        <w:rPr>
          <w:rFonts w:hint="eastAsia" w:ascii="宋体" w:hAnsi="宋体" w:cs="宋体"/>
          <w:b w:val="0"/>
          <w:color w:val="auto"/>
          <w:sz w:val="24"/>
          <w:highlight w:val="none"/>
        </w:rPr>
        <w:fldChar w:fldCharType="begin"/>
      </w:r>
      <w:r>
        <w:rPr>
          <w:rFonts w:hint="eastAsia" w:ascii="宋体" w:hAnsi="宋体" w:cs="宋体"/>
          <w:b w:val="0"/>
          <w:color w:val="auto"/>
          <w:sz w:val="24"/>
          <w:highlight w:val="none"/>
        </w:rPr>
        <w:instrText xml:space="preserve"> HYPERLINK \l _Toc16509 </w:instrText>
      </w:r>
      <w:r>
        <w:rPr>
          <w:rFonts w:hint="eastAsia" w:ascii="宋体" w:hAnsi="宋体" w:cs="宋体"/>
          <w:b w:val="0"/>
          <w:color w:val="auto"/>
          <w:sz w:val="24"/>
          <w:highlight w:val="none"/>
        </w:rPr>
        <w:fldChar w:fldCharType="separate"/>
      </w:r>
      <w:r>
        <w:rPr>
          <w:rFonts w:hint="eastAsia" w:ascii="宋体" w:hAnsi="宋体" w:cs="宋体"/>
          <w:b w:val="0"/>
          <w:color w:val="auto"/>
          <w:sz w:val="24"/>
          <w:highlight w:val="none"/>
        </w:rPr>
        <w:t>第四章  采购合同主要条款</w:t>
      </w:r>
      <w:r>
        <w:rPr>
          <w:b w:val="0"/>
          <w:color w:val="auto"/>
          <w:sz w:val="24"/>
          <w:highlight w:val="none"/>
        </w:rPr>
        <w:tab/>
      </w:r>
      <w:r>
        <w:rPr>
          <w:b w:val="0"/>
          <w:color w:val="auto"/>
          <w:sz w:val="24"/>
          <w:highlight w:val="none"/>
        </w:rPr>
        <w:fldChar w:fldCharType="begin"/>
      </w:r>
      <w:r>
        <w:rPr>
          <w:b w:val="0"/>
          <w:color w:val="auto"/>
          <w:sz w:val="24"/>
          <w:highlight w:val="none"/>
        </w:rPr>
        <w:instrText xml:space="preserve"> PAGEREF _Toc16509 \h </w:instrText>
      </w:r>
      <w:r>
        <w:rPr>
          <w:b w:val="0"/>
          <w:color w:val="auto"/>
          <w:sz w:val="24"/>
          <w:highlight w:val="none"/>
        </w:rPr>
        <w:fldChar w:fldCharType="separate"/>
      </w:r>
      <w:r>
        <w:rPr>
          <w:b w:val="0"/>
          <w:color w:val="auto"/>
          <w:sz w:val="24"/>
          <w:highlight w:val="none"/>
        </w:rPr>
        <w:t>27</w:t>
      </w:r>
      <w:r>
        <w:rPr>
          <w:b w:val="0"/>
          <w:color w:val="auto"/>
          <w:sz w:val="24"/>
          <w:highlight w:val="none"/>
        </w:rPr>
        <w:fldChar w:fldCharType="end"/>
      </w:r>
      <w:r>
        <w:rPr>
          <w:rFonts w:hint="eastAsia" w:ascii="宋体" w:hAnsi="宋体" w:cs="宋体"/>
          <w:b w:val="0"/>
          <w:color w:val="auto"/>
          <w:sz w:val="24"/>
          <w:highlight w:val="none"/>
        </w:rPr>
        <w:fldChar w:fldCharType="end"/>
      </w:r>
    </w:p>
    <w:p>
      <w:pPr>
        <w:pStyle w:val="36"/>
        <w:tabs>
          <w:tab w:val="right" w:leader="dot" w:pos="9185"/>
          <w:tab w:val="clear" w:pos="9403"/>
        </w:tabs>
        <w:rPr>
          <w:b w:val="0"/>
          <w:color w:val="auto"/>
          <w:sz w:val="24"/>
          <w:highlight w:val="none"/>
        </w:rPr>
      </w:pPr>
      <w:r>
        <w:rPr>
          <w:rFonts w:hint="eastAsia" w:ascii="宋体" w:hAnsi="宋体" w:cs="宋体"/>
          <w:b w:val="0"/>
          <w:color w:val="auto"/>
          <w:sz w:val="24"/>
          <w:highlight w:val="none"/>
        </w:rPr>
        <w:fldChar w:fldCharType="begin"/>
      </w:r>
      <w:r>
        <w:rPr>
          <w:rFonts w:hint="eastAsia" w:ascii="宋体" w:hAnsi="宋体" w:cs="宋体"/>
          <w:b w:val="0"/>
          <w:color w:val="auto"/>
          <w:sz w:val="24"/>
          <w:highlight w:val="none"/>
        </w:rPr>
        <w:instrText xml:space="preserve"> HYPERLINK \l _Toc21199 </w:instrText>
      </w:r>
      <w:r>
        <w:rPr>
          <w:rFonts w:hint="eastAsia" w:ascii="宋体" w:hAnsi="宋体" w:cs="宋体"/>
          <w:b w:val="0"/>
          <w:color w:val="auto"/>
          <w:sz w:val="24"/>
          <w:highlight w:val="none"/>
        </w:rPr>
        <w:fldChar w:fldCharType="separate"/>
      </w:r>
      <w:r>
        <w:rPr>
          <w:rFonts w:hint="eastAsia" w:ascii="宋体" w:hAnsi="宋体" w:cs="宋体"/>
          <w:b w:val="0"/>
          <w:color w:val="auto"/>
          <w:kern w:val="0"/>
          <w:sz w:val="24"/>
          <w:highlight w:val="none"/>
        </w:rPr>
        <w:t>第五章  投标文件格式</w:t>
      </w:r>
      <w:r>
        <w:rPr>
          <w:b w:val="0"/>
          <w:color w:val="auto"/>
          <w:sz w:val="24"/>
          <w:highlight w:val="none"/>
        </w:rPr>
        <w:tab/>
      </w:r>
      <w:r>
        <w:rPr>
          <w:b w:val="0"/>
          <w:color w:val="auto"/>
          <w:sz w:val="24"/>
          <w:highlight w:val="none"/>
        </w:rPr>
        <w:fldChar w:fldCharType="begin"/>
      </w:r>
      <w:r>
        <w:rPr>
          <w:b w:val="0"/>
          <w:color w:val="auto"/>
          <w:sz w:val="24"/>
          <w:highlight w:val="none"/>
        </w:rPr>
        <w:instrText xml:space="preserve"> PAGEREF _Toc21199 \h </w:instrText>
      </w:r>
      <w:r>
        <w:rPr>
          <w:b w:val="0"/>
          <w:color w:val="auto"/>
          <w:sz w:val="24"/>
          <w:highlight w:val="none"/>
        </w:rPr>
        <w:fldChar w:fldCharType="separate"/>
      </w:r>
      <w:r>
        <w:rPr>
          <w:b w:val="0"/>
          <w:color w:val="auto"/>
          <w:sz w:val="24"/>
          <w:highlight w:val="none"/>
        </w:rPr>
        <w:t>34</w:t>
      </w:r>
      <w:r>
        <w:rPr>
          <w:b w:val="0"/>
          <w:color w:val="auto"/>
          <w:sz w:val="24"/>
          <w:highlight w:val="none"/>
        </w:rPr>
        <w:fldChar w:fldCharType="end"/>
      </w:r>
      <w:r>
        <w:rPr>
          <w:rFonts w:hint="eastAsia" w:ascii="宋体" w:hAnsi="宋体" w:cs="宋体"/>
          <w:b w:val="0"/>
          <w:color w:val="auto"/>
          <w:sz w:val="24"/>
          <w:highlight w:val="none"/>
        </w:rPr>
        <w:fldChar w:fldCharType="end"/>
      </w:r>
    </w:p>
    <w:p>
      <w:pPr>
        <w:pStyle w:val="36"/>
        <w:tabs>
          <w:tab w:val="right" w:leader="dot" w:pos="9185"/>
          <w:tab w:val="clear" w:pos="9403"/>
        </w:tabs>
        <w:rPr>
          <w:b w:val="0"/>
          <w:color w:val="auto"/>
          <w:sz w:val="24"/>
          <w:highlight w:val="none"/>
        </w:rPr>
      </w:pPr>
      <w:r>
        <w:rPr>
          <w:rFonts w:hint="eastAsia" w:ascii="宋体" w:hAnsi="宋体" w:cs="宋体"/>
          <w:b w:val="0"/>
          <w:color w:val="auto"/>
          <w:sz w:val="24"/>
          <w:highlight w:val="none"/>
        </w:rPr>
        <w:fldChar w:fldCharType="begin"/>
      </w:r>
      <w:r>
        <w:rPr>
          <w:rFonts w:hint="eastAsia" w:ascii="宋体" w:hAnsi="宋体" w:cs="宋体"/>
          <w:b w:val="0"/>
          <w:color w:val="auto"/>
          <w:sz w:val="24"/>
          <w:highlight w:val="none"/>
        </w:rPr>
        <w:instrText xml:space="preserve"> HYPERLINK \l _Toc31549 </w:instrText>
      </w:r>
      <w:r>
        <w:rPr>
          <w:rFonts w:hint="eastAsia" w:ascii="宋体" w:hAnsi="宋体" w:cs="宋体"/>
          <w:b w:val="0"/>
          <w:color w:val="auto"/>
          <w:sz w:val="24"/>
          <w:highlight w:val="none"/>
        </w:rPr>
        <w:fldChar w:fldCharType="separate"/>
      </w:r>
      <w:r>
        <w:rPr>
          <w:rFonts w:hint="eastAsia" w:ascii="宋体" w:hAnsi="宋体" w:cs="宋体"/>
          <w:b w:val="0"/>
          <w:color w:val="auto"/>
          <w:sz w:val="24"/>
          <w:highlight w:val="none"/>
        </w:rPr>
        <w:t>第六章 采购需求</w:t>
      </w:r>
      <w:r>
        <w:rPr>
          <w:b w:val="0"/>
          <w:color w:val="auto"/>
          <w:sz w:val="24"/>
          <w:highlight w:val="none"/>
        </w:rPr>
        <w:tab/>
      </w:r>
      <w:r>
        <w:rPr>
          <w:b w:val="0"/>
          <w:color w:val="auto"/>
          <w:sz w:val="24"/>
          <w:highlight w:val="none"/>
        </w:rPr>
        <w:fldChar w:fldCharType="begin"/>
      </w:r>
      <w:r>
        <w:rPr>
          <w:b w:val="0"/>
          <w:color w:val="auto"/>
          <w:sz w:val="24"/>
          <w:highlight w:val="none"/>
        </w:rPr>
        <w:instrText xml:space="preserve"> PAGEREF _Toc31549 \h </w:instrText>
      </w:r>
      <w:r>
        <w:rPr>
          <w:b w:val="0"/>
          <w:color w:val="auto"/>
          <w:sz w:val="24"/>
          <w:highlight w:val="none"/>
        </w:rPr>
        <w:fldChar w:fldCharType="separate"/>
      </w:r>
      <w:r>
        <w:rPr>
          <w:b w:val="0"/>
          <w:color w:val="auto"/>
          <w:sz w:val="24"/>
          <w:highlight w:val="none"/>
        </w:rPr>
        <w:t>51</w:t>
      </w:r>
      <w:r>
        <w:rPr>
          <w:b w:val="0"/>
          <w:color w:val="auto"/>
          <w:sz w:val="24"/>
          <w:highlight w:val="none"/>
        </w:rPr>
        <w:fldChar w:fldCharType="end"/>
      </w:r>
      <w:r>
        <w:rPr>
          <w:rFonts w:hint="eastAsia" w:ascii="宋体" w:hAnsi="宋体" w:cs="宋体"/>
          <w:b w:val="0"/>
          <w:color w:val="auto"/>
          <w:sz w:val="24"/>
          <w:highlight w:val="none"/>
        </w:rPr>
        <w:fldChar w:fldCharType="end"/>
      </w:r>
    </w:p>
    <w:p>
      <w:pPr>
        <w:pStyle w:val="36"/>
        <w:tabs>
          <w:tab w:val="right" w:leader="dot" w:pos="9185"/>
          <w:tab w:val="clear" w:pos="9403"/>
        </w:tabs>
        <w:rPr>
          <w:color w:val="auto"/>
          <w:highlight w:val="none"/>
        </w:rPr>
      </w:pPr>
      <w:r>
        <w:rPr>
          <w:rFonts w:hint="eastAsia" w:ascii="宋体" w:hAnsi="宋体" w:cs="宋体"/>
          <w:b w:val="0"/>
          <w:color w:val="auto"/>
          <w:sz w:val="24"/>
          <w:highlight w:val="none"/>
        </w:rPr>
        <w:fldChar w:fldCharType="begin"/>
      </w:r>
      <w:r>
        <w:rPr>
          <w:rFonts w:hint="eastAsia" w:ascii="宋体" w:hAnsi="宋体" w:cs="宋体"/>
          <w:b w:val="0"/>
          <w:color w:val="auto"/>
          <w:sz w:val="24"/>
          <w:highlight w:val="none"/>
        </w:rPr>
        <w:instrText xml:space="preserve"> HYPERLINK \l _Toc28485 </w:instrText>
      </w:r>
      <w:r>
        <w:rPr>
          <w:rFonts w:hint="eastAsia" w:ascii="宋体" w:hAnsi="宋体" w:cs="宋体"/>
          <w:b w:val="0"/>
          <w:color w:val="auto"/>
          <w:sz w:val="24"/>
          <w:highlight w:val="none"/>
        </w:rPr>
        <w:fldChar w:fldCharType="separate"/>
      </w:r>
      <w:r>
        <w:rPr>
          <w:rFonts w:hint="eastAsia" w:ascii="宋体" w:hAnsi="宋体" w:cs="宋体"/>
          <w:b w:val="0"/>
          <w:color w:val="auto"/>
          <w:sz w:val="24"/>
          <w:highlight w:val="none"/>
        </w:rPr>
        <w:t>第七章 评标办法</w:t>
      </w:r>
      <w:r>
        <w:rPr>
          <w:b w:val="0"/>
          <w:color w:val="auto"/>
          <w:sz w:val="24"/>
          <w:highlight w:val="none"/>
        </w:rPr>
        <w:tab/>
      </w:r>
      <w:r>
        <w:rPr>
          <w:b w:val="0"/>
          <w:color w:val="auto"/>
          <w:sz w:val="24"/>
          <w:highlight w:val="none"/>
        </w:rPr>
        <w:fldChar w:fldCharType="begin"/>
      </w:r>
      <w:r>
        <w:rPr>
          <w:b w:val="0"/>
          <w:color w:val="auto"/>
          <w:sz w:val="24"/>
          <w:highlight w:val="none"/>
        </w:rPr>
        <w:instrText xml:space="preserve"> PAGEREF _Toc28485 \h </w:instrText>
      </w:r>
      <w:r>
        <w:rPr>
          <w:b w:val="0"/>
          <w:color w:val="auto"/>
          <w:sz w:val="24"/>
          <w:highlight w:val="none"/>
        </w:rPr>
        <w:fldChar w:fldCharType="separate"/>
      </w:r>
      <w:r>
        <w:rPr>
          <w:b w:val="0"/>
          <w:color w:val="auto"/>
          <w:sz w:val="24"/>
          <w:highlight w:val="none"/>
        </w:rPr>
        <w:t>56</w:t>
      </w:r>
      <w:r>
        <w:rPr>
          <w:b w:val="0"/>
          <w:color w:val="auto"/>
          <w:sz w:val="24"/>
          <w:highlight w:val="none"/>
        </w:rPr>
        <w:fldChar w:fldCharType="end"/>
      </w:r>
      <w:r>
        <w:rPr>
          <w:rFonts w:hint="eastAsia" w:ascii="宋体" w:hAnsi="宋体" w:cs="宋体"/>
          <w:b w:val="0"/>
          <w:color w:val="auto"/>
          <w:sz w:val="24"/>
          <w:highlight w:val="none"/>
        </w:rPr>
        <w:fldChar w:fldCharType="end"/>
      </w:r>
    </w:p>
    <w:p>
      <w:pPr>
        <w:spacing w:line="560" w:lineRule="exact"/>
        <w:rPr>
          <w:rStyle w:val="62"/>
          <w:rFonts w:hint="eastAsia" w:ascii="宋体" w:hAnsi="宋体" w:cs="宋体"/>
          <w:color w:val="auto"/>
          <w:sz w:val="24"/>
          <w:highlight w:val="none"/>
        </w:rPr>
      </w:pPr>
      <w:r>
        <w:rPr>
          <w:rFonts w:hint="eastAsia" w:ascii="宋体" w:hAnsi="宋体" w:cs="宋体"/>
          <w:color w:val="auto"/>
          <w:highlight w:val="none"/>
        </w:rPr>
        <w:fldChar w:fldCharType="end"/>
      </w:r>
    </w:p>
    <w:p>
      <w:pPr>
        <w:pStyle w:val="4"/>
        <w:numPr>
          <w:ilvl w:val="0"/>
          <w:numId w:val="2"/>
        </w:numPr>
        <w:rPr>
          <w:rFonts w:hint="eastAsia" w:ascii="宋体" w:hAnsi="宋体" w:cs="宋体"/>
          <w:color w:val="auto"/>
          <w:highlight w:val="none"/>
        </w:rPr>
      </w:pPr>
      <w:r>
        <w:rPr>
          <w:rFonts w:hint="eastAsia" w:ascii="宋体" w:hAnsi="宋体" w:cs="宋体"/>
          <w:color w:val="auto"/>
          <w:sz w:val="28"/>
          <w:szCs w:val="28"/>
          <w:highlight w:val="none"/>
        </w:rPr>
        <w:br w:type="page"/>
      </w:r>
      <w:bookmarkStart w:id="0" w:name="_Toc293343927"/>
      <w:bookmarkStart w:id="1" w:name="_Toc401236934"/>
      <w:bookmarkStart w:id="2" w:name="_Toc470431963"/>
      <w:bookmarkStart w:id="3" w:name="_Toc273624872"/>
      <w:bookmarkStart w:id="4" w:name="_Toc211745565"/>
      <w:bookmarkStart w:id="5" w:name="_Toc82873316"/>
      <w:bookmarkStart w:id="6" w:name="_Toc82338233"/>
      <w:r>
        <w:rPr>
          <w:rFonts w:hint="eastAsia" w:ascii="宋体" w:hAnsi="宋体" w:cs="宋体"/>
          <w:color w:val="auto"/>
          <w:highlight w:val="none"/>
        </w:rPr>
        <w:t xml:space="preserve"> </w:t>
      </w:r>
      <w:bookmarkStart w:id="7" w:name="_Toc16602"/>
      <w:bookmarkStart w:id="8" w:name="_Toc3737"/>
      <w:bookmarkStart w:id="9" w:name="_Toc10383"/>
      <w:r>
        <w:rPr>
          <w:rFonts w:hint="eastAsia" w:ascii="宋体" w:hAnsi="宋体" w:cs="宋体"/>
          <w:color w:val="auto"/>
          <w:highlight w:val="none"/>
        </w:rPr>
        <w:t>采购公告</w:t>
      </w:r>
      <w:bookmarkEnd w:id="0"/>
      <w:bookmarkEnd w:id="1"/>
      <w:bookmarkEnd w:id="2"/>
      <w:bookmarkEnd w:id="7"/>
      <w:bookmarkEnd w:id="8"/>
      <w:bookmarkEnd w:id="9"/>
    </w:p>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9900" w:type="dxa"/>
            <w:noWrap w:val="0"/>
            <w:vAlign w:val="top"/>
          </w:tcPr>
          <w:p>
            <w:pPr>
              <w:pStyle w:val="2"/>
              <w:rPr>
                <w:color w:val="auto"/>
                <w:highlight w:val="none"/>
              </w:rPr>
            </w:pPr>
            <w:r>
              <w:rPr>
                <w:color w:val="auto"/>
                <w:highlight w:val="none"/>
              </w:rPr>
              <w:t>项目概况</w:t>
            </w:r>
          </w:p>
          <w:p>
            <w:pPr>
              <w:pStyle w:val="2"/>
              <w:spacing w:before="158" w:line="364" w:lineRule="auto"/>
              <w:ind w:left="108" w:right="103" w:firstLine="479"/>
              <w:rPr>
                <w:rFonts w:hint="eastAsia"/>
              </w:rPr>
            </w:pPr>
            <w:r>
              <w:rPr>
                <w:rFonts w:hint="eastAsia"/>
                <w:color w:val="auto"/>
                <w:highlight w:val="none"/>
                <w:lang w:eastAsia="zh-CN"/>
              </w:rPr>
              <w:t>2025年龙游县耕地现状调查项目</w:t>
            </w:r>
            <w:r>
              <w:rPr>
                <w:color w:val="auto"/>
                <w:highlight w:val="none"/>
              </w:rPr>
              <w:t>的潜在供应商应在</w:t>
            </w:r>
            <w:r>
              <w:rPr>
                <w:rFonts w:hint="eastAsia"/>
                <w:color w:val="auto"/>
                <w:highlight w:val="none"/>
                <w:u w:val="single"/>
              </w:rPr>
              <w:t>浙江政府采购网</w:t>
            </w:r>
            <w:r>
              <w:rPr>
                <w:color w:val="auto"/>
                <w:highlight w:val="none"/>
                <w:u w:val="single"/>
              </w:rPr>
              <w:t>（</w:t>
            </w:r>
            <w:r>
              <w:rPr>
                <w:color w:val="auto"/>
                <w:highlight w:val="none"/>
              </w:rPr>
              <w:fldChar w:fldCharType="begin"/>
            </w:r>
            <w:r>
              <w:rPr>
                <w:color w:val="auto"/>
                <w:highlight w:val="none"/>
              </w:rPr>
              <w:instrText xml:space="preserve"> HYPERLINK "http://zfcg.czt.zj.gov.cn/" \h </w:instrText>
            </w:r>
            <w:r>
              <w:rPr>
                <w:color w:val="auto"/>
                <w:highlight w:val="none"/>
              </w:rPr>
              <w:fldChar w:fldCharType="separate"/>
            </w:r>
            <w:r>
              <w:rPr>
                <w:color w:val="auto"/>
                <w:highlight w:val="none"/>
                <w:u w:val="single"/>
              </w:rPr>
              <w:t>http</w:t>
            </w:r>
            <w:r>
              <w:rPr>
                <w:rFonts w:hint="eastAsia"/>
                <w:color w:val="auto"/>
                <w:highlight w:val="none"/>
                <w:u w:val="single"/>
                <w:lang w:val="en-US" w:eastAsia="zh-CN"/>
              </w:rPr>
              <w:t>s</w:t>
            </w:r>
            <w:r>
              <w:rPr>
                <w:color w:val="auto"/>
                <w:highlight w:val="none"/>
                <w:u w:val="single"/>
              </w:rPr>
              <w:t>://zfcg.czt.zj.gov.cn/</w:t>
            </w:r>
            <w:r>
              <w:rPr>
                <w:color w:val="auto"/>
                <w:highlight w:val="none"/>
                <w:u w:val="single"/>
              </w:rPr>
              <w:fldChar w:fldCharType="end"/>
            </w:r>
            <w:r>
              <w:rPr>
                <w:color w:val="auto"/>
                <w:highlight w:val="none"/>
                <w:u w:val="single"/>
              </w:rPr>
              <w:t>）</w:t>
            </w:r>
            <w:r>
              <w:rPr>
                <w:color w:val="auto"/>
                <w:highlight w:val="none"/>
              </w:rPr>
              <w:t>获取（下载）</w:t>
            </w:r>
            <w:r>
              <w:rPr>
                <w:color w:val="auto"/>
                <w:spacing w:val="-7"/>
                <w:highlight w:val="none"/>
              </w:rPr>
              <w:t xml:space="preserve">采购文件，并于 </w:t>
            </w:r>
            <w:r>
              <w:rPr>
                <w:rFonts w:hint="eastAsia"/>
                <w:color w:val="auto"/>
                <w:highlight w:val="none"/>
                <w:u w:val="single"/>
              </w:rPr>
              <w:t>20</w:t>
            </w:r>
            <w:r>
              <w:rPr>
                <w:rFonts w:hint="eastAsia" w:ascii="Times New Roman" w:hAnsi="Times New Roman" w:eastAsia="宋体" w:cs="Times New Roman"/>
                <w:color w:val="auto"/>
                <w:highlight w:val="none"/>
                <w:u w:val="single"/>
              </w:rPr>
              <w:t>25年</w:t>
            </w:r>
            <w:r>
              <w:rPr>
                <w:rFonts w:hint="eastAsia" w:ascii="Times New Roman" w:hAnsi="Times New Roman" w:eastAsia="宋体" w:cs="Times New Roman"/>
                <w:color w:val="auto"/>
                <w:highlight w:val="none"/>
                <w:u w:val="single"/>
                <w:lang w:val="en-US" w:eastAsia="zh-CN"/>
              </w:rPr>
              <w:t>0</w:t>
            </w:r>
            <w:r>
              <w:rPr>
                <w:rFonts w:hint="eastAsia" w:cs="Times New Roman"/>
                <w:color w:val="auto"/>
                <w:highlight w:val="none"/>
                <w:u w:val="single"/>
                <w:lang w:val="en-US" w:eastAsia="zh-CN"/>
              </w:rPr>
              <w:t>8</w:t>
            </w:r>
            <w:r>
              <w:rPr>
                <w:rFonts w:hint="eastAsia" w:ascii="Times New Roman" w:hAnsi="Times New Roman" w:eastAsia="宋体" w:cs="Times New Roman"/>
                <w:color w:val="auto"/>
                <w:highlight w:val="none"/>
                <w:u w:val="single"/>
              </w:rPr>
              <w:t>月</w:t>
            </w:r>
            <w:r>
              <w:rPr>
                <w:rFonts w:hint="eastAsia" w:cs="Times New Roman"/>
                <w:color w:val="auto"/>
                <w:highlight w:val="none"/>
                <w:u w:val="single"/>
                <w:lang w:val="en-US" w:eastAsia="zh-CN"/>
              </w:rPr>
              <w:t>01</w:t>
            </w:r>
            <w:r>
              <w:rPr>
                <w:rFonts w:hint="eastAsia" w:ascii="Times New Roman" w:hAnsi="Times New Roman" w:eastAsia="宋体" w:cs="Times New Roman"/>
                <w:color w:val="auto"/>
                <w:highlight w:val="none"/>
                <w:u w:val="single"/>
              </w:rPr>
              <w:t>日</w:t>
            </w:r>
            <w:r>
              <w:rPr>
                <w:rFonts w:hint="eastAsia" w:cs="Times New Roman"/>
                <w:color w:val="auto"/>
                <w:highlight w:val="none"/>
                <w:u w:val="single"/>
                <w:lang w:val="en-US" w:eastAsia="zh-CN"/>
              </w:rPr>
              <w:t>15</w:t>
            </w:r>
            <w:r>
              <w:rPr>
                <w:rFonts w:hint="eastAsia" w:ascii="Times New Roman" w:hAnsi="Times New Roman" w:eastAsia="宋体" w:cs="Times New Roman"/>
                <w:color w:val="auto"/>
                <w:highlight w:val="none"/>
                <w:u w:val="single"/>
              </w:rPr>
              <w:t>点</w:t>
            </w:r>
            <w:r>
              <w:rPr>
                <w:rFonts w:hint="eastAsia" w:cs="Times New Roman"/>
                <w:color w:val="auto"/>
                <w:highlight w:val="none"/>
                <w:u w:val="single"/>
                <w:lang w:val="en-US" w:eastAsia="zh-CN"/>
              </w:rPr>
              <w:t>00</w:t>
            </w:r>
            <w:r>
              <w:rPr>
                <w:rFonts w:hint="eastAsia" w:ascii="Times New Roman" w:hAnsi="Times New Roman" w:eastAsia="宋体" w:cs="Times New Roman"/>
                <w:color w:val="auto"/>
                <w:highlight w:val="none"/>
                <w:u w:val="single"/>
              </w:rPr>
              <w:t>分</w:t>
            </w:r>
            <w:r>
              <w:rPr>
                <w:color w:val="auto"/>
                <w:highlight w:val="none"/>
              </w:rPr>
              <w:t>（北京时间）前提交（上传）响应文件。</w:t>
            </w:r>
          </w:p>
        </w:tc>
      </w:tr>
    </w:tbl>
    <w:p>
      <w:pPr>
        <w:rPr>
          <w:rFonts w:hint="eastAsia"/>
          <w:color w:val="auto"/>
          <w:highlight w:val="none"/>
        </w:rPr>
      </w:pPr>
    </w:p>
    <w:p>
      <w:pPr>
        <w:keepNext/>
        <w:keepLines/>
        <w:snapToGrid w:val="0"/>
        <w:spacing w:line="348" w:lineRule="auto"/>
        <w:outlineLvl w:val="1"/>
        <w:rPr>
          <w:rFonts w:hint="eastAsia"/>
          <w:b/>
          <w:bCs/>
          <w:color w:val="auto"/>
          <w:highlight w:val="none"/>
        </w:rPr>
      </w:pPr>
      <w:bookmarkStart w:id="10" w:name="_Toc470431964"/>
      <w:r>
        <w:rPr>
          <w:rFonts w:hint="eastAsia"/>
          <w:b/>
          <w:bCs/>
          <w:color w:val="auto"/>
          <w:highlight w:val="none"/>
        </w:rPr>
        <w:t>一、项目基本情况</w:t>
      </w:r>
    </w:p>
    <w:p>
      <w:pPr>
        <w:keepNext/>
        <w:keepLines/>
        <w:snapToGrid w:val="0"/>
        <w:spacing w:line="348" w:lineRule="auto"/>
        <w:ind w:firstLine="420" w:firstLineChars="200"/>
        <w:outlineLvl w:val="1"/>
        <w:rPr>
          <w:rFonts w:hint="eastAsia" w:ascii="宋体" w:hAnsi="宋体" w:cs="Arial"/>
          <w:bCs/>
          <w:color w:val="auto"/>
          <w:kern w:val="0"/>
          <w:sz w:val="22"/>
          <w:szCs w:val="22"/>
          <w:highlight w:val="none"/>
        </w:rPr>
      </w:pPr>
      <w:r>
        <w:rPr>
          <w:rFonts w:hint="eastAsia"/>
          <w:color w:val="auto"/>
          <w:highlight w:val="none"/>
        </w:rPr>
        <w:t>项目编号</w:t>
      </w:r>
      <w:r>
        <w:rPr>
          <w:rFonts w:hint="eastAsia" w:ascii="宋体" w:hAnsi="宋体" w:cs="Arial"/>
          <w:bCs/>
          <w:color w:val="auto"/>
          <w:kern w:val="0"/>
          <w:sz w:val="22"/>
          <w:szCs w:val="22"/>
          <w:highlight w:val="none"/>
        </w:rPr>
        <w:t>：</w:t>
      </w:r>
      <w:r>
        <w:rPr>
          <w:rFonts w:hint="eastAsia" w:ascii="宋体" w:hAnsi="宋体" w:cs="Arial"/>
          <w:bCs/>
          <w:color w:val="auto"/>
          <w:kern w:val="0"/>
          <w:sz w:val="22"/>
          <w:szCs w:val="22"/>
          <w:highlight w:val="none"/>
          <w:lang w:val="zh-CN"/>
        </w:rPr>
        <w:t>LYCG2025TY-047</w:t>
      </w:r>
    </w:p>
    <w:p>
      <w:pPr>
        <w:widowControl/>
        <w:snapToGrid w:val="0"/>
        <w:spacing w:line="348" w:lineRule="auto"/>
        <w:ind w:firstLine="420" w:firstLineChars="200"/>
        <w:rPr>
          <w:rFonts w:hint="eastAsia" w:ascii="宋体" w:hAnsi="宋体" w:cs="宋体"/>
          <w:color w:val="auto"/>
          <w:spacing w:val="-6"/>
          <w:szCs w:val="21"/>
          <w:highlight w:val="none"/>
          <w:u w:val="single"/>
        </w:rPr>
      </w:pPr>
      <w:r>
        <w:rPr>
          <w:rFonts w:hint="eastAsia"/>
          <w:color w:val="auto"/>
          <w:kern w:val="0"/>
          <w:szCs w:val="21"/>
          <w:highlight w:val="none"/>
        </w:rPr>
        <w:t>项目名称：</w:t>
      </w:r>
      <w:r>
        <w:rPr>
          <w:rFonts w:hint="eastAsia"/>
          <w:color w:val="auto"/>
          <w:spacing w:val="-6"/>
          <w:highlight w:val="none"/>
          <w:lang w:eastAsia="zh-CN"/>
        </w:rPr>
        <w:t>2025年龙游县耕地现状调查项目</w:t>
      </w:r>
      <w:r>
        <w:rPr>
          <w:rFonts w:hint="eastAsia"/>
          <w:color w:val="auto"/>
          <w:spacing w:val="-6"/>
          <w:highlight w:val="none"/>
        </w:rPr>
        <w:t xml:space="preserve">  </w:t>
      </w:r>
    </w:p>
    <w:p>
      <w:pPr>
        <w:keepNext/>
        <w:keepLines/>
        <w:snapToGrid w:val="0"/>
        <w:spacing w:line="348" w:lineRule="auto"/>
        <w:ind w:firstLine="420" w:firstLineChars="200"/>
        <w:outlineLvl w:val="1"/>
        <w:rPr>
          <w:rFonts w:hint="eastAsia"/>
          <w:color w:val="auto"/>
          <w:highlight w:val="none"/>
        </w:rPr>
      </w:pPr>
      <w:r>
        <w:rPr>
          <w:rFonts w:hint="eastAsia"/>
          <w:color w:val="auto"/>
          <w:highlight w:val="none"/>
        </w:rPr>
        <w:t>采购方式：公开招标</w:t>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预算金额：</w:t>
      </w:r>
      <w:r>
        <w:rPr>
          <w:rFonts w:hint="eastAsia"/>
          <w:color w:val="auto"/>
          <w:kern w:val="0"/>
          <w:szCs w:val="21"/>
          <w:highlight w:val="none"/>
          <w:lang w:val="en-US" w:eastAsia="zh-CN"/>
        </w:rPr>
        <w:t>70</w:t>
      </w:r>
      <w:r>
        <w:rPr>
          <w:rFonts w:hint="eastAsia"/>
          <w:color w:val="auto"/>
          <w:kern w:val="0"/>
          <w:szCs w:val="21"/>
          <w:highlight w:val="none"/>
        </w:rPr>
        <w:t>万元</w:t>
      </w:r>
    </w:p>
    <w:p>
      <w:pPr>
        <w:keepNext/>
        <w:keepLines/>
        <w:snapToGrid w:val="0"/>
        <w:spacing w:line="348" w:lineRule="auto"/>
        <w:ind w:firstLine="420" w:firstLineChars="200"/>
        <w:outlineLvl w:val="1"/>
        <w:rPr>
          <w:color w:val="auto"/>
          <w:highlight w:val="none"/>
        </w:rPr>
      </w:pPr>
      <w:r>
        <w:rPr>
          <w:rFonts w:hint="eastAsia"/>
          <w:color w:val="auto"/>
          <w:highlight w:val="none"/>
        </w:rPr>
        <w:t>最高限价：</w:t>
      </w:r>
      <w:r>
        <w:rPr>
          <w:rFonts w:hint="eastAsia"/>
          <w:color w:val="auto"/>
          <w:kern w:val="0"/>
          <w:szCs w:val="21"/>
          <w:highlight w:val="none"/>
          <w:lang w:val="en-US" w:eastAsia="zh-CN"/>
        </w:rPr>
        <w:t>70</w:t>
      </w:r>
      <w:r>
        <w:rPr>
          <w:rFonts w:hint="eastAsia"/>
          <w:color w:val="auto"/>
          <w:kern w:val="0"/>
          <w:szCs w:val="21"/>
          <w:highlight w:val="none"/>
        </w:rPr>
        <w:t>万元</w:t>
      </w:r>
    </w:p>
    <w:p>
      <w:pPr>
        <w:widowControl/>
        <w:snapToGrid w:val="0"/>
        <w:spacing w:line="348" w:lineRule="auto"/>
        <w:ind w:firstLine="420" w:firstLineChars="200"/>
        <w:jc w:val="left"/>
        <w:rPr>
          <w:rFonts w:hint="eastAsia"/>
          <w:color w:val="auto"/>
          <w:kern w:val="0"/>
          <w:szCs w:val="21"/>
          <w:highlight w:val="none"/>
        </w:rPr>
      </w:pPr>
      <w:r>
        <w:rPr>
          <w:rFonts w:hint="eastAsia"/>
          <w:color w:val="auto"/>
          <w:kern w:val="0"/>
          <w:szCs w:val="21"/>
          <w:highlight w:val="none"/>
        </w:rPr>
        <w:t>采购需求：</w:t>
      </w:r>
      <w:r>
        <w:rPr>
          <w:rFonts w:hint="eastAsia" w:ascii="宋体" w:hAnsi="宋体" w:cs="微软雅黑"/>
          <w:color w:val="auto"/>
          <w:szCs w:val="21"/>
          <w:highlight w:val="none"/>
        </w:rPr>
        <w:t>见招标文件第六章采购需求</w:t>
      </w:r>
    </w:p>
    <w:p>
      <w:pPr>
        <w:widowControl/>
        <w:snapToGrid w:val="0"/>
        <w:spacing w:line="348" w:lineRule="auto"/>
        <w:ind w:firstLine="420" w:firstLineChars="200"/>
        <w:rPr>
          <w:color w:val="auto"/>
          <w:kern w:val="0"/>
          <w:szCs w:val="21"/>
          <w:highlight w:val="none"/>
        </w:rPr>
      </w:pPr>
      <w:r>
        <w:rPr>
          <w:rFonts w:hint="eastAsia"/>
          <w:color w:val="auto"/>
          <w:kern w:val="0"/>
          <w:szCs w:val="21"/>
          <w:highlight w:val="none"/>
        </w:rPr>
        <w:t>合同履行期限：按采购文件规定</w:t>
      </w:r>
    </w:p>
    <w:p>
      <w:pPr>
        <w:widowControl/>
        <w:snapToGrid w:val="0"/>
        <w:spacing w:line="348" w:lineRule="auto"/>
        <w:rPr>
          <w:rFonts w:hint="eastAsia"/>
          <w:b/>
          <w:bCs/>
          <w:color w:val="auto"/>
          <w:kern w:val="0"/>
          <w:szCs w:val="21"/>
          <w:highlight w:val="none"/>
        </w:rPr>
      </w:pPr>
      <w:bookmarkStart w:id="11" w:name="_Toc35393622"/>
      <w:bookmarkStart w:id="12" w:name="_Toc28359080"/>
      <w:bookmarkStart w:id="13" w:name="_Toc35393791"/>
      <w:bookmarkStart w:id="14" w:name="_Toc28359003"/>
      <w:r>
        <w:rPr>
          <w:rFonts w:hint="eastAsia"/>
          <w:b/>
          <w:bCs/>
          <w:color w:val="auto"/>
          <w:kern w:val="0"/>
          <w:szCs w:val="21"/>
          <w:highlight w:val="none"/>
        </w:rPr>
        <w:t>二、申请人的资格要求：</w:t>
      </w:r>
      <w:bookmarkEnd w:id="11"/>
      <w:bookmarkEnd w:id="12"/>
      <w:bookmarkEnd w:id="13"/>
      <w:bookmarkEnd w:id="14"/>
    </w:p>
    <w:p>
      <w:pPr>
        <w:widowControl/>
        <w:adjustRightInd w:val="0"/>
        <w:snapToGrid w:val="0"/>
        <w:spacing w:line="348" w:lineRule="auto"/>
        <w:ind w:firstLine="420" w:firstLineChars="200"/>
        <w:jc w:val="left"/>
        <w:rPr>
          <w:rFonts w:ascii="宋体" w:hAnsi="宋体" w:cs="Arial"/>
          <w:color w:val="auto"/>
          <w:kern w:val="0"/>
          <w:szCs w:val="21"/>
          <w:highlight w:val="none"/>
        </w:rPr>
      </w:pPr>
      <w:bookmarkStart w:id="15" w:name="_Toc35393792"/>
      <w:bookmarkStart w:id="16" w:name="_Toc28359081"/>
      <w:bookmarkStart w:id="17" w:name="_Toc28359004"/>
      <w:bookmarkStart w:id="18" w:name="_Toc35393623"/>
      <w:r>
        <w:rPr>
          <w:rFonts w:hint="eastAsia" w:ascii="宋体" w:hAnsi="宋体" w:cs="宋体"/>
          <w:color w:val="auto"/>
          <w:kern w:val="0"/>
          <w:szCs w:val="21"/>
          <w:highlight w:val="none"/>
        </w:rPr>
        <w:t>1</w:t>
      </w:r>
      <w:r>
        <w:rPr>
          <w:rFonts w:hint="eastAsia"/>
          <w:color w:val="auto"/>
          <w:szCs w:val="21"/>
          <w:highlight w:val="none"/>
        </w:rPr>
        <w:t>.</w:t>
      </w:r>
      <w:r>
        <w:rPr>
          <w:rFonts w:hint="eastAsia" w:ascii="宋体" w:hAnsi="宋体" w:cs="Arial"/>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48" w:lineRule="auto"/>
        <w:ind w:firstLine="472" w:firstLineChars="225"/>
        <w:rPr>
          <w:rFonts w:hint="eastAsia" w:cs="Arial"/>
          <w:color w:val="auto"/>
          <w:kern w:val="0"/>
          <w:highlight w:val="none"/>
        </w:rPr>
      </w:pPr>
      <w:r>
        <w:rPr>
          <w:rFonts w:hint="eastAsia" w:cs="Arial"/>
          <w:color w:val="auto"/>
          <w:kern w:val="0"/>
          <w:highlight w:val="none"/>
        </w:rPr>
        <w:t>2</w:t>
      </w:r>
      <w:r>
        <w:rPr>
          <w:rFonts w:hint="eastAsia"/>
          <w:color w:val="auto"/>
          <w:highlight w:val="none"/>
        </w:rPr>
        <w:t>.</w:t>
      </w:r>
      <w:r>
        <w:rPr>
          <w:rFonts w:hint="eastAsia" w:cs="Arial"/>
          <w:color w:val="auto"/>
          <w:kern w:val="0"/>
          <w:highlight w:val="none"/>
        </w:rPr>
        <w:t>落实政府采购政策需满足的资格要求：</w:t>
      </w:r>
    </w:p>
    <w:p>
      <w:pPr>
        <w:widowControl/>
        <w:adjustRightInd w:val="0"/>
        <w:snapToGrid w:val="0"/>
        <w:spacing w:line="348" w:lineRule="auto"/>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sym w:font="Wingdings" w:char="00FE"/>
      </w:r>
      <w:r>
        <w:rPr>
          <w:rFonts w:hint="eastAsia" w:ascii="宋体" w:hAnsi="宋体" w:cs="Arial"/>
          <w:color w:val="auto"/>
          <w:kern w:val="0"/>
          <w:szCs w:val="21"/>
          <w:highlight w:val="none"/>
        </w:rPr>
        <w:t>无；</w:t>
      </w:r>
    </w:p>
    <w:p>
      <w:pPr>
        <w:widowControl/>
        <w:adjustRightInd w:val="0"/>
        <w:snapToGrid w:val="0"/>
        <w:spacing w:line="348" w:lineRule="auto"/>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sym w:font="Wingdings" w:char="00A8"/>
      </w:r>
      <w:r>
        <w:rPr>
          <w:rFonts w:hint="eastAsia" w:ascii="宋体" w:hAnsi="宋体" w:cs="Arial"/>
          <w:color w:val="auto"/>
          <w:kern w:val="0"/>
          <w:szCs w:val="21"/>
          <w:highlight w:val="none"/>
        </w:rPr>
        <w:t>专门面向中小企业</w:t>
      </w:r>
    </w:p>
    <w:p>
      <w:pPr>
        <w:widowControl/>
        <w:adjustRightInd w:val="0"/>
        <w:snapToGrid w:val="0"/>
        <w:spacing w:line="348" w:lineRule="auto"/>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sym w:font="Wingdings" w:char="00A8"/>
      </w:r>
      <w:r>
        <w:rPr>
          <w:rFonts w:hint="eastAsia" w:ascii="宋体" w:hAnsi="宋体" w:cs="Arial"/>
          <w:color w:val="auto"/>
          <w:kern w:val="0"/>
          <w:szCs w:val="21"/>
          <w:highlight w:val="none"/>
        </w:rPr>
        <w:t>货物全部由符合政策要求的中小企业制造，提供中小企业声明函；</w:t>
      </w:r>
    </w:p>
    <w:p>
      <w:pPr>
        <w:widowControl/>
        <w:adjustRightInd w:val="0"/>
        <w:snapToGrid w:val="0"/>
        <w:spacing w:line="348" w:lineRule="auto"/>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☐货物全部由符合政策要求的小微企业制造，提供中小企业声明函；</w:t>
      </w:r>
    </w:p>
    <w:p>
      <w:pPr>
        <w:widowControl/>
        <w:adjustRightInd w:val="0"/>
        <w:snapToGrid w:val="0"/>
        <w:spacing w:line="348" w:lineRule="auto"/>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sym w:font="Wingdings" w:char="00A8"/>
      </w:r>
      <w:r>
        <w:rPr>
          <w:rFonts w:hint="eastAsia" w:ascii="宋体" w:hAnsi="宋体" w:cs="Arial"/>
          <w:color w:val="auto"/>
          <w:kern w:val="0"/>
          <w:szCs w:val="21"/>
          <w:highlight w:val="none"/>
        </w:rPr>
        <w:t>服务全部由符合政策要求的中小企业承接，提供中小企业声明函；</w:t>
      </w:r>
    </w:p>
    <w:p>
      <w:pPr>
        <w:widowControl/>
        <w:adjustRightInd w:val="0"/>
        <w:snapToGrid w:val="0"/>
        <w:spacing w:line="348" w:lineRule="auto"/>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sym w:font="Wingdings" w:char="00A8"/>
      </w:r>
      <w:r>
        <w:rPr>
          <w:rFonts w:hint="eastAsia" w:ascii="宋体" w:hAnsi="宋体" w:cs="Arial"/>
          <w:color w:val="auto"/>
          <w:kern w:val="0"/>
          <w:szCs w:val="21"/>
          <w:highlight w:val="none"/>
        </w:rPr>
        <w:t>服务全部由符合政策要求的小微企业承接，提供中小企业声明函；</w:t>
      </w:r>
    </w:p>
    <w:p>
      <w:pPr>
        <w:widowControl/>
        <w:adjustRightInd w:val="0"/>
        <w:snapToGrid w:val="0"/>
        <w:spacing w:line="348" w:lineRule="auto"/>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sym w:font="Wingdings" w:char="00A8"/>
      </w:r>
      <w:r>
        <w:rPr>
          <w:rFonts w:hint="eastAsia" w:ascii="宋体" w:hAnsi="宋体" w:cs="Arial"/>
          <w:color w:val="auto"/>
          <w:kern w:val="0"/>
          <w:szCs w:val="21"/>
          <w:highlight w:val="none"/>
        </w:rPr>
        <w:t>要求以联合体形式参加，提供联合协议和中小企业声明函，联合协议中中小企业合同金额应当达到</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%，小微企业合同金额应当达到</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%;如果供应商本身提供所有标的均由中小企业制造、承建或承接，视同符合了资格条件，无需再与其他中小企业组成联合体参加政府采购活动，无需提供联合协议；</w:t>
      </w:r>
    </w:p>
    <w:p>
      <w:pPr>
        <w:widowControl/>
        <w:adjustRightInd w:val="0"/>
        <w:snapToGrid w:val="0"/>
        <w:spacing w:line="348" w:lineRule="auto"/>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sym w:font="Wingdings" w:char="00A8"/>
      </w:r>
      <w:r>
        <w:rPr>
          <w:rFonts w:hint="eastAsia" w:ascii="宋体" w:hAnsi="宋体" w:cs="Arial"/>
          <w:color w:val="auto"/>
          <w:kern w:val="0"/>
          <w:szCs w:val="21"/>
          <w:highlight w:val="none"/>
        </w:rPr>
        <w:t>要求合同分包，提供分包意向协议和中小企业声明函，分包意向协议中中小企业合同金额应当达到达到</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 ，其中预留给小微企业合同金额应当达到</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%;如果供应商本身提供所有标的均由中小企业制造、承建或承接，视同符合了资格条件，无需再向中小企业分包，无需提供分包意向协议；</w:t>
      </w:r>
    </w:p>
    <w:p>
      <w:pPr>
        <w:pStyle w:val="49"/>
        <w:adjustRightInd w:val="0"/>
        <w:snapToGrid w:val="0"/>
        <w:spacing w:before="0" w:beforeAutospacing="0" w:after="0" w:afterAutospacing="0" w:line="348" w:lineRule="auto"/>
        <w:ind w:firstLine="420" w:firstLineChars="200"/>
        <w:rPr>
          <w:rFonts w:hint="eastAsia" w:cs="Arial"/>
          <w:color w:val="auto"/>
          <w:sz w:val="21"/>
          <w:szCs w:val="21"/>
          <w:highlight w:val="none"/>
        </w:rPr>
      </w:pPr>
      <w:r>
        <w:rPr>
          <w:rFonts w:hint="eastAsia"/>
          <w:color w:val="auto"/>
          <w:sz w:val="21"/>
          <w:szCs w:val="21"/>
          <w:highlight w:val="none"/>
        </w:rPr>
        <w:t>3.本项目的特定资格要求</w:t>
      </w:r>
    </w:p>
    <w:p>
      <w:pPr>
        <w:pStyle w:val="49"/>
        <w:adjustRightInd w:val="0"/>
        <w:snapToGrid w:val="0"/>
        <w:spacing w:before="0" w:beforeAutospacing="0" w:after="0" w:afterAutospacing="0" w:line="348" w:lineRule="auto"/>
        <w:ind w:firstLine="420" w:firstLineChars="200"/>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）单位负责人为同一人或者存在直接控股、管理关系的不同投标人，不得参加</w:t>
      </w:r>
      <w:r>
        <w:rPr>
          <w:rFonts w:hint="eastAsia"/>
          <w:color w:val="auto"/>
          <w:sz w:val="21"/>
          <w:szCs w:val="21"/>
          <w:highlight w:val="none"/>
          <w:lang w:val="en-US" w:eastAsia="zh-CN"/>
        </w:rPr>
        <w:t>本项目</w:t>
      </w:r>
      <w:r>
        <w:rPr>
          <w:rFonts w:hint="eastAsia"/>
          <w:color w:val="auto"/>
          <w:sz w:val="21"/>
          <w:szCs w:val="21"/>
          <w:highlight w:val="none"/>
        </w:rPr>
        <w:t>的政府采购活动；</w:t>
      </w:r>
    </w:p>
    <w:p>
      <w:pPr>
        <w:pStyle w:val="49"/>
        <w:adjustRightInd w:val="0"/>
        <w:snapToGrid w:val="0"/>
        <w:spacing w:before="0" w:beforeAutospacing="0" w:after="0" w:afterAutospacing="0" w:line="348" w:lineRule="auto"/>
        <w:ind w:firstLine="420" w:firstLineChars="200"/>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2</w:t>
      </w:r>
      <w:r>
        <w:rPr>
          <w:rFonts w:hint="eastAsia"/>
          <w:color w:val="auto"/>
          <w:sz w:val="21"/>
          <w:szCs w:val="21"/>
          <w:highlight w:val="none"/>
        </w:rPr>
        <w:t>）为采购项目提供整体设计、规范编制或者项目管理、监理、检测等服务后不得再参加该采购项目的其他采购活动；</w:t>
      </w:r>
    </w:p>
    <w:p>
      <w:pPr>
        <w:widowControl/>
        <w:adjustRightInd w:val="0"/>
        <w:snapToGrid w:val="0"/>
        <w:spacing w:line="348" w:lineRule="auto"/>
        <w:ind w:firstLine="420" w:firstLineChars="200"/>
        <w:jc w:val="left"/>
        <w:rPr>
          <w:rFonts w:hint="eastAsia" w:ascii="宋体" w:hAnsi="宋体" w:eastAsia="宋体" w:cs="Arial"/>
          <w:color w:val="auto"/>
          <w:kern w:val="0"/>
          <w:szCs w:val="21"/>
          <w:highlight w:val="none"/>
          <w:lang w:val="en-US" w:eastAsia="zh-CN"/>
        </w:rPr>
      </w:pP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3</w:t>
      </w:r>
      <w:r>
        <w:rPr>
          <w:rFonts w:hint="eastAsia" w:ascii="宋体" w:hAnsi="宋体" w:cs="Arial"/>
          <w:color w:val="auto"/>
          <w:kern w:val="0"/>
          <w:szCs w:val="21"/>
          <w:highlight w:val="none"/>
        </w:rPr>
        <w:t>）投标人</w:t>
      </w:r>
      <w:r>
        <w:rPr>
          <w:rFonts w:hint="eastAsia" w:ascii="宋体" w:hAnsi="宋体" w:cs="Arial"/>
          <w:color w:val="auto"/>
          <w:kern w:val="0"/>
          <w:szCs w:val="21"/>
          <w:highlight w:val="none"/>
          <w:lang w:val="en-US" w:eastAsia="zh-CN"/>
        </w:rPr>
        <w:t>具备乙级及以上测绘资质（须包含测绘航空摄影、地理信息系统）</w:t>
      </w:r>
      <w:r>
        <w:rPr>
          <w:rFonts w:hint="eastAsia"/>
          <w:color w:val="auto"/>
          <w:szCs w:val="22"/>
          <w:highlight w:val="none"/>
          <w:lang w:val="en-US" w:eastAsia="zh-CN"/>
        </w:rPr>
        <w:t>；</w:t>
      </w:r>
    </w:p>
    <w:p>
      <w:pPr>
        <w:pStyle w:val="49"/>
        <w:keepNext w:val="0"/>
        <w:keepLines w:val="0"/>
        <w:pageBreakBefore w:val="0"/>
        <w:widowControl/>
        <w:kinsoku/>
        <w:wordWrap/>
        <w:overflowPunct/>
        <w:topLinePunct w:val="0"/>
        <w:autoSpaceDE/>
        <w:autoSpaceDN/>
        <w:bidi w:val="0"/>
        <w:adjustRightInd w:val="0"/>
        <w:snapToGrid w:val="0"/>
        <w:spacing w:before="0" w:beforeAutospacing="0" w:after="0" w:afterAutospacing="0" w:line="348"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rPr>
        <w:t>（4）</w:t>
      </w:r>
      <w:r>
        <w:rPr>
          <w:rFonts w:hint="eastAsia"/>
          <w:sz w:val="21"/>
          <w:szCs w:val="21"/>
        </w:rPr>
        <w:t>本项目不允许联合体投标。</w:t>
      </w:r>
    </w:p>
    <w:p>
      <w:pPr>
        <w:widowControl/>
        <w:snapToGrid w:val="0"/>
        <w:spacing w:line="348" w:lineRule="auto"/>
        <w:rPr>
          <w:rFonts w:hint="eastAsia"/>
          <w:b/>
          <w:bCs/>
          <w:color w:val="auto"/>
          <w:kern w:val="0"/>
          <w:szCs w:val="21"/>
          <w:highlight w:val="none"/>
        </w:rPr>
      </w:pPr>
      <w:r>
        <w:rPr>
          <w:rFonts w:hint="eastAsia"/>
          <w:b/>
          <w:bCs/>
          <w:color w:val="auto"/>
          <w:kern w:val="0"/>
          <w:szCs w:val="21"/>
          <w:highlight w:val="none"/>
        </w:rPr>
        <w:t>三、获取</w:t>
      </w:r>
      <w:bookmarkEnd w:id="15"/>
      <w:bookmarkEnd w:id="16"/>
      <w:bookmarkEnd w:id="17"/>
      <w:bookmarkEnd w:id="18"/>
      <w:r>
        <w:rPr>
          <w:rFonts w:hint="eastAsia"/>
          <w:b/>
          <w:bCs/>
          <w:color w:val="auto"/>
          <w:kern w:val="0"/>
          <w:szCs w:val="21"/>
          <w:highlight w:val="none"/>
        </w:rPr>
        <w:t>招标文件</w:t>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时间：</w:t>
      </w:r>
      <w:r>
        <w:rPr>
          <w:color w:val="auto"/>
          <w:highlight w:val="none"/>
        </w:rPr>
        <w:t>采购公告发布之日起至</w:t>
      </w:r>
      <w:r>
        <w:rPr>
          <w:rFonts w:hint="eastAsia"/>
          <w:color w:val="auto"/>
          <w:highlight w:val="none"/>
        </w:rPr>
        <w:t>招标</w:t>
      </w:r>
      <w:r>
        <w:rPr>
          <w:color w:val="auto"/>
          <w:highlight w:val="none"/>
        </w:rPr>
        <w:t>响应文件提交截止时间前</w:t>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地点：</w:t>
      </w:r>
      <w:r>
        <w:rPr>
          <w:color w:val="auto"/>
          <w:highlight w:val="none"/>
        </w:rPr>
        <w:t>浙江政府采购网（</w:t>
      </w:r>
      <w:r>
        <w:rPr>
          <w:color w:val="auto"/>
          <w:highlight w:val="none"/>
        </w:rPr>
        <w:fldChar w:fldCharType="begin"/>
      </w:r>
      <w:r>
        <w:rPr>
          <w:color w:val="auto"/>
          <w:highlight w:val="none"/>
        </w:rPr>
        <w:instrText xml:space="preserve"> HYPERLINK "http://zfcg.czt.zj.gov.cn/" \h </w:instrText>
      </w:r>
      <w:r>
        <w:rPr>
          <w:color w:val="auto"/>
          <w:highlight w:val="none"/>
        </w:rPr>
        <w:fldChar w:fldCharType="separate"/>
      </w:r>
      <w:r>
        <w:rPr>
          <w:color w:val="auto"/>
          <w:highlight w:val="none"/>
        </w:rPr>
        <w:t>http</w:t>
      </w:r>
      <w:r>
        <w:rPr>
          <w:rFonts w:hint="eastAsia"/>
          <w:color w:val="auto"/>
          <w:highlight w:val="none"/>
          <w:lang w:val="en-US" w:eastAsia="zh-CN"/>
        </w:rPr>
        <w:t>s</w:t>
      </w:r>
      <w:r>
        <w:rPr>
          <w:color w:val="auto"/>
          <w:highlight w:val="none"/>
        </w:rPr>
        <w:t>://zfcg.czt.zj.gov.cn/</w:t>
      </w:r>
      <w:r>
        <w:rPr>
          <w:color w:val="auto"/>
          <w:highlight w:val="none"/>
        </w:rPr>
        <w:fldChar w:fldCharType="end"/>
      </w:r>
      <w:r>
        <w:rPr>
          <w:color w:val="auto"/>
          <w:highlight w:val="none"/>
        </w:rPr>
        <w:t>）</w:t>
      </w:r>
    </w:p>
    <w:p>
      <w:pPr>
        <w:widowControl/>
        <w:adjustRightInd w:val="0"/>
        <w:snapToGrid w:val="0"/>
        <w:spacing w:line="348" w:lineRule="auto"/>
        <w:ind w:firstLine="420" w:firstLineChars="200"/>
        <w:jc w:val="left"/>
        <w:rPr>
          <w:rFonts w:hint="eastAsia"/>
          <w:color w:val="auto"/>
          <w:kern w:val="0"/>
          <w:szCs w:val="21"/>
          <w:highlight w:val="none"/>
        </w:rPr>
      </w:pPr>
      <w:r>
        <w:rPr>
          <w:rFonts w:hint="eastAsia"/>
          <w:color w:val="auto"/>
          <w:kern w:val="0"/>
          <w:szCs w:val="21"/>
          <w:highlight w:val="none"/>
        </w:rPr>
        <w:t>方式：在线获取</w:t>
      </w:r>
    </w:p>
    <w:p>
      <w:pPr>
        <w:widowControl/>
        <w:adjustRightInd w:val="0"/>
        <w:snapToGrid w:val="0"/>
        <w:spacing w:line="348"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采购文件获取截止时间之后，潜在供应商仍可获取采购文件。</w:t>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售价：免费</w:t>
      </w:r>
    </w:p>
    <w:p>
      <w:pPr>
        <w:widowControl/>
        <w:adjustRightInd w:val="0"/>
        <w:snapToGrid w:val="0"/>
        <w:spacing w:line="348"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本项目不提供纸制版</w:t>
      </w:r>
      <w:r>
        <w:rPr>
          <w:rFonts w:hint="eastAsia" w:ascii="宋体" w:hAnsi="宋体" w:cs="Arial"/>
          <w:bCs/>
          <w:color w:val="auto"/>
          <w:kern w:val="0"/>
          <w:sz w:val="22"/>
          <w:szCs w:val="22"/>
          <w:highlight w:val="none"/>
        </w:rPr>
        <w:t>采购文件</w:t>
      </w:r>
      <w:r>
        <w:rPr>
          <w:rFonts w:hint="eastAsia" w:ascii="宋体" w:hAnsi="宋体" w:cs="宋体"/>
          <w:color w:val="auto"/>
          <w:kern w:val="0"/>
          <w:szCs w:val="21"/>
          <w:highlight w:val="none"/>
        </w:rPr>
        <w:t>，供应商可通过“浙江政府采购网”在线获取（招标公告下方选取“潜在供应商”处“获取采购文件”）；供应商只有在“浙江政府采购网”完成获取采购文件申请并下载了采购文件后才视作依法获取采购文件（法律法规所指的供应商获取采购文件时间以供应商完成获取采购文件申请后下载采购文件的时间为准）。</w:t>
      </w:r>
    </w:p>
    <w:p>
      <w:pPr>
        <w:widowControl/>
        <w:adjustRightInd w:val="0"/>
        <w:snapToGrid w:val="0"/>
        <w:spacing w:line="348"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通过本公告下方“游客，浏览采购文件”下载的采购文件仅供浏览，不视作参与本项目</w:t>
      </w:r>
    </w:p>
    <w:p>
      <w:pPr>
        <w:widowControl/>
        <w:snapToGrid w:val="0"/>
        <w:spacing w:line="348" w:lineRule="auto"/>
        <w:rPr>
          <w:rFonts w:hint="eastAsia"/>
          <w:b/>
          <w:bCs/>
          <w:color w:val="auto"/>
          <w:kern w:val="0"/>
          <w:szCs w:val="21"/>
          <w:highlight w:val="none"/>
        </w:rPr>
      </w:pPr>
      <w:r>
        <w:rPr>
          <w:rFonts w:hint="eastAsia"/>
          <w:b/>
          <w:bCs/>
          <w:color w:val="auto"/>
          <w:kern w:val="0"/>
          <w:szCs w:val="21"/>
          <w:highlight w:val="none"/>
        </w:rPr>
        <w:t>四、响应文件提交</w:t>
      </w:r>
    </w:p>
    <w:p>
      <w:pPr>
        <w:widowControl/>
        <w:adjustRightInd w:val="0"/>
        <w:snapToGrid w:val="0"/>
        <w:spacing w:line="348" w:lineRule="auto"/>
        <w:ind w:firstLine="420" w:firstLineChars="200"/>
        <w:jc w:val="left"/>
        <w:rPr>
          <w:rFonts w:hint="eastAsia"/>
          <w:color w:val="auto"/>
          <w:kern w:val="0"/>
          <w:szCs w:val="21"/>
          <w:highlight w:val="none"/>
        </w:rPr>
      </w:pPr>
      <w:bookmarkStart w:id="19" w:name="_Toc35393625"/>
      <w:bookmarkStart w:id="20" w:name="_Toc28359007"/>
      <w:bookmarkStart w:id="21" w:name="_Toc28359084"/>
      <w:bookmarkStart w:id="22" w:name="_Toc35393794"/>
      <w:r>
        <w:rPr>
          <w:rFonts w:hint="eastAsia"/>
          <w:color w:val="auto"/>
          <w:kern w:val="0"/>
          <w:szCs w:val="21"/>
          <w:highlight w:val="none"/>
        </w:rPr>
        <w:t>1、截止时间：2025年</w:t>
      </w:r>
      <w:r>
        <w:rPr>
          <w:rFonts w:hint="eastAsia"/>
          <w:color w:val="auto"/>
          <w:kern w:val="0"/>
          <w:szCs w:val="21"/>
          <w:highlight w:val="none"/>
          <w:lang w:val="en-US" w:eastAsia="zh-CN"/>
        </w:rPr>
        <w:t>08</w:t>
      </w:r>
      <w:r>
        <w:rPr>
          <w:rFonts w:hint="eastAsia"/>
          <w:color w:val="auto"/>
          <w:kern w:val="0"/>
          <w:szCs w:val="21"/>
          <w:highlight w:val="none"/>
        </w:rPr>
        <w:t>月</w:t>
      </w:r>
      <w:r>
        <w:rPr>
          <w:rFonts w:hint="eastAsia"/>
          <w:color w:val="auto"/>
          <w:kern w:val="0"/>
          <w:szCs w:val="21"/>
          <w:highlight w:val="none"/>
          <w:lang w:val="en-US" w:eastAsia="zh-CN"/>
        </w:rPr>
        <w:t>01</w:t>
      </w:r>
      <w:r>
        <w:rPr>
          <w:rFonts w:hint="eastAsia"/>
          <w:color w:val="auto"/>
          <w:kern w:val="0"/>
          <w:szCs w:val="21"/>
          <w:highlight w:val="none"/>
        </w:rPr>
        <w:t>日</w:t>
      </w:r>
      <w:r>
        <w:rPr>
          <w:rFonts w:hint="eastAsia"/>
          <w:color w:val="auto"/>
          <w:kern w:val="0"/>
          <w:szCs w:val="21"/>
          <w:highlight w:val="none"/>
          <w:lang w:val="en-US" w:eastAsia="zh-CN"/>
        </w:rPr>
        <w:t>15</w:t>
      </w:r>
      <w:r>
        <w:rPr>
          <w:rFonts w:hint="eastAsia"/>
          <w:color w:val="auto"/>
          <w:kern w:val="0"/>
          <w:szCs w:val="21"/>
          <w:highlight w:val="none"/>
        </w:rPr>
        <w:t>点</w:t>
      </w:r>
      <w:r>
        <w:rPr>
          <w:rFonts w:hint="eastAsia"/>
          <w:color w:val="auto"/>
          <w:kern w:val="0"/>
          <w:szCs w:val="21"/>
          <w:highlight w:val="none"/>
          <w:lang w:val="en-US" w:eastAsia="zh-CN"/>
        </w:rPr>
        <w:t>00</w:t>
      </w:r>
      <w:r>
        <w:rPr>
          <w:rFonts w:hint="eastAsia"/>
          <w:color w:val="auto"/>
          <w:kern w:val="0"/>
          <w:szCs w:val="21"/>
          <w:highlight w:val="none"/>
        </w:rPr>
        <w:t>分（北京时间）</w:t>
      </w:r>
    </w:p>
    <w:p>
      <w:pPr>
        <w:widowControl/>
        <w:adjustRightInd w:val="0"/>
        <w:snapToGrid w:val="0"/>
        <w:spacing w:line="348" w:lineRule="auto"/>
        <w:ind w:firstLine="420" w:firstLineChars="200"/>
        <w:jc w:val="left"/>
        <w:rPr>
          <w:rFonts w:hint="eastAsia"/>
          <w:color w:val="auto"/>
          <w:kern w:val="0"/>
          <w:szCs w:val="21"/>
          <w:highlight w:val="none"/>
        </w:rPr>
      </w:pPr>
      <w:r>
        <w:rPr>
          <w:rFonts w:hint="eastAsia"/>
          <w:color w:val="auto"/>
          <w:kern w:val="0"/>
          <w:szCs w:val="21"/>
          <w:highlight w:val="none"/>
        </w:rPr>
        <w:t>2、地点（网址）：</w:t>
      </w:r>
      <w:r>
        <w:rPr>
          <w:color w:val="auto"/>
          <w:highlight w:val="none"/>
        </w:rPr>
        <w:t>浙江政府采购网（</w:t>
      </w:r>
      <w:r>
        <w:rPr>
          <w:color w:val="auto"/>
          <w:highlight w:val="none"/>
        </w:rPr>
        <w:fldChar w:fldCharType="begin"/>
      </w:r>
      <w:r>
        <w:rPr>
          <w:color w:val="auto"/>
          <w:highlight w:val="none"/>
        </w:rPr>
        <w:instrText xml:space="preserve"> HYPERLINK "http://zfcg.czt.zj.gov.cn/" \h </w:instrText>
      </w:r>
      <w:r>
        <w:rPr>
          <w:color w:val="auto"/>
          <w:highlight w:val="none"/>
        </w:rPr>
        <w:fldChar w:fldCharType="separate"/>
      </w:r>
      <w:r>
        <w:rPr>
          <w:color w:val="auto"/>
          <w:highlight w:val="none"/>
        </w:rPr>
        <w:t>http</w:t>
      </w:r>
      <w:r>
        <w:rPr>
          <w:rFonts w:hint="eastAsia"/>
          <w:color w:val="auto"/>
          <w:highlight w:val="none"/>
          <w:lang w:val="en-US" w:eastAsia="zh-CN"/>
        </w:rPr>
        <w:t>s</w:t>
      </w:r>
      <w:r>
        <w:rPr>
          <w:color w:val="auto"/>
          <w:highlight w:val="none"/>
        </w:rPr>
        <w:t>://zfcg.czt.zj.gov.cn/</w:t>
      </w:r>
      <w:r>
        <w:rPr>
          <w:color w:val="auto"/>
          <w:highlight w:val="none"/>
        </w:rPr>
        <w:fldChar w:fldCharType="end"/>
      </w:r>
      <w:r>
        <w:rPr>
          <w:color w:val="auto"/>
          <w:highlight w:val="none"/>
        </w:rPr>
        <w:t>）</w:t>
      </w:r>
      <w:r>
        <w:rPr>
          <w:rFonts w:hint="eastAsia"/>
          <w:color w:val="auto"/>
          <w:kern w:val="0"/>
          <w:szCs w:val="21"/>
          <w:highlight w:val="none"/>
        </w:rPr>
        <w:t>；</w:t>
      </w:r>
    </w:p>
    <w:p>
      <w:pPr>
        <w:widowControl/>
        <w:adjustRightInd w:val="0"/>
        <w:snapToGrid w:val="0"/>
        <w:spacing w:line="348" w:lineRule="auto"/>
        <w:ind w:firstLine="420" w:firstLineChars="200"/>
        <w:jc w:val="left"/>
        <w:rPr>
          <w:rFonts w:hint="eastAsia"/>
          <w:color w:val="auto"/>
          <w:kern w:val="0"/>
          <w:szCs w:val="21"/>
          <w:highlight w:val="none"/>
          <w:lang w:val="en-US" w:eastAsia="zh-CN"/>
        </w:rPr>
      </w:pPr>
      <w:r>
        <w:rPr>
          <w:rFonts w:hint="eastAsia"/>
          <w:color w:val="auto"/>
          <w:kern w:val="0"/>
          <w:szCs w:val="21"/>
          <w:highlight w:val="none"/>
        </w:rPr>
        <w:t>3、未按采购公告规定获取采购文件的潜在供应商，其投标将被拒绝</w:t>
      </w:r>
      <w:r>
        <w:rPr>
          <w:rFonts w:hint="eastAsia"/>
          <w:color w:val="auto"/>
          <w:kern w:val="0"/>
          <w:szCs w:val="21"/>
          <w:highlight w:val="none"/>
          <w:lang w:val="en-US" w:eastAsia="zh-CN"/>
        </w:rPr>
        <w:t>；</w:t>
      </w:r>
    </w:p>
    <w:bookmarkEnd w:id="19"/>
    <w:bookmarkEnd w:id="20"/>
    <w:bookmarkEnd w:id="21"/>
    <w:bookmarkEnd w:id="22"/>
    <w:p>
      <w:pPr>
        <w:widowControl/>
        <w:snapToGrid w:val="0"/>
        <w:spacing w:line="348" w:lineRule="auto"/>
        <w:rPr>
          <w:b/>
          <w:color w:val="auto"/>
          <w:highlight w:val="none"/>
        </w:rPr>
      </w:pPr>
      <w:r>
        <w:rPr>
          <w:b/>
          <w:color w:val="auto"/>
          <w:highlight w:val="none"/>
        </w:rPr>
        <w:t>五、开启</w:t>
      </w:r>
    </w:p>
    <w:p>
      <w:pPr>
        <w:widowControl/>
        <w:adjustRightInd w:val="0"/>
        <w:snapToGrid w:val="0"/>
        <w:spacing w:line="348" w:lineRule="auto"/>
        <w:ind w:firstLine="420" w:firstLineChars="200"/>
        <w:jc w:val="left"/>
        <w:rPr>
          <w:rFonts w:hint="eastAsia"/>
          <w:color w:val="auto"/>
          <w:kern w:val="0"/>
          <w:szCs w:val="21"/>
          <w:highlight w:val="none"/>
        </w:rPr>
      </w:pPr>
      <w:bookmarkStart w:id="23" w:name="_Toc35393795"/>
      <w:bookmarkStart w:id="24" w:name="_Toc35393626"/>
      <w:r>
        <w:rPr>
          <w:rFonts w:hint="eastAsia"/>
          <w:color w:val="auto"/>
          <w:kern w:val="0"/>
          <w:szCs w:val="21"/>
          <w:highlight w:val="none"/>
        </w:rPr>
        <w:t>1、开标时间：2025年</w:t>
      </w:r>
      <w:r>
        <w:rPr>
          <w:rFonts w:hint="eastAsia"/>
          <w:color w:val="auto"/>
          <w:kern w:val="0"/>
          <w:szCs w:val="21"/>
          <w:highlight w:val="none"/>
          <w:lang w:val="en-US" w:eastAsia="zh-CN"/>
        </w:rPr>
        <w:t>08</w:t>
      </w:r>
      <w:r>
        <w:rPr>
          <w:rFonts w:hint="eastAsia"/>
          <w:color w:val="auto"/>
          <w:kern w:val="0"/>
          <w:szCs w:val="21"/>
          <w:highlight w:val="none"/>
        </w:rPr>
        <w:t>月</w:t>
      </w:r>
      <w:r>
        <w:rPr>
          <w:rFonts w:hint="eastAsia"/>
          <w:color w:val="auto"/>
          <w:kern w:val="0"/>
          <w:szCs w:val="21"/>
          <w:highlight w:val="none"/>
          <w:lang w:val="en-US" w:eastAsia="zh-CN"/>
        </w:rPr>
        <w:t>01</w:t>
      </w:r>
      <w:r>
        <w:rPr>
          <w:rFonts w:hint="eastAsia"/>
          <w:color w:val="auto"/>
          <w:kern w:val="0"/>
          <w:szCs w:val="21"/>
          <w:highlight w:val="none"/>
        </w:rPr>
        <w:t>日</w:t>
      </w:r>
      <w:r>
        <w:rPr>
          <w:rFonts w:hint="eastAsia"/>
          <w:color w:val="auto"/>
          <w:kern w:val="0"/>
          <w:szCs w:val="21"/>
          <w:highlight w:val="none"/>
          <w:lang w:val="en-US" w:eastAsia="zh-CN"/>
        </w:rPr>
        <w:t>15</w:t>
      </w:r>
      <w:bookmarkStart w:id="114" w:name="_GoBack"/>
      <w:bookmarkEnd w:id="114"/>
      <w:r>
        <w:rPr>
          <w:rFonts w:hint="eastAsia"/>
          <w:color w:val="auto"/>
          <w:kern w:val="0"/>
          <w:szCs w:val="21"/>
          <w:highlight w:val="none"/>
        </w:rPr>
        <w:t>点</w:t>
      </w:r>
      <w:r>
        <w:rPr>
          <w:rFonts w:hint="eastAsia"/>
          <w:color w:val="auto"/>
          <w:kern w:val="0"/>
          <w:szCs w:val="21"/>
          <w:highlight w:val="none"/>
          <w:lang w:val="en-US" w:eastAsia="zh-CN"/>
        </w:rPr>
        <w:t>00</w:t>
      </w:r>
      <w:r>
        <w:rPr>
          <w:rFonts w:hint="eastAsia"/>
          <w:color w:val="auto"/>
          <w:kern w:val="0"/>
          <w:szCs w:val="21"/>
          <w:highlight w:val="none"/>
        </w:rPr>
        <w:t>分（北京时间）</w:t>
      </w:r>
    </w:p>
    <w:p>
      <w:pPr>
        <w:widowControl/>
        <w:adjustRightInd w:val="0"/>
        <w:snapToGrid w:val="0"/>
        <w:spacing w:line="348" w:lineRule="auto"/>
        <w:ind w:firstLine="420" w:firstLineChars="200"/>
        <w:jc w:val="left"/>
        <w:rPr>
          <w:rFonts w:hint="eastAsia"/>
          <w:color w:val="auto"/>
          <w:kern w:val="0"/>
          <w:szCs w:val="21"/>
          <w:highlight w:val="none"/>
        </w:rPr>
      </w:pPr>
      <w:r>
        <w:rPr>
          <w:rFonts w:hint="eastAsia"/>
          <w:color w:val="auto"/>
          <w:kern w:val="0"/>
          <w:szCs w:val="21"/>
          <w:highlight w:val="none"/>
        </w:rPr>
        <w:t>2、开标地点（网址）：</w:t>
      </w:r>
      <w:r>
        <w:rPr>
          <w:color w:val="auto"/>
          <w:highlight w:val="none"/>
        </w:rPr>
        <w:t>浙江政府采购网（</w:t>
      </w:r>
      <w:r>
        <w:rPr>
          <w:color w:val="auto"/>
          <w:highlight w:val="none"/>
        </w:rPr>
        <w:fldChar w:fldCharType="begin"/>
      </w:r>
      <w:r>
        <w:rPr>
          <w:color w:val="auto"/>
          <w:highlight w:val="none"/>
        </w:rPr>
        <w:instrText xml:space="preserve"> HYPERLINK "http://zfcg.czt.zj.gov.cn/" \h </w:instrText>
      </w:r>
      <w:r>
        <w:rPr>
          <w:color w:val="auto"/>
          <w:highlight w:val="none"/>
        </w:rPr>
        <w:fldChar w:fldCharType="separate"/>
      </w:r>
      <w:r>
        <w:rPr>
          <w:color w:val="auto"/>
          <w:highlight w:val="none"/>
        </w:rPr>
        <w:t>http</w:t>
      </w:r>
      <w:r>
        <w:rPr>
          <w:rFonts w:hint="eastAsia"/>
          <w:color w:val="auto"/>
          <w:highlight w:val="none"/>
          <w:lang w:val="en-US" w:eastAsia="zh-CN"/>
        </w:rPr>
        <w:t>s</w:t>
      </w:r>
      <w:r>
        <w:rPr>
          <w:color w:val="auto"/>
          <w:highlight w:val="none"/>
        </w:rPr>
        <w:t>://zfcg.czt.zj.gov.cn/</w:t>
      </w:r>
      <w:r>
        <w:rPr>
          <w:color w:val="auto"/>
          <w:highlight w:val="none"/>
        </w:rPr>
        <w:fldChar w:fldCharType="end"/>
      </w:r>
      <w:r>
        <w:rPr>
          <w:color w:val="auto"/>
          <w:highlight w:val="none"/>
        </w:rPr>
        <w:t>）</w:t>
      </w:r>
      <w:r>
        <w:rPr>
          <w:rFonts w:hint="eastAsia"/>
          <w:color w:val="auto"/>
          <w:kern w:val="0"/>
          <w:szCs w:val="21"/>
          <w:highlight w:val="none"/>
        </w:rPr>
        <w:t>上开启招标响应文件；</w:t>
      </w:r>
    </w:p>
    <w:p>
      <w:pPr>
        <w:widowControl/>
        <w:adjustRightInd w:val="0"/>
        <w:snapToGrid w:val="0"/>
        <w:spacing w:line="348" w:lineRule="auto"/>
        <w:ind w:firstLine="420" w:firstLineChars="200"/>
        <w:jc w:val="left"/>
        <w:rPr>
          <w:rFonts w:hint="eastAsia"/>
          <w:color w:val="auto"/>
          <w:kern w:val="0"/>
          <w:szCs w:val="21"/>
          <w:highlight w:val="none"/>
        </w:rPr>
      </w:pPr>
      <w:r>
        <w:rPr>
          <w:rFonts w:hint="eastAsia"/>
          <w:color w:val="auto"/>
          <w:kern w:val="0"/>
          <w:szCs w:val="21"/>
          <w:highlight w:val="none"/>
        </w:rPr>
        <w:t>3、开启时间后30分钟内，供应商须登录政府采购云平台，用“项目采购-开标评标”功能解密采购响应文件（线上）</w:t>
      </w:r>
    </w:p>
    <w:p>
      <w:pPr>
        <w:widowControl/>
        <w:adjustRightInd w:val="0"/>
        <w:snapToGrid w:val="0"/>
        <w:spacing w:line="348" w:lineRule="auto"/>
        <w:jc w:val="left"/>
        <w:rPr>
          <w:rFonts w:hint="eastAsia"/>
          <w:b/>
          <w:bCs/>
          <w:color w:val="auto"/>
          <w:kern w:val="0"/>
          <w:szCs w:val="21"/>
          <w:highlight w:val="none"/>
        </w:rPr>
      </w:pPr>
      <w:r>
        <w:rPr>
          <w:rFonts w:hint="eastAsia"/>
          <w:b/>
          <w:bCs/>
          <w:color w:val="auto"/>
          <w:kern w:val="0"/>
          <w:szCs w:val="21"/>
          <w:highlight w:val="none"/>
        </w:rPr>
        <w:t>六、公告期限</w:t>
      </w:r>
    </w:p>
    <w:p>
      <w:pPr>
        <w:widowControl/>
        <w:adjustRightInd w:val="0"/>
        <w:snapToGrid w:val="0"/>
        <w:spacing w:line="348" w:lineRule="auto"/>
        <w:ind w:firstLine="420" w:firstLineChars="200"/>
        <w:jc w:val="left"/>
        <w:rPr>
          <w:rFonts w:hint="eastAsia"/>
          <w:color w:val="auto"/>
          <w:kern w:val="0"/>
          <w:szCs w:val="21"/>
          <w:highlight w:val="none"/>
        </w:rPr>
      </w:pPr>
      <w:r>
        <w:rPr>
          <w:rFonts w:hint="eastAsia"/>
          <w:color w:val="auto"/>
          <w:kern w:val="0"/>
          <w:szCs w:val="21"/>
          <w:highlight w:val="none"/>
        </w:rPr>
        <w:t>自本公告发布之日起 5个工作日。</w:t>
      </w:r>
    </w:p>
    <w:p>
      <w:pPr>
        <w:widowControl/>
        <w:numPr>
          <w:ilvl w:val="0"/>
          <w:numId w:val="3"/>
        </w:numPr>
        <w:adjustRightInd w:val="0"/>
        <w:snapToGrid w:val="0"/>
        <w:spacing w:line="348" w:lineRule="auto"/>
        <w:jc w:val="left"/>
        <w:rPr>
          <w:rFonts w:hint="eastAsia"/>
          <w:b/>
          <w:bCs/>
          <w:color w:val="auto"/>
          <w:kern w:val="0"/>
          <w:szCs w:val="21"/>
          <w:highlight w:val="none"/>
        </w:rPr>
      </w:pPr>
      <w:r>
        <w:rPr>
          <w:rFonts w:hint="eastAsia"/>
          <w:b/>
          <w:bCs/>
          <w:color w:val="auto"/>
          <w:kern w:val="0"/>
          <w:szCs w:val="21"/>
          <w:highlight w:val="none"/>
        </w:rPr>
        <w:t>其他补充事宜</w:t>
      </w:r>
      <w:bookmarkEnd w:id="23"/>
      <w:bookmarkEnd w:id="24"/>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1、投标保证金：不需要递交保证金。</w:t>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2、质疑和投诉：</w:t>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2.1未按采购公告规定获取采购文件的潜在供应商不得对采购文件提出质疑，其投标响应文件将被拒绝；</w:t>
      </w:r>
    </w:p>
    <w:p>
      <w:pPr>
        <w:widowControl/>
        <w:snapToGrid w:val="0"/>
        <w:spacing w:line="348" w:lineRule="auto"/>
        <w:ind w:firstLine="420" w:firstLineChars="200"/>
        <w:rPr>
          <w:rFonts w:hint="eastAsia"/>
          <w:color w:val="auto"/>
          <w:highlight w:val="none"/>
        </w:rPr>
      </w:pPr>
      <w:r>
        <w:rPr>
          <w:rFonts w:hint="eastAsia"/>
          <w:color w:val="auto"/>
          <w:kern w:val="0"/>
          <w:szCs w:val="21"/>
          <w:highlight w:val="none"/>
        </w:rPr>
        <w:t>2.2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2.3供应商认为采购文件使自己的权益受到损害的，可以自获取</w:t>
      </w:r>
      <w:r>
        <w:rPr>
          <w:rFonts w:hint="eastAsia"/>
          <w:color w:val="auto"/>
          <w:highlight w:val="none"/>
        </w:rPr>
        <w:t>采购</w:t>
      </w:r>
      <w:r>
        <w:rPr>
          <w:rFonts w:hint="eastAsia"/>
          <w:color w:val="auto"/>
          <w:kern w:val="0"/>
          <w:szCs w:val="21"/>
          <w:highlight w:val="none"/>
        </w:rPr>
        <w:t>文件之日或者</w:t>
      </w:r>
      <w:r>
        <w:rPr>
          <w:rFonts w:hint="eastAsia"/>
          <w:color w:val="auto"/>
          <w:highlight w:val="none"/>
        </w:rPr>
        <w:t>采购</w:t>
      </w:r>
      <w:r>
        <w:rPr>
          <w:rFonts w:hint="eastAsia"/>
          <w:color w:val="auto"/>
          <w:kern w:val="0"/>
          <w:szCs w:val="21"/>
          <w:highlight w:val="none"/>
        </w:rPr>
        <w:t>文件公告期限届满之日（公告期限届满后获取</w:t>
      </w:r>
      <w:r>
        <w:rPr>
          <w:rFonts w:hint="eastAsia"/>
          <w:color w:val="auto"/>
          <w:highlight w:val="none"/>
        </w:rPr>
        <w:t>采购</w:t>
      </w:r>
      <w:r>
        <w:rPr>
          <w:rFonts w:hint="eastAsia"/>
          <w:color w:val="auto"/>
          <w:kern w:val="0"/>
          <w:szCs w:val="21"/>
          <w:highlight w:val="none"/>
        </w:rPr>
        <w:t>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3、在线投标响应（电子投标）说明</w:t>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 xml:space="preserve">3.1供应商应在投标前完成 CA 数字证书办理。（办理流程详见： </w:t>
      </w:r>
      <w:r>
        <w:rPr>
          <w:rFonts w:hint="eastAsia"/>
          <w:color w:val="auto"/>
          <w:kern w:val="0"/>
          <w:szCs w:val="21"/>
          <w:highlight w:val="none"/>
        </w:rPr>
        <w:fldChar w:fldCharType="begin"/>
      </w:r>
      <w:r>
        <w:rPr>
          <w:rFonts w:hint="eastAsia"/>
          <w:color w:val="auto"/>
          <w:kern w:val="0"/>
          <w:szCs w:val="21"/>
          <w:highlight w:val="none"/>
        </w:rPr>
        <w:instrText xml:space="preserve"> HYPERLINK "http://zfcg.czt.zj.gov.cn/bidClientTemplate/2019-05-27/12945.html" \h </w:instrText>
      </w:r>
      <w:r>
        <w:rPr>
          <w:rFonts w:hint="eastAsia"/>
          <w:color w:val="auto"/>
          <w:kern w:val="0"/>
          <w:szCs w:val="21"/>
          <w:highlight w:val="none"/>
        </w:rPr>
        <w:fldChar w:fldCharType="separate"/>
      </w:r>
      <w:r>
        <w:rPr>
          <w:rFonts w:hint="eastAsia"/>
          <w:color w:val="auto"/>
          <w:kern w:val="0"/>
          <w:szCs w:val="21"/>
          <w:highlight w:val="none"/>
        </w:rPr>
        <w:t>http://zfcg.czt.zj.gov.cn/bidClientTemplate/2019-05-27/12945.html</w:t>
      </w:r>
      <w:r>
        <w:rPr>
          <w:rFonts w:hint="eastAsia"/>
          <w:color w:val="auto"/>
          <w:kern w:val="0"/>
          <w:szCs w:val="21"/>
          <w:highlight w:val="none"/>
        </w:rPr>
        <w:fldChar w:fldCharType="end"/>
      </w:r>
      <w:r>
        <w:rPr>
          <w:rFonts w:hint="eastAsia"/>
          <w:color w:val="auto"/>
          <w:kern w:val="0"/>
          <w:szCs w:val="21"/>
          <w:highlight w:val="none"/>
        </w:rPr>
        <w:t>）。</w:t>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 xml:space="preserve">3.2供应商应安装“政采云投标客户端”，电子投标工具请供应商自行前往浙江政府 采 购 网 下 载 并 安 装 ，（ 下 载 网 址 ： </w:t>
      </w:r>
      <w:r>
        <w:rPr>
          <w:rFonts w:hint="eastAsia"/>
          <w:color w:val="auto"/>
          <w:kern w:val="0"/>
          <w:szCs w:val="21"/>
          <w:highlight w:val="none"/>
        </w:rPr>
        <w:fldChar w:fldCharType="begin"/>
      </w:r>
      <w:r>
        <w:rPr>
          <w:rFonts w:hint="eastAsia"/>
          <w:color w:val="auto"/>
          <w:kern w:val="0"/>
          <w:szCs w:val="21"/>
          <w:highlight w:val="none"/>
        </w:rPr>
        <w:instrText xml:space="preserve"> HYPERLINK "http://zfcg.czt.zj.gov.cn/bidClientTemplate/2019-09-24/12975.html" \h </w:instrText>
      </w:r>
      <w:r>
        <w:rPr>
          <w:rFonts w:hint="eastAsia"/>
          <w:color w:val="auto"/>
          <w:kern w:val="0"/>
          <w:szCs w:val="21"/>
          <w:highlight w:val="none"/>
        </w:rPr>
        <w:fldChar w:fldCharType="separate"/>
      </w:r>
      <w:r>
        <w:rPr>
          <w:rFonts w:hint="eastAsia"/>
          <w:color w:val="auto"/>
          <w:kern w:val="0"/>
          <w:szCs w:val="21"/>
          <w:highlight w:val="none"/>
        </w:rPr>
        <w:t>http://zfcg.czt.zj.gov.cn/bidClientTemplate/2019-09-24/12975.html</w:t>
      </w:r>
      <w:r>
        <w:rPr>
          <w:rFonts w:hint="eastAsia"/>
          <w:color w:val="auto"/>
          <w:kern w:val="0"/>
          <w:szCs w:val="21"/>
          <w:highlight w:val="none"/>
        </w:rPr>
        <w:fldChar w:fldCharType="end"/>
      </w:r>
      <w:r>
        <w:rPr>
          <w:rFonts w:hint="eastAsia"/>
          <w:color w:val="auto"/>
          <w:kern w:val="0"/>
          <w:szCs w:val="21"/>
          <w:highlight w:val="none"/>
        </w:rPr>
        <w:t>）。</w:t>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3.3电子交易具体流程详见操作指南：登录“政府采购云平台（</w:t>
      </w:r>
      <w:r>
        <w:rPr>
          <w:rFonts w:hint="eastAsia"/>
          <w:color w:val="auto"/>
          <w:kern w:val="0"/>
          <w:szCs w:val="21"/>
          <w:highlight w:val="none"/>
        </w:rPr>
        <w:fldChar w:fldCharType="begin"/>
      </w:r>
      <w:r>
        <w:rPr>
          <w:rFonts w:hint="eastAsia"/>
          <w:color w:val="auto"/>
          <w:kern w:val="0"/>
          <w:szCs w:val="21"/>
          <w:highlight w:val="none"/>
        </w:rPr>
        <w:instrText xml:space="preserve"> HYPERLINK "http://www.zcygov.cn/" \h </w:instrText>
      </w:r>
      <w:r>
        <w:rPr>
          <w:rFonts w:hint="eastAsia"/>
          <w:color w:val="auto"/>
          <w:kern w:val="0"/>
          <w:szCs w:val="21"/>
          <w:highlight w:val="none"/>
        </w:rPr>
        <w:fldChar w:fldCharType="separate"/>
      </w:r>
      <w:r>
        <w:rPr>
          <w:rFonts w:hint="eastAsia"/>
          <w:color w:val="auto"/>
          <w:kern w:val="0"/>
          <w:szCs w:val="21"/>
          <w:highlight w:val="none"/>
        </w:rPr>
        <w:t>www.zcygov.cn</w:t>
      </w:r>
      <w:r>
        <w:rPr>
          <w:rFonts w:hint="eastAsia"/>
          <w:color w:val="auto"/>
          <w:kern w:val="0"/>
          <w:szCs w:val="21"/>
          <w:highlight w:val="none"/>
        </w:rPr>
        <w:fldChar w:fldCharType="end"/>
      </w:r>
      <w:r>
        <w:rPr>
          <w:rFonts w:hint="eastAsia"/>
          <w:color w:val="auto"/>
          <w:kern w:val="0"/>
          <w:szCs w:val="21"/>
          <w:highlight w:val="none"/>
        </w:rPr>
        <w:t>）”， 从首页-服务中心-帮助文档-项目采购-电子招投标，查看文档和视频。</w:t>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3.4如有疑问，可致电政府采购云平台技术支持热线咨询，联系方式：95763。</w:t>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3.5投标供应商在“政府采购云平台”完成“电子加密投标文件”的上传递交之外， 还可以（快递邮寄形式，以采购代理机构联系人签收时间为准）在投标截止时间前递交以介质（U 盘）存储的数据电文形式的“备份投标文件”。</w:t>
      </w:r>
    </w:p>
    <w:p>
      <w:pPr>
        <w:widowControl/>
        <w:snapToGrid w:val="0"/>
        <w:spacing w:line="348" w:lineRule="auto"/>
        <w:ind w:firstLine="420" w:firstLineChars="200"/>
        <w:rPr>
          <w:rFonts w:hint="eastAsia"/>
          <w:color w:val="auto"/>
          <w:kern w:val="0"/>
          <w:szCs w:val="21"/>
          <w:highlight w:val="none"/>
        </w:rPr>
      </w:pPr>
      <w:bookmarkStart w:id="25" w:name="_Toc28359085"/>
      <w:bookmarkStart w:id="26" w:name="_Toc28359008"/>
      <w:bookmarkStart w:id="27" w:name="_Toc35393796"/>
      <w:bookmarkStart w:id="28" w:name="_Toc35393627"/>
      <w:r>
        <w:rPr>
          <w:rFonts w:hint="eastAsia"/>
          <w:color w:val="auto"/>
          <w:kern w:val="0"/>
          <w:szCs w:val="21"/>
          <w:highlight w:val="none"/>
        </w:rPr>
        <w:t>4.其他事项</w:t>
      </w:r>
    </w:p>
    <w:p>
      <w:pPr>
        <w:widowControl/>
        <w:adjustRightInd w:val="0"/>
        <w:snapToGrid w:val="0"/>
        <w:spacing w:line="348" w:lineRule="auto"/>
        <w:ind w:firstLine="420" w:firstLineChars="200"/>
        <w:jc w:val="left"/>
        <w:rPr>
          <w:rFonts w:hint="eastAsia" w:ascii="宋体" w:hAnsi="宋体" w:cs="Arial"/>
          <w:bCs/>
          <w:color w:val="auto"/>
          <w:kern w:val="0"/>
          <w:szCs w:val="21"/>
          <w:highlight w:val="none"/>
        </w:rPr>
      </w:pPr>
      <w:r>
        <w:rPr>
          <w:rFonts w:hint="eastAsia" w:ascii="宋体" w:hAnsi="宋体" w:cs="Arial"/>
          <w:bCs/>
          <w:color w:val="auto"/>
          <w:kern w:val="0"/>
          <w:szCs w:val="21"/>
          <w:highlight w:val="none"/>
        </w:rPr>
        <w:t>4.1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pPr>
        <w:pStyle w:val="53"/>
        <w:spacing w:after="0" w:line="348" w:lineRule="auto"/>
        <w:ind w:left="0" w:leftChars="0"/>
        <w:rPr>
          <w:rFonts w:cs="Arial"/>
          <w:bCs/>
          <w:color w:val="auto"/>
          <w:kern w:val="0"/>
          <w:szCs w:val="21"/>
          <w:highlight w:val="none"/>
        </w:rPr>
      </w:pPr>
      <w:r>
        <w:rPr>
          <w:rFonts w:hint="eastAsia" w:cs="Arial"/>
          <w:bCs/>
          <w:color w:val="auto"/>
          <w:kern w:val="0"/>
          <w:szCs w:val="21"/>
          <w:highlight w:val="none"/>
        </w:rPr>
        <w:t>4.2为支持和促进中小企业发展，有需要的中标供应商可根据需要申请办理政府采购合同贷款（以下简称“政采贷”），具体要求、条件和操作教程可通过政采云首页右上角——网站导航——金融服务查看，也可拨打政采云客服热线95763咨询，或向各地已开通政采贷的银行咨询办理。</w:t>
      </w:r>
    </w:p>
    <w:p>
      <w:pPr>
        <w:widowControl/>
        <w:adjustRightInd w:val="0"/>
        <w:snapToGrid w:val="0"/>
        <w:spacing w:line="348" w:lineRule="auto"/>
        <w:ind w:firstLine="420" w:firstLineChars="200"/>
        <w:jc w:val="left"/>
        <w:rPr>
          <w:rFonts w:hint="eastAsia" w:ascii="宋体" w:hAnsi="宋体" w:cs="Arial"/>
          <w:bCs/>
          <w:color w:val="auto"/>
          <w:kern w:val="0"/>
          <w:szCs w:val="21"/>
          <w:highlight w:val="none"/>
        </w:rPr>
      </w:pPr>
      <w:r>
        <w:rPr>
          <w:rFonts w:hint="eastAsia" w:ascii="宋体" w:hAnsi="宋体" w:cs="Arial"/>
          <w:bCs/>
          <w:color w:val="auto"/>
          <w:kern w:val="0"/>
          <w:szCs w:val="21"/>
          <w:highlight w:val="none"/>
        </w:rPr>
        <w:t>4.3采购信息发布媒介：</w:t>
      </w:r>
    </w:p>
    <w:p>
      <w:pPr>
        <w:widowControl/>
        <w:adjustRightInd w:val="0"/>
        <w:snapToGrid w:val="0"/>
        <w:spacing w:line="348" w:lineRule="auto"/>
        <w:ind w:firstLine="420" w:firstLineChars="200"/>
        <w:jc w:val="left"/>
        <w:rPr>
          <w:rFonts w:hint="eastAsia" w:ascii="宋体" w:hAnsi="宋体" w:cs="Arial"/>
          <w:bCs/>
          <w:color w:val="auto"/>
          <w:kern w:val="0"/>
          <w:szCs w:val="21"/>
          <w:highlight w:val="none"/>
        </w:rPr>
      </w:pPr>
      <w:r>
        <w:rPr>
          <w:rFonts w:hint="eastAsia" w:ascii="宋体" w:hAnsi="宋体" w:cs="Arial"/>
          <w:bCs/>
          <w:color w:val="auto"/>
          <w:kern w:val="0"/>
          <w:szCs w:val="21"/>
          <w:highlight w:val="none"/>
        </w:rPr>
        <w:t>浙江政府采购网（http://zfcg.czt.zj.gov.cn/）；</w:t>
      </w:r>
    </w:p>
    <w:p>
      <w:pPr>
        <w:widowControl/>
        <w:snapToGrid w:val="0"/>
        <w:spacing w:line="348" w:lineRule="auto"/>
        <w:rPr>
          <w:rFonts w:hint="eastAsia"/>
          <w:b/>
          <w:bCs/>
          <w:color w:val="auto"/>
          <w:kern w:val="0"/>
          <w:szCs w:val="21"/>
          <w:highlight w:val="none"/>
        </w:rPr>
      </w:pPr>
      <w:r>
        <w:rPr>
          <w:rFonts w:hint="eastAsia"/>
          <w:b/>
          <w:bCs/>
          <w:color w:val="auto"/>
          <w:kern w:val="0"/>
          <w:szCs w:val="21"/>
          <w:highlight w:val="none"/>
        </w:rPr>
        <w:t>八、对本次招标提出询问，请按以下方式联系。</w:t>
      </w:r>
      <w:bookmarkEnd w:id="25"/>
      <w:bookmarkEnd w:id="26"/>
      <w:bookmarkEnd w:id="27"/>
      <w:bookmarkEnd w:id="28"/>
    </w:p>
    <w:p>
      <w:pPr>
        <w:spacing w:line="348" w:lineRule="auto"/>
        <w:ind w:firstLine="420"/>
        <w:rPr>
          <w:rFonts w:ascii="宋体" w:hAnsi="宋体" w:cs="宋体"/>
          <w:color w:val="auto"/>
          <w:szCs w:val="21"/>
          <w:highlight w:val="none"/>
        </w:rPr>
      </w:pPr>
      <w:r>
        <w:rPr>
          <w:rFonts w:hint="eastAsia" w:ascii="宋体" w:hAnsi="宋体" w:cs="宋体"/>
          <w:color w:val="auto"/>
          <w:szCs w:val="21"/>
          <w:highlight w:val="none"/>
        </w:rPr>
        <w:t>1、采购人信息</w:t>
      </w:r>
    </w:p>
    <w:p>
      <w:pPr>
        <w:spacing w:line="348" w:lineRule="auto"/>
        <w:ind w:firstLine="420"/>
        <w:rPr>
          <w:rFonts w:ascii="宋体" w:hAnsi="宋体" w:cs="宋体"/>
          <w:color w:val="auto"/>
          <w:szCs w:val="21"/>
          <w:highlight w:val="none"/>
        </w:rPr>
      </w:pPr>
      <w:r>
        <w:rPr>
          <w:rFonts w:hint="eastAsia" w:ascii="宋体" w:hAnsi="宋体" w:cs="宋体"/>
          <w:color w:val="auto"/>
          <w:szCs w:val="21"/>
          <w:highlight w:val="none"/>
        </w:rPr>
        <w:t>名 称：龙游县自然资源和规划局</w:t>
      </w:r>
    </w:p>
    <w:p>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地点： 龙游县幸福路148号</w:t>
      </w:r>
    </w:p>
    <w:p>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项目联系人：方先生 </w:t>
      </w:r>
    </w:p>
    <w:p>
      <w:pPr>
        <w:spacing w:line="348"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联系电话：13515703041</w:t>
      </w:r>
    </w:p>
    <w:p>
      <w:pPr>
        <w:spacing w:line="348"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rPr>
        <w:t>方先生</w:t>
      </w:r>
      <w:r>
        <w:rPr>
          <w:rFonts w:hint="eastAsia" w:ascii="宋体" w:hAnsi="宋体" w:eastAsia="宋体" w:cs="宋体"/>
          <w:color w:val="auto"/>
          <w:szCs w:val="21"/>
          <w:highlight w:val="none"/>
        </w:rPr>
        <w:t>        </w:t>
      </w:r>
    </w:p>
    <w:p>
      <w:pPr>
        <w:spacing w:line="348"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质疑联系方式：13515703041</w:t>
      </w:r>
    </w:p>
    <w:p>
      <w:pPr>
        <w:spacing w:line="348" w:lineRule="auto"/>
        <w:ind w:firstLine="420"/>
        <w:rPr>
          <w:rFonts w:hint="eastAsia"/>
          <w:color w:val="auto"/>
          <w:kern w:val="0"/>
          <w:szCs w:val="21"/>
          <w:highlight w:val="none"/>
        </w:rPr>
      </w:pPr>
      <w:r>
        <w:rPr>
          <w:rFonts w:hint="eastAsia" w:ascii="宋体" w:hAnsi="宋体" w:cs="Arial"/>
          <w:color w:val="auto"/>
          <w:sz w:val="24"/>
          <w:highlight w:val="none"/>
        </w:rPr>
        <w:t xml:space="preserve"> </w:t>
      </w:r>
      <w:r>
        <w:rPr>
          <w:rFonts w:hint="eastAsia"/>
          <w:color w:val="auto"/>
          <w:kern w:val="0"/>
          <w:szCs w:val="21"/>
          <w:highlight w:val="none"/>
        </w:rPr>
        <w:t>2、采购代理机构名称</w:t>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名称：泰宇建筑工程技术咨询有限公司</w:t>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地点：龙游县环城西路144号新华书店四楼</w:t>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 xml:space="preserve">项目联系人：赵女士    </w:t>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联系方式：15906816828</w:t>
      </w:r>
    </w:p>
    <w:p>
      <w:pPr>
        <w:widowControl/>
        <w:snapToGrid w:val="0"/>
        <w:spacing w:line="348" w:lineRule="auto"/>
        <w:ind w:firstLine="420" w:firstLineChars="200"/>
        <w:rPr>
          <w:rFonts w:hint="eastAsia"/>
          <w:color w:val="auto"/>
          <w:highlight w:val="none"/>
        </w:rPr>
      </w:pPr>
      <w:r>
        <w:rPr>
          <w:rFonts w:hint="eastAsia"/>
          <w:color w:val="auto"/>
          <w:kern w:val="0"/>
          <w:szCs w:val="21"/>
          <w:highlight w:val="none"/>
        </w:rPr>
        <w:t>电子邮箱：</w:t>
      </w:r>
      <w:r>
        <w:rPr>
          <w:rFonts w:hint="eastAsia"/>
          <w:color w:val="auto"/>
          <w:kern w:val="0"/>
          <w:szCs w:val="21"/>
          <w:highlight w:val="none"/>
        </w:rPr>
        <w:fldChar w:fldCharType="begin"/>
      </w:r>
      <w:r>
        <w:rPr>
          <w:rFonts w:hint="eastAsia"/>
          <w:color w:val="auto"/>
          <w:kern w:val="0"/>
          <w:szCs w:val="21"/>
          <w:highlight w:val="none"/>
        </w:rPr>
        <w:instrText xml:space="preserve"> HYPERLINK "mailto:18958139919@163.com" </w:instrText>
      </w:r>
      <w:r>
        <w:rPr>
          <w:rFonts w:hint="eastAsia"/>
          <w:color w:val="auto"/>
          <w:kern w:val="0"/>
          <w:szCs w:val="21"/>
          <w:highlight w:val="none"/>
        </w:rPr>
        <w:fldChar w:fldCharType="separate"/>
      </w:r>
      <w:r>
        <w:rPr>
          <w:rFonts w:hint="eastAsia"/>
          <w:color w:val="auto"/>
          <w:kern w:val="0"/>
          <w:szCs w:val="21"/>
          <w:highlight w:val="none"/>
        </w:rPr>
        <w:t>422367577@qq.com</w:t>
      </w:r>
      <w:r>
        <w:rPr>
          <w:rFonts w:hint="eastAsia"/>
          <w:color w:val="auto"/>
          <w:kern w:val="0"/>
          <w:szCs w:val="21"/>
          <w:highlight w:val="none"/>
        </w:rPr>
        <w:fldChar w:fldCharType="end"/>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质疑受理人：赵先生</w:t>
      </w:r>
    </w:p>
    <w:p>
      <w:pPr>
        <w:widowControl/>
        <w:snapToGrid w:val="0"/>
        <w:spacing w:line="348" w:lineRule="auto"/>
        <w:ind w:firstLine="420" w:firstLineChars="200"/>
        <w:rPr>
          <w:color w:val="auto"/>
          <w:highlight w:val="none"/>
        </w:rPr>
      </w:pPr>
      <w:r>
        <w:rPr>
          <w:rFonts w:hint="eastAsia"/>
          <w:color w:val="auto"/>
          <w:kern w:val="0"/>
          <w:szCs w:val="21"/>
          <w:highlight w:val="none"/>
        </w:rPr>
        <w:t>联系电话：0570-7186100</w:t>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3、同级政府采购监督管理部门</w:t>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名称：龙游县财政局政府采购监管科 </w:t>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地址：龙游县莲湖路69号</w:t>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联系人：严先生</w:t>
      </w:r>
    </w:p>
    <w:p>
      <w:pPr>
        <w:widowControl/>
        <w:snapToGrid w:val="0"/>
        <w:spacing w:line="348" w:lineRule="auto"/>
        <w:ind w:firstLine="420" w:firstLineChars="200"/>
        <w:rPr>
          <w:rFonts w:hint="eastAsia"/>
          <w:color w:val="auto"/>
          <w:kern w:val="0"/>
          <w:szCs w:val="21"/>
          <w:highlight w:val="none"/>
        </w:rPr>
      </w:pPr>
      <w:r>
        <w:rPr>
          <w:rFonts w:hint="eastAsia"/>
          <w:color w:val="auto"/>
          <w:kern w:val="0"/>
          <w:szCs w:val="21"/>
          <w:highlight w:val="none"/>
        </w:rPr>
        <w:t>监督投诉电话：0570-7011687</w:t>
      </w:r>
    </w:p>
    <w:p>
      <w:pPr>
        <w:widowControl/>
        <w:snapToGrid w:val="0"/>
        <w:spacing w:line="348" w:lineRule="auto"/>
        <w:ind w:firstLine="420" w:firstLineChars="200"/>
        <w:rPr>
          <w:rFonts w:hint="eastAsia" w:ascii="宋体" w:hAnsi="宋体" w:cs="宋体"/>
          <w:b/>
          <w:color w:val="auto"/>
          <w:sz w:val="32"/>
          <w:highlight w:val="none"/>
        </w:rPr>
      </w:pPr>
      <w:r>
        <w:rPr>
          <w:rFonts w:hint="eastAsia"/>
          <w:color w:val="auto"/>
          <w:kern w:val="0"/>
          <w:szCs w:val="21"/>
          <w:highlight w:val="none"/>
        </w:rPr>
        <w:t>2025年</w:t>
      </w:r>
      <w:r>
        <w:rPr>
          <w:rFonts w:hint="eastAsia"/>
          <w:color w:val="auto"/>
          <w:kern w:val="0"/>
          <w:szCs w:val="21"/>
          <w:highlight w:val="none"/>
          <w:lang w:val="en-US" w:eastAsia="zh-CN"/>
        </w:rPr>
        <w:t>07</w:t>
      </w:r>
      <w:r>
        <w:rPr>
          <w:rFonts w:hint="eastAsia"/>
          <w:color w:val="auto"/>
          <w:kern w:val="0"/>
          <w:szCs w:val="21"/>
          <w:highlight w:val="none"/>
        </w:rPr>
        <w:t>月</w:t>
      </w:r>
      <w:r>
        <w:rPr>
          <w:rFonts w:hint="eastAsia"/>
          <w:color w:val="auto"/>
          <w:kern w:val="0"/>
          <w:szCs w:val="21"/>
          <w:highlight w:val="none"/>
          <w:lang w:val="en-US" w:eastAsia="zh-CN"/>
        </w:rPr>
        <w:t>10</w:t>
      </w:r>
      <w:r>
        <w:rPr>
          <w:rFonts w:hint="eastAsia"/>
          <w:color w:val="auto"/>
          <w:kern w:val="0"/>
          <w:szCs w:val="21"/>
          <w:highlight w:val="none"/>
        </w:rPr>
        <w:t>日</w:t>
      </w:r>
    </w:p>
    <w:p>
      <w:pPr>
        <w:widowControl/>
        <w:spacing w:before="60" w:after="60" w:line="276" w:lineRule="auto"/>
        <w:ind w:right="60"/>
        <w:jc w:val="center"/>
        <w:outlineLvl w:val="0"/>
        <w:rPr>
          <w:rFonts w:hint="eastAsia" w:ascii="宋体" w:hAnsi="宋体" w:cs="宋体"/>
          <w:color w:val="auto"/>
          <w:highlight w:val="none"/>
        </w:rPr>
      </w:pPr>
      <w:bookmarkStart w:id="29" w:name="_Toc27297"/>
      <w:r>
        <w:rPr>
          <w:rFonts w:hint="eastAsia" w:ascii="宋体" w:hAnsi="宋体" w:cs="宋体"/>
          <w:b/>
          <w:color w:val="auto"/>
          <w:sz w:val="32"/>
          <w:highlight w:val="none"/>
        </w:rPr>
        <w:br w:type="page"/>
      </w:r>
      <w:bookmarkStart w:id="30" w:name="_Toc24942"/>
      <w:r>
        <w:rPr>
          <w:rFonts w:hint="eastAsia" w:ascii="宋体" w:hAnsi="宋体" w:cs="宋体"/>
          <w:b/>
          <w:color w:val="auto"/>
          <w:sz w:val="32"/>
          <w:highlight w:val="none"/>
        </w:rPr>
        <w:t>第二章  投标人须知前附表</w:t>
      </w:r>
      <w:bookmarkEnd w:id="10"/>
      <w:bookmarkEnd w:id="29"/>
      <w:bookmarkEnd w:id="30"/>
    </w:p>
    <w:tbl>
      <w:tblPr>
        <w:tblStyle w:val="5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896"/>
        <w:gridCol w:w="688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742" w:type="dxa"/>
            <w:noWrap w:val="0"/>
            <w:vAlign w:val="center"/>
          </w:tcPr>
          <w:p>
            <w:pPr>
              <w:adjustRightInd w:val="0"/>
              <w:snapToGrid w:val="0"/>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896" w:type="dxa"/>
            <w:noWrap w:val="0"/>
            <w:vAlign w:val="center"/>
          </w:tcPr>
          <w:p>
            <w:pPr>
              <w:adjustRightInd w:val="0"/>
              <w:snapToGrid w:val="0"/>
              <w:jc w:val="center"/>
              <w:rPr>
                <w:rFonts w:hint="eastAsia" w:ascii="宋体" w:hAnsi="宋体" w:cs="宋体"/>
                <w:b/>
                <w:bCs/>
                <w:color w:val="auto"/>
                <w:szCs w:val="21"/>
                <w:highlight w:val="none"/>
              </w:rPr>
            </w:pPr>
            <w:r>
              <w:rPr>
                <w:rFonts w:hint="eastAsia" w:ascii="宋体" w:hAnsi="宋体" w:cs="宋体"/>
                <w:b/>
                <w:bCs/>
                <w:color w:val="auto"/>
                <w:szCs w:val="21"/>
                <w:highlight w:val="none"/>
              </w:rPr>
              <w:t>项   目</w:t>
            </w:r>
          </w:p>
        </w:tc>
        <w:tc>
          <w:tcPr>
            <w:tcW w:w="6881" w:type="dxa"/>
            <w:noWrap w:val="0"/>
            <w:vAlign w:val="center"/>
          </w:tcPr>
          <w:p>
            <w:pPr>
              <w:adjustRightInd w:val="0"/>
              <w:snapToGrid w:val="0"/>
              <w:jc w:val="center"/>
              <w:rPr>
                <w:rFonts w:hint="eastAsia" w:ascii="宋体" w:hAnsi="宋体" w:cs="宋体"/>
                <w:b/>
                <w:bCs/>
                <w:color w:val="auto"/>
                <w:szCs w:val="21"/>
                <w:highlight w:val="none"/>
              </w:rPr>
            </w:pPr>
            <w:r>
              <w:rPr>
                <w:rFonts w:hint="eastAsia" w:ascii="宋体" w:hAnsi="宋体" w:cs="宋体"/>
                <w:b/>
                <w:bCs/>
                <w:color w:val="auto"/>
                <w:szCs w:val="21"/>
                <w:highlight w:val="none"/>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896"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81" w:type="dxa"/>
            <w:noWrap w:val="0"/>
            <w:vAlign w:val="center"/>
          </w:tcPr>
          <w:p>
            <w:pPr>
              <w:adjustRightInd w:val="0"/>
              <w:snapToGrid w:val="0"/>
              <w:jc w:val="left"/>
              <w:rPr>
                <w:rFonts w:hint="eastAsia" w:ascii="宋体" w:hAnsi="宋体" w:eastAsia="宋体" w:cs="宋体"/>
                <w:bCs/>
                <w:color w:val="auto"/>
                <w:kern w:val="0"/>
                <w:szCs w:val="21"/>
                <w:highlight w:val="none"/>
                <w:lang w:eastAsia="zh-CN"/>
              </w:rPr>
            </w:pPr>
            <w:r>
              <w:rPr>
                <w:rFonts w:hint="eastAsia" w:ascii="宋体" w:hAnsi="宋体" w:cs="宋体"/>
                <w:color w:val="auto"/>
                <w:kern w:val="0"/>
                <w:szCs w:val="21"/>
                <w:highlight w:val="none"/>
                <w:lang w:eastAsia="zh-CN"/>
              </w:rPr>
              <w:t>2025年龙游县耕地现状调查项目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896" w:type="dxa"/>
            <w:noWrap w:val="0"/>
            <w:vAlign w:val="center"/>
          </w:tcPr>
          <w:p>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实施地点</w:t>
            </w:r>
          </w:p>
        </w:tc>
        <w:tc>
          <w:tcPr>
            <w:tcW w:w="6881" w:type="dxa"/>
            <w:noWrap w:val="0"/>
            <w:vAlign w:val="center"/>
          </w:tcPr>
          <w:p>
            <w:pPr>
              <w:adjustRightInd w:val="0"/>
              <w:snapToGrid w:val="0"/>
              <w:jc w:val="left"/>
              <w:rPr>
                <w:rFonts w:ascii="宋体" w:hAnsi="宋体" w:cs="宋体"/>
                <w:color w:val="auto"/>
                <w:kern w:val="0"/>
                <w:szCs w:val="21"/>
                <w:highlight w:val="none"/>
              </w:rPr>
            </w:pPr>
            <w:r>
              <w:rPr>
                <w:rFonts w:hint="eastAsia" w:ascii="宋体" w:hAnsi="宋体" w:cs="宋体"/>
                <w:snapToGrid w:val="0"/>
                <w:color w:val="auto"/>
                <w:kern w:val="0"/>
                <w:szCs w:val="21"/>
                <w:highlight w:val="none"/>
              </w:rPr>
              <w:t>龙游县自然资源和规划局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896"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项目编号</w:t>
            </w:r>
          </w:p>
        </w:tc>
        <w:tc>
          <w:tcPr>
            <w:tcW w:w="6881" w:type="dxa"/>
            <w:noWrap w:val="0"/>
            <w:vAlign w:val="center"/>
          </w:tcPr>
          <w:p>
            <w:pPr>
              <w:adjustRightInd w:val="0"/>
              <w:snapToGrid w:val="0"/>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lang w:eastAsia="zh-CN"/>
              </w:rPr>
              <w:t>LYCG2025TY-047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896"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采购方式</w:t>
            </w:r>
          </w:p>
        </w:tc>
        <w:tc>
          <w:tcPr>
            <w:tcW w:w="6881" w:type="dxa"/>
            <w:noWrap w:val="0"/>
            <w:vAlign w:val="center"/>
          </w:tcPr>
          <w:p>
            <w:pPr>
              <w:adjustRightInd w:val="0"/>
              <w:snapToGrid w:val="0"/>
              <w:rPr>
                <w:rFonts w:hint="eastAsia" w:ascii="宋体" w:hAnsi="宋体" w:cs="宋体"/>
                <w:bCs/>
                <w:color w:val="auto"/>
                <w:szCs w:val="21"/>
                <w:highlight w:val="none"/>
              </w:rPr>
            </w:pPr>
            <w:r>
              <w:rPr>
                <w:rFonts w:hint="eastAsia" w:ascii="宋体" w:hAnsi="宋体" w:cs="宋体"/>
                <w:bCs/>
                <w:color w:val="auto"/>
                <w:szCs w:val="21"/>
                <w:highlight w:val="none"/>
              </w:rPr>
              <w:t>公开招标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896" w:type="dxa"/>
            <w:noWrap w:val="0"/>
            <w:vAlign w:val="center"/>
          </w:tcPr>
          <w:p>
            <w:pPr>
              <w:adjustRightInd w:val="0"/>
              <w:snapToGrid w:val="0"/>
              <w:jc w:val="center"/>
              <w:rPr>
                <w:rFonts w:hint="eastAsia" w:ascii="宋体" w:hAnsi="宋体"/>
                <w:color w:val="auto"/>
                <w:szCs w:val="21"/>
                <w:highlight w:val="none"/>
              </w:rPr>
            </w:pPr>
            <w:r>
              <w:rPr>
                <w:rFonts w:hint="eastAsia" w:ascii="宋体" w:hAnsi="宋体" w:cs="宋体"/>
                <w:color w:val="auto"/>
                <w:szCs w:val="21"/>
                <w:highlight w:val="none"/>
              </w:rPr>
              <w:t>服务期限</w:t>
            </w:r>
          </w:p>
        </w:tc>
        <w:tc>
          <w:tcPr>
            <w:tcW w:w="6881" w:type="dxa"/>
            <w:noWrap w:val="0"/>
            <w:vAlign w:val="center"/>
          </w:tcPr>
          <w:p>
            <w:pPr>
              <w:adjustRightInd w:val="0"/>
              <w:snapToGrid w:val="0"/>
              <w:rPr>
                <w:rFonts w:hint="eastAsia" w:ascii="宋体" w:hAnsi="宋体"/>
                <w:color w:val="auto"/>
                <w:szCs w:val="21"/>
                <w:highlight w:val="none"/>
              </w:rPr>
            </w:pPr>
            <w:r>
              <w:rPr>
                <w:rFonts w:hint="eastAsia"/>
                <w:color w:val="auto"/>
                <w:kern w:val="0"/>
                <w:szCs w:val="21"/>
                <w:highlight w:val="none"/>
              </w:rPr>
              <w:t>按采购文件规定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896" w:type="dxa"/>
            <w:noWrap w:val="0"/>
            <w:vAlign w:val="center"/>
          </w:tcPr>
          <w:p>
            <w:pPr>
              <w:adjustRightInd w:val="0"/>
              <w:snapToGrid w:val="0"/>
              <w:jc w:val="center"/>
              <w:rPr>
                <w:rFonts w:hint="eastAsia"/>
                <w:color w:val="auto"/>
                <w:kern w:val="0"/>
                <w:szCs w:val="21"/>
                <w:highlight w:val="none"/>
              </w:rPr>
            </w:pPr>
            <w:r>
              <w:rPr>
                <w:rFonts w:hint="eastAsia"/>
                <w:color w:val="auto"/>
                <w:kern w:val="0"/>
                <w:szCs w:val="21"/>
                <w:highlight w:val="none"/>
              </w:rPr>
              <w:t>资金来源</w:t>
            </w:r>
          </w:p>
        </w:tc>
        <w:tc>
          <w:tcPr>
            <w:tcW w:w="6881" w:type="dxa"/>
            <w:noWrap w:val="0"/>
            <w:vAlign w:val="center"/>
          </w:tcPr>
          <w:p>
            <w:pPr>
              <w:adjustRightInd w:val="0"/>
              <w:snapToGrid w:val="0"/>
              <w:rPr>
                <w:rFonts w:hint="eastAsia"/>
                <w:color w:val="auto"/>
                <w:kern w:val="0"/>
                <w:szCs w:val="21"/>
                <w:highlight w:val="none"/>
              </w:rPr>
            </w:pPr>
            <w:r>
              <w:rPr>
                <w:rFonts w:hint="eastAsia"/>
                <w:color w:val="auto"/>
                <w:kern w:val="0"/>
                <w:szCs w:val="21"/>
                <w:highlight w:val="none"/>
              </w:rPr>
              <w:t>100%财政资金，已落实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42" w:type="dxa"/>
            <w:noWrap w:val="0"/>
            <w:vAlign w:val="center"/>
          </w:tcPr>
          <w:p>
            <w:pPr>
              <w:tabs>
                <w:tab w:val="left" w:pos="0"/>
              </w:tabs>
              <w:autoSpaceDE w:val="0"/>
              <w:autoSpaceDN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896" w:type="dxa"/>
            <w:noWrap w:val="0"/>
            <w:vAlign w:val="center"/>
          </w:tcPr>
          <w:p>
            <w:pPr>
              <w:widowControl/>
              <w:jc w:val="left"/>
              <w:rPr>
                <w:rFonts w:hint="eastAsia"/>
                <w:color w:val="auto"/>
                <w:kern w:val="0"/>
                <w:szCs w:val="21"/>
                <w:highlight w:val="none"/>
              </w:rPr>
            </w:pPr>
            <w:r>
              <w:rPr>
                <w:rFonts w:ascii="仿宋" w:hAnsi="仿宋" w:eastAsia="仿宋" w:cs="仿宋"/>
                <w:color w:val="auto"/>
                <w:kern w:val="0"/>
                <w:sz w:val="24"/>
                <w:highlight w:val="none"/>
                <w:lang w:bidi="ar"/>
              </w:rPr>
              <w:t>▲</w:t>
            </w:r>
            <w:r>
              <w:rPr>
                <w:rFonts w:hint="eastAsia" w:ascii="宋体" w:hAnsi="宋体" w:cs="宋体"/>
                <w:color w:val="auto"/>
                <w:szCs w:val="21"/>
                <w:highlight w:val="none"/>
              </w:rPr>
              <w:t>投标报价及费用</w:t>
            </w:r>
          </w:p>
        </w:tc>
        <w:tc>
          <w:tcPr>
            <w:tcW w:w="6881" w:type="dxa"/>
            <w:noWrap w:val="0"/>
            <w:vAlign w:val="center"/>
          </w:tcPr>
          <w:p>
            <w:pPr>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kern w:val="0"/>
                <w:szCs w:val="21"/>
                <w:highlight w:val="none"/>
              </w:rPr>
              <w:t>除采购文件特殊说明外，报价应包括为完成本项目服务可能发生的全部费用及供应商的利润和应交纳的税金等，包括且不限于人工费</w:t>
            </w:r>
            <w:r>
              <w:rPr>
                <w:rFonts w:hint="eastAsia" w:ascii="宋体" w:hAnsi="宋体" w:cs="宋体"/>
                <w:color w:val="auto"/>
                <w:szCs w:val="21"/>
                <w:highlight w:val="none"/>
              </w:rPr>
              <w:t>、奖金、各种加班费、夜餐费、高温补贴、各种社会保险、餐饮与交通、专家咨询、研讨、论证、评审、验收、专用设备及工具、器械、安全、管理费用、税费、利润、代理费及完成合同所需的一切本身和不可或缺的所有工作开支、政策性文件规定即合同包含的所有风险、责任等各项全部费用（含调研报告，方案、中间、最终成果阶段评审所需的评审、论证专家费用，审查、汇报、备案材料的制作、印刷、邮寄等所有费用）。规划范围根据项目建设需要如产生调整，甲方不再支付任何其他费用。</w:t>
            </w:r>
          </w:p>
          <w:p>
            <w:pPr>
              <w:tabs>
                <w:tab w:val="left" w:pos="0"/>
              </w:tabs>
              <w:autoSpaceDE w:val="0"/>
              <w:autoSpaceDN w:val="0"/>
              <w:adjustRightInd w:val="0"/>
              <w:spacing w:line="360" w:lineRule="exact"/>
              <w:rPr>
                <w:rFonts w:hint="eastAsia"/>
                <w:color w:val="auto"/>
                <w:kern w:val="0"/>
                <w:szCs w:val="21"/>
                <w:highlight w:val="none"/>
              </w:rPr>
            </w:pPr>
            <w:r>
              <w:rPr>
                <w:rFonts w:hint="eastAsia" w:ascii="宋体" w:hAnsi="宋体" w:cs="宋体"/>
                <w:color w:val="auto"/>
                <w:kern w:val="0"/>
                <w:szCs w:val="21"/>
                <w:highlight w:val="none"/>
              </w:rPr>
              <w:t>2、不论投标结果如何，投标人均应自行承担所有与投标有关的全部费用。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896"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资格审查方式</w:t>
            </w:r>
          </w:p>
        </w:tc>
        <w:tc>
          <w:tcPr>
            <w:tcW w:w="6881"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资格后审，资格后审是指采购人或采购代理机构在开启商务技术文件后，根据采购文件的规定对投标人进行资格审查，资格审查未通过的投标单位，不进入下一阶段开标。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896"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踏勘现场</w:t>
            </w:r>
          </w:p>
        </w:tc>
        <w:tc>
          <w:tcPr>
            <w:tcW w:w="6881"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采购人不组织现场踏勘。投标人如有需要，经采购人同意后可自行前往，踏勘期间发生的费用或意外导致伤亡等一切责任和损失均由投标人自负。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896" w:type="dxa"/>
            <w:noWrap w:val="0"/>
            <w:vAlign w:val="center"/>
          </w:tcPr>
          <w:p>
            <w:pPr>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投标答疑</w:t>
            </w:r>
          </w:p>
        </w:tc>
        <w:tc>
          <w:tcPr>
            <w:tcW w:w="6881" w:type="dxa"/>
            <w:noWrap w:val="0"/>
            <w:vAlign w:val="center"/>
          </w:tcPr>
          <w:p>
            <w:pPr>
              <w:adjustRightInd w:val="0"/>
              <w:snapToGrid w:val="0"/>
              <w:spacing w:line="312" w:lineRule="auto"/>
              <w:rPr>
                <w:rFonts w:hint="eastAsia" w:ascii="宋体" w:hAnsi="宋体" w:cs="宋体"/>
                <w:snapToGrid w:val="0"/>
                <w:color w:val="auto"/>
                <w:kern w:val="0"/>
                <w:szCs w:val="21"/>
                <w:highlight w:val="none"/>
              </w:rPr>
            </w:pPr>
            <w:r>
              <w:rPr>
                <w:rFonts w:hint="eastAsia" w:ascii="宋体" w:hAnsi="宋体" w:cs="宋体"/>
                <w:color w:val="auto"/>
                <w:szCs w:val="21"/>
                <w:highlight w:val="none"/>
              </w:rPr>
              <w:t>投标人如认为采购文件表述不清晰的，必须在</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17：00  </w:t>
            </w:r>
            <w:r>
              <w:rPr>
                <w:rFonts w:hint="eastAsia" w:ascii="宋体" w:hAnsi="宋体" w:cs="宋体"/>
                <w:snapToGrid w:val="0"/>
                <w:color w:val="auto"/>
                <w:kern w:val="0"/>
                <w:szCs w:val="21"/>
                <w:highlight w:val="none"/>
              </w:rPr>
              <w:t>时之前将要求答疑的问题传真至：</w:t>
            </w:r>
            <w:r>
              <w:rPr>
                <w:rFonts w:hint="eastAsia" w:ascii="宋体" w:hAnsi="宋体" w:cs="宋体"/>
                <w:color w:val="auto"/>
                <w:szCs w:val="21"/>
                <w:highlight w:val="none"/>
              </w:rPr>
              <w:t>0570-7186100</w:t>
            </w:r>
            <w:r>
              <w:rPr>
                <w:rFonts w:hint="eastAsia" w:ascii="宋体" w:hAnsi="宋体" w:cs="宋体"/>
                <w:bCs/>
                <w:snapToGrid w:val="0"/>
                <w:color w:val="auto"/>
                <w:kern w:val="0"/>
                <w:szCs w:val="21"/>
                <w:highlight w:val="none"/>
              </w:rPr>
              <w:t>，同时将电子版答疑问题发至：</w:t>
            </w:r>
            <w:r>
              <w:rPr>
                <w:rFonts w:hint="eastAsia" w:cs="Arial"/>
                <w:bCs/>
                <w:color w:val="auto"/>
                <w:highlight w:val="none"/>
              </w:rPr>
              <w:fldChar w:fldCharType="begin"/>
            </w:r>
            <w:r>
              <w:rPr>
                <w:rFonts w:hint="eastAsia" w:cs="Arial"/>
                <w:bCs/>
                <w:color w:val="auto"/>
                <w:highlight w:val="none"/>
              </w:rPr>
              <w:instrText xml:space="preserve"> HYPERLINK "mailto:724215075@qq.com。" </w:instrText>
            </w:r>
            <w:r>
              <w:rPr>
                <w:rFonts w:hint="eastAsia" w:cs="Arial"/>
                <w:bCs/>
                <w:color w:val="auto"/>
                <w:highlight w:val="none"/>
              </w:rPr>
              <w:fldChar w:fldCharType="separate"/>
            </w:r>
            <w:r>
              <w:rPr>
                <w:rStyle w:val="62"/>
                <w:rFonts w:hint="eastAsia" w:cs="Arial"/>
                <w:bCs/>
                <w:color w:val="auto"/>
                <w:highlight w:val="none"/>
              </w:rPr>
              <w:t>422367577@qq.com</w:t>
            </w:r>
            <w:r>
              <w:rPr>
                <w:rStyle w:val="62"/>
                <w:rFonts w:hint="eastAsia" w:ascii="宋体" w:hAnsi="宋体" w:cs="宋体"/>
                <w:color w:val="auto"/>
                <w:szCs w:val="21"/>
                <w:highlight w:val="none"/>
                <w:lang w:val="zh-CN"/>
              </w:rPr>
              <w:t>。</w:t>
            </w:r>
            <w:r>
              <w:rPr>
                <w:rFonts w:hint="eastAsia" w:cs="Arial"/>
                <w:bCs/>
                <w:color w:val="auto"/>
                <w:highlight w:val="none"/>
              </w:rPr>
              <w:fldChar w:fldCharType="end"/>
            </w:r>
            <w:r>
              <w:rPr>
                <w:rFonts w:hint="eastAsia" w:ascii="宋体" w:hAnsi="宋体" w:cs="宋体"/>
                <w:color w:val="auto"/>
                <w:szCs w:val="21"/>
                <w:highlight w:val="none"/>
                <w:lang w:val="zh-CN"/>
              </w:rPr>
              <w:t>截止期后的疑问将不予受理、也不答复。</w:t>
            </w:r>
            <w:r>
              <w:rPr>
                <w:rFonts w:hint="eastAsia" w:ascii="宋体" w:hAnsi="宋体" w:cs="宋体"/>
                <w:color w:val="auto"/>
                <w:szCs w:val="21"/>
                <w:highlight w:val="none"/>
              </w:rPr>
              <w:t>答疑回复内容是采购文件的组成部分，并将以公告形式告知已获取采购文件的投标人。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896"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采购文件的澄清与修改</w:t>
            </w:r>
          </w:p>
        </w:tc>
        <w:tc>
          <w:tcPr>
            <w:tcW w:w="6881"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采购人或采购代理机构可以对已发出的采购文件进行必要的澄清或者修改，如澄清或者修改的内容可能影响投标文件编制的，采购人或者采购代理机构应当在投标截止时间至少15日前，以更正公告形式通知所有获取采购文件的潜在投标人；不足15日的，采购人或者采购代理机构应当顺延提交投标文件的截止时间。修改和澄清（答疑）答复的文件作为采购采购文件的补充和组成部分，对所有投标人均有约束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896"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投标文件的编制</w:t>
            </w:r>
          </w:p>
        </w:tc>
        <w:tc>
          <w:tcPr>
            <w:tcW w:w="6881"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供应商应先安装“政采云电子交易客户端”，并按照本采购文件和“政府采购云平台”的要求，通过“政采云电子交易客户端”编制并加密投标文件。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896"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投标文件的签章</w:t>
            </w:r>
          </w:p>
        </w:tc>
        <w:tc>
          <w:tcPr>
            <w:tcW w:w="6881"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电子签章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896" w:type="dxa"/>
            <w:noWrap w:val="0"/>
            <w:vAlign w:val="center"/>
          </w:tcPr>
          <w:p>
            <w:pPr>
              <w:adjustRightInd w:val="0"/>
              <w:snapToGrid w:val="0"/>
              <w:jc w:val="center"/>
              <w:rPr>
                <w:rFonts w:hint="eastAsia"/>
                <w:color w:val="auto"/>
                <w:highlight w:val="none"/>
              </w:rPr>
            </w:pPr>
            <w:r>
              <w:rPr>
                <w:rFonts w:hint="eastAsia"/>
                <w:color w:val="auto"/>
                <w:highlight w:val="none"/>
              </w:rPr>
              <w:t>投标文件的形式</w:t>
            </w:r>
          </w:p>
          <w:p>
            <w:pPr>
              <w:pStyle w:val="3"/>
              <w:ind w:firstLine="210"/>
              <w:rPr>
                <w:rFonts w:hint="eastAsia"/>
                <w:color w:val="auto"/>
                <w:highlight w:val="none"/>
              </w:rPr>
            </w:pPr>
          </w:p>
        </w:tc>
        <w:tc>
          <w:tcPr>
            <w:tcW w:w="6881" w:type="dxa"/>
            <w:noWrap w:val="0"/>
            <w:vAlign w:val="center"/>
          </w:tcPr>
          <w:p>
            <w:pPr>
              <w:adjustRightInd w:val="0"/>
              <w:snapToGrid w:val="0"/>
              <w:rPr>
                <w:rFonts w:hint="eastAsia"/>
                <w:color w:val="auto"/>
                <w:highlight w:val="none"/>
              </w:rPr>
            </w:pPr>
            <w:r>
              <w:rPr>
                <w:rFonts w:hint="eastAsia"/>
                <w:color w:val="auto"/>
                <w:highlight w:val="none"/>
              </w:rPr>
              <w:t>1、电子投标文件（包括“电子加密投标文件”和“备份投标文件”，在投标文件编制完成后同时生成）；</w:t>
            </w:r>
          </w:p>
          <w:p>
            <w:pPr>
              <w:adjustRightInd w:val="0"/>
              <w:snapToGrid w:val="0"/>
              <w:rPr>
                <w:rFonts w:hint="eastAsia"/>
                <w:color w:val="auto"/>
                <w:highlight w:val="none"/>
              </w:rPr>
            </w:pPr>
            <w:r>
              <w:rPr>
                <w:rFonts w:hint="eastAsia"/>
                <w:color w:val="auto"/>
                <w:highlight w:val="none"/>
              </w:rPr>
              <w:t>（1）“电子加密投标文件”是指通过“政采云电子交易客户端”完成投标文件编制后生成并加密的数据电文形式的投标文件。</w:t>
            </w:r>
          </w:p>
          <w:p>
            <w:pPr>
              <w:adjustRightInd w:val="0"/>
              <w:snapToGrid w:val="0"/>
              <w:rPr>
                <w:rFonts w:hint="eastAsia"/>
                <w:color w:val="auto"/>
                <w:highlight w:val="none"/>
              </w:rPr>
            </w:pPr>
            <w:r>
              <w:rPr>
                <w:rFonts w:hint="eastAsia"/>
                <w:color w:val="auto"/>
                <w:highlight w:val="none"/>
              </w:rPr>
              <w:t>（2）“备份投标文件”是指与“电子加密投标文件”同时生成的数据电文形式的电子文件（备份标书），其他方式编制的备份投标文件视为无效备份投标文件。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1896" w:type="dxa"/>
            <w:noWrap w:val="0"/>
            <w:vAlign w:val="center"/>
          </w:tcPr>
          <w:p>
            <w:pPr>
              <w:adjustRightInd w:val="0"/>
              <w:snapToGrid w:val="0"/>
              <w:jc w:val="center"/>
              <w:rPr>
                <w:rFonts w:hint="eastAsia" w:ascii="宋体" w:hAnsi="宋体" w:cs="宋体"/>
                <w:color w:val="auto"/>
                <w:szCs w:val="21"/>
                <w:highlight w:val="none"/>
              </w:rPr>
            </w:pPr>
            <w:r>
              <w:rPr>
                <w:rFonts w:hint="eastAsia" w:ascii="仿宋" w:hAnsi="仿宋" w:eastAsia="仿宋" w:cs="仿宋"/>
                <w:b/>
                <w:bCs/>
                <w:color w:val="auto"/>
                <w:sz w:val="24"/>
                <w:highlight w:val="none"/>
              </w:rPr>
              <w:t>投标文件份数</w:t>
            </w:r>
          </w:p>
        </w:tc>
        <w:tc>
          <w:tcPr>
            <w:tcW w:w="6881" w:type="dxa"/>
            <w:noWrap w:val="0"/>
            <w:vAlign w:val="center"/>
          </w:tcPr>
          <w:p>
            <w:pPr>
              <w:numPr>
                <w:ilvl w:val="0"/>
                <w:numId w:val="4"/>
              </w:numPr>
              <w:adjustRightInd w:val="0"/>
              <w:snapToGrid w:val="0"/>
              <w:rPr>
                <w:color w:val="auto"/>
                <w:highlight w:val="none"/>
              </w:rPr>
            </w:pPr>
            <w:r>
              <w:rPr>
                <w:color w:val="auto"/>
                <w:highlight w:val="none"/>
              </w:rPr>
              <w:t>“电子加密投标文件”：在“政府采购云平台”上传递交、一份</w:t>
            </w:r>
            <w:r>
              <w:rPr>
                <w:rFonts w:hint="eastAsia"/>
                <w:color w:val="auto"/>
                <w:highlight w:val="none"/>
              </w:rPr>
              <w:t>；</w:t>
            </w:r>
          </w:p>
          <w:p>
            <w:pPr>
              <w:numPr>
                <w:ilvl w:val="0"/>
                <w:numId w:val="4"/>
              </w:numPr>
              <w:adjustRightInd w:val="0"/>
              <w:snapToGrid w:val="0"/>
              <w:rPr>
                <w:rFonts w:hint="eastAsia"/>
                <w:color w:val="auto"/>
                <w:highlight w:val="none"/>
              </w:rPr>
            </w:pPr>
            <w:r>
              <w:rPr>
                <w:color w:val="auto"/>
                <w:highlight w:val="none"/>
              </w:rPr>
              <w:t>“备份投标文件”：密封包装后（顺丰快递形式）投标截止时间前递交</w:t>
            </w:r>
            <w:r>
              <w:rPr>
                <w:rFonts w:hint="eastAsia"/>
                <w:color w:val="auto"/>
                <w:highlight w:val="none"/>
              </w:rPr>
              <w:t>至采购代理机构处，</w:t>
            </w:r>
            <w:r>
              <w:rPr>
                <w:color w:val="auto"/>
                <w:highlight w:val="none"/>
              </w:rPr>
              <w:t>一份</w:t>
            </w:r>
            <w:r>
              <w:rPr>
                <w:rFonts w:hint="eastAsia"/>
                <w:color w:val="auto"/>
                <w:highlight w:val="none"/>
              </w:rPr>
              <w:t>；</w:t>
            </w:r>
          </w:p>
          <w:p>
            <w:pPr>
              <w:numPr>
                <w:ilvl w:val="0"/>
                <w:numId w:val="4"/>
              </w:numPr>
              <w:adjustRightInd w:val="0"/>
              <w:snapToGrid w:val="0"/>
              <w:rPr>
                <w:rFonts w:hint="eastAsia"/>
                <w:color w:val="auto"/>
                <w:highlight w:val="none"/>
              </w:rPr>
            </w:pPr>
            <w:r>
              <w:rPr>
                <w:rFonts w:hint="eastAsia"/>
                <w:color w:val="auto"/>
                <w:highlight w:val="none"/>
              </w:rPr>
              <w:t>中标后提供加密投标文件打印件3份。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04" w:hRule="atLeast"/>
          <w:jc w:val="center"/>
        </w:trPr>
        <w:tc>
          <w:tcPr>
            <w:tcW w:w="742" w:type="dxa"/>
            <w:noWrap w:val="0"/>
            <w:vAlign w:val="center"/>
          </w:tcPr>
          <w:p>
            <w:pPr>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17</w:t>
            </w:r>
          </w:p>
        </w:tc>
        <w:tc>
          <w:tcPr>
            <w:tcW w:w="1896" w:type="dxa"/>
            <w:noWrap w:val="0"/>
            <w:vAlign w:val="center"/>
          </w:tcPr>
          <w:p>
            <w:pPr>
              <w:adjustRightInd w:val="0"/>
              <w:snapToGrid w:val="0"/>
              <w:jc w:val="center"/>
              <w:rPr>
                <w:rFonts w:hint="eastAsia" w:ascii="宋体" w:hAnsi="宋体" w:cs="仿宋"/>
                <w:b/>
                <w:bCs/>
                <w:color w:val="auto"/>
                <w:szCs w:val="21"/>
                <w:highlight w:val="none"/>
              </w:rPr>
            </w:pPr>
            <w:r>
              <w:rPr>
                <w:rFonts w:hint="eastAsia" w:ascii="宋体" w:hAnsi="宋体" w:cs="仿宋"/>
                <w:b/>
                <w:bCs/>
                <w:color w:val="auto"/>
                <w:szCs w:val="21"/>
                <w:highlight w:val="none"/>
              </w:rPr>
              <w:t>投标文件的上传和递交（上传、递交过程中如有疑问，可咨询“政采云”客服热线：95763）</w:t>
            </w:r>
          </w:p>
        </w:tc>
        <w:tc>
          <w:tcPr>
            <w:tcW w:w="6881" w:type="dxa"/>
            <w:noWrap w:val="0"/>
            <w:vAlign w:val="center"/>
          </w:tcPr>
          <w:p>
            <w:pPr>
              <w:spacing w:line="312" w:lineRule="auto"/>
              <w:rPr>
                <w:rFonts w:hint="eastAsia" w:ascii="宋体" w:hAnsi="宋体" w:cs="仿宋"/>
                <w:bCs/>
                <w:color w:val="auto"/>
                <w:szCs w:val="21"/>
                <w:highlight w:val="none"/>
              </w:rPr>
            </w:pPr>
            <w:r>
              <w:rPr>
                <w:rFonts w:hint="eastAsia" w:ascii="宋体" w:hAnsi="宋体" w:cs="仿宋"/>
                <w:bCs/>
                <w:color w:val="auto"/>
                <w:szCs w:val="21"/>
                <w:highlight w:val="none"/>
              </w:rPr>
              <w:t>（1）“电子加密投标文件”的上传、递交：</w:t>
            </w:r>
          </w:p>
          <w:p>
            <w:pPr>
              <w:spacing w:line="312" w:lineRule="auto"/>
              <w:rPr>
                <w:rFonts w:hint="eastAsia" w:ascii="宋体" w:hAnsi="宋体" w:cs="仿宋"/>
                <w:bCs/>
                <w:color w:val="auto"/>
                <w:szCs w:val="21"/>
                <w:highlight w:val="none"/>
              </w:rPr>
            </w:pPr>
            <w:r>
              <w:rPr>
                <w:rFonts w:hint="eastAsia" w:ascii="宋体" w:hAnsi="宋体" w:cs="仿宋"/>
                <w:bCs/>
                <w:color w:val="auto"/>
                <w:szCs w:val="21"/>
                <w:highlight w:val="none"/>
              </w:rPr>
              <w:t>a.投标供应商应在投标截止时间前将“电子加密投标文件”成功上传递交至“政府采购云平台”，否则投标无效。</w:t>
            </w:r>
          </w:p>
          <w:p>
            <w:pPr>
              <w:spacing w:line="312" w:lineRule="auto"/>
              <w:rPr>
                <w:rFonts w:ascii="宋体" w:hAnsi="宋体" w:cs="仿宋"/>
                <w:bCs/>
                <w:color w:val="auto"/>
                <w:szCs w:val="21"/>
                <w:highlight w:val="none"/>
              </w:rPr>
            </w:pPr>
            <w:r>
              <w:rPr>
                <w:rFonts w:hint="eastAsia" w:ascii="宋体" w:hAnsi="宋体" w:cs="仿宋"/>
                <w:bCs/>
                <w:color w:val="auto"/>
                <w:szCs w:val="21"/>
                <w:highlight w:val="none"/>
              </w:rPr>
              <w:t>b.“电子加密投标文件”成功上传递交后，供应商可自行打印投标文件接收回执。</w:t>
            </w:r>
          </w:p>
          <w:p>
            <w:pPr>
              <w:pStyle w:val="28"/>
              <w:spacing w:line="312" w:lineRule="auto"/>
              <w:rPr>
                <w:rFonts w:hint="eastAsia" w:hAnsi="宋体" w:cs="仿宋"/>
                <w:bCs/>
                <w:color w:val="auto"/>
                <w:szCs w:val="21"/>
                <w:highlight w:val="none"/>
              </w:rPr>
            </w:pPr>
            <w:r>
              <w:rPr>
                <w:rFonts w:hint="eastAsia" w:hAnsi="宋体" w:cs="仿宋"/>
                <w:bCs/>
                <w:color w:val="auto"/>
                <w:szCs w:val="21"/>
                <w:highlight w:val="none"/>
              </w:rPr>
              <w:t>（2）“备份投标文件”的密封包装、递交：</w:t>
            </w:r>
          </w:p>
          <w:p>
            <w:pPr>
              <w:pStyle w:val="28"/>
              <w:spacing w:line="312" w:lineRule="auto"/>
              <w:rPr>
                <w:rFonts w:hint="eastAsia" w:hAnsi="宋体" w:cs="仿宋"/>
                <w:bCs/>
                <w:color w:val="auto"/>
                <w:szCs w:val="21"/>
                <w:highlight w:val="none"/>
              </w:rPr>
            </w:pPr>
            <w:r>
              <w:rPr>
                <w:rFonts w:hint="eastAsia" w:hAnsi="宋体" w:cs="仿宋"/>
                <w:bCs/>
                <w:color w:val="auto"/>
                <w:szCs w:val="21"/>
                <w:highlight w:val="none"/>
              </w:rPr>
              <w:t>a.投标供应商在“政府采购云平台”完成“电子加密投标文件”的上传递交后，还应（顺丰快递邮寄形式）在投标截止时间前递交以介质（U盘）存储的 “备份投标文件”（一份）；</w:t>
            </w:r>
            <w:r>
              <w:rPr>
                <w:rFonts w:hint="eastAsia" w:hAnsi="宋体" w:cs="仿宋"/>
                <w:b/>
                <w:color w:val="auto"/>
                <w:szCs w:val="21"/>
                <w:highlight w:val="none"/>
              </w:rPr>
              <w:t>采购人、采购机构不强制或变相强制投标人提交备份投标文件。</w:t>
            </w:r>
          </w:p>
          <w:p>
            <w:pPr>
              <w:spacing w:line="312" w:lineRule="auto"/>
              <w:rPr>
                <w:rFonts w:hint="eastAsia" w:ascii="宋体" w:hAnsi="宋体" w:cs="仿宋"/>
                <w:bCs/>
                <w:color w:val="auto"/>
                <w:szCs w:val="21"/>
                <w:highlight w:val="none"/>
              </w:rPr>
            </w:pPr>
            <w:r>
              <w:rPr>
                <w:rFonts w:hint="eastAsia" w:ascii="宋体" w:hAnsi="宋体" w:cs="仿宋"/>
                <w:bCs/>
                <w:color w:val="auto"/>
                <w:szCs w:val="21"/>
                <w:highlight w:val="none"/>
              </w:rPr>
              <w:t>b.“备份投标文件”应当密封包装，并在包装上标注投标项目名称、投标单位名称并加盖公章。没有密封包装或者逾期邮寄送达至投标地点的“备份投标文件”将不予接收；</w:t>
            </w:r>
          </w:p>
          <w:p>
            <w:pPr>
              <w:adjustRightInd w:val="0"/>
              <w:snapToGrid w:val="0"/>
              <w:spacing w:line="312" w:lineRule="auto"/>
              <w:rPr>
                <w:rFonts w:ascii="宋体" w:hAnsi="宋体" w:cs="宋体"/>
                <w:b/>
                <w:bCs/>
                <w:color w:val="auto"/>
                <w:szCs w:val="21"/>
                <w:highlight w:val="none"/>
              </w:rPr>
            </w:pPr>
            <w:r>
              <w:rPr>
                <w:rFonts w:hint="eastAsia" w:ascii="宋体" w:hAnsi="宋体" w:cs="仿宋"/>
                <w:bCs/>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1896" w:type="dxa"/>
            <w:noWrap w:val="0"/>
            <w:vAlign w:val="center"/>
          </w:tcPr>
          <w:p>
            <w:pPr>
              <w:spacing w:line="360" w:lineRule="exact"/>
              <w:rPr>
                <w:rFonts w:hint="eastAsia" w:ascii="宋体" w:hAnsi="宋体" w:cs="仿宋"/>
                <w:bCs/>
                <w:color w:val="auto"/>
                <w:szCs w:val="21"/>
                <w:highlight w:val="none"/>
              </w:rPr>
            </w:pPr>
            <w:r>
              <w:rPr>
                <w:rFonts w:hint="eastAsia" w:ascii="宋体" w:hAnsi="宋体" w:cs="仿宋"/>
                <w:bCs/>
                <w:color w:val="auto"/>
                <w:szCs w:val="21"/>
                <w:highlight w:val="none"/>
              </w:rPr>
              <w:t>电子加密投标文件的解密和异常情况处理</w:t>
            </w:r>
          </w:p>
          <w:p>
            <w:pPr>
              <w:adjustRightInd w:val="0"/>
              <w:snapToGrid w:val="0"/>
              <w:jc w:val="center"/>
              <w:rPr>
                <w:rFonts w:hint="eastAsia" w:ascii="仿宋" w:hAnsi="仿宋" w:eastAsia="仿宋" w:cs="仿宋"/>
                <w:b/>
                <w:bCs/>
                <w:color w:val="auto"/>
                <w:sz w:val="24"/>
                <w:highlight w:val="none"/>
              </w:rPr>
            </w:pPr>
          </w:p>
        </w:tc>
        <w:tc>
          <w:tcPr>
            <w:tcW w:w="6881" w:type="dxa"/>
            <w:noWrap w:val="0"/>
            <w:vAlign w:val="center"/>
          </w:tcPr>
          <w:p>
            <w:pPr>
              <w:spacing w:line="360" w:lineRule="exact"/>
              <w:rPr>
                <w:rFonts w:hint="eastAsia" w:ascii="宋体" w:hAnsi="宋体" w:cs="仿宋"/>
                <w:color w:val="auto"/>
                <w:szCs w:val="21"/>
                <w:highlight w:val="none"/>
              </w:rPr>
            </w:pPr>
            <w:r>
              <w:rPr>
                <w:rFonts w:hint="eastAsia" w:ascii="宋体" w:hAnsi="宋体" w:cs="仿宋"/>
                <w:color w:val="auto"/>
                <w:szCs w:val="21"/>
                <w:highlight w:val="none"/>
              </w:rPr>
              <w:t>（1）开标后，采购代理机构将向各投标供应商发出“电子加密投标文件”的解密通知，各投标供应商代表应当在接到解密通知后30分钟内自行完成“电子加密投标文件”的在线解密。</w:t>
            </w:r>
          </w:p>
          <w:p>
            <w:pPr>
              <w:spacing w:line="360" w:lineRule="exact"/>
              <w:rPr>
                <w:rFonts w:hint="eastAsia" w:ascii="宋体" w:hAnsi="宋体" w:cs="仿宋"/>
                <w:color w:val="auto"/>
                <w:szCs w:val="21"/>
                <w:highlight w:val="none"/>
              </w:rPr>
            </w:pPr>
            <w:r>
              <w:rPr>
                <w:rFonts w:hint="eastAsia" w:ascii="宋体" w:hAnsi="宋体" w:cs="仿宋"/>
                <w:color w:val="auto"/>
                <w:szCs w:val="21"/>
                <w:highlight w:val="none"/>
              </w:rPr>
              <w:t>（2）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ascii="宋体" w:hAnsi="宋体" w:cs="宋体"/>
                <w:b/>
                <w:bCs/>
                <w:color w:val="auto"/>
                <w:szCs w:val="21"/>
                <w:highlight w:val="none"/>
              </w:rPr>
            </w:pPr>
            <w:r>
              <w:rPr>
                <w:rFonts w:hint="eastAsia" w:ascii="宋体" w:hAnsi="宋体" w:eastAsia="宋体" w:cs="仿宋"/>
                <w:color w:val="auto"/>
                <w:szCs w:val="21"/>
                <w:highlight w:val="none"/>
              </w:rPr>
              <w:t>（3）投标截止时间前，投标供应商仅递交了“备份投标文件”而未将电子加密投标文件上传至“政府采购云平台”的，投标无效。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742" w:type="dxa"/>
            <w:noWrap w:val="0"/>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19</w:t>
            </w:r>
          </w:p>
        </w:tc>
        <w:tc>
          <w:tcPr>
            <w:tcW w:w="1896" w:type="dxa"/>
            <w:noWrap w:val="0"/>
            <w:vAlign w:val="center"/>
          </w:tcPr>
          <w:p>
            <w:pPr>
              <w:spacing w:line="360" w:lineRule="exact"/>
              <w:rPr>
                <w:rFonts w:hint="eastAsia" w:ascii="仿宋" w:hAnsi="仿宋" w:eastAsia="仿宋" w:cs="仿宋"/>
                <w:b/>
                <w:bCs/>
                <w:color w:val="auto"/>
                <w:sz w:val="24"/>
                <w:highlight w:val="none"/>
              </w:rPr>
            </w:pPr>
            <w:r>
              <w:rPr>
                <w:rFonts w:hint="eastAsia" w:ascii="宋体" w:hAnsi="宋体" w:cs="仿宋"/>
                <w:bCs/>
                <w:color w:val="auto"/>
                <w:szCs w:val="21"/>
                <w:highlight w:val="none"/>
              </w:rPr>
              <w:t>投标文件的接受</w:t>
            </w:r>
          </w:p>
        </w:tc>
        <w:tc>
          <w:tcPr>
            <w:tcW w:w="6881" w:type="dxa"/>
            <w:noWrap w:val="0"/>
            <w:vAlign w:val="center"/>
          </w:tcPr>
          <w:p>
            <w:pPr>
              <w:adjustRightInd w:val="0"/>
              <w:snapToGrid w:val="0"/>
              <w:rPr>
                <w:rFonts w:ascii="宋体" w:hAnsi="宋体" w:cs="宋体"/>
                <w:b/>
                <w:bCs/>
                <w:color w:val="auto"/>
                <w:szCs w:val="21"/>
                <w:highlight w:val="none"/>
              </w:rPr>
            </w:pPr>
            <w:r>
              <w:rPr>
                <w:rFonts w:hint="eastAsia" w:ascii="宋体" w:hAnsi="宋体" w:cs="仿宋"/>
                <w:color w:val="auto"/>
                <w:szCs w:val="21"/>
                <w:highlight w:val="none"/>
              </w:rPr>
              <w:t>供应商应当在投标截止时间前在“政府采购云平台”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896"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投标备份文件邮寄地址</w:t>
            </w:r>
          </w:p>
        </w:tc>
        <w:tc>
          <w:tcPr>
            <w:tcW w:w="6881" w:type="dxa"/>
            <w:noWrap w:val="0"/>
            <w:vAlign w:val="center"/>
          </w:tcPr>
          <w:p>
            <w:pPr>
              <w:rPr>
                <w:rFonts w:hint="eastAsia" w:ascii="宋体" w:hAnsi="宋体" w:eastAsia="宋体"/>
                <w:color w:val="auto"/>
                <w:szCs w:val="21"/>
                <w:highlight w:val="none"/>
                <w:lang w:eastAsia="zh-CN"/>
              </w:rPr>
            </w:pPr>
            <w:r>
              <w:rPr>
                <w:rFonts w:ascii="宋体" w:hAnsi="宋体" w:cs="宋体"/>
                <w:b/>
                <w:bCs/>
                <w:color w:val="auto"/>
                <w:szCs w:val="21"/>
                <w:highlight w:val="none"/>
              </w:rPr>
              <w:t>“备份投标文件”：密封包装后（顺丰快递形式）投标截止时间前递交、一份（邮寄地址：</w:t>
            </w:r>
            <w:r>
              <w:rPr>
                <w:rFonts w:hint="eastAsia" w:ascii="宋体" w:hAnsi="宋体" w:cs="宋体"/>
                <w:b/>
                <w:bCs/>
                <w:color w:val="auto"/>
                <w:szCs w:val="21"/>
                <w:highlight w:val="none"/>
              </w:rPr>
              <w:t>龙游县环城西路144号新华书店四楼赵维君收</w:t>
            </w:r>
            <w:r>
              <w:rPr>
                <w:rFonts w:hint="eastAsia" w:ascii="宋体" w:hAnsi="宋体" w:cs="宋体"/>
                <w:b/>
                <w:bCs/>
                <w:color w:val="auto"/>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1896"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开标时间及地点</w:t>
            </w:r>
          </w:p>
        </w:tc>
        <w:tc>
          <w:tcPr>
            <w:tcW w:w="6881"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详见采购公告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896"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评标办法</w:t>
            </w:r>
          </w:p>
        </w:tc>
        <w:tc>
          <w:tcPr>
            <w:tcW w:w="6881"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23</w:t>
            </w:r>
          </w:p>
        </w:tc>
        <w:tc>
          <w:tcPr>
            <w:tcW w:w="1896"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中标结果公告</w:t>
            </w:r>
          </w:p>
        </w:tc>
        <w:tc>
          <w:tcPr>
            <w:tcW w:w="6881"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采购结果经采购人确认后2个工作日内，采购代理机构将对外发布中标成交公告和中标通知书。采购代理机构按相关政府采购规定将中标结果发布在政府采购网上进行公示，公示期为1个工作日。采购人、采购代理机构及评标委员会对未中标的投标人不作落标原因解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24</w:t>
            </w:r>
          </w:p>
        </w:tc>
        <w:tc>
          <w:tcPr>
            <w:tcW w:w="1896"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合同签订时间</w:t>
            </w:r>
          </w:p>
        </w:tc>
        <w:tc>
          <w:tcPr>
            <w:tcW w:w="6881"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中标通知书发出后30日内。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25</w:t>
            </w:r>
          </w:p>
        </w:tc>
        <w:tc>
          <w:tcPr>
            <w:tcW w:w="1896"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付款方式及履约保证金</w:t>
            </w:r>
          </w:p>
        </w:tc>
        <w:tc>
          <w:tcPr>
            <w:tcW w:w="6881" w:type="dxa"/>
            <w:noWrap w:val="0"/>
            <w:vAlign w:val="center"/>
          </w:tcPr>
          <w:p>
            <w:pPr>
              <w:spacing w:line="276" w:lineRule="auto"/>
              <w:rPr>
                <w:rFonts w:hint="eastAsia"/>
                <w:color w:val="auto"/>
                <w:highlight w:val="none"/>
              </w:rPr>
            </w:pPr>
          </w:p>
          <w:p>
            <w:pPr>
              <w:adjustRightInd w:val="0"/>
              <w:snapToGrid w:val="0"/>
              <w:rPr>
                <w:rFonts w:hint="eastAsia" w:ascii="宋体" w:hAnsi="宋体" w:cs="宋体"/>
                <w:color w:val="auto"/>
                <w:szCs w:val="21"/>
                <w:highlight w:val="none"/>
              </w:rPr>
            </w:pPr>
            <w:r>
              <w:rPr>
                <w:rFonts w:hint="eastAsia"/>
                <w:color w:val="auto"/>
                <w:highlight w:val="none"/>
              </w:rPr>
              <w:t>1</w:t>
            </w:r>
            <w:r>
              <w:rPr>
                <w:rFonts w:hint="eastAsia" w:ascii="宋体" w:hAnsi="宋体" w:cs="宋体"/>
                <w:color w:val="auto"/>
                <w:szCs w:val="21"/>
                <w:highlight w:val="none"/>
              </w:rPr>
              <w:t>.付款方式：详见合同条款；</w:t>
            </w:r>
          </w:p>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2.履约保证金：</w:t>
            </w:r>
          </w:p>
          <w:p>
            <w:pPr>
              <w:pStyle w:val="5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sym w:font="Wingdings" w:char="00FE"/>
            </w:r>
            <w:r>
              <w:rPr>
                <w:rFonts w:hint="eastAsia" w:ascii="宋体" w:hAnsi="宋体" w:cs="宋体"/>
                <w:color w:val="auto"/>
                <w:sz w:val="21"/>
                <w:szCs w:val="21"/>
                <w:highlight w:val="none"/>
              </w:rPr>
              <w:t>无需交纳</w:t>
            </w:r>
          </w:p>
          <w:p>
            <w:pPr>
              <w:rPr>
                <w:color w:val="auto"/>
                <w:highlight w:val="none"/>
              </w:rPr>
            </w:pPr>
            <w:r>
              <w:rPr>
                <w:color w:val="auto"/>
                <w:highlight w:val="none"/>
              </w:rPr>
              <w:sym w:font="Wingdings" w:char="00A8"/>
            </w:r>
            <w:r>
              <w:rPr>
                <w:rFonts w:hint="eastAsia"/>
                <w:color w:val="auto"/>
                <w:highlight w:val="none"/>
              </w:rPr>
              <w:t>需要交纳</w:t>
            </w:r>
          </w:p>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2.1履约保证金金额：合同金额的</w:t>
            </w:r>
            <w:r>
              <w:rPr>
                <w:rFonts w:hint="eastAsia" w:ascii="宋体" w:hAnsi="宋体" w:cs="宋体"/>
                <w:i/>
                <w:iCs/>
                <w:color w:val="auto"/>
                <w:szCs w:val="21"/>
                <w:highlight w:val="none"/>
                <w:u w:val="single"/>
              </w:rPr>
              <w:t xml:space="preserve"> </w:t>
            </w:r>
            <w:r>
              <w:rPr>
                <w:rFonts w:hint="eastAsia" w:ascii="宋体" w:hAnsi="宋体" w:cs="宋体"/>
                <w:color w:val="auto"/>
                <w:szCs w:val="21"/>
                <w:highlight w:val="none"/>
              </w:rPr>
              <w:t>1 %</w:t>
            </w:r>
          </w:p>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2.2履约保证金缴纳形式：支票/汇票/电汇/保函/招标人认可形式履约保证金缴纳时间：合同签订前</w:t>
            </w:r>
          </w:p>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2.3履约保证金接收人：合同甲方</w:t>
            </w:r>
          </w:p>
          <w:p>
            <w:pPr>
              <w:adjustRightInd w:val="0"/>
              <w:snapToGrid w:val="0"/>
              <w:rPr>
                <w:color w:val="auto"/>
                <w:highlight w:val="none"/>
              </w:rPr>
            </w:pPr>
            <w:r>
              <w:rPr>
                <w:rFonts w:hint="eastAsia" w:ascii="宋体" w:hAnsi="宋体" w:cs="宋体"/>
                <w:color w:val="auto"/>
                <w:szCs w:val="21"/>
                <w:highlight w:val="none"/>
              </w:rPr>
              <w:t>2.4履约保证金有效期限：自合同签订之日起至项目履行结束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26</w:t>
            </w:r>
          </w:p>
        </w:tc>
        <w:tc>
          <w:tcPr>
            <w:tcW w:w="1896"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881"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投标截止日后</w:t>
            </w:r>
            <w:r>
              <w:rPr>
                <w:rFonts w:hint="eastAsia" w:ascii="宋体" w:hAnsi="宋体" w:cs="宋体"/>
                <w:bCs/>
                <w:color w:val="auto"/>
                <w:szCs w:val="21"/>
                <w:highlight w:val="none"/>
              </w:rPr>
              <w:t>90天</w:t>
            </w:r>
            <w:r>
              <w:rPr>
                <w:rFonts w:hint="eastAsia" w:ascii="宋体" w:hAnsi="宋体" w:cs="宋体"/>
                <w:color w:val="auto"/>
                <w:szCs w:val="21"/>
                <w:highlight w:val="none"/>
              </w:rPr>
              <w:t>内有效，不足该有效期的，其投标视为无效标。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27</w:t>
            </w:r>
          </w:p>
        </w:tc>
        <w:tc>
          <w:tcPr>
            <w:tcW w:w="1896"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质疑</w:t>
            </w:r>
          </w:p>
        </w:tc>
        <w:tc>
          <w:tcPr>
            <w:tcW w:w="6881" w:type="dxa"/>
            <w:noWrap w:val="0"/>
            <w:vAlign w:val="center"/>
          </w:tcPr>
          <w:p>
            <w:pPr>
              <w:adjustRightInd w:val="0"/>
              <w:snapToGrid w:val="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政府采购法》第五十二条的规定，投标人认为采购文件、采购过程和中标、成交结果使自己的权益受到损害的，可以在知道或者应知其权益受到损害之日起七个工作日内，以书面形式向采购人、采购代理机构提出质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1896"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投诉</w:t>
            </w:r>
          </w:p>
        </w:tc>
        <w:tc>
          <w:tcPr>
            <w:tcW w:w="6881" w:type="dxa"/>
            <w:noWrap w:val="0"/>
            <w:vAlign w:val="center"/>
          </w:tcPr>
          <w:p>
            <w:pPr>
              <w:adjustRightInd w:val="0"/>
              <w:snapToGrid w:val="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政府采购法》第五十五条的规定，质疑投标人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742" w:type="dxa"/>
            <w:noWrap w:val="0"/>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29</w:t>
            </w:r>
          </w:p>
        </w:tc>
        <w:tc>
          <w:tcPr>
            <w:tcW w:w="1896"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特别说明</w:t>
            </w:r>
          </w:p>
        </w:tc>
        <w:tc>
          <w:tcPr>
            <w:tcW w:w="6881" w:type="dxa"/>
            <w:noWrap w:val="0"/>
            <w:vAlign w:val="center"/>
          </w:tcPr>
          <w:p>
            <w:pPr>
              <w:adjustRightInd w:val="0"/>
              <w:snapToGrid w:val="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如果发现本采购文件中存在含糊不清、相互矛盾、多种含义以及歧视性不公正条款或违法违规等内容时，请投标人在获取采购文件后，答疑截止时间前按要求书面提出，逾期视同自动放弃疑问提出的权利或采购人不作答复。</w:t>
            </w:r>
          </w:p>
          <w:p>
            <w:pPr>
              <w:pStyle w:val="28"/>
              <w:adjustRightInd w:val="0"/>
              <w:snapToGrid w:val="0"/>
              <w:rPr>
                <w:rFonts w:hint="eastAsia" w:hAnsi="宋体" w:cs="宋体"/>
                <w:snapToGrid w:val="0"/>
                <w:color w:val="auto"/>
                <w:kern w:val="0"/>
                <w:szCs w:val="24"/>
                <w:highlight w:val="none"/>
              </w:rPr>
            </w:pPr>
            <w:r>
              <w:rPr>
                <w:rFonts w:hint="eastAsia" w:hAnsi="宋体" w:cs="宋体"/>
                <w:snapToGrid w:val="0"/>
                <w:color w:val="auto"/>
                <w:kern w:val="0"/>
                <w:szCs w:val="24"/>
                <w:highlight w:val="none"/>
              </w:rPr>
              <w:t>（2）该项目中标公示期间，投标人不得通过非正当途径、更不得通过非正当手段获取法律法规规定评标委员会（包括其他相关人员）应当保密的相关内容。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30</w:t>
            </w:r>
          </w:p>
        </w:tc>
        <w:tc>
          <w:tcPr>
            <w:tcW w:w="1896"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采购代理服务费</w:t>
            </w:r>
          </w:p>
        </w:tc>
        <w:tc>
          <w:tcPr>
            <w:tcW w:w="6881" w:type="dxa"/>
            <w:noWrap w:val="0"/>
            <w:vAlign w:val="center"/>
          </w:tcPr>
          <w:p>
            <w:pPr>
              <w:pStyle w:val="164"/>
              <w:snapToGrid w:val="0"/>
              <w:spacing w:line="240" w:lineRule="auto"/>
              <w:ind w:firstLine="0" w:firstLineChars="0"/>
              <w:rPr>
                <w:rFonts w:hint="eastAsia" w:ascii="宋体" w:hAnsi="宋体" w:cs="Arial"/>
                <w:color w:val="auto"/>
                <w:kern w:val="0"/>
                <w:szCs w:val="21"/>
                <w:highlight w:val="none"/>
              </w:rPr>
            </w:pPr>
            <w:r>
              <w:rPr>
                <w:rFonts w:hint="eastAsia" w:ascii="宋体" w:hAnsi="宋体" w:cs="宋体"/>
                <w:color w:val="auto"/>
                <w:szCs w:val="21"/>
                <w:highlight w:val="none"/>
              </w:rPr>
              <w:t>本次采购代理服务费由中标人支付。采购代理服务费金额：参照浙价服 [2003]77号文规定的收费标准收取。采购代理服务费包含在投标总价中，由中标人在领取中标通知书时以人民币方式向采购代理机构一次性支付。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42"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1896" w:type="dxa"/>
            <w:noWrap w:val="0"/>
            <w:vAlign w:val="center"/>
          </w:tcPr>
          <w:p>
            <w:pPr>
              <w:snapToGrid w:val="0"/>
              <w:spacing w:line="400" w:lineRule="exact"/>
              <w:jc w:val="center"/>
              <w:rPr>
                <w:rFonts w:hint="eastAsia" w:ascii="宋体" w:hAnsi="宋体" w:cs="宋体"/>
                <w:bCs/>
                <w:color w:val="auto"/>
                <w:kern w:val="0"/>
                <w:highlight w:val="none"/>
              </w:rPr>
            </w:pPr>
            <w:r>
              <w:rPr>
                <w:rFonts w:hint="eastAsia" w:ascii="宋体" w:hAnsi="宋体" w:cs="Arial"/>
                <w:b/>
                <w:bCs/>
                <w:color w:val="auto"/>
                <w:kern w:val="0"/>
                <w:highlight w:val="none"/>
              </w:rPr>
              <w:t>投标无效情形</w:t>
            </w:r>
          </w:p>
        </w:tc>
        <w:tc>
          <w:tcPr>
            <w:tcW w:w="6881" w:type="dxa"/>
            <w:noWrap w:val="0"/>
            <w:vAlign w:val="center"/>
          </w:tcPr>
          <w:p>
            <w:pPr>
              <w:pStyle w:val="164"/>
              <w:spacing w:line="240" w:lineRule="atLeast"/>
              <w:ind w:firstLine="0" w:firstLineChars="0"/>
              <w:rPr>
                <w:rFonts w:cs="Arial"/>
                <w:b/>
                <w:bCs/>
                <w:color w:val="auto"/>
                <w:highlight w:val="none"/>
              </w:rPr>
            </w:pPr>
            <w:r>
              <w:rPr>
                <w:rFonts w:hint="eastAsia" w:cs="Arial"/>
                <w:b/>
                <w:bCs/>
                <w:color w:val="auto"/>
                <w:highlight w:val="none"/>
              </w:rPr>
              <w:t>1</w:t>
            </w:r>
            <w:r>
              <w:rPr>
                <w:rFonts w:cs="Arial"/>
                <w:b/>
                <w:bCs/>
                <w:color w:val="auto"/>
                <w:highlight w:val="none"/>
              </w:rPr>
              <w:t>.</w:t>
            </w:r>
            <w:r>
              <w:rPr>
                <w:rFonts w:hint="eastAsia" w:cs="Arial"/>
                <w:b/>
                <w:bCs/>
                <w:color w:val="auto"/>
                <w:highlight w:val="none"/>
              </w:rPr>
              <w:t>在资格审查时，如发现下列情形之一的，投标文件将被视为无效：</w:t>
            </w:r>
          </w:p>
          <w:p>
            <w:pPr>
              <w:pStyle w:val="164"/>
              <w:spacing w:line="240" w:lineRule="atLeast"/>
              <w:ind w:firstLine="0" w:firstLineChars="0"/>
              <w:rPr>
                <w:rFonts w:cs="Arial"/>
                <w:bCs/>
                <w:color w:val="auto"/>
                <w:highlight w:val="none"/>
              </w:rPr>
            </w:pPr>
            <w:r>
              <w:rPr>
                <w:rFonts w:hint="eastAsia" w:cs="Arial"/>
                <w:bCs/>
                <w:color w:val="auto"/>
                <w:highlight w:val="none"/>
              </w:rPr>
              <w:t>（1）</w:t>
            </w:r>
            <w:r>
              <w:rPr>
                <w:rFonts w:cs="Arial"/>
                <w:bCs/>
                <w:color w:val="auto"/>
                <w:highlight w:val="none"/>
              </w:rPr>
              <w:t>资格证明</w:t>
            </w:r>
            <w:r>
              <w:rPr>
                <w:rFonts w:hint="eastAsia" w:cs="Arial"/>
                <w:bCs/>
                <w:color w:val="auto"/>
                <w:highlight w:val="none"/>
              </w:rPr>
              <w:t>材料</w:t>
            </w:r>
            <w:r>
              <w:rPr>
                <w:rFonts w:cs="Arial"/>
                <w:bCs/>
                <w:color w:val="auto"/>
                <w:highlight w:val="none"/>
              </w:rPr>
              <w:t>不全的，或者不符合</w:t>
            </w:r>
            <w:r>
              <w:rPr>
                <w:rFonts w:hint="eastAsia" w:cs="Arial"/>
                <w:bCs/>
                <w:color w:val="auto"/>
                <w:highlight w:val="none"/>
              </w:rPr>
              <w:t>招标</w:t>
            </w:r>
            <w:r>
              <w:rPr>
                <w:rFonts w:cs="Arial"/>
                <w:bCs/>
                <w:color w:val="auto"/>
                <w:highlight w:val="none"/>
              </w:rPr>
              <w:t>文件要求的</w:t>
            </w:r>
            <w:r>
              <w:rPr>
                <w:rFonts w:hint="eastAsia" w:cs="Arial"/>
                <w:bCs/>
                <w:color w:val="auto"/>
                <w:highlight w:val="none"/>
              </w:rPr>
              <w:t>；</w:t>
            </w:r>
          </w:p>
          <w:p>
            <w:pPr>
              <w:pStyle w:val="164"/>
              <w:spacing w:line="240" w:lineRule="atLeast"/>
              <w:ind w:firstLine="0" w:firstLineChars="0"/>
              <w:rPr>
                <w:rFonts w:hint="eastAsia" w:cs="Arial"/>
                <w:bCs/>
                <w:color w:val="auto"/>
                <w:highlight w:val="none"/>
              </w:rPr>
            </w:pPr>
            <w:r>
              <w:rPr>
                <w:rFonts w:hint="eastAsia" w:cs="Arial"/>
                <w:bCs/>
                <w:color w:val="auto"/>
                <w:highlight w:val="none"/>
              </w:rPr>
              <w:t>（2）投标人不具备招标文件中规定的资格要求的；</w:t>
            </w:r>
          </w:p>
          <w:p>
            <w:pPr>
              <w:pStyle w:val="164"/>
              <w:spacing w:line="240" w:lineRule="atLeast"/>
              <w:ind w:firstLine="0" w:firstLineChars="0"/>
              <w:rPr>
                <w:rFonts w:hint="eastAsia" w:cs="Arial"/>
                <w:bCs/>
                <w:color w:val="auto"/>
                <w:highlight w:val="none"/>
              </w:rPr>
            </w:pPr>
            <w:r>
              <w:rPr>
                <w:rFonts w:hint="eastAsia" w:cs="Arial"/>
                <w:bCs/>
                <w:color w:val="auto"/>
                <w:highlight w:val="none"/>
              </w:rPr>
              <w:t>（3）经查询存在不良信用记录的。</w:t>
            </w:r>
          </w:p>
          <w:p>
            <w:pPr>
              <w:pStyle w:val="164"/>
              <w:spacing w:line="240" w:lineRule="atLeast"/>
              <w:ind w:firstLine="0" w:firstLineChars="0"/>
              <w:rPr>
                <w:rFonts w:cs="Arial"/>
                <w:b/>
                <w:bCs/>
                <w:color w:val="auto"/>
                <w:highlight w:val="none"/>
              </w:rPr>
            </w:pPr>
            <w:r>
              <w:rPr>
                <w:rFonts w:hint="eastAsia" w:cs="Arial"/>
                <w:b/>
                <w:bCs/>
                <w:color w:val="auto"/>
                <w:highlight w:val="none"/>
              </w:rPr>
              <w:t>2</w:t>
            </w:r>
            <w:r>
              <w:rPr>
                <w:rFonts w:cs="Arial"/>
                <w:b/>
                <w:bCs/>
                <w:color w:val="auto"/>
                <w:highlight w:val="none"/>
              </w:rPr>
              <w:t>.</w:t>
            </w:r>
            <w:r>
              <w:rPr>
                <w:rFonts w:hint="eastAsia" w:cs="Arial"/>
                <w:b/>
                <w:bCs/>
                <w:color w:val="auto"/>
                <w:highlight w:val="none"/>
              </w:rPr>
              <w:t>在符合</w:t>
            </w:r>
            <w:r>
              <w:rPr>
                <w:rFonts w:cs="Arial"/>
                <w:b/>
                <w:bCs/>
                <w:color w:val="auto"/>
                <w:highlight w:val="none"/>
              </w:rPr>
              <w:t>性审查、</w:t>
            </w:r>
            <w:r>
              <w:rPr>
                <w:rFonts w:hint="eastAsia" w:cs="Arial"/>
                <w:b/>
                <w:bCs/>
                <w:color w:val="auto"/>
                <w:highlight w:val="none"/>
              </w:rPr>
              <w:t>商务</w:t>
            </w:r>
            <w:r>
              <w:rPr>
                <w:rFonts w:cs="Arial"/>
                <w:b/>
                <w:bCs/>
                <w:color w:val="auto"/>
                <w:highlight w:val="none"/>
              </w:rPr>
              <w:t>和技术评审</w:t>
            </w:r>
            <w:r>
              <w:rPr>
                <w:rFonts w:hint="eastAsia" w:cs="Arial"/>
                <w:b/>
                <w:bCs/>
                <w:color w:val="auto"/>
                <w:highlight w:val="none"/>
              </w:rPr>
              <w:t>时，如发现下列情形之一的，投标文件将被视为无效：</w:t>
            </w:r>
          </w:p>
          <w:p>
            <w:pPr>
              <w:pStyle w:val="164"/>
              <w:spacing w:line="240" w:lineRule="atLeast"/>
              <w:ind w:firstLine="0" w:firstLineChars="0"/>
              <w:rPr>
                <w:rFonts w:cs="Arial"/>
                <w:bCs/>
                <w:color w:val="auto"/>
                <w:highlight w:val="none"/>
              </w:rPr>
            </w:pPr>
            <w:r>
              <w:rPr>
                <w:rFonts w:hint="eastAsia" w:cs="Arial"/>
                <w:bCs/>
                <w:color w:val="auto"/>
                <w:highlight w:val="none"/>
              </w:rPr>
              <w:t>（1）资格</w:t>
            </w:r>
            <w:r>
              <w:rPr>
                <w:rFonts w:cs="Arial"/>
                <w:bCs/>
                <w:color w:val="auto"/>
                <w:highlight w:val="none"/>
              </w:rPr>
              <w:t>文件及</w:t>
            </w:r>
            <w:r>
              <w:rPr>
                <w:rFonts w:hint="eastAsia" w:cs="Arial"/>
                <w:bCs/>
                <w:color w:val="auto"/>
                <w:highlight w:val="none"/>
              </w:rPr>
              <w:t>商务</w:t>
            </w:r>
            <w:r>
              <w:rPr>
                <w:rFonts w:cs="Arial"/>
                <w:bCs/>
                <w:color w:val="auto"/>
                <w:highlight w:val="none"/>
              </w:rPr>
              <w:t>和技术文件</w:t>
            </w:r>
            <w:r>
              <w:rPr>
                <w:rFonts w:hint="eastAsia" w:cs="Arial"/>
                <w:bCs/>
                <w:color w:val="auto"/>
                <w:highlight w:val="none"/>
              </w:rPr>
              <w:t>未按要求签署、盖章的；</w:t>
            </w:r>
          </w:p>
          <w:p>
            <w:pPr>
              <w:pStyle w:val="164"/>
              <w:spacing w:line="240" w:lineRule="atLeast"/>
              <w:ind w:firstLine="0" w:firstLineChars="0"/>
              <w:rPr>
                <w:rFonts w:cs="Arial"/>
                <w:bCs/>
                <w:color w:val="auto"/>
                <w:highlight w:val="none"/>
              </w:rPr>
            </w:pPr>
            <w:r>
              <w:rPr>
                <w:rFonts w:hint="eastAsia" w:cs="Arial"/>
                <w:bCs/>
                <w:color w:val="auto"/>
                <w:highlight w:val="none"/>
              </w:rPr>
              <w:t>（2）未提供或未按要求提供投标函</w:t>
            </w:r>
            <w:r>
              <w:rPr>
                <w:rFonts w:cs="Arial"/>
                <w:bCs/>
                <w:color w:val="auto"/>
                <w:highlight w:val="none"/>
              </w:rPr>
              <w:t>、法定代表人资格证明书</w:t>
            </w:r>
            <w:r>
              <w:rPr>
                <w:rFonts w:hint="eastAsia" w:cs="Arial"/>
                <w:bCs/>
                <w:color w:val="auto"/>
                <w:highlight w:val="none"/>
              </w:rPr>
              <w:t>、法定代表人授权委托书、投标</w:t>
            </w:r>
            <w:r>
              <w:rPr>
                <w:rFonts w:cs="Arial"/>
                <w:bCs/>
                <w:color w:val="auto"/>
                <w:highlight w:val="none"/>
              </w:rPr>
              <w:t>声明书</w:t>
            </w:r>
            <w:r>
              <w:rPr>
                <w:rFonts w:hint="eastAsia" w:cs="Arial"/>
                <w:bCs/>
                <w:color w:val="auto"/>
                <w:highlight w:val="none"/>
              </w:rPr>
              <w:t>；</w:t>
            </w:r>
            <w:r>
              <w:rPr>
                <w:rFonts w:cs="Arial"/>
                <w:bCs/>
                <w:color w:val="auto"/>
                <w:highlight w:val="none"/>
              </w:rPr>
              <w:t xml:space="preserve"> </w:t>
            </w:r>
          </w:p>
          <w:p>
            <w:pPr>
              <w:pStyle w:val="164"/>
              <w:spacing w:line="240" w:lineRule="atLeast"/>
              <w:ind w:firstLine="0" w:firstLineChars="0"/>
              <w:rPr>
                <w:rFonts w:cs="Arial"/>
                <w:bCs/>
                <w:color w:val="auto"/>
                <w:highlight w:val="none"/>
              </w:rPr>
            </w:pPr>
            <w:r>
              <w:rPr>
                <w:rFonts w:hint="eastAsia" w:cs="Arial"/>
                <w:bCs/>
                <w:color w:val="auto"/>
                <w:highlight w:val="none"/>
              </w:rPr>
              <w:t>（3）未提供或未如实提供采购</w:t>
            </w:r>
            <w:r>
              <w:rPr>
                <w:rFonts w:cs="Arial"/>
                <w:bCs/>
                <w:color w:val="auto"/>
                <w:highlight w:val="none"/>
              </w:rPr>
              <w:t>需求偏离表的；</w:t>
            </w:r>
          </w:p>
          <w:p>
            <w:pPr>
              <w:pStyle w:val="164"/>
              <w:spacing w:line="240" w:lineRule="atLeast"/>
              <w:ind w:firstLine="0" w:firstLineChars="0"/>
              <w:rPr>
                <w:rFonts w:cs="Arial"/>
                <w:bCs/>
                <w:color w:val="auto"/>
                <w:highlight w:val="none"/>
              </w:rPr>
            </w:pPr>
            <w:r>
              <w:rPr>
                <w:rFonts w:hint="eastAsia" w:cs="Arial"/>
                <w:bCs/>
                <w:color w:val="auto"/>
                <w:highlight w:val="none"/>
              </w:rPr>
              <w:t>（4）对</w:t>
            </w:r>
            <w:r>
              <w:rPr>
                <w:rFonts w:cs="Arial"/>
                <w:bCs/>
                <w:color w:val="auto"/>
                <w:highlight w:val="none"/>
              </w:rPr>
              <w:t>“▲”</w:t>
            </w:r>
            <w:r>
              <w:rPr>
                <w:rFonts w:hint="eastAsia" w:cs="Arial"/>
                <w:bCs/>
                <w:color w:val="auto"/>
                <w:highlight w:val="none"/>
              </w:rPr>
              <w:t>条款未作实质性响应</w:t>
            </w:r>
            <w:r>
              <w:rPr>
                <w:rFonts w:cs="Arial"/>
                <w:bCs/>
                <w:color w:val="auto"/>
                <w:highlight w:val="none"/>
              </w:rPr>
              <w:t>的；</w:t>
            </w:r>
          </w:p>
          <w:p>
            <w:pPr>
              <w:pStyle w:val="164"/>
              <w:spacing w:line="240" w:lineRule="atLeast"/>
              <w:ind w:firstLine="0" w:firstLineChars="0"/>
              <w:rPr>
                <w:rFonts w:cs="Arial"/>
                <w:bCs/>
                <w:color w:val="auto"/>
                <w:highlight w:val="none"/>
              </w:rPr>
            </w:pPr>
            <w:r>
              <w:rPr>
                <w:rFonts w:hint="eastAsia" w:cs="Arial"/>
                <w:bCs/>
                <w:color w:val="auto"/>
                <w:highlight w:val="none"/>
              </w:rPr>
              <w:t>（</w:t>
            </w:r>
            <w:r>
              <w:rPr>
                <w:rFonts w:cs="Arial"/>
                <w:bCs/>
                <w:color w:val="auto"/>
                <w:highlight w:val="none"/>
              </w:rPr>
              <w:t>5</w:t>
            </w:r>
            <w:r>
              <w:rPr>
                <w:rFonts w:hint="eastAsia" w:cs="Arial"/>
                <w:bCs/>
                <w:color w:val="auto"/>
                <w:highlight w:val="none"/>
              </w:rPr>
              <w:t>）</w:t>
            </w:r>
            <w:r>
              <w:rPr>
                <w:rFonts w:cs="Arial"/>
                <w:bCs/>
                <w:color w:val="auto"/>
                <w:highlight w:val="none"/>
              </w:rPr>
              <w:t>未提供或未如实提供</w:t>
            </w:r>
            <w:r>
              <w:rPr>
                <w:rFonts w:hint="eastAsia" w:cs="Arial"/>
                <w:bCs/>
                <w:color w:val="auto"/>
                <w:highlight w:val="none"/>
              </w:rPr>
              <w:t>服务方案</w:t>
            </w:r>
            <w:r>
              <w:rPr>
                <w:rFonts w:cs="Arial"/>
                <w:bCs/>
                <w:color w:val="auto"/>
                <w:highlight w:val="none"/>
              </w:rPr>
              <w:t>，或者投标文件标明的响应或偏离与事实不符或虚假投标的；</w:t>
            </w:r>
          </w:p>
          <w:p>
            <w:pPr>
              <w:pStyle w:val="164"/>
              <w:spacing w:line="240" w:lineRule="atLeast"/>
              <w:ind w:firstLine="0" w:firstLineChars="0"/>
              <w:rPr>
                <w:rFonts w:hint="eastAsia" w:cs="Arial"/>
                <w:bCs/>
                <w:color w:val="auto"/>
                <w:highlight w:val="none"/>
              </w:rPr>
            </w:pPr>
            <w:r>
              <w:rPr>
                <w:rFonts w:hint="eastAsia" w:cs="Arial"/>
                <w:bCs/>
                <w:color w:val="auto"/>
                <w:highlight w:val="none"/>
              </w:rPr>
              <w:t>（</w:t>
            </w:r>
            <w:r>
              <w:rPr>
                <w:rFonts w:cs="Arial"/>
                <w:bCs/>
                <w:color w:val="auto"/>
                <w:highlight w:val="none"/>
              </w:rPr>
              <w:t>6</w:t>
            </w:r>
            <w:r>
              <w:rPr>
                <w:rFonts w:hint="eastAsia" w:cs="Arial"/>
                <w:bCs/>
                <w:color w:val="auto"/>
                <w:highlight w:val="none"/>
              </w:rPr>
              <w:t>）</w:t>
            </w:r>
            <w:r>
              <w:rPr>
                <w:rFonts w:cs="Arial"/>
                <w:bCs/>
                <w:color w:val="auto"/>
                <w:highlight w:val="none"/>
              </w:rPr>
              <w:t>投标</w:t>
            </w:r>
            <w:r>
              <w:rPr>
                <w:rFonts w:hint="eastAsia" w:cs="Arial"/>
                <w:bCs/>
                <w:color w:val="auto"/>
                <w:highlight w:val="none"/>
              </w:rPr>
              <w:t>服务</w:t>
            </w:r>
            <w:r>
              <w:rPr>
                <w:rFonts w:cs="Arial"/>
                <w:bCs/>
                <w:color w:val="auto"/>
                <w:highlight w:val="none"/>
              </w:rPr>
              <w:t>方案不明确，存在一个或一个以上备选（替代）投标方案的；</w:t>
            </w:r>
          </w:p>
          <w:p>
            <w:pPr>
              <w:pStyle w:val="164"/>
              <w:spacing w:line="240" w:lineRule="atLeast"/>
              <w:ind w:firstLine="0" w:firstLineChars="0"/>
              <w:rPr>
                <w:rFonts w:cs="Arial"/>
                <w:bCs/>
                <w:color w:val="auto"/>
                <w:highlight w:val="none"/>
              </w:rPr>
            </w:pPr>
            <w:r>
              <w:rPr>
                <w:rFonts w:hint="eastAsia" w:cs="Arial"/>
                <w:bCs/>
                <w:color w:val="auto"/>
                <w:highlight w:val="none"/>
              </w:rPr>
              <w:t>（</w:t>
            </w:r>
            <w:r>
              <w:rPr>
                <w:rFonts w:cs="Arial"/>
                <w:bCs/>
                <w:color w:val="auto"/>
                <w:highlight w:val="none"/>
              </w:rPr>
              <w:t>7</w:t>
            </w:r>
            <w:r>
              <w:rPr>
                <w:rFonts w:hint="eastAsia" w:cs="Arial"/>
                <w:bCs/>
                <w:color w:val="auto"/>
                <w:highlight w:val="none"/>
              </w:rPr>
              <w:t>）投标文件含有采购人不能接受的附加条件的；</w:t>
            </w:r>
          </w:p>
          <w:p>
            <w:pPr>
              <w:pStyle w:val="164"/>
              <w:spacing w:line="240" w:lineRule="atLeast"/>
              <w:ind w:firstLine="0" w:firstLineChars="0"/>
              <w:rPr>
                <w:rFonts w:cs="Arial"/>
                <w:bCs/>
                <w:color w:val="auto"/>
                <w:highlight w:val="none"/>
              </w:rPr>
            </w:pPr>
            <w:r>
              <w:rPr>
                <w:rFonts w:hint="eastAsia" w:cs="Arial"/>
                <w:bCs/>
                <w:color w:val="auto"/>
                <w:highlight w:val="none"/>
              </w:rPr>
              <w:t>（</w:t>
            </w:r>
            <w:r>
              <w:rPr>
                <w:rFonts w:cs="Arial"/>
                <w:bCs/>
                <w:color w:val="auto"/>
                <w:highlight w:val="none"/>
              </w:rPr>
              <w:t>8</w:t>
            </w:r>
            <w:r>
              <w:rPr>
                <w:rFonts w:hint="eastAsia" w:cs="Arial"/>
                <w:bCs/>
                <w:color w:val="auto"/>
                <w:highlight w:val="none"/>
              </w:rPr>
              <w:t>）法律、法规和招标文件规定的其他无效情形。</w:t>
            </w:r>
          </w:p>
          <w:p>
            <w:pPr>
              <w:pStyle w:val="164"/>
              <w:spacing w:line="240" w:lineRule="atLeast"/>
              <w:ind w:firstLine="0" w:firstLineChars="0"/>
              <w:rPr>
                <w:rFonts w:cs="Arial"/>
                <w:b/>
                <w:bCs/>
                <w:color w:val="auto"/>
                <w:highlight w:val="none"/>
              </w:rPr>
            </w:pPr>
            <w:r>
              <w:rPr>
                <w:rFonts w:hint="eastAsia" w:cs="Arial"/>
                <w:b/>
                <w:bCs/>
                <w:color w:val="auto"/>
                <w:highlight w:val="none"/>
              </w:rPr>
              <w:t>3</w:t>
            </w:r>
            <w:r>
              <w:rPr>
                <w:rFonts w:cs="Arial"/>
                <w:b/>
                <w:bCs/>
                <w:color w:val="auto"/>
                <w:highlight w:val="none"/>
              </w:rPr>
              <w:t>.在报价评审时，如发现下列情形之一的，投标文件将被视为无效：</w:t>
            </w:r>
          </w:p>
          <w:p>
            <w:pPr>
              <w:pStyle w:val="164"/>
              <w:spacing w:line="240" w:lineRule="atLeast"/>
              <w:ind w:firstLine="0" w:firstLineChars="0"/>
              <w:rPr>
                <w:rFonts w:cs="Arial"/>
                <w:bCs/>
                <w:color w:val="auto"/>
                <w:highlight w:val="none"/>
              </w:rPr>
            </w:pPr>
            <w:r>
              <w:rPr>
                <w:rFonts w:hint="eastAsia" w:cs="Arial"/>
                <w:bCs/>
                <w:color w:val="auto"/>
                <w:highlight w:val="none"/>
              </w:rPr>
              <w:t>（1）报价</w:t>
            </w:r>
            <w:r>
              <w:rPr>
                <w:rFonts w:cs="Arial"/>
                <w:bCs/>
                <w:color w:val="auto"/>
                <w:highlight w:val="none"/>
              </w:rPr>
              <w:t>文件</w:t>
            </w:r>
            <w:r>
              <w:rPr>
                <w:rFonts w:hint="eastAsia" w:cs="Arial"/>
                <w:bCs/>
                <w:color w:val="auto"/>
                <w:highlight w:val="none"/>
              </w:rPr>
              <w:t>未按要求签署、盖章的；</w:t>
            </w:r>
          </w:p>
          <w:p>
            <w:pPr>
              <w:pStyle w:val="164"/>
              <w:spacing w:line="240" w:lineRule="atLeast"/>
              <w:ind w:firstLine="0" w:firstLineChars="0"/>
              <w:rPr>
                <w:rFonts w:cs="Arial"/>
                <w:bCs/>
                <w:color w:val="auto"/>
                <w:highlight w:val="none"/>
              </w:rPr>
            </w:pPr>
            <w:r>
              <w:rPr>
                <w:rFonts w:hint="eastAsia" w:cs="Arial"/>
                <w:bCs/>
                <w:color w:val="auto"/>
                <w:highlight w:val="none"/>
              </w:rPr>
              <w:t>（2</w:t>
            </w:r>
            <w:r>
              <w:rPr>
                <w:rFonts w:cs="Arial"/>
                <w:bCs/>
                <w:color w:val="auto"/>
                <w:highlight w:val="none"/>
              </w:rPr>
              <w:t>）未按照招标文件标明的币种报价的</w:t>
            </w:r>
            <w:r>
              <w:rPr>
                <w:rFonts w:hint="eastAsia" w:cs="Arial"/>
                <w:bCs/>
                <w:color w:val="auto"/>
                <w:highlight w:val="none"/>
              </w:rPr>
              <w:t>；</w:t>
            </w:r>
          </w:p>
          <w:p>
            <w:pPr>
              <w:pStyle w:val="164"/>
              <w:spacing w:line="240" w:lineRule="atLeast"/>
              <w:ind w:firstLine="0" w:firstLineChars="0"/>
              <w:rPr>
                <w:rFonts w:cs="Arial"/>
                <w:bCs/>
                <w:color w:val="auto"/>
                <w:highlight w:val="none"/>
              </w:rPr>
            </w:pPr>
            <w:r>
              <w:rPr>
                <w:rFonts w:hint="eastAsia" w:cs="Arial"/>
                <w:bCs/>
                <w:color w:val="auto"/>
                <w:highlight w:val="none"/>
              </w:rPr>
              <w:t>（3）报价超过招标文件中规定的预算金额或者最高限价的；</w:t>
            </w:r>
          </w:p>
          <w:p>
            <w:pPr>
              <w:pStyle w:val="164"/>
              <w:spacing w:line="240" w:lineRule="atLeast"/>
              <w:ind w:firstLine="0" w:firstLineChars="0"/>
              <w:rPr>
                <w:rFonts w:cs="Arial"/>
                <w:bCs/>
                <w:color w:val="auto"/>
                <w:highlight w:val="none"/>
              </w:rPr>
            </w:pPr>
            <w:r>
              <w:rPr>
                <w:rFonts w:hint="eastAsia" w:cs="Arial"/>
                <w:bCs/>
                <w:color w:val="auto"/>
                <w:highlight w:val="none"/>
              </w:rPr>
              <w:t>（4）报价具有选择性的；</w:t>
            </w:r>
          </w:p>
          <w:p>
            <w:pPr>
              <w:pStyle w:val="164"/>
              <w:spacing w:line="240" w:lineRule="atLeast"/>
              <w:ind w:firstLine="0" w:firstLineChars="0"/>
              <w:rPr>
                <w:rFonts w:hint="eastAsia" w:cs="Arial"/>
                <w:bCs/>
                <w:color w:val="auto"/>
                <w:highlight w:val="none"/>
              </w:rPr>
            </w:pPr>
            <w:r>
              <w:rPr>
                <w:rFonts w:hint="eastAsia" w:cs="Arial"/>
                <w:bCs/>
                <w:color w:val="auto"/>
                <w:highlight w:val="none"/>
              </w:rPr>
              <w:t>（5）报价明显低于其他通过符合性审查投标人的报价（有可能影响产品质量或者不能诚信履约的），投标人在评标现场合理的时间内无法提供书面说明（必要时提交相关证明材料）证明其报价合理性的。</w:t>
            </w:r>
          </w:p>
          <w:p>
            <w:pPr>
              <w:pStyle w:val="164"/>
              <w:spacing w:line="240" w:lineRule="atLeast"/>
              <w:ind w:firstLine="0" w:firstLineChars="0"/>
              <w:rPr>
                <w:rFonts w:hint="eastAsia" w:cs="Arial"/>
                <w:b/>
                <w:bCs/>
                <w:color w:val="auto"/>
                <w:highlight w:val="none"/>
              </w:rPr>
            </w:pPr>
            <w:r>
              <w:rPr>
                <w:rFonts w:hint="eastAsia" w:cs="Arial"/>
                <w:b/>
                <w:bCs/>
                <w:color w:val="auto"/>
                <w:highlight w:val="none"/>
              </w:rPr>
              <w:t>4</w:t>
            </w:r>
            <w:r>
              <w:rPr>
                <w:rFonts w:cs="Arial"/>
                <w:b/>
                <w:bCs/>
                <w:color w:val="auto"/>
                <w:highlight w:val="none"/>
              </w:rPr>
              <w:t>.</w:t>
            </w:r>
            <w:r>
              <w:rPr>
                <w:rFonts w:hint="eastAsia" w:cs="Arial"/>
                <w:b/>
                <w:bCs/>
                <w:color w:val="auto"/>
                <w:highlight w:val="none"/>
              </w:rPr>
              <w:t>参与同一标项的供应商存在以下情形的投标文件将被视为无效：</w:t>
            </w:r>
          </w:p>
          <w:p>
            <w:pPr>
              <w:pStyle w:val="164"/>
              <w:spacing w:line="240" w:lineRule="atLeast"/>
              <w:ind w:firstLine="0" w:firstLineChars="0"/>
              <w:rPr>
                <w:rFonts w:hint="eastAsia"/>
                <w:color w:val="auto"/>
                <w:highlight w:val="none"/>
              </w:rPr>
            </w:pPr>
            <w:r>
              <w:rPr>
                <w:rFonts w:hint="eastAsia" w:cs="Arial"/>
                <w:bCs/>
                <w:color w:val="auto"/>
                <w:highlight w:val="none"/>
              </w:rPr>
              <w:t>（1）</w:t>
            </w:r>
            <w:r>
              <w:rPr>
                <w:rFonts w:hint="eastAsia"/>
                <w:color w:val="auto"/>
                <w:highlight w:val="none"/>
              </w:rPr>
              <w:t>MAC地址相同；计算机硬盘序列号相同；投标文件细节错误一致且无合理解释的；</w:t>
            </w:r>
          </w:p>
          <w:p>
            <w:pPr>
              <w:pStyle w:val="164"/>
              <w:spacing w:line="240" w:lineRule="atLeast"/>
              <w:ind w:firstLine="0" w:firstLineChars="0"/>
              <w:rPr>
                <w:rFonts w:hint="eastAsia"/>
                <w:color w:val="auto"/>
                <w:highlight w:val="none"/>
              </w:rPr>
            </w:pPr>
            <w:r>
              <w:rPr>
                <w:rFonts w:hint="eastAsia"/>
                <w:color w:val="auto"/>
                <w:highlight w:val="none"/>
              </w:rPr>
              <w:t>（2）供应商《资信技术评分汇总表》中资信技术得分低于资信技术总分60%的。</w:t>
            </w:r>
          </w:p>
          <w:p>
            <w:pPr>
              <w:pStyle w:val="164"/>
              <w:spacing w:line="240" w:lineRule="atLeast"/>
              <w:ind w:firstLine="0" w:firstLineChars="0"/>
              <w:rPr>
                <w:rFonts w:hint="eastAsia" w:cs="Arial"/>
                <w:b/>
                <w:bCs/>
                <w:color w:val="auto"/>
                <w:highlight w:val="none"/>
              </w:rPr>
            </w:pPr>
            <w:r>
              <w:rPr>
                <w:rFonts w:hint="eastAsia" w:cs="Arial"/>
                <w:b/>
                <w:bCs/>
                <w:color w:val="auto"/>
                <w:highlight w:val="none"/>
              </w:rPr>
              <w:t>5.有下列情形之一的，视为投标人串通投标，其投标无效，由采购人或采购代理机构上报政府采购监督管理部门，视情列入不良行为记录名单，在一至三年内禁止参加政府采购活动：</w:t>
            </w:r>
          </w:p>
          <w:p>
            <w:pPr>
              <w:pStyle w:val="164"/>
              <w:spacing w:line="312" w:lineRule="auto"/>
              <w:ind w:firstLine="0" w:firstLineChars="0"/>
              <w:rPr>
                <w:rFonts w:hint="eastAsia" w:cs="Arial"/>
                <w:bCs/>
                <w:color w:val="auto"/>
                <w:highlight w:val="none"/>
              </w:rPr>
            </w:pPr>
            <w:r>
              <w:rPr>
                <w:rFonts w:hint="eastAsia" w:cs="Arial"/>
                <w:bCs/>
                <w:color w:val="auto"/>
                <w:highlight w:val="none"/>
              </w:rPr>
              <w:t>（1）不同投标人的投标文件由同一单位或者个人编制；</w:t>
            </w:r>
          </w:p>
          <w:p>
            <w:pPr>
              <w:pStyle w:val="164"/>
              <w:spacing w:line="312" w:lineRule="auto"/>
              <w:ind w:firstLine="0" w:firstLineChars="0"/>
              <w:rPr>
                <w:rFonts w:hint="eastAsia" w:cs="Arial"/>
                <w:bCs/>
                <w:color w:val="auto"/>
                <w:highlight w:val="none"/>
              </w:rPr>
            </w:pPr>
            <w:r>
              <w:rPr>
                <w:rFonts w:hint="eastAsia" w:cs="Arial"/>
                <w:bCs/>
                <w:color w:val="auto"/>
                <w:highlight w:val="none"/>
              </w:rPr>
              <w:t>（2）不同投标人委托同一单位或者个人办理投标事宜；</w:t>
            </w:r>
          </w:p>
          <w:p>
            <w:pPr>
              <w:pStyle w:val="164"/>
              <w:spacing w:line="312" w:lineRule="auto"/>
              <w:ind w:firstLine="0" w:firstLineChars="0"/>
              <w:rPr>
                <w:rFonts w:hint="eastAsia" w:cs="Arial"/>
                <w:bCs/>
                <w:color w:val="auto"/>
                <w:highlight w:val="none"/>
              </w:rPr>
            </w:pPr>
            <w:r>
              <w:rPr>
                <w:rFonts w:hint="eastAsia" w:cs="Arial"/>
                <w:bCs/>
                <w:color w:val="auto"/>
                <w:highlight w:val="none"/>
              </w:rPr>
              <w:t>（3）不同投标人的投标文件载明的项目管理成员或者联系人员为同一人；</w:t>
            </w:r>
          </w:p>
          <w:p>
            <w:pPr>
              <w:pStyle w:val="164"/>
              <w:spacing w:line="312" w:lineRule="auto"/>
              <w:ind w:firstLine="0" w:firstLineChars="0"/>
              <w:rPr>
                <w:rFonts w:hint="eastAsia" w:cs="Arial"/>
                <w:bCs/>
                <w:color w:val="auto"/>
                <w:highlight w:val="none"/>
              </w:rPr>
            </w:pPr>
            <w:r>
              <w:rPr>
                <w:rFonts w:hint="eastAsia" w:cs="Arial"/>
                <w:bCs/>
                <w:color w:val="auto"/>
                <w:highlight w:val="none"/>
              </w:rPr>
              <w:t>（4）不同投标人的投标文件异常一致或者投标报价呈规律性差异；</w:t>
            </w:r>
          </w:p>
          <w:p>
            <w:pPr>
              <w:pStyle w:val="164"/>
              <w:spacing w:line="240" w:lineRule="atLeast"/>
              <w:ind w:firstLine="0" w:firstLineChars="0"/>
              <w:rPr>
                <w:rFonts w:hint="eastAsia" w:ascii="宋体" w:hAnsi="宋体" w:cs="宋体"/>
                <w:bCs/>
                <w:snapToGrid w:val="0"/>
                <w:color w:val="auto"/>
                <w:kern w:val="0"/>
                <w:szCs w:val="21"/>
                <w:highlight w:val="none"/>
              </w:rPr>
            </w:pPr>
            <w:r>
              <w:rPr>
                <w:rFonts w:hint="eastAsia" w:cs="Arial"/>
                <w:bCs/>
                <w:color w:val="auto"/>
                <w:highlight w:val="none"/>
              </w:rPr>
              <w:t>（5</w:t>
            </w:r>
            <w:r>
              <w:rPr>
                <w:rFonts w:hint="eastAsia" w:ascii="Times New Roman" w:hAnsi="Times New Roman"/>
                <w:color w:val="auto"/>
                <w:highlight w:val="none"/>
              </w:rPr>
              <w:t>）不同投标人的投标文件相互混装或不同投标人的投标文件制作机器码或创建标识码一致的（投标文件制作机器码一致是指MAC地址、CPU序列号、硬盘序列号、主板序列号全部一致）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6" w:hRule="atLeast"/>
          <w:jc w:val="center"/>
        </w:trPr>
        <w:tc>
          <w:tcPr>
            <w:tcW w:w="742" w:type="dxa"/>
            <w:vMerge w:val="restart"/>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32</w:t>
            </w:r>
          </w:p>
        </w:tc>
        <w:tc>
          <w:tcPr>
            <w:tcW w:w="1896" w:type="dxa"/>
            <w:vMerge w:val="restart"/>
            <w:noWrap w:val="0"/>
            <w:vAlign w:val="center"/>
          </w:tcPr>
          <w:p>
            <w:pPr>
              <w:snapToGrid w:val="0"/>
              <w:jc w:val="center"/>
              <w:rPr>
                <w:rFonts w:hint="eastAsia" w:ascii="宋体" w:hAnsi="宋体" w:cs="宋体"/>
                <w:bCs/>
                <w:color w:val="auto"/>
                <w:kern w:val="0"/>
                <w:highlight w:val="none"/>
              </w:rPr>
            </w:pPr>
            <w:r>
              <w:rPr>
                <w:rFonts w:hint="eastAsia" w:ascii="宋体" w:hAnsi="宋体" w:cs="宋体"/>
                <w:bCs/>
                <w:color w:val="auto"/>
                <w:kern w:val="0"/>
                <w:highlight w:val="none"/>
              </w:rPr>
              <w:t>其他</w:t>
            </w:r>
          </w:p>
        </w:tc>
        <w:tc>
          <w:tcPr>
            <w:tcW w:w="6881" w:type="dxa"/>
            <w:noWrap w:val="0"/>
            <w:vAlign w:val="center"/>
          </w:tcPr>
          <w:p>
            <w:pPr>
              <w:snapToGrid w:val="0"/>
              <w:spacing w:line="360" w:lineRule="auto"/>
              <w:rPr>
                <w:rFonts w:hint="eastAsia"/>
                <w:color w:val="auto"/>
                <w:highlight w:val="none"/>
              </w:rPr>
            </w:pPr>
            <w:r>
              <w:rPr>
                <w:rFonts w:hint="eastAsia"/>
                <w:color w:val="auto"/>
                <w:highlight w:val="none"/>
              </w:rPr>
              <w:t>1、本采购文件共</w:t>
            </w:r>
            <w:r>
              <w:rPr>
                <w:rFonts w:hint="eastAsia"/>
                <w:color w:val="auto"/>
                <w:highlight w:val="none"/>
                <w:lang w:val="en-US" w:eastAsia="zh-CN"/>
              </w:rPr>
              <w:t>58</w:t>
            </w:r>
            <w:r>
              <w:rPr>
                <w:rFonts w:hint="eastAsia"/>
                <w:color w:val="auto"/>
                <w:highlight w:val="none"/>
              </w:rPr>
              <w:t>页 （含封面）请各投标人收到本文件后自行核对，如有缺页、错装等情况请于当日向采购代理机构提出，如未提出，所有责任及由此造成的后果由投标人自负。</w:t>
            </w:r>
          </w:p>
          <w:p>
            <w:pPr>
              <w:snapToGrid w:val="0"/>
              <w:spacing w:line="360" w:lineRule="auto"/>
              <w:rPr>
                <w:rFonts w:hint="eastAsia"/>
                <w:color w:val="auto"/>
                <w:highlight w:val="none"/>
              </w:rPr>
            </w:pPr>
            <w:r>
              <w:rPr>
                <w:rFonts w:hint="eastAsia"/>
                <w:color w:val="auto"/>
                <w:highlight w:val="none"/>
              </w:rPr>
              <w:t>2、请投标人仔细阅读本采购文件，其中带“▲”标记的条款为实质性内容，投标人须对带“▲”标记的条款作出实质性响应。</w:t>
            </w:r>
          </w:p>
          <w:p>
            <w:pPr>
              <w:snapToGrid w:val="0"/>
              <w:spacing w:line="360" w:lineRule="auto"/>
              <w:rPr>
                <w:rFonts w:hint="eastAsia"/>
                <w:b/>
                <w:bCs/>
                <w:color w:val="auto"/>
                <w:highlight w:val="none"/>
              </w:rPr>
            </w:pPr>
            <w:r>
              <w:rPr>
                <w:b/>
                <w:bCs/>
                <w:color w:val="auto"/>
                <w:highlight w:val="none"/>
              </w:rPr>
              <w:t>3</w:t>
            </w:r>
            <w:r>
              <w:rPr>
                <w:rFonts w:hint="eastAsia"/>
                <w:b/>
                <w:bCs/>
                <w:color w:val="auto"/>
                <w:highlight w:val="none"/>
              </w:rPr>
              <w:t>、根据《关于在政府采购活动中查询及使用信用记录有关问题的通知》财库[2016]125号的规定：</w:t>
            </w:r>
          </w:p>
          <w:p>
            <w:pPr>
              <w:snapToGrid w:val="0"/>
              <w:spacing w:line="360" w:lineRule="auto"/>
              <w:rPr>
                <w:rFonts w:hint="eastAsia"/>
                <w:color w:val="auto"/>
                <w:highlight w:val="none"/>
              </w:rPr>
            </w:pPr>
            <w:r>
              <w:rPr>
                <w:rFonts w:hint="eastAsia"/>
                <w:color w:val="auto"/>
                <w:highlight w:val="none"/>
              </w:rPr>
              <w:t>1）采购人或采购代理机构将对本项目投标人的信用信息进行查询。</w:t>
            </w:r>
          </w:p>
          <w:p>
            <w:pPr>
              <w:snapToGrid w:val="0"/>
              <w:spacing w:line="360" w:lineRule="auto"/>
              <w:rPr>
                <w:rFonts w:hint="eastAsia"/>
                <w:color w:val="auto"/>
                <w:highlight w:val="none"/>
              </w:rPr>
            </w:pPr>
            <w:r>
              <w:rPr>
                <w:rFonts w:hint="eastAsia"/>
                <w:color w:val="auto"/>
                <w:highlight w:val="none"/>
              </w:rPr>
              <w:t>2）查询渠道为信用中国网站（www.creditchina.gov.cn）、中国政府采购网（www.ccgp.gov.cn）。</w:t>
            </w:r>
          </w:p>
          <w:p>
            <w:pPr>
              <w:snapToGrid w:val="0"/>
              <w:spacing w:line="360" w:lineRule="auto"/>
              <w:rPr>
                <w:rFonts w:hint="eastAsia"/>
                <w:color w:val="auto"/>
                <w:highlight w:val="none"/>
              </w:rPr>
            </w:pPr>
            <w:r>
              <w:rPr>
                <w:rFonts w:hint="eastAsia"/>
                <w:color w:val="auto"/>
                <w:highlight w:val="none"/>
              </w:rPr>
              <w:t>3）信用信息截止时点为从本项目投标截止日往前追溯三年，期间被列入失信被执行人名单、重大税收违法案件当事人名单、政府采购严重违法失信行为记录名单等投标人信用信息均将用于本项目。</w:t>
            </w:r>
          </w:p>
          <w:p>
            <w:pPr>
              <w:snapToGrid w:val="0"/>
              <w:spacing w:line="360" w:lineRule="auto"/>
              <w:rPr>
                <w:rFonts w:hint="eastAsia"/>
                <w:color w:val="auto"/>
                <w:highlight w:val="none"/>
              </w:rPr>
            </w:pPr>
            <w:r>
              <w:rPr>
                <w:rFonts w:hint="eastAsia"/>
                <w:color w:val="auto"/>
                <w:highlight w:val="none"/>
              </w:rPr>
              <w:t>4）信用信息查询记录和证据以网页截图等方式留存。</w:t>
            </w:r>
          </w:p>
          <w:p>
            <w:pPr>
              <w:snapToGrid w:val="0"/>
              <w:spacing w:line="360" w:lineRule="auto"/>
              <w:rPr>
                <w:rFonts w:hint="eastAsia"/>
                <w:color w:val="auto"/>
                <w:highlight w:val="none"/>
              </w:rPr>
            </w:pPr>
            <w:r>
              <w:rPr>
                <w:rFonts w:hint="eastAsia"/>
                <w:color w:val="auto"/>
                <w:highlight w:val="none"/>
              </w:rPr>
              <w:t>5）信用信息将作为评审和确定成交投标人的依据。</w:t>
            </w:r>
          </w:p>
          <w:p>
            <w:pPr>
              <w:snapToGrid w:val="0"/>
              <w:spacing w:line="360" w:lineRule="auto"/>
              <w:rPr>
                <w:rFonts w:hint="eastAsia"/>
                <w:color w:val="auto"/>
                <w:highlight w:val="none"/>
              </w:rPr>
            </w:pPr>
            <w:r>
              <w:rPr>
                <w:rFonts w:hint="eastAsia"/>
                <w:color w:val="auto"/>
                <w:highlight w:val="none"/>
              </w:rPr>
              <w:t>6）联合体成员存在不良信用记录的，视同联合体存在不良信用记录。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42" w:type="dxa"/>
            <w:vMerge w:val="continue"/>
            <w:noWrap w:val="0"/>
            <w:vAlign w:val="center"/>
          </w:tcPr>
          <w:p>
            <w:pPr>
              <w:pStyle w:val="22"/>
              <w:rPr>
                <w:color w:val="auto"/>
                <w:highlight w:val="none"/>
              </w:rPr>
            </w:pPr>
          </w:p>
        </w:tc>
        <w:tc>
          <w:tcPr>
            <w:tcW w:w="1896" w:type="dxa"/>
            <w:vMerge w:val="continue"/>
            <w:noWrap w:val="0"/>
            <w:vAlign w:val="center"/>
          </w:tcPr>
          <w:p>
            <w:pPr>
              <w:pStyle w:val="22"/>
              <w:rPr>
                <w:color w:val="auto"/>
                <w:highlight w:val="none"/>
              </w:rPr>
            </w:pPr>
          </w:p>
        </w:tc>
        <w:tc>
          <w:tcPr>
            <w:tcW w:w="6881" w:type="dxa"/>
            <w:noWrap w:val="0"/>
            <w:vAlign w:val="center"/>
          </w:tcPr>
          <w:p>
            <w:pPr>
              <w:snapToGrid w:val="0"/>
              <w:spacing w:line="312" w:lineRule="auto"/>
              <w:rPr>
                <w:rFonts w:hint="eastAsia"/>
                <w:color w:val="auto"/>
                <w:highlight w:val="none"/>
              </w:rPr>
            </w:pPr>
            <w:r>
              <w:rPr>
                <w:rFonts w:hint="eastAsia"/>
                <w:color w:val="auto"/>
                <w:highlight w:val="none"/>
              </w:rPr>
              <w:t xml:space="preserve">4、扶持中小企业： </w:t>
            </w:r>
          </w:p>
          <w:p>
            <w:pPr>
              <w:snapToGrid w:val="0"/>
              <w:spacing w:line="312" w:lineRule="auto"/>
              <w:rPr>
                <w:rFonts w:hint="eastAsia"/>
                <w:color w:val="auto"/>
                <w:highlight w:val="none"/>
              </w:rPr>
            </w:pPr>
            <w:r>
              <w:rPr>
                <w:rFonts w:hint="eastAsia"/>
                <w:color w:val="auto"/>
                <w:highlight w:val="none"/>
              </w:rPr>
              <w:t>4.1、企业类型</w:t>
            </w:r>
          </w:p>
          <w:p>
            <w:pPr>
              <w:snapToGrid w:val="0"/>
              <w:spacing w:line="312" w:lineRule="auto"/>
              <w:rPr>
                <w:rFonts w:hint="eastAsia"/>
                <w:color w:val="auto"/>
                <w:highlight w:val="none"/>
              </w:rPr>
            </w:pPr>
            <w:r>
              <w:rPr>
                <w:rFonts w:hint="eastAsia"/>
                <w:color w:val="auto"/>
                <w:highlight w:val="none"/>
              </w:rPr>
              <w:t>（1）中小企业</w:t>
            </w:r>
          </w:p>
          <w:p>
            <w:pPr>
              <w:snapToGrid w:val="0"/>
              <w:spacing w:line="312" w:lineRule="auto"/>
              <w:ind w:firstLine="420" w:firstLineChars="200"/>
              <w:rPr>
                <w:rFonts w:hint="eastAsia"/>
                <w:color w:val="auto"/>
                <w:highlight w:val="none"/>
              </w:rPr>
            </w:pPr>
            <w:r>
              <w:rPr>
                <w:rFonts w:hint="eastAsia"/>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12" w:lineRule="auto"/>
              <w:ind w:firstLine="210" w:firstLineChars="100"/>
              <w:rPr>
                <w:rFonts w:hint="eastAsia"/>
                <w:color w:val="auto"/>
                <w:highlight w:val="none"/>
              </w:rPr>
            </w:pPr>
            <w:r>
              <w:rPr>
                <w:rFonts w:hint="eastAsia"/>
                <w:color w:val="auto"/>
                <w:highlight w:val="none"/>
              </w:rPr>
              <w:t>符合中小企业划分标准的个体工商户，在政府采购活动中视同中小企业。</w:t>
            </w:r>
          </w:p>
          <w:p>
            <w:pPr>
              <w:snapToGrid w:val="0"/>
              <w:spacing w:line="312" w:lineRule="auto"/>
              <w:ind w:firstLine="210" w:firstLineChars="100"/>
              <w:rPr>
                <w:rFonts w:hint="eastAsia"/>
                <w:color w:val="auto"/>
                <w:highlight w:val="none"/>
              </w:rPr>
            </w:pPr>
            <w:r>
              <w:rPr>
                <w:rFonts w:hint="eastAsia"/>
                <w:color w:val="auto"/>
                <w:highlight w:val="none"/>
              </w:rPr>
              <w:t>在服务采购项目中，服务由中小企业承接，即提供服务的人员为中小企业依照《中华人民共和国劳动合同法》订立劳动合同的从业人员。可享受相关中小企业扶持政策。</w:t>
            </w:r>
          </w:p>
          <w:p>
            <w:pPr>
              <w:snapToGrid w:val="0"/>
              <w:spacing w:line="312" w:lineRule="auto"/>
              <w:ind w:firstLine="210" w:firstLineChars="100"/>
              <w:rPr>
                <w:rFonts w:hint="eastAsia"/>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snapToGrid w:val="0"/>
              <w:spacing w:line="312" w:lineRule="auto"/>
              <w:rPr>
                <w:rFonts w:hint="eastAsia"/>
                <w:color w:val="auto"/>
                <w:highlight w:val="none"/>
              </w:rPr>
            </w:pPr>
            <w:r>
              <w:rPr>
                <w:rFonts w:hint="eastAsia"/>
                <w:color w:val="auto"/>
                <w:highlight w:val="none"/>
              </w:rPr>
              <w:t>投标文件中须同时出具《政府采购促进中小企业发展管理办法》【财库（2020）46号】规定的《中小企业声明函》，否则不得享受价格扣除。</w:t>
            </w:r>
          </w:p>
          <w:p>
            <w:pPr>
              <w:snapToGrid w:val="0"/>
              <w:spacing w:line="312" w:lineRule="auto"/>
              <w:rPr>
                <w:rFonts w:hint="eastAsia"/>
                <w:color w:val="auto"/>
                <w:highlight w:val="none"/>
              </w:rPr>
            </w:pPr>
            <w:r>
              <w:rPr>
                <w:rFonts w:hint="eastAsia"/>
                <w:color w:val="auto"/>
                <w:highlight w:val="none"/>
              </w:rPr>
              <w:t>（2）残疾人福利性单位</w:t>
            </w:r>
          </w:p>
          <w:p>
            <w:pPr>
              <w:snapToGrid w:val="0"/>
              <w:spacing w:line="312" w:lineRule="auto"/>
              <w:ind w:firstLine="210" w:firstLineChars="100"/>
              <w:rPr>
                <w:rFonts w:hint="eastAsia"/>
                <w:color w:val="auto"/>
                <w:highlight w:val="none"/>
              </w:rPr>
            </w:pPr>
            <w:r>
              <w:rPr>
                <w:rFonts w:hint="eastAsia"/>
                <w:color w:val="auto"/>
                <w:highlight w:val="none"/>
              </w:rPr>
              <w:t>符合《关于促进残疾人就业政府采购政策的通知》（财库〔2017〕141号）规定的条件并提供提供《残疾人福利性单位声明函》的残疾人福利性单位视同小型、微型企业；</w:t>
            </w:r>
          </w:p>
          <w:p>
            <w:pPr>
              <w:snapToGrid w:val="0"/>
              <w:spacing w:line="312" w:lineRule="auto"/>
              <w:rPr>
                <w:rFonts w:hint="eastAsia"/>
                <w:color w:val="auto"/>
                <w:highlight w:val="none"/>
              </w:rPr>
            </w:pPr>
            <w:r>
              <w:rPr>
                <w:rFonts w:hint="eastAsia"/>
                <w:color w:val="auto"/>
                <w:highlight w:val="none"/>
              </w:rPr>
              <w:t>（3）监狱企业</w:t>
            </w:r>
          </w:p>
          <w:p>
            <w:pPr>
              <w:snapToGrid w:val="0"/>
              <w:spacing w:line="312" w:lineRule="auto"/>
              <w:ind w:firstLine="210" w:firstLineChars="100"/>
              <w:rPr>
                <w:rFonts w:hint="eastAsia"/>
                <w:color w:val="auto"/>
                <w:highlight w:val="none"/>
              </w:rPr>
            </w:pPr>
            <w:r>
              <w:rPr>
                <w:rFonts w:hint="eastAsia"/>
                <w:color w:val="auto"/>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12" w:lineRule="auto"/>
              <w:rPr>
                <w:rFonts w:hint="eastAsia"/>
                <w:color w:val="auto"/>
                <w:highlight w:val="none"/>
              </w:rPr>
            </w:pPr>
            <w:r>
              <w:rPr>
                <w:rFonts w:hint="eastAsia"/>
                <w:color w:val="auto"/>
                <w:highlight w:val="none"/>
              </w:rPr>
              <w:t>4.2、针对本项目的相关规定</w:t>
            </w:r>
          </w:p>
          <w:p>
            <w:pPr>
              <w:tabs>
                <w:tab w:val="left" w:pos="0"/>
              </w:tabs>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tabs>
                <w:tab w:val="left" w:pos="0"/>
              </w:tabs>
              <w:autoSpaceDE w:val="0"/>
              <w:autoSpaceDN w:val="0"/>
              <w:adjustRightInd w:val="0"/>
              <w:spacing w:line="360" w:lineRule="exact"/>
              <w:jc w:val="left"/>
              <w:rPr>
                <w:rFonts w:cs="Calibri"/>
                <w:color w:val="auto"/>
                <w:highlight w:val="none"/>
              </w:rPr>
            </w:pPr>
            <w:r>
              <w:rPr>
                <w:rFonts w:hint="eastAsia" w:ascii="宋体" w:hAnsi="宋体" w:eastAsia="宋体" w:cs="宋体"/>
                <w:color w:val="auto"/>
                <w:szCs w:val="21"/>
                <w:highlight w:val="none"/>
              </w:rPr>
              <w:t>（2）本项目对符合规定的小微企业（含小型企业）报价给予10%的扣除。</w:t>
            </w:r>
          </w:p>
          <w:p>
            <w:pPr>
              <w:tabs>
                <w:tab w:val="left" w:pos="0"/>
              </w:tabs>
              <w:autoSpaceDE w:val="0"/>
              <w:autoSpaceDN w:val="0"/>
              <w:adjustRightIn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（3）本项目对应的中小企业计划分标准所属行业为：</w:t>
            </w:r>
            <w:r>
              <w:rPr>
                <w:rFonts w:hint="eastAsia" w:ascii="宋体" w:hAnsi="宋体" w:cs="宋体"/>
                <w:color w:val="auto"/>
                <w:szCs w:val="21"/>
                <w:highlight w:val="none"/>
                <w:u w:val="single"/>
              </w:rPr>
              <w:t>其他未列明行业</w:t>
            </w:r>
            <w:r>
              <w:rPr>
                <w:rFonts w:hint="eastAsia" w:ascii="宋体" w:hAnsi="宋体" w:cs="宋体"/>
                <w:color w:val="auto"/>
                <w:szCs w:val="21"/>
                <w:highlight w:val="none"/>
              </w:rPr>
              <w:t>。</w:t>
            </w:r>
          </w:p>
          <w:p>
            <w:pPr>
              <w:tabs>
                <w:tab w:val="left" w:pos="0"/>
              </w:tabs>
              <w:autoSpaceDE w:val="0"/>
              <w:autoSpaceDN w:val="0"/>
              <w:adjustRightInd w:val="0"/>
              <w:spacing w:line="360" w:lineRule="exact"/>
              <w:jc w:val="left"/>
              <w:rPr>
                <w:rFonts w:hint="eastAsia"/>
                <w:color w:val="auto"/>
                <w:highlight w:val="none"/>
              </w:rPr>
            </w:pPr>
            <w:r>
              <w:rPr>
                <w:rFonts w:hint="eastAsia" w:ascii="宋体" w:hAnsi="宋体" w:cs="宋体"/>
                <w:color w:val="auto"/>
                <w:szCs w:val="21"/>
                <w:highlight w:val="none"/>
              </w:rPr>
              <w:t>（4）本项目对应的中小企业计划分标准：从业人员300人以下的为中小微型企业。其中，从业人员100人及以上的为中型企业；从业人员10人及以上的为小型企业；从业人员10人以下的为微型企业。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42" w:type="dxa"/>
            <w:noWrap w:val="0"/>
            <w:vAlign w:val="center"/>
          </w:tcPr>
          <w:p>
            <w:pPr>
              <w:pStyle w:val="22"/>
              <w:spacing w:line="360" w:lineRule="auto"/>
              <w:ind w:firstLine="0"/>
              <w:rPr>
                <w:rFonts w:hAnsi="宋体" w:cs="宋体"/>
                <w:color w:val="auto"/>
                <w:kern w:val="2"/>
                <w:sz w:val="21"/>
                <w:szCs w:val="21"/>
                <w:highlight w:val="none"/>
              </w:rPr>
            </w:pPr>
            <w:r>
              <w:rPr>
                <w:rFonts w:hint="eastAsia" w:hAnsi="宋体" w:cs="宋体"/>
                <w:color w:val="auto"/>
                <w:kern w:val="2"/>
                <w:sz w:val="21"/>
                <w:szCs w:val="21"/>
                <w:highlight w:val="none"/>
              </w:rPr>
              <w:t>33</w:t>
            </w:r>
          </w:p>
        </w:tc>
        <w:tc>
          <w:tcPr>
            <w:tcW w:w="1896" w:type="dxa"/>
            <w:noWrap w:val="0"/>
            <w:vAlign w:val="center"/>
          </w:tcPr>
          <w:p>
            <w:pPr>
              <w:snapToGrid w:val="0"/>
              <w:jc w:val="center"/>
              <w:rPr>
                <w:rFonts w:hint="eastAsia" w:ascii="宋体" w:hAnsi="宋体" w:cs="宋体"/>
                <w:color w:val="auto"/>
                <w:szCs w:val="21"/>
                <w:highlight w:val="none"/>
              </w:rPr>
            </w:pPr>
            <w:r>
              <w:rPr>
                <w:rFonts w:hint="eastAsia" w:ascii="Arial" w:hAnsi="Arial" w:cs="Arial"/>
                <w:bCs/>
                <w:color w:val="auto"/>
                <w:highlight w:val="none"/>
              </w:rPr>
              <w:t>项目属性与核心产品</w:t>
            </w:r>
          </w:p>
        </w:tc>
        <w:tc>
          <w:tcPr>
            <w:tcW w:w="6881" w:type="dxa"/>
            <w:noWrap w:val="0"/>
            <w:vAlign w:val="center"/>
          </w:tcPr>
          <w:p>
            <w:pPr>
              <w:pStyle w:val="164"/>
              <w:adjustRightInd w:val="0"/>
              <w:snapToGrid w:val="0"/>
              <w:spacing w:line="300" w:lineRule="auto"/>
              <w:ind w:firstLine="0" w:firstLineChars="0"/>
              <w:rPr>
                <w:rFonts w:hint="eastAsia" w:ascii="宋体" w:hAnsi="宋体" w:cs="宋体"/>
                <w:color w:val="auto"/>
                <w:szCs w:val="21"/>
                <w:highlight w:val="none"/>
              </w:rPr>
            </w:pPr>
            <w:r>
              <w:rPr>
                <w:rFonts w:hint="eastAsia" w:cs="Arial"/>
                <w:bCs/>
                <w:color w:val="auto"/>
                <w:highlight w:val="none"/>
              </w:rPr>
              <w:t>服务类。</w:t>
            </w:r>
          </w:p>
        </w:tc>
      </w:tr>
    </w:tbl>
    <w:p>
      <w:pPr>
        <w:ind w:firstLine="315" w:firstLineChars="150"/>
        <w:rPr>
          <w:rFonts w:hint="eastAsia" w:ascii="宋体" w:hAnsi="宋体" w:cs="宋体"/>
          <w:color w:val="auto"/>
          <w:szCs w:val="21"/>
          <w:highlight w:val="none"/>
        </w:rPr>
      </w:pPr>
    </w:p>
    <w:bookmarkEnd w:id="3"/>
    <w:bookmarkEnd w:id="4"/>
    <w:bookmarkEnd w:id="5"/>
    <w:bookmarkEnd w:id="6"/>
    <w:p>
      <w:pPr>
        <w:rPr>
          <w:rFonts w:hint="eastAsia" w:ascii="宋体" w:hAnsi="宋体" w:cs="宋体"/>
          <w:color w:val="auto"/>
          <w:highlight w:val="none"/>
        </w:rPr>
      </w:pPr>
      <w:bookmarkStart w:id="31" w:name="_Toc82338238"/>
      <w:bookmarkStart w:id="32" w:name="_Toc82873321"/>
      <w:bookmarkStart w:id="33" w:name="_Toc211745567"/>
    </w:p>
    <w:p>
      <w:pPr>
        <w:pStyle w:val="4"/>
        <w:rPr>
          <w:rFonts w:hint="eastAsia" w:ascii="宋体" w:hAnsi="宋体" w:cs="宋体"/>
          <w:color w:val="auto"/>
          <w:highlight w:val="none"/>
        </w:rPr>
      </w:pPr>
      <w:bookmarkStart w:id="34" w:name="_Toc11262"/>
      <w:bookmarkStart w:id="35" w:name="_Toc12216"/>
      <w:r>
        <w:rPr>
          <w:rFonts w:hint="eastAsia" w:ascii="宋体" w:hAnsi="宋体" w:cs="宋体"/>
          <w:color w:val="auto"/>
          <w:highlight w:val="none"/>
        </w:rPr>
        <w:br w:type="page"/>
      </w:r>
      <w:bookmarkStart w:id="36" w:name="_Toc687"/>
      <w:r>
        <w:rPr>
          <w:rFonts w:hint="eastAsia" w:ascii="宋体" w:hAnsi="宋体" w:cs="宋体"/>
          <w:color w:val="auto"/>
          <w:highlight w:val="none"/>
        </w:rPr>
        <w:t>第三章  投标人须知</w:t>
      </w:r>
      <w:bookmarkEnd w:id="31"/>
      <w:bookmarkEnd w:id="32"/>
      <w:bookmarkEnd w:id="33"/>
      <w:bookmarkEnd w:id="34"/>
      <w:bookmarkEnd w:id="35"/>
      <w:bookmarkEnd w:id="36"/>
    </w:p>
    <w:p>
      <w:pPr>
        <w:pStyle w:val="5"/>
        <w:ind w:firstLine="422"/>
        <w:rPr>
          <w:rFonts w:hint="eastAsia" w:ascii="宋体" w:hAnsi="宋体" w:cs="宋体"/>
          <w:color w:val="auto"/>
          <w:highlight w:val="none"/>
        </w:rPr>
      </w:pPr>
      <w:bookmarkStart w:id="37" w:name="_Toc82873322"/>
      <w:bookmarkStart w:id="38" w:name="_Toc82338239"/>
      <w:bookmarkStart w:id="39" w:name="_Toc12469"/>
      <w:r>
        <w:rPr>
          <w:rFonts w:hint="eastAsia" w:ascii="宋体" w:hAnsi="宋体" w:cs="宋体"/>
          <w:color w:val="auto"/>
          <w:highlight w:val="none"/>
        </w:rPr>
        <w:t>一、</w:t>
      </w:r>
      <w:bookmarkEnd w:id="37"/>
      <w:bookmarkEnd w:id="38"/>
      <w:r>
        <w:rPr>
          <w:rFonts w:hint="eastAsia" w:ascii="宋体" w:hAnsi="宋体" w:cs="宋体"/>
          <w:color w:val="auto"/>
          <w:highlight w:val="none"/>
        </w:rPr>
        <w:t>总则</w:t>
      </w:r>
      <w:bookmarkEnd w:id="39"/>
    </w:p>
    <w:p>
      <w:pPr>
        <w:pStyle w:val="164"/>
        <w:spacing w:line="360" w:lineRule="auto"/>
        <w:ind w:firstLine="422"/>
        <w:rPr>
          <w:rFonts w:hint="eastAsia" w:ascii="宋体" w:hAnsi="宋体" w:cs="宋体"/>
          <w:b/>
          <w:bCs/>
          <w:color w:val="auto"/>
          <w:highlight w:val="none"/>
        </w:rPr>
      </w:pPr>
      <w:bookmarkStart w:id="40" w:name="_Toc82873323"/>
      <w:bookmarkStart w:id="41" w:name="_Toc82338240"/>
      <w:r>
        <w:rPr>
          <w:rFonts w:hint="eastAsia" w:ascii="宋体" w:hAnsi="宋体" w:cs="宋体"/>
          <w:b/>
          <w:bCs/>
          <w:color w:val="auto"/>
          <w:highlight w:val="none"/>
        </w:rPr>
        <w:t>1.1、实施依据</w:t>
      </w:r>
    </w:p>
    <w:p>
      <w:pPr>
        <w:pStyle w:val="164"/>
        <w:spacing w:line="360" w:lineRule="auto"/>
        <w:ind w:firstLine="420"/>
        <w:rPr>
          <w:rFonts w:hint="eastAsia" w:ascii="宋体" w:hAnsi="宋体" w:cs="宋体"/>
          <w:color w:val="auto"/>
          <w:highlight w:val="none"/>
        </w:rPr>
      </w:pPr>
      <w:r>
        <w:rPr>
          <w:rFonts w:ascii="宋体" w:hAnsi="宋体" w:cs="Arial"/>
          <w:color w:val="auto"/>
          <w:highlight w:val="none"/>
        </w:rPr>
        <w:t>本次采购工作是按照《中华人民共和国政府采购法》、《中华人民共和国政府采购</w:t>
      </w:r>
      <w:r>
        <w:rPr>
          <w:rFonts w:hint="eastAsia" w:ascii="宋体" w:hAnsi="宋体" w:cs="Arial"/>
          <w:color w:val="auto"/>
          <w:highlight w:val="none"/>
        </w:rPr>
        <w:t>实施条例</w:t>
      </w:r>
      <w:r>
        <w:rPr>
          <w:rFonts w:ascii="宋体" w:hAnsi="宋体" w:cs="Arial"/>
          <w:color w:val="auto"/>
          <w:highlight w:val="none"/>
        </w:rPr>
        <w:t>》</w:t>
      </w:r>
      <w:r>
        <w:rPr>
          <w:rFonts w:hint="eastAsia" w:ascii="宋体" w:hAnsi="宋体" w:cs="Arial"/>
          <w:color w:val="auto"/>
          <w:highlight w:val="none"/>
        </w:rPr>
        <w:t>、《政府采购货物和服务招标投标管理办法》</w:t>
      </w:r>
      <w:r>
        <w:rPr>
          <w:rFonts w:ascii="宋体" w:hAnsi="宋体" w:cs="Arial"/>
          <w:color w:val="auto"/>
          <w:highlight w:val="none"/>
        </w:rPr>
        <w:t>等有关法律、法规、规章、文件等规定组织和实施</w:t>
      </w:r>
      <w:r>
        <w:rPr>
          <w:rFonts w:hint="eastAsia" w:ascii="宋体" w:hAnsi="宋体" w:cs="宋体"/>
          <w:color w:val="auto"/>
          <w:highlight w:val="none"/>
        </w:rPr>
        <w:t>。</w:t>
      </w:r>
    </w:p>
    <w:p>
      <w:pPr>
        <w:pStyle w:val="164"/>
        <w:spacing w:line="360" w:lineRule="auto"/>
        <w:ind w:firstLine="422"/>
        <w:rPr>
          <w:rFonts w:hint="eastAsia" w:ascii="宋体" w:hAnsi="宋体" w:cs="宋体"/>
          <w:b/>
          <w:bCs/>
          <w:color w:val="auto"/>
          <w:highlight w:val="none"/>
        </w:rPr>
      </w:pPr>
      <w:r>
        <w:rPr>
          <w:rFonts w:hint="eastAsia" w:ascii="宋体" w:hAnsi="宋体" w:cs="宋体"/>
          <w:b/>
          <w:bCs/>
          <w:color w:val="auto"/>
          <w:highlight w:val="none"/>
        </w:rPr>
        <w:t>1.2、定义</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1.2.1采购人：是指依法进行政府采购的国家机关、事业单位、团体组织，见“投标人须知前附表”；</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1.2.2采购代理机构：受采购人委托，在委托的范围内办理政府采购事宜的机构，见“投标人须知前附表”；</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1.2.3投标人：是指参加本政府采购项目投标的供应商；</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1.2.4投标人代表：是指参加本项目投标活动的投标人法定代表人或法定代表人授权代表；</w:t>
      </w:r>
    </w:p>
    <w:p>
      <w:pPr>
        <w:pStyle w:val="164"/>
        <w:spacing w:line="360" w:lineRule="auto"/>
        <w:ind w:firstLine="42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1.2.5投标联合体：是指两个以上供应商组成联合体，以一个投标人的身份参加投标。</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1.2.</w:t>
      </w:r>
      <w:r>
        <w:rPr>
          <w:rFonts w:hint="eastAsia" w:ascii="宋体" w:hAnsi="宋体" w:cs="宋体"/>
          <w:color w:val="auto"/>
          <w:highlight w:val="none"/>
          <w:lang w:val="en-US" w:eastAsia="zh-CN"/>
        </w:rPr>
        <w:t>6</w:t>
      </w:r>
      <w:r>
        <w:rPr>
          <w:rFonts w:hint="eastAsia" w:ascii="宋体" w:hAnsi="宋体" w:cs="宋体"/>
          <w:color w:val="auto"/>
          <w:highlight w:val="none"/>
        </w:rPr>
        <w:t>甲方：是指合同签订的一方，一般与采购人、用户相同；</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1.2.</w:t>
      </w:r>
      <w:r>
        <w:rPr>
          <w:rFonts w:hint="eastAsia" w:ascii="宋体" w:hAnsi="宋体" w:cs="宋体"/>
          <w:color w:val="auto"/>
          <w:highlight w:val="none"/>
          <w:lang w:val="en-US" w:eastAsia="zh-CN"/>
        </w:rPr>
        <w:t>7</w:t>
      </w:r>
      <w:r>
        <w:rPr>
          <w:rFonts w:hint="eastAsia" w:ascii="宋体" w:hAnsi="宋体" w:cs="宋体"/>
          <w:color w:val="auto"/>
          <w:highlight w:val="none"/>
        </w:rPr>
        <w:t>乙方：是指合同签订的另一方，与中标人相同；</w:t>
      </w:r>
    </w:p>
    <w:p>
      <w:pPr>
        <w:pStyle w:val="164"/>
        <w:spacing w:line="360" w:lineRule="auto"/>
        <w:ind w:firstLine="426" w:firstLineChars="203"/>
        <w:rPr>
          <w:rFonts w:cs="Arial"/>
          <w:color w:val="auto"/>
          <w:highlight w:val="none"/>
        </w:rPr>
      </w:pPr>
      <w:r>
        <w:rPr>
          <w:rFonts w:hint="eastAsia" w:ascii="宋体" w:hAnsi="宋体" w:cs="宋体"/>
          <w:color w:val="auto"/>
          <w:highlight w:val="none"/>
        </w:rPr>
        <w:t>1.2.</w:t>
      </w:r>
      <w:r>
        <w:rPr>
          <w:rFonts w:hint="eastAsia" w:ascii="宋体" w:hAnsi="宋体" w:cs="宋体"/>
          <w:color w:val="auto"/>
          <w:highlight w:val="none"/>
          <w:lang w:val="en-US" w:eastAsia="zh-CN"/>
        </w:rPr>
        <w:t>8</w:t>
      </w:r>
      <w:r>
        <w:rPr>
          <w:rFonts w:hint="eastAsia" w:ascii="宋体" w:hAnsi="宋体" w:cs="宋体"/>
          <w:color w:val="auto"/>
          <w:highlight w:val="none"/>
        </w:rPr>
        <w:t>“产品”系</w:t>
      </w:r>
      <w:r>
        <w:rPr>
          <w:rFonts w:cs="Arial"/>
          <w:color w:val="auto"/>
          <w:highlight w:val="none"/>
        </w:rPr>
        <w:t>指</w:t>
      </w:r>
      <w:r>
        <w:rPr>
          <w:rFonts w:hint="eastAsia" w:cs="Arial"/>
          <w:color w:val="auto"/>
          <w:highlight w:val="none"/>
        </w:rPr>
        <w:t>投标人</w:t>
      </w:r>
      <w:r>
        <w:rPr>
          <w:rFonts w:cs="Arial"/>
          <w:color w:val="auto"/>
          <w:highlight w:val="none"/>
        </w:rPr>
        <w:t>按</w:t>
      </w:r>
      <w:r>
        <w:rPr>
          <w:rFonts w:hint="eastAsia" w:cs="Arial"/>
          <w:color w:val="auto"/>
          <w:highlight w:val="none"/>
        </w:rPr>
        <w:t>采购</w:t>
      </w:r>
      <w:r>
        <w:rPr>
          <w:rFonts w:cs="Arial"/>
          <w:color w:val="auto"/>
          <w:highlight w:val="none"/>
        </w:rPr>
        <w:t>文件规定，须向采购人提供的一切设备、保险、税金、备品备件、工具、手册及其它有关技术资料和材料。</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1.2.</w:t>
      </w:r>
      <w:r>
        <w:rPr>
          <w:rFonts w:hint="eastAsia" w:ascii="宋体" w:hAnsi="宋体" w:cs="宋体"/>
          <w:color w:val="auto"/>
          <w:highlight w:val="none"/>
          <w:lang w:val="en-US" w:eastAsia="zh-CN"/>
        </w:rPr>
        <w:t>9</w:t>
      </w:r>
      <w:r>
        <w:rPr>
          <w:rFonts w:hint="eastAsia" w:ascii="宋体" w:hAnsi="宋体" w:cs="宋体"/>
          <w:color w:val="auto"/>
          <w:highlight w:val="none"/>
        </w:rPr>
        <w:t>“服务” 系指采购文件或合同规定投标人须承担的本项目服务以及其他项目采购需求规定的服务。</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1.2.</w:t>
      </w:r>
      <w:r>
        <w:rPr>
          <w:rFonts w:hint="eastAsia" w:ascii="宋体" w:hAnsi="宋体" w:cs="宋体"/>
          <w:color w:val="auto"/>
          <w:highlight w:val="none"/>
          <w:lang w:val="en-US" w:eastAsia="zh-CN"/>
        </w:rPr>
        <w:t>10</w:t>
      </w:r>
      <w:r>
        <w:rPr>
          <w:rFonts w:hint="eastAsia" w:ascii="宋体" w:hAnsi="宋体" w:cs="宋体"/>
          <w:color w:val="auto"/>
          <w:highlight w:val="none"/>
        </w:rPr>
        <w:t>“书面形式”包括纸质文件、电子邮件、信函、传真等</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1.2.1</w:t>
      </w:r>
      <w:r>
        <w:rPr>
          <w:rFonts w:hint="eastAsia" w:ascii="宋体" w:hAnsi="宋体" w:cs="宋体"/>
          <w:color w:val="auto"/>
          <w:highlight w:val="none"/>
          <w:lang w:val="en-US" w:eastAsia="zh-CN"/>
        </w:rPr>
        <w:t>1</w:t>
      </w:r>
      <w:r>
        <w:rPr>
          <w:rFonts w:hint="eastAsia" w:ascii="宋体" w:hAnsi="宋体" w:cs="宋体"/>
          <w:color w:val="auto"/>
          <w:highlight w:val="none"/>
        </w:rPr>
        <w:t>实质性响应：是指投标文件相关内容符合招标（采购）文件规定的实质性内容、条款和规定。</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1.2.1</w:t>
      </w:r>
      <w:r>
        <w:rPr>
          <w:rFonts w:hint="eastAsia" w:ascii="宋体" w:hAnsi="宋体" w:cs="宋体"/>
          <w:color w:val="auto"/>
          <w:highlight w:val="none"/>
          <w:lang w:val="en-US" w:eastAsia="zh-CN"/>
        </w:rPr>
        <w:t>2</w:t>
      </w:r>
      <w:r>
        <w:rPr>
          <w:rFonts w:hint="eastAsia" w:ascii="宋体" w:hAnsi="宋体" w:cs="宋体"/>
          <w:color w:val="auto"/>
          <w:highlight w:val="none"/>
        </w:rPr>
        <w:t>采购文件中所有标示“▲”的均为采购人提出的实质性条款，如未实质性响应的，将按无效投标处理。</w:t>
      </w:r>
    </w:p>
    <w:p>
      <w:pPr>
        <w:pStyle w:val="164"/>
        <w:spacing w:line="360" w:lineRule="auto"/>
        <w:ind w:firstLine="420"/>
        <w:rPr>
          <w:rFonts w:hint="default" w:ascii="宋体" w:hAnsi="宋体" w:cs="宋体"/>
          <w:color w:val="auto"/>
          <w:highlight w:val="none"/>
          <w:lang w:val="en-US" w:eastAsia="zh-CN"/>
        </w:rPr>
      </w:pPr>
      <w:r>
        <w:rPr>
          <w:rFonts w:hint="eastAsia" w:ascii="宋体" w:hAnsi="宋体" w:cs="宋体"/>
          <w:color w:val="auto"/>
          <w:highlight w:val="none"/>
          <w:lang w:val="en-US" w:eastAsia="zh-CN"/>
        </w:rPr>
        <w:t>1.2.13联合体（本项目不接受联合体，本条不适用）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以联合体形式参加本项目采购的，联合体的主办单位和成员单位均应当具备招标文件规定的供应商资格要求，并在投标文件中分别提供联合体的主办单位及成员单位的资格条件证明材料，在投标文件中提交联合协议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以联合体形式参加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投标文件的报价表中应列明联合体各成员方的各自承担的内容及对应报价。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投标文件盖章事宜，按联合协议书约定由主办单位盖章，也可由联合体所有成员单位盖章。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联合体成交的，本项目的采购代理服务费由联合体主办单位缴纳，也可由联合体所有成员分摊缴纳。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pPr>
        <w:adjustRightInd w:val="0"/>
        <w:snapToGrid w:val="0"/>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1.3、费用</w:t>
      </w:r>
    </w:p>
    <w:p>
      <w:pPr>
        <w:adjustRightInd w:val="0"/>
        <w:snapToGrid w:val="0"/>
        <w:spacing w:line="360" w:lineRule="auto"/>
        <w:ind w:firstLine="420" w:firstLineChars="200"/>
        <w:rPr>
          <w:rFonts w:hint="eastAsia" w:ascii="宋体" w:hAnsi="宋体" w:cs="宋体"/>
          <w:b/>
          <w:bCs/>
          <w:color w:val="auto"/>
          <w:highlight w:val="none"/>
        </w:rPr>
      </w:pPr>
      <w:r>
        <w:rPr>
          <w:rFonts w:hint="eastAsia" w:ascii="宋体" w:hAnsi="宋体" w:cs="宋体"/>
          <w:color w:val="auto"/>
          <w:highlight w:val="none"/>
        </w:rPr>
        <w:t>无论招投标过程中的做法和结果如何，投标人自行承担招投标活动中所发生的全部费用。</w:t>
      </w:r>
    </w:p>
    <w:p>
      <w:pPr>
        <w:adjustRightInd w:val="0"/>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1.4、保密</w:t>
      </w:r>
    </w:p>
    <w:p>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参与招标投标活动的各方应对采购文件和投标文件中的商业和技术等秘密保密，违者应对此造成的后果承担法律责任。</w:t>
      </w:r>
    </w:p>
    <w:p>
      <w:pPr>
        <w:adjustRightInd w:val="0"/>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1.5、语言文字</w:t>
      </w:r>
    </w:p>
    <w:p>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除专用术语外，与招标投标有关的语言使用中文。专用术语应附有中文注释。</w:t>
      </w:r>
    </w:p>
    <w:p>
      <w:pPr>
        <w:adjustRightInd w:val="0"/>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1.6、计量单位</w:t>
      </w:r>
    </w:p>
    <w:p>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所有计量均采用中华人民共和国法定计量单位。</w:t>
      </w:r>
    </w:p>
    <w:p>
      <w:pPr>
        <w:adjustRightInd w:val="0"/>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1.7、踏勘现场</w:t>
      </w:r>
    </w:p>
    <w:p>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1.7.1</w:t>
      </w:r>
      <w:r>
        <w:rPr>
          <w:rFonts w:hint="eastAsia" w:ascii="宋体" w:hAnsi="宋体" w:cs="宋体"/>
          <w:color w:val="auto"/>
          <w:kern w:val="0"/>
          <w:highlight w:val="none"/>
        </w:rPr>
        <w:t>不组织，</w:t>
      </w:r>
      <w:r>
        <w:rPr>
          <w:rFonts w:hint="eastAsia" w:ascii="宋体" w:hAnsi="宋体" w:cs="宋体"/>
          <w:color w:val="auto"/>
          <w:highlight w:val="none"/>
        </w:rPr>
        <w:t>投标人如有需要，经采购人同意后可自行前往。</w:t>
      </w:r>
    </w:p>
    <w:p>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1.7.2投标人踏勘现场发生的费用自理。</w:t>
      </w:r>
    </w:p>
    <w:p>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1.7.3除采购人的原因外，投标人自行负责在踏勘现场中所发生的人员伤亡和财产损失。</w:t>
      </w:r>
    </w:p>
    <w:p>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1.7.4采购人在踏勘现场中介绍的场地和相关的周边环境情况，供投标人在编制投标文件时参考，采购人不对投标人据此作出的判断和决策负责。</w:t>
      </w:r>
    </w:p>
    <w:p>
      <w:pPr>
        <w:adjustRightInd w:val="0"/>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1.8、答疑会</w:t>
      </w:r>
      <w:r>
        <w:rPr>
          <w:rFonts w:hint="eastAsia" w:cs="Arial"/>
          <w:b/>
          <w:bCs/>
          <w:color w:val="auto"/>
          <w:highlight w:val="none"/>
        </w:rPr>
        <w:t>（本项目不适用）</w:t>
      </w:r>
    </w:p>
    <w:p>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1.8.1投标人须知前附表规定召开答疑会的，采购人按投标人须知前附表规定的时间和地点召开答疑会，澄清投标人提出的问题。</w:t>
      </w:r>
    </w:p>
    <w:p>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1.8.2投标人应在答疑会时间的前一天，以书面形式将提出的问题送达采购人，以便采购人在会议期间澄清。</w:t>
      </w:r>
    </w:p>
    <w:p>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1.8.3答疑会后，采购人按本章2.4款规定对投标人所提问题进行澄清答复。</w:t>
      </w:r>
    </w:p>
    <w:p>
      <w:pPr>
        <w:adjustRightInd w:val="0"/>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1.9、分包</w:t>
      </w:r>
      <w:r>
        <w:rPr>
          <w:rFonts w:hint="eastAsia" w:cs="Arial"/>
          <w:b/>
          <w:bCs/>
          <w:color w:val="auto"/>
          <w:highlight w:val="none"/>
        </w:rPr>
        <w:t>（本项目不适用）</w:t>
      </w:r>
    </w:p>
    <w:p>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投标人须知前附表规定允许分包的，投标人应当在投标文件载明分包的具体情况，应符合采购人在投标人须知前附表规定的分包内容、分包金额和接受分包的第三人资质要求等限制条件。</w:t>
      </w:r>
    </w:p>
    <w:p>
      <w:pPr>
        <w:adjustRightInd w:val="0"/>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1.10、偏离</w:t>
      </w:r>
    </w:p>
    <w:p>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投标文件应完全响应采购文件规定的实质性内容和条件。</w:t>
      </w:r>
    </w:p>
    <w:p>
      <w:pPr>
        <w:adjustRightInd w:val="0"/>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1.11节能环保要求</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1.11.1根据财政部 发展改革委、生态环境部、市场监管总局《关于调整优化节能产品、环境标</w:t>
      </w:r>
      <w:r>
        <w:rPr>
          <w:rFonts w:hint="eastAsia" w:ascii="宋体" w:hAnsi="宋体" w:eastAsia="宋体" w:cs="宋体"/>
          <w:color w:val="auto"/>
          <w:highlight w:val="none"/>
        </w:rPr>
        <w:t>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注：在最新一期节能产品品目清单发布之后开展的政府采购活动，执行最新一期节能清单。在此之前已经开展但尚未进入评审环节的政府采购活动，执行上期或最最新一期品目清单。▲本项目如需采购节能品目清单中的政府强制采购的节能产品的，必须以强制采购的品目清单内产品投标，投标人未按要求提供品目清单内的节能产品或相关证明，投标无效。</w:t>
      </w:r>
    </w:p>
    <w:p>
      <w:pPr>
        <w:spacing w:line="360" w:lineRule="auto"/>
        <w:ind w:firstLine="420" w:firstLineChars="200"/>
        <w:rPr>
          <w:rFonts w:hint="eastAsia"/>
          <w:color w:val="auto"/>
          <w:highlight w:val="none"/>
        </w:rPr>
      </w:pPr>
      <w:r>
        <w:rPr>
          <w:rFonts w:hint="eastAsia" w:ascii="宋体" w:hAnsi="宋体" w:cs="宋体"/>
          <w:bCs/>
          <w:color w:val="auto"/>
          <w:szCs w:val="21"/>
          <w:highlight w:val="none"/>
        </w:rPr>
        <w:t>1.11.2投标人提供产品如是环境标志产品，应当优先提供《关于印发环境标志产品政府采购品目清单的通知》财库〔2019〕18号内产品，涉及项目评分条款加分项时，应当提供财库〔2019〕19号文件清单，并提供国家确定的认证机构出具的、处于有效期之内的环境标志产品认证证书。</w:t>
      </w:r>
    </w:p>
    <w:p>
      <w:pPr>
        <w:adjustRightInd w:val="0"/>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1.12、其他</w:t>
      </w:r>
    </w:p>
    <w:p>
      <w:pPr>
        <w:pStyle w:val="164"/>
        <w:spacing w:line="360" w:lineRule="auto"/>
        <w:ind w:firstLine="420"/>
        <w:rPr>
          <w:rFonts w:hint="eastAsia" w:ascii="宋体" w:hAnsi="宋体" w:cs="宋体"/>
          <w:bCs/>
          <w:color w:val="auto"/>
          <w:highlight w:val="none"/>
          <w:u w:val="single"/>
        </w:rPr>
      </w:pPr>
      <w:r>
        <w:rPr>
          <w:rFonts w:hint="eastAsia" w:ascii="宋体" w:hAnsi="宋体" w:cs="宋体"/>
          <w:color w:val="auto"/>
          <w:highlight w:val="none"/>
        </w:rPr>
        <w:t>1.12.1</w:t>
      </w:r>
      <w:r>
        <w:rPr>
          <w:rFonts w:hint="eastAsia" w:ascii="宋体" w:hAnsi="宋体" w:cs="宋体"/>
          <w:bCs/>
          <w:color w:val="auto"/>
          <w:highlight w:val="none"/>
          <w:u w:val="single"/>
        </w:rPr>
        <w:t>投标人的法定代表人作为投标全权代表参加投标，投标人须在投标文件中提供《法定代表人资格证明书》；法定代表人授权委托人参加投标的，投标人须在投标文件中提供附有《法定代表人资格证明书》的《法定代表人授权委托书》。</w:t>
      </w:r>
    </w:p>
    <w:p>
      <w:pPr>
        <w:pStyle w:val="164"/>
        <w:spacing w:line="360" w:lineRule="auto"/>
        <w:ind w:firstLine="210" w:firstLineChars="100"/>
        <w:rPr>
          <w:rFonts w:hint="eastAsia" w:ascii="宋体" w:hAnsi="宋体" w:cs="宋体"/>
          <w:bCs/>
          <w:color w:val="auto"/>
          <w:highlight w:val="none"/>
        </w:rPr>
      </w:pPr>
      <w:r>
        <w:rPr>
          <w:rFonts w:hint="eastAsia" w:ascii="宋体" w:hAnsi="宋体" w:cs="宋体"/>
          <w:color w:val="auto"/>
          <w:highlight w:val="none"/>
        </w:rPr>
        <w:t>▲1.12.2</w:t>
      </w:r>
      <w:r>
        <w:rPr>
          <w:rFonts w:hint="eastAsia" w:ascii="宋体" w:hAnsi="宋体" w:cs="宋体"/>
          <w:color w:val="auto"/>
          <w:highlight w:val="none"/>
          <w:u w:val="single"/>
        </w:rPr>
        <w:t>投标人对所投标项内的采购内容必须全部进行投标。</w:t>
      </w:r>
    </w:p>
    <w:p>
      <w:pPr>
        <w:pStyle w:val="164"/>
        <w:tabs>
          <w:tab w:val="left" w:pos="191"/>
        </w:tabs>
        <w:spacing w:line="360" w:lineRule="auto"/>
        <w:ind w:left="17" w:leftChars="8" w:firstLine="396" w:firstLineChars="189"/>
        <w:rPr>
          <w:rFonts w:hint="eastAsia" w:ascii="宋体" w:hAnsi="宋体" w:cs="宋体"/>
          <w:color w:val="auto"/>
          <w:highlight w:val="none"/>
        </w:rPr>
      </w:pPr>
      <w:r>
        <w:rPr>
          <w:rFonts w:hint="eastAsia" w:ascii="宋体" w:hAnsi="宋体" w:cs="宋体"/>
          <w:color w:val="auto"/>
          <w:highlight w:val="none"/>
        </w:rPr>
        <w:t>1.12.3 至投标截止时间投标人不足3家或通过资格审查或符合性审查的投标人不足3家的，除采购任务取消情形外，按照以下方式处理：</w:t>
      </w:r>
    </w:p>
    <w:p>
      <w:pPr>
        <w:pStyle w:val="164"/>
        <w:tabs>
          <w:tab w:val="left" w:pos="191"/>
        </w:tabs>
        <w:spacing w:line="360" w:lineRule="auto"/>
        <w:ind w:left="17" w:leftChars="8" w:firstLine="396" w:firstLineChars="189"/>
        <w:rPr>
          <w:rFonts w:hint="eastAsia" w:ascii="宋体" w:hAnsi="宋体" w:cs="宋体"/>
          <w:color w:val="auto"/>
          <w:highlight w:val="none"/>
        </w:rPr>
      </w:pPr>
      <w:r>
        <w:rPr>
          <w:rFonts w:hint="eastAsia" w:ascii="宋体" w:hAnsi="宋体" w:cs="宋体"/>
          <w:color w:val="auto"/>
          <w:highlight w:val="none"/>
        </w:rPr>
        <w:t>（一）采购文件存在不合理条款或者采购程序不符合规定的，采购人、采购代理机构改正后依法重新招标。</w:t>
      </w:r>
    </w:p>
    <w:p>
      <w:pPr>
        <w:pStyle w:val="164"/>
        <w:tabs>
          <w:tab w:val="left" w:pos="191"/>
        </w:tabs>
        <w:spacing w:line="360" w:lineRule="auto"/>
        <w:ind w:left="17" w:leftChars="8" w:firstLine="396" w:firstLineChars="189"/>
        <w:rPr>
          <w:rFonts w:hint="eastAsia" w:ascii="宋体" w:hAnsi="宋体" w:cs="宋体"/>
          <w:color w:val="auto"/>
          <w:highlight w:val="none"/>
        </w:rPr>
      </w:pPr>
      <w:r>
        <w:rPr>
          <w:rFonts w:hint="eastAsia" w:ascii="宋体" w:hAnsi="宋体" w:cs="宋体"/>
          <w:color w:val="auto"/>
          <w:highlight w:val="none"/>
        </w:rPr>
        <w:t>（二）采购文件没有不合理条款、采购程序符合规定，采购人可以采用其他采购方式或重新组织招标。</w:t>
      </w:r>
    </w:p>
    <w:p>
      <w:pPr>
        <w:pStyle w:val="164"/>
        <w:spacing w:line="360" w:lineRule="auto"/>
        <w:ind w:firstLine="420"/>
        <w:rPr>
          <w:rFonts w:hint="eastAsia" w:ascii="宋体" w:hAnsi="宋体" w:cs="宋体"/>
          <w:bCs/>
          <w:color w:val="auto"/>
          <w:highlight w:val="none"/>
        </w:rPr>
      </w:pPr>
      <w:r>
        <w:rPr>
          <w:rFonts w:hint="eastAsia" w:ascii="宋体" w:hAnsi="宋体" w:cs="宋体"/>
          <w:color w:val="auto"/>
          <w:highlight w:val="none"/>
        </w:rPr>
        <w:t>1.12.4</w:t>
      </w:r>
      <w:r>
        <w:rPr>
          <w:rFonts w:hint="eastAsia" w:ascii="宋体" w:hAnsi="宋体" w:cs="Arial"/>
          <w:color w:val="auto"/>
          <w:highlight w:val="none"/>
        </w:rPr>
        <w:t>投标人</w:t>
      </w:r>
      <w:r>
        <w:rPr>
          <w:rFonts w:ascii="宋体" w:hAnsi="宋体" w:cs="Arial"/>
          <w:color w:val="auto"/>
          <w:highlight w:val="none"/>
        </w:rPr>
        <w:t>须对所响应</w:t>
      </w:r>
      <w:r>
        <w:rPr>
          <w:rFonts w:hint="eastAsia" w:ascii="宋体" w:hAnsi="宋体" w:cs="Arial"/>
          <w:color w:val="auto"/>
          <w:highlight w:val="none"/>
        </w:rPr>
        <w:t>服务</w:t>
      </w:r>
      <w:r>
        <w:rPr>
          <w:rFonts w:ascii="宋体" w:hAnsi="宋体" w:cs="Arial"/>
          <w:color w:val="auto"/>
          <w:highlight w:val="none"/>
        </w:rPr>
        <w:t>、方案、技术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cs="Arial"/>
          <w:color w:val="auto"/>
          <w:highlight w:val="none"/>
        </w:rPr>
        <w:t>投标人</w:t>
      </w:r>
      <w:r>
        <w:rPr>
          <w:rFonts w:ascii="宋体" w:hAnsi="宋体" w:cs="Arial"/>
          <w:color w:val="auto"/>
          <w:highlight w:val="none"/>
        </w:rPr>
        <w:t>应承担相应后果，并负责赔偿。</w:t>
      </w:r>
      <w:r>
        <w:rPr>
          <w:rFonts w:hint="eastAsia" w:ascii="宋体" w:hAnsi="宋体" w:cs="Arial"/>
          <w:color w:val="auto"/>
          <w:highlight w:val="none"/>
        </w:rPr>
        <w:t>投标人</w:t>
      </w:r>
      <w:r>
        <w:rPr>
          <w:rFonts w:ascii="宋体" w:hAnsi="宋体" w:cs="Arial"/>
          <w:color w:val="auto"/>
          <w:highlight w:val="none"/>
        </w:rPr>
        <w:t>为执行本项目合同而提供的技术资料等归采购人所有</w:t>
      </w:r>
      <w:r>
        <w:rPr>
          <w:rFonts w:hint="eastAsia" w:ascii="宋体" w:hAnsi="宋体" w:cs="宋体"/>
          <w:bCs/>
          <w:color w:val="auto"/>
          <w:highlight w:val="none"/>
        </w:rPr>
        <w:t>。</w:t>
      </w:r>
    </w:p>
    <w:p>
      <w:pPr>
        <w:pStyle w:val="164"/>
        <w:spacing w:line="360" w:lineRule="auto"/>
        <w:ind w:firstLine="420"/>
        <w:rPr>
          <w:rFonts w:hint="eastAsia" w:ascii="宋体" w:hAnsi="宋体" w:cs="宋体"/>
          <w:bCs/>
          <w:color w:val="auto"/>
          <w:highlight w:val="none"/>
        </w:rPr>
      </w:pPr>
      <w:r>
        <w:rPr>
          <w:rFonts w:hint="eastAsia" w:ascii="宋体" w:hAnsi="宋体" w:cs="宋体"/>
          <w:bCs/>
          <w:color w:val="auto"/>
          <w:highlight w:val="none"/>
        </w:rPr>
        <w:t>1.12.5采购文件中如有描述歧义或前后不一致的地方，评标委员会有权按公平、合理的原则进行评判，但对同一条款的评判适用于每个投标人。</w:t>
      </w:r>
    </w:p>
    <w:p>
      <w:pPr>
        <w:pStyle w:val="164"/>
        <w:spacing w:line="360" w:lineRule="auto"/>
        <w:ind w:firstLine="420"/>
        <w:rPr>
          <w:rFonts w:hint="eastAsia" w:ascii="宋体" w:hAnsi="宋体" w:cs="宋体"/>
          <w:color w:val="auto"/>
          <w:highlight w:val="none"/>
        </w:rPr>
      </w:pPr>
      <w:r>
        <w:rPr>
          <w:rFonts w:hint="eastAsia" w:ascii="宋体" w:hAnsi="宋体" w:cs="宋体"/>
          <w:bCs/>
          <w:color w:val="auto"/>
          <w:highlight w:val="none"/>
        </w:rPr>
        <w:t>1.12.6投标文件的响应内容必须真实、明确、准确。否则，评标委员会将对其作出不利的评审。</w:t>
      </w:r>
    </w:p>
    <w:p>
      <w:pPr>
        <w:pStyle w:val="164"/>
        <w:spacing w:line="360" w:lineRule="auto"/>
        <w:ind w:firstLine="420"/>
        <w:rPr>
          <w:rFonts w:hint="eastAsia" w:ascii="宋体" w:hAnsi="宋体" w:cs="宋体"/>
          <w:bCs/>
          <w:color w:val="auto"/>
          <w:highlight w:val="none"/>
        </w:rPr>
      </w:pPr>
      <w:r>
        <w:rPr>
          <w:rFonts w:hint="eastAsia" w:ascii="宋体" w:hAnsi="宋体" w:cs="宋体"/>
          <w:bCs/>
          <w:color w:val="auto"/>
          <w:highlight w:val="none"/>
        </w:rPr>
        <w:t>1.12.7项目资金为财政拨款，资金已落实。</w:t>
      </w:r>
    </w:p>
    <w:p>
      <w:pPr>
        <w:snapToGrid w:val="0"/>
        <w:spacing w:line="46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1.12.8根据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460" w:lineRule="exact"/>
        <w:ind w:firstLine="480"/>
        <w:rPr>
          <w:rFonts w:hint="eastAsia" w:ascii="宋体" w:hAnsi="宋体" w:cs="宋体"/>
          <w:bCs/>
          <w:color w:val="auto"/>
          <w:highlight w:val="none"/>
        </w:rPr>
      </w:pPr>
      <w:r>
        <w:rPr>
          <w:rFonts w:hint="eastAsia" w:ascii="宋体" w:hAnsi="宋体" w:cs="宋体"/>
          <w:bCs/>
          <w:color w:val="auto"/>
          <w:highlight w:val="none"/>
        </w:rPr>
        <w:t>非单一产品采购项目，招标文件中确定核心产品。多家投标人提供的核心产品品牌全部相同的，按前款规定处理。</w:t>
      </w:r>
    </w:p>
    <w:p>
      <w:pPr>
        <w:pStyle w:val="164"/>
        <w:spacing w:line="360" w:lineRule="auto"/>
        <w:ind w:firstLine="420"/>
        <w:rPr>
          <w:rFonts w:hint="eastAsia" w:ascii="宋体" w:hAnsi="宋体" w:cs="宋体"/>
          <w:bCs/>
          <w:color w:val="auto"/>
          <w:highlight w:val="none"/>
        </w:rPr>
      </w:pPr>
      <w:r>
        <w:rPr>
          <w:rFonts w:hint="eastAsia" w:ascii="宋体" w:hAnsi="宋体" w:cs="宋体"/>
          <w:bCs/>
          <w:color w:val="auto"/>
          <w:highlight w:val="none"/>
        </w:rPr>
        <w:t>1.12.9投标人投标所使用的资格、信誉、荣誉、业绩与企业认证必须为本法人所拥有。投标人母公司（总机构）或者同一母公司下属的其他子公司（同一总机构下属的其他分支机构）的资格、信誉、荣誉、业绩与企业认证等，不为该投标人所拥有。</w:t>
      </w:r>
    </w:p>
    <w:p>
      <w:pPr>
        <w:pStyle w:val="5"/>
        <w:ind w:firstLine="422"/>
        <w:rPr>
          <w:rFonts w:hint="eastAsia" w:ascii="宋体" w:hAnsi="宋体" w:cs="宋体"/>
          <w:color w:val="auto"/>
          <w:highlight w:val="none"/>
        </w:rPr>
      </w:pPr>
      <w:bookmarkStart w:id="42" w:name="_Toc521"/>
      <w:r>
        <w:rPr>
          <w:rFonts w:hint="eastAsia" w:ascii="宋体" w:hAnsi="宋体" w:cs="宋体"/>
          <w:color w:val="auto"/>
          <w:highlight w:val="none"/>
        </w:rPr>
        <w:t>二、</w:t>
      </w:r>
      <w:bookmarkEnd w:id="40"/>
      <w:bookmarkEnd w:id="41"/>
      <w:r>
        <w:rPr>
          <w:rFonts w:hint="eastAsia" w:ascii="宋体" w:hAnsi="宋体" w:cs="宋体"/>
          <w:color w:val="auto"/>
          <w:highlight w:val="none"/>
        </w:rPr>
        <w:t>采购文件</w:t>
      </w:r>
      <w:bookmarkEnd w:id="42"/>
    </w:p>
    <w:p>
      <w:pPr>
        <w:pStyle w:val="164"/>
        <w:spacing w:line="360" w:lineRule="auto"/>
        <w:ind w:firstLine="420"/>
        <w:rPr>
          <w:rFonts w:hint="eastAsia" w:ascii="宋体" w:hAnsi="宋体" w:cs="宋体"/>
          <w:color w:val="auto"/>
          <w:highlight w:val="none"/>
        </w:rPr>
      </w:pPr>
      <w:bookmarkStart w:id="43" w:name="_Toc82338241"/>
      <w:bookmarkStart w:id="44" w:name="_Toc82873324"/>
      <w:r>
        <w:rPr>
          <w:rFonts w:hint="eastAsia" w:ascii="宋体" w:hAnsi="宋体" w:cs="宋体"/>
          <w:color w:val="auto"/>
          <w:highlight w:val="none"/>
        </w:rPr>
        <w:t>2.1、采购文件组成</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2.1.1第一章 采购公告</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2.1.2第二章 投标人须知前附表</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2.1.3第三章 投标人须知</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2.1.4第四章 采购合同主要条款</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2.1.5第五章 投标文件格式</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2.1.6第六章 采购技术需求</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2.1.7第七章 评标办法</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2.1.</w:t>
      </w:r>
      <w:r>
        <w:rPr>
          <w:rFonts w:ascii="宋体" w:hAnsi="宋体" w:cs="宋体"/>
          <w:color w:val="auto"/>
          <w:highlight w:val="none"/>
        </w:rPr>
        <w:t>8</w:t>
      </w:r>
      <w:r>
        <w:rPr>
          <w:rFonts w:hint="eastAsia" w:ascii="宋体" w:hAnsi="宋体" w:cs="宋体"/>
          <w:color w:val="auto"/>
          <w:highlight w:val="none"/>
        </w:rPr>
        <w:t>补充文件（如有）</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2.2、采购文件的解释权</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采购文件的解释权归采购代理机构所有。</w:t>
      </w:r>
    </w:p>
    <w:p>
      <w:pPr>
        <w:pStyle w:val="164"/>
        <w:spacing w:line="360" w:lineRule="auto"/>
        <w:ind w:firstLine="422"/>
        <w:rPr>
          <w:rFonts w:hint="eastAsia" w:cs="Arial"/>
          <w:b/>
          <w:bCs/>
          <w:color w:val="auto"/>
          <w:highlight w:val="none"/>
        </w:rPr>
      </w:pPr>
      <w:r>
        <w:rPr>
          <w:rFonts w:cs="Arial"/>
          <w:b/>
          <w:bCs/>
          <w:color w:val="auto"/>
          <w:highlight w:val="none"/>
        </w:rPr>
        <w:t>2.3、</w:t>
      </w:r>
      <w:r>
        <w:rPr>
          <w:rFonts w:hint="eastAsia" w:cs="Arial"/>
          <w:b/>
          <w:bCs/>
          <w:color w:val="auto"/>
          <w:highlight w:val="none"/>
        </w:rPr>
        <w:t>采购文件</w:t>
      </w:r>
      <w:r>
        <w:rPr>
          <w:rFonts w:cs="Arial"/>
          <w:b/>
          <w:bCs/>
          <w:color w:val="auto"/>
          <w:highlight w:val="none"/>
        </w:rPr>
        <w:t>的质疑</w:t>
      </w:r>
      <w:r>
        <w:rPr>
          <w:rFonts w:hint="eastAsia" w:cs="Arial"/>
          <w:b/>
          <w:bCs/>
          <w:color w:val="auto"/>
          <w:highlight w:val="none"/>
        </w:rPr>
        <w:t>和投诉</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2.3.1投标人认为采购文件、采购过程和成交结果使自己的权益受到损害的，可以在知道或者应知其权益受到损害之日起七个工作日内，以书面形式向采购人和采购代理机构提出质疑，否则不予受理。质疑投标人对采购人、采购代理机构的答复不满意或者采购人、采购代理机构未在规定的时间内作出答复的，可以在答复期满后十五个工作日内向同级政府采购监督管理部门投诉。</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2.3.2投标人应知其权益受到损害之日，是指：</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（1）对可以质疑的采购文件提出质疑的，为收到采购文件之日或者采购公告期限届满之日。</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（2）对采购过程提出质疑的，为各采购程序环节结束之日；对同一采购程序环节的质疑，供应商须一次性提出；</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（3）对中标或者成交结果提出质疑的，为中标或者成交结果公告期限届满之日。</w:t>
      </w:r>
    </w:p>
    <w:p>
      <w:pPr>
        <w:pStyle w:val="164"/>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2.3.3质疑书须包括以下内容：</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（一）质疑人的名称、地址、邮政编码、联系人、联系电话，以及被质疑人名称及联系方式；</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（二）被质疑采购项目名称、编号及采购内容；</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（三）具体的质疑事项及事实依据；</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（四）认为自己合法权益受到损害或可能受到损害的相关证据材料；</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（五）提出质疑的日期。</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2.3.4质疑期限见投标人须知前附表规定。</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2.3.5质疑书中涉及的相关材料中有外文资料的，应当将与质疑相关的外文资料完整、客观、真实地翻译为中文，并注明翻译人员姓名、工作单位、联系方式等信息。</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2.3.6质疑书必须署名，由法定代表人签字（或盖章）并加盖单位公章。</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2.3.7质疑书以直接提交、传真或邮寄方式提交（一式三份）。</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2.3.8质疑书以传真形式提交后，同时须向采购代理机构提交质疑书原件。</w:t>
      </w:r>
    </w:p>
    <w:p>
      <w:pPr>
        <w:pStyle w:val="164"/>
        <w:spacing w:line="360" w:lineRule="auto"/>
        <w:ind w:firstLine="420"/>
        <w:rPr>
          <w:rFonts w:ascii="宋体" w:hAnsi="宋体" w:cs="宋体"/>
          <w:color w:val="auto"/>
          <w:highlight w:val="none"/>
        </w:rPr>
      </w:pPr>
      <w:r>
        <w:rPr>
          <w:rFonts w:ascii="宋体" w:hAnsi="宋体" w:cs="宋体"/>
          <w:color w:val="auto"/>
          <w:highlight w:val="none"/>
        </w:rPr>
        <w:t>2.3.</w:t>
      </w:r>
      <w:r>
        <w:rPr>
          <w:rFonts w:hint="eastAsia" w:ascii="宋体" w:hAnsi="宋体" w:cs="宋体"/>
          <w:color w:val="auto"/>
          <w:highlight w:val="none"/>
        </w:rPr>
        <w:t>9采购人、采购代理机构应当在收到供应商的书面质疑后七个工作日内作出答复，并以书面形式通知质疑供应商和其他与质疑处理结果有利害关系的政府采购当事人，但答复的内容不得涉及商业秘密。</w:t>
      </w:r>
    </w:p>
    <w:p>
      <w:pPr>
        <w:pStyle w:val="164"/>
        <w:spacing w:line="360" w:lineRule="auto"/>
        <w:ind w:firstLine="420"/>
        <w:rPr>
          <w:rFonts w:hint="eastAsia" w:ascii="宋体" w:hAnsi="宋体" w:cs="宋体"/>
          <w:color w:val="auto"/>
          <w:highlight w:val="none"/>
        </w:rPr>
      </w:pPr>
      <w:r>
        <w:rPr>
          <w:rFonts w:ascii="宋体" w:hAnsi="宋体" w:cs="宋体"/>
          <w:color w:val="auto"/>
          <w:highlight w:val="none"/>
        </w:rPr>
        <w:t>2.3.</w:t>
      </w:r>
      <w:r>
        <w:rPr>
          <w:rFonts w:hint="eastAsia" w:ascii="宋体" w:hAnsi="宋体" w:cs="宋体"/>
          <w:color w:val="auto"/>
          <w:highlight w:val="none"/>
        </w:rPr>
        <w:t>10询问或者质疑事项可能影响采购结果的，采购人应当暂停签订合同，已经签订合同的，应当中止履行合同</w:t>
      </w:r>
    </w:p>
    <w:p>
      <w:pPr>
        <w:pStyle w:val="164"/>
        <w:spacing w:line="360" w:lineRule="auto"/>
        <w:ind w:firstLine="42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2.3.11 </w:t>
      </w:r>
      <w:r>
        <w:rPr>
          <w:rFonts w:cs="Arial"/>
          <w:color w:val="auto"/>
          <w:szCs w:val="21"/>
          <w:highlight w:val="none"/>
        </w:rPr>
        <w:t>如联合体投标，质疑应由组成联合体的所有供应商共同提出。</w:t>
      </w:r>
    </w:p>
    <w:p>
      <w:pPr>
        <w:pStyle w:val="164"/>
        <w:spacing w:line="360" w:lineRule="auto"/>
        <w:ind w:firstLine="422"/>
        <w:rPr>
          <w:rFonts w:hint="eastAsia" w:ascii="宋体" w:hAnsi="宋体" w:cs="宋体"/>
          <w:b/>
          <w:bCs/>
          <w:color w:val="auto"/>
          <w:highlight w:val="none"/>
        </w:rPr>
      </w:pPr>
      <w:r>
        <w:rPr>
          <w:rFonts w:hint="eastAsia" w:ascii="宋体" w:hAnsi="宋体" w:cs="宋体"/>
          <w:b/>
          <w:bCs/>
          <w:color w:val="auto"/>
          <w:highlight w:val="none"/>
        </w:rPr>
        <w:t xml:space="preserve">2.4、采购文件的澄清与修改 </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2.4.1投标人应认真阅读本采购文件，发现其中有表述不清晰、前后矛盾等内容的，投标人可以在获取采购文件期限届满之日及之前以书面形式要求采购人、采购代理机构澄清。采购人、采购代理机构对已发出的采购文件进行必要澄清、修改的，应当在响应截止时间15日前；不足15日的，采购人、采购代理机构应当顺延提交响应截止时间。修改和澄清答复文件作为采购文件的补充和组成部分，对所有投标人均有约束力。在财政部门指定的政府采购信息发布媒体上发布更正公告告知获取采购文件的潜在投标人。</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2.4.2采购人、采购代理机构必须更正公告的形式答复投标人要求澄清的问题，并将不包含问题来源的答复更正公告的形式告知所有获取采购文件的投标人；更正公告以外的其他澄清方式及澄清内容均无效。</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2.4.3采购文件澄清、修改的内容为采购文件的组成部分。当采购文件与采购文件的澄清、修改通知就同一内容的表述不一致时，以最后发出的更正公告为准。</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2.4.4采购文件的澄清、修改都应该通过本代理机构发布。</w:t>
      </w:r>
    </w:p>
    <w:p>
      <w:pPr>
        <w:pStyle w:val="5"/>
        <w:ind w:firstLine="422"/>
        <w:rPr>
          <w:rFonts w:hint="eastAsia" w:ascii="宋体" w:hAnsi="宋体" w:cs="宋体"/>
          <w:color w:val="auto"/>
          <w:highlight w:val="none"/>
        </w:rPr>
      </w:pPr>
      <w:bookmarkStart w:id="45" w:name="_Toc19732"/>
      <w:r>
        <w:rPr>
          <w:rFonts w:hint="eastAsia" w:ascii="宋体" w:hAnsi="宋体" w:cs="宋体"/>
          <w:color w:val="auto"/>
          <w:highlight w:val="none"/>
        </w:rPr>
        <w:t>三、投标文件</w:t>
      </w:r>
      <w:bookmarkEnd w:id="43"/>
      <w:bookmarkEnd w:id="44"/>
      <w:bookmarkEnd w:id="45"/>
    </w:p>
    <w:p>
      <w:pPr>
        <w:pStyle w:val="164"/>
        <w:spacing w:line="360" w:lineRule="auto"/>
        <w:ind w:firstLine="422"/>
        <w:rPr>
          <w:rFonts w:hint="eastAsia" w:ascii="宋体" w:hAnsi="宋体" w:cs="宋体"/>
          <w:b/>
          <w:bCs/>
          <w:color w:val="auto"/>
          <w:highlight w:val="none"/>
        </w:rPr>
      </w:pPr>
      <w:r>
        <w:rPr>
          <w:rFonts w:hint="eastAsia" w:ascii="宋体" w:hAnsi="宋体" w:cs="宋体"/>
          <w:b/>
          <w:bCs/>
          <w:color w:val="auto"/>
          <w:highlight w:val="none"/>
        </w:rPr>
        <w:t>3.1、投标文件</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3.1.1 投标人应仔细阅读采购文件规定的所有内容，以保证能全面准确理解采购文件，并按照采购文件要求，详细编制投标文件，投标文件内容必须针对本次招标响应。</w:t>
      </w:r>
    </w:p>
    <w:p>
      <w:pPr>
        <w:pStyle w:val="164"/>
        <w:spacing w:line="360" w:lineRule="auto"/>
        <w:ind w:firstLine="420"/>
        <w:rPr>
          <w:rFonts w:hint="eastAsia" w:ascii="宋体" w:hAnsi="宋体" w:cs="宋体"/>
          <w:bCs/>
          <w:color w:val="auto"/>
          <w:highlight w:val="none"/>
        </w:rPr>
      </w:pPr>
      <w:r>
        <w:rPr>
          <w:rFonts w:hint="eastAsia" w:ascii="宋体" w:hAnsi="宋体" w:cs="宋体"/>
          <w:color w:val="auto"/>
          <w:highlight w:val="none"/>
        </w:rPr>
        <w:t>3.1.2投标人必须按采购文件的要求提供相关资料，并对采购文件中提出的所有内容要求给予实质性响应，须保证投标文件的准确、真实、明确</w:t>
      </w:r>
      <w:r>
        <w:rPr>
          <w:rFonts w:hint="eastAsia" w:ascii="宋体" w:hAnsi="宋体" w:cs="宋体"/>
          <w:bCs/>
          <w:color w:val="auto"/>
          <w:highlight w:val="none"/>
        </w:rPr>
        <w:t>。投标文件响应内容对采购文件要求如有偏离均应填写偏离表，如不填写，采购人有权视作投标文件完全响应采购文件要求。</w:t>
      </w:r>
    </w:p>
    <w:p>
      <w:pPr>
        <w:ind w:firstLine="420"/>
        <w:rPr>
          <w:rFonts w:hint="eastAsia" w:ascii="宋体" w:hAnsi="宋体" w:cs="宋体"/>
          <w:b/>
          <w:color w:val="auto"/>
          <w:highlight w:val="none"/>
        </w:rPr>
      </w:pPr>
      <w:r>
        <w:rPr>
          <w:rFonts w:hint="eastAsia" w:ascii="宋体" w:hAnsi="宋体" w:cs="宋体"/>
          <w:b/>
          <w:color w:val="auto"/>
          <w:sz w:val="22"/>
          <w:szCs w:val="28"/>
          <w:highlight w:val="none"/>
        </w:rPr>
        <w:t>3.2、投标文件组成：</w:t>
      </w:r>
      <w:r>
        <w:rPr>
          <w:rFonts w:hint="eastAsia" w:ascii="宋体" w:hAnsi="宋体" w:cs="宋体"/>
          <w:b/>
          <w:color w:val="auto"/>
          <w:highlight w:val="none"/>
        </w:rPr>
        <w:t>投标文件由资格证明文件、商务技术文件和报价文件三部分组成。</w:t>
      </w:r>
    </w:p>
    <w:p>
      <w:pPr>
        <w:pStyle w:val="164"/>
        <w:spacing w:line="360" w:lineRule="auto"/>
        <w:ind w:firstLine="422"/>
        <w:rPr>
          <w:rFonts w:hint="eastAsia" w:ascii="宋体" w:hAnsi="宋体" w:cs="宋体"/>
          <w:b/>
          <w:color w:val="auto"/>
          <w:highlight w:val="none"/>
        </w:rPr>
      </w:pPr>
      <w:r>
        <w:rPr>
          <w:rFonts w:hint="eastAsia" w:ascii="宋体" w:hAnsi="宋体" w:cs="宋体"/>
          <w:b/>
          <w:color w:val="auto"/>
          <w:highlight w:val="none"/>
        </w:rPr>
        <w:t>3.2.1资格证明文件</w:t>
      </w:r>
    </w:p>
    <w:tbl>
      <w:tblPr>
        <w:tblStyle w:val="54"/>
        <w:tblpPr w:leftFromText="180" w:rightFromText="180" w:vertAnchor="text" w:horzAnchor="page" w:tblpX="1620"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4412"/>
        <w:gridCol w:w="3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15"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412"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强制性资格条件</w:t>
            </w:r>
          </w:p>
        </w:tc>
        <w:tc>
          <w:tcPr>
            <w:tcW w:w="3951"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证明资料附后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515" w:type="dxa"/>
            <w:noWrap w:val="0"/>
            <w:vAlign w:val="center"/>
          </w:tcPr>
          <w:p>
            <w:pPr>
              <w:jc w:val="center"/>
              <w:rPr>
                <w:rFonts w:ascii="宋体" w:hAnsi="宋体" w:cs="宋体"/>
                <w:color w:val="auto"/>
                <w:szCs w:val="21"/>
                <w:highlight w:val="none"/>
              </w:rPr>
            </w:pPr>
            <w:r>
              <w:rPr>
                <w:rFonts w:ascii="宋体" w:hAnsi="宋体" w:cs="宋体"/>
                <w:color w:val="auto"/>
                <w:szCs w:val="21"/>
                <w:highlight w:val="none"/>
              </w:rPr>
              <w:t>1</w:t>
            </w:r>
          </w:p>
        </w:tc>
        <w:tc>
          <w:tcPr>
            <w:tcW w:w="4412" w:type="dxa"/>
            <w:noWrap w:val="0"/>
            <w:vAlign w:val="center"/>
          </w:tcPr>
          <w:p>
            <w:pPr>
              <w:rPr>
                <w:rFonts w:ascii="宋体" w:hAnsi="宋体" w:cs="宋体"/>
                <w:color w:val="auto"/>
                <w:kern w:val="0"/>
                <w:szCs w:val="21"/>
                <w:highlight w:val="none"/>
              </w:rPr>
            </w:pPr>
            <w:r>
              <w:rPr>
                <w:rFonts w:hint="eastAsia" w:ascii="宋体" w:hAnsi="宋体" w:cs="宋体"/>
                <w:color w:val="auto"/>
                <w:highlight w:val="none"/>
              </w:rPr>
              <w:t>具有独立承担民事责任的能力</w:t>
            </w:r>
          </w:p>
        </w:tc>
        <w:tc>
          <w:tcPr>
            <w:tcW w:w="3951" w:type="dxa"/>
            <w:noWrap w:val="0"/>
            <w:vAlign w:val="center"/>
          </w:tcPr>
          <w:p>
            <w:pPr>
              <w:jc w:val="left"/>
              <w:rPr>
                <w:rFonts w:ascii="宋体" w:hAnsi="宋体" w:cs="宋体"/>
                <w:color w:val="auto"/>
                <w:szCs w:val="21"/>
                <w:highlight w:val="none"/>
              </w:rPr>
            </w:pPr>
            <w:r>
              <w:rPr>
                <w:rFonts w:hint="eastAsia" w:ascii="宋体" w:hAnsi="宋体" w:cs="宋体"/>
                <w:color w:val="auto"/>
                <w:szCs w:val="21"/>
                <w:highlight w:val="none"/>
              </w:rPr>
              <w:t>营业执照</w:t>
            </w:r>
            <w:r>
              <w:rPr>
                <w:rFonts w:ascii="宋体" w:hAnsi="宋体" w:cs="宋体"/>
                <w:color w:val="auto"/>
                <w:szCs w:val="21"/>
                <w:highlight w:val="none"/>
              </w:rPr>
              <w:t>(或事业法人登记证书或其它工商等登记证明材料；自然人参与政府采购，提供身份证)复印件、实施“五证合一、一照一码”登记制度改革的，只需提供改革后取得的营业执照复印件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15" w:type="dxa"/>
            <w:noWrap w:val="0"/>
            <w:vAlign w:val="center"/>
          </w:tcPr>
          <w:p>
            <w:pPr>
              <w:jc w:val="center"/>
              <w:rPr>
                <w:rFonts w:ascii="宋体" w:hAnsi="宋体" w:cs="宋体"/>
                <w:color w:val="auto"/>
                <w:szCs w:val="21"/>
                <w:highlight w:val="none"/>
              </w:rPr>
            </w:pPr>
            <w:r>
              <w:rPr>
                <w:rFonts w:ascii="宋体" w:hAnsi="宋体" w:cs="宋体"/>
                <w:color w:val="auto"/>
                <w:szCs w:val="21"/>
                <w:highlight w:val="none"/>
              </w:rPr>
              <w:t>2</w:t>
            </w:r>
          </w:p>
        </w:tc>
        <w:tc>
          <w:tcPr>
            <w:tcW w:w="4412" w:type="dxa"/>
            <w:noWrap w:val="0"/>
            <w:vAlign w:val="center"/>
          </w:tcPr>
          <w:p>
            <w:pPr>
              <w:rPr>
                <w:rFonts w:ascii="宋体" w:hAnsi="宋体" w:cs="宋体"/>
                <w:color w:val="auto"/>
                <w:highlight w:val="none"/>
              </w:rPr>
            </w:pPr>
            <w:r>
              <w:rPr>
                <w:rFonts w:hint="eastAsia" w:ascii="宋体" w:hAnsi="宋体" w:cs="宋体"/>
                <w:color w:val="auto"/>
                <w:highlight w:val="none"/>
              </w:rPr>
              <w:t>具有良好的商业信誉和健全的财务会计制度</w:t>
            </w:r>
          </w:p>
        </w:tc>
        <w:tc>
          <w:tcPr>
            <w:tcW w:w="3951" w:type="dxa"/>
            <w:vMerge w:val="restart"/>
            <w:noWrap w:val="0"/>
            <w:vAlign w:val="center"/>
          </w:tcPr>
          <w:p>
            <w:pPr>
              <w:jc w:val="left"/>
              <w:rPr>
                <w:rFonts w:hint="eastAsia" w:ascii="宋体" w:hAnsi="宋体" w:cs="宋体"/>
                <w:color w:val="auto"/>
                <w:highlight w:val="none"/>
              </w:rPr>
            </w:pPr>
            <w:r>
              <w:rPr>
                <w:rFonts w:hint="eastAsia" w:ascii="宋体" w:hAnsi="宋体" w:cs="宋体"/>
                <w:color w:val="auto"/>
                <w:highlight w:val="none"/>
              </w:rPr>
              <w:t>详见承诺函格式</w:t>
            </w:r>
          </w:p>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15" w:type="dxa"/>
            <w:noWrap w:val="0"/>
            <w:vAlign w:val="center"/>
          </w:tcPr>
          <w:p>
            <w:pPr>
              <w:jc w:val="center"/>
              <w:rPr>
                <w:rFonts w:ascii="宋体" w:hAnsi="宋体" w:cs="宋体"/>
                <w:color w:val="auto"/>
                <w:szCs w:val="21"/>
                <w:highlight w:val="none"/>
              </w:rPr>
            </w:pPr>
            <w:r>
              <w:rPr>
                <w:rFonts w:ascii="宋体" w:hAnsi="宋体" w:cs="宋体"/>
                <w:color w:val="auto"/>
                <w:szCs w:val="21"/>
                <w:highlight w:val="none"/>
              </w:rPr>
              <w:t>3</w:t>
            </w:r>
          </w:p>
        </w:tc>
        <w:tc>
          <w:tcPr>
            <w:tcW w:w="4412" w:type="dxa"/>
            <w:noWrap w:val="0"/>
            <w:vAlign w:val="center"/>
          </w:tcPr>
          <w:p>
            <w:pPr>
              <w:rPr>
                <w:rFonts w:ascii="宋体" w:hAnsi="宋体" w:cs="宋体"/>
                <w:color w:val="auto"/>
                <w:highlight w:val="none"/>
              </w:rPr>
            </w:pPr>
            <w:r>
              <w:rPr>
                <w:rFonts w:hint="eastAsia" w:ascii="宋体" w:hAnsi="宋体" w:cs="宋体"/>
                <w:color w:val="auto"/>
                <w:highlight w:val="none"/>
              </w:rPr>
              <w:t>具有履行合同所必需的设备和专业技术能力</w:t>
            </w:r>
          </w:p>
        </w:tc>
        <w:tc>
          <w:tcPr>
            <w:tcW w:w="3951" w:type="dxa"/>
            <w:vMerge w:val="continue"/>
            <w:noWrap w:val="0"/>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15" w:type="dxa"/>
            <w:noWrap w:val="0"/>
            <w:vAlign w:val="center"/>
          </w:tcPr>
          <w:p>
            <w:pPr>
              <w:jc w:val="center"/>
              <w:rPr>
                <w:rFonts w:ascii="宋体" w:hAnsi="宋体" w:cs="宋体"/>
                <w:color w:val="auto"/>
                <w:szCs w:val="21"/>
                <w:highlight w:val="none"/>
              </w:rPr>
            </w:pPr>
            <w:r>
              <w:rPr>
                <w:rFonts w:ascii="宋体" w:hAnsi="宋体" w:cs="宋体"/>
                <w:color w:val="auto"/>
                <w:szCs w:val="21"/>
                <w:highlight w:val="none"/>
              </w:rPr>
              <w:t>4</w:t>
            </w:r>
          </w:p>
        </w:tc>
        <w:tc>
          <w:tcPr>
            <w:tcW w:w="4412" w:type="dxa"/>
            <w:noWrap w:val="0"/>
            <w:vAlign w:val="center"/>
          </w:tcPr>
          <w:p>
            <w:pPr>
              <w:rPr>
                <w:rFonts w:ascii="宋体" w:hAnsi="宋体" w:cs="宋体"/>
                <w:color w:val="auto"/>
                <w:highlight w:val="none"/>
              </w:rPr>
            </w:pPr>
            <w:r>
              <w:rPr>
                <w:rFonts w:hint="eastAsia" w:ascii="宋体" w:hAnsi="宋体" w:cs="宋体"/>
                <w:color w:val="auto"/>
                <w:highlight w:val="none"/>
              </w:rPr>
              <w:t>有依法缴纳税收和社会保障资金的良好记录</w:t>
            </w:r>
          </w:p>
        </w:tc>
        <w:tc>
          <w:tcPr>
            <w:tcW w:w="3951" w:type="dxa"/>
            <w:vMerge w:val="continue"/>
            <w:noWrap w:val="0"/>
            <w:vAlign w:val="center"/>
          </w:tcPr>
          <w:p>
            <w:pPr>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15" w:type="dxa"/>
            <w:noWrap w:val="0"/>
            <w:vAlign w:val="center"/>
          </w:tcPr>
          <w:p>
            <w:pPr>
              <w:jc w:val="center"/>
              <w:rPr>
                <w:rFonts w:ascii="宋体" w:hAnsi="宋体" w:cs="宋体"/>
                <w:color w:val="auto"/>
                <w:szCs w:val="21"/>
                <w:highlight w:val="none"/>
              </w:rPr>
            </w:pPr>
            <w:r>
              <w:rPr>
                <w:rFonts w:ascii="宋体" w:hAnsi="宋体" w:cs="宋体"/>
                <w:color w:val="auto"/>
                <w:szCs w:val="21"/>
                <w:highlight w:val="none"/>
              </w:rPr>
              <w:t>5</w:t>
            </w:r>
          </w:p>
        </w:tc>
        <w:tc>
          <w:tcPr>
            <w:tcW w:w="4412" w:type="dxa"/>
            <w:noWrap w:val="0"/>
            <w:vAlign w:val="center"/>
          </w:tcPr>
          <w:p>
            <w:pPr>
              <w:rPr>
                <w:rFonts w:ascii="宋体" w:hAnsi="宋体" w:cs="宋体"/>
                <w:color w:val="auto"/>
                <w:highlight w:val="none"/>
              </w:rPr>
            </w:pPr>
            <w:r>
              <w:rPr>
                <w:rFonts w:hint="eastAsia" w:ascii="宋体" w:hAnsi="宋体" w:cs="宋体"/>
                <w:color w:val="auto"/>
                <w:highlight w:val="none"/>
              </w:rPr>
              <w:t>参加政府采购活动前三年内，在经营活动中没有重大违法记录</w:t>
            </w:r>
          </w:p>
        </w:tc>
        <w:tc>
          <w:tcPr>
            <w:tcW w:w="3951" w:type="dxa"/>
            <w:vMerge w:val="continue"/>
            <w:noWrap w:val="0"/>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15" w:type="dxa"/>
            <w:noWrap w:val="0"/>
            <w:vAlign w:val="center"/>
          </w:tcPr>
          <w:p>
            <w:pPr>
              <w:jc w:val="center"/>
              <w:rPr>
                <w:rFonts w:ascii="宋体" w:hAnsi="宋体" w:cs="宋体"/>
                <w:color w:val="auto"/>
                <w:szCs w:val="21"/>
                <w:highlight w:val="none"/>
              </w:rPr>
            </w:pPr>
            <w:r>
              <w:rPr>
                <w:rFonts w:ascii="宋体" w:hAnsi="宋体" w:cs="宋体"/>
                <w:color w:val="auto"/>
                <w:szCs w:val="21"/>
                <w:highlight w:val="none"/>
              </w:rPr>
              <w:t>6</w:t>
            </w:r>
          </w:p>
        </w:tc>
        <w:tc>
          <w:tcPr>
            <w:tcW w:w="4412" w:type="dxa"/>
            <w:noWrap w:val="0"/>
            <w:vAlign w:val="center"/>
          </w:tcPr>
          <w:p>
            <w:pPr>
              <w:wordWrap w:val="0"/>
              <w:rPr>
                <w:rFonts w:ascii="宋体" w:hAnsi="宋体" w:cs="宋体"/>
                <w:color w:val="auto"/>
                <w:highlight w:val="none"/>
              </w:rPr>
            </w:pPr>
            <w:r>
              <w:rPr>
                <w:rFonts w:hint="eastAsia" w:ascii="宋体" w:hAnsi="宋体" w:cs="宋体"/>
                <w:color w:val="auto"/>
                <w:kern w:val="0"/>
                <w:szCs w:val="21"/>
                <w:highlight w:val="none"/>
              </w:rPr>
              <w:t>未被“信用中国”（</w:t>
            </w:r>
            <w:r>
              <w:rPr>
                <w:rFonts w:ascii="宋体" w:hAnsi="宋体" w:cs="宋体"/>
                <w:color w:val="auto"/>
                <w:kern w:val="0"/>
                <w:szCs w:val="21"/>
                <w:highlight w:val="none"/>
              </w:rPr>
              <w:t>www.creditchina.gov.cn）、中国政府采购网（www.ccgp.gov.cn）列入失信被执行人、重大税收违法案件当事人名单、政府采购严重违法失信行为记录名单</w:t>
            </w:r>
          </w:p>
        </w:tc>
        <w:tc>
          <w:tcPr>
            <w:tcW w:w="3951" w:type="dxa"/>
            <w:vMerge w:val="continue"/>
            <w:noWrap w:val="0"/>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15" w:type="dxa"/>
            <w:noWrap w:val="0"/>
            <w:vAlign w:val="center"/>
          </w:tcPr>
          <w:p>
            <w:pPr>
              <w:jc w:val="center"/>
              <w:rPr>
                <w:rFonts w:ascii="宋体" w:hAnsi="宋体" w:cs="宋体"/>
                <w:color w:val="auto"/>
                <w:szCs w:val="21"/>
                <w:highlight w:val="none"/>
              </w:rPr>
            </w:pPr>
            <w:r>
              <w:rPr>
                <w:rFonts w:ascii="宋体" w:hAnsi="宋体" w:cs="宋体"/>
                <w:color w:val="auto"/>
                <w:szCs w:val="21"/>
                <w:highlight w:val="none"/>
              </w:rPr>
              <w:t>7</w:t>
            </w:r>
          </w:p>
        </w:tc>
        <w:tc>
          <w:tcPr>
            <w:tcW w:w="4412" w:type="dxa"/>
            <w:noWrap w:val="0"/>
            <w:vAlign w:val="center"/>
          </w:tcPr>
          <w:p>
            <w:pPr>
              <w:wordWrap w:val="0"/>
              <w:rPr>
                <w:rFonts w:ascii="宋体" w:hAnsi="宋体" w:cs="宋体"/>
                <w:color w:val="auto"/>
                <w:kern w:val="0"/>
                <w:szCs w:val="21"/>
                <w:highlight w:val="none"/>
              </w:rPr>
            </w:pPr>
            <w:r>
              <w:rPr>
                <w:rFonts w:cs="Arial"/>
                <w:szCs w:val="21"/>
              </w:rPr>
              <w:t>单位负责人为同一人或者存在直接控股、管理关系的不同投标人，不得参加本项目的政府采购活动</w:t>
            </w:r>
          </w:p>
        </w:tc>
        <w:tc>
          <w:tcPr>
            <w:tcW w:w="3951" w:type="dxa"/>
            <w:vMerge w:val="continue"/>
            <w:noWrap w:val="0"/>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15" w:type="dxa"/>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4412" w:type="dxa"/>
            <w:noWrap w:val="0"/>
            <w:vAlign w:val="center"/>
          </w:tcPr>
          <w:p>
            <w:pPr>
              <w:wordWrap w:val="0"/>
              <w:rPr>
                <w:rFonts w:cs="Arial"/>
                <w:szCs w:val="21"/>
              </w:rPr>
            </w:pPr>
            <w:r>
              <w:rPr>
                <w:rFonts w:cs="Arial"/>
                <w:kern w:val="0"/>
                <w:szCs w:val="21"/>
              </w:rPr>
              <w:t>为采购项目提供整体设计、规范编制或者项目管理、监理、检测等服务的供应商不得参加本项目的政府采购活动</w:t>
            </w:r>
          </w:p>
        </w:tc>
        <w:tc>
          <w:tcPr>
            <w:tcW w:w="3951" w:type="dxa"/>
            <w:vMerge w:val="continue"/>
            <w:noWrap w:val="0"/>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15" w:type="dxa"/>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4412" w:type="dxa"/>
            <w:noWrap w:val="0"/>
            <w:vAlign w:val="center"/>
          </w:tcPr>
          <w:p>
            <w:pPr>
              <w:wordWrap w:val="0"/>
              <w:rPr>
                <w:rFonts w:ascii="宋体" w:hAnsi="宋体" w:cs="宋体"/>
                <w:color w:val="auto"/>
                <w:szCs w:val="21"/>
                <w:highlight w:val="none"/>
              </w:rPr>
            </w:pPr>
            <w:r>
              <w:rPr>
                <w:rFonts w:hint="eastAsia" w:ascii="宋体" w:hAnsi="宋体" w:cs="宋体"/>
                <w:color w:val="auto"/>
                <w:szCs w:val="21"/>
              </w:rPr>
              <w:t>本项目不受联合体投标</w:t>
            </w:r>
          </w:p>
        </w:tc>
        <w:tc>
          <w:tcPr>
            <w:tcW w:w="3951" w:type="dxa"/>
            <w:vMerge w:val="continue"/>
            <w:noWrap w:val="0"/>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15"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4412" w:type="dxa"/>
            <w:noWrap w:val="0"/>
            <w:vAlign w:val="center"/>
          </w:tcPr>
          <w:p>
            <w:pPr>
              <w:wordWrap w:val="0"/>
              <w:rPr>
                <w:rFonts w:hint="eastAsia" w:ascii="宋体" w:hAnsi="宋体" w:cs="宋体"/>
                <w:color w:val="auto"/>
                <w:szCs w:val="21"/>
                <w:highlight w:val="none"/>
              </w:rPr>
            </w:pPr>
            <w:r>
              <w:rPr>
                <w:rFonts w:hint="eastAsia" w:ascii="宋体" w:hAnsi="宋体" w:cs="宋体"/>
                <w:color w:val="auto"/>
                <w:kern w:val="0"/>
                <w:szCs w:val="21"/>
                <w:highlight w:val="none"/>
              </w:rPr>
              <w:t>落实政府采购政策需满足的资格要求：</w:t>
            </w:r>
          </w:p>
        </w:tc>
        <w:tc>
          <w:tcPr>
            <w:tcW w:w="3951" w:type="dxa"/>
            <w:noWrap w:val="0"/>
            <w:vAlign w:val="center"/>
          </w:tcPr>
          <w:p>
            <w:pPr>
              <w:rPr>
                <w:rFonts w:hint="eastAsia" w:ascii="宋体" w:hAnsi="宋体" w:cs="宋体"/>
                <w:color w:val="auto"/>
                <w:highlight w:val="none"/>
              </w:rPr>
            </w:pP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15" w:type="dxa"/>
            <w:noWrap w:val="0"/>
            <w:vAlign w:val="center"/>
          </w:tcPr>
          <w:p>
            <w:pPr>
              <w:jc w:val="center"/>
              <w:rPr>
                <w:rFonts w:hint="eastAsia" w:ascii="宋体" w:hAnsi="宋体" w:eastAsia="宋体" w:cs="宋体"/>
                <w:color w:val="auto"/>
                <w:szCs w:val="21"/>
                <w:highlight w:val="none"/>
                <w:lang w:val="en-US" w:eastAsia="zh-CN"/>
              </w:rPr>
            </w:pPr>
            <w:r>
              <w:rPr>
                <w:rFonts w:ascii="宋体" w:hAnsi="宋体" w:cs="宋体"/>
                <w:color w:val="auto"/>
                <w:szCs w:val="21"/>
                <w:highlight w:val="none"/>
              </w:rPr>
              <w:t>1</w:t>
            </w:r>
            <w:r>
              <w:rPr>
                <w:rFonts w:hint="eastAsia" w:ascii="宋体" w:hAnsi="宋体" w:cs="宋体"/>
                <w:color w:val="auto"/>
                <w:szCs w:val="21"/>
                <w:highlight w:val="none"/>
                <w:lang w:val="en-US" w:eastAsia="zh-CN"/>
              </w:rPr>
              <w:t>1</w:t>
            </w:r>
          </w:p>
        </w:tc>
        <w:tc>
          <w:tcPr>
            <w:tcW w:w="4412" w:type="dxa"/>
            <w:noWrap w:val="0"/>
            <w:vAlign w:val="center"/>
          </w:tcPr>
          <w:p>
            <w:pPr>
              <w:wordWrap w:val="0"/>
              <w:rPr>
                <w:rFonts w:hint="eastAsia" w:ascii="宋体" w:hAnsi="宋体" w:eastAsia="宋体" w:cs="宋体"/>
                <w:color w:val="auto"/>
                <w:kern w:val="0"/>
                <w:szCs w:val="21"/>
                <w:highlight w:val="none"/>
              </w:rPr>
            </w:pPr>
            <w:r>
              <w:rPr>
                <w:rFonts w:hint="eastAsia" w:ascii="宋体" w:hAnsi="宋体" w:cs="Arial"/>
                <w:color w:val="auto"/>
                <w:kern w:val="0"/>
                <w:szCs w:val="21"/>
                <w:highlight w:val="none"/>
                <w:lang w:val="en-US" w:eastAsia="zh-CN"/>
              </w:rPr>
              <w:t>具备乙级及以上测绘资质（须包含测绘航空摄影、地理信息系统）</w:t>
            </w:r>
            <w:r>
              <w:rPr>
                <w:rFonts w:hint="eastAsia"/>
                <w:color w:val="auto"/>
                <w:szCs w:val="22"/>
                <w:highlight w:val="none"/>
                <w:lang w:val="en-US" w:eastAsia="zh-CN"/>
              </w:rPr>
              <w:t>；</w:t>
            </w:r>
          </w:p>
        </w:tc>
        <w:tc>
          <w:tcPr>
            <w:tcW w:w="3951" w:type="dxa"/>
            <w:noWrap w:val="0"/>
            <w:vAlign w:val="center"/>
          </w:tcPr>
          <w:p>
            <w:pPr>
              <w:wordWrap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提供有效的</w:t>
            </w:r>
            <w:r>
              <w:rPr>
                <w:rFonts w:hint="eastAsia" w:ascii="宋体" w:hAnsi="宋体" w:eastAsia="宋体" w:cs="宋体"/>
                <w:color w:val="auto"/>
                <w:kern w:val="0"/>
                <w:szCs w:val="21"/>
                <w:highlight w:val="none"/>
                <w:lang w:val="en-US" w:eastAsia="zh-CN"/>
              </w:rPr>
              <w:t>测绘资质证书</w:t>
            </w:r>
            <w:r>
              <w:rPr>
                <w:rFonts w:hint="eastAsia" w:ascii="宋体" w:hAnsi="宋体" w:eastAsia="宋体" w:cs="宋体"/>
                <w:color w:val="auto"/>
                <w:kern w:val="0"/>
                <w:szCs w:val="21"/>
                <w:highlight w:val="none"/>
              </w:rPr>
              <w:t>复制件</w:t>
            </w:r>
          </w:p>
        </w:tc>
      </w:tr>
    </w:tbl>
    <w:p>
      <w:pPr>
        <w:spacing w:line="400" w:lineRule="exact"/>
        <w:ind w:firstLine="422" w:firstLineChars="200"/>
        <w:rPr>
          <w:rFonts w:hint="eastAsia" w:ascii="宋体" w:hAnsi="宋体" w:cs="宋体"/>
          <w:b/>
          <w:bCs/>
          <w:color w:val="auto"/>
          <w:highlight w:val="none"/>
        </w:rPr>
      </w:pPr>
      <w:r>
        <w:rPr>
          <w:rFonts w:hint="eastAsia" w:ascii="宋体" w:hAnsi="宋体" w:cs="宋体"/>
          <w:b/>
          <w:bCs/>
          <w:color w:val="auto"/>
          <w:highlight w:val="none"/>
        </w:rPr>
        <w:t>注：上述资格条件审查材料有一项不提供的，视为资格审查不通过。</w:t>
      </w:r>
    </w:p>
    <w:p>
      <w:pPr>
        <w:pStyle w:val="164"/>
        <w:spacing w:line="360" w:lineRule="auto"/>
        <w:ind w:firstLine="482"/>
        <w:rPr>
          <w:rFonts w:hint="eastAsia" w:ascii="宋体" w:hAnsi="宋体" w:cs="宋体"/>
          <w:b/>
          <w:color w:val="auto"/>
          <w:sz w:val="24"/>
          <w:szCs w:val="32"/>
          <w:highlight w:val="none"/>
        </w:rPr>
      </w:pPr>
      <w:r>
        <w:rPr>
          <w:rFonts w:hint="eastAsia" w:ascii="宋体" w:hAnsi="宋体" w:cs="宋体"/>
          <w:b/>
          <w:color w:val="auto"/>
          <w:sz w:val="24"/>
          <w:szCs w:val="32"/>
          <w:highlight w:val="none"/>
        </w:rPr>
        <w:t>3.2.2 商务技术部分</w:t>
      </w:r>
    </w:p>
    <w:p>
      <w:pPr>
        <w:pStyle w:val="164"/>
        <w:spacing w:line="360" w:lineRule="auto"/>
        <w:ind w:firstLine="422"/>
        <w:rPr>
          <w:rFonts w:hint="eastAsia" w:ascii="宋体" w:hAnsi="宋体" w:cs="宋体"/>
          <w:b/>
          <w:color w:val="auto"/>
          <w:highlight w:val="none"/>
        </w:rPr>
      </w:pPr>
      <w:r>
        <w:rPr>
          <w:rFonts w:hint="eastAsia" w:ascii="宋体" w:hAnsi="宋体" w:cs="宋体"/>
          <w:b/>
          <w:color w:val="auto"/>
          <w:highlight w:val="none"/>
        </w:rPr>
        <w:t>A．商务部分</w:t>
      </w:r>
    </w:p>
    <w:p>
      <w:pPr>
        <w:pStyle w:val="164"/>
        <w:spacing w:line="360" w:lineRule="auto"/>
        <w:ind w:firstLine="422"/>
        <w:rPr>
          <w:rFonts w:hint="eastAsia" w:ascii="宋体" w:hAnsi="宋体" w:cs="宋体"/>
          <w:b/>
          <w:color w:val="auto"/>
          <w:highlight w:val="none"/>
        </w:rPr>
      </w:pPr>
      <w:r>
        <w:rPr>
          <w:rFonts w:hint="eastAsia" w:ascii="宋体" w:hAnsi="宋体" w:cs="宋体"/>
          <w:b/>
          <w:color w:val="auto"/>
          <w:highlight w:val="none"/>
        </w:rPr>
        <w:t>A．资信部分</w:t>
      </w:r>
    </w:p>
    <w:p>
      <w:pPr>
        <w:pStyle w:val="22"/>
        <w:spacing w:before="0" w:line="360" w:lineRule="auto"/>
        <w:ind w:firstLine="419" w:firstLineChars="212"/>
        <w:jc w:val="left"/>
        <w:rPr>
          <w:rFonts w:hint="eastAsia" w:ascii="Times New Roman"/>
          <w:color w:val="auto"/>
          <w:spacing w:val="-6"/>
          <w:sz w:val="21"/>
          <w:szCs w:val="21"/>
          <w:highlight w:val="none"/>
        </w:rPr>
      </w:pPr>
      <w:r>
        <w:rPr>
          <w:rFonts w:hint="eastAsia" w:ascii="Times New Roman"/>
          <w:color w:val="auto"/>
          <w:spacing w:val="-6"/>
          <w:sz w:val="21"/>
          <w:szCs w:val="21"/>
          <w:highlight w:val="none"/>
        </w:rPr>
        <w:t>（1）法定代表人资格证明书；</w:t>
      </w:r>
    </w:p>
    <w:p>
      <w:pPr>
        <w:pStyle w:val="22"/>
        <w:spacing w:before="0" w:line="360" w:lineRule="auto"/>
        <w:ind w:firstLine="419" w:firstLineChars="212"/>
        <w:jc w:val="left"/>
        <w:rPr>
          <w:rFonts w:hint="eastAsia" w:ascii="Times New Roman"/>
          <w:color w:val="auto"/>
          <w:spacing w:val="-6"/>
          <w:sz w:val="21"/>
          <w:szCs w:val="21"/>
          <w:highlight w:val="none"/>
        </w:rPr>
      </w:pPr>
      <w:r>
        <w:rPr>
          <w:rFonts w:hint="eastAsia" w:ascii="Times New Roman"/>
          <w:color w:val="auto"/>
          <w:spacing w:val="-6"/>
          <w:sz w:val="21"/>
          <w:szCs w:val="21"/>
          <w:highlight w:val="none"/>
        </w:rPr>
        <w:t>（2）法定代表人授权委托书（法定代表人参与不需提供此书）；</w:t>
      </w:r>
    </w:p>
    <w:p>
      <w:pPr>
        <w:pStyle w:val="22"/>
        <w:spacing w:before="0" w:line="360" w:lineRule="auto"/>
        <w:ind w:firstLine="419" w:firstLineChars="212"/>
        <w:jc w:val="left"/>
        <w:rPr>
          <w:rFonts w:hint="eastAsia"/>
          <w:color w:val="auto"/>
          <w:highlight w:val="none"/>
        </w:rPr>
      </w:pPr>
      <w:r>
        <w:rPr>
          <w:rFonts w:hint="eastAsia" w:ascii="Times New Roman"/>
          <w:color w:val="auto"/>
          <w:spacing w:val="-6"/>
          <w:sz w:val="21"/>
          <w:szCs w:val="21"/>
          <w:highlight w:val="none"/>
        </w:rPr>
        <w:t>（3）廉政承诺书；</w:t>
      </w:r>
    </w:p>
    <w:p>
      <w:pPr>
        <w:pStyle w:val="22"/>
        <w:spacing w:before="0" w:line="360" w:lineRule="auto"/>
        <w:ind w:firstLine="419" w:firstLineChars="212"/>
        <w:jc w:val="left"/>
        <w:rPr>
          <w:rFonts w:hint="eastAsia" w:ascii="Times New Roman"/>
          <w:color w:val="auto"/>
          <w:spacing w:val="-6"/>
          <w:sz w:val="21"/>
          <w:szCs w:val="21"/>
          <w:highlight w:val="none"/>
        </w:rPr>
      </w:pPr>
      <w:r>
        <w:rPr>
          <w:rFonts w:hint="eastAsia" w:ascii="Times New Roman"/>
          <w:color w:val="auto"/>
          <w:spacing w:val="-6"/>
          <w:sz w:val="21"/>
          <w:szCs w:val="21"/>
          <w:highlight w:val="none"/>
        </w:rPr>
        <w:t>（4）投标人简介；</w:t>
      </w:r>
    </w:p>
    <w:p>
      <w:pPr>
        <w:pStyle w:val="22"/>
        <w:spacing w:before="0" w:line="360" w:lineRule="auto"/>
        <w:ind w:firstLine="419" w:firstLineChars="212"/>
        <w:jc w:val="left"/>
        <w:rPr>
          <w:rFonts w:hint="eastAsia" w:ascii="Times New Roman"/>
          <w:color w:val="auto"/>
          <w:spacing w:val="-6"/>
          <w:sz w:val="21"/>
          <w:szCs w:val="21"/>
          <w:highlight w:val="none"/>
        </w:rPr>
      </w:pPr>
      <w:r>
        <w:rPr>
          <w:rFonts w:hint="eastAsia" w:ascii="Times New Roman"/>
          <w:color w:val="auto"/>
          <w:spacing w:val="-6"/>
          <w:sz w:val="21"/>
          <w:szCs w:val="21"/>
          <w:highlight w:val="none"/>
        </w:rPr>
        <w:t>（5）项目组人员情况表；</w:t>
      </w:r>
    </w:p>
    <w:p>
      <w:pPr>
        <w:pStyle w:val="22"/>
        <w:spacing w:before="0" w:line="360" w:lineRule="auto"/>
        <w:ind w:firstLine="419" w:firstLineChars="212"/>
        <w:jc w:val="left"/>
        <w:rPr>
          <w:rFonts w:hint="eastAsia" w:ascii="Times New Roman"/>
          <w:color w:val="auto"/>
          <w:spacing w:val="-6"/>
          <w:sz w:val="21"/>
          <w:szCs w:val="21"/>
          <w:highlight w:val="none"/>
        </w:rPr>
      </w:pPr>
      <w:r>
        <w:rPr>
          <w:rFonts w:hint="eastAsia" w:ascii="Times New Roman"/>
          <w:color w:val="auto"/>
          <w:spacing w:val="-6"/>
          <w:sz w:val="21"/>
          <w:szCs w:val="21"/>
          <w:highlight w:val="none"/>
        </w:rPr>
        <w:t>（6）类似项目业绩；</w:t>
      </w:r>
    </w:p>
    <w:p>
      <w:pPr>
        <w:pStyle w:val="22"/>
        <w:spacing w:before="0" w:line="360" w:lineRule="auto"/>
        <w:ind w:firstLine="419" w:firstLineChars="212"/>
        <w:jc w:val="left"/>
        <w:rPr>
          <w:rFonts w:hint="eastAsia" w:ascii="Times New Roman"/>
          <w:color w:val="auto"/>
          <w:spacing w:val="-6"/>
          <w:sz w:val="21"/>
          <w:szCs w:val="21"/>
          <w:highlight w:val="none"/>
        </w:rPr>
      </w:pPr>
      <w:r>
        <w:rPr>
          <w:rFonts w:hint="eastAsia" w:ascii="Times New Roman"/>
          <w:color w:val="auto"/>
          <w:spacing w:val="-6"/>
          <w:sz w:val="21"/>
          <w:szCs w:val="21"/>
          <w:highlight w:val="none"/>
        </w:rPr>
        <w:t>（7）投标响应表（商务偏离表）【格式见附件】；</w:t>
      </w:r>
    </w:p>
    <w:p>
      <w:pPr>
        <w:pStyle w:val="22"/>
        <w:spacing w:before="0" w:line="360" w:lineRule="auto"/>
        <w:ind w:firstLine="419" w:firstLineChars="212"/>
        <w:jc w:val="left"/>
        <w:rPr>
          <w:rFonts w:hint="eastAsia" w:hAnsi="宋体" w:cs="宋体"/>
          <w:color w:val="auto"/>
          <w:highlight w:val="none"/>
        </w:rPr>
      </w:pPr>
      <w:r>
        <w:rPr>
          <w:rFonts w:hint="eastAsia" w:ascii="Times New Roman"/>
          <w:color w:val="auto"/>
          <w:spacing w:val="-6"/>
          <w:sz w:val="21"/>
          <w:szCs w:val="21"/>
          <w:highlight w:val="none"/>
        </w:rPr>
        <w:t>（8）投标人需要说明的其他文件和材料（如评分标准中涉及的材料）；</w:t>
      </w:r>
    </w:p>
    <w:p>
      <w:pPr>
        <w:pStyle w:val="22"/>
        <w:spacing w:before="0" w:line="360" w:lineRule="auto"/>
        <w:ind w:firstLine="447" w:firstLineChars="212"/>
        <w:jc w:val="left"/>
        <w:rPr>
          <w:rFonts w:hint="eastAsia" w:ascii="Times New Roman"/>
          <w:color w:val="auto"/>
          <w:spacing w:val="-6"/>
          <w:sz w:val="21"/>
          <w:szCs w:val="21"/>
          <w:highlight w:val="none"/>
        </w:rPr>
      </w:pPr>
      <w:r>
        <w:rPr>
          <w:rFonts w:hint="eastAsia" w:hAnsi="宋体" w:cs="宋体"/>
          <w:b/>
          <w:color w:val="auto"/>
          <w:kern w:val="2"/>
          <w:sz w:val="21"/>
          <w:szCs w:val="24"/>
          <w:highlight w:val="none"/>
        </w:rPr>
        <w:t xml:space="preserve">B．技术部分  </w:t>
      </w:r>
      <w:r>
        <w:rPr>
          <w:rFonts w:hint="eastAsia" w:ascii="Times New Roman"/>
          <w:color w:val="auto"/>
          <w:spacing w:val="-6"/>
          <w:sz w:val="21"/>
          <w:szCs w:val="21"/>
          <w:highlight w:val="none"/>
        </w:rPr>
        <w:t xml:space="preserve"> 根据评分细则自行编辑， 包括但不仅限于(以下内容可以以资料、图表或说明的形式表述）：</w:t>
      </w:r>
    </w:p>
    <w:p>
      <w:pPr>
        <w:pStyle w:val="22"/>
        <w:spacing w:before="0" w:line="360" w:lineRule="auto"/>
        <w:ind w:firstLine="419" w:firstLineChars="212"/>
        <w:jc w:val="left"/>
        <w:rPr>
          <w:rFonts w:hint="eastAsia" w:ascii="Times New Roman"/>
          <w:color w:val="auto"/>
          <w:spacing w:val="-6"/>
          <w:sz w:val="21"/>
          <w:szCs w:val="21"/>
          <w:highlight w:val="none"/>
        </w:rPr>
      </w:pPr>
      <w:r>
        <w:rPr>
          <w:rFonts w:hint="eastAsia" w:ascii="Times New Roman"/>
          <w:color w:val="auto"/>
          <w:spacing w:val="-6"/>
          <w:sz w:val="21"/>
          <w:szCs w:val="21"/>
          <w:highlight w:val="none"/>
        </w:rPr>
        <w:t>投标人需要说明的其他文件和说明，未尽事宜请各投标单位按评分细则和相对应标项相关要求制作（格式自拟）。</w:t>
      </w:r>
    </w:p>
    <w:p>
      <w:pPr>
        <w:pStyle w:val="164"/>
        <w:spacing w:line="360" w:lineRule="auto"/>
        <w:ind w:firstLine="511" w:firstLineChars="212"/>
        <w:rPr>
          <w:rFonts w:hint="eastAsia" w:ascii="宋体" w:hAnsi="宋体" w:cs="宋体"/>
          <w:b/>
          <w:color w:val="auto"/>
          <w:sz w:val="24"/>
          <w:szCs w:val="32"/>
          <w:highlight w:val="none"/>
        </w:rPr>
      </w:pPr>
      <w:r>
        <w:rPr>
          <w:rFonts w:hint="eastAsia" w:ascii="宋体" w:hAnsi="宋体" w:cs="宋体"/>
          <w:b/>
          <w:color w:val="auto"/>
          <w:sz w:val="24"/>
          <w:szCs w:val="32"/>
          <w:highlight w:val="none"/>
        </w:rPr>
        <w:t>3.2.3  报价文件</w:t>
      </w:r>
    </w:p>
    <w:p>
      <w:pPr>
        <w:pStyle w:val="22"/>
        <w:spacing w:before="0" w:line="360" w:lineRule="auto"/>
        <w:ind w:firstLine="419" w:firstLineChars="212"/>
        <w:jc w:val="left"/>
        <w:rPr>
          <w:rFonts w:hint="eastAsia" w:ascii="Times New Roman"/>
          <w:color w:val="auto"/>
          <w:spacing w:val="-6"/>
          <w:sz w:val="21"/>
          <w:szCs w:val="21"/>
          <w:highlight w:val="none"/>
        </w:rPr>
      </w:pPr>
      <w:r>
        <w:rPr>
          <w:rFonts w:hint="eastAsia" w:ascii="Times New Roman"/>
          <w:color w:val="auto"/>
          <w:spacing w:val="-6"/>
          <w:sz w:val="21"/>
          <w:szCs w:val="21"/>
          <w:highlight w:val="none"/>
        </w:rPr>
        <w:t>（1）▲投标函；</w:t>
      </w:r>
    </w:p>
    <w:p>
      <w:pPr>
        <w:pStyle w:val="22"/>
        <w:spacing w:before="0" w:line="360" w:lineRule="auto"/>
        <w:ind w:firstLine="419" w:firstLineChars="212"/>
        <w:jc w:val="left"/>
        <w:rPr>
          <w:rFonts w:hint="eastAsia" w:ascii="Times New Roman"/>
          <w:color w:val="auto"/>
          <w:spacing w:val="-6"/>
          <w:sz w:val="21"/>
          <w:szCs w:val="21"/>
          <w:highlight w:val="none"/>
        </w:rPr>
      </w:pPr>
      <w:r>
        <w:rPr>
          <w:rFonts w:hint="eastAsia" w:ascii="Times New Roman"/>
          <w:color w:val="auto"/>
          <w:spacing w:val="-6"/>
          <w:sz w:val="21"/>
          <w:szCs w:val="21"/>
          <w:highlight w:val="none"/>
        </w:rPr>
        <w:t>（2）▲报价一览表；</w:t>
      </w:r>
    </w:p>
    <w:p>
      <w:pPr>
        <w:ind w:firstLine="396" w:firstLineChars="200"/>
        <w:rPr>
          <w:rFonts w:hint="eastAsia" w:ascii="宋体" w:hAnsi="宋体" w:cs="仿宋"/>
          <w:color w:val="auto"/>
          <w:szCs w:val="21"/>
          <w:highlight w:val="none"/>
        </w:rPr>
      </w:pPr>
      <w:r>
        <w:rPr>
          <w:rFonts w:hint="eastAsia"/>
          <w:color w:val="auto"/>
          <w:spacing w:val="-6"/>
          <w:szCs w:val="21"/>
          <w:highlight w:val="none"/>
        </w:rPr>
        <w:t>（3）</w:t>
      </w:r>
      <w:r>
        <w:rPr>
          <w:rFonts w:hint="eastAsia" w:ascii="宋体" w:hAnsi="宋体" w:cs="仿宋"/>
          <w:color w:val="auto"/>
          <w:szCs w:val="21"/>
          <w:highlight w:val="none"/>
        </w:rPr>
        <w:t>中小企业声明函、监狱企业、残疾人福利性单位证明材料（如有）（格式见附件）</w:t>
      </w:r>
    </w:p>
    <w:p>
      <w:pPr>
        <w:pStyle w:val="22"/>
        <w:spacing w:beforeLines="50" w:line="360" w:lineRule="auto"/>
        <w:ind w:firstLine="396" w:firstLineChars="200"/>
        <w:jc w:val="left"/>
        <w:rPr>
          <w:rFonts w:hint="eastAsia" w:ascii="Times New Roman"/>
          <w:color w:val="auto"/>
          <w:spacing w:val="-6"/>
          <w:sz w:val="21"/>
          <w:szCs w:val="21"/>
          <w:highlight w:val="none"/>
        </w:rPr>
      </w:pPr>
      <w:r>
        <w:rPr>
          <w:rFonts w:hint="eastAsia" w:ascii="Times New Roman"/>
          <w:color w:val="auto"/>
          <w:spacing w:val="-6"/>
          <w:sz w:val="21"/>
          <w:szCs w:val="21"/>
          <w:highlight w:val="none"/>
        </w:rPr>
        <w:t>3、投标文件的编制。</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3.3.1供应商应先安装“政采云电子交易客户端”，并按照本采购文件和“政府采购云平台”的要求，通过“政采云电子交易客户端”编制并加密投标文件。</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3.3.2投标文件应编制目录，投标文件装订要求详见“投标人须知前附表”。</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3.3.3由于字迹模糊或表达不清引起的后果由投标人负责。</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3.4、投标报价</w:t>
      </w:r>
    </w:p>
    <w:p>
      <w:pPr>
        <w:pStyle w:val="164"/>
        <w:spacing w:line="360" w:lineRule="auto"/>
        <w:ind w:firstLine="420"/>
        <w:rPr>
          <w:rFonts w:hint="eastAsia" w:ascii="宋体" w:hAnsi="宋体" w:cs="宋体"/>
          <w:color w:val="auto"/>
          <w:highlight w:val="none"/>
          <w:u w:val="thick"/>
        </w:rPr>
      </w:pPr>
      <w:r>
        <w:rPr>
          <w:rFonts w:hint="eastAsia" w:ascii="宋体" w:hAnsi="宋体" w:cs="宋体"/>
          <w:color w:val="auto"/>
          <w:highlight w:val="none"/>
        </w:rPr>
        <w:t>3.4.1 ▲</w:t>
      </w:r>
      <w:r>
        <w:rPr>
          <w:rFonts w:hint="eastAsia" w:ascii="宋体" w:hAnsi="宋体" w:cs="宋体"/>
          <w:b/>
          <w:color w:val="auto"/>
          <w:highlight w:val="none"/>
          <w:u w:val="thick"/>
        </w:rPr>
        <w:t>本次投标报价为含税人民币价</w:t>
      </w:r>
      <w:r>
        <w:rPr>
          <w:rFonts w:hint="eastAsia" w:ascii="宋体" w:hAnsi="宋体" w:cs="宋体"/>
          <w:color w:val="auto"/>
          <w:highlight w:val="none"/>
          <w:u w:val="thick"/>
        </w:rPr>
        <w:t>。</w:t>
      </w:r>
    </w:p>
    <w:p>
      <w:pPr>
        <w:pStyle w:val="164"/>
        <w:spacing w:line="360" w:lineRule="auto"/>
        <w:ind w:firstLine="420"/>
        <w:rPr>
          <w:rFonts w:hint="eastAsia" w:cs="Arial"/>
          <w:color w:val="auto"/>
          <w:highlight w:val="none"/>
        </w:rPr>
      </w:pPr>
      <w:r>
        <w:rPr>
          <w:rFonts w:hint="eastAsia" w:ascii="宋体" w:hAnsi="宋体" w:cs="宋体"/>
          <w:color w:val="auto"/>
          <w:highlight w:val="none"/>
        </w:rPr>
        <w:t xml:space="preserve">3.4.2 </w:t>
      </w:r>
      <w:r>
        <w:rPr>
          <w:rFonts w:hint="eastAsia" w:cs="Arial"/>
          <w:color w:val="auto"/>
          <w:highlight w:val="none"/>
        </w:rPr>
        <w:t>本次报价采用人民币报价，应是履行合同的最终价格，</w:t>
      </w:r>
      <w:r>
        <w:rPr>
          <w:rFonts w:hint="eastAsia" w:ascii="宋体" w:hAnsi="宋体" w:cs="宋体"/>
          <w:color w:val="auto"/>
          <w:szCs w:val="21"/>
          <w:highlight w:val="none"/>
        </w:rPr>
        <w:t>投标报价应包含第六章招标内容及要求的所有内容。</w:t>
      </w:r>
      <w:r>
        <w:rPr>
          <w:rFonts w:hint="eastAsia" w:ascii="宋体" w:hAnsi="宋体" w:cs="宋体"/>
          <w:bCs/>
          <w:color w:val="auto"/>
          <w:kern w:val="0"/>
          <w:szCs w:val="21"/>
          <w:highlight w:val="none"/>
        </w:rPr>
        <w:t>包括且不限于人工费</w:t>
      </w:r>
      <w:r>
        <w:rPr>
          <w:rFonts w:hint="eastAsia" w:ascii="宋体" w:hAnsi="宋体" w:cs="宋体"/>
          <w:color w:val="auto"/>
          <w:szCs w:val="21"/>
          <w:highlight w:val="none"/>
        </w:rPr>
        <w:t>、奖金、各种加班费、夜餐费、高温补贴、各种社会保险、餐饮与交通、专用设备及工具、器械、服装、安全、管理费用、税费、利润、代理费及完成合同所需的一切本身和不可或缺的所有工作开支、政策性文件规定即合同包含的所有风险、责任等各项全部费用（含调研报告，方案、中间、最终成果阶段评审所需的评审、论证专家费用，审查、汇报、备案材料的制作、印刷、邮寄等所有费用）。规划范围根据项目建设需要如产生调整，甲方不再支付任何其他费用。</w:t>
      </w:r>
    </w:p>
    <w:p>
      <w:pPr>
        <w:autoSpaceDE w:val="0"/>
        <w:autoSpaceDN w:val="0"/>
        <w:adjustRightInd w:val="0"/>
        <w:snapToGrid w:val="0"/>
        <w:spacing w:line="360" w:lineRule="auto"/>
        <w:ind w:firstLine="420" w:firstLineChars="200"/>
        <w:textAlignment w:val="bottom"/>
        <w:rPr>
          <w:rFonts w:hint="eastAsia" w:ascii="宋体" w:hAnsi="宋体" w:cs="宋体"/>
          <w:color w:val="auto"/>
          <w:highlight w:val="none"/>
          <w:u w:val="thick"/>
        </w:rPr>
      </w:pPr>
      <w:r>
        <w:rPr>
          <w:rFonts w:hint="eastAsia" w:ascii="宋体" w:hAnsi="宋体" w:cs="宋体"/>
          <w:color w:val="auto"/>
          <w:highlight w:val="none"/>
        </w:rPr>
        <w:t>3.4.3▲</w:t>
      </w:r>
      <w:r>
        <w:rPr>
          <w:rFonts w:hint="eastAsia" w:ascii="宋体" w:hAnsi="宋体" w:cs="宋体"/>
          <w:b/>
          <w:color w:val="auto"/>
          <w:highlight w:val="none"/>
          <w:u w:val="thick"/>
        </w:rPr>
        <w:t>所投标项只允许有一个报价，不接受有选择报价的投标文件。</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3.5投标文件有效期</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3.5.1 投标文件有效期按“投标人须知前附表”规定，投标文件应在该有效期内保持有效。合同签订后，投标文件作为合同附件，投标文件有效期同合同有效期。</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3.5.2 在特殊情况下，采购人可与投标人协商延长投标文件有效期，这种要求和答复均应以书面形式进行。</w:t>
      </w:r>
    </w:p>
    <w:p>
      <w:pPr>
        <w:pStyle w:val="5"/>
        <w:ind w:firstLine="422"/>
        <w:rPr>
          <w:rFonts w:hint="eastAsia" w:ascii="宋体" w:hAnsi="宋体" w:cs="宋体"/>
          <w:color w:val="auto"/>
          <w:highlight w:val="none"/>
        </w:rPr>
      </w:pPr>
      <w:bookmarkStart w:id="46" w:name="_Toc82338242"/>
      <w:bookmarkStart w:id="47" w:name="_Toc82873325"/>
      <w:bookmarkStart w:id="48" w:name="_Toc22161"/>
      <w:r>
        <w:rPr>
          <w:rFonts w:hint="eastAsia" w:ascii="宋体" w:hAnsi="宋体" w:cs="宋体"/>
          <w:color w:val="auto"/>
          <w:highlight w:val="none"/>
        </w:rPr>
        <w:t>四、投标</w:t>
      </w:r>
      <w:bookmarkEnd w:id="46"/>
      <w:bookmarkEnd w:id="47"/>
      <w:r>
        <w:rPr>
          <w:rFonts w:hint="eastAsia" w:ascii="宋体" w:hAnsi="宋体" w:cs="宋体"/>
          <w:color w:val="auto"/>
          <w:highlight w:val="none"/>
        </w:rPr>
        <w:t>文件的修改、撤回、递交</w:t>
      </w:r>
      <w:bookmarkEnd w:id="48"/>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4.1、投标文件的修改与撤回</w:t>
      </w:r>
    </w:p>
    <w:p>
      <w:pPr>
        <w:spacing w:line="360" w:lineRule="auto"/>
        <w:ind w:firstLine="371" w:firstLineChars="177"/>
        <w:rPr>
          <w:rFonts w:hint="eastAsia" w:ascii="宋体" w:hAnsi="宋体" w:cs="宋体"/>
          <w:color w:val="auto"/>
          <w:highlight w:val="none"/>
        </w:rPr>
      </w:pPr>
      <w:r>
        <w:rPr>
          <w:rFonts w:hint="eastAsia" w:ascii="宋体" w:hAnsi="宋体" w:cs="宋体"/>
          <w:color w:val="auto"/>
          <w:highlight w:val="none"/>
        </w:rPr>
        <w:t>4.1.1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 xml:space="preserve">4.2、投标文件的递交 </w:t>
      </w:r>
    </w:p>
    <w:p>
      <w:pPr>
        <w:pStyle w:val="164"/>
        <w:spacing w:line="360" w:lineRule="auto"/>
        <w:ind w:firstLine="420"/>
        <w:rPr>
          <w:rFonts w:hint="eastAsia" w:ascii="宋体" w:hAnsi="宋体" w:cs="宋体"/>
          <w:color w:val="auto"/>
          <w:highlight w:val="none"/>
        </w:rPr>
      </w:pPr>
      <w:r>
        <w:rPr>
          <w:rFonts w:ascii="宋体" w:hAnsi="宋体" w:cs="宋体"/>
          <w:color w:val="auto"/>
          <w:highlight w:val="none"/>
        </w:rPr>
        <w:t>4.2.1</w:t>
      </w:r>
      <w:r>
        <w:rPr>
          <w:rFonts w:hint="eastAsia" w:ascii="宋体" w:hAnsi="宋体" w:cs="宋体"/>
          <w:color w:val="auto"/>
          <w:highlight w:val="none"/>
        </w:rPr>
        <w:t xml:space="preserve"> 投标文件的编制和签署</w:t>
      </w:r>
    </w:p>
    <w:p>
      <w:pPr>
        <w:numPr>
          <w:ilvl w:val="0"/>
          <w:numId w:val="5"/>
        </w:numPr>
        <w:spacing w:line="360" w:lineRule="auto"/>
        <w:ind w:left="420" w:leftChars="200" w:firstLine="0"/>
        <w:rPr>
          <w:rFonts w:hint="eastAsia"/>
          <w:color w:val="auto"/>
          <w:highlight w:val="none"/>
        </w:rPr>
      </w:pPr>
      <w:r>
        <w:rPr>
          <w:rFonts w:hint="eastAsia"/>
          <w:color w:val="auto"/>
          <w:highlight w:val="none"/>
        </w:rPr>
        <w:t>本项目通过“政府采购云平台（www.zcygov.cn）”实行在线投标响应（电子投标）。供应商应通过“政采云电子交易客户端”，并按照本采购文件和“政府采购云平台”的要求编制并加密投标文件。</w:t>
      </w:r>
    </w:p>
    <w:p>
      <w:pPr>
        <w:numPr>
          <w:ilvl w:val="0"/>
          <w:numId w:val="5"/>
        </w:numPr>
        <w:spacing w:line="360" w:lineRule="auto"/>
        <w:ind w:left="420" w:firstLine="0"/>
        <w:rPr>
          <w:rFonts w:hint="eastAsia"/>
          <w:color w:val="auto"/>
          <w:highlight w:val="none"/>
        </w:rPr>
      </w:pPr>
      <w:r>
        <w:rPr>
          <w:rFonts w:hint="eastAsia"/>
          <w:color w:val="auto"/>
          <w:highlight w:val="none"/>
        </w:rPr>
        <w:t>投标供应商应当按照本章节 “投标文件组成”规定的内容及顺序在“政采云电子交易客户端”编制投标文件。其中《资格文件》和《商务技术文件》中不得出现本项目投标报价，如因投标人原因提前泄露投标报价，是投标人的责任。</w:t>
      </w:r>
    </w:p>
    <w:p>
      <w:pPr>
        <w:numPr>
          <w:ilvl w:val="0"/>
          <w:numId w:val="5"/>
        </w:numPr>
        <w:spacing w:line="360" w:lineRule="auto"/>
        <w:ind w:left="420" w:firstLine="0"/>
        <w:rPr>
          <w:rFonts w:hint="eastAsia"/>
          <w:color w:val="auto"/>
          <w:highlight w:val="none"/>
        </w:rPr>
      </w:pPr>
      <w:r>
        <w:rPr>
          <w:rFonts w:hint="eastAsia"/>
          <w:color w:val="auto"/>
          <w:highlight w:val="none"/>
        </w:rPr>
        <w:t>本文件《第五部分  应提交的有关格式范例》中有提供格式的，投标供应商须参照格式进行编制（格式中要求提供相关证明材料的还需后附相关证明材料），并按格式要求在指定位置根据要求进行签章，否则视为未提供；本文件《第五部分  应提交的有关格式范例》未提供格式的，请各投标单位自行拟定格式，并加盖单位公章并由法定代表人或其授权代表签署（签字或盖章），否则视为未提供。</w:t>
      </w:r>
    </w:p>
    <w:p>
      <w:pPr>
        <w:numPr>
          <w:ilvl w:val="0"/>
          <w:numId w:val="5"/>
        </w:numPr>
        <w:spacing w:line="360" w:lineRule="auto"/>
        <w:ind w:left="420" w:firstLine="0"/>
        <w:rPr>
          <w:rFonts w:hint="eastAsia"/>
          <w:color w:val="auto"/>
          <w:highlight w:val="none"/>
        </w:rPr>
      </w:pPr>
      <w:r>
        <w:rPr>
          <w:rFonts w:hint="eastAsia"/>
          <w:color w:val="auto"/>
          <w:highlight w:val="none"/>
        </w:rPr>
        <w:t>投标文件内容不完整、编排混乱导致投标文件被误读、漏读或者查找不到相关内容的，是投标供应商的责任。</w:t>
      </w:r>
    </w:p>
    <w:p>
      <w:pPr>
        <w:numPr>
          <w:ilvl w:val="0"/>
          <w:numId w:val="5"/>
        </w:numPr>
        <w:spacing w:line="360" w:lineRule="auto"/>
        <w:rPr>
          <w:rFonts w:hint="eastAsia"/>
          <w:color w:val="auto"/>
          <w:highlight w:val="none"/>
        </w:rPr>
      </w:pPr>
      <w:r>
        <w:rPr>
          <w:rFonts w:hint="eastAsia"/>
          <w:color w:val="auto"/>
          <w:highlight w:val="none"/>
        </w:rPr>
        <w:t>投标文件因字迹潦草或表达不清所引起的后果由投标供应商负责。</w:t>
      </w:r>
    </w:p>
    <w:p>
      <w:pPr>
        <w:numPr>
          <w:ilvl w:val="0"/>
          <w:numId w:val="5"/>
        </w:numPr>
        <w:spacing w:line="360" w:lineRule="auto"/>
        <w:ind w:left="420" w:firstLine="0"/>
        <w:rPr>
          <w:rFonts w:hint="eastAsia"/>
          <w:color w:val="auto"/>
          <w:highlight w:val="none"/>
        </w:rPr>
      </w:pPr>
      <w:r>
        <w:rPr>
          <w:rFonts w:hint="eastAsia"/>
          <w:color w:val="auto"/>
          <w:highlight w:val="none"/>
        </w:rPr>
        <w:t>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pPr>
        <w:pStyle w:val="179"/>
        <w:spacing w:line="360" w:lineRule="auto"/>
        <w:ind w:firstLine="525" w:firstLineChars="250"/>
        <w:outlineLvl w:val="2"/>
        <w:rPr>
          <w:rFonts w:hint="eastAsia" w:ascii="宋体" w:hAnsi="宋体" w:cs="宋体"/>
          <w:color w:val="auto"/>
          <w:szCs w:val="24"/>
          <w:highlight w:val="none"/>
        </w:rPr>
      </w:pPr>
      <w:r>
        <w:rPr>
          <w:rFonts w:ascii="宋体" w:hAnsi="宋体" w:cs="宋体"/>
          <w:color w:val="auto"/>
          <w:szCs w:val="24"/>
          <w:highlight w:val="none"/>
        </w:rPr>
        <w:t>4.</w:t>
      </w:r>
      <w:r>
        <w:rPr>
          <w:rFonts w:hint="eastAsia" w:ascii="宋体" w:hAnsi="宋体" w:cs="宋体"/>
          <w:color w:val="auto"/>
          <w:szCs w:val="24"/>
          <w:highlight w:val="none"/>
        </w:rPr>
        <w:t>3 投标文件的签章</w:t>
      </w:r>
    </w:p>
    <w:p>
      <w:pPr>
        <w:pStyle w:val="179"/>
        <w:spacing w:line="360" w:lineRule="auto"/>
        <w:ind w:firstLine="482"/>
        <w:rPr>
          <w:rFonts w:hint="eastAsia" w:ascii="宋体" w:hAnsi="宋体" w:cs="宋体"/>
          <w:color w:val="auto"/>
          <w:szCs w:val="24"/>
          <w:highlight w:val="none"/>
        </w:rPr>
      </w:pPr>
      <w:r>
        <w:rPr>
          <w:rFonts w:hint="eastAsia" w:ascii="宋体" w:hAnsi="宋体" w:cs="宋体"/>
          <w:color w:val="auto"/>
          <w:szCs w:val="24"/>
          <w:highlight w:val="none"/>
        </w:rPr>
        <w:t>投标文件的签章：见《前附表》。</w:t>
      </w:r>
    </w:p>
    <w:p>
      <w:pPr>
        <w:spacing w:line="360" w:lineRule="auto"/>
        <w:ind w:firstLine="403" w:firstLineChars="192"/>
        <w:rPr>
          <w:rFonts w:hint="eastAsia" w:ascii="宋体" w:hAnsi="宋体" w:cs="宋体"/>
          <w:color w:val="auto"/>
          <w:highlight w:val="none"/>
        </w:rPr>
      </w:pPr>
      <w:r>
        <w:rPr>
          <w:rFonts w:hint="eastAsia" w:ascii="宋体" w:hAnsi="宋体" w:cs="宋体"/>
          <w:color w:val="auto"/>
          <w:highlight w:val="none"/>
        </w:rPr>
        <w:t>投标文件应由投标供应商法定代表人或其授权代表签字（或盖章），并加盖投标供应商公章。</w:t>
      </w:r>
    </w:p>
    <w:p>
      <w:pPr>
        <w:spacing w:line="360" w:lineRule="auto"/>
        <w:ind w:firstLine="369" w:firstLineChars="176"/>
        <w:rPr>
          <w:rFonts w:hint="eastAsia" w:ascii="宋体" w:hAnsi="宋体" w:cs="宋体"/>
          <w:color w:val="auto"/>
          <w:highlight w:val="none"/>
        </w:rPr>
      </w:pPr>
      <w:r>
        <w:rPr>
          <w:rFonts w:hint="eastAsia" w:ascii="宋体" w:hAnsi="宋体" w:cs="宋体"/>
          <w:color w:val="auto"/>
          <w:highlight w:val="none"/>
        </w:rPr>
        <w:t>电子签章操作指南详见“政府采购云平台”帮助文档附件《供应商项目采购-电子招投标操作指南》。</w:t>
      </w:r>
    </w:p>
    <w:p>
      <w:pPr>
        <w:pStyle w:val="179"/>
        <w:spacing w:line="360" w:lineRule="auto"/>
        <w:ind w:firstLine="315" w:firstLineChars="150"/>
        <w:outlineLvl w:val="2"/>
        <w:rPr>
          <w:rFonts w:hint="eastAsia" w:ascii="宋体" w:hAnsi="宋体" w:cs="宋体"/>
          <w:color w:val="auto"/>
          <w:szCs w:val="24"/>
          <w:highlight w:val="none"/>
        </w:rPr>
      </w:pPr>
      <w:r>
        <w:rPr>
          <w:rFonts w:hint="eastAsia" w:ascii="宋体" w:hAnsi="宋体" w:cs="宋体"/>
          <w:color w:val="auto"/>
          <w:szCs w:val="24"/>
          <w:highlight w:val="none"/>
        </w:rPr>
        <w:t>4.4投标文件的形式</w:t>
      </w:r>
    </w:p>
    <w:p>
      <w:pPr>
        <w:pStyle w:val="179"/>
        <w:spacing w:line="360" w:lineRule="auto"/>
        <w:ind w:firstLine="315" w:firstLineChars="150"/>
        <w:outlineLvl w:val="2"/>
        <w:rPr>
          <w:rFonts w:hint="eastAsia" w:ascii="宋体" w:hAnsi="宋体" w:cs="宋体"/>
          <w:color w:val="auto"/>
          <w:highlight w:val="none"/>
        </w:rPr>
      </w:pPr>
      <w:r>
        <w:rPr>
          <w:rFonts w:hint="eastAsia" w:ascii="宋体" w:hAnsi="宋体" w:cs="宋体"/>
          <w:color w:val="auto"/>
          <w:szCs w:val="24"/>
          <w:highlight w:val="none"/>
        </w:rPr>
        <w:t>4.4.1</w:t>
      </w:r>
      <w:r>
        <w:rPr>
          <w:rFonts w:hint="eastAsia" w:ascii="宋体" w:hAnsi="宋体" w:cs="宋体"/>
          <w:color w:val="auto"/>
          <w:highlight w:val="none"/>
        </w:rPr>
        <w:t>投标文件的形式：见《前附表》。</w:t>
      </w:r>
    </w:p>
    <w:p>
      <w:pPr>
        <w:pStyle w:val="179"/>
        <w:spacing w:line="360" w:lineRule="auto"/>
        <w:ind w:firstLine="315" w:firstLineChars="150"/>
        <w:outlineLvl w:val="2"/>
        <w:rPr>
          <w:rFonts w:hint="eastAsia" w:ascii="宋体" w:hAnsi="宋体" w:cs="宋体"/>
          <w:color w:val="auto"/>
          <w:highlight w:val="none"/>
        </w:rPr>
      </w:pPr>
      <w:r>
        <w:rPr>
          <w:rFonts w:hint="eastAsia" w:ascii="宋体" w:hAnsi="宋体" w:cs="宋体"/>
          <w:color w:val="auto"/>
          <w:highlight w:val="none"/>
        </w:rPr>
        <w:t>4.4.2“电子加密投标文件”：“电子加密投标文件”是指通过“政采云电子交易客户端”完成投标文件编制后生成并加密的数据电文形式的投标文件。</w:t>
      </w:r>
    </w:p>
    <w:p>
      <w:pPr>
        <w:pStyle w:val="179"/>
        <w:spacing w:line="360" w:lineRule="auto"/>
        <w:ind w:firstLine="315" w:firstLineChars="150"/>
        <w:outlineLvl w:val="2"/>
        <w:rPr>
          <w:rFonts w:hint="eastAsia" w:ascii="宋体" w:hAnsi="宋体" w:cs="宋体"/>
          <w:color w:val="auto"/>
          <w:szCs w:val="24"/>
          <w:highlight w:val="none"/>
        </w:rPr>
      </w:pPr>
      <w:r>
        <w:rPr>
          <w:rFonts w:hint="eastAsia" w:ascii="宋体" w:hAnsi="宋体" w:cs="宋体"/>
          <w:color w:val="auto"/>
          <w:highlight w:val="none"/>
        </w:rPr>
        <w:t>4.4.3“备份投标文件”：“备份投标文件”是指与“电子加密投标文件”同时生成的数据电文形式的电子文件（备份标书），其他方式编制的“备份投标文件”视为无效的“备份投标文件”。</w:t>
      </w:r>
    </w:p>
    <w:p>
      <w:pPr>
        <w:pStyle w:val="179"/>
        <w:spacing w:line="360" w:lineRule="auto"/>
        <w:ind w:firstLine="315" w:firstLineChars="150"/>
        <w:outlineLvl w:val="2"/>
        <w:rPr>
          <w:rFonts w:ascii="宋体" w:hAnsi="宋体" w:cs="宋体"/>
          <w:color w:val="auto"/>
          <w:szCs w:val="24"/>
          <w:highlight w:val="none"/>
        </w:rPr>
      </w:pPr>
      <w:r>
        <w:rPr>
          <w:rFonts w:hint="eastAsia" w:ascii="宋体" w:hAnsi="宋体" w:cs="宋体"/>
          <w:color w:val="auto"/>
          <w:szCs w:val="24"/>
          <w:highlight w:val="none"/>
        </w:rPr>
        <w:t>4.4.4投标文件的备选方案</w:t>
      </w:r>
    </w:p>
    <w:p>
      <w:pPr>
        <w:pStyle w:val="179"/>
        <w:adjustRightInd w:val="0"/>
        <w:spacing w:line="360" w:lineRule="auto"/>
        <w:ind w:firstLine="315" w:firstLineChars="150"/>
        <w:rPr>
          <w:rFonts w:hint="eastAsia" w:ascii="宋体" w:hAnsi="宋体" w:cs="宋体"/>
          <w:color w:val="auto"/>
          <w:szCs w:val="24"/>
          <w:highlight w:val="none"/>
        </w:rPr>
      </w:pPr>
      <w:r>
        <w:rPr>
          <w:rFonts w:hint="eastAsia" w:ascii="宋体" w:hAnsi="宋体" w:cs="宋体"/>
          <w:color w:val="auto"/>
          <w:szCs w:val="24"/>
          <w:highlight w:val="none"/>
        </w:rPr>
        <w:t>4.4.4.1投标供应商不得递交任何的投标备选（替代）方案，否则其投标文件将作无效标处理。与“电子加密投标文件”同时生成的“备份投标文件”不是投标备选（替代）方案。</w:t>
      </w:r>
    </w:p>
    <w:p>
      <w:pPr>
        <w:pStyle w:val="5"/>
        <w:ind w:firstLine="422"/>
        <w:rPr>
          <w:rFonts w:hint="eastAsia" w:ascii="宋体" w:hAnsi="宋体" w:cs="宋体"/>
          <w:color w:val="auto"/>
          <w:highlight w:val="none"/>
        </w:rPr>
      </w:pPr>
      <w:bookmarkStart w:id="49" w:name="_Toc82338243"/>
      <w:bookmarkStart w:id="50" w:name="_Toc82873326"/>
      <w:bookmarkStart w:id="51" w:name="_Toc17200"/>
      <w:r>
        <w:rPr>
          <w:rFonts w:hint="eastAsia" w:ascii="宋体" w:hAnsi="宋体" w:cs="宋体"/>
          <w:color w:val="auto"/>
          <w:highlight w:val="none"/>
        </w:rPr>
        <w:t>五、开标、评标</w:t>
      </w:r>
      <w:bookmarkEnd w:id="49"/>
      <w:bookmarkEnd w:id="50"/>
      <w:bookmarkEnd w:id="51"/>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5.1、开标</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5.1.1采购代理机构将按照采购文件规定的时间通过“政府采购云平台”组织开标、开启投标文件，所有供应商均应当准时在线参加（不需到开标现场）。</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5.1.2采购代理机构将按照采购文件规定的时间通过“政府采购云平台”组织开标、开启资格证明文件商务技术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164"/>
        <w:spacing w:line="360" w:lineRule="auto"/>
        <w:ind w:firstLine="420"/>
        <w:rPr>
          <w:rFonts w:ascii="宋体" w:hAnsi="宋体" w:cs="宋体"/>
          <w:color w:val="auto"/>
          <w:highlight w:val="none"/>
        </w:rPr>
      </w:pPr>
      <w:r>
        <w:rPr>
          <w:rFonts w:hint="eastAsia" w:ascii="宋体" w:hAnsi="宋体" w:cs="宋体"/>
          <w:color w:val="auto"/>
          <w:highlight w:val="none"/>
        </w:rPr>
        <w:t>5.2 开标流程（第一阶段）</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5.2.1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5.2.2投标文件解密结束，通过邮件形式发送各投标人组织签署《政府采购活动现场确认声明书》；</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5.3开启资格证明文件商务技术文件，进入资格审查；</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5.3.1开启资格审查通过的投标供应商的商务技术文件进入符合性审查、商务技术评审；</w:t>
      </w:r>
    </w:p>
    <w:p>
      <w:pPr>
        <w:pStyle w:val="164"/>
        <w:spacing w:line="360" w:lineRule="auto"/>
        <w:ind w:firstLine="420"/>
        <w:rPr>
          <w:rFonts w:ascii="宋体" w:hAnsi="宋体" w:cs="宋体"/>
          <w:color w:val="auto"/>
          <w:highlight w:val="none"/>
        </w:rPr>
      </w:pPr>
      <w:r>
        <w:rPr>
          <w:rFonts w:hint="eastAsia" w:ascii="宋体" w:hAnsi="宋体" w:cs="宋体"/>
          <w:color w:val="auto"/>
          <w:highlight w:val="none"/>
        </w:rPr>
        <w:t>5.3.2第一阶段开标结束。</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备注：采购人或采购代理机构将依法对投标供应商的资格进行审查，资格审查结束后进入符合性审查和商务技术的评审工作，具体见“评标办法”章节相关规定。</w:t>
      </w:r>
    </w:p>
    <w:p>
      <w:pPr>
        <w:pStyle w:val="164"/>
        <w:spacing w:line="360" w:lineRule="auto"/>
        <w:ind w:firstLine="420"/>
        <w:rPr>
          <w:rFonts w:ascii="宋体" w:hAnsi="宋体" w:cs="宋体"/>
          <w:color w:val="auto"/>
          <w:highlight w:val="none"/>
        </w:rPr>
      </w:pPr>
      <w:r>
        <w:rPr>
          <w:rFonts w:hint="eastAsia" w:ascii="宋体" w:hAnsi="宋体" w:cs="宋体"/>
          <w:color w:val="auto"/>
          <w:highlight w:val="none"/>
        </w:rPr>
        <w:t>5.4开标流程（第二阶段）</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5.4.1符合性审查、商务技术评审结束后，举行开标会第二阶段会议。首先通过发送邮件形式公布符合性审查、商务技术评审无效供应商名称及理由；公布经商务技术评审后有效投标供应商的名单，同时公布其商务技术部分得分情况。</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5.4.2开启符合性审查、商务技术评审有效投标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5.4.3评审结束后，通过发送邮件形式公布中标（成交）候选供应商名单，及采购人最终确定中标或成交供应商名单的时间和公告方式等。</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特别说明：如遇“政府采购云平台”电子化开标或评审程序调整的，按调整后程序执行。</w:t>
      </w:r>
    </w:p>
    <w:p>
      <w:pPr>
        <w:pStyle w:val="164"/>
        <w:spacing w:line="360" w:lineRule="auto"/>
        <w:ind w:firstLine="422"/>
        <w:rPr>
          <w:rFonts w:hint="eastAsia" w:ascii="宋体" w:hAnsi="宋体" w:cs="宋体"/>
          <w:b/>
          <w:color w:val="auto"/>
          <w:highlight w:val="none"/>
        </w:rPr>
      </w:pPr>
      <w:r>
        <w:rPr>
          <w:rFonts w:hint="eastAsia" w:ascii="宋体" w:hAnsi="宋体" w:cs="宋体"/>
          <w:b/>
          <w:color w:val="auto"/>
          <w:highlight w:val="none"/>
        </w:rPr>
        <w:t>六、资格审查</w:t>
      </w:r>
    </w:p>
    <w:p>
      <w:pPr>
        <w:pStyle w:val="179"/>
        <w:spacing w:line="360" w:lineRule="auto"/>
        <w:ind w:firstLine="480"/>
        <w:rPr>
          <w:rFonts w:hint="eastAsia" w:ascii="宋体" w:hAnsi="宋体" w:cs="宋体"/>
          <w:color w:val="auto"/>
          <w:szCs w:val="24"/>
          <w:highlight w:val="none"/>
        </w:rPr>
      </w:pPr>
      <w:r>
        <w:rPr>
          <w:rFonts w:hint="eastAsia" w:ascii="宋体" w:hAnsi="宋体" w:cs="仿宋"/>
          <w:color w:val="auto"/>
          <w:kern w:val="0"/>
          <w:szCs w:val="24"/>
          <w:highlight w:val="none"/>
        </w:rPr>
        <w:t>6.1</w:t>
      </w:r>
      <w:r>
        <w:rPr>
          <w:rFonts w:hint="eastAsia" w:ascii="宋体" w:hAnsi="宋体" w:cs="宋体"/>
          <w:color w:val="auto"/>
          <w:szCs w:val="24"/>
          <w:highlight w:val="none"/>
        </w:rPr>
        <w:t>公开招标采购项目开标结束后，采购人或采购代理机构将依法对投标人的资格进行审查。</w:t>
      </w:r>
    </w:p>
    <w:p>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5.2采购人或采购代理机构依据法律法规和采购文件的规定，对投标人的基本资格条件、特定资格条件进行审查。</w:t>
      </w:r>
    </w:p>
    <w:p>
      <w:pPr>
        <w:pStyle w:val="179"/>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6.3投标人未按照采购文件要求提供与基本资格条件、特定资格条件相应的有效资格证明材料的，视为投标人不具备采购文件中规定的资格要求，其投标无效。</w:t>
      </w:r>
    </w:p>
    <w:p>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6.4采购人、采购代理机构将通过“信用中国”网站(www.creditchina.gov.cn)、中国政府采购网(</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"http://www.ccgp.gov.cn" </w:instrText>
      </w:r>
      <w:r>
        <w:rPr>
          <w:rFonts w:hint="eastAsia" w:ascii="宋体" w:hAnsi="宋体" w:cs="宋体"/>
          <w:color w:val="auto"/>
          <w:highlight w:val="none"/>
        </w:rPr>
        <w:fldChar w:fldCharType="separate"/>
      </w:r>
      <w:r>
        <w:rPr>
          <w:rFonts w:hint="eastAsia" w:ascii="宋体" w:hAnsi="宋体" w:cs="宋体"/>
          <w:color w:val="auto"/>
          <w:highlight w:val="none"/>
        </w:rPr>
        <w:t>www.ccgp.gov.cn</w:t>
      </w:r>
      <w:r>
        <w:rPr>
          <w:rFonts w:hint="eastAsia" w:ascii="宋体" w:hAnsi="宋体" w:cs="宋体"/>
          <w:color w:val="auto"/>
          <w:highlight w:val="none"/>
        </w:rPr>
        <w:fldChar w:fldCharType="end"/>
      </w:r>
      <w:r>
        <w:rPr>
          <w:rFonts w:hint="eastAsia" w:ascii="宋体" w:hAnsi="宋体" w:cs="宋体"/>
          <w:color w:val="auto"/>
          <w:highlight w:val="none"/>
        </w:rPr>
        <w:t>)渠道查询投标人信用记录，以开标当日网页查询记录为准。经查询投标人列入失信被执行人名单、重大税收违法案件当事人名单、政府采购严重违法失信行为记录名单的，其投标文件将被当场拒绝。</w:t>
      </w:r>
    </w:p>
    <w:p>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6.5被拒绝投标文件的投标人法定代表人或其授权代表应确认，不确认的视为认同。</w:t>
      </w:r>
    </w:p>
    <w:p>
      <w:pPr>
        <w:pStyle w:val="3"/>
        <w:ind w:firstLine="315" w:firstLineChars="150"/>
        <w:rPr>
          <w:rFonts w:hint="eastAsia"/>
          <w:color w:val="auto"/>
          <w:highlight w:val="none"/>
        </w:rPr>
      </w:pPr>
      <w:r>
        <w:rPr>
          <w:rFonts w:hint="eastAsia"/>
          <w:color w:val="auto"/>
          <w:highlight w:val="none"/>
        </w:rPr>
        <w:t>七、评标</w:t>
      </w:r>
    </w:p>
    <w:p>
      <w:pPr>
        <w:pStyle w:val="3"/>
        <w:ind w:firstLine="315" w:firstLineChars="150"/>
        <w:rPr>
          <w:rFonts w:hint="eastAsia" w:ascii="宋体" w:hAnsi="宋体"/>
          <w:color w:val="auto"/>
          <w:highlight w:val="none"/>
        </w:rPr>
      </w:pPr>
      <w:r>
        <w:rPr>
          <w:rFonts w:hint="eastAsia" w:ascii="宋体" w:hAnsi="宋体"/>
          <w:color w:val="auto"/>
          <w:highlight w:val="none"/>
        </w:rPr>
        <w:t>7.1评标原则</w:t>
      </w:r>
    </w:p>
    <w:p>
      <w:pPr>
        <w:pStyle w:val="3"/>
        <w:ind w:firstLine="315" w:firstLineChars="150"/>
        <w:rPr>
          <w:rFonts w:hint="eastAsia" w:ascii="宋体" w:hAnsi="宋体"/>
          <w:color w:val="auto"/>
          <w:highlight w:val="none"/>
        </w:rPr>
      </w:pPr>
      <w:r>
        <w:rPr>
          <w:rFonts w:hint="eastAsia" w:ascii="宋体" w:hAnsi="宋体"/>
          <w:color w:val="auto"/>
          <w:highlight w:val="none"/>
        </w:rPr>
        <w:t>7.1.1 竞争优选；</w:t>
      </w:r>
    </w:p>
    <w:p>
      <w:pPr>
        <w:pStyle w:val="3"/>
        <w:ind w:firstLine="315" w:firstLineChars="150"/>
        <w:rPr>
          <w:rFonts w:hint="eastAsia" w:ascii="宋体" w:hAnsi="宋体"/>
          <w:color w:val="auto"/>
          <w:highlight w:val="none"/>
        </w:rPr>
      </w:pPr>
      <w:r>
        <w:rPr>
          <w:rFonts w:hint="eastAsia" w:ascii="宋体" w:hAnsi="宋体"/>
          <w:color w:val="auto"/>
          <w:highlight w:val="none"/>
        </w:rPr>
        <w:t>7.1.2 坚持公平、公正、科学合理的原则；</w:t>
      </w:r>
    </w:p>
    <w:p>
      <w:pPr>
        <w:pStyle w:val="3"/>
        <w:ind w:firstLine="315" w:firstLineChars="150"/>
        <w:rPr>
          <w:rFonts w:hint="eastAsia" w:ascii="宋体" w:hAnsi="宋体"/>
          <w:color w:val="auto"/>
          <w:highlight w:val="none"/>
        </w:rPr>
      </w:pPr>
      <w:r>
        <w:rPr>
          <w:rFonts w:hint="eastAsia" w:ascii="宋体" w:hAnsi="宋体"/>
          <w:color w:val="auto"/>
          <w:highlight w:val="none"/>
        </w:rPr>
        <w:t>7.1.3 价格合理，方案、产品先进可行；</w:t>
      </w:r>
    </w:p>
    <w:p>
      <w:pPr>
        <w:pStyle w:val="3"/>
        <w:ind w:firstLine="315" w:firstLineChars="150"/>
        <w:rPr>
          <w:rFonts w:hint="eastAsia" w:ascii="宋体" w:hAnsi="宋体"/>
          <w:color w:val="auto"/>
          <w:highlight w:val="none"/>
        </w:rPr>
      </w:pPr>
      <w:r>
        <w:rPr>
          <w:rFonts w:hint="eastAsia" w:ascii="宋体" w:hAnsi="宋体"/>
          <w:color w:val="auto"/>
          <w:highlight w:val="none"/>
        </w:rPr>
        <w:t>7.1.4 反对不正当竞争。</w:t>
      </w:r>
    </w:p>
    <w:p>
      <w:pPr>
        <w:pStyle w:val="3"/>
        <w:ind w:firstLine="211"/>
        <w:rPr>
          <w:rFonts w:hint="eastAsia" w:ascii="宋体" w:hAnsi="宋体"/>
          <w:b/>
          <w:color w:val="auto"/>
          <w:highlight w:val="none"/>
        </w:rPr>
      </w:pPr>
      <w:r>
        <w:rPr>
          <w:rFonts w:hint="eastAsia" w:ascii="宋体" w:hAnsi="宋体"/>
          <w:b/>
          <w:color w:val="auto"/>
          <w:highlight w:val="none"/>
        </w:rPr>
        <w:t>7.2评标委员会组成</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本项目评标委员会由采购人依法组建，成员总数为5人或以上单数，包含政府采购评审专家及用户代表，其中政府采购评审专家不少于总人数的2/3。</w:t>
      </w:r>
    </w:p>
    <w:p>
      <w:pPr>
        <w:pStyle w:val="3"/>
        <w:ind w:firstLine="211"/>
        <w:rPr>
          <w:rFonts w:hint="eastAsia" w:ascii="宋体" w:hAnsi="宋体"/>
          <w:b/>
          <w:color w:val="auto"/>
          <w:highlight w:val="none"/>
        </w:rPr>
      </w:pPr>
      <w:r>
        <w:rPr>
          <w:rFonts w:hint="eastAsia" w:ascii="宋体" w:hAnsi="宋体"/>
          <w:b/>
          <w:color w:val="auto"/>
          <w:highlight w:val="none"/>
        </w:rPr>
        <w:t>7.3评标纪律</w:t>
      </w:r>
    </w:p>
    <w:p>
      <w:pPr>
        <w:pStyle w:val="28"/>
        <w:spacing w:line="360" w:lineRule="auto"/>
        <w:ind w:firstLine="210" w:firstLineChars="100"/>
        <w:rPr>
          <w:rFonts w:hint="eastAsia" w:hAnsi="宋体" w:cs="宋体"/>
          <w:color w:val="auto"/>
          <w:szCs w:val="24"/>
          <w:highlight w:val="none"/>
        </w:rPr>
      </w:pPr>
      <w:r>
        <w:rPr>
          <w:rFonts w:hint="eastAsia" w:hAnsi="宋体" w:cs="宋体"/>
          <w:color w:val="auto"/>
          <w:szCs w:val="24"/>
          <w:highlight w:val="none"/>
        </w:rPr>
        <w:t>7.3.1 评标是采购工作的重要环节，评标工作在评标委员会内独立进行。评标委员会将按照评标原则的要求，公正、平等地对待所有投标人。</w:t>
      </w:r>
    </w:p>
    <w:p>
      <w:pPr>
        <w:pStyle w:val="28"/>
        <w:spacing w:line="360" w:lineRule="auto"/>
        <w:ind w:firstLine="210" w:firstLineChars="100"/>
        <w:rPr>
          <w:rFonts w:hint="eastAsia" w:hAnsi="宋体" w:cs="宋体"/>
          <w:color w:val="auto"/>
          <w:szCs w:val="24"/>
          <w:highlight w:val="none"/>
        </w:rPr>
      </w:pPr>
      <w:r>
        <w:rPr>
          <w:rFonts w:hint="eastAsia" w:hAnsi="宋体" w:cs="宋体"/>
          <w:color w:val="auto"/>
          <w:szCs w:val="24"/>
          <w:highlight w:val="none"/>
        </w:rPr>
        <w:t>7.3.2 所有评标人员应忠于职守、廉洁自律、秉公办事、不徇私情。</w:t>
      </w:r>
    </w:p>
    <w:p>
      <w:pPr>
        <w:pStyle w:val="28"/>
        <w:spacing w:line="360" w:lineRule="auto"/>
        <w:ind w:firstLine="210" w:firstLineChars="100"/>
        <w:rPr>
          <w:rFonts w:hint="eastAsia" w:hAnsi="宋体" w:cs="宋体"/>
          <w:color w:val="auto"/>
          <w:szCs w:val="24"/>
          <w:highlight w:val="none"/>
        </w:rPr>
      </w:pPr>
      <w:r>
        <w:rPr>
          <w:rFonts w:hAnsi="宋体" w:cs="宋体"/>
          <w:color w:val="auto"/>
          <w:szCs w:val="24"/>
          <w:highlight w:val="none"/>
        </w:rPr>
        <w:t>7.3</w:t>
      </w:r>
      <w:r>
        <w:rPr>
          <w:rFonts w:hint="eastAsia" w:hAnsi="宋体" w:cs="宋体"/>
          <w:color w:val="auto"/>
          <w:szCs w:val="24"/>
          <w:highlight w:val="none"/>
        </w:rPr>
        <w:t>.3 评标人员不得接受或参加投标人或与投标有关的单位、组织或个人的有碍公务的宴请、娱乐活动等，不得以任何形式弄虚作假。</w:t>
      </w:r>
    </w:p>
    <w:p>
      <w:pPr>
        <w:pStyle w:val="28"/>
        <w:spacing w:line="360" w:lineRule="auto"/>
        <w:ind w:firstLine="210" w:firstLineChars="100"/>
        <w:rPr>
          <w:rFonts w:hint="eastAsia" w:hAnsi="宋体" w:cs="宋体"/>
          <w:color w:val="auto"/>
          <w:szCs w:val="24"/>
          <w:highlight w:val="none"/>
        </w:rPr>
      </w:pPr>
      <w:r>
        <w:rPr>
          <w:rFonts w:hAnsi="宋体" w:cs="宋体"/>
          <w:color w:val="auto"/>
          <w:szCs w:val="24"/>
          <w:highlight w:val="none"/>
        </w:rPr>
        <w:t>7.3</w:t>
      </w:r>
      <w:r>
        <w:rPr>
          <w:rFonts w:hint="eastAsia" w:hAnsi="宋体" w:cs="宋体"/>
          <w:color w:val="auto"/>
          <w:szCs w:val="24"/>
          <w:highlight w:val="none"/>
        </w:rPr>
        <w:t>.4 评标期间，评标人员不得随意出入评标地点、与外界通讯、会客等。</w:t>
      </w:r>
    </w:p>
    <w:p>
      <w:pPr>
        <w:pStyle w:val="28"/>
        <w:spacing w:line="360" w:lineRule="auto"/>
        <w:ind w:firstLine="210" w:firstLineChars="100"/>
        <w:rPr>
          <w:rFonts w:hint="eastAsia" w:hAnsi="宋体" w:cs="宋体"/>
          <w:color w:val="auto"/>
          <w:szCs w:val="24"/>
          <w:highlight w:val="none"/>
        </w:rPr>
      </w:pPr>
      <w:r>
        <w:rPr>
          <w:rFonts w:hAnsi="宋体" w:cs="宋体"/>
          <w:color w:val="auto"/>
          <w:szCs w:val="24"/>
          <w:highlight w:val="none"/>
        </w:rPr>
        <w:t>7.3</w:t>
      </w:r>
      <w:r>
        <w:rPr>
          <w:rFonts w:hint="eastAsia" w:hAnsi="宋体" w:cs="宋体"/>
          <w:color w:val="auto"/>
          <w:szCs w:val="24"/>
          <w:highlight w:val="none"/>
        </w:rPr>
        <w:t>.5 在投标文件的审查、澄清、评价和比较以及授予合同的过程中，投标人对采购人、采购机构人员及评标委员会成员施加影响的任何行为，都将导致被取消投标资格。</w:t>
      </w:r>
    </w:p>
    <w:p>
      <w:pPr>
        <w:pStyle w:val="28"/>
        <w:spacing w:line="360" w:lineRule="auto"/>
        <w:ind w:firstLine="210" w:firstLineChars="100"/>
        <w:rPr>
          <w:rFonts w:hint="eastAsia" w:hAnsi="宋体" w:cs="宋体"/>
          <w:color w:val="auto"/>
          <w:szCs w:val="24"/>
          <w:highlight w:val="none"/>
        </w:rPr>
      </w:pPr>
      <w:r>
        <w:rPr>
          <w:rFonts w:hAnsi="宋体" w:cs="宋体"/>
          <w:color w:val="auto"/>
          <w:szCs w:val="24"/>
          <w:highlight w:val="none"/>
        </w:rPr>
        <w:t>7.3</w:t>
      </w:r>
      <w:r>
        <w:rPr>
          <w:rFonts w:hint="eastAsia" w:hAnsi="宋体" w:cs="宋体"/>
          <w:color w:val="auto"/>
          <w:szCs w:val="24"/>
          <w:highlight w:val="none"/>
        </w:rPr>
        <w:t>.6 为保证评标的公正性，在评标过程中，评标委员会成员不得与投标人或与中标结果有利害关系的人进行私下接触。在评标工作结束后，凡与评标情况有接触的任何人，不得将评标情况扩散出评标委员会以外。</w:t>
      </w:r>
    </w:p>
    <w:p>
      <w:pPr>
        <w:pStyle w:val="28"/>
        <w:spacing w:line="360" w:lineRule="auto"/>
        <w:ind w:firstLine="210" w:firstLineChars="100"/>
        <w:rPr>
          <w:rFonts w:hint="eastAsia" w:hAnsi="宋体" w:cs="宋体"/>
          <w:color w:val="auto"/>
          <w:szCs w:val="24"/>
          <w:highlight w:val="none"/>
        </w:rPr>
      </w:pPr>
      <w:r>
        <w:rPr>
          <w:rFonts w:hAnsi="宋体" w:cs="宋体"/>
          <w:color w:val="auto"/>
          <w:szCs w:val="24"/>
          <w:highlight w:val="none"/>
        </w:rPr>
        <w:t>7.3</w:t>
      </w:r>
      <w:r>
        <w:rPr>
          <w:rFonts w:hint="eastAsia" w:hAnsi="宋体" w:cs="宋体"/>
          <w:color w:val="auto"/>
          <w:szCs w:val="24"/>
          <w:highlight w:val="none"/>
        </w:rPr>
        <w:t>.7 评标过程中，当发表结论性意见时，先听取专家评委意见，用户评委随后发表意见。评标专家对投标人的优劣情况，以及认为差异较大的情况等，应以书面意见做出真实、专业、诚恳负责的表述，不得违背客观、公正的原则。</w:t>
      </w:r>
    </w:p>
    <w:p>
      <w:pPr>
        <w:pStyle w:val="28"/>
        <w:spacing w:line="360" w:lineRule="auto"/>
        <w:ind w:firstLine="210" w:firstLineChars="100"/>
        <w:rPr>
          <w:rFonts w:hint="eastAsia" w:hAnsi="宋体" w:cs="宋体"/>
          <w:color w:val="auto"/>
          <w:szCs w:val="24"/>
          <w:highlight w:val="none"/>
        </w:rPr>
      </w:pPr>
      <w:r>
        <w:rPr>
          <w:rFonts w:hAnsi="宋体" w:cs="宋体"/>
          <w:color w:val="auto"/>
          <w:szCs w:val="24"/>
          <w:highlight w:val="none"/>
        </w:rPr>
        <w:t>7.3</w:t>
      </w:r>
      <w:r>
        <w:rPr>
          <w:rFonts w:hint="eastAsia" w:hAnsi="宋体" w:cs="宋体"/>
          <w:color w:val="auto"/>
          <w:szCs w:val="24"/>
          <w:highlight w:val="none"/>
        </w:rPr>
        <w:t>.8 评标结束后，各评标人员应将全部资料整理上交采购人，严禁将评标过程中的任何资料带出评标现场向投标人或其他单位提供。</w:t>
      </w:r>
    </w:p>
    <w:p>
      <w:pPr>
        <w:pStyle w:val="28"/>
        <w:spacing w:line="360" w:lineRule="auto"/>
        <w:ind w:firstLine="210" w:firstLineChars="100"/>
        <w:rPr>
          <w:rFonts w:hint="eastAsia" w:hAnsi="宋体" w:cs="宋体"/>
          <w:color w:val="auto"/>
          <w:szCs w:val="24"/>
          <w:highlight w:val="none"/>
        </w:rPr>
      </w:pPr>
      <w:r>
        <w:rPr>
          <w:rFonts w:hAnsi="宋体" w:cs="宋体"/>
          <w:color w:val="auto"/>
          <w:szCs w:val="24"/>
          <w:highlight w:val="none"/>
        </w:rPr>
        <w:t>7.3</w:t>
      </w:r>
      <w:r>
        <w:rPr>
          <w:rFonts w:hint="eastAsia" w:hAnsi="宋体" w:cs="宋体"/>
          <w:color w:val="auto"/>
          <w:szCs w:val="24"/>
          <w:highlight w:val="none"/>
        </w:rPr>
        <w:t>.9 在中标结果公布前应对评标委员会成员名单予以保密。</w:t>
      </w:r>
    </w:p>
    <w:p>
      <w:pPr>
        <w:pStyle w:val="28"/>
        <w:spacing w:line="360" w:lineRule="auto"/>
        <w:ind w:firstLine="210" w:firstLineChars="100"/>
        <w:rPr>
          <w:rFonts w:hint="eastAsia" w:hAnsi="宋体" w:cs="宋体"/>
          <w:color w:val="auto"/>
          <w:szCs w:val="24"/>
          <w:highlight w:val="none"/>
        </w:rPr>
      </w:pPr>
      <w:r>
        <w:rPr>
          <w:rFonts w:hAnsi="宋体" w:cs="宋体"/>
          <w:color w:val="auto"/>
          <w:szCs w:val="24"/>
          <w:highlight w:val="none"/>
        </w:rPr>
        <w:t>7.3</w:t>
      </w:r>
      <w:r>
        <w:rPr>
          <w:rFonts w:hint="eastAsia" w:hAnsi="宋体" w:cs="宋体"/>
          <w:color w:val="auto"/>
          <w:szCs w:val="24"/>
          <w:highlight w:val="none"/>
        </w:rPr>
        <w:t>.10 评标委员会对各投标人的商业秘密予以保密。</w:t>
      </w:r>
    </w:p>
    <w:p>
      <w:pPr>
        <w:pStyle w:val="28"/>
        <w:spacing w:line="360" w:lineRule="auto"/>
        <w:ind w:firstLine="210" w:firstLineChars="100"/>
        <w:rPr>
          <w:rFonts w:hint="eastAsia" w:hAnsi="宋体" w:cs="宋体"/>
          <w:color w:val="auto"/>
          <w:szCs w:val="24"/>
          <w:highlight w:val="none"/>
        </w:rPr>
      </w:pPr>
      <w:r>
        <w:rPr>
          <w:rFonts w:hAnsi="宋体" w:cs="宋体"/>
          <w:color w:val="auto"/>
          <w:szCs w:val="24"/>
          <w:highlight w:val="none"/>
        </w:rPr>
        <w:t>7.3</w:t>
      </w:r>
      <w:r>
        <w:rPr>
          <w:rFonts w:hint="eastAsia" w:hAnsi="宋体" w:cs="宋体"/>
          <w:color w:val="auto"/>
          <w:szCs w:val="24"/>
          <w:highlight w:val="none"/>
        </w:rPr>
        <w:t>.11 评标委员会成员应当客观、公正地履行职责，遵守职业道德，对所提出的评审意见承担个人责任。</w:t>
      </w:r>
    </w:p>
    <w:p>
      <w:pPr>
        <w:pStyle w:val="28"/>
        <w:spacing w:line="360" w:lineRule="auto"/>
        <w:ind w:firstLine="210" w:firstLineChars="100"/>
        <w:rPr>
          <w:rFonts w:hint="eastAsia" w:hAnsi="宋体" w:cs="宋体"/>
          <w:color w:val="auto"/>
          <w:szCs w:val="24"/>
          <w:highlight w:val="none"/>
        </w:rPr>
      </w:pPr>
      <w:r>
        <w:rPr>
          <w:rFonts w:hAnsi="宋体" w:cs="宋体"/>
          <w:color w:val="auto"/>
          <w:szCs w:val="24"/>
          <w:highlight w:val="none"/>
        </w:rPr>
        <w:t>7.3</w:t>
      </w:r>
      <w:r>
        <w:rPr>
          <w:rFonts w:hint="eastAsia" w:hAnsi="宋体" w:cs="宋体"/>
          <w:color w:val="auto"/>
          <w:szCs w:val="24"/>
          <w:highlight w:val="none"/>
        </w:rPr>
        <w:t>.12 在整个评标过程中，投标人企图影响采购结果的任何活动，可能导致其投标失败。如有违法行为，将依法追究其法律责任。</w:t>
      </w:r>
    </w:p>
    <w:p>
      <w:pPr>
        <w:pStyle w:val="164"/>
        <w:spacing w:line="360" w:lineRule="auto"/>
        <w:ind w:firstLine="207" w:firstLineChars="98"/>
        <w:rPr>
          <w:rFonts w:hint="eastAsia" w:ascii="宋体" w:hAnsi="宋体" w:cs="宋体"/>
          <w:color w:val="auto"/>
          <w:highlight w:val="none"/>
        </w:rPr>
      </w:pPr>
      <w:r>
        <w:rPr>
          <w:rFonts w:hint="eastAsia" w:ascii="宋体" w:hAnsi="宋体"/>
          <w:b/>
          <w:color w:val="auto"/>
          <w:highlight w:val="none"/>
        </w:rPr>
        <w:t>7.4、评标办法</w:t>
      </w:r>
      <w:r>
        <w:rPr>
          <w:rFonts w:hint="eastAsia" w:hAnsi="宋体" w:cs="宋体"/>
          <w:color w:val="auto"/>
          <w:highlight w:val="none"/>
        </w:rPr>
        <w:t>：</w:t>
      </w:r>
      <w:r>
        <w:rPr>
          <w:rFonts w:hint="eastAsia" w:ascii="宋体" w:hAnsi="宋体" w:cs="宋体"/>
          <w:color w:val="auto"/>
          <w:highlight w:val="none"/>
        </w:rPr>
        <w:t>本项目评标办法是综合评分法，具体评标内容及评分标准等详见《第七章：评标办法》。</w:t>
      </w:r>
    </w:p>
    <w:p>
      <w:pPr>
        <w:pStyle w:val="164"/>
        <w:spacing w:line="360" w:lineRule="auto"/>
        <w:ind w:firstLine="198" w:firstLineChars="94"/>
        <w:rPr>
          <w:rFonts w:ascii="宋体" w:hAnsi="宋体"/>
          <w:b/>
          <w:color w:val="auto"/>
          <w:highlight w:val="none"/>
        </w:rPr>
      </w:pPr>
      <w:r>
        <w:rPr>
          <w:rFonts w:hint="eastAsia" w:ascii="宋体" w:hAnsi="宋体"/>
          <w:b/>
          <w:color w:val="auto"/>
          <w:highlight w:val="none"/>
        </w:rPr>
        <w:t>7.5资格性审查</w:t>
      </w:r>
    </w:p>
    <w:p>
      <w:pPr>
        <w:pStyle w:val="164"/>
        <w:spacing w:line="360" w:lineRule="auto"/>
        <w:ind w:firstLine="210" w:firstLineChars="100"/>
        <w:rPr>
          <w:rFonts w:ascii="宋体" w:hAnsi="宋体" w:cs="宋体"/>
          <w:color w:val="auto"/>
          <w:highlight w:val="none"/>
        </w:rPr>
      </w:pPr>
      <w:r>
        <w:rPr>
          <w:rFonts w:hint="eastAsia" w:ascii="宋体" w:hAnsi="宋体" w:cs="宋体"/>
          <w:color w:val="auto"/>
          <w:highlight w:val="none"/>
        </w:rPr>
        <w:t>7.5.1采购人或者采购代理机构应当依法对投标人的资格进行审查，以确定投标人是否具备投标资格。</w:t>
      </w:r>
    </w:p>
    <w:p>
      <w:pPr>
        <w:pStyle w:val="164"/>
        <w:spacing w:line="360" w:lineRule="auto"/>
        <w:ind w:firstLine="210" w:firstLineChars="100"/>
        <w:rPr>
          <w:color w:val="auto"/>
          <w:highlight w:val="none"/>
        </w:rPr>
      </w:pPr>
      <w:r>
        <w:rPr>
          <w:rFonts w:hint="eastAsia" w:ascii="宋体" w:hAnsi="宋体" w:cs="宋体"/>
          <w:color w:val="auto"/>
          <w:highlight w:val="none"/>
        </w:rPr>
        <w:t>7.5.2采购人对投标文件的判定，只依据投标内容本身，不依靠开标后的任何外来证明。如投标人提交的资质证明或其他内容不齐全， 由此造成的后果由投标人自己负责。</w:t>
      </w:r>
      <w:r>
        <w:rPr>
          <w:color w:val="auto"/>
          <w:highlight w:val="none"/>
        </w:rPr>
        <w:t xml:space="preserve">  </w:t>
      </w:r>
    </w:p>
    <w:p>
      <w:pPr>
        <w:pStyle w:val="164"/>
        <w:spacing w:line="360" w:lineRule="auto"/>
        <w:ind w:firstLine="198" w:firstLineChars="94"/>
        <w:rPr>
          <w:rFonts w:ascii="宋体" w:hAnsi="宋体"/>
          <w:b/>
          <w:color w:val="auto"/>
          <w:highlight w:val="none"/>
        </w:rPr>
      </w:pPr>
      <w:r>
        <w:rPr>
          <w:rFonts w:hint="eastAsia" w:ascii="宋体" w:hAnsi="宋体"/>
          <w:b/>
          <w:color w:val="auto"/>
          <w:highlight w:val="none"/>
        </w:rPr>
        <w:t>7.6符合性审查</w:t>
      </w:r>
    </w:p>
    <w:p>
      <w:pPr>
        <w:pStyle w:val="164"/>
        <w:spacing w:line="360" w:lineRule="auto"/>
        <w:ind w:firstLine="210" w:firstLineChars="100"/>
        <w:rPr>
          <w:rFonts w:ascii="宋体" w:hAnsi="宋体" w:cs="宋体"/>
          <w:color w:val="auto"/>
          <w:highlight w:val="none"/>
        </w:rPr>
      </w:pPr>
      <w:r>
        <w:rPr>
          <w:rFonts w:hint="eastAsia" w:ascii="宋体" w:hAnsi="宋体" w:cs="宋体"/>
          <w:color w:val="auto"/>
          <w:highlight w:val="none"/>
        </w:rPr>
        <w:t>7.6.1评标委员会应当对符合资格审查投标人的投标文件进行符合性审查，以确定其是否满足采购文件的实质性要求。如果投标文件实质上不响应采购文件的要求，评标委员会将予以拒绝，并且不允许通过修正或撤消不符合要求的差异或保留，使之成为具有响应性的投标。</w:t>
      </w:r>
    </w:p>
    <w:p>
      <w:pPr>
        <w:pStyle w:val="164"/>
        <w:spacing w:line="360" w:lineRule="auto"/>
        <w:ind w:firstLine="420"/>
        <w:rPr>
          <w:rFonts w:ascii="宋体" w:hAnsi="宋体" w:cs="宋体"/>
          <w:color w:val="auto"/>
          <w:highlight w:val="none"/>
        </w:rPr>
      </w:pPr>
      <w:r>
        <w:rPr>
          <w:rFonts w:hint="eastAsia" w:ascii="宋体" w:hAnsi="宋体" w:cs="宋体"/>
          <w:color w:val="auto"/>
          <w:highlight w:val="none"/>
        </w:rPr>
        <w:t>7.6.2投标文件的澄清</w:t>
      </w:r>
    </w:p>
    <w:p>
      <w:pPr>
        <w:pStyle w:val="164"/>
        <w:spacing w:line="360" w:lineRule="auto"/>
        <w:ind w:firstLine="420"/>
        <w:rPr>
          <w:rFonts w:ascii="宋体" w:hAnsi="宋体" w:cs="宋体"/>
          <w:color w:val="auto"/>
          <w:highlight w:val="none"/>
        </w:rPr>
      </w:pPr>
      <w:r>
        <w:rPr>
          <w:rFonts w:hint="eastAsia" w:ascii="宋体" w:hAnsi="宋体" w:cs="宋体"/>
          <w:color w:val="auto"/>
          <w:highlight w:val="none"/>
        </w:rPr>
        <w:t>1）评标委员会可要求投标人对投标文件中含义不明确、同类问题表述不一致、有明显的文字和计算错误的内容等以邮件的形式进行澄清并做出书面答复。书面答复须由投标人代表签字（或盖章）并作为投标文件的一部分。</w:t>
      </w:r>
    </w:p>
    <w:p>
      <w:pPr>
        <w:pStyle w:val="164"/>
        <w:spacing w:line="360" w:lineRule="auto"/>
        <w:ind w:firstLine="420"/>
        <w:rPr>
          <w:rFonts w:ascii="宋体" w:hAnsi="宋体" w:cs="宋体"/>
          <w:color w:val="auto"/>
          <w:highlight w:val="none"/>
        </w:rPr>
      </w:pPr>
      <w:r>
        <w:rPr>
          <w:rFonts w:hint="eastAsia" w:ascii="宋体" w:hAnsi="宋体" w:cs="宋体"/>
          <w:color w:val="auto"/>
          <w:highlight w:val="none"/>
        </w:rPr>
        <w:t>2）投标人对投标文件的澄清不得超出投标文件的范围或者改变投标文件的实质性内容。</w:t>
      </w:r>
    </w:p>
    <w:p>
      <w:pPr>
        <w:pStyle w:val="164"/>
        <w:spacing w:line="360" w:lineRule="auto"/>
        <w:ind w:firstLine="420"/>
        <w:rPr>
          <w:rFonts w:ascii="宋体" w:hAnsi="宋体" w:cs="宋体"/>
          <w:color w:val="auto"/>
          <w:highlight w:val="none"/>
        </w:rPr>
      </w:pPr>
      <w:r>
        <w:rPr>
          <w:rFonts w:hint="eastAsia" w:ascii="宋体" w:hAnsi="宋体" w:cs="宋体"/>
          <w:color w:val="auto"/>
          <w:highlight w:val="none"/>
        </w:rPr>
        <w:t>7.6.3评标委员会对投标文件的判定，只依据投标文件内容本身，不依靠开标后的任何外来证明。如投标人提交的资质证明或其他内容不齐全，由此造成的后果由投标人自己负责。</w:t>
      </w:r>
    </w:p>
    <w:p>
      <w:pPr>
        <w:pStyle w:val="164"/>
        <w:spacing w:line="360" w:lineRule="auto"/>
        <w:ind w:firstLine="420"/>
        <w:rPr>
          <w:rFonts w:ascii="宋体" w:hAnsi="宋体" w:cs="宋体"/>
          <w:color w:val="auto"/>
          <w:highlight w:val="none"/>
        </w:rPr>
      </w:pPr>
      <w:r>
        <w:rPr>
          <w:rFonts w:hint="eastAsia" w:ascii="宋体" w:hAnsi="宋体" w:cs="宋体"/>
          <w:color w:val="auto"/>
          <w:highlight w:val="none"/>
        </w:rPr>
        <w:t>7.6.4评标委员会对审查合格的投标文件按照采购文件中制订的评标方法进行综合评定打分。</w:t>
      </w:r>
    </w:p>
    <w:p>
      <w:pPr>
        <w:pStyle w:val="164"/>
        <w:spacing w:line="360" w:lineRule="auto"/>
        <w:ind w:firstLine="420"/>
        <w:rPr>
          <w:rFonts w:ascii="宋体" w:hAnsi="宋体" w:cs="宋体"/>
          <w:color w:val="auto"/>
          <w:szCs w:val="21"/>
          <w:highlight w:val="none"/>
        </w:rPr>
      </w:pPr>
      <w:r>
        <w:rPr>
          <w:rFonts w:hint="eastAsia" w:ascii="宋体" w:hAnsi="宋体" w:cs="宋体"/>
          <w:color w:val="auto"/>
          <w:highlight w:val="none"/>
        </w:rPr>
        <w:t>7.6.5评标过程中遇到特殊情况，由评标委员会遵循公开、公正原则，采取投票方式按照少数服从多数原则决定。</w:t>
      </w:r>
    </w:p>
    <w:p>
      <w:pPr>
        <w:pStyle w:val="164"/>
        <w:spacing w:line="360" w:lineRule="auto"/>
        <w:ind w:firstLine="422"/>
        <w:rPr>
          <w:rFonts w:hint="eastAsia" w:ascii="宋体" w:hAnsi="宋体" w:cs="宋体"/>
          <w:b/>
          <w:color w:val="auto"/>
          <w:highlight w:val="none"/>
        </w:rPr>
      </w:pPr>
      <w:r>
        <w:rPr>
          <w:rFonts w:hint="eastAsia" w:ascii="宋体" w:hAnsi="宋体" w:cs="宋体"/>
          <w:b/>
          <w:color w:val="auto"/>
          <w:highlight w:val="none"/>
        </w:rPr>
        <w:t xml:space="preserve">▲7.7、无效标   </w:t>
      </w:r>
    </w:p>
    <w:p>
      <w:pPr>
        <w:pStyle w:val="164"/>
        <w:spacing w:line="360" w:lineRule="auto"/>
        <w:ind w:firstLine="422"/>
        <w:rPr>
          <w:rFonts w:hint="eastAsia" w:ascii="宋体" w:hAnsi="宋体" w:cs="宋体"/>
          <w:b/>
          <w:color w:val="auto"/>
          <w:highlight w:val="none"/>
        </w:rPr>
      </w:pPr>
      <w:r>
        <w:rPr>
          <w:rFonts w:hint="eastAsia" w:ascii="宋体" w:hAnsi="宋体" w:cs="宋体"/>
          <w:b/>
          <w:color w:val="auto"/>
          <w:highlight w:val="none"/>
        </w:rPr>
        <w:t>有下列情形之一的投标文件，由评标委员会按少数服从多数原则进行认定，经认定属实后将该投标文件作无效标处理：</w:t>
      </w:r>
    </w:p>
    <w:p>
      <w:pPr>
        <w:widowControl/>
        <w:spacing w:line="360" w:lineRule="auto"/>
        <w:ind w:firstLine="398" w:firstLineChars="200"/>
        <w:jc w:val="left"/>
        <w:rPr>
          <w:rFonts w:ascii="宋体" w:hAnsi="宋体"/>
          <w:b/>
          <w:color w:val="auto"/>
          <w:spacing w:val="-6"/>
          <w:szCs w:val="21"/>
          <w:highlight w:val="none"/>
        </w:rPr>
      </w:pPr>
      <w:r>
        <w:rPr>
          <w:rFonts w:hint="eastAsia" w:ascii="宋体" w:hAnsi="宋体"/>
          <w:b/>
          <w:color w:val="auto"/>
          <w:spacing w:val="-6"/>
          <w:szCs w:val="21"/>
          <w:highlight w:val="none"/>
        </w:rPr>
        <w:t>1</w:t>
      </w:r>
      <w:r>
        <w:rPr>
          <w:rFonts w:ascii="宋体" w:hAnsi="宋体"/>
          <w:b/>
          <w:color w:val="auto"/>
          <w:spacing w:val="-6"/>
          <w:szCs w:val="21"/>
          <w:highlight w:val="none"/>
        </w:rPr>
        <w:t>.</w:t>
      </w:r>
      <w:r>
        <w:rPr>
          <w:rFonts w:hint="eastAsia" w:ascii="宋体" w:hAnsi="宋体"/>
          <w:b/>
          <w:color w:val="auto"/>
          <w:spacing w:val="-6"/>
          <w:szCs w:val="21"/>
          <w:highlight w:val="none"/>
        </w:rPr>
        <w:t>在资格审查时，如发现下列情形之一的，投标文件将被视为无效：</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（1）资格证明材料不全的，或者不符合采购文件要求的；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（2）投标人不具备采购文件中规定的资格要求的；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（3）经查询存在不良信用记录的。</w:t>
      </w:r>
    </w:p>
    <w:p>
      <w:pPr>
        <w:spacing w:line="360" w:lineRule="auto"/>
        <w:ind w:firstLine="398" w:firstLineChars="200"/>
        <w:rPr>
          <w:rFonts w:ascii="宋体" w:hAnsi="宋体"/>
          <w:b/>
          <w:color w:val="auto"/>
          <w:spacing w:val="-6"/>
          <w:szCs w:val="21"/>
          <w:highlight w:val="none"/>
        </w:rPr>
      </w:pPr>
      <w:r>
        <w:rPr>
          <w:rFonts w:hint="eastAsia" w:ascii="宋体" w:hAnsi="宋体"/>
          <w:b/>
          <w:color w:val="auto"/>
          <w:spacing w:val="-6"/>
          <w:szCs w:val="21"/>
          <w:highlight w:val="none"/>
        </w:rPr>
        <w:t>2</w:t>
      </w:r>
      <w:r>
        <w:rPr>
          <w:rFonts w:ascii="宋体" w:hAnsi="宋体"/>
          <w:b/>
          <w:color w:val="auto"/>
          <w:spacing w:val="-6"/>
          <w:szCs w:val="21"/>
          <w:highlight w:val="none"/>
        </w:rPr>
        <w:t>.</w:t>
      </w:r>
      <w:r>
        <w:rPr>
          <w:rFonts w:hint="eastAsia" w:ascii="宋体" w:hAnsi="宋体"/>
          <w:b/>
          <w:color w:val="auto"/>
          <w:spacing w:val="-6"/>
          <w:szCs w:val="21"/>
          <w:highlight w:val="none"/>
        </w:rPr>
        <w:t>在符合</w:t>
      </w:r>
      <w:r>
        <w:rPr>
          <w:rFonts w:ascii="宋体" w:hAnsi="宋体"/>
          <w:b/>
          <w:color w:val="auto"/>
          <w:spacing w:val="-6"/>
          <w:szCs w:val="21"/>
          <w:highlight w:val="none"/>
        </w:rPr>
        <w:t>性审查、</w:t>
      </w:r>
      <w:r>
        <w:rPr>
          <w:rFonts w:hint="eastAsia" w:ascii="宋体" w:hAnsi="宋体"/>
          <w:b/>
          <w:color w:val="auto"/>
          <w:spacing w:val="-6"/>
          <w:szCs w:val="21"/>
          <w:highlight w:val="none"/>
        </w:rPr>
        <w:t>商务</w:t>
      </w:r>
      <w:r>
        <w:rPr>
          <w:rFonts w:ascii="宋体" w:hAnsi="宋体"/>
          <w:b/>
          <w:color w:val="auto"/>
          <w:spacing w:val="-6"/>
          <w:szCs w:val="21"/>
          <w:highlight w:val="none"/>
        </w:rPr>
        <w:t>和技术评审</w:t>
      </w:r>
      <w:r>
        <w:rPr>
          <w:rFonts w:hint="eastAsia" w:ascii="宋体" w:hAnsi="宋体"/>
          <w:b/>
          <w:color w:val="auto"/>
          <w:spacing w:val="-6"/>
          <w:szCs w:val="21"/>
          <w:highlight w:val="none"/>
        </w:rPr>
        <w:t>时，如发现下列情形之一的，投标文件将被视为无效：</w:t>
      </w:r>
    </w:p>
    <w:p>
      <w:pPr>
        <w:spacing w:line="360" w:lineRule="auto"/>
        <w:ind w:firstLine="396" w:firstLineChars="200"/>
        <w:rPr>
          <w:rFonts w:hint="eastAsia" w:ascii="宋体" w:hAnsi="宋体" w:cs="宋体"/>
          <w:color w:val="auto"/>
          <w:highlight w:val="none"/>
        </w:rPr>
      </w:pPr>
      <w:r>
        <w:rPr>
          <w:rFonts w:hint="eastAsia" w:ascii="宋体" w:hAnsi="宋体"/>
          <w:color w:val="auto"/>
          <w:spacing w:val="-6"/>
          <w:szCs w:val="21"/>
          <w:highlight w:val="none"/>
        </w:rPr>
        <w:t>（</w:t>
      </w:r>
      <w:r>
        <w:rPr>
          <w:rFonts w:hint="eastAsia" w:ascii="宋体" w:hAnsi="宋体" w:cs="宋体"/>
          <w:color w:val="auto"/>
          <w:highlight w:val="none"/>
        </w:rPr>
        <w:t>1）资格文件及商务和技术文件未按要求签署、盖章的；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（2）未提供或未按要求提供投标函、法定代表人资格证明书、法定代表人授权委托书；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（3）未提供或未如实提供采购需求偏离表的；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（4）对“▲”条款未作实质性响应的；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）未提供或未如实提供服务方案，或者投标文件标明的响应或偏离与事实不符或虚假投标的；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）投标服务方案不明确，存在一个或一个以上备选（替代）投标方案的；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）投标文件含有采购人不能接受的附加条件的；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8</w:t>
      </w:r>
      <w:r>
        <w:rPr>
          <w:rFonts w:hint="eastAsia" w:ascii="宋体" w:hAnsi="宋体" w:cs="宋体"/>
          <w:color w:val="auto"/>
          <w:highlight w:val="none"/>
        </w:rPr>
        <w:t>）法律、法规和采购文件规定的其他无效情形。</w:t>
      </w:r>
    </w:p>
    <w:p>
      <w:pPr>
        <w:widowControl/>
        <w:spacing w:line="360" w:lineRule="auto"/>
        <w:ind w:firstLine="398" w:firstLineChars="200"/>
        <w:jc w:val="left"/>
        <w:rPr>
          <w:rFonts w:ascii="宋体" w:hAnsi="宋体"/>
          <w:b/>
          <w:color w:val="auto"/>
          <w:spacing w:val="-6"/>
          <w:szCs w:val="21"/>
          <w:highlight w:val="none"/>
        </w:rPr>
      </w:pPr>
      <w:r>
        <w:rPr>
          <w:rFonts w:hint="eastAsia" w:ascii="宋体" w:hAnsi="宋体"/>
          <w:b/>
          <w:color w:val="auto"/>
          <w:spacing w:val="-6"/>
          <w:szCs w:val="21"/>
          <w:highlight w:val="none"/>
        </w:rPr>
        <w:t>3</w:t>
      </w:r>
      <w:r>
        <w:rPr>
          <w:rFonts w:ascii="宋体" w:hAnsi="宋体"/>
          <w:b/>
          <w:color w:val="auto"/>
          <w:spacing w:val="-6"/>
          <w:szCs w:val="21"/>
          <w:highlight w:val="none"/>
        </w:rPr>
        <w:t>.在报价评审时，如发现下列情形之一的，投标文件将被视为无效：</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（1）报价文件未按要求签署、盖章的；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（2）未按照采购文件标明的币种报价的；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（3）报价超过采购文件中规定的预算金额或者最高限价的；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（4）报价具有选择性的；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（5）报价明显低于其他通过符合性审查投标人的报价（有可能影响产品质量或者不能诚信履约的），投标人在评标现场合理的时间内无法提供书面说明（必要时提交相关证明材料）证明其报价合理性的。</w:t>
      </w:r>
    </w:p>
    <w:p>
      <w:pPr>
        <w:widowControl/>
        <w:spacing w:line="360" w:lineRule="auto"/>
        <w:ind w:firstLine="398" w:firstLineChars="200"/>
        <w:jc w:val="left"/>
        <w:rPr>
          <w:rFonts w:hint="eastAsia" w:ascii="宋体" w:hAnsi="宋体"/>
          <w:b/>
          <w:color w:val="auto"/>
          <w:spacing w:val="-6"/>
          <w:szCs w:val="21"/>
          <w:highlight w:val="none"/>
        </w:rPr>
      </w:pPr>
      <w:r>
        <w:rPr>
          <w:rFonts w:hint="eastAsia" w:ascii="宋体" w:hAnsi="宋体"/>
          <w:b/>
          <w:color w:val="auto"/>
          <w:spacing w:val="-6"/>
          <w:szCs w:val="21"/>
          <w:highlight w:val="none"/>
        </w:rPr>
        <w:t>4</w:t>
      </w:r>
      <w:r>
        <w:rPr>
          <w:rFonts w:ascii="宋体" w:hAnsi="宋体"/>
          <w:b/>
          <w:color w:val="auto"/>
          <w:spacing w:val="-6"/>
          <w:szCs w:val="21"/>
          <w:highlight w:val="none"/>
        </w:rPr>
        <w:t>.</w:t>
      </w:r>
      <w:r>
        <w:rPr>
          <w:rFonts w:hint="eastAsia" w:ascii="宋体" w:hAnsi="宋体"/>
          <w:b/>
          <w:color w:val="auto"/>
          <w:spacing w:val="-6"/>
          <w:szCs w:val="21"/>
          <w:highlight w:val="none"/>
        </w:rPr>
        <w:t>参与同一标项的供应商存在以下情形的投标文件将被视为无效：</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（1）MAC地址相同；计算机硬盘序列号相同；投标文件细节错误一致且无合理解释的；</w:t>
      </w:r>
    </w:p>
    <w:p>
      <w:pPr>
        <w:spacing w:line="360" w:lineRule="auto"/>
        <w:ind w:firstLine="420" w:firstLineChars="200"/>
        <w:rPr>
          <w:rFonts w:hint="eastAsia"/>
          <w:color w:val="auto"/>
          <w:highlight w:val="none"/>
        </w:rPr>
      </w:pPr>
      <w:r>
        <w:rPr>
          <w:rFonts w:hint="eastAsia" w:ascii="宋体" w:hAnsi="宋体" w:cs="宋体"/>
          <w:color w:val="auto"/>
          <w:highlight w:val="none"/>
        </w:rPr>
        <w:t>（2）供应商《资信技术评分汇总表》中资信技术得分低于资信技术总分</w:t>
      </w:r>
      <w:r>
        <w:rPr>
          <w:rFonts w:hint="eastAsia" w:ascii="宋体" w:hAnsi="宋体" w:cs="宋体"/>
          <w:b/>
          <w:bCs/>
          <w:color w:val="auto"/>
          <w:highlight w:val="none"/>
        </w:rPr>
        <w:t>60%</w:t>
      </w:r>
      <w:r>
        <w:rPr>
          <w:rFonts w:hint="eastAsia" w:ascii="宋体" w:hAnsi="宋体" w:cs="宋体"/>
          <w:color w:val="auto"/>
          <w:highlight w:val="none"/>
        </w:rPr>
        <w:t>的。</w:t>
      </w:r>
    </w:p>
    <w:p>
      <w:pPr>
        <w:widowControl/>
        <w:spacing w:line="360" w:lineRule="auto"/>
        <w:ind w:firstLine="398" w:firstLineChars="200"/>
        <w:jc w:val="left"/>
        <w:rPr>
          <w:rFonts w:hint="eastAsia" w:ascii="宋体" w:hAnsi="宋体"/>
          <w:b/>
          <w:color w:val="auto"/>
          <w:spacing w:val="-6"/>
          <w:szCs w:val="21"/>
          <w:highlight w:val="none"/>
        </w:rPr>
      </w:pPr>
      <w:r>
        <w:rPr>
          <w:rFonts w:hint="eastAsia" w:ascii="宋体" w:hAnsi="宋体"/>
          <w:b/>
          <w:color w:val="auto"/>
          <w:spacing w:val="-6"/>
          <w:szCs w:val="21"/>
          <w:highlight w:val="none"/>
        </w:rPr>
        <w:t>5.有下列情形之一的，视为投标人串通投标，其投标无效，由采购人或采购代理机构上报政府采购监督管理部门，视情列入不良行为记录名单，在一至三年内禁止参加政府采购活动：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（1）不同投标人的投标文件由同一单位或者个人编制；</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（2）不同投标人委托同一单位或者个人办理投标事宜；</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（5）不同投标人的投标文件相互混装或不同投标人的投标文件制作机器码或创建标识码一致的（投标文件制作机器码一致是指MAC地址、CPU序列号、硬盘序列号、主板序列号全部一致）。</w:t>
      </w:r>
    </w:p>
    <w:p>
      <w:pPr>
        <w:pStyle w:val="28"/>
        <w:spacing w:line="360" w:lineRule="auto"/>
        <w:ind w:firstLine="517" w:firstLineChars="245"/>
        <w:rPr>
          <w:rFonts w:hint="eastAsia" w:hAnsi="宋体"/>
          <w:b/>
          <w:color w:val="auto"/>
          <w:szCs w:val="24"/>
          <w:highlight w:val="none"/>
        </w:rPr>
      </w:pPr>
      <w:r>
        <w:rPr>
          <w:rFonts w:hint="eastAsia" w:hAnsi="宋体"/>
          <w:b/>
          <w:color w:val="auto"/>
          <w:szCs w:val="24"/>
          <w:highlight w:val="none"/>
        </w:rPr>
        <w:t>7.8废标</w:t>
      </w:r>
    </w:p>
    <w:p>
      <w:pPr>
        <w:pStyle w:val="164"/>
        <w:spacing w:line="360" w:lineRule="auto"/>
        <w:ind w:firstLine="420"/>
        <w:rPr>
          <w:rFonts w:cs="Arial"/>
          <w:color w:val="auto"/>
          <w:highlight w:val="none"/>
        </w:rPr>
      </w:pPr>
      <w:r>
        <w:rPr>
          <w:rFonts w:cs="Arial"/>
          <w:color w:val="auto"/>
          <w:highlight w:val="none"/>
        </w:rPr>
        <w:t>在采购采购中，出现下列情形之一的，应予废标：</w:t>
      </w:r>
    </w:p>
    <w:p>
      <w:pPr>
        <w:pStyle w:val="164"/>
        <w:spacing w:line="360" w:lineRule="auto"/>
        <w:ind w:firstLine="420"/>
        <w:rPr>
          <w:rFonts w:cs="Arial"/>
          <w:color w:val="auto"/>
          <w:highlight w:val="none"/>
        </w:rPr>
      </w:pPr>
      <w:r>
        <w:rPr>
          <w:rFonts w:cs="Arial"/>
          <w:color w:val="auto"/>
          <w:highlight w:val="none"/>
        </w:rPr>
        <w:t>（1）</w:t>
      </w:r>
      <w:r>
        <w:rPr>
          <w:rFonts w:hint="eastAsia" w:cs="Arial"/>
          <w:color w:val="auto"/>
          <w:highlight w:val="none"/>
        </w:rPr>
        <w:t>符合专业条件的投标人或者对采购文件作实质响应的投标人不足三家的</w:t>
      </w:r>
      <w:r>
        <w:rPr>
          <w:rFonts w:cs="Arial"/>
          <w:color w:val="auto"/>
          <w:highlight w:val="none"/>
        </w:rPr>
        <w:t>；</w:t>
      </w:r>
    </w:p>
    <w:p>
      <w:pPr>
        <w:pStyle w:val="164"/>
        <w:spacing w:line="360" w:lineRule="auto"/>
        <w:ind w:firstLine="420"/>
        <w:rPr>
          <w:rFonts w:cs="Arial"/>
          <w:color w:val="auto"/>
          <w:highlight w:val="none"/>
        </w:rPr>
      </w:pPr>
      <w:r>
        <w:rPr>
          <w:rFonts w:cs="Arial"/>
          <w:color w:val="auto"/>
          <w:highlight w:val="none"/>
        </w:rPr>
        <w:t>（2）</w:t>
      </w:r>
      <w:r>
        <w:rPr>
          <w:rFonts w:hint="eastAsia" w:cs="Arial"/>
          <w:color w:val="auto"/>
          <w:highlight w:val="none"/>
        </w:rPr>
        <w:t>出现影响采购公正的违法、违规行为的</w:t>
      </w:r>
      <w:r>
        <w:rPr>
          <w:rFonts w:cs="Arial"/>
          <w:color w:val="auto"/>
          <w:highlight w:val="none"/>
        </w:rPr>
        <w:t>；</w:t>
      </w:r>
    </w:p>
    <w:p>
      <w:pPr>
        <w:pStyle w:val="164"/>
        <w:spacing w:line="360" w:lineRule="auto"/>
        <w:ind w:firstLine="420"/>
        <w:rPr>
          <w:rFonts w:cs="Arial"/>
          <w:color w:val="auto"/>
          <w:highlight w:val="none"/>
        </w:rPr>
      </w:pPr>
      <w:r>
        <w:rPr>
          <w:rFonts w:cs="Arial"/>
          <w:color w:val="auto"/>
          <w:highlight w:val="none"/>
        </w:rPr>
        <w:t>（</w:t>
      </w:r>
      <w:r>
        <w:rPr>
          <w:rFonts w:hint="eastAsia" w:cs="Arial"/>
          <w:color w:val="auto"/>
          <w:highlight w:val="none"/>
        </w:rPr>
        <w:t>3</w:t>
      </w:r>
      <w:r>
        <w:rPr>
          <w:rFonts w:cs="Arial"/>
          <w:color w:val="auto"/>
          <w:highlight w:val="none"/>
        </w:rPr>
        <w:t>）</w:t>
      </w:r>
      <w:r>
        <w:rPr>
          <w:rFonts w:hint="eastAsia" w:cs="Arial"/>
          <w:color w:val="auto"/>
          <w:highlight w:val="none"/>
        </w:rPr>
        <w:t>投标人的报价均超过了采购预算，采购人不能支付的</w:t>
      </w:r>
      <w:r>
        <w:rPr>
          <w:rFonts w:cs="Arial"/>
          <w:color w:val="auto"/>
          <w:highlight w:val="none"/>
        </w:rPr>
        <w:t>；</w:t>
      </w:r>
    </w:p>
    <w:p>
      <w:pPr>
        <w:pStyle w:val="164"/>
        <w:spacing w:line="360" w:lineRule="auto"/>
        <w:ind w:firstLine="420"/>
        <w:rPr>
          <w:rFonts w:cs="Arial"/>
          <w:color w:val="auto"/>
          <w:highlight w:val="none"/>
        </w:rPr>
      </w:pPr>
      <w:r>
        <w:rPr>
          <w:rFonts w:cs="Arial"/>
          <w:color w:val="auto"/>
          <w:highlight w:val="none"/>
        </w:rPr>
        <w:t>（</w:t>
      </w:r>
      <w:r>
        <w:rPr>
          <w:rFonts w:hint="eastAsia" w:cs="Arial"/>
          <w:color w:val="auto"/>
          <w:highlight w:val="none"/>
        </w:rPr>
        <w:t>4</w:t>
      </w:r>
      <w:r>
        <w:rPr>
          <w:rFonts w:cs="Arial"/>
          <w:color w:val="auto"/>
          <w:highlight w:val="none"/>
        </w:rPr>
        <w:t>）因重大变故，采购任务取消的。</w:t>
      </w:r>
    </w:p>
    <w:p>
      <w:pPr>
        <w:pStyle w:val="28"/>
        <w:spacing w:line="360" w:lineRule="auto"/>
        <w:ind w:firstLine="210" w:firstLineChars="100"/>
        <w:rPr>
          <w:rFonts w:hint="eastAsia" w:hAnsi="宋体"/>
          <w:b/>
          <w:color w:val="auto"/>
          <w:szCs w:val="24"/>
          <w:highlight w:val="none"/>
        </w:rPr>
      </w:pPr>
      <w:r>
        <w:rPr>
          <w:rFonts w:ascii="Arial" w:hAnsi="Arial" w:cs="Arial"/>
          <w:color w:val="auto"/>
          <w:highlight w:val="none"/>
        </w:rPr>
        <w:t>　　废标后，采购人应当将废标理由以邮件形式通知所有投标人。</w:t>
      </w:r>
    </w:p>
    <w:p>
      <w:pPr>
        <w:pStyle w:val="5"/>
        <w:ind w:firstLine="422"/>
        <w:rPr>
          <w:rFonts w:hint="eastAsia" w:ascii="宋体" w:hAnsi="宋体" w:cs="宋体"/>
          <w:color w:val="auto"/>
          <w:highlight w:val="none"/>
        </w:rPr>
      </w:pPr>
      <w:bookmarkStart w:id="52" w:name="_Toc18236"/>
      <w:bookmarkStart w:id="53" w:name="_Toc470431971"/>
      <w:r>
        <w:rPr>
          <w:rFonts w:hint="eastAsia" w:ascii="宋体" w:hAnsi="宋体" w:cs="宋体"/>
          <w:color w:val="auto"/>
          <w:highlight w:val="none"/>
        </w:rPr>
        <w:t>八、定标</w:t>
      </w:r>
      <w:bookmarkEnd w:id="52"/>
      <w:bookmarkEnd w:id="53"/>
    </w:p>
    <w:p>
      <w:pPr>
        <w:pStyle w:val="164"/>
        <w:spacing w:line="360" w:lineRule="auto"/>
        <w:ind w:firstLine="422"/>
        <w:rPr>
          <w:rFonts w:hint="eastAsia" w:ascii="宋体" w:hAnsi="宋体" w:cs="宋体"/>
          <w:b/>
          <w:color w:val="auto"/>
          <w:highlight w:val="none"/>
        </w:rPr>
      </w:pPr>
      <w:r>
        <w:rPr>
          <w:rFonts w:hint="eastAsia" w:ascii="宋体" w:hAnsi="宋体" w:cs="宋体"/>
          <w:b/>
          <w:color w:val="auto"/>
          <w:highlight w:val="none"/>
        </w:rPr>
        <w:t>8.1、依法确认采购结果</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本项目由采购人根据评标委员会提交的《评审报告》依法确定中标人。</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采购组织机构在评标结束后的2个工作日内将《评审报告》交给采购人确认。采购人将在收到评审报告后的5个工作日内确定中标成交投标人，</w:t>
      </w:r>
    </w:p>
    <w:p>
      <w:pPr>
        <w:pStyle w:val="164"/>
        <w:spacing w:line="360" w:lineRule="auto"/>
        <w:ind w:firstLine="420"/>
        <w:rPr>
          <w:rFonts w:hint="eastAsia" w:ascii="宋体" w:hAnsi="宋体" w:cs="宋体"/>
          <w:color w:val="auto"/>
          <w:szCs w:val="21"/>
          <w:highlight w:val="none"/>
        </w:rPr>
      </w:pPr>
      <w:r>
        <w:rPr>
          <w:rFonts w:hint="eastAsia" w:ascii="宋体" w:hAnsi="宋体" w:cs="宋体"/>
          <w:color w:val="auto"/>
          <w:highlight w:val="none"/>
        </w:rPr>
        <w:t>定标由采购人负责，应坚持评审小组推荐的中标候选人为中标人。但如出现下列情形之一的，采购人可以直接确定备用中标候选人为中标人：（1）排名第一的候选投标人，因自身原因放弃中标成交或因不可抗力不能履行合同的；（2）经质疑，采购组织机构审查确认因排名第一的候选投标人在本次采购活动中存在违法违规行为或其他原因使质疑成立的。</w:t>
      </w:r>
    </w:p>
    <w:p>
      <w:pPr>
        <w:pStyle w:val="164"/>
        <w:spacing w:line="360" w:lineRule="auto"/>
        <w:ind w:firstLine="422"/>
        <w:rPr>
          <w:rFonts w:hint="eastAsia" w:ascii="宋体" w:hAnsi="宋体" w:cs="宋体"/>
          <w:b/>
          <w:color w:val="auto"/>
          <w:highlight w:val="none"/>
        </w:rPr>
      </w:pPr>
      <w:r>
        <w:rPr>
          <w:rFonts w:hint="eastAsia" w:ascii="宋体" w:hAnsi="宋体" w:cs="宋体"/>
          <w:b/>
          <w:color w:val="auto"/>
          <w:highlight w:val="none"/>
        </w:rPr>
        <w:t>8.2、中标结果公告及中标通知书签发</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8.2.1结果公告</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采购结果经采购人确认后2个工作日内，采购代理机构将对外发布中标成交公告和中标通知书。采购代理机构按相关政府采购规定将中标结果发布在政府采购网上进行公示，公示期为1个工作日。采购人、采购代理机构及评标委员会对未中标的投标人不作落标原因解释。</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8.3、采购过程、采购结果质疑</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8.3.1投标人认为采购过程、采购结果使自己的合法权益受到损害的，投标人可以提出书面质疑。</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8.3.2质疑书须包括以下内容：</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（一）质疑人的名称、地址、邮政编码、联系人、联系电话，以及被质疑人名称及联系方式；</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（二）被质疑采购项目名称、编号及采购内容；</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（三）具体的质疑事项及事实依据；</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（四）认为自己合法权益受到损害或可能受到损害的相关证据材料；</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（五）提出质疑的日期。</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8.3.3质疑期限自采购结果公告（包括公示、预公告、结果变更公告等）之日起计算，7个工作日内向采购代理机构提出。</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8.3.4质疑书中涉及的相关材料中有外文资料的，应当将与质疑相关的外文资料完整、客观、真实地翻译为中文，并注明翻译人员姓名、工作单位、联系方式等信息。</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8.3.5质疑书必须署名，由法定代表人或主要负责人签字（或盖章）并加盖单位公章。</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8.3.6质疑书以直接提交、传真或邮寄方式提交（一式三份）。</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8.3.7质疑书以传真形式提交后，同时须向采购代理机构提交质疑书原件。</w:t>
      </w:r>
    </w:p>
    <w:p>
      <w:pPr>
        <w:pStyle w:val="164"/>
        <w:spacing w:line="360" w:lineRule="auto"/>
        <w:ind w:firstLine="42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8.3.8</w:t>
      </w:r>
      <w:r>
        <w:rPr>
          <w:rFonts w:cs="Arial"/>
          <w:color w:val="auto"/>
          <w:szCs w:val="21"/>
          <w:highlight w:val="none"/>
        </w:rPr>
        <w:t>如联合体投标，质疑应由组成联合体的所有供应商共同提出</w:t>
      </w:r>
      <w:r>
        <w:rPr>
          <w:rFonts w:hint="eastAsia" w:cs="Arial"/>
          <w:color w:val="auto"/>
          <w:szCs w:val="21"/>
          <w:highlight w:val="none"/>
          <w:lang w:eastAsia="zh-CN"/>
        </w:rPr>
        <w:t>（</w:t>
      </w:r>
      <w:r>
        <w:rPr>
          <w:rFonts w:hint="eastAsia" w:cs="Arial"/>
          <w:color w:val="auto"/>
          <w:szCs w:val="21"/>
          <w:highlight w:val="none"/>
          <w:lang w:val="en-US" w:eastAsia="zh-CN"/>
        </w:rPr>
        <w:t>招标文件如接受联合体时适用）</w:t>
      </w:r>
      <w:r>
        <w:rPr>
          <w:rFonts w:cs="Arial"/>
          <w:color w:val="auto"/>
          <w:szCs w:val="21"/>
          <w:highlight w:val="none"/>
        </w:rPr>
        <w:t>。</w:t>
      </w:r>
    </w:p>
    <w:p>
      <w:pPr>
        <w:pStyle w:val="5"/>
        <w:ind w:firstLine="422"/>
        <w:rPr>
          <w:rFonts w:hint="eastAsia" w:ascii="宋体" w:hAnsi="宋体" w:cs="宋体"/>
          <w:color w:val="auto"/>
          <w:highlight w:val="none"/>
        </w:rPr>
      </w:pPr>
      <w:bookmarkStart w:id="54" w:name="_Toc470431972"/>
      <w:bookmarkStart w:id="55" w:name="_Toc28110"/>
      <w:r>
        <w:rPr>
          <w:rFonts w:hint="eastAsia" w:ascii="宋体" w:hAnsi="宋体" w:cs="宋体"/>
          <w:color w:val="auto"/>
          <w:highlight w:val="none"/>
        </w:rPr>
        <w:t>九、合同授予</w:t>
      </w:r>
      <w:bookmarkEnd w:id="54"/>
      <w:bookmarkEnd w:id="55"/>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9.1、签订合同</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9.1.1 中标人应在接到中标通知书后按中标通知书规定的时间、地点与采购人签订合同。</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9.1.2采购文件及补充文件、中标人的投标文件及投标修改文件、评标过程中有关澄清文件和中标通知书均作为合同附件。</w:t>
      </w:r>
    </w:p>
    <w:p>
      <w:pPr>
        <w:pStyle w:val="164"/>
        <w:spacing w:line="360" w:lineRule="auto"/>
        <w:ind w:firstLine="420"/>
        <w:rPr>
          <w:rFonts w:hint="eastAsia" w:ascii="宋体" w:hAnsi="宋体" w:cs="宋体"/>
          <w:color w:val="auto"/>
          <w:highlight w:val="none"/>
        </w:rPr>
      </w:pPr>
      <w:r>
        <w:rPr>
          <w:rFonts w:hint="eastAsia" w:ascii="宋体" w:hAnsi="宋体" w:cs="宋体"/>
          <w:bCs/>
          <w:color w:val="auto"/>
          <w:highlight w:val="none"/>
        </w:rPr>
        <w:t>9.1.3乙</w:t>
      </w:r>
      <w:r>
        <w:rPr>
          <w:rFonts w:hint="eastAsia" w:ascii="宋体" w:hAnsi="宋体" w:cs="宋体"/>
          <w:color w:val="auto"/>
          <w:highlight w:val="none"/>
        </w:rPr>
        <w:t>方为履行合同引起的相关人员的宿费以及其它不可预知的费用由乙方自理。合同实施过程中，须与甲方积极配合。</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9.1.4拒签合同的责任</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发出中标通知书前，采购人有权组织第三方或评标委员会对项目进行验收，中标候选人必须予以积极配合；若中标候选人不配合或验收不符合投标响应内容，则采购人可视其投标响应内容存在虚假，取消中标候选人资格并追究其相关责任。</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中标人接到中标通知书后，在规定时间内借故否认已经承诺的条件而拒签合同者，以投标违约处理，须赔偿采购人由此造成的直接经济损失。</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9.</w:t>
      </w:r>
      <w:r>
        <w:rPr>
          <w:rFonts w:ascii="宋体" w:hAnsi="宋体" w:cs="宋体"/>
          <w:color w:val="auto"/>
          <w:highlight w:val="none"/>
        </w:rPr>
        <w:t>2</w:t>
      </w:r>
      <w:r>
        <w:rPr>
          <w:rFonts w:hint="eastAsia" w:ascii="宋体" w:hAnsi="宋体" w:cs="宋体"/>
          <w:color w:val="auto"/>
          <w:highlight w:val="none"/>
        </w:rPr>
        <w:t>、采购代理服务费</w:t>
      </w:r>
    </w:p>
    <w:p>
      <w:pPr>
        <w:pStyle w:val="164"/>
        <w:spacing w:line="360" w:lineRule="auto"/>
        <w:ind w:firstLine="420"/>
        <w:rPr>
          <w:rFonts w:hint="eastAsia" w:ascii="宋体" w:hAnsi="宋体" w:cs="宋体"/>
          <w:bCs/>
          <w:color w:val="auto"/>
          <w:highlight w:val="none"/>
        </w:rPr>
      </w:pPr>
      <w:r>
        <w:rPr>
          <w:rFonts w:hint="eastAsia" w:ascii="宋体" w:hAnsi="宋体" w:cs="宋体"/>
          <w:bCs/>
          <w:color w:val="auto"/>
          <w:highlight w:val="none"/>
        </w:rPr>
        <w:t>9.2.1本次采购代理服务费按“投标投标人须知前附表”规定收取。</w:t>
      </w:r>
    </w:p>
    <w:p>
      <w:pPr>
        <w:pStyle w:val="164"/>
        <w:spacing w:line="360" w:lineRule="auto"/>
        <w:ind w:firstLine="420"/>
        <w:rPr>
          <w:rFonts w:hint="eastAsia" w:ascii="宋体" w:hAnsi="宋体" w:cs="宋体"/>
          <w:bCs/>
          <w:color w:val="auto"/>
          <w:highlight w:val="none"/>
        </w:rPr>
      </w:pPr>
      <w:r>
        <w:rPr>
          <w:rFonts w:hint="eastAsia" w:ascii="宋体" w:hAnsi="宋体" w:cs="宋体"/>
          <w:bCs/>
          <w:color w:val="auto"/>
          <w:highlight w:val="none"/>
        </w:rPr>
        <w:t>9.2.2 采购文件</w:t>
      </w:r>
      <w:r>
        <w:rPr>
          <w:rFonts w:ascii="宋体" w:hAnsi="宋体" w:cs="宋体"/>
          <w:bCs/>
          <w:color w:val="auto"/>
          <w:highlight w:val="none"/>
        </w:rPr>
        <w:t>有效期内</w:t>
      </w:r>
      <w:r>
        <w:rPr>
          <w:rFonts w:hint="eastAsia" w:ascii="宋体" w:hAnsi="宋体" w:cs="宋体"/>
          <w:bCs/>
          <w:color w:val="auto"/>
          <w:highlight w:val="none"/>
        </w:rPr>
        <w:t>投标人</w:t>
      </w:r>
      <w:r>
        <w:rPr>
          <w:rFonts w:ascii="宋体" w:hAnsi="宋体" w:cs="宋体"/>
          <w:bCs/>
          <w:color w:val="auto"/>
          <w:highlight w:val="none"/>
        </w:rPr>
        <w:t>撤销投标文件的，应向采购人交纳项目预算金额的2%费用。</w:t>
      </w:r>
    </w:p>
    <w:p>
      <w:pPr>
        <w:pStyle w:val="164"/>
        <w:spacing w:line="360" w:lineRule="auto"/>
        <w:ind w:firstLine="420"/>
        <w:rPr>
          <w:rFonts w:ascii="宋体" w:hAnsi="宋体" w:cs="宋体"/>
          <w:bCs/>
          <w:color w:val="auto"/>
          <w:highlight w:val="none"/>
        </w:rPr>
      </w:pPr>
      <w:r>
        <w:rPr>
          <w:rFonts w:hint="eastAsia" w:ascii="宋体" w:hAnsi="宋体" w:cs="宋体"/>
          <w:bCs/>
          <w:color w:val="auto"/>
          <w:highlight w:val="none"/>
        </w:rPr>
        <w:t>9.2.3</w:t>
      </w:r>
      <w:r>
        <w:rPr>
          <w:rFonts w:ascii="宋体" w:hAnsi="宋体" w:cs="宋体"/>
          <w:bCs/>
          <w:color w:val="auto"/>
          <w:highlight w:val="none"/>
        </w:rPr>
        <w:t>中标人如不按采购文件规定交纳采购代理服务费的，将取消其中标资格，中标人应向采购代理机构交纳采购文件规定的采购代理服务费作为赔偿。</w:t>
      </w:r>
    </w:p>
    <w:p>
      <w:pPr>
        <w:pStyle w:val="164"/>
        <w:spacing w:line="360" w:lineRule="auto"/>
        <w:ind w:firstLine="420"/>
        <w:rPr>
          <w:rFonts w:hint="eastAsia" w:ascii="宋体" w:hAnsi="宋体" w:cs="宋体"/>
          <w:bCs/>
          <w:color w:val="auto"/>
          <w:highlight w:val="none"/>
        </w:rPr>
      </w:pPr>
      <w:r>
        <w:rPr>
          <w:rFonts w:hint="eastAsia" w:ascii="宋体" w:hAnsi="宋体" w:cs="宋体"/>
          <w:bCs/>
          <w:color w:val="auto"/>
          <w:highlight w:val="none"/>
        </w:rPr>
        <w:t>9.2.4</w:t>
      </w:r>
      <w:r>
        <w:rPr>
          <w:rFonts w:ascii="宋体" w:hAnsi="宋体" w:cs="宋体"/>
          <w:bCs/>
          <w:color w:val="auto"/>
          <w:highlight w:val="none"/>
        </w:rPr>
        <w:t>中标人不按采购文件规定交纳采购代理服务费的，视为未按照采购文件确定的事项签订政府采购合同。</w:t>
      </w:r>
    </w:p>
    <w:p>
      <w:pPr>
        <w:pStyle w:val="4"/>
        <w:spacing w:line="240" w:lineRule="auto"/>
        <w:rPr>
          <w:rFonts w:hint="eastAsia" w:ascii="宋体" w:hAnsi="宋体" w:cs="宋体"/>
          <w:color w:val="auto"/>
          <w:highlight w:val="none"/>
        </w:rPr>
      </w:pPr>
      <w:r>
        <w:rPr>
          <w:rFonts w:hint="eastAsia" w:ascii="宋体" w:hAnsi="宋体" w:cs="宋体"/>
          <w:color w:val="auto"/>
          <w:highlight w:val="none"/>
        </w:rPr>
        <w:br w:type="page"/>
      </w:r>
      <w:bookmarkStart w:id="56" w:name="_Toc401236942"/>
      <w:bookmarkStart w:id="57" w:name="_Toc470431973"/>
      <w:bookmarkStart w:id="58" w:name="_Toc16509"/>
      <w:bookmarkStart w:id="59" w:name="_Toc515876927"/>
      <w:bookmarkStart w:id="60" w:name="_Toc82338246"/>
      <w:bookmarkStart w:id="61" w:name="_Toc211745570"/>
      <w:bookmarkStart w:id="62" w:name="_Toc82873329"/>
      <w:r>
        <w:rPr>
          <w:rFonts w:hint="eastAsia" w:ascii="宋体" w:hAnsi="宋体" w:cs="宋体"/>
          <w:color w:val="auto"/>
          <w:highlight w:val="none"/>
        </w:rPr>
        <w:t>第四章</w:t>
      </w:r>
      <w:bookmarkEnd w:id="56"/>
      <w:bookmarkEnd w:id="57"/>
      <w:r>
        <w:rPr>
          <w:rFonts w:hint="eastAsia" w:ascii="宋体" w:hAnsi="宋体" w:cs="宋体"/>
          <w:color w:val="auto"/>
          <w:highlight w:val="none"/>
        </w:rPr>
        <w:t xml:space="preserve">  采购合同主要条款</w:t>
      </w:r>
      <w:bookmarkEnd w:id="58"/>
      <w:bookmarkEnd w:id="59"/>
    </w:p>
    <w:p>
      <w:pPr>
        <w:spacing w:line="400" w:lineRule="exact"/>
        <w:jc w:val="center"/>
        <w:rPr>
          <w:rFonts w:hint="eastAsia" w:ascii="仿宋" w:hAnsi="仿宋" w:eastAsia="仿宋" w:cs="仿宋"/>
          <w:b/>
          <w:color w:val="auto"/>
          <w:sz w:val="28"/>
          <w:highlight w:val="none"/>
        </w:rPr>
      </w:pPr>
    </w:p>
    <w:p>
      <w:pPr>
        <w:spacing w:line="400" w:lineRule="exact"/>
        <w:jc w:val="center"/>
        <w:rPr>
          <w:rFonts w:ascii="仿宋" w:hAnsi="仿宋" w:eastAsia="仿宋" w:cs="仿宋"/>
          <w:b/>
          <w:color w:val="auto"/>
          <w:highlight w:val="none"/>
        </w:rPr>
      </w:pPr>
      <w:r>
        <w:rPr>
          <w:rFonts w:hint="eastAsia" w:ascii="仿宋" w:hAnsi="仿宋" w:eastAsia="仿宋" w:cs="仿宋"/>
          <w:b/>
          <w:color w:val="auto"/>
          <w:sz w:val="28"/>
          <w:highlight w:val="none"/>
        </w:rPr>
        <w:t>(具体以正式签订合同为准)</w:t>
      </w:r>
    </w:p>
    <w:p>
      <w:pPr>
        <w:spacing w:line="400" w:lineRule="exact"/>
        <w:jc w:val="center"/>
        <w:rPr>
          <w:rFonts w:ascii="仿宋" w:hAnsi="仿宋" w:eastAsia="仿宋"/>
          <w:b/>
          <w:color w:val="auto"/>
          <w:sz w:val="24"/>
          <w:highlight w:val="none"/>
        </w:rPr>
      </w:pPr>
    </w:p>
    <w:p>
      <w:pPr>
        <w:pStyle w:val="217"/>
        <w:spacing w:line="400" w:lineRule="exact"/>
        <w:jc w:val="center"/>
        <w:rPr>
          <w:rFonts w:hint="eastAsia" w:ascii="宋体" w:hAnsi="宋体" w:cs="宋体"/>
          <w:color w:val="auto"/>
          <w:sz w:val="28"/>
          <w:szCs w:val="28"/>
          <w:highlight w:val="none"/>
          <w:lang w:eastAsia="zh-CN"/>
        </w:rPr>
      </w:pPr>
    </w:p>
    <w:p>
      <w:pPr>
        <w:pStyle w:val="217"/>
        <w:spacing w:line="400" w:lineRule="exact"/>
        <w:ind w:left="0"/>
        <w:jc w:val="center"/>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合同书</w:t>
      </w:r>
    </w:p>
    <w:p>
      <w:pPr>
        <w:pStyle w:val="217"/>
        <w:spacing w:line="400" w:lineRule="exact"/>
        <w:rPr>
          <w:rFonts w:hint="eastAsia" w:ascii="宋体" w:hAnsi="宋体" w:cs="宋体"/>
          <w:color w:val="auto"/>
          <w:sz w:val="28"/>
          <w:szCs w:val="28"/>
          <w:highlight w:val="none"/>
          <w:lang w:eastAsia="zh-CN"/>
        </w:rPr>
      </w:pPr>
    </w:p>
    <w:p>
      <w:pPr>
        <w:pStyle w:val="217"/>
        <w:spacing w:line="400" w:lineRule="exact"/>
        <w:rPr>
          <w:rFonts w:hint="eastAsia" w:ascii="宋体" w:hAnsi="宋体" w:cs="宋体"/>
          <w:color w:val="auto"/>
          <w:sz w:val="28"/>
          <w:szCs w:val="28"/>
          <w:highlight w:val="none"/>
          <w:lang w:eastAsia="zh-CN"/>
        </w:rPr>
      </w:pPr>
    </w:p>
    <w:p>
      <w:pPr>
        <w:spacing w:before="120" w:line="400" w:lineRule="exact"/>
        <w:rPr>
          <w:rFonts w:hint="eastAsia" w:ascii="宋体" w:hAnsi="宋体" w:cs="宋体"/>
          <w:color w:val="auto"/>
          <w:sz w:val="28"/>
          <w:szCs w:val="28"/>
          <w:highlight w:val="none"/>
        </w:rPr>
      </w:pPr>
    </w:p>
    <w:p>
      <w:pPr>
        <w:spacing w:before="120" w:line="400" w:lineRule="exact"/>
        <w:ind w:left="960"/>
        <w:rPr>
          <w:rFonts w:hint="eastAsia" w:ascii="宋体" w:hAnsi="宋体" w:cs="宋体"/>
          <w:color w:val="auto"/>
          <w:sz w:val="28"/>
          <w:szCs w:val="28"/>
          <w:highlight w:val="none"/>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rPr>
        <w:t xml:space="preserve">                                   </w:t>
      </w:r>
    </w:p>
    <w:p>
      <w:pPr>
        <w:pStyle w:val="368"/>
        <w:spacing w:before="120" w:line="400" w:lineRule="exact"/>
        <w:rPr>
          <w:rFonts w:hint="eastAsia" w:ascii="宋体" w:hAnsi="宋体" w:eastAsia="宋体" w:cs="宋体"/>
          <w:color w:val="auto"/>
          <w:sz w:val="28"/>
          <w:szCs w:val="28"/>
          <w:highlight w:val="none"/>
        </w:rPr>
      </w:pPr>
    </w:p>
    <w:p>
      <w:pPr>
        <w:spacing w:line="400" w:lineRule="exact"/>
        <w:rPr>
          <w:rFonts w:hint="eastAsia" w:ascii="宋体" w:hAnsi="宋体" w:cs="宋体"/>
          <w:color w:val="auto"/>
          <w:sz w:val="28"/>
          <w:szCs w:val="28"/>
          <w:highlight w:val="none"/>
        </w:rPr>
      </w:pPr>
    </w:p>
    <w:p>
      <w:pPr>
        <w:spacing w:before="120" w:line="400" w:lineRule="exact"/>
        <w:ind w:left="96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甲方：</w:t>
      </w:r>
      <w:r>
        <w:rPr>
          <w:rFonts w:hint="eastAsia" w:ascii="宋体" w:hAnsi="宋体" w:cs="宋体"/>
          <w:color w:val="auto"/>
          <w:sz w:val="28"/>
          <w:szCs w:val="28"/>
          <w:highlight w:val="none"/>
          <w:u w:val="single"/>
        </w:rPr>
        <w:t xml:space="preserve">                                       </w:t>
      </w:r>
    </w:p>
    <w:p>
      <w:pPr>
        <w:spacing w:before="120" w:line="400" w:lineRule="exact"/>
        <w:rPr>
          <w:rFonts w:hint="eastAsia" w:ascii="宋体" w:hAnsi="宋体" w:cs="宋体"/>
          <w:color w:val="auto"/>
          <w:sz w:val="28"/>
          <w:szCs w:val="28"/>
          <w:highlight w:val="none"/>
        </w:rPr>
      </w:pPr>
    </w:p>
    <w:p>
      <w:pPr>
        <w:spacing w:before="120" w:line="400" w:lineRule="exact"/>
        <w:ind w:left="96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乙方：</w:t>
      </w:r>
      <w:r>
        <w:rPr>
          <w:rFonts w:hint="eastAsia" w:ascii="宋体" w:hAnsi="宋体" w:cs="宋体"/>
          <w:color w:val="auto"/>
          <w:sz w:val="28"/>
          <w:szCs w:val="28"/>
          <w:highlight w:val="none"/>
          <w:u w:val="single"/>
        </w:rPr>
        <w:t xml:space="preserve">                                       </w:t>
      </w:r>
    </w:p>
    <w:p>
      <w:pPr>
        <w:spacing w:before="120" w:line="400" w:lineRule="exact"/>
        <w:rPr>
          <w:rFonts w:hint="eastAsia" w:ascii="宋体" w:hAnsi="宋体" w:cs="宋体"/>
          <w:color w:val="auto"/>
          <w:sz w:val="28"/>
          <w:szCs w:val="28"/>
          <w:highlight w:val="none"/>
        </w:rPr>
      </w:pPr>
    </w:p>
    <w:p>
      <w:pPr>
        <w:spacing w:before="120" w:line="400" w:lineRule="exact"/>
        <w:ind w:firstLine="1120" w:firstLineChars="4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签订地：</w:t>
      </w:r>
      <w:r>
        <w:rPr>
          <w:rFonts w:hint="eastAsia" w:ascii="宋体" w:hAnsi="宋体" w:cs="宋体"/>
          <w:color w:val="auto"/>
          <w:sz w:val="28"/>
          <w:szCs w:val="28"/>
          <w:highlight w:val="none"/>
          <w:u w:val="single"/>
        </w:rPr>
        <w:t xml:space="preserve">                                     </w:t>
      </w:r>
    </w:p>
    <w:p>
      <w:pPr>
        <w:spacing w:before="120" w:line="400" w:lineRule="exact"/>
        <w:rPr>
          <w:rFonts w:hint="eastAsia" w:ascii="宋体" w:hAnsi="宋体" w:cs="宋体"/>
          <w:color w:val="auto"/>
          <w:sz w:val="28"/>
          <w:szCs w:val="28"/>
          <w:highlight w:val="none"/>
        </w:rPr>
      </w:pPr>
    </w:p>
    <w:p>
      <w:pPr>
        <w:spacing w:before="120" w:line="400" w:lineRule="exact"/>
        <w:ind w:firstLine="1120" w:firstLineChars="4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签订日期：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widowControl/>
        <w:spacing w:line="400" w:lineRule="exact"/>
        <w:jc w:val="left"/>
        <w:rPr>
          <w:rFonts w:hint="eastAsia" w:ascii="宋体" w:hAnsi="宋体" w:cs="宋体"/>
          <w:color w:val="auto"/>
          <w:kern w:val="0"/>
          <w:sz w:val="28"/>
          <w:szCs w:val="28"/>
          <w:highlight w:val="none"/>
        </w:rPr>
        <w:sectPr>
          <w:headerReference r:id="rId8" w:type="first"/>
          <w:footerReference r:id="rId11" w:type="first"/>
          <w:headerReference r:id="rId7" w:type="default"/>
          <w:footerReference r:id="rId9" w:type="default"/>
          <w:footerReference r:id="rId10" w:type="even"/>
          <w:pgSz w:w="11907" w:h="16840"/>
          <w:pgMar w:top="1161" w:right="1361" w:bottom="1361" w:left="1361" w:header="851" w:footer="851" w:gutter="0"/>
          <w:cols w:space="720" w:num="1"/>
        </w:sectPr>
      </w:pPr>
    </w:p>
    <w:p>
      <w:pPr>
        <w:spacing w:line="360" w:lineRule="auto"/>
        <w:ind w:firstLine="723" w:firstLineChars="200"/>
        <w:jc w:val="center"/>
        <w:rPr>
          <w:rFonts w:hint="eastAsia" w:eastAsia="宋体" w:cs="Arial"/>
          <w:b/>
          <w:bCs/>
          <w:color w:val="auto"/>
          <w:sz w:val="36"/>
          <w:szCs w:val="36"/>
          <w:highlight w:val="none"/>
          <w:u w:val="none"/>
          <w:lang w:val="en-US" w:eastAsia="zh-CN"/>
        </w:rPr>
      </w:pPr>
      <w:r>
        <w:rPr>
          <w:rFonts w:hint="eastAsia" w:cs="Arial"/>
          <w:b/>
          <w:bCs/>
          <w:color w:val="auto"/>
          <w:sz w:val="36"/>
          <w:szCs w:val="36"/>
          <w:highlight w:val="none"/>
          <w:u w:val="none"/>
          <w:lang w:val="en-US" w:eastAsia="zh-CN"/>
        </w:rPr>
        <w:t>采购合同主要条款</w:t>
      </w:r>
    </w:p>
    <w:p>
      <w:pPr>
        <w:spacing w:line="360" w:lineRule="auto"/>
        <w:ind w:firstLine="420" w:firstLineChars="200"/>
        <w:rPr>
          <w:rFonts w:cs="Arial"/>
          <w:color w:val="auto"/>
          <w:szCs w:val="21"/>
          <w:highlight w:val="none"/>
        </w:rPr>
      </w:pPr>
      <w:r>
        <w:rPr>
          <w:rFonts w:hint="eastAsia" w:cs="Arial"/>
          <w:color w:val="auto"/>
          <w:szCs w:val="21"/>
          <w:highlight w:val="none"/>
          <w:u w:val="single"/>
        </w:rPr>
        <w:t>龙游县自然资源和规划局</w:t>
      </w:r>
      <w:r>
        <w:rPr>
          <w:rFonts w:cs="Arial"/>
          <w:color w:val="auto"/>
          <w:szCs w:val="21"/>
          <w:highlight w:val="none"/>
        </w:rPr>
        <w:t>（甲方）</w:t>
      </w:r>
      <w:r>
        <w:rPr>
          <w:rFonts w:hint="eastAsia" w:cs="Arial"/>
          <w:color w:val="auto"/>
          <w:szCs w:val="21"/>
          <w:highlight w:val="none"/>
          <w:u w:val="single"/>
          <w:lang w:eastAsia="zh-CN"/>
        </w:rPr>
        <w:t>2025年龙游县耕地现状调查项目</w:t>
      </w:r>
      <w:r>
        <w:rPr>
          <w:rFonts w:cs="Arial"/>
          <w:color w:val="auto"/>
          <w:szCs w:val="21"/>
          <w:highlight w:val="none"/>
        </w:rPr>
        <w:t>（项目名称）中所需</w:t>
      </w:r>
      <w:r>
        <w:rPr>
          <w:rFonts w:hint="eastAsia" w:cs="Arial"/>
          <w:color w:val="auto"/>
          <w:szCs w:val="21"/>
          <w:highlight w:val="none"/>
          <w:u w:val="single"/>
          <w:lang w:eastAsia="zh-CN"/>
        </w:rPr>
        <w:t>2025年龙游县耕地现状调查项目</w:t>
      </w:r>
      <w:r>
        <w:rPr>
          <w:rFonts w:cs="Arial"/>
          <w:color w:val="auto"/>
          <w:szCs w:val="21"/>
          <w:highlight w:val="none"/>
        </w:rPr>
        <w:t>（标项内容）经</w:t>
      </w:r>
      <w:r>
        <w:rPr>
          <w:rFonts w:hint="eastAsia" w:cs="Arial"/>
          <w:color w:val="auto"/>
          <w:szCs w:val="21"/>
          <w:highlight w:val="none"/>
          <w:u w:val="single"/>
        </w:rPr>
        <w:t>龙游县自然资源和规划局</w:t>
      </w:r>
      <w:r>
        <w:rPr>
          <w:rFonts w:cs="Arial"/>
          <w:color w:val="auto"/>
          <w:szCs w:val="21"/>
          <w:highlight w:val="none"/>
        </w:rPr>
        <w:t>以招标文件（项目编号：</w:t>
      </w:r>
      <w:r>
        <w:rPr>
          <w:rFonts w:hint="eastAsia" w:cs="Arial"/>
          <w:color w:val="auto"/>
          <w:szCs w:val="21"/>
          <w:highlight w:val="none"/>
          <w:u w:val="single"/>
          <w:lang w:eastAsia="zh-CN"/>
        </w:rPr>
        <w:t>LYCG2025TY-047</w:t>
      </w:r>
      <w:r>
        <w:rPr>
          <w:rFonts w:hint="eastAsia" w:cs="Arial"/>
          <w:color w:val="auto"/>
          <w:szCs w:val="21"/>
          <w:highlight w:val="none"/>
          <w:u w:val="single"/>
        </w:rPr>
        <w:t xml:space="preserve"> </w:t>
      </w:r>
      <w:r>
        <w:rPr>
          <w:rFonts w:cs="Arial"/>
          <w:color w:val="auto"/>
          <w:szCs w:val="21"/>
          <w:highlight w:val="none"/>
        </w:rPr>
        <w:t>）进行公开招标。根据公开招标结果确定</w:t>
      </w:r>
      <w:r>
        <w:rPr>
          <w:rFonts w:cs="Arial"/>
          <w:color w:val="auto"/>
          <w:szCs w:val="21"/>
          <w:highlight w:val="none"/>
          <w:u w:val="single"/>
        </w:rPr>
        <w:t xml:space="preserve">       </w:t>
      </w:r>
      <w:r>
        <w:rPr>
          <w:rFonts w:hint="eastAsia" w:cs="Arial"/>
          <w:color w:val="auto"/>
          <w:szCs w:val="21"/>
          <w:highlight w:val="none"/>
          <w:u w:val="single"/>
          <w:lang w:val="en-US" w:eastAsia="zh-CN"/>
        </w:rPr>
        <w:t xml:space="preserve">   </w:t>
      </w:r>
      <w:r>
        <w:rPr>
          <w:rFonts w:cs="Arial"/>
          <w:color w:val="auto"/>
          <w:szCs w:val="21"/>
          <w:highlight w:val="none"/>
        </w:rPr>
        <w:t>（乙方）为中标人。甲、乙双方依据《中华人民共和国政府采购法》《中华人民共和国民法典》，在平等自愿的基础上，同意按照下面的条款和条件，签署本合同。</w:t>
      </w:r>
    </w:p>
    <w:p>
      <w:pPr>
        <w:pStyle w:val="5"/>
        <w:spacing w:before="120"/>
        <w:ind w:firstLine="422"/>
        <w:rPr>
          <w:rFonts w:cs="Arial"/>
          <w:color w:val="auto"/>
          <w:szCs w:val="21"/>
          <w:highlight w:val="none"/>
        </w:rPr>
      </w:pPr>
      <w:r>
        <w:rPr>
          <w:rFonts w:cs="Arial"/>
          <w:color w:val="auto"/>
          <w:szCs w:val="21"/>
          <w:highlight w:val="none"/>
        </w:rPr>
        <w:t>一、项目采购依据</w:t>
      </w:r>
    </w:p>
    <w:p>
      <w:pPr>
        <w:spacing w:line="360" w:lineRule="auto"/>
        <w:ind w:firstLine="420" w:firstLineChars="200"/>
        <w:rPr>
          <w:rFonts w:cs="Arial"/>
          <w:color w:val="auto"/>
          <w:szCs w:val="21"/>
          <w:highlight w:val="none"/>
        </w:rPr>
      </w:pPr>
      <w:r>
        <w:rPr>
          <w:rFonts w:cs="Arial"/>
          <w:color w:val="auto"/>
          <w:szCs w:val="21"/>
          <w:highlight w:val="none"/>
        </w:rPr>
        <w:t>政府采购预算执行确认书：</w:t>
      </w:r>
      <w:r>
        <w:rPr>
          <w:rFonts w:hint="eastAsia" w:cs="Arial"/>
          <w:color w:val="auto"/>
          <w:szCs w:val="21"/>
          <w:highlight w:val="none"/>
          <w:u w:val="single"/>
        </w:rPr>
        <w:t xml:space="preserve">                      </w:t>
      </w:r>
    </w:p>
    <w:p>
      <w:pPr>
        <w:pStyle w:val="5"/>
        <w:spacing w:before="120"/>
        <w:ind w:firstLine="422"/>
        <w:rPr>
          <w:rFonts w:cs="Arial"/>
          <w:color w:val="auto"/>
          <w:szCs w:val="21"/>
          <w:highlight w:val="none"/>
        </w:rPr>
      </w:pPr>
      <w:r>
        <w:rPr>
          <w:rFonts w:cs="Arial"/>
          <w:color w:val="auto"/>
          <w:szCs w:val="21"/>
          <w:highlight w:val="none"/>
        </w:rPr>
        <w:t>二、下列文件构成本合同的组成部分</w:t>
      </w:r>
    </w:p>
    <w:p>
      <w:pPr>
        <w:spacing w:line="360" w:lineRule="auto"/>
        <w:ind w:firstLine="420" w:firstLineChars="200"/>
        <w:rPr>
          <w:rFonts w:cs="Arial"/>
          <w:color w:val="auto"/>
          <w:szCs w:val="21"/>
          <w:highlight w:val="none"/>
        </w:rPr>
      </w:pPr>
      <w:r>
        <w:rPr>
          <w:rFonts w:cs="Arial"/>
          <w:color w:val="auto"/>
          <w:szCs w:val="21"/>
          <w:highlight w:val="none"/>
        </w:rPr>
        <w:t>以下文件为本合同的组成部分，应该认为是一个整体，彼此相互解释，相互补充。组成合同的多个文件的优先支配地位的次序如下：</w:t>
      </w:r>
    </w:p>
    <w:p>
      <w:pPr>
        <w:spacing w:line="360" w:lineRule="auto"/>
        <w:ind w:firstLine="420" w:firstLineChars="200"/>
        <w:rPr>
          <w:rFonts w:cs="Arial"/>
          <w:color w:val="auto"/>
          <w:szCs w:val="21"/>
          <w:highlight w:val="none"/>
        </w:rPr>
      </w:pPr>
      <w:r>
        <w:rPr>
          <w:rFonts w:cs="Arial"/>
          <w:color w:val="auto"/>
          <w:szCs w:val="21"/>
          <w:highlight w:val="none"/>
        </w:rPr>
        <w:t>1. 本合同书</w:t>
      </w:r>
    </w:p>
    <w:p>
      <w:pPr>
        <w:spacing w:line="360" w:lineRule="auto"/>
        <w:ind w:firstLine="420" w:firstLineChars="200"/>
        <w:rPr>
          <w:rFonts w:cs="Arial"/>
          <w:color w:val="auto"/>
          <w:szCs w:val="21"/>
          <w:highlight w:val="none"/>
        </w:rPr>
      </w:pPr>
      <w:r>
        <w:rPr>
          <w:rFonts w:cs="Arial"/>
          <w:color w:val="auto"/>
          <w:szCs w:val="21"/>
          <w:highlight w:val="none"/>
        </w:rPr>
        <w:t>2. 中标通知书</w:t>
      </w:r>
    </w:p>
    <w:p>
      <w:pPr>
        <w:spacing w:line="360" w:lineRule="auto"/>
        <w:ind w:firstLine="420" w:firstLineChars="200"/>
        <w:rPr>
          <w:rFonts w:cs="Arial"/>
          <w:color w:val="auto"/>
          <w:szCs w:val="21"/>
          <w:highlight w:val="none"/>
        </w:rPr>
      </w:pPr>
      <w:r>
        <w:rPr>
          <w:rFonts w:hint="eastAsia" w:cs="Arial"/>
          <w:color w:val="auto"/>
          <w:szCs w:val="21"/>
          <w:highlight w:val="none"/>
        </w:rPr>
        <w:t>3</w:t>
      </w:r>
      <w:r>
        <w:rPr>
          <w:rFonts w:cs="Arial"/>
          <w:color w:val="auto"/>
          <w:szCs w:val="21"/>
          <w:highlight w:val="none"/>
        </w:rPr>
        <w:t>. 投标文件</w:t>
      </w:r>
    </w:p>
    <w:p>
      <w:pPr>
        <w:spacing w:line="360" w:lineRule="auto"/>
        <w:ind w:firstLine="420" w:firstLineChars="200"/>
        <w:rPr>
          <w:rFonts w:cs="Arial"/>
          <w:color w:val="auto"/>
          <w:szCs w:val="21"/>
          <w:highlight w:val="none"/>
        </w:rPr>
      </w:pPr>
      <w:r>
        <w:rPr>
          <w:rFonts w:hint="eastAsia" w:cs="Arial"/>
          <w:color w:val="auto"/>
          <w:szCs w:val="21"/>
          <w:highlight w:val="none"/>
        </w:rPr>
        <w:t>4</w:t>
      </w:r>
      <w:r>
        <w:rPr>
          <w:rFonts w:cs="Arial"/>
          <w:color w:val="auto"/>
          <w:szCs w:val="21"/>
          <w:highlight w:val="none"/>
        </w:rPr>
        <w:t>. 招标文件</w:t>
      </w:r>
    </w:p>
    <w:p>
      <w:pPr>
        <w:pStyle w:val="5"/>
        <w:spacing w:before="120"/>
        <w:ind w:firstLine="422"/>
        <w:rPr>
          <w:rFonts w:cs="Arial"/>
          <w:color w:val="auto"/>
          <w:szCs w:val="21"/>
          <w:highlight w:val="none"/>
        </w:rPr>
      </w:pPr>
      <w:r>
        <w:rPr>
          <w:rFonts w:cs="Arial"/>
          <w:color w:val="auto"/>
          <w:szCs w:val="21"/>
          <w:highlight w:val="none"/>
        </w:rPr>
        <w:t>三、</w:t>
      </w:r>
      <w:r>
        <w:rPr>
          <w:rFonts w:hint="eastAsia" w:cs="Arial"/>
          <w:color w:val="auto"/>
          <w:szCs w:val="21"/>
          <w:highlight w:val="none"/>
        </w:rPr>
        <w:t>服务内容</w:t>
      </w:r>
    </w:p>
    <w:p>
      <w:pPr>
        <w:spacing w:line="360" w:lineRule="auto"/>
        <w:ind w:firstLine="420" w:firstLineChars="200"/>
        <w:rPr>
          <w:rFonts w:ascii="Times New Roman" w:hAnsi="Times New Roman" w:eastAsia="宋体" w:cs="Arial"/>
          <w:color w:val="auto"/>
          <w:szCs w:val="21"/>
          <w:highlight w:val="none"/>
        </w:rPr>
      </w:pPr>
      <w:r>
        <w:rPr>
          <w:rFonts w:hint="eastAsia" w:ascii="Times New Roman" w:hAnsi="Times New Roman" w:eastAsia="宋体" w:cs="Arial"/>
          <w:color w:val="auto"/>
          <w:szCs w:val="21"/>
          <w:highlight w:val="none"/>
        </w:rPr>
        <w:t>根据</w:t>
      </w:r>
      <w:r>
        <w:rPr>
          <w:rFonts w:hint="eastAsia" w:ascii="Times New Roman" w:hAnsi="Times New Roman" w:eastAsia="宋体" w:cs="Arial"/>
          <w:color w:val="auto"/>
          <w:szCs w:val="21"/>
          <w:highlight w:val="none"/>
          <w:lang w:val="en-US" w:eastAsia="zh-CN"/>
        </w:rPr>
        <w:t>衢州市自然资源和规划局</w:t>
      </w:r>
      <w:r>
        <w:rPr>
          <w:rFonts w:hint="eastAsia" w:ascii="Times New Roman" w:hAnsi="Times New Roman" w:eastAsia="宋体" w:cs="Arial"/>
          <w:color w:val="auto"/>
          <w:szCs w:val="21"/>
          <w:highlight w:val="none"/>
        </w:rPr>
        <w:t>《</w:t>
      </w:r>
      <w:r>
        <w:rPr>
          <w:rFonts w:hint="eastAsia" w:ascii="Times New Roman" w:hAnsi="Times New Roman" w:eastAsia="宋体" w:cs="Arial"/>
          <w:color w:val="auto"/>
          <w:szCs w:val="21"/>
          <w:highlight w:val="none"/>
          <w:lang w:val="en-US" w:eastAsia="zh-CN"/>
        </w:rPr>
        <w:t>关于加快现状耕地实地调查工作提示函</w:t>
      </w:r>
      <w:r>
        <w:rPr>
          <w:rFonts w:hint="eastAsia" w:ascii="Times New Roman" w:hAnsi="Times New Roman" w:eastAsia="宋体" w:cs="Arial"/>
          <w:color w:val="auto"/>
          <w:szCs w:val="21"/>
          <w:highlight w:val="none"/>
        </w:rPr>
        <w:t>》文件要求，在结合</w:t>
      </w:r>
      <w:r>
        <w:rPr>
          <w:rFonts w:hint="eastAsia" w:ascii="Times New Roman" w:hAnsi="Times New Roman" w:eastAsia="宋体" w:cs="Arial"/>
          <w:color w:val="auto"/>
          <w:szCs w:val="21"/>
          <w:highlight w:val="none"/>
          <w:lang w:val="en-US" w:eastAsia="zh-CN"/>
        </w:rPr>
        <w:t>2024年</w:t>
      </w:r>
      <w:r>
        <w:rPr>
          <w:rFonts w:hint="eastAsia" w:ascii="Times New Roman" w:hAnsi="Times New Roman" w:eastAsia="宋体" w:cs="Arial"/>
          <w:color w:val="auto"/>
          <w:szCs w:val="21"/>
          <w:highlight w:val="none"/>
        </w:rPr>
        <w:t>变更调查</w:t>
      </w:r>
      <w:r>
        <w:rPr>
          <w:rFonts w:hint="eastAsia" w:ascii="Times New Roman" w:hAnsi="Times New Roman" w:eastAsia="宋体" w:cs="Arial"/>
          <w:color w:val="auto"/>
          <w:szCs w:val="21"/>
          <w:highlight w:val="none"/>
          <w:lang w:val="en-US" w:eastAsia="zh-CN"/>
        </w:rPr>
        <w:t>一上数据</w:t>
      </w:r>
      <w:r>
        <w:rPr>
          <w:rFonts w:hint="eastAsia" w:ascii="Times New Roman" w:hAnsi="Times New Roman" w:eastAsia="宋体" w:cs="Arial"/>
          <w:color w:val="auto"/>
          <w:szCs w:val="21"/>
          <w:highlight w:val="none"/>
        </w:rPr>
        <w:t>、第三次国土调查等成果基础上，全面梳理耕地特别是永久基本农田</w:t>
      </w:r>
      <w:r>
        <w:rPr>
          <w:rFonts w:hint="eastAsia" w:ascii="Times New Roman" w:hAnsi="Times New Roman" w:eastAsia="宋体" w:cs="Arial"/>
          <w:color w:val="auto"/>
          <w:szCs w:val="21"/>
          <w:highlight w:val="none"/>
          <w:lang w:val="en-US" w:eastAsia="zh-CN"/>
        </w:rPr>
        <w:t>现状种植</w:t>
      </w:r>
      <w:r>
        <w:rPr>
          <w:rFonts w:hint="eastAsia" w:ascii="Times New Roman" w:hAnsi="Times New Roman" w:eastAsia="宋体" w:cs="Arial"/>
          <w:color w:val="auto"/>
          <w:szCs w:val="21"/>
          <w:highlight w:val="none"/>
        </w:rPr>
        <w:t>的类型、面积、分布情况，并按要求</w:t>
      </w:r>
      <w:r>
        <w:rPr>
          <w:rFonts w:hint="eastAsia" w:ascii="Times New Roman" w:hAnsi="Times New Roman" w:eastAsia="宋体" w:cs="Arial"/>
          <w:color w:val="auto"/>
          <w:szCs w:val="21"/>
          <w:highlight w:val="none"/>
          <w:lang w:val="en-US" w:eastAsia="zh-CN"/>
        </w:rPr>
        <w:t>填报调查表格</w:t>
      </w:r>
      <w:r>
        <w:rPr>
          <w:rFonts w:hint="eastAsia" w:ascii="Times New Roman" w:hAnsi="Times New Roman" w:eastAsia="宋体" w:cs="Arial"/>
          <w:color w:val="auto"/>
          <w:szCs w:val="21"/>
          <w:highlight w:val="none"/>
        </w:rPr>
        <w:t>，上图入库，建立耕地</w:t>
      </w:r>
      <w:r>
        <w:rPr>
          <w:rFonts w:hint="eastAsia" w:ascii="Times New Roman" w:hAnsi="Times New Roman" w:eastAsia="宋体" w:cs="Arial"/>
          <w:color w:val="auto"/>
          <w:szCs w:val="21"/>
          <w:highlight w:val="none"/>
          <w:lang w:val="en-US" w:eastAsia="zh-CN"/>
        </w:rPr>
        <w:t>现状</w:t>
      </w:r>
      <w:r>
        <w:rPr>
          <w:rFonts w:hint="eastAsia" w:ascii="Times New Roman" w:hAnsi="Times New Roman" w:eastAsia="宋体" w:cs="Arial"/>
          <w:color w:val="auto"/>
          <w:szCs w:val="21"/>
          <w:highlight w:val="none"/>
        </w:rPr>
        <w:t xml:space="preserve">利用信息数据库。 </w:t>
      </w:r>
    </w:p>
    <w:p>
      <w:pPr>
        <w:pStyle w:val="5"/>
        <w:spacing w:before="120"/>
        <w:ind w:firstLine="422"/>
        <w:rPr>
          <w:rFonts w:cs="Arial"/>
          <w:color w:val="auto"/>
          <w:szCs w:val="21"/>
          <w:highlight w:val="none"/>
        </w:rPr>
      </w:pPr>
      <w:r>
        <w:rPr>
          <w:rFonts w:cs="Arial"/>
          <w:color w:val="auto"/>
          <w:szCs w:val="21"/>
          <w:highlight w:val="none"/>
        </w:rPr>
        <w:t>四、合同总价</w:t>
      </w:r>
    </w:p>
    <w:p>
      <w:pPr>
        <w:spacing w:line="360" w:lineRule="auto"/>
        <w:ind w:firstLine="420" w:firstLineChars="200"/>
        <w:rPr>
          <w:rFonts w:cs="Arial"/>
          <w:color w:val="auto"/>
          <w:szCs w:val="21"/>
          <w:highlight w:val="none"/>
        </w:rPr>
      </w:pPr>
      <w:r>
        <w:rPr>
          <w:rFonts w:cs="Arial"/>
          <w:color w:val="auto"/>
          <w:szCs w:val="21"/>
          <w:highlight w:val="none"/>
        </w:rPr>
        <w:t>本合同总价为人民币</w:t>
      </w:r>
      <w:r>
        <w:rPr>
          <w:rFonts w:hint="eastAsia" w:cs="Arial"/>
          <w:color w:val="auto"/>
          <w:szCs w:val="21"/>
          <w:highlight w:val="none"/>
          <w:u w:val="single"/>
          <w:lang w:val="en-US" w:eastAsia="zh-CN"/>
        </w:rPr>
        <w:t xml:space="preserve"> </w:t>
      </w:r>
      <w:r>
        <w:rPr>
          <w:rFonts w:cs="Arial"/>
          <w:color w:val="auto"/>
          <w:szCs w:val="21"/>
          <w:highlight w:val="none"/>
          <w:u w:val="single"/>
        </w:rPr>
        <w:t xml:space="preserve">        </w:t>
      </w:r>
      <w:r>
        <w:rPr>
          <w:rFonts w:hint="eastAsia" w:cs="Arial"/>
          <w:color w:val="auto"/>
          <w:szCs w:val="21"/>
          <w:highlight w:val="none"/>
          <w:u w:val="single"/>
          <w:lang w:val="en-US" w:eastAsia="zh-CN"/>
        </w:rPr>
        <w:t xml:space="preserve"> </w:t>
      </w:r>
      <w:r>
        <w:rPr>
          <w:rFonts w:cs="Arial"/>
          <w:color w:val="auto"/>
          <w:szCs w:val="21"/>
          <w:highlight w:val="none"/>
        </w:rPr>
        <w:t>。</w:t>
      </w:r>
    </w:p>
    <w:p>
      <w:pPr>
        <w:pStyle w:val="5"/>
        <w:spacing w:before="120"/>
        <w:ind w:firstLine="422"/>
        <w:rPr>
          <w:rFonts w:cs="Arial"/>
          <w:color w:val="auto"/>
          <w:szCs w:val="21"/>
          <w:highlight w:val="none"/>
        </w:rPr>
      </w:pPr>
      <w:r>
        <w:rPr>
          <w:rFonts w:cs="Arial"/>
          <w:color w:val="auto"/>
          <w:szCs w:val="21"/>
          <w:highlight w:val="none"/>
        </w:rPr>
        <w:t>五、合同价款的支付</w:t>
      </w:r>
    </w:p>
    <w:p>
      <w:pPr>
        <w:adjustRightInd w:val="0"/>
        <w:spacing w:line="360" w:lineRule="auto"/>
        <w:ind w:firstLine="420" w:firstLineChars="200"/>
        <w:rPr>
          <w:rFonts w:cs="Arial"/>
          <w:color w:val="auto"/>
          <w:szCs w:val="21"/>
          <w:highlight w:val="none"/>
        </w:rPr>
      </w:pPr>
      <w:r>
        <w:rPr>
          <w:rFonts w:cs="Arial"/>
          <w:color w:val="auto"/>
          <w:szCs w:val="21"/>
          <w:highlight w:val="none"/>
        </w:rPr>
        <w:t>1. 本合同中甲乙双方之间所发生的一切费用以人民币进行结算。</w:t>
      </w:r>
    </w:p>
    <w:p>
      <w:pPr>
        <w:adjustRightInd w:val="0"/>
        <w:spacing w:line="360" w:lineRule="auto"/>
        <w:ind w:firstLine="420" w:firstLineChars="200"/>
        <w:rPr>
          <w:rFonts w:cs="Arial"/>
          <w:color w:val="auto"/>
          <w:szCs w:val="21"/>
          <w:highlight w:val="none"/>
        </w:rPr>
      </w:pPr>
      <w:r>
        <w:rPr>
          <w:rFonts w:cs="Arial"/>
          <w:color w:val="auto"/>
          <w:szCs w:val="21"/>
          <w:highlight w:val="none"/>
        </w:rPr>
        <w:t>2. 支付方式：</w:t>
      </w:r>
      <w:r>
        <w:rPr>
          <w:rFonts w:hint="eastAsia" w:cs="Arial"/>
          <w:color w:val="auto"/>
          <w:szCs w:val="21"/>
          <w:highlight w:val="none"/>
        </w:rPr>
        <w:t>分期支付</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004"/>
        <w:gridCol w:w="5227"/>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noWrap w:val="0"/>
            <w:vAlign w:val="center"/>
          </w:tcPr>
          <w:p>
            <w:pPr>
              <w:adjustRightInd w:val="0"/>
              <w:spacing w:line="360" w:lineRule="auto"/>
              <w:jc w:val="left"/>
              <w:rPr>
                <w:rFonts w:cs="Arial"/>
                <w:color w:val="auto"/>
                <w:kern w:val="0"/>
                <w:szCs w:val="21"/>
                <w:highlight w:val="none"/>
              </w:rPr>
            </w:pPr>
            <w:r>
              <w:rPr>
                <w:rFonts w:cs="Arial"/>
                <w:color w:val="auto"/>
                <w:kern w:val="0"/>
                <w:szCs w:val="21"/>
                <w:highlight w:val="none"/>
              </w:rPr>
              <w:t>付款次数</w:t>
            </w:r>
          </w:p>
        </w:tc>
        <w:tc>
          <w:tcPr>
            <w:tcW w:w="2004" w:type="dxa"/>
            <w:noWrap w:val="0"/>
            <w:vAlign w:val="center"/>
          </w:tcPr>
          <w:p>
            <w:pPr>
              <w:adjustRightInd w:val="0"/>
              <w:spacing w:line="360" w:lineRule="auto"/>
              <w:jc w:val="left"/>
              <w:rPr>
                <w:rFonts w:cs="Arial"/>
                <w:color w:val="auto"/>
                <w:kern w:val="0"/>
                <w:szCs w:val="21"/>
                <w:highlight w:val="none"/>
              </w:rPr>
            </w:pPr>
            <w:r>
              <w:rPr>
                <w:rFonts w:cs="Arial"/>
                <w:color w:val="auto"/>
                <w:kern w:val="0"/>
                <w:szCs w:val="21"/>
                <w:highlight w:val="none"/>
              </w:rPr>
              <w:t>约定支付条件</w:t>
            </w:r>
          </w:p>
        </w:tc>
        <w:tc>
          <w:tcPr>
            <w:tcW w:w="5227" w:type="dxa"/>
            <w:noWrap w:val="0"/>
            <w:vAlign w:val="center"/>
          </w:tcPr>
          <w:p>
            <w:pPr>
              <w:adjustRightInd w:val="0"/>
              <w:spacing w:line="360" w:lineRule="auto"/>
              <w:jc w:val="center"/>
              <w:rPr>
                <w:rFonts w:cs="Arial"/>
                <w:color w:val="auto"/>
                <w:kern w:val="0"/>
                <w:szCs w:val="21"/>
                <w:highlight w:val="none"/>
              </w:rPr>
            </w:pPr>
            <w:r>
              <w:rPr>
                <w:rFonts w:cs="Arial"/>
                <w:color w:val="auto"/>
                <w:kern w:val="0"/>
                <w:szCs w:val="21"/>
                <w:highlight w:val="none"/>
              </w:rPr>
              <w:t>付款条件</w:t>
            </w:r>
          </w:p>
        </w:tc>
        <w:tc>
          <w:tcPr>
            <w:tcW w:w="1511" w:type="dxa"/>
            <w:noWrap w:val="0"/>
            <w:vAlign w:val="center"/>
          </w:tcPr>
          <w:p>
            <w:pPr>
              <w:adjustRightInd w:val="0"/>
              <w:spacing w:line="360" w:lineRule="auto"/>
              <w:jc w:val="left"/>
              <w:rPr>
                <w:rFonts w:cs="Arial"/>
                <w:color w:val="auto"/>
                <w:kern w:val="0"/>
                <w:szCs w:val="21"/>
                <w:highlight w:val="none"/>
              </w:rPr>
            </w:pPr>
            <w:r>
              <w:rPr>
                <w:rFonts w:cs="Arial"/>
                <w:color w:val="auto"/>
                <w:kern w:val="0"/>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noWrap w:val="0"/>
            <w:vAlign w:val="center"/>
          </w:tcPr>
          <w:p>
            <w:pPr>
              <w:adjustRightInd w:val="0"/>
              <w:spacing w:line="360" w:lineRule="auto"/>
              <w:jc w:val="left"/>
              <w:rPr>
                <w:rFonts w:cs="Arial"/>
                <w:color w:val="auto"/>
                <w:kern w:val="0"/>
                <w:szCs w:val="21"/>
                <w:highlight w:val="none"/>
              </w:rPr>
            </w:pPr>
            <w:r>
              <w:rPr>
                <w:rFonts w:cs="Arial"/>
                <w:color w:val="auto"/>
                <w:kern w:val="0"/>
                <w:szCs w:val="21"/>
                <w:highlight w:val="none"/>
              </w:rPr>
              <w:t>1</w:t>
            </w:r>
          </w:p>
        </w:tc>
        <w:tc>
          <w:tcPr>
            <w:tcW w:w="2004" w:type="dxa"/>
            <w:noWrap w:val="0"/>
            <w:vAlign w:val="center"/>
          </w:tcPr>
          <w:p>
            <w:pPr>
              <w:spacing w:line="360" w:lineRule="auto"/>
              <w:rPr>
                <w:rFonts w:cs="Arial"/>
                <w:color w:val="auto"/>
                <w:highlight w:val="none"/>
              </w:rPr>
            </w:pPr>
            <w:r>
              <w:rPr>
                <w:rFonts w:hint="eastAsia" w:cs="Arial"/>
                <w:kern w:val="0"/>
                <w:szCs w:val="21"/>
                <w:lang w:val="en-US" w:eastAsia="zh-CN"/>
              </w:rPr>
              <w:t>合同签订</w:t>
            </w:r>
            <w:r>
              <w:rPr>
                <w:rFonts w:hint="eastAsia" w:cs="Arial"/>
                <w:kern w:val="0"/>
                <w:szCs w:val="21"/>
              </w:rPr>
              <w:t>完成</w:t>
            </w:r>
            <w:r>
              <w:rPr>
                <w:rFonts w:cs="Arial"/>
                <w:kern w:val="0"/>
                <w:szCs w:val="21"/>
              </w:rPr>
              <w:t>后</w:t>
            </w:r>
          </w:p>
        </w:tc>
        <w:tc>
          <w:tcPr>
            <w:tcW w:w="5227" w:type="dxa"/>
            <w:noWrap w:val="0"/>
            <w:vAlign w:val="center"/>
          </w:tcPr>
          <w:p>
            <w:pPr>
              <w:spacing w:line="360" w:lineRule="auto"/>
              <w:rPr>
                <w:rFonts w:cs="Arial"/>
                <w:color w:val="auto"/>
                <w:highlight w:val="none"/>
              </w:rPr>
            </w:pPr>
            <w:r>
              <w:rPr>
                <w:rFonts w:cs="Arial"/>
                <w:color w:val="auto"/>
                <w:highlight w:val="none"/>
              </w:rPr>
              <w:t>满足合同约定支付条件，合同甲方向合同乙方支付合同总价</w:t>
            </w:r>
            <w:r>
              <w:rPr>
                <w:rFonts w:hint="eastAsia" w:cs="Arial"/>
                <w:color w:val="auto"/>
                <w:highlight w:val="none"/>
              </w:rPr>
              <w:t xml:space="preserve">   </w:t>
            </w:r>
            <w:r>
              <w:rPr>
                <w:rFonts w:cs="Arial"/>
                <w:color w:val="auto"/>
                <w:highlight w:val="none"/>
              </w:rPr>
              <w:t>%的预付款；</w:t>
            </w:r>
          </w:p>
        </w:tc>
        <w:tc>
          <w:tcPr>
            <w:tcW w:w="1511" w:type="dxa"/>
            <w:noWrap w:val="0"/>
            <w:vAlign w:val="center"/>
          </w:tcPr>
          <w:p>
            <w:pPr>
              <w:adjustRightInd w:val="0"/>
              <w:spacing w:line="360" w:lineRule="auto"/>
              <w:jc w:val="left"/>
              <w:rPr>
                <w:rFonts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noWrap w:val="0"/>
            <w:vAlign w:val="center"/>
          </w:tcPr>
          <w:p>
            <w:pPr>
              <w:adjustRightInd w:val="0"/>
              <w:spacing w:line="360" w:lineRule="auto"/>
              <w:jc w:val="left"/>
              <w:rPr>
                <w:rFonts w:cs="Arial"/>
                <w:color w:val="auto"/>
                <w:kern w:val="0"/>
                <w:szCs w:val="21"/>
                <w:highlight w:val="none"/>
              </w:rPr>
            </w:pPr>
            <w:r>
              <w:rPr>
                <w:rFonts w:cs="Arial"/>
                <w:color w:val="auto"/>
                <w:kern w:val="0"/>
                <w:szCs w:val="21"/>
                <w:highlight w:val="none"/>
              </w:rPr>
              <w:t>2</w:t>
            </w:r>
          </w:p>
        </w:tc>
        <w:tc>
          <w:tcPr>
            <w:tcW w:w="2004" w:type="dxa"/>
            <w:noWrap w:val="0"/>
            <w:vAlign w:val="center"/>
          </w:tcPr>
          <w:p>
            <w:pPr>
              <w:spacing w:line="360" w:lineRule="auto"/>
              <w:rPr>
                <w:rFonts w:cs="Arial"/>
                <w:snapToGrid w:val="0"/>
                <w:color w:val="auto"/>
                <w:szCs w:val="21"/>
                <w:highlight w:val="none"/>
              </w:rPr>
            </w:pPr>
            <w:r>
              <w:rPr>
                <w:rFonts w:hint="eastAsia" w:ascii="Times New Roman" w:hAnsi="Times New Roman" w:eastAsia="宋体" w:cs="Arial"/>
                <w:snapToGrid w:val="0"/>
                <w:color w:val="auto"/>
                <w:szCs w:val="21"/>
                <w:highlight w:val="none"/>
              </w:rPr>
              <w:t>全部成果通过市自然资源主管部门</w:t>
            </w:r>
            <w:r>
              <w:rPr>
                <w:rFonts w:hint="eastAsia" w:ascii="Times New Roman" w:hAnsi="Times New Roman" w:eastAsia="宋体" w:cs="Arial"/>
                <w:snapToGrid w:val="0"/>
                <w:color w:val="auto"/>
                <w:szCs w:val="21"/>
                <w:highlight w:val="none"/>
                <w:lang w:val="en-US" w:eastAsia="zh-CN"/>
              </w:rPr>
              <w:t>认可后</w:t>
            </w:r>
          </w:p>
        </w:tc>
        <w:tc>
          <w:tcPr>
            <w:tcW w:w="5227" w:type="dxa"/>
            <w:noWrap w:val="0"/>
            <w:vAlign w:val="center"/>
          </w:tcPr>
          <w:p>
            <w:pPr>
              <w:spacing w:line="360" w:lineRule="auto"/>
              <w:rPr>
                <w:rFonts w:cs="Arial"/>
                <w:color w:val="auto"/>
                <w:highlight w:val="none"/>
              </w:rPr>
            </w:pPr>
            <w:r>
              <w:rPr>
                <w:rFonts w:cs="Arial"/>
                <w:color w:val="auto"/>
                <w:highlight w:val="none"/>
              </w:rPr>
              <w:t>满足合同约定支付条件，合同甲方向合同乙方支付合同总价</w:t>
            </w:r>
            <w:r>
              <w:rPr>
                <w:rFonts w:hint="eastAsia" w:cs="Arial"/>
                <w:color w:val="auto"/>
                <w:highlight w:val="none"/>
              </w:rPr>
              <w:t xml:space="preserve">   </w:t>
            </w:r>
            <w:r>
              <w:rPr>
                <w:rFonts w:cs="Arial"/>
                <w:color w:val="auto"/>
                <w:highlight w:val="none"/>
              </w:rPr>
              <w:t>%的款项；</w:t>
            </w:r>
          </w:p>
        </w:tc>
        <w:tc>
          <w:tcPr>
            <w:tcW w:w="1511" w:type="dxa"/>
            <w:noWrap w:val="0"/>
            <w:vAlign w:val="center"/>
          </w:tcPr>
          <w:p>
            <w:pPr>
              <w:adjustRightInd w:val="0"/>
              <w:spacing w:line="360" w:lineRule="auto"/>
              <w:jc w:val="left"/>
              <w:rPr>
                <w:rFonts w:cs="Arial"/>
                <w:color w:val="auto"/>
                <w:kern w:val="0"/>
                <w:szCs w:val="21"/>
                <w:highlight w:val="none"/>
              </w:rPr>
            </w:pPr>
          </w:p>
        </w:tc>
      </w:tr>
    </w:tbl>
    <w:p>
      <w:pPr>
        <w:spacing w:line="360" w:lineRule="auto"/>
        <w:ind w:firstLine="210" w:firstLineChars="100"/>
        <w:rPr>
          <w:rFonts w:cs="Arial"/>
          <w:color w:val="auto"/>
          <w:highlight w:val="none"/>
        </w:rPr>
      </w:pPr>
      <w:r>
        <w:rPr>
          <w:rFonts w:cs="Arial"/>
          <w:color w:val="auto"/>
          <w:highlight w:val="none"/>
        </w:rPr>
        <w:t>说明：（1）在签订合同时，如合同乙方明确表示无需预付款或者主动要求降低预付款比例的，预付款比例以双方协商为准。</w:t>
      </w:r>
    </w:p>
    <w:p>
      <w:pPr>
        <w:spacing w:line="360" w:lineRule="auto"/>
        <w:ind w:firstLine="210" w:firstLineChars="100"/>
        <w:rPr>
          <w:rFonts w:cs="Arial"/>
          <w:color w:val="auto"/>
          <w:highlight w:val="none"/>
        </w:rPr>
      </w:pPr>
      <w:r>
        <w:rPr>
          <w:rFonts w:cs="Arial"/>
          <w:color w:val="auto"/>
          <w:highlight w:val="none"/>
        </w:rPr>
        <w:t>（2）预付款：</w:t>
      </w:r>
      <w:r>
        <w:rPr>
          <w:rFonts w:hint="eastAsia" w:cs="Arial"/>
          <w:kern w:val="0"/>
          <w:szCs w:val="21"/>
          <w:lang w:val="en-US" w:eastAsia="zh-CN"/>
        </w:rPr>
        <w:t>合同签订</w:t>
      </w:r>
      <w:r>
        <w:rPr>
          <w:rFonts w:hint="eastAsia" w:cs="Arial"/>
          <w:kern w:val="0"/>
          <w:szCs w:val="21"/>
        </w:rPr>
        <w:t>完成</w:t>
      </w:r>
      <w:r>
        <w:rPr>
          <w:rFonts w:cs="Arial"/>
          <w:kern w:val="0"/>
          <w:szCs w:val="21"/>
        </w:rPr>
        <w:t>后</w:t>
      </w:r>
      <w:r>
        <w:rPr>
          <w:rFonts w:cs="Arial"/>
          <w:color w:val="auto"/>
          <w:highlight w:val="none"/>
        </w:rPr>
        <w:t>支付；其余合同款：满足支付条件后，合同甲方收到乙方提交的正规票据（符合合同甲方财务管理要求）后支付至合同乙方账户。</w:t>
      </w:r>
    </w:p>
    <w:p>
      <w:pPr>
        <w:adjustRightInd w:val="0"/>
        <w:spacing w:line="360" w:lineRule="auto"/>
        <w:ind w:firstLine="420" w:firstLineChars="200"/>
        <w:rPr>
          <w:rFonts w:cs="Arial"/>
          <w:color w:val="auto"/>
          <w:szCs w:val="21"/>
          <w:highlight w:val="none"/>
        </w:rPr>
      </w:pPr>
      <w:r>
        <w:rPr>
          <w:rFonts w:cs="Arial"/>
          <w:color w:val="auto"/>
          <w:highlight w:val="none"/>
        </w:rPr>
        <w:t>以上付款时间因财政资金未到位及实际支付可能造成的时间延误均不视为甲方违约。</w:t>
      </w:r>
    </w:p>
    <w:p>
      <w:pPr>
        <w:adjustRightInd w:val="0"/>
        <w:spacing w:line="360" w:lineRule="auto"/>
        <w:ind w:firstLine="420" w:firstLineChars="200"/>
        <w:rPr>
          <w:rFonts w:cs="Arial"/>
          <w:color w:val="auto"/>
          <w:szCs w:val="21"/>
          <w:highlight w:val="none"/>
        </w:rPr>
      </w:pPr>
      <w:r>
        <w:rPr>
          <w:rFonts w:cs="Arial"/>
          <w:color w:val="auto"/>
          <w:szCs w:val="21"/>
          <w:highlight w:val="none"/>
        </w:rPr>
        <w:t>3.发票类型：增值税发票。</w:t>
      </w:r>
    </w:p>
    <w:p>
      <w:pPr>
        <w:adjustRightInd w:val="0"/>
        <w:spacing w:line="360" w:lineRule="auto"/>
        <w:ind w:left="420" w:leftChars="200"/>
        <w:rPr>
          <w:rFonts w:cs="Arial"/>
          <w:color w:val="auto"/>
          <w:szCs w:val="21"/>
          <w:highlight w:val="none"/>
        </w:rPr>
      </w:pPr>
      <w:r>
        <w:rPr>
          <w:rFonts w:cs="Arial"/>
          <w:color w:val="auto"/>
          <w:szCs w:val="21"/>
          <w:highlight w:val="none"/>
        </w:rPr>
        <w:t>4.甲方应付合同款至以下乙方指定的银行账户：</w:t>
      </w:r>
    </w:p>
    <w:p>
      <w:pPr>
        <w:adjustRightInd w:val="0"/>
        <w:spacing w:line="360" w:lineRule="auto"/>
        <w:ind w:firstLine="420" w:firstLineChars="200"/>
        <w:rPr>
          <w:rFonts w:cs="Arial"/>
          <w:color w:val="auto"/>
          <w:szCs w:val="21"/>
          <w:highlight w:val="none"/>
          <w:u w:val="single"/>
        </w:rPr>
      </w:pPr>
      <w:r>
        <w:rPr>
          <w:rFonts w:cs="Arial"/>
          <w:color w:val="auto"/>
          <w:szCs w:val="21"/>
          <w:highlight w:val="none"/>
        </w:rPr>
        <w:t>开户名称：</w:t>
      </w:r>
      <w:r>
        <w:rPr>
          <w:rFonts w:cs="Arial"/>
          <w:color w:val="auto"/>
          <w:szCs w:val="21"/>
          <w:highlight w:val="none"/>
          <w:u w:val="single"/>
        </w:rPr>
        <w:t xml:space="preserve">            </w:t>
      </w:r>
      <w:r>
        <w:rPr>
          <w:rFonts w:hint="eastAsia" w:cs="Arial"/>
          <w:color w:val="auto"/>
          <w:szCs w:val="21"/>
          <w:highlight w:val="none"/>
          <w:u w:val="single"/>
          <w:lang w:val="en-US" w:eastAsia="zh-CN"/>
        </w:rPr>
        <w:t xml:space="preserve"> </w:t>
      </w:r>
      <w:r>
        <w:rPr>
          <w:rFonts w:cs="Arial"/>
          <w:color w:val="auto"/>
          <w:szCs w:val="21"/>
          <w:highlight w:val="none"/>
          <w:u w:val="single"/>
        </w:rPr>
        <w:t xml:space="preserve">   </w:t>
      </w:r>
    </w:p>
    <w:p>
      <w:pPr>
        <w:adjustRightInd w:val="0"/>
        <w:spacing w:line="360" w:lineRule="auto"/>
        <w:ind w:firstLine="420" w:firstLineChars="200"/>
        <w:rPr>
          <w:rFonts w:cs="Arial"/>
          <w:color w:val="auto"/>
          <w:szCs w:val="21"/>
          <w:highlight w:val="none"/>
          <w:u w:val="single"/>
        </w:rPr>
      </w:pPr>
      <w:r>
        <w:rPr>
          <w:rFonts w:cs="Arial"/>
          <w:color w:val="auto"/>
          <w:szCs w:val="21"/>
          <w:highlight w:val="none"/>
        </w:rPr>
        <w:t>开户银行：</w:t>
      </w:r>
      <w:r>
        <w:rPr>
          <w:rFonts w:cs="Arial"/>
          <w:color w:val="auto"/>
          <w:szCs w:val="21"/>
          <w:highlight w:val="none"/>
          <w:u w:val="single"/>
        </w:rPr>
        <w:t xml:space="preserve">            </w:t>
      </w:r>
      <w:r>
        <w:rPr>
          <w:rFonts w:hint="eastAsia" w:cs="Arial"/>
          <w:color w:val="auto"/>
          <w:szCs w:val="21"/>
          <w:highlight w:val="none"/>
          <w:u w:val="single"/>
          <w:lang w:val="en-US" w:eastAsia="zh-CN"/>
        </w:rPr>
        <w:t xml:space="preserve"> </w:t>
      </w:r>
      <w:r>
        <w:rPr>
          <w:rFonts w:cs="Arial"/>
          <w:color w:val="auto"/>
          <w:szCs w:val="21"/>
          <w:highlight w:val="none"/>
          <w:u w:val="single"/>
        </w:rPr>
        <w:t xml:space="preserve">   </w:t>
      </w:r>
    </w:p>
    <w:p>
      <w:pPr>
        <w:spacing w:line="360" w:lineRule="auto"/>
        <w:ind w:firstLine="420" w:firstLineChars="200"/>
        <w:rPr>
          <w:rFonts w:cs="Arial"/>
          <w:color w:val="auto"/>
          <w:szCs w:val="21"/>
          <w:highlight w:val="none"/>
        </w:rPr>
      </w:pPr>
      <w:r>
        <w:rPr>
          <w:rFonts w:cs="Arial"/>
          <w:color w:val="auto"/>
          <w:szCs w:val="21"/>
          <w:highlight w:val="none"/>
        </w:rPr>
        <w:t>账    号：</w:t>
      </w:r>
      <w:r>
        <w:rPr>
          <w:rFonts w:cs="Arial"/>
          <w:color w:val="auto"/>
          <w:szCs w:val="21"/>
          <w:highlight w:val="none"/>
          <w:u w:val="single"/>
        </w:rPr>
        <w:t xml:space="preserve">         </w:t>
      </w:r>
      <w:r>
        <w:rPr>
          <w:rFonts w:hint="eastAsia" w:cs="Arial"/>
          <w:color w:val="auto"/>
          <w:szCs w:val="21"/>
          <w:highlight w:val="none"/>
          <w:u w:val="single"/>
          <w:lang w:val="en-US" w:eastAsia="zh-CN"/>
        </w:rPr>
        <w:t xml:space="preserve"> </w:t>
      </w:r>
      <w:r>
        <w:rPr>
          <w:rFonts w:cs="Arial"/>
          <w:color w:val="auto"/>
          <w:szCs w:val="21"/>
          <w:highlight w:val="none"/>
          <w:u w:val="single"/>
        </w:rPr>
        <w:t xml:space="preserve">      </w:t>
      </w:r>
    </w:p>
    <w:p>
      <w:pPr>
        <w:pStyle w:val="5"/>
        <w:spacing w:before="120"/>
        <w:ind w:firstLine="422"/>
        <w:rPr>
          <w:rFonts w:cs="Arial"/>
          <w:color w:val="auto"/>
          <w:szCs w:val="21"/>
          <w:highlight w:val="none"/>
        </w:rPr>
      </w:pPr>
      <w:r>
        <w:rPr>
          <w:rFonts w:cs="Arial"/>
          <w:color w:val="auto"/>
          <w:szCs w:val="21"/>
          <w:highlight w:val="none"/>
        </w:rPr>
        <w:t>六、履约保证金</w:t>
      </w:r>
    </w:p>
    <w:p>
      <w:pPr>
        <w:adjustRightInd w:val="0"/>
        <w:spacing w:line="360" w:lineRule="auto"/>
        <w:ind w:firstLine="420"/>
        <w:rPr>
          <w:rFonts w:cs="Arial"/>
          <w:b/>
          <w:bCs/>
          <w:color w:val="auto"/>
          <w:szCs w:val="21"/>
          <w:highlight w:val="none"/>
        </w:rPr>
      </w:pPr>
      <w:r>
        <w:rPr>
          <w:rFonts w:cs="Arial"/>
          <w:color w:val="auto"/>
          <w:szCs w:val="21"/>
          <w:highlight w:val="none"/>
        </w:rPr>
        <w:t>本项目不收取。</w:t>
      </w:r>
    </w:p>
    <w:p>
      <w:pPr>
        <w:adjustRightInd w:val="0"/>
        <w:spacing w:line="360" w:lineRule="auto"/>
        <w:ind w:firstLine="420"/>
        <w:rPr>
          <w:rFonts w:cs="Arial"/>
          <w:color w:val="auto"/>
          <w:szCs w:val="21"/>
          <w:highlight w:val="none"/>
        </w:rPr>
      </w:pPr>
      <w:r>
        <w:rPr>
          <w:rFonts w:cs="Arial"/>
          <w:b/>
          <w:bCs/>
          <w:color w:val="auto"/>
          <w:szCs w:val="21"/>
          <w:highlight w:val="none"/>
        </w:rPr>
        <w:t>七、服务内容及要求</w:t>
      </w:r>
    </w:p>
    <w:p>
      <w:pPr>
        <w:adjustRightInd w:val="0"/>
        <w:spacing w:line="360" w:lineRule="auto"/>
        <w:ind w:firstLine="420" w:firstLineChars="200"/>
        <w:rPr>
          <w:rFonts w:cs="Arial"/>
          <w:color w:val="auto"/>
          <w:szCs w:val="21"/>
          <w:highlight w:val="none"/>
        </w:rPr>
      </w:pPr>
      <w:r>
        <w:rPr>
          <w:rFonts w:cs="Arial"/>
          <w:color w:val="auto"/>
          <w:szCs w:val="21"/>
          <w:highlight w:val="none"/>
        </w:rPr>
        <w:t>1. 服务期内，乙方应在充分了解</w:t>
      </w:r>
      <w:r>
        <w:rPr>
          <w:rFonts w:hint="eastAsia" w:cs="Arial"/>
          <w:color w:val="auto"/>
          <w:szCs w:val="21"/>
          <w:highlight w:val="none"/>
          <w:lang w:val="en-US" w:eastAsia="zh-CN"/>
        </w:rPr>
        <w:t>龙游县</w:t>
      </w:r>
      <w:r>
        <w:rPr>
          <w:rFonts w:cs="Arial"/>
          <w:color w:val="auto"/>
          <w:szCs w:val="21"/>
          <w:highlight w:val="none"/>
        </w:rPr>
        <w:t>现有环境基础上，提供规范化、高质量的服务，具体服务内容与要求详见招标文件第三章。</w:t>
      </w:r>
    </w:p>
    <w:p>
      <w:pPr>
        <w:adjustRightInd w:val="0"/>
        <w:spacing w:line="360" w:lineRule="auto"/>
        <w:ind w:firstLine="420" w:firstLineChars="200"/>
        <w:rPr>
          <w:rFonts w:cs="Arial"/>
          <w:color w:val="auto"/>
          <w:szCs w:val="21"/>
          <w:highlight w:val="none"/>
        </w:rPr>
      </w:pPr>
      <w:r>
        <w:rPr>
          <w:rFonts w:cs="Arial"/>
          <w:color w:val="auto"/>
          <w:szCs w:val="21"/>
          <w:highlight w:val="none"/>
        </w:rPr>
        <w:t>2. 除合同约定内容外，乙方不得向第三方外包其服务。</w:t>
      </w:r>
    </w:p>
    <w:p>
      <w:pPr>
        <w:adjustRightInd w:val="0"/>
        <w:spacing w:line="360" w:lineRule="auto"/>
        <w:ind w:firstLine="420" w:firstLineChars="200"/>
        <w:rPr>
          <w:rFonts w:hint="eastAsia" w:ascii="Times New Roman" w:hAnsi="Times New Roman" w:eastAsia="宋体" w:cs="Arial"/>
          <w:color w:val="auto"/>
          <w:szCs w:val="21"/>
          <w:highlight w:val="none"/>
          <w:lang w:val="en-US" w:eastAsia="zh-CN"/>
        </w:rPr>
      </w:pPr>
      <w:r>
        <w:rPr>
          <w:rFonts w:ascii="Times New Roman" w:hAnsi="Times New Roman" w:eastAsia="宋体" w:cs="Arial"/>
          <w:color w:val="auto"/>
          <w:szCs w:val="21"/>
          <w:highlight w:val="none"/>
        </w:rPr>
        <w:t xml:space="preserve">3. </w:t>
      </w:r>
      <w:r>
        <w:rPr>
          <w:rFonts w:hint="eastAsia" w:ascii="Times New Roman" w:hAnsi="Times New Roman" w:eastAsia="宋体" w:cs="Arial"/>
          <w:color w:val="auto"/>
          <w:szCs w:val="21"/>
          <w:highlight w:val="none"/>
          <w:lang w:val="en-US" w:eastAsia="zh-CN"/>
        </w:rPr>
        <w:t>合同服务期限</w:t>
      </w:r>
      <w:r>
        <w:rPr>
          <w:rFonts w:ascii="Times New Roman" w:hAnsi="Times New Roman" w:eastAsia="宋体" w:cs="Arial"/>
          <w:color w:val="auto"/>
          <w:szCs w:val="21"/>
          <w:highlight w:val="none"/>
          <w:lang w:val="en-US" w:eastAsia="zh-CN"/>
        </w:rPr>
        <w:t>：</w:t>
      </w:r>
      <w:r>
        <w:rPr>
          <w:rFonts w:hint="eastAsia" w:ascii="Times New Roman" w:hAnsi="Times New Roman" w:eastAsia="宋体" w:cs="Arial"/>
          <w:color w:val="auto"/>
          <w:szCs w:val="21"/>
          <w:highlight w:val="none"/>
          <w:lang w:val="zh-CN" w:eastAsia="zh-CN"/>
        </w:rPr>
        <w:t>合同签订生效后至成果验收，完成所有工作</w:t>
      </w:r>
      <w:r>
        <w:rPr>
          <w:rFonts w:hint="eastAsia" w:ascii="Times New Roman" w:hAnsi="Times New Roman" w:eastAsia="宋体" w:cs="Arial"/>
          <w:color w:val="auto"/>
          <w:szCs w:val="21"/>
          <w:highlight w:val="none"/>
          <w:lang w:val="en-US" w:eastAsia="zh-CN"/>
        </w:rPr>
        <w:t>（具体时间根据上级部门最新政策要求适当调整）</w:t>
      </w:r>
      <w:r>
        <w:rPr>
          <w:rFonts w:hint="eastAsia" w:ascii="Times New Roman" w:hAnsi="Times New Roman" w:eastAsia="宋体" w:cs="Arial"/>
          <w:color w:val="auto"/>
          <w:szCs w:val="21"/>
          <w:highlight w:val="none"/>
          <w:lang w:val="zh-CN" w:eastAsia="zh-CN"/>
        </w:rPr>
        <w:t>。</w:t>
      </w:r>
    </w:p>
    <w:p>
      <w:pPr>
        <w:spacing w:line="360" w:lineRule="auto"/>
        <w:ind w:firstLine="420" w:firstLineChars="200"/>
        <w:rPr>
          <w:rFonts w:cs="Arial"/>
          <w:color w:val="auto"/>
          <w:szCs w:val="21"/>
          <w:highlight w:val="none"/>
          <w:u w:val="single"/>
        </w:rPr>
      </w:pPr>
      <w:r>
        <w:rPr>
          <w:rFonts w:cs="Arial"/>
          <w:color w:val="auto"/>
          <w:szCs w:val="21"/>
          <w:highlight w:val="none"/>
        </w:rPr>
        <w:t xml:space="preserve">4. </w:t>
      </w:r>
      <w:r>
        <w:rPr>
          <w:rFonts w:hint="eastAsia" w:cs="Arial"/>
          <w:color w:val="auto"/>
          <w:szCs w:val="21"/>
          <w:highlight w:val="none"/>
          <w:lang w:val="en-US" w:eastAsia="zh-CN"/>
        </w:rPr>
        <w:t>服务</w:t>
      </w:r>
      <w:r>
        <w:rPr>
          <w:rFonts w:cs="Arial"/>
          <w:color w:val="auto"/>
          <w:szCs w:val="21"/>
          <w:highlight w:val="none"/>
        </w:rPr>
        <w:t>地点：</w:t>
      </w:r>
      <w:r>
        <w:rPr>
          <w:rFonts w:cs="Arial"/>
          <w:color w:val="auto"/>
          <w:szCs w:val="21"/>
          <w:highlight w:val="none"/>
          <w:u w:val="single"/>
        </w:rPr>
        <w:t xml:space="preserve">  </w:t>
      </w:r>
      <w:r>
        <w:rPr>
          <w:rFonts w:hint="eastAsia" w:cs="Arial"/>
          <w:color w:val="auto"/>
          <w:szCs w:val="21"/>
          <w:highlight w:val="none"/>
          <w:u w:val="single"/>
          <w:lang w:val="en-US" w:eastAsia="zh-CN"/>
        </w:rPr>
        <w:t>龙游县范围内</w:t>
      </w:r>
      <w:r>
        <w:rPr>
          <w:rFonts w:cs="Arial"/>
          <w:color w:val="auto"/>
          <w:szCs w:val="21"/>
          <w:highlight w:val="none"/>
          <w:u w:val="single"/>
        </w:rPr>
        <w:t xml:space="preserve">     </w:t>
      </w:r>
    </w:p>
    <w:p>
      <w:pPr>
        <w:pStyle w:val="5"/>
        <w:spacing w:before="120"/>
        <w:ind w:firstLine="422"/>
        <w:rPr>
          <w:rFonts w:cs="Arial"/>
          <w:color w:val="auto"/>
          <w:szCs w:val="21"/>
          <w:highlight w:val="none"/>
        </w:rPr>
      </w:pPr>
      <w:r>
        <w:rPr>
          <w:rFonts w:cs="Arial"/>
          <w:color w:val="auto"/>
          <w:szCs w:val="21"/>
          <w:highlight w:val="none"/>
        </w:rPr>
        <w:t>八、服务人员</w:t>
      </w:r>
    </w:p>
    <w:p>
      <w:pPr>
        <w:adjustRightInd w:val="0"/>
        <w:spacing w:line="360" w:lineRule="auto"/>
        <w:ind w:firstLine="420" w:firstLineChars="200"/>
        <w:rPr>
          <w:rFonts w:cs="Arial"/>
          <w:color w:val="auto"/>
          <w:szCs w:val="21"/>
          <w:highlight w:val="none"/>
        </w:rPr>
      </w:pPr>
      <w:r>
        <w:rPr>
          <w:rFonts w:cs="Arial"/>
          <w:color w:val="auto"/>
          <w:szCs w:val="21"/>
          <w:highlight w:val="none"/>
        </w:rPr>
        <w:t>乙方应派</w:t>
      </w:r>
      <w:r>
        <w:rPr>
          <w:rFonts w:ascii="Times New Roman" w:hAnsi="Times New Roman" w:eastAsia="宋体" w:cs="Arial"/>
          <w:color w:val="auto"/>
          <w:szCs w:val="21"/>
          <w:highlight w:val="none"/>
        </w:rPr>
        <w:t>遣一名</w:t>
      </w:r>
      <w:r>
        <w:rPr>
          <w:rFonts w:hint="eastAsia" w:ascii="Times New Roman" w:hAnsi="Times New Roman" w:eastAsia="宋体" w:cs="Arial"/>
          <w:color w:val="auto"/>
          <w:szCs w:val="21"/>
          <w:highlight w:val="none"/>
        </w:rPr>
        <w:t>熟悉国土第三次调查、永久基本农田划定相关业务</w:t>
      </w:r>
      <w:r>
        <w:rPr>
          <w:rFonts w:hint="eastAsia" w:ascii="Times New Roman" w:hAnsi="Times New Roman" w:eastAsia="宋体" w:cs="Arial"/>
          <w:color w:val="auto"/>
          <w:szCs w:val="21"/>
          <w:highlight w:val="none"/>
          <w:lang w:eastAsia="zh-CN"/>
        </w:rPr>
        <w:t>的</w:t>
      </w:r>
      <w:r>
        <w:rPr>
          <w:rFonts w:hint="eastAsia" w:ascii="Times New Roman" w:hAnsi="Times New Roman" w:eastAsia="宋体" w:cs="Arial"/>
          <w:color w:val="auto"/>
          <w:szCs w:val="21"/>
          <w:highlight w:val="none"/>
          <w:lang w:val="en-US" w:eastAsia="zh-CN"/>
        </w:rPr>
        <w:t>专业</w:t>
      </w:r>
      <w:r>
        <w:rPr>
          <w:rFonts w:ascii="Times New Roman" w:hAnsi="Times New Roman" w:eastAsia="宋体" w:cs="Arial"/>
          <w:color w:val="auto"/>
          <w:szCs w:val="21"/>
          <w:highlight w:val="none"/>
        </w:rPr>
        <w:t>人员负责与甲方对接，负责</w:t>
      </w:r>
      <w:r>
        <w:rPr>
          <w:rFonts w:cs="Arial"/>
          <w:color w:val="auto"/>
          <w:szCs w:val="21"/>
          <w:highlight w:val="none"/>
        </w:rPr>
        <w:t>本项目的项目管理，统筹相关工作，监督项目执行与情况汇报，控制工作质量，执行变更和应急情况管理，并根据实际状况调整乙方人员安排，以保证项目的正常高效运作。</w:t>
      </w:r>
      <w:r>
        <w:rPr>
          <w:rFonts w:hint="eastAsia" w:cs="Arial"/>
          <w:color w:val="auto"/>
          <w:szCs w:val="21"/>
          <w:highlight w:val="none"/>
          <w:lang w:val="en-US" w:eastAsia="zh-CN"/>
        </w:rPr>
        <w:t>乙方</w:t>
      </w:r>
      <w:r>
        <w:rPr>
          <w:rFonts w:hint="eastAsia" w:cs="Arial"/>
          <w:color w:val="auto"/>
          <w:szCs w:val="21"/>
          <w:highlight w:val="none"/>
        </w:rPr>
        <w:t>应自行承担选派专业人员的住宿、就餐和交通等费用。</w:t>
      </w:r>
    </w:p>
    <w:p>
      <w:pPr>
        <w:adjustRightInd w:val="0"/>
        <w:spacing w:line="360" w:lineRule="auto"/>
        <w:ind w:firstLine="420" w:firstLineChars="200"/>
        <w:rPr>
          <w:rFonts w:cs="Arial"/>
          <w:color w:val="auto"/>
          <w:szCs w:val="21"/>
          <w:highlight w:val="none"/>
        </w:rPr>
      </w:pPr>
      <w:r>
        <w:rPr>
          <w:rFonts w:cs="Arial"/>
          <w:color w:val="auto"/>
          <w:szCs w:val="21"/>
          <w:highlight w:val="none"/>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adjustRightInd w:val="0"/>
        <w:spacing w:line="360" w:lineRule="auto"/>
        <w:ind w:firstLine="420" w:firstLineChars="200"/>
        <w:rPr>
          <w:rFonts w:cs="Arial"/>
          <w:color w:val="auto"/>
          <w:szCs w:val="21"/>
          <w:highlight w:val="none"/>
        </w:rPr>
      </w:pPr>
      <w:r>
        <w:rPr>
          <w:rFonts w:cs="Arial"/>
          <w:color w:val="auto"/>
          <w:szCs w:val="21"/>
          <w:highlight w:val="none"/>
        </w:rPr>
        <w:t>甲乙双方指定代表，作为履行本合同服务事宜的主要联系人。</w:t>
      </w:r>
    </w:p>
    <w:p>
      <w:pPr>
        <w:adjustRightInd w:val="0"/>
        <w:spacing w:line="360" w:lineRule="auto"/>
        <w:ind w:firstLine="420" w:firstLineChars="200"/>
        <w:rPr>
          <w:rFonts w:hint="default" w:eastAsia="宋体" w:cs="Arial"/>
          <w:color w:val="auto"/>
          <w:szCs w:val="21"/>
          <w:highlight w:val="none"/>
          <w:lang w:val="en-US" w:eastAsia="zh-CN"/>
        </w:rPr>
      </w:pPr>
      <w:r>
        <w:rPr>
          <w:rFonts w:cs="Arial"/>
          <w:color w:val="auto"/>
          <w:szCs w:val="21"/>
          <w:highlight w:val="none"/>
        </w:rPr>
        <w:t>甲方代表：</w:t>
      </w:r>
      <w:r>
        <w:rPr>
          <w:rFonts w:cs="Arial"/>
          <w:color w:val="auto"/>
          <w:szCs w:val="21"/>
          <w:highlight w:val="none"/>
          <w:u w:val="single"/>
        </w:rPr>
        <w:t xml:space="preserve">         </w:t>
      </w:r>
      <w:r>
        <w:rPr>
          <w:rFonts w:hint="eastAsia" w:cs="Arial"/>
          <w:color w:val="auto"/>
          <w:szCs w:val="21"/>
          <w:highlight w:val="none"/>
          <w:u w:val="single"/>
          <w:lang w:val="en-US" w:eastAsia="zh-CN"/>
        </w:rPr>
        <w:t xml:space="preserve"> </w:t>
      </w:r>
      <w:r>
        <w:rPr>
          <w:rFonts w:cs="Arial"/>
          <w:color w:val="auto"/>
          <w:szCs w:val="21"/>
          <w:highlight w:val="none"/>
        </w:rPr>
        <w:t>电话：</w:t>
      </w:r>
      <w:r>
        <w:rPr>
          <w:rFonts w:hint="eastAsia" w:cs="Arial"/>
          <w:i w:val="0"/>
          <w:iCs w:val="0"/>
          <w:color w:val="auto"/>
          <w:szCs w:val="21"/>
          <w:highlight w:val="none"/>
          <w:u w:val="single"/>
          <w:lang w:val="en-US" w:eastAsia="zh-CN"/>
        </w:rPr>
        <w:t xml:space="preserve"> </w:t>
      </w:r>
      <w:r>
        <w:rPr>
          <w:rFonts w:cs="Arial"/>
          <w:color w:val="auto"/>
          <w:szCs w:val="21"/>
          <w:highlight w:val="none"/>
          <w:u w:val="single"/>
        </w:rPr>
        <w:t xml:space="preserve">        </w:t>
      </w:r>
      <w:r>
        <w:rPr>
          <w:rFonts w:hint="eastAsia" w:cs="Arial"/>
          <w:color w:val="auto"/>
          <w:szCs w:val="21"/>
          <w:highlight w:val="none"/>
          <w:u w:val="single"/>
          <w:lang w:val="en-US" w:eastAsia="zh-CN"/>
        </w:rPr>
        <w:t xml:space="preserve">  </w:t>
      </w:r>
    </w:p>
    <w:p>
      <w:pPr>
        <w:adjustRightInd w:val="0"/>
        <w:spacing w:line="360" w:lineRule="auto"/>
        <w:ind w:firstLine="420" w:firstLineChars="200"/>
        <w:rPr>
          <w:rFonts w:hint="default" w:eastAsia="宋体"/>
          <w:color w:val="auto"/>
          <w:highlight w:val="none"/>
          <w:lang w:val="en-US" w:eastAsia="zh-CN"/>
        </w:rPr>
      </w:pPr>
      <w:r>
        <w:rPr>
          <w:rFonts w:cs="Arial"/>
          <w:color w:val="auto"/>
          <w:szCs w:val="21"/>
          <w:highlight w:val="none"/>
        </w:rPr>
        <w:t>乙方代表：</w:t>
      </w:r>
      <w:r>
        <w:rPr>
          <w:rFonts w:cs="Arial"/>
          <w:color w:val="auto"/>
          <w:szCs w:val="21"/>
          <w:highlight w:val="none"/>
          <w:u w:val="single"/>
        </w:rPr>
        <w:t xml:space="preserve">         </w:t>
      </w:r>
      <w:r>
        <w:rPr>
          <w:rFonts w:hint="eastAsia" w:cs="Arial"/>
          <w:color w:val="auto"/>
          <w:szCs w:val="21"/>
          <w:highlight w:val="none"/>
          <w:u w:val="single"/>
          <w:lang w:val="en-US" w:eastAsia="zh-CN"/>
        </w:rPr>
        <w:t xml:space="preserve"> </w:t>
      </w:r>
      <w:r>
        <w:rPr>
          <w:rFonts w:cs="Arial"/>
          <w:color w:val="auto"/>
          <w:szCs w:val="21"/>
          <w:highlight w:val="none"/>
        </w:rPr>
        <w:t>电话：</w:t>
      </w:r>
      <w:r>
        <w:rPr>
          <w:rFonts w:hint="eastAsia" w:cs="Arial"/>
          <w:color w:val="auto"/>
          <w:szCs w:val="21"/>
          <w:highlight w:val="none"/>
          <w:u w:val="single"/>
          <w:lang w:val="en-US" w:eastAsia="zh-CN"/>
        </w:rPr>
        <w:t xml:space="preserve"> </w:t>
      </w:r>
      <w:r>
        <w:rPr>
          <w:rFonts w:cs="Arial"/>
          <w:color w:val="auto"/>
          <w:szCs w:val="21"/>
          <w:highlight w:val="none"/>
          <w:u w:val="single"/>
        </w:rPr>
        <w:t xml:space="preserve">         </w:t>
      </w:r>
      <w:r>
        <w:rPr>
          <w:rFonts w:hint="eastAsia" w:cs="Arial"/>
          <w:color w:val="auto"/>
          <w:szCs w:val="21"/>
          <w:highlight w:val="none"/>
          <w:u w:val="single"/>
          <w:lang w:val="en-US" w:eastAsia="zh-CN"/>
        </w:rPr>
        <w:t xml:space="preserve">  </w:t>
      </w:r>
    </w:p>
    <w:p>
      <w:pPr>
        <w:pStyle w:val="5"/>
        <w:spacing w:before="120"/>
        <w:ind w:firstLine="422"/>
        <w:rPr>
          <w:rFonts w:cs="Arial"/>
          <w:color w:val="auto"/>
          <w:szCs w:val="21"/>
          <w:highlight w:val="none"/>
        </w:rPr>
      </w:pPr>
      <w:r>
        <w:rPr>
          <w:rFonts w:hint="eastAsia" w:cs="Arial"/>
          <w:color w:val="auto"/>
          <w:szCs w:val="21"/>
          <w:highlight w:val="none"/>
        </w:rPr>
        <w:t>八</w:t>
      </w:r>
      <w:r>
        <w:rPr>
          <w:rFonts w:cs="Arial"/>
          <w:color w:val="auto"/>
          <w:szCs w:val="21"/>
          <w:highlight w:val="none"/>
        </w:rPr>
        <w:t>、</w:t>
      </w:r>
      <w:r>
        <w:rPr>
          <w:rFonts w:hint="eastAsia" w:cs="Arial"/>
          <w:color w:val="auto"/>
          <w:szCs w:val="21"/>
          <w:highlight w:val="none"/>
        </w:rPr>
        <w:t>验收标准</w:t>
      </w:r>
    </w:p>
    <w:p>
      <w:pPr>
        <w:spacing w:line="360" w:lineRule="auto"/>
        <w:ind w:firstLine="420" w:firstLineChars="200"/>
        <w:rPr>
          <w:rFonts w:hint="eastAsia" w:ascii="Arial" w:hAnsi="Arial" w:eastAsia="宋体" w:cs="Arial"/>
          <w:color w:val="auto"/>
          <w:szCs w:val="21"/>
          <w:highlight w:val="none"/>
        </w:rPr>
      </w:pPr>
      <w:r>
        <w:rPr>
          <w:rFonts w:hint="eastAsia" w:ascii="Arial" w:hAnsi="Arial" w:eastAsia="宋体" w:cs="Arial"/>
          <w:color w:val="auto"/>
          <w:szCs w:val="21"/>
          <w:highlight w:val="none"/>
        </w:rPr>
        <w:t>按招标文件以及合同规定的验收评定标准等规范，由采购人组织验收，成果需通过县级验收、</w:t>
      </w:r>
      <w:r>
        <w:rPr>
          <w:rFonts w:hint="eastAsia" w:ascii="Arial" w:hAnsi="Arial" w:eastAsia="宋体" w:cs="Arial"/>
          <w:color w:val="auto"/>
          <w:szCs w:val="21"/>
          <w:highlight w:val="none"/>
          <w:lang w:val="en-US" w:eastAsia="zh-CN"/>
        </w:rPr>
        <w:t>市</w:t>
      </w:r>
      <w:r>
        <w:rPr>
          <w:rFonts w:hint="eastAsia" w:ascii="Arial" w:hAnsi="Arial" w:eastAsia="宋体" w:cs="Arial"/>
          <w:color w:val="auto"/>
          <w:szCs w:val="21"/>
          <w:highlight w:val="none"/>
        </w:rPr>
        <w:t>级抽查，否则作不合格处理。</w:t>
      </w:r>
    </w:p>
    <w:p>
      <w:pPr>
        <w:pStyle w:val="5"/>
        <w:spacing w:before="120"/>
        <w:ind w:firstLine="422"/>
        <w:rPr>
          <w:rFonts w:cs="Arial"/>
          <w:color w:val="auto"/>
          <w:szCs w:val="21"/>
          <w:highlight w:val="none"/>
        </w:rPr>
      </w:pPr>
      <w:r>
        <w:rPr>
          <w:rFonts w:hint="eastAsia" w:cs="Arial"/>
          <w:color w:val="auto"/>
          <w:szCs w:val="21"/>
          <w:highlight w:val="none"/>
        </w:rPr>
        <w:t>九</w:t>
      </w:r>
      <w:r>
        <w:rPr>
          <w:rFonts w:cs="Arial"/>
          <w:color w:val="auto"/>
          <w:szCs w:val="21"/>
          <w:highlight w:val="none"/>
        </w:rPr>
        <w:t>、</w:t>
      </w:r>
      <w:r>
        <w:rPr>
          <w:rFonts w:hint="eastAsia" w:cs="Arial"/>
          <w:color w:val="auto"/>
          <w:szCs w:val="21"/>
          <w:highlight w:val="none"/>
        </w:rPr>
        <w:t>知识产权及保密</w:t>
      </w:r>
    </w:p>
    <w:p>
      <w:pPr>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乙方为实施本项目前已享有的知识产权仍归乙方所有，本项目形成的最终项目成果和文件的所有权、使用权和知识产权均归属于双方共有未经甲方同意，乙方不得擅自留存、使用、泄露或者向他人提供本次服务项目内的任何形式的数据、代码或软件，否则承担由此产生的一切法律和经济责任。未经允许，任何单位和个人不得转让和使用本项目的成果。</w:t>
      </w:r>
    </w:p>
    <w:p>
      <w:pPr>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乙方应保证本项目的成果或其任何一部分不会产生因第三方提出侵犯其著作权、商标权或其他知识产权而引起的法律和经济纠纷；如因此与第三方发生纠纷，则乙方承担一切法律责任，并赔偿甲方及第三方由此所受损失</w:t>
      </w:r>
      <w:r>
        <w:rPr>
          <w:rFonts w:ascii="Arial" w:hAnsi="Arial" w:cs="Arial"/>
          <w:color w:val="auto"/>
          <w:szCs w:val="21"/>
          <w:highlight w:val="none"/>
        </w:rPr>
        <w:t>。</w:t>
      </w:r>
    </w:p>
    <w:p>
      <w:pPr>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双方均应保护对方的知识产权，未经对方同意，任何一方不得对对方的资料及文件擅自修改、复制或向第三方转让或用于本合同外的项目编制；乙方对甲方所提供的数据库和其它影像资料严禁向第三方泄密，如发生以上情况，泄密方承担一切由此引起的后果并承担赔偿责任</w:t>
      </w:r>
      <w:r>
        <w:rPr>
          <w:rFonts w:ascii="Arial" w:hAnsi="Arial" w:cs="Arial"/>
          <w:color w:val="auto"/>
          <w:szCs w:val="21"/>
          <w:highlight w:val="none"/>
        </w:rPr>
        <w:t>。</w:t>
      </w:r>
    </w:p>
    <w:p>
      <w:pPr>
        <w:pStyle w:val="5"/>
        <w:spacing w:before="120"/>
        <w:ind w:firstLine="422"/>
        <w:rPr>
          <w:rFonts w:cs="Arial"/>
          <w:color w:val="auto"/>
          <w:szCs w:val="21"/>
          <w:highlight w:val="none"/>
        </w:rPr>
      </w:pPr>
      <w:r>
        <w:rPr>
          <w:rFonts w:hint="eastAsia" w:cs="Arial"/>
          <w:color w:val="auto"/>
          <w:szCs w:val="21"/>
          <w:highlight w:val="none"/>
        </w:rPr>
        <w:t>十一、</w:t>
      </w:r>
      <w:r>
        <w:rPr>
          <w:rFonts w:cs="Arial"/>
          <w:color w:val="auto"/>
          <w:szCs w:val="21"/>
          <w:highlight w:val="none"/>
        </w:rPr>
        <w:t>违约责任</w:t>
      </w:r>
    </w:p>
    <w:p>
      <w:pPr>
        <w:adjustRightIn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除合同规定的不可抗力外，如果乙方没有按照合同规定的时间提供服务，甲方可要求乙方支付违约金。违约金按每周合同款的0.5%计收。但违约金的最高限额为合同价的5%。一周按7天计算，不足7天按一周计算。如果达到最高限额，甲方有权解除合同。</w:t>
      </w:r>
    </w:p>
    <w:p>
      <w:pPr>
        <w:pStyle w:val="375"/>
        <w:spacing w:line="360" w:lineRule="auto"/>
        <w:ind w:firstLine="420"/>
        <w:rPr>
          <w:rFonts w:ascii="Arial" w:hAnsi="Arial" w:cs="Arial"/>
          <w:color w:val="auto"/>
          <w:szCs w:val="21"/>
          <w:highlight w:val="none"/>
        </w:rPr>
      </w:pPr>
      <w:r>
        <w:rPr>
          <w:rFonts w:hint="eastAsia" w:ascii="Arial" w:hAnsi="Arial" w:cs="Arial"/>
          <w:color w:val="auto"/>
          <w:szCs w:val="21"/>
          <w:highlight w:val="none"/>
        </w:rPr>
        <w:t>采购人或第三方监理采用人工方式对本项目成果实施监督检查。经监督检查后不满足项目成果质量要求的，中标供应商应当及时采取补救措施予以完善；经整改完善后再次检查尚不满足项目成果质量要求的，将对中标供应商采取约谈手段；经约谈整改后再次抽检还不满足项目成果质量要求的，采购人有权解除本项目合同或每整改一次扣除合同金额1%。</w:t>
      </w:r>
    </w:p>
    <w:p>
      <w:pPr>
        <w:pStyle w:val="144"/>
        <w:spacing w:after="72" w:line="360" w:lineRule="auto"/>
        <w:ind w:firstLine="420"/>
        <w:rPr>
          <w:rFonts w:ascii="Arial" w:hAnsi="Arial" w:cs="Arial"/>
          <w:color w:val="auto"/>
          <w:sz w:val="21"/>
          <w:szCs w:val="21"/>
          <w:highlight w:val="none"/>
        </w:rPr>
      </w:pPr>
      <w:r>
        <w:rPr>
          <w:rFonts w:hint="eastAsia" w:ascii="Arial" w:hAnsi="Arial" w:cs="Arial"/>
          <w:color w:val="auto"/>
          <w:sz w:val="21"/>
          <w:szCs w:val="21"/>
          <w:highlight w:val="none"/>
        </w:rPr>
        <w:t>由于供应商原因引发失泄密事件，造成严重后果或被通报的，由供应商承担相应的责任和后果，同时积极配合做好相应整改工作，尽可能消除问题影响；厅内部发现且未造成重大影响的，每出现1次扣除合同金额1%，同时积极配合做好相应整改工作。</w:t>
      </w:r>
    </w:p>
    <w:p>
      <w:pPr>
        <w:pStyle w:val="144"/>
        <w:spacing w:after="72" w:line="360" w:lineRule="auto"/>
        <w:ind w:firstLine="420"/>
        <w:rPr>
          <w:rFonts w:hint="eastAsia" w:ascii="Arial" w:hAnsi="Arial" w:cs="Arial"/>
          <w:color w:val="auto"/>
          <w:sz w:val="21"/>
          <w:szCs w:val="21"/>
          <w:highlight w:val="none"/>
        </w:rPr>
      </w:pPr>
      <w:r>
        <w:rPr>
          <w:rFonts w:hint="eastAsia" w:ascii="Arial" w:hAnsi="Arial" w:cs="Arial"/>
          <w:color w:val="auto"/>
          <w:sz w:val="21"/>
          <w:szCs w:val="21"/>
          <w:highlight w:val="none"/>
        </w:rPr>
        <w:t>供应商派遣的驻场技术服务人员、项目负责人、技术负责人及与本项目有关的其他人员因未经采购人批准发生迟到、早退、工作时间从事与工作无关事情等情况被采购人及其上级主管部门检查通报的，或者供应商服务期间因安全原因被采购人及其上级主管部门检查通报或投诉的，每出现1人次扣除合同金额1%。</w:t>
      </w:r>
    </w:p>
    <w:p>
      <w:pPr>
        <w:pStyle w:val="375"/>
        <w:spacing w:line="360" w:lineRule="auto"/>
        <w:ind w:firstLine="420" w:firstLineChars="200"/>
        <w:rPr>
          <w:rFonts w:ascii="Arial" w:hAnsi="Arial" w:cs="Arial"/>
          <w:bCs/>
          <w:color w:val="auto"/>
          <w:szCs w:val="21"/>
          <w:highlight w:val="none"/>
        </w:rPr>
      </w:pPr>
      <w:r>
        <w:rPr>
          <w:rFonts w:ascii="Arial" w:hAnsi="Arial" w:cs="Arial"/>
          <w:color w:val="auto"/>
          <w:szCs w:val="21"/>
          <w:highlight w:val="none"/>
        </w:rPr>
        <w:t>由于供应商服务不当，导致采购人被省公安厅等有关主管部门通报，采购方有权扣减1%合同金额作为赔偿。</w:t>
      </w:r>
    </w:p>
    <w:p>
      <w:pPr>
        <w:adjustRightInd w:val="0"/>
        <w:spacing w:line="360" w:lineRule="auto"/>
        <w:ind w:firstLine="420" w:firstLineChars="200"/>
        <w:rPr>
          <w:rFonts w:ascii="Arial" w:hAnsi="Arial" w:cs="Arial"/>
          <w:bCs/>
          <w:color w:val="auto"/>
          <w:szCs w:val="21"/>
          <w:highlight w:val="none"/>
        </w:rPr>
      </w:pPr>
      <w:r>
        <w:rPr>
          <w:rFonts w:hint="eastAsia" w:ascii="Arial" w:hAnsi="Arial" w:cs="Arial"/>
          <w:bCs/>
          <w:color w:val="auto"/>
          <w:szCs w:val="21"/>
          <w:highlight w:val="none"/>
        </w:rPr>
        <w:t>乙方在服务过程中使用正版软件，如被发现使用盗版软件，须扣减1%合同金额作为</w:t>
      </w:r>
      <w:r>
        <w:rPr>
          <w:rFonts w:hint="eastAsia" w:ascii="Arial" w:hAnsi="Arial" w:cs="Arial"/>
          <w:color w:val="auto"/>
          <w:szCs w:val="21"/>
          <w:highlight w:val="none"/>
          <w:lang w:eastAsia="zh-Hans"/>
        </w:rPr>
        <w:t>违约金</w:t>
      </w:r>
      <w:r>
        <w:rPr>
          <w:rFonts w:hint="eastAsia" w:ascii="Arial" w:hAnsi="Arial" w:cs="Arial"/>
          <w:bCs/>
          <w:color w:val="auto"/>
          <w:szCs w:val="21"/>
          <w:highlight w:val="none"/>
        </w:rPr>
        <w:t>。</w:t>
      </w:r>
    </w:p>
    <w:p>
      <w:pPr>
        <w:adjustRightIn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项目结束时最终验收不合格，乙方应在收到甲方通知后</w:t>
      </w:r>
      <w:r>
        <w:rPr>
          <w:rFonts w:ascii="Arial" w:hAnsi="Arial" w:cs="Arial"/>
          <w:color w:val="auto"/>
          <w:szCs w:val="21"/>
          <w:highlight w:val="none"/>
          <w:u w:val="single"/>
        </w:rPr>
        <w:t xml:space="preserve"> 5 </w:t>
      </w:r>
      <w:r>
        <w:rPr>
          <w:rFonts w:ascii="Arial" w:hAnsi="Arial" w:cs="Arial"/>
          <w:color w:val="auto"/>
          <w:szCs w:val="21"/>
          <w:highlight w:val="none"/>
        </w:rPr>
        <w:t>日内退还甲方已支付的合同款，逾期退还合同款的，每日按未退还金额的</w:t>
      </w:r>
      <w:r>
        <w:rPr>
          <w:rFonts w:ascii="Arial" w:hAnsi="Arial" w:cs="Arial"/>
          <w:color w:val="auto"/>
          <w:szCs w:val="21"/>
          <w:highlight w:val="none"/>
          <w:u w:val="single"/>
        </w:rPr>
        <w:t xml:space="preserve"> 0.5 </w:t>
      </w:r>
      <w:r>
        <w:rPr>
          <w:rFonts w:ascii="Arial" w:hAnsi="Arial" w:cs="Arial"/>
          <w:color w:val="auto"/>
          <w:szCs w:val="21"/>
          <w:highlight w:val="none"/>
        </w:rPr>
        <w:t>%支付违约金。</w:t>
      </w:r>
    </w:p>
    <w:p>
      <w:pPr>
        <w:widowControl/>
        <w:spacing w:line="360" w:lineRule="auto"/>
        <w:ind w:firstLine="420" w:firstLineChars="200"/>
        <w:jc w:val="left"/>
        <w:rPr>
          <w:color w:val="auto"/>
          <w:highlight w:val="none"/>
        </w:rPr>
      </w:pPr>
      <w:r>
        <w:rPr>
          <w:rFonts w:hint="eastAsia" w:ascii="Arial" w:hAnsi="Arial" w:cs="Arial"/>
          <w:bCs/>
          <w:color w:val="auto"/>
          <w:szCs w:val="21"/>
          <w:highlight w:val="none"/>
          <w:lang w:eastAsia="zh-Hans"/>
        </w:rPr>
        <w:t>合同款已支付完毕的，乙方应另行向甲方支付违约金及损失。</w:t>
      </w:r>
    </w:p>
    <w:p>
      <w:pPr>
        <w:adjustRightInd w:val="0"/>
        <w:spacing w:line="360" w:lineRule="auto"/>
        <w:ind w:firstLine="420" w:firstLineChars="200"/>
        <w:rPr>
          <w:rFonts w:ascii="Arial" w:hAnsi="Arial" w:cs="Arial"/>
          <w:color w:val="auto"/>
          <w:szCs w:val="21"/>
          <w:highlight w:val="none"/>
          <w:u w:val="single"/>
        </w:rPr>
      </w:pPr>
      <w:r>
        <w:rPr>
          <w:rFonts w:ascii="Arial" w:hAnsi="Arial" w:cs="Arial"/>
          <w:color w:val="auto"/>
          <w:szCs w:val="21"/>
          <w:highlight w:val="none"/>
        </w:rPr>
        <w:t>其他违约条款双方协商确定：</w:t>
      </w:r>
      <w:r>
        <w:rPr>
          <w:rFonts w:ascii="Arial" w:hAnsi="Arial" w:cs="Arial"/>
          <w:color w:val="auto"/>
          <w:szCs w:val="21"/>
          <w:highlight w:val="none"/>
          <w:u w:val="single"/>
        </w:rPr>
        <w:t xml:space="preserve">   </w:t>
      </w:r>
      <w:r>
        <w:rPr>
          <w:rFonts w:hint="eastAsia" w:ascii="Arial" w:hAnsi="Arial" w:cs="Arial"/>
          <w:color w:val="auto"/>
          <w:szCs w:val="21"/>
          <w:highlight w:val="none"/>
          <w:u w:val="single"/>
          <w:lang w:val="en-US" w:eastAsia="zh-CN"/>
        </w:rPr>
        <w:t xml:space="preserve">    </w:t>
      </w:r>
      <w:r>
        <w:rPr>
          <w:rFonts w:ascii="Arial" w:hAnsi="Arial" w:cs="Arial"/>
          <w:color w:val="auto"/>
          <w:szCs w:val="21"/>
          <w:highlight w:val="none"/>
          <w:u w:val="single"/>
        </w:rPr>
        <w:t xml:space="preserve">      </w:t>
      </w:r>
    </w:p>
    <w:p>
      <w:pPr>
        <w:pStyle w:val="5"/>
        <w:spacing w:before="120"/>
        <w:ind w:firstLine="422"/>
        <w:rPr>
          <w:rFonts w:cs="Arial"/>
          <w:color w:val="auto"/>
          <w:szCs w:val="21"/>
          <w:highlight w:val="none"/>
          <w:shd w:val="clear" w:color="auto" w:fill="FFFFFF"/>
        </w:rPr>
      </w:pPr>
      <w:r>
        <w:rPr>
          <w:rFonts w:cs="Arial"/>
          <w:color w:val="auto"/>
          <w:highlight w:val="none"/>
        </w:rPr>
        <w:t>十</w:t>
      </w:r>
      <w:r>
        <w:rPr>
          <w:rFonts w:hint="eastAsia" w:cs="Arial"/>
          <w:color w:val="auto"/>
          <w:highlight w:val="none"/>
        </w:rPr>
        <w:t>一</w:t>
      </w:r>
      <w:r>
        <w:rPr>
          <w:rFonts w:cs="Arial"/>
          <w:color w:val="auto"/>
          <w:highlight w:val="none"/>
        </w:rPr>
        <w:t>、</w:t>
      </w:r>
      <w:r>
        <w:rPr>
          <w:rFonts w:cs="Arial"/>
          <w:color w:val="auto"/>
          <w:szCs w:val="21"/>
          <w:highlight w:val="none"/>
          <w:shd w:val="clear" w:color="auto" w:fill="FFFFFF"/>
        </w:rPr>
        <w:t>解决争议的方法</w:t>
      </w:r>
    </w:p>
    <w:p>
      <w:pPr>
        <w:adjustRightInd w:val="0"/>
        <w:spacing w:line="360" w:lineRule="auto"/>
        <w:ind w:firstLine="420" w:firstLineChars="200"/>
        <w:rPr>
          <w:rFonts w:cs="Arial"/>
          <w:color w:val="auto"/>
          <w:szCs w:val="21"/>
          <w:highlight w:val="none"/>
        </w:rPr>
      </w:pPr>
      <w:r>
        <w:rPr>
          <w:rFonts w:cs="Arial"/>
          <w:color w:val="auto"/>
          <w:szCs w:val="21"/>
          <w:highlight w:val="none"/>
        </w:rPr>
        <w:t>因合同履行中发生的争议，可通过合同当事人双方友好协商解决。协商不成的，可申请向</w:t>
      </w:r>
      <w:r>
        <w:rPr>
          <w:rFonts w:cs="Arial"/>
          <w:color w:val="auto"/>
          <w:szCs w:val="21"/>
          <w:highlight w:val="none"/>
          <w:u w:val="single"/>
        </w:rPr>
        <w:t>甲方所在地辖区</w:t>
      </w:r>
      <w:r>
        <w:rPr>
          <w:rFonts w:cs="Arial"/>
          <w:color w:val="auto"/>
          <w:szCs w:val="21"/>
          <w:highlight w:val="none"/>
        </w:rPr>
        <w:t>人民法院提起诉讼。</w:t>
      </w:r>
    </w:p>
    <w:p>
      <w:pPr>
        <w:adjustRightInd w:val="0"/>
        <w:spacing w:line="360" w:lineRule="auto"/>
        <w:ind w:firstLine="420" w:firstLineChars="200"/>
        <w:rPr>
          <w:rFonts w:cs="Arial"/>
          <w:color w:val="auto"/>
          <w:szCs w:val="21"/>
          <w:highlight w:val="none"/>
        </w:rPr>
      </w:pPr>
      <w:r>
        <w:rPr>
          <w:rFonts w:cs="Arial"/>
          <w:color w:val="auto"/>
          <w:szCs w:val="21"/>
          <w:highlight w:val="none"/>
        </w:rPr>
        <w:t>诉讼费用除人民法院另有裁决外，应由败诉方负担。</w:t>
      </w:r>
    </w:p>
    <w:p>
      <w:pPr>
        <w:adjustRightInd w:val="0"/>
        <w:spacing w:line="360" w:lineRule="auto"/>
        <w:ind w:firstLine="420" w:firstLineChars="200"/>
        <w:rPr>
          <w:rFonts w:cs="Arial"/>
          <w:color w:val="auto"/>
          <w:szCs w:val="21"/>
          <w:highlight w:val="none"/>
        </w:rPr>
      </w:pPr>
      <w:r>
        <w:rPr>
          <w:rFonts w:cs="Arial"/>
          <w:color w:val="auto"/>
          <w:szCs w:val="21"/>
          <w:highlight w:val="none"/>
        </w:rPr>
        <w:t>因乙方违约行为导致诉讼的，应当承担甲方因维护合法权益产生的一切费用，包括但不限于诉讼费、律师费、担保费、担保公司费用、差旅费、公证费等费用。</w:t>
      </w:r>
    </w:p>
    <w:p>
      <w:pPr>
        <w:pStyle w:val="5"/>
        <w:spacing w:before="120"/>
        <w:ind w:firstLine="422"/>
        <w:rPr>
          <w:rFonts w:cs="Arial"/>
          <w:color w:val="auto"/>
          <w:szCs w:val="21"/>
          <w:highlight w:val="none"/>
        </w:rPr>
      </w:pPr>
      <w:r>
        <w:rPr>
          <w:rFonts w:cs="Arial"/>
          <w:color w:val="auto"/>
          <w:szCs w:val="21"/>
          <w:highlight w:val="none"/>
        </w:rPr>
        <w:t>十</w:t>
      </w:r>
      <w:r>
        <w:rPr>
          <w:rFonts w:hint="eastAsia" w:cs="Arial"/>
          <w:color w:val="auto"/>
          <w:szCs w:val="21"/>
          <w:highlight w:val="none"/>
        </w:rPr>
        <w:t>二</w:t>
      </w:r>
      <w:r>
        <w:rPr>
          <w:rFonts w:cs="Arial"/>
          <w:color w:val="auto"/>
          <w:szCs w:val="21"/>
          <w:highlight w:val="none"/>
        </w:rPr>
        <w:t>、违约解除合同</w:t>
      </w:r>
    </w:p>
    <w:p>
      <w:pPr>
        <w:adjustRightInd w:val="0"/>
        <w:spacing w:line="360" w:lineRule="auto"/>
        <w:ind w:firstLine="420" w:firstLineChars="200"/>
        <w:rPr>
          <w:rFonts w:cs="Arial"/>
          <w:color w:val="auto"/>
          <w:szCs w:val="21"/>
          <w:highlight w:val="none"/>
        </w:rPr>
      </w:pPr>
      <w:r>
        <w:rPr>
          <w:rFonts w:cs="Arial"/>
          <w:color w:val="auto"/>
          <w:szCs w:val="21"/>
          <w:highlight w:val="none"/>
        </w:rPr>
        <w:t>1.有下列情形之一的，采购合同的双方当事人可以解除合同：</w:t>
      </w:r>
    </w:p>
    <w:p>
      <w:pPr>
        <w:adjustRightInd w:val="0"/>
        <w:spacing w:line="360" w:lineRule="auto"/>
        <w:ind w:firstLine="420" w:firstLineChars="200"/>
        <w:rPr>
          <w:rFonts w:cs="Arial"/>
          <w:color w:val="auto"/>
          <w:szCs w:val="21"/>
          <w:highlight w:val="none"/>
        </w:rPr>
      </w:pPr>
      <w:r>
        <w:rPr>
          <w:rFonts w:cs="Arial"/>
          <w:color w:val="auto"/>
          <w:szCs w:val="21"/>
          <w:highlight w:val="none"/>
        </w:rPr>
        <w:t>1.1因不可抗力致使不能实现合同目的；</w:t>
      </w:r>
    </w:p>
    <w:p>
      <w:pPr>
        <w:adjustRightInd w:val="0"/>
        <w:spacing w:line="360" w:lineRule="auto"/>
        <w:ind w:firstLine="420" w:firstLineChars="200"/>
        <w:rPr>
          <w:rFonts w:cs="Arial"/>
          <w:color w:val="auto"/>
          <w:szCs w:val="21"/>
          <w:highlight w:val="none"/>
        </w:rPr>
      </w:pPr>
      <w:r>
        <w:rPr>
          <w:rFonts w:cs="Arial"/>
          <w:color w:val="auto"/>
          <w:szCs w:val="21"/>
          <w:highlight w:val="none"/>
        </w:rPr>
        <w:t>1.2在履行期限届满之前，乙方明确表示或者以自己的行为表示不履行主要义务；</w:t>
      </w:r>
    </w:p>
    <w:p>
      <w:pPr>
        <w:adjustRightInd w:val="0"/>
        <w:spacing w:line="360" w:lineRule="auto"/>
        <w:ind w:firstLine="420" w:firstLineChars="200"/>
        <w:rPr>
          <w:rFonts w:cs="Arial"/>
          <w:color w:val="auto"/>
          <w:szCs w:val="21"/>
          <w:highlight w:val="none"/>
        </w:rPr>
      </w:pPr>
      <w:r>
        <w:rPr>
          <w:rFonts w:cs="Arial"/>
          <w:color w:val="auto"/>
          <w:szCs w:val="21"/>
          <w:highlight w:val="none"/>
        </w:rPr>
        <w:t>1.3乙方迟延履行主要义务，经催告后在合理期限内仍未履行；</w:t>
      </w:r>
    </w:p>
    <w:p>
      <w:pPr>
        <w:adjustRightInd w:val="0"/>
        <w:spacing w:line="360" w:lineRule="auto"/>
        <w:ind w:firstLine="420" w:firstLineChars="200"/>
        <w:rPr>
          <w:rFonts w:cs="Arial"/>
          <w:color w:val="auto"/>
          <w:szCs w:val="21"/>
          <w:highlight w:val="none"/>
        </w:rPr>
      </w:pPr>
      <w:r>
        <w:rPr>
          <w:rFonts w:cs="Arial"/>
          <w:color w:val="auto"/>
          <w:szCs w:val="21"/>
          <w:highlight w:val="none"/>
        </w:rPr>
        <w:t>1.4乙方迟延履行义务或者有其他违约行为致使不能实现合同目的；</w:t>
      </w:r>
    </w:p>
    <w:p>
      <w:pPr>
        <w:adjustRightInd w:val="0"/>
        <w:spacing w:line="360" w:lineRule="auto"/>
        <w:ind w:firstLine="420" w:firstLineChars="200"/>
        <w:rPr>
          <w:rFonts w:cs="Arial"/>
          <w:color w:val="auto"/>
          <w:szCs w:val="21"/>
          <w:highlight w:val="none"/>
        </w:rPr>
      </w:pPr>
      <w:r>
        <w:rPr>
          <w:rFonts w:cs="Arial"/>
          <w:color w:val="auto"/>
          <w:szCs w:val="21"/>
          <w:highlight w:val="none"/>
        </w:rPr>
        <w:t>1.5乙方转包，或者未经甲方同意采取分包方式履行合同；</w:t>
      </w:r>
    </w:p>
    <w:p>
      <w:pPr>
        <w:adjustRightInd w:val="0"/>
        <w:spacing w:line="360" w:lineRule="auto"/>
        <w:ind w:firstLine="420" w:firstLineChars="200"/>
        <w:rPr>
          <w:rFonts w:cs="Arial"/>
          <w:color w:val="auto"/>
          <w:szCs w:val="21"/>
          <w:highlight w:val="none"/>
        </w:rPr>
      </w:pPr>
      <w:r>
        <w:rPr>
          <w:rFonts w:cs="Arial"/>
          <w:color w:val="auto"/>
          <w:szCs w:val="21"/>
          <w:highlight w:val="none"/>
        </w:rPr>
        <w:t>1.6甲方认为乙方在本合同履行过程中有腐败和欺诈行为的。</w:t>
      </w:r>
    </w:p>
    <w:p>
      <w:pPr>
        <w:adjustRightInd w:val="0"/>
        <w:spacing w:line="360" w:lineRule="auto"/>
        <w:ind w:firstLine="420" w:firstLineChars="200"/>
        <w:rPr>
          <w:rFonts w:cs="Arial"/>
          <w:color w:val="auto"/>
          <w:szCs w:val="21"/>
          <w:highlight w:val="none"/>
        </w:rPr>
      </w:pPr>
      <w:r>
        <w:rPr>
          <w:rFonts w:cs="Arial"/>
          <w:color w:val="auto"/>
          <w:szCs w:val="21"/>
          <w:highlight w:val="none"/>
        </w:rPr>
        <w:t>1.6.1“腐败行为”和“欺诈行为”定义如下：</w:t>
      </w:r>
    </w:p>
    <w:p>
      <w:pPr>
        <w:adjustRightInd w:val="0"/>
        <w:spacing w:line="360" w:lineRule="auto"/>
        <w:ind w:firstLine="420" w:firstLineChars="200"/>
        <w:rPr>
          <w:rFonts w:cs="Arial"/>
          <w:color w:val="auto"/>
          <w:szCs w:val="21"/>
          <w:highlight w:val="none"/>
        </w:rPr>
      </w:pPr>
      <w:r>
        <w:rPr>
          <w:rFonts w:cs="Arial"/>
          <w:color w:val="auto"/>
          <w:szCs w:val="21"/>
          <w:highlight w:val="none"/>
        </w:rPr>
        <w:t>1.6.2“腐败行为”是指提供/给予/接受或索取任何有价值的东西来影响甲方在合同签订、履行过程中的行为。</w:t>
      </w:r>
    </w:p>
    <w:p>
      <w:pPr>
        <w:adjustRightInd w:val="0"/>
        <w:spacing w:line="360" w:lineRule="auto"/>
        <w:ind w:firstLine="420" w:firstLineChars="200"/>
        <w:rPr>
          <w:rFonts w:cs="Arial"/>
          <w:color w:val="auto"/>
          <w:szCs w:val="21"/>
          <w:highlight w:val="none"/>
        </w:rPr>
      </w:pPr>
      <w:r>
        <w:rPr>
          <w:rFonts w:cs="Arial"/>
          <w:color w:val="auto"/>
          <w:szCs w:val="21"/>
          <w:highlight w:val="none"/>
        </w:rPr>
        <w:t>1.6.3“欺诈行为”是指为了影响合同签订、履行过程，以谎报事实的方法，损害甲方的利益的行为。</w:t>
      </w:r>
    </w:p>
    <w:p>
      <w:pPr>
        <w:adjustRightInd w:val="0"/>
        <w:spacing w:line="360" w:lineRule="auto"/>
        <w:ind w:firstLine="420" w:firstLineChars="200"/>
        <w:rPr>
          <w:rFonts w:cs="Arial"/>
          <w:color w:val="auto"/>
          <w:szCs w:val="21"/>
          <w:highlight w:val="none"/>
        </w:rPr>
      </w:pPr>
      <w:r>
        <w:rPr>
          <w:rFonts w:cs="Arial"/>
          <w:color w:val="auto"/>
          <w:szCs w:val="21"/>
          <w:highlight w:val="none"/>
        </w:rPr>
        <w:t>1.7违约金达到合同约定的最高限额。</w:t>
      </w:r>
    </w:p>
    <w:p>
      <w:pPr>
        <w:adjustRightInd w:val="0"/>
        <w:spacing w:line="360" w:lineRule="auto"/>
        <w:ind w:firstLine="420" w:firstLineChars="200"/>
        <w:rPr>
          <w:rFonts w:cs="Arial"/>
          <w:color w:val="auto"/>
          <w:szCs w:val="21"/>
          <w:highlight w:val="none"/>
        </w:rPr>
      </w:pPr>
      <w:r>
        <w:rPr>
          <w:rFonts w:cs="Arial"/>
          <w:color w:val="auto"/>
          <w:szCs w:val="21"/>
          <w:highlight w:val="none"/>
        </w:rPr>
        <w:t>1.8法律、法规规定的其他情形。</w:t>
      </w:r>
    </w:p>
    <w:p>
      <w:pPr>
        <w:adjustRightInd w:val="0"/>
        <w:spacing w:line="360" w:lineRule="auto"/>
        <w:ind w:firstLine="420" w:firstLineChars="200"/>
        <w:rPr>
          <w:rFonts w:cs="Arial"/>
          <w:color w:val="auto"/>
          <w:szCs w:val="21"/>
          <w:highlight w:val="none"/>
        </w:rPr>
      </w:pPr>
      <w:r>
        <w:rPr>
          <w:rFonts w:cs="Arial"/>
          <w:color w:val="auto"/>
          <w:szCs w:val="21"/>
          <w:highlight w:val="none"/>
        </w:rPr>
        <w:t>2.甲方解除合同的，合同于甲方发出书面解除合同通知书送达乙方之日起解除。乙方应在合同解除后</w:t>
      </w:r>
      <w:r>
        <w:rPr>
          <w:rFonts w:cs="Arial"/>
          <w:color w:val="auto"/>
          <w:szCs w:val="21"/>
          <w:highlight w:val="none"/>
          <w:u w:val="single"/>
        </w:rPr>
        <w:t xml:space="preserve"> 5</w:t>
      </w:r>
      <w:r>
        <w:rPr>
          <w:rFonts w:cs="Arial"/>
          <w:color w:val="auto"/>
          <w:szCs w:val="21"/>
          <w:highlight w:val="none"/>
        </w:rPr>
        <w:t>日内退还甲方已支付的合同款，逾期退还合同款的，每日按未退还金额的</w:t>
      </w:r>
      <w:r>
        <w:rPr>
          <w:rFonts w:cs="Arial"/>
          <w:color w:val="auto"/>
          <w:szCs w:val="21"/>
          <w:highlight w:val="none"/>
          <w:u w:val="single"/>
        </w:rPr>
        <w:t xml:space="preserve"> 0.5</w:t>
      </w:r>
      <w:r>
        <w:rPr>
          <w:rFonts w:cs="Arial"/>
          <w:color w:val="auto"/>
          <w:szCs w:val="21"/>
          <w:highlight w:val="none"/>
        </w:rPr>
        <w:t>%支付违约金。</w:t>
      </w:r>
    </w:p>
    <w:p>
      <w:pPr>
        <w:adjustRightInd w:val="0"/>
        <w:spacing w:line="360" w:lineRule="auto"/>
        <w:ind w:firstLine="420" w:firstLineChars="200"/>
        <w:rPr>
          <w:rFonts w:cs="Arial"/>
          <w:color w:val="auto"/>
          <w:szCs w:val="21"/>
          <w:highlight w:val="none"/>
        </w:rPr>
      </w:pPr>
      <w:r>
        <w:rPr>
          <w:rFonts w:cs="Arial"/>
          <w:color w:val="auto"/>
          <w:szCs w:val="21"/>
          <w:highlight w:val="none"/>
        </w:rPr>
        <w:t>3.因乙方的原因导致合同解除，给甲方造成损失的，乙方应予以赔偿，赔偿事宜双方协商确定。</w:t>
      </w:r>
    </w:p>
    <w:p>
      <w:pPr>
        <w:adjustRightInd w:val="0"/>
        <w:spacing w:line="360" w:lineRule="auto"/>
        <w:ind w:firstLine="420" w:firstLineChars="200"/>
        <w:rPr>
          <w:rFonts w:cs="Arial"/>
          <w:color w:val="auto"/>
          <w:szCs w:val="21"/>
          <w:highlight w:val="none"/>
        </w:rPr>
      </w:pPr>
      <w:r>
        <w:rPr>
          <w:rFonts w:cs="Arial"/>
          <w:color w:val="auto"/>
          <w:szCs w:val="21"/>
          <w:highlight w:val="none"/>
        </w:rPr>
        <w:t>4.因甲方的原因导致合同解除，给乙方造成损失的，甲方应予以赔偿，赔偿事宜双方协商确定。</w:t>
      </w:r>
    </w:p>
    <w:p>
      <w:pPr>
        <w:pStyle w:val="16"/>
        <w:spacing w:line="360" w:lineRule="auto"/>
        <w:rPr>
          <w:rFonts w:cs="Arial"/>
          <w:color w:val="auto"/>
          <w:highlight w:val="none"/>
        </w:rPr>
      </w:pPr>
      <w:r>
        <w:rPr>
          <w:rFonts w:cs="Arial"/>
          <w:color w:val="auto"/>
          <w:szCs w:val="21"/>
          <w:highlight w:val="none"/>
        </w:rPr>
        <w:t>5.解除合同的，应当报同级财政部门备案。</w:t>
      </w:r>
    </w:p>
    <w:p>
      <w:pPr>
        <w:pStyle w:val="5"/>
        <w:spacing w:before="120"/>
        <w:ind w:firstLine="422"/>
        <w:rPr>
          <w:rFonts w:cs="Arial"/>
          <w:color w:val="auto"/>
          <w:szCs w:val="21"/>
          <w:highlight w:val="none"/>
        </w:rPr>
      </w:pPr>
      <w:r>
        <w:rPr>
          <w:rFonts w:cs="Arial"/>
          <w:color w:val="auto"/>
          <w:szCs w:val="21"/>
          <w:highlight w:val="none"/>
        </w:rPr>
        <w:t>十</w:t>
      </w:r>
      <w:r>
        <w:rPr>
          <w:rFonts w:hint="eastAsia" w:cs="Arial"/>
          <w:color w:val="auto"/>
          <w:szCs w:val="21"/>
          <w:highlight w:val="none"/>
        </w:rPr>
        <w:t>三</w:t>
      </w:r>
      <w:r>
        <w:rPr>
          <w:rFonts w:cs="Arial"/>
          <w:color w:val="auto"/>
          <w:szCs w:val="21"/>
          <w:highlight w:val="none"/>
        </w:rPr>
        <w:t>、破产终止合同</w:t>
      </w:r>
    </w:p>
    <w:p>
      <w:pPr>
        <w:adjustRightInd w:val="0"/>
        <w:spacing w:line="360" w:lineRule="auto"/>
        <w:ind w:firstLine="420" w:firstLineChars="200"/>
        <w:rPr>
          <w:rFonts w:cs="Arial"/>
          <w:color w:val="auto"/>
          <w:szCs w:val="21"/>
          <w:highlight w:val="none"/>
        </w:rPr>
      </w:pPr>
      <w:r>
        <w:rPr>
          <w:rFonts w:cs="Arial"/>
          <w:color w:val="auto"/>
          <w:szCs w:val="21"/>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pPr>
        <w:pStyle w:val="5"/>
        <w:spacing w:before="120"/>
        <w:ind w:firstLine="422"/>
        <w:rPr>
          <w:rFonts w:cs="Arial"/>
          <w:color w:val="auto"/>
          <w:szCs w:val="21"/>
          <w:highlight w:val="none"/>
        </w:rPr>
      </w:pPr>
      <w:r>
        <w:rPr>
          <w:rFonts w:cs="Arial"/>
          <w:color w:val="auto"/>
          <w:szCs w:val="21"/>
          <w:highlight w:val="none"/>
        </w:rPr>
        <w:t>十</w:t>
      </w:r>
      <w:r>
        <w:rPr>
          <w:rFonts w:hint="eastAsia" w:cs="Arial"/>
          <w:color w:val="auto"/>
          <w:szCs w:val="21"/>
          <w:highlight w:val="none"/>
        </w:rPr>
        <w:t>四</w:t>
      </w:r>
      <w:r>
        <w:rPr>
          <w:rFonts w:cs="Arial"/>
          <w:color w:val="auto"/>
          <w:szCs w:val="21"/>
          <w:highlight w:val="none"/>
        </w:rPr>
        <w:t>、转让和分包</w:t>
      </w:r>
    </w:p>
    <w:p>
      <w:pPr>
        <w:adjustRightInd w:val="0"/>
        <w:spacing w:line="360" w:lineRule="auto"/>
        <w:ind w:firstLine="420" w:firstLineChars="200"/>
        <w:rPr>
          <w:rFonts w:cs="Arial"/>
          <w:color w:val="auto"/>
          <w:szCs w:val="21"/>
          <w:highlight w:val="none"/>
        </w:rPr>
      </w:pPr>
      <w:r>
        <w:rPr>
          <w:rFonts w:cs="Arial"/>
          <w:color w:val="auto"/>
          <w:szCs w:val="21"/>
          <w:highlight w:val="none"/>
        </w:rPr>
        <w:t>1.合同转让</w:t>
      </w:r>
    </w:p>
    <w:p>
      <w:pPr>
        <w:adjustRightInd w:val="0"/>
        <w:spacing w:line="360" w:lineRule="auto"/>
        <w:ind w:firstLine="420" w:firstLineChars="200"/>
        <w:rPr>
          <w:rFonts w:cs="Arial"/>
          <w:color w:val="auto"/>
          <w:szCs w:val="21"/>
          <w:highlight w:val="none"/>
        </w:rPr>
      </w:pPr>
      <w:r>
        <w:rPr>
          <w:rFonts w:cs="Arial"/>
          <w:color w:val="auto"/>
          <w:szCs w:val="21"/>
          <w:highlight w:val="none"/>
        </w:rPr>
        <w:t>采购合同不能转让。</w:t>
      </w:r>
    </w:p>
    <w:p>
      <w:pPr>
        <w:adjustRightInd w:val="0"/>
        <w:spacing w:line="360" w:lineRule="auto"/>
        <w:ind w:firstLine="420" w:firstLineChars="200"/>
        <w:rPr>
          <w:rFonts w:cs="Arial"/>
          <w:color w:val="auto"/>
          <w:szCs w:val="21"/>
          <w:highlight w:val="none"/>
        </w:rPr>
      </w:pPr>
      <w:r>
        <w:rPr>
          <w:rFonts w:cs="Arial"/>
          <w:color w:val="auto"/>
          <w:szCs w:val="21"/>
          <w:highlight w:val="none"/>
        </w:rPr>
        <w:t>2.合同分包</w:t>
      </w:r>
    </w:p>
    <w:p>
      <w:pPr>
        <w:adjustRightInd w:val="0"/>
        <w:spacing w:line="360" w:lineRule="auto"/>
        <w:ind w:firstLine="420" w:firstLineChars="200"/>
        <w:rPr>
          <w:rFonts w:cs="Arial"/>
          <w:color w:val="auto"/>
          <w:szCs w:val="21"/>
          <w:highlight w:val="none"/>
        </w:rPr>
      </w:pPr>
      <w:r>
        <w:rPr>
          <w:rFonts w:cs="Arial"/>
          <w:color w:val="auto"/>
          <w:szCs w:val="21"/>
          <w:highlight w:val="none"/>
        </w:rPr>
        <w:t>分包内容：</w:t>
      </w:r>
      <w:r>
        <w:rPr>
          <w:rFonts w:hint="eastAsia" w:cs="Arial"/>
          <w:color w:val="auto"/>
          <w:szCs w:val="21"/>
          <w:highlight w:val="none"/>
          <w:u w:val="single"/>
          <w:lang w:val="en-US" w:eastAsia="zh-CN"/>
        </w:rPr>
        <w:t xml:space="preserve">  </w:t>
      </w:r>
      <w:r>
        <w:rPr>
          <w:rFonts w:hint="eastAsia" w:cs="Arial"/>
          <w:color w:val="auto"/>
          <w:szCs w:val="21"/>
          <w:highlight w:val="none"/>
          <w:u w:val="single"/>
        </w:rPr>
        <w:t>/</w:t>
      </w:r>
      <w:r>
        <w:rPr>
          <w:rFonts w:hint="eastAsia" w:cs="Arial"/>
          <w:color w:val="auto"/>
          <w:szCs w:val="21"/>
          <w:highlight w:val="none"/>
          <w:u w:val="single"/>
          <w:lang w:val="en-US" w:eastAsia="zh-CN"/>
        </w:rPr>
        <w:t xml:space="preserve">  </w:t>
      </w:r>
      <w:r>
        <w:rPr>
          <w:rFonts w:cs="Arial"/>
          <w:color w:val="auto"/>
          <w:szCs w:val="21"/>
          <w:highlight w:val="none"/>
        </w:rPr>
        <w:t>；</w:t>
      </w:r>
    </w:p>
    <w:p>
      <w:pPr>
        <w:adjustRightInd w:val="0"/>
        <w:spacing w:line="360" w:lineRule="auto"/>
        <w:ind w:firstLine="420" w:firstLineChars="200"/>
        <w:rPr>
          <w:rFonts w:cs="Arial"/>
          <w:color w:val="auto"/>
          <w:szCs w:val="21"/>
          <w:highlight w:val="none"/>
        </w:rPr>
      </w:pPr>
      <w:r>
        <w:rPr>
          <w:rFonts w:cs="Arial"/>
          <w:color w:val="auto"/>
          <w:szCs w:val="21"/>
          <w:highlight w:val="none"/>
        </w:rPr>
        <w:t>分包金额：</w:t>
      </w:r>
      <w:r>
        <w:rPr>
          <w:rFonts w:hint="eastAsia" w:cs="Arial"/>
          <w:color w:val="auto"/>
          <w:szCs w:val="21"/>
          <w:highlight w:val="none"/>
          <w:u w:val="single"/>
          <w:lang w:val="en-US" w:eastAsia="zh-CN"/>
        </w:rPr>
        <w:t xml:space="preserve">  </w:t>
      </w:r>
      <w:r>
        <w:rPr>
          <w:rFonts w:hint="eastAsia" w:cs="Arial"/>
          <w:color w:val="auto"/>
          <w:szCs w:val="21"/>
          <w:highlight w:val="none"/>
          <w:u w:val="single"/>
        </w:rPr>
        <w:t>/</w:t>
      </w:r>
      <w:r>
        <w:rPr>
          <w:rFonts w:hint="eastAsia" w:cs="Arial"/>
          <w:color w:val="auto"/>
          <w:szCs w:val="21"/>
          <w:highlight w:val="none"/>
          <w:u w:val="single"/>
          <w:lang w:val="en-US" w:eastAsia="zh-CN"/>
        </w:rPr>
        <w:t xml:space="preserve">  </w:t>
      </w:r>
      <w:r>
        <w:rPr>
          <w:rFonts w:cs="Arial"/>
          <w:color w:val="auto"/>
          <w:szCs w:val="21"/>
          <w:highlight w:val="none"/>
        </w:rPr>
        <w:t>；</w:t>
      </w:r>
    </w:p>
    <w:p>
      <w:pPr>
        <w:adjustRightInd w:val="0"/>
        <w:spacing w:line="360" w:lineRule="auto"/>
        <w:ind w:firstLine="420" w:firstLineChars="200"/>
        <w:rPr>
          <w:rFonts w:cs="Arial"/>
          <w:color w:val="auto"/>
          <w:szCs w:val="21"/>
          <w:highlight w:val="none"/>
        </w:rPr>
      </w:pPr>
      <w:r>
        <w:rPr>
          <w:rFonts w:cs="Arial"/>
          <w:color w:val="auto"/>
          <w:szCs w:val="21"/>
          <w:highlight w:val="none"/>
        </w:rPr>
        <w:t>接受分包的人：</w:t>
      </w:r>
      <w:r>
        <w:rPr>
          <w:rFonts w:hint="eastAsia" w:cs="Arial"/>
          <w:color w:val="auto"/>
          <w:szCs w:val="21"/>
          <w:highlight w:val="none"/>
          <w:u w:val="single"/>
          <w:lang w:val="en-US" w:eastAsia="zh-CN"/>
        </w:rPr>
        <w:t xml:space="preserve">  </w:t>
      </w:r>
      <w:r>
        <w:rPr>
          <w:rFonts w:hint="eastAsia" w:cs="Arial"/>
          <w:color w:val="auto"/>
          <w:szCs w:val="21"/>
          <w:highlight w:val="none"/>
          <w:u w:val="single"/>
        </w:rPr>
        <w:t>/</w:t>
      </w:r>
      <w:r>
        <w:rPr>
          <w:rFonts w:hint="eastAsia" w:cs="Arial"/>
          <w:color w:val="auto"/>
          <w:szCs w:val="21"/>
          <w:highlight w:val="none"/>
          <w:u w:val="single"/>
          <w:lang w:val="en-US" w:eastAsia="zh-CN"/>
        </w:rPr>
        <w:t xml:space="preserve">  </w:t>
      </w:r>
      <w:r>
        <w:rPr>
          <w:rFonts w:cs="Arial"/>
          <w:color w:val="auto"/>
          <w:szCs w:val="21"/>
          <w:highlight w:val="none"/>
        </w:rPr>
        <w:t>；</w:t>
      </w:r>
    </w:p>
    <w:p>
      <w:pPr>
        <w:adjustRightInd w:val="0"/>
        <w:spacing w:line="360" w:lineRule="auto"/>
        <w:ind w:firstLine="420" w:firstLineChars="200"/>
        <w:rPr>
          <w:rFonts w:cs="Arial"/>
          <w:color w:val="auto"/>
          <w:szCs w:val="21"/>
          <w:highlight w:val="none"/>
        </w:rPr>
      </w:pPr>
      <w:r>
        <w:rPr>
          <w:rFonts w:cs="Arial"/>
          <w:color w:val="auto"/>
          <w:szCs w:val="21"/>
          <w:highlight w:val="none"/>
        </w:rPr>
        <w:t>接受分包的人不得再次分包。分包后不能解除乙方履行本合同的责任和义务，接受分包的人与乙方共同对甲方连带承担合同的责任和义务。</w:t>
      </w:r>
    </w:p>
    <w:p>
      <w:pPr>
        <w:pStyle w:val="5"/>
        <w:spacing w:before="120"/>
        <w:ind w:firstLine="422"/>
        <w:rPr>
          <w:rFonts w:cs="Arial"/>
          <w:color w:val="auto"/>
          <w:szCs w:val="21"/>
          <w:highlight w:val="none"/>
        </w:rPr>
      </w:pPr>
      <w:r>
        <w:rPr>
          <w:rFonts w:cs="Arial"/>
          <w:color w:val="auto"/>
          <w:szCs w:val="21"/>
          <w:highlight w:val="none"/>
        </w:rPr>
        <w:t>十</w:t>
      </w:r>
      <w:r>
        <w:rPr>
          <w:rFonts w:hint="eastAsia" w:cs="Arial"/>
          <w:color w:val="auto"/>
          <w:szCs w:val="21"/>
          <w:highlight w:val="none"/>
        </w:rPr>
        <w:t>五</w:t>
      </w:r>
      <w:r>
        <w:rPr>
          <w:rFonts w:cs="Arial"/>
          <w:color w:val="auto"/>
          <w:szCs w:val="21"/>
          <w:highlight w:val="none"/>
        </w:rPr>
        <w:t>、合同变更</w:t>
      </w:r>
    </w:p>
    <w:p>
      <w:pPr>
        <w:adjustRightInd w:val="0"/>
        <w:spacing w:line="360" w:lineRule="auto"/>
        <w:ind w:firstLine="420" w:firstLineChars="200"/>
        <w:rPr>
          <w:rFonts w:cs="Arial"/>
          <w:color w:val="auto"/>
          <w:szCs w:val="21"/>
          <w:highlight w:val="none"/>
        </w:rPr>
      </w:pPr>
      <w:r>
        <w:rPr>
          <w:rFonts w:cs="Arial"/>
          <w:color w:val="auto"/>
          <w:szCs w:val="21"/>
          <w:highlight w:val="none"/>
        </w:rPr>
        <w:t>1. 甲方和乙方都不得擅自变更本合同，但合同继续履行将损害国家和社会公共利益的除外。如必须对合同条款进行改动时，当事人双方须共同签署书面文件，作为合同的补充，并报同级政府采购监督管理部门备案。</w:t>
      </w:r>
    </w:p>
    <w:p>
      <w:pPr>
        <w:adjustRightInd w:val="0"/>
        <w:spacing w:line="360" w:lineRule="auto"/>
        <w:ind w:firstLine="420" w:firstLineChars="200"/>
        <w:rPr>
          <w:rFonts w:cs="Arial"/>
          <w:color w:val="auto"/>
          <w:szCs w:val="21"/>
          <w:highlight w:val="none"/>
        </w:rPr>
      </w:pPr>
      <w:r>
        <w:rPr>
          <w:rFonts w:cs="Arial"/>
          <w:color w:val="auto"/>
          <w:szCs w:val="21"/>
          <w:highlight w:val="none"/>
        </w:rPr>
        <w:t>2. 有下列情形之一的，双方协商一致可以变更合同：</w:t>
      </w:r>
    </w:p>
    <w:p>
      <w:pPr>
        <w:adjustRightInd w:val="0"/>
        <w:spacing w:line="360" w:lineRule="auto"/>
        <w:ind w:firstLine="420" w:firstLineChars="200"/>
        <w:rPr>
          <w:rFonts w:cs="Arial"/>
          <w:color w:val="auto"/>
          <w:szCs w:val="21"/>
          <w:highlight w:val="none"/>
        </w:rPr>
      </w:pPr>
      <w:r>
        <w:rPr>
          <w:rFonts w:cs="Arial"/>
          <w:color w:val="auto"/>
          <w:szCs w:val="21"/>
          <w:highlight w:val="none"/>
        </w:rPr>
        <w:t>（1）发生不可预见的紧急情况，继续按照原合同履行不能实现采购目的，又不能从其他供应商处采购；</w:t>
      </w:r>
    </w:p>
    <w:p>
      <w:pPr>
        <w:adjustRightInd w:val="0"/>
        <w:spacing w:line="360" w:lineRule="auto"/>
        <w:ind w:firstLine="420" w:firstLineChars="200"/>
        <w:rPr>
          <w:rFonts w:cs="Arial"/>
          <w:color w:val="auto"/>
          <w:szCs w:val="21"/>
          <w:highlight w:val="none"/>
        </w:rPr>
      </w:pPr>
      <w:r>
        <w:rPr>
          <w:rFonts w:cs="Arial"/>
          <w:color w:val="auto"/>
          <w:szCs w:val="21"/>
          <w:highlight w:val="none"/>
        </w:rPr>
        <w:t>（2）因甲方的过错导致不能实现采购目的，重新采购费用和违约金、违约损失赔偿金额占合同金额比例过大，但违背社会公共利益的除外；</w:t>
      </w:r>
    </w:p>
    <w:p>
      <w:pPr>
        <w:adjustRightInd w:val="0"/>
        <w:spacing w:line="360" w:lineRule="auto"/>
        <w:ind w:firstLine="420" w:firstLineChars="200"/>
        <w:rPr>
          <w:rFonts w:cs="Arial"/>
          <w:color w:val="auto"/>
          <w:szCs w:val="21"/>
          <w:highlight w:val="none"/>
        </w:rPr>
      </w:pPr>
      <w:r>
        <w:rPr>
          <w:rFonts w:cs="Arial"/>
          <w:color w:val="auto"/>
          <w:szCs w:val="21"/>
          <w:highlight w:val="none"/>
        </w:rPr>
        <w:t>（3）属于合同主要条款确定的事项，但变更不改变合同实质性内容；</w:t>
      </w:r>
    </w:p>
    <w:p>
      <w:pPr>
        <w:adjustRightInd w:val="0"/>
        <w:spacing w:line="360" w:lineRule="auto"/>
        <w:ind w:firstLine="420" w:firstLineChars="200"/>
        <w:rPr>
          <w:rFonts w:cs="Arial"/>
          <w:color w:val="auto"/>
          <w:szCs w:val="21"/>
          <w:highlight w:val="none"/>
        </w:rPr>
      </w:pPr>
      <w:r>
        <w:rPr>
          <w:rFonts w:cs="Arial"/>
          <w:color w:val="auto"/>
          <w:szCs w:val="21"/>
          <w:highlight w:val="none"/>
        </w:rPr>
        <w:t>（4）合同主要条款以外的内容；</w:t>
      </w:r>
    </w:p>
    <w:p>
      <w:pPr>
        <w:adjustRightInd w:val="0"/>
        <w:spacing w:line="360" w:lineRule="auto"/>
        <w:ind w:firstLine="420" w:firstLineChars="200"/>
        <w:rPr>
          <w:rFonts w:cs="Arial"/>
          <w:color w:val="auto"/>
          <w:szCs w:val="21"/>
          <w:highlight w:val="none"/>
        </w:rPr>
      </w:pPr>
      <w:r>
        <w:rPr>
          <w:rFonts w:cs="Arial"/>
          <w:color w:val="auto"/>
          <w:szCs w:val="21"/>
          <w:highlight w:val="none"/>
        </w:rPr>
        <w:t>（5）法律、法规规定可以变更合同的其他情形。</w:t>
      </w:r>
    </w:p>
    <w:p>
      <w:pPr>
        <w:adjustRightInd w:val="0"/>
        <w:spacing w:line="360" w:lineRule="auto"/>
        <w:ind w:firstLine="420" w:firstLineChars="200"/>
        <w:rPr>
          <w:rFonts w:cs="Arial"/>
          <w:color w:val="auto"/>
          <w:szCs w:val="21"/>
          <w:highlight w:val="none"/>
        </w:rPr>
      </w:pPr>
      <w:r>
        <w:rPr>
          <w:rFonts w:cs="Arial"/>
          <w:color w:val="auto"/>
          <w:szCs w:val="21"/>
          <w:highlight w:val="none"/>
        </w:rPr>
        <w:t>当事人协商一致变更合同的，应当报同级财政部门备案。</w:t>
      </w:r>
    </w:p>
    <w:p>
      <w:pPr>
        <w:pStyle w:val="5"/>
        <w:spacing w:before="120"/>
        <w:ind w:firstLine="422"/>
        <w:rPr>
          <w:rFonts w:cs="Arial"/>
          <w:color w:val="auto"/>
          <w:szCs w:val="21"/>
          <w:highlight w:val="none"/>
        </w:rPr>
      </w:pPr>
      <w:r>
        <w:rPr>
          <w:rFonts w:cs="Arial"/>
          <w:color w:val="auto"/>
          <w:szCs w:val="21"/>
          <w:highlight w:val="none"/>
        </w:rPr>
        <w:t>十八、通知</w:t>
      </w:r>
    </w:p>
    <w:p>
      <w:pPr>
        <w:adjustRightInd w:val="0"/>
        <w:spacing w:line="360" w:lineRule="auto"/>
        <w:ind w:firstLine="420" w:firstLineChars="200"/>
        <w:rPr>
          <w:rFonts w:cs="Arial"/>
          <w:color w:val="auto"/>
          <w:szCs w:val="21"/>
          <w:highlight w:val="none"/>
        </w:rPr>
      </w:pPr>
      <w:r>
        <w:rPr>
          <w:rFonts w:cs="Arial"/>
          <w:color w:val="auto"/>
          <w:szCs w:val="21"/>
          <w:highlight w:val="none"/>
        </w:rPr>
        <w:t>本合同任何一方给另一方的通知，都应以书面形式发送，而另一方也应以书面形式确认并发送到对方明确的地址。</w:t>
      </w:r>
    </w:p>
    <w:p>
      <w:pPr>
        <w:pStyle w:val="5"/>
        <w:spacing w:before="120"/>
        <w:ind w:firstLine="422"/>
        <w:rPr>
          <w:rFonts w:cs="Arial"/>
          <w:color w:val="auto"/>
          <w:szCs w:val="21"/>
          <w:highlight w:val="none"/>
        </w:rPr>
      </w:pPr>
      <w:r>
        <w:rPr>
          <w:rFonts w:cs="Arial"/>
          <w:color w:val="auto"/>
          <w:szCs w:val="21"/>
          <w:highlight w:val="none"/>
        </w:rPr>
        <w:t>十</w:t>
      </w:r>
      <w:r>
        <w:rPr>
          <w:rFonts w:hint="eastAsia" w:cs="Arial"/>
          <w:color w:val="auto"/>
          <w:szCs w:val="21"/>
          <w:highlight w:val="none"/>
        </w:rPr>
        <w:t>六</w:t>
      </w:r>
      <w:r>
        <w:rPr>
          <w:rFonts w:cs="Arial"/>
          <w:color w:val="auto"/>
          <w:szCs w:val="21"/>
          <w:highlight w:val="none"/>
        </w:rPr>
        <w:t>、计量单位</w:t>
      </w:r>
    </w:p>
    <w:p>
      <w:pPr>
        <w:adjustRightInd w:val="0"/>
        <w:spacing w:line="360" w:lineRule="auto"/>
        <w:ind w:firstLine="420" w:firstLineChars="200"/>
        <w:rPr>
          <w:rFonts w:cs="Arial"/>
          <w:color w:val="auto"/>
          <w:szCs w:val="21"/>
          <w:highlight w:val="none"/>
        </w:rPr>
      </w:pPr>
      <w:r>
        <w:rPr>
          <w:rFonts w:cs="Arial"/>
          <w:color w:val="auto"/>
          <w:szCs w:val="21"/>
          <w:highlight w:val="none"/>
        </w:rPr>
        <w:t>除技术规范中另有规定外，计量单位均使用国家法定计量单位。</w:t>
      </w:r>
    </w:p>
    <w:p>
      <w:pPr>
        <w:pStyle w:val="5"/>
        <w:spacing w:before="120"/>
        <w:ind w:firstLine="422"/>
        <w:rPr>
          <w:rFonts w:cs="Arial"/>
          <w:color w:val="auto"/>
          <w:szCs w:val="21"/>
          <w:highlight w:val="none"/>
        </w:rPr>
      </w:pPr>
      <w:r>
        <w:rPr>
          <w:rFonts w:hint="eastAsia" w:cs="Arial"/>
          <w:color w:val="auto"/>
          <w:szCs w:val="21"/>
          <w:highlight w:val="none"/>
        </w:rPr>
        <w:t>十七</w:t>
      </w:r>
      <w:r>
        <w:rPr>
          <w:rFonts w:cs="Arial"/>
          <w:color w:val="auto"/>
          <w:szCs w:val="21"/>
          <w:highlight w:val="none"/>
        </w:rPr>
        <w:t>、不可抗力</w:t>
      </w:r>
    </w:p>
    <w:p>
      <w:pPr>
        <w:adjustRightInd w:val="0"/>
        <w:spacing w:line="360" w:lineRule="auto"/>
        <w:ind w:firstLine="420" w:firstLineChars="200"/>
        <w:rPr>
          <w:rFonts w:cs="Arial"/>
          <w:color w:val="auto"/>
          <w:szCs w:val="21"/>
          <w:highlight w:val="none"/>
        </w:rPr>
      </w:pPr>
      <w:r>
        <w:rPr>
          <w:rFonts w:cs="Arial"/>
          <w:color w:val="auto"/>
          <w:szCs w:val="21"/>
          <w:highlight w:val="none"/>
        </w:rPr>
        <w:t>1. 如果双方中任何一方遭遇法律规定的不可抗力，致使合同履行受阻时，履行合同的期限应予延长，延长的期限应相当于不可抗力所影响的时间。</w:t>
      </w:r>
    </w:p>
    <w:p>
      <w:pPr>
        <w:adjustRightInd w:val="0"/>
        <w:spacing w:line="360" w:lineRule="auto"/>
        <w:ind w:firstLine="420" w:firstLineChars="200"/>
        <w:rPr>
          <w:rFonts w:cs="Arial"/>
          <w:color w:val="auto"/>
          <w:szCs w:val="21"/>
          <w:highlight w:val="none"/>
        </w:rPr>
      </w:pPr>
      <w:r>
        <w:rPr>
          <w:rFonts w:cs="Arial"/>
          <w:color w:val="auto"/>
          <w:szCs w:val="21"/>
          <w:highlight w:val="none"/>
        </w:rPr>
        <w:t>2. 受事故影响的一方应在不可抗力的事故发生后尽快书面形式通知另一方，并在事故发生后合同规定时间内，将有关部门出具的证明文件送达另一方。</w:t>
      </w:r>
    </w:p>
    <w:p>
      <w:pPr>
        <w:adjustRightInd w:val="0"/>
        <w:spacing w:line="360" w:lineRule="auto"/>
        <w:ind w:firstLine="420" w:firstLineChars="200"/>
        <w:rPr>
          <w:rFonts w:cs="Arial"/>
          <w:color w:val="auto"/>
          <w:szCs w:val="21"/>
          <w:highlight w:val="none"/>
        </w:rPr>
      </w:pPr>
      <w:r>
        <w:rPr>
          <w:rFonts w:cs="Arial"/>
          <w:color w:val="auto"/>
          <w:szCs w:val="21"/>
          <w:highlight w:val="none"/>
        </w:rPr>
        <w:t>3. 不可抗力使合同的某些内容有变更必要的，双方应通过协商达成进一步履行合同的协议，因不可抗力致使合同不能履行的，合同终止。</w:t>
      </w:r>
    </w:p>
    <w:p>
      <w:pPr>
        <w:pStyle w:val="5"/>
        <w:spacing w:before="120"/>
        <w:ind w:firstLine="422"/>
        <w:rPr>
          <w:rFonts w:cs="Arial"/>
          <w:color w:val="auto"/>
          <w:szCs w:val="21"/>
          <w:highlight w:val="none"/>
        </w:rPr>
      </w:pPr>
      <w:r>
        <w:rPr>
          <w:rFonts w:hint="eastAsia" w:cs="Arial"/>
          <w:color w:val="auto"/>
          <w:szCs w:val="21"/>
          <w:highlight w:val="none"/>
        </w:rPr>
        <w:t>十八</w:t>
      </w:r>
      <w:r>
        <w:rPr>
          <w:rFonts w:cs="Arial"/>
          <w:color w:val="auto"/>
          <w:szCs w:val="21"/>
          <w:highlight w:val="none"/>
        </w:rPr>
        <w:t>、适用</w:t>
      </w:r>
    </w:p>
    <w:p>
      <w:pPr>
        <w:adjustRightInd w:val="0"/>
        <w:spacing w:line="360" w:lineRule="auto"/>
        <w:ind w:firstLine="420" w:firstLineChars="200"/>
        <w:rPr>
          <w:rFonts w:cs="Arial"/>
          <w:color w:val="auto"/>
          <w:szCs w:val="21"/>
          <w:highlight w:val="none"/>
        </w:rPr>
      </w:pPr>
      <w:r>
        <w:rPr>
          <w:rFonts w:cs="Arial"/>
          <w:color w:val="auto"/>
          <w:szCs w:val="21"/>
          <w:highlight w:val="none"/>
        </w:rPr>
        <w:t>本合同应按照《中华人民共和国政府采购法》《中华人民共和国民法典》《浙江省政府采购合同暂行办法》等进行解释。</w:t>
      </w:r>
    </w:p>
    <w:p>
      <w:pPr>
        <w:pStyle w:val="5"/>
        <w:spacing w:before="120"/>
        <w:ind w:firstLine="422"/>
        <w:rPr>
          <w:rFonts w:cs="Arial"/>
          <w:color w:val="auto"/>
          <w:szCs w:val="21"/>
          <w:highlight w:val="none"/>
        </w:rPr>
      </w:pPr>
      <w:r>
        <w:rPr>
          <w:rFonts w:cs="Arial"/>
          <w:color w:val="auto"/>
          <w:szCs w:val="21"/>
          <w:highlight w:val="none"/>
        </w:rPr>
        <w:t>二</w:t>
      </w:r>
      <w:r>
        <w:rPr>
          <w:rFonts w:hint="eastAsia" w:cs="Arial"/>
          <w:color w:val="auto"/>
          <w:szCs w:val="21"/>
          <w:highlight w:val="none"/>
        </w:rPr>
        <w:t>九</w:t>
      </w:r>
      <w:r>
        <w:rPr>
          <w:rFonts w:cs="Arial"/>
          <w:color w:val="auto"/>
          <w:szCs w:val="21"/>
          <w:highlight w:val="none"/>
        </w:rPr>
        <w:t>、合同的生效及其他</w:t>
      </w:r>
    </w:p>
    <w:p>
      <w:pPr>
        <w:numPr>
          <w:ilvl w:val="0"/>
          <w:numId w:val="6"/>
        </w:numPr>
        <w:spacing w:line="360" w:lineRule="auto"/>
        <w:ind w:firstLine="420" w:firstLineChars="200"/>
        <w:rPr>
          <w:rFonts w:cs="Arial"/>
          <w:color w:val="auto"/>
          <w:szCs w:val="21"/>
          <w:highlight w:val="none"/>
        </w:rPr>
      </w:pPr>
      <w:r>
        <w:rPr>
          <w:rFonts w:cs="Arial"/>
          <w:color w:val="auto"/>
          <w:szCs w:val="21"/>
          <w:highlight w:val="none"/>
        </w:rPr>
        <w:t>政府采购项目的采购合同内容的确定应以采购文件和响应文件为基础，不得违背其实质性内容。</w:t>
      </w:r>
    </w:p>
    <w:p>
      <w:pPr>
        <w:numPr>
          <w:ilvl w:val="0"/>
          <w:numId w:val="6"/>
        </w:numPr>
        <w:spacing w:line="360" w:lineRule="auto"/>
        <w:ind w:firstLine="420" w:firstLineChars="200"/>
        <w:rPr>
          <w:rFonts w:cs="Arial"/>
          <w:color w:val="auto"/>
          <w:szCs w:val="21"/>
          <w:highlight w:val="none"/>
        </w:rPr>
      </w:pPr>
      <w:r>
        <w:rPr>
          <w:rFonts w:hint="eastAsia" w:cs="Arial"/>
          <w:color w:val="auto"/>
          <w:szCs w:val="21"/>
          <w:highlight w:val="none"/>
        </w:rPr>
        <w:t>合同经双方法定代表人或授权代表人签字加盖单位公章或合同专用章后方为有效</w:t>
      </w:r>
      <w:r>
        <w:rPr>
          <w:rFonts w:cs="Arial"/>
          <w:color w:val="auto"/>
          <w:szCs w:val="21"/>
          <w:highlight w:val="none"/>
        </w:rPr>
        <w:t>。授权代表签署的后附法定代表人授权书。</w:t>
      </w:r>
    </w:p>
    <w:p>
      <w:pPr>
        <w:pStyle w:val="5"/>
        <w:spacing w:before="120"/>
        <w:ind w:firstLine="422"/>
        <w:rPr>
          <w:rFonts w:cs="Arial"/>
          <w:color w:val="auto"/>
          <w:szCs w:val="21"/>
          <w:highlight w:val="none"/>
        </w:rPr>
      </w:pPr>
      <w:r>
        <w:rPr>
          <w:rFonts w:cs="Arial"/>
          <w:color w:val="auto"/>
          <w:szCs w:val="21"/>
          <w:highlight w:val="none"/>
        </w:rPr>
        <w:t>二十、合同附件（如有）</w:t>
      </w:r>
    </w:p>
    <w:p>
      <w:pPr>
        <w:pStyle w:val="5"/>
        <w:spacing w:before="120"/>
        <w:ind w:firstLine="422"/>
        <w:rPr>
          <w:rFonts w:cs="Arial"/>
          <w:color w:val="auto"/>
          <w:szCs w:val="21"/>
          <w:highlight w:val="none"/>
        </w:rPr>
      </w:pPr>
      <w:r>
        <w:rPr>
          <w:rFonts w:cs="Arial"/>
          <w:color w:val="auto"/>
          <w:szCs w:val="21"/>
          <w:highlight w:val="none"/>
        </w:rPr>
        <w:t>二十</w:t>
      </w:r>
      <w:r>
        <w:rPr>
          <w:rFonts w:hint="eastAsia" w:cs="Arial"/>
          <w:color w:val="auto"/>
          <w:szCs w:val="21"/>
          <w:highlight w:val="none"/>
        </w:rPr>
        <w:t>一</w:t>
      </w:r>
      <w:r>
        <w:rPr>
          <w:rFonts w:cs="Arial"/>
          <w:color w:val="auto"/>
          <w:szCs w:val="21"/>
          <w:highlight w:val="none"/>
        </w:rPr>
        <w:t>、合同份数</w:t>
      </w:r>
    </w:p>
    <w:p>
      <w:pPr>
        <w:ind w:firstLine="420" w:firstLineChars="200"/>
        <w:rPr>
          <w:rFonts w:cs="Arial"/>
          <w:color w:val="auto"/>
          <w:szCs w:val="21"/>
          <w:highlight w:val="none"/>
        </w:rPr>
      </w:pPr>
      <w:r>
        <w:rPr>
          <w:rFonts w:cs="Arial"/>
          <w:color w:val="auto"/>
          <w:szCs w:val="21"/>
          <w:highlight w:val="none"/>
        </w:rPr>
        <w:t>本合同一式五份，具有同等法律效力。甲方、乙方双方各执二份，</w:t>
      </w:r>
      <w:r>
        <w:rPr>
          <w:rFonts w:hint="eastAsia" w:cs="Arial"/>
          <w:color w:val="auto"/>
          <w:szCs w:val="21"/>
          <w:highlight w:val="none"/>
        </w:rPr>
        <w:t>代理机构</w:t>
      </w:r>
      <w:r>
        <w:rPr>
          <w:rFonts w:cs="Arial"/>
          <w:color w:val="auto"/>
          <w:szCs w:val="21"/>
          <w:highlight w:val="none"/>
        </w:rPr>
        <w:t>备案一份。</w:t>
      </w:r>
    </w:p>
    <w:p>
      <w:pPr>
        <w:rPr>
          <w:rFonts w:hint="eastAsia" w:cs="Arial"/>
          <w:color w:val="auto"/>
          <w:szCs w:val="21"/>
          <w:highlight w:val="none"/>
          <w:lang w:val="en-US" w:eastAsia="zh-CN"/>
        </w:rPr>
      </w:pPr>
    </w:p>
    <w:p>
      <w:pPr>
        <w:rPr>
          <w:rFonts w:hint="eastAsia" w:cs="Arial"/>
          <w:color w:val="auto"/>
          <w:szCs w:val="21"/>
          <w:highlight w:val="none"/>
          <w:lang w:val="en-US" w:eastAsia="zh-CN"/>
        </w:rPr>
      </w:pPr>
    </w:p>
    <w:p>
      <w:pPr>
        <w:rPr>
          <w:rFonts w:hint="eastAsia" w:cs="Arial"/>
          <w:color w:val="auto"/>
          <w:szCs w:val="21"/>
          <w:highlight w:val="none"/>
          <w:lang w:val="en-US" w:eastAsia="zh-CN"/>
        </w:rPr>
      </w:pPr>
    </w:p>
    <w:tbl>
      <w:tblPr>
        <w:tblStyle w:val="54"/>
        <w:tblW w:w="0" w:type="auto"/>
        <w:tblInd w:w="0" w:type="dxa"/>
        <w:tblLayout w:type="fixed"/>
        <w:tblCellMar>
          <w:top w:w="0" w:type="dxa"/>
          <w:left w:w="108" w:type="dxa"/>
          <w:bottom w:w="0" w:type="dxa"/>
          <w:right w:w="108" w:type="dxa"/>
        </w:tblCellMar>
      </w:tblPr>
      <w:tblGrid>
        <w:gridCol w:w="4700"/>
        <w:gridCol w:w="4701"/>
      </w:tblGrid>
      <w:tr>
        <w:tblPrEx>
          <w:tblCellMar>
            <w:top w:w="0" w:type="dxa"/>
            <w:left w:w="108" w:type="dxa"/>
            <w:bottom w:w="0" w:type="dxa"/>
            <w:right w:w="108" w:type="dxa"/>
          </w:tblCellMar>
        </w:tblPrEx>
        <w:trPr>
          <w:trHeight w:val="400" w:hRule="atLeast"/>
        </w:trPr>
        <w:tc>
          <w:tcPr>
            <w:tcW w:w="4700" w:type="dxa"/>
            <w:noWrap w:val="0"/>
            <w:vAlign w:val="center"/>
          </w:tcPr>
          <w:p>
            <w:pPr>
              <w:rPr>
                <w:rFonts w:cs="Arial"/>
                <w:color w:val="auto"/>
                <w:szCs w:val="21"/>
                <w:highlight w:val="none"/>
              </w:rPr>
            </w:pPr>
            <w:r>
              <w:rPr>
                <w:rFonts w:cs="Arial"/>
                <w:color w:val="auto"/>
                <w:szCs w:val="21"/>
                <w:highlight w:val="none"/>
              </w:rPr>
              <w:t xml:space="preserve">甲方（单位章）： </w:t>
            </w:r>
          </w:p>
        </w:tc>
        <w:tc>
          <w:tcPr>
            <w:tcW w:w="4701" w:type="dxa"/>
            <w:noWrap w:val="0"/>
            <w:vAlign w:val="center"/>
          </w:tcPr>
          <w:p>
            <w:pPr>
              <w:rPr>
                <w:rFonts w:cs="Arial"/>
                <w:color w:val="auto"/>
                <w:szCs w:val="21"/>
                <w:highlight w:val="none"/>
              </w:rPr>
            </w:pPr>
            <w:r>
              <w:rPr>
                <w:rFonts w:cs="Arial"/>
                <w:color w:val="auto"/>
                <w:szCs w:val="21"/>
                <w:highlight w:val="none"/>
              </w:rPr>
              <w:t>乙方（单位章）：</w:t>
            </w:r>
          </w:p>
        </w:tc>
      </w:tr>
      <w:tr>
        <w:tblPrEx>
          <w:tblCellMar>
            <w:top w:w="0" w:type="dxa"/>
            <w:left w:w="108" w:type="dxa"/>
            <w:bottom w:w="0" w:type="dxa"/>
            <w:right w:w="108" w:type="dxa"/>
          </w:tblCellMar>
        </w:tblPrEx>
        <w:trPr>
          <w:trHeight w:val="400" w:hRule="atLeast"/>
        </w:trPr>
        <w:tc>
          <w:tcPr>
            <w:tcW w:w="4700" w:type="dxa"/>
            <w:noWrap w:val="0"/>
            <w:vAlign w:val="center"/>
          </w:tcPr>
          <w:p>
            <w:pPr>
              <w:rPr>
                <w:rFonts w:cs="Arial"/>
                <w:color w:val="auto"/>
                <w:szCs w:val="21"/>
                <w:highlight w:val="none"/>
              </w:rPr>
            </w:pPr>
            <w:r>
              <w:rPr>
                <w:rFonts w:cs="Arial"/>
                <w:color w:val="auto"/>
                <w:szCs w:val="21"/>
                <w:highlight w:val="none"/>
              </w:rPr>
              <w:t>法定代表人（签字或盖章）：</w:t>
            </w:r>
          </w:p>
        </w:tc>
        <w:tc>
          <w:tcPr>
            <w:tcW w:w="4701" w:type="dxa"/>
            <w:noWrap w:val="0"/>
            <w:vAlign w:val="center"/>
          </w:tcPr>
          <w:p>
            <w:pPr>
              <w:rPr>
                <w:rFonts w:cs="Arial"/>
                <w:color w:val="auto"/>
                <w:szCs w:val="21"/>
                <w:highlight w:val="none"/>
              </w:rPr>
            </w:pPr>
            <w:r>
              <w:rPr>
                <w:rFonts w:cs="Arial"/>
                <w:color w:val="auto"/>
                <w:szCs w:val="21"/>
                <w:highlight w:val="none"/>
              </w:rPr>
              <w:t>法定代表人（签字或盖章）：</w:t>
            </w:r>
          </w:p>
        </w:tc>
      </w:tr>
      <w:tr>
        <w:tblPrEx>
          <w:tblCellMar>
            <w:top w:w="0" w:type="dxa"/>
            <w:left w:w="108" w:type="dxa"/>
            <w:bottom w:w="0" w:type="dxa"/>
            <w:right w:w="108" w:type="dxa"/>
          </w:tblCellMar>
        </w:tblPrEx>
        <w:trPr>
          <w:trHeight w:val="400" w:hRule="atLeast"/>
        </w:trPr>
        <w:tc>
          <w:tcPr>
            <w:tcW w:w="4700" w:type="dxa"/>
            <w:noWrap w:val="0"/>
            <w:vAlign w:val="center"/>
          </w:tcPr>
          <w:p>
            <w:pPr>
              <w:rPr>
                <w:rFonts w:cs="Arial"/>
                <w:color w:val="auto"/>
                <w:szCs w:val="21"/>
                <w:highlight w:val="none"/>
              </w:rPr>
            </w:pPr>
            <w:r>
              <w:rPr>
                <w:rFonts w:cs="Arial"/>
                <w:color w:val="auto"/>
                <w:szCs w:val="21"/>
                <w:highlight w:val="none"/>
              </w:rPr>
              <w:t>或授权代表（签字）：</w:t>
            </w:r>
          </w:p>
        </w:tc>
        <w:tc>
          <w:tcPr>
            <w:tcW w:w="4701" w:type="dxa"/>
            <w:noWrap w:val="0"/>
            <w:vAlign w:val="center"/>
          </w:tcPr>
          <w:p>
            <w:pPr>
              <w:rPr>
                <w:rFonts w:cs="Arial"/>
                <w:color w:val="auto"/>
                <w:szCs w:val="21"/>
                <w:highlight w:val="none"/>
              </w:rPr>
            </w:pPr>
            <w:r>
              <w:rPr>
                <w:rFonts w:cs="Arial"/>
                <w:color w:val="auto"/>
                <w:szCs w:val="21"/>
                <w:highlight w:val="none"/>
              </w:rPr>
              <w:t>或授权代表（签字）：</w:t>
            </w:r>
          </w:p>
        </w:tc>
      </w:tr>
      <w:tr>
        <w:tblPrEx>
          <w:tblCellMar>
            <w:top w:w="0" w:type="dxa"/>
            <w:left w:w="108" w:type="dxa"/>
            <w:bottom w:w="0" w:type="dxa"/>
            <w:right w:w="108" w:type="dxa"/>
          </w:tblCellMar>
        </w:tblPrEx>
        <w:trPr>
          <w:trHeight w:val="400" w:hRule="atLeast"/>
        </w:trPr>
        <w:tc>
          <w:tcPr>
            <w:tcW w:w="4700" w:type="dxa"/>
            <w:noWrap w:val="0"/>
            <w:vAlign w:val="center"/>
          </w:tcPr>
          <w:p>
            <w:pPr>
              <w:rPr>
                <w:rFonts w:cs="Arial"/>
                <w:color w:val="auto"/>
                <w:szCs w:val="21"/>
                <w:highlight w:val="none"/>
              </w:rPr>
            </w:pPr>
            <w:r>
              <w:rPr>
                <w:rFonts w:cs="Arial"/>
                <w:color w:val="auto"/>
                <w:szCs w:val="21"/>
                <w:highlight w:val="none"/>
              </w:rPr>
              <w:t>地　　址：</w:t>
            </w:r>
          </w:p>
        </w:tc>
        <w:tc>
          <w:tcPr>
            <w:tcW w:w="4701" w:type="dxa"/>
            <w:noWrap w:val="0"/>
            <w:vAlign w:val="center"/>
          </w:tcPr>
          <w:p>
            <w:pPr>
              <w:rPr>
                <w:rFonts w:cs="Arial"/>
                <w:color w:val="auto"/>
                <w:szCs w:val="21"/>
                <w:highlight w:val="none"/>
              </w:rPr>
            </w:pPr>
            <w:r>
              <w:rPr>
                <w:rFonts w:cs="Arial"/>
                <w:color w:val="auto"/>
                <w:szCs w:val="21"/>
                <w:highlight w:val="none"/>
              </w:rPr>
              <w:t>地　　址：</w:t>
            </w:r>
          </w:p>
        </w:tc>
      </w:tr>
      <w:tr>
        <w:tblPrEx>
          <w:tblCellMar>
            <w:top w:w="0" w:type="dxa"/>
            <w:left w:w="108" w:type="dxa"/>
            <w:bottom w:w="0" w:type="dxa"/>
            <w:right w:w="108" w:type="dxa"/>
          </w:tblCellMar>
        </w:tblPrEx>
        <w:trPr>
          <w:trHeight w:val="400" w:hRule="atLeast"/>
        </w:trPr>
        <w:tc>
          <w:tcPr>
            <w:tcW w:w="4700" w:type="dxa"/>
            <w:noWrap w:val="0"/>
            <w:vAlign w:val="center"/>
          </w:tcPr>
          <w:p>
            <w:pPr>
              <w:rPr>
                <w:rFonts w:cs="Arial"/>
                <w:color w:val="auto"/>
                <w:szCs w:val="21"/>
                <w:highlight w:val="none"/>
              </w:rPr>
            </w:pPr>
            <w:r>
              <w:rPr>
                <w:rFonts w:cs="Arial"/>
                <w:color w:val="auto"/>
                <w:szCs w:val="21"/>
                <w:highlight w:val="none"/>
              </w:rPr>
              <w:t>邮政编码：</w:t>
            </w:r>
          </w:p>
        </w:tc>
        <w:tc>
          <w:tcPr>
            <w:tcW w:w="4701" w:type="dxa"/>
            <w:noWrap w:val="0"/>
            <w:vAlign w:val="center"/>
          </w:tcPr>
          <w:p>
            <w:pPr>
              <w:rPr>
                <w:rFonts w:cs="Arial"/>
                <w:color w:val="auto"/>
                <w:szCs w:val="21"/>
                <w:highlight w:val="none"/>
              </w:rPr>
            </w:pPr>
            <w:r>
              <w:rPr>
                <w:rFonts w:cs="Arial"/>
                <w:color w:val="auto"/>
                <w:szCs w:val="21"/>
                <w:highlight w:val="none"/>
              </w:rPr>
              <w:t>邮政编码：</w:t>
            </w:r>
          </w:p>
        </w:tc>
      </w:tr>
      <w:tr>
        <w:tblPrEx>
          <w:tblCellMar>
            <w:top w:w="0" w:type="dxa"/>
            <w:left w:w="108" w:type="dxa"/>
            <w:bottom w:w="0" w:type="dxa"/>
            <w:right w:w="108" w:type="dxa"/>
          </w:tblCellMar>
        </w:tblPrEx>
        <w:trPr>
          <w:trHeight w:val="400" w:hRule="atLeast"/>
        </w:trPr>
        <w:tc>
          <w:tcPr>
            <w:tcW w:w="4700" w:type="dxa"/>
            <w:noWrap w:val="0"/>
            <w:vAlign w:val="center"/>
          </w:tcPr>
          <w:p>
            <w:pPr>
              <w:rPr>
                <w:rFonts w:cs="Arial"/>
                <w:color w:val="auto"/>
                <w:szCs w:val="21"/>
                <w:highlight w:val="none"/>
              </w:rPr>
            </w:pPr>
            <w:r>
              <w:rPr>
                <w:rFonts w:cs="Arial"/>
                <w:color w:val="auto"/>
                <w:szCs w:val="21"/>
                <w:highlight w:val="none"/>
              </w:rPr>
              <w:t>电　　话：</w:t>
            </w:r>
          </w:p>
        </w:tc>
        <w:tc>
          <w:tcPr>
            <w:tcW w:w="4701" w:type="dxa"/>
            <w:noWrap w:val="0"/>
            <w:vAlign w:val="center"/>
          </w:tcPr>
          <w:p>
            <w:pPr>
              <w:rPr>
                <w:rFonts w:cs="Arial"/>
                <w:color w:val="auto"/>
                <w:szCs w:val="21"/>
                <w:highlight w:val="none"/>
              </w:rPr>
            </w:pPr>
            <w:r>
              <w:rPr>
                <w:rFonts w:cs="Arial"/>
                <w:color w:val="auto"/>
                <w:szCs w:val="21"/>
                <w:highlight w:val="none"/>
              </w:rPr>
              <w:t>电　　话：</w:t>
            </w:r>
          </w:p>
        </w:tc>
      </w:tr>
      <w:tr>
        <w:tblPrEx>
          <w:tblCellMar>
            <w:top w:w="0" w:type="dxa"/>
            <w:left w:w="108" w:type="dxa"/>
            <w:bottom w:w="0" w:type="dxa"/>
            <w:right w:w="108" w:type="dxa"/>
          </w:tblCellMar>
        </w:tblPrEx>
        <w:trPr>
          <w:trHeight w:val="400" w:hRule="atLeast"/>
        </w:trPr>
        <w:tc>
          <w:tcPr>
            <w:tcW w:w="4700" w:type="dxa"/>
            <w:noWrap w:val="0"/>
            <w:vAlign w:val="center"/>
          </w:tcPr>
          <w:p>
            <w:pPr>
              <w:rPr>
                <w:rFonts w:cs="Arial"/>
                <w:color w:val="auto"/>
                <w:szCs w:val="21"/>
                <w:highlight w:val="none"/>
              </w:rPr>
            </w:pPr>
            <w:r>
              <w:rPr>
                <w:rFonts w:cs="Arial"/>
                <w:color w:val="auto"/>
                <w:szCs w:val="21"/>
                <w:highlight w:val="none"/>
              </w:rPr>
              <w:t xml:space="preserve">开户银行： </w:t>
            </w:r>
          </w:p>
        </w:tc>
        <w:tc>
          <w:tcPr>
            <w:tcW w:w="4701" w:type="dxa"/>
            <w:noWrap w:val="0"/>
            <w:vAlign w:val="center"/>
          </w:tcPr>
          <w:p>
            <w:pPr>
              <w:rPr>
                <w:rFonts w:cs="Arial"/>
                <w:color w:val="auto"/>
                <w:szCs w:val="21"/>
                <w:highlight w:val="none"/>
              </w:rPr>
            </w:pPr>
            <w:r>
              <w:rPr>
                <w:rFonts w:cs="Arial"/>
                <w:color w:val="auto"/>
                <w:szCs w:val="21"/>
                <w:highlight w:val="none"/>
              </w:rPr>
              <w:t>开户银行：</w:t>
            </w:r>
          </w:p>
        </w:tc>
      </w:tr>
      <w:tr>
        <w:tblPrEx>
          <w:tblCellMar>
            <w:top w:w="0" w:type="dxa"/>
            <w:left w:w="108" w:type="dxa"/>
            <w:bottom w:w="0" w:type="dxa"/>
            <w:right w:w="108" w:type="dxa"/>
          </w:tblCellMar>
        </w:tblPrEx>
        <w:trPr>
          <w:trHeight w:val="400" w:hRule="atLeast"/>
        </w:trPr>
        <w:tc>
          <w:tcPr>
            <w:tcW w:w="4700" w:type="dxa"/>
            <w:noWrap w:val="0"/>
            <w:vAlign w:val="center"/>
          </w:tcPr>
          <w:p>
            <w:pPr>
              <w:rPr>
                <w:rFonts w:cs="Arial"/>
                <w:color w:val="auto"/>
                <w:szCs w:val="21"/>
                <w:highlight w:val="none"/>
              </w:rPr>
            </w:pPr>
            <w:r>
              <w:rPr>
                <w:rFonts w:cs="Arial"/>
                <w:color w:val="auto"/>
                <w:szCs w:val="21"/>
                <w:highlight w:val="none"/>
              </w:rPr>
              <w:t xml:space="preserve">账　　号： </w:t>
            </w:r>
          </w:p>
        </w:tc>
        <w:tc>
          <w:tcPr>
            <w:tcW w:w="4701" w:type="dxa"/>
            <w:noWrap w:val="0"/>
            <w:vAlign w:val="center"/>
          </w:tcPr>
          <w:p>
            <w:pPr>
              <w:rPr>
                <w:rFonts w:cs="Arial"/>
                <w:color w:val="auto"/>
                <w:szCs w:val="21"/>
                <w:highlight w:val="none"/>
              </w:rPr>
            </w:pPr>
            <w:r>
              <w:rPr>
                <w:rFonts w:cs="Arial"/>
                <w:color w:val="auto"/>
                <w:szCs w:val="21"/>
                <w:highlight w:val="none"/>
              </w:rPr>
              <w:t>账　　号：</w:t>
            </w:r>
          </w:p>
        </w:tc>
      </w:tr>
      <w:tr>
        <w:tblPrEx>
          <w:tblCellMar>
            <w:top w:w="0" w:type="dxa"/>
            <w:left w:w="108" w:type="dxa"/>
            <w:bottom w:w="0" w:type="dxa"/>
            <w:right w:w="108" w:type="dxa"/>
          </w:tblCellMar>
        </w:tblPrEx>
        <w:trPr>
          <w:trHeight w:val="400" w:hRule="atLeast"/>
        </w:trPr>
        <w:tc>
          <w:tcPr>
            <w:tcW w:w="4700" w:type="dxa"/>
            <w:noWrap w:val="0"/>
            <w:vAlign w:val="center"/>
          </w:tcPr>
          <w:p>
            <w:pPr>
              <w:rPr>
                <w:rFonts w:cs="Arial"/>
                <w:color w:val="auto"/>
                <w:szCs w:val="21"/>
                <w:highlight w:val="none"/>
              </w:rPr>
            </w:pPr>
            <w:r>
              <w:rPr>
                <w:rFonts w:cs="Arial"/>
                <w:color w:val="auto"/>
                <w:szCs w:val="21"/>
                <w:highlight w:val="none"/>
              </w:rPr>
              <w:t>统一社会信用代码：</w:t>
            </w:r>
          </w:p>
        </w:tc>
        <w:tc>
          <w:tcPr>
            <w:tcW w:w="4701" w:type="dxa"/>
            <w:noWrap w:val="0"/>
            <w:vAlign w:val="center"/>
          </w:tcPr>
          <w:p>
            <w:pPr>
              <w:rPr>
                <w:rFonts w:cs="Arial"/>
                <w:color w:val="auto"/>
                <w:szCs w:val="21"/>
                <w:highlight w:val="none"/>
              </w:rPr>
            </w:pPr>
            <w:r>
              <w:rPr>
                <w:rFonts w:cs="Arial"/>
                <w:color w:val="auto"/>
                <w:szCs w:val="21"/>
                <w:highlight w:val="none"/>
              </w:rPr>
              <w:t>统一社会信用代码：</w:t>
            </w:r>
          </w:p>
        </w:tc>
      </w:tr>
      <w:tr>
        <w:tblPrEx>
          <w:tblCellMar>
            <w:top w:w="0" w:type="dxa"/>
            <w:left w:w="108" w:type="dxa"/>
            <w:bottom w:w="0" w:type="dxa"/>
            <w:right w:w="108" w:type="dxa"/>
          </w:tblCellMar>
        </w:tblPrEx>
        <w:trPr>
          <w:trHeight w:val="400" w:hRule="atLeast"/>
        </w:trPr>
        <w:tc>
          <w:tcPr>
            <w:tcW w:w="4700" w:type="dxa"/>
            <w:noWrap w:val="0"/>
            <w:vAlign w:val="center"/>
          </w:tcPr>
          <w:p>
            <w:pPr>
              <w:rPr>
                <w:rFonts w:cs="Arial"/>
                <w:color w:val="auto"/>
                <w:szCs w:val="21"/>
                <w:highlight w:val="none"/>
              </w:rPr>
            </w:pPr>
            <w:r>
              <w:rPr>
                <w:rFonts w:cs="Arial"/>
                <w:color w:val="auto"/>
                <w:szCs w:val="21"/>
                <w:highlight w:val="none"/>
              </w:rPr>
              <w:t>签订时间：   年  月  日</w:t>
            </w:r>
          </w:p>
        </w:tc>
        <w:tc>
          <w:tcPr>
            <w:tcW w:w="4701" w:type="dxa"/>
            <w:noWrap w:val="0"/>
            <w:vAlign w:val="center"/>
          </w:tcPr>
          <w:p>
            <w:pPr>
              <w:rPr>
                <w:rFonts w:cs="Arial"/>
                <w:color w:val="auto"/>
                <w:szCs w:val="21"/>
                <w:highlight w:val="none"/>
              </w:rPr>
            </w:pPr>
            <w:r>
              <w:rPr>
                <w:rFonts w:cs="Arial"/>
                <w:color w:val="auto"/>
                <w:szCs w:val="21"/>
                <w:highlight w:val="none"/>
              </w:rPr>
              <w:t>签订时间：   年  月  日</w:t>
            </w:r>
          </w:p>
        </w:tc>
      </w:tr>
    </w:tbl>
    <w:p>
      <w:pPr>
        <w:spacing w:line="400" w:lineRule="exact"/>
        <w:rPr>
          <w:rFonts w:hint="eastAsia" w:cs="Arial"/>
          <w:color w:val="auto"/>
          <w:szCs w:val="21"/>
          <w:highlight w:val="none"/>
        </w:rPr>
      </w:pPr>
    </w:p>
    <w:p>
      <w:pPr>
        <w:spacing w:line="400" w:lineRule="exact"/>
        <w:rPr>
          <w:rFonts w:hint="eastAsia" w:cs="Arial"/>
          <w:color w:val="auto"/>
          <w:szCs w:val="21"/>
          <w:highlight w:val="none"/>
        </w:rPr>
      </w:pPr>
    </w:p>
    <w:p>
      <w:pPr>
        <w:spacing w:line="400" w:lineRule="exact"/>
        <w:rPr>
          <w:rFonts w:hint="eastAsia" w:cs="Arial"/>
          <w:color w:val="auto"/>
          <w:szCs w:val="21"/>
          <w:highlight w:val="none"/>
        </w:rPr>
      </w:pPr>
      <w:r>
        <w:rPr>
          <w:rFonts w:hint="eastAsia" w:cs="Arial"/>
          <w:color w:val="auto"/>
          <w:szCs w:val="21"/>
          <w:highlight w:val="none"/>
        </w:rPr>
        <w:t>代理机构（盖章）：泰宇建筑工程技术咨询有限公司</w:t>
      </w:r>
    </w:p>
    <w:p>
      <w:pPr>
        <w:spacing w:line="400" w:lineRule="exact"/>
        <w:rPr>
          <w:color w:val="auto"/>
          <w:highlight w:val="none"/>
        </w:rPr>
      </w:pPr>
      <w:r>
        <w:rPr>
          <w:rFonts w:hint="eastAsia" w:cs="Arial"/>
          <w:color w:val="auto"/>
          <w:szCs w:val="21"/>
          <w:highlight w:val="none"/>
        </w:rPr>
        <w:t>日期：    年      月     日</w:t>
      </w:r>
      <w:r>
        <w:rPr>
          <w:color w:val="auto"/>
          <w:highlight w:val="none"/>
        </w:rPr>
        <w:br w:type="page"/>
      </w:r>
    </w:p>
    <w:p>
      <w:pPr>
        <w:jc w:val="center"/>
        <w:outlineLvl w:val="0"/>
        <w:rPr>
          <w:rFonts w:hint="eastAsia" w:ascii="宋体" w:hAnsi="宋体" w:cs="宋体"/>
          <w:color w:val="auto"/>
          <w:highlight w:val="none"/>
        </w:rPr>
      </w:pPr>
      <w:bookmarkStart w:id="63" w:name="_Toc20581"/>
      <w:bookmarkStart w:id="64" w:name="_Toc21199"/>
      <w:bookmarkStart w:id="65" w:name="_Toc6211"/>
      <w:r>
        <w:rPr>
          <w:rFonts w:hint="eastAsia" w:ascii="宋体" w:hAnsi="宋体" w:cs="宋体"/>
          <w:color w:val="auto"/>
          <w:kern w:val="0"/>
          <w:sz w:val="44"/>
          <w:szCs w:val="44"/>
          <w:highlight w:val="none"/>
        </w:rPr>
        <w:t>第五章  投标文件格式</w:t>
      </w:r>
      <w:bookmarkEnd w:id="60"/>
      <w:bookmarkEnd w:id="61"/>
      <w:bookmarkEnd w:id="62"/>
      <w:bookmarkEnd w:id="63"/>
      <w:bookmarkEnd w:id="64"/>
      <w:bookmarkEnd w:id="65"/>
    </w:p>
    <w:p>
      <w:pPr>
        <w:spacing w:line="360" w:lineRule="auto"/>
        <w:jc w:val="center"/>
        <w:rPr>
          <w:rFonts w:hint="eastAsia" w:ascii="宋体" w:hAnsi="宋体" w:cs="宋体"/>
          <w:b/>
          <w:color w:val="auto"/>
          <w:highlight w:val="none"/>
        </w:rPr>
      </w:pPr>
      <w:r>
        <w:rPr>
          <w:rFonts w:hint="eastAsia" w:ascii="宋体" w:hAnsi="宋体" w:cs="宋体"/>
          <w:b/>
          <w:color w:val="auto"/>
          <w:highlight w:val="none"/>
        </w:rPr>
        <w:t>（未提供格式的由投标人自拟）</w:t>
      </w:r>
    </w:p>
    <w:p>
      <w:pPr>
        <w:rPr>
          <w:rFonts w:hint="eastAsia" w:ascii="宋体" w:hAnsi="宋体" w:cs="宋体"/>
          <w:color w:val="auto"/>
          <w:highlight w:val="none"/>
        </w:rPr>
      </w:pPr>
      <w:bookmarkStart w:id="66" w:name="_Toc345575534"/>
      <w:r>
        <w:rPr>
          <w:rFonts w:hint="eastAsia" w:ascii="宋体" w:hAnsi="宋体" w:cs="宋体"/>
          <w:color w:val="auto"/>
          <w:highlight w:val="none"/>
        </w:rPr>
        <w:t>封面</w:t>
      </w:r>
      <w:bookmarkEnd w:id="66"/>
    </w:p>
    <w:p>
      <w:pPr>
        <w:tabs>
          <w:tab w:val="left" w:pos="2580"/>
          <w:tab w:val="left" w:pos="5940"/>
        </w:tabs>
        <w:autoSpaceDE w:val="0"/>
        <w:autoSpaceDN w:val="0"/>
        <w:adjustRightInd w:val="0"/>
        <w:spacing w:line="360" w:lineRule="auto"/>
        <w:ind w:right="-20"/>
        <w:rPr>
          <w:rFonts w:hint="eastAsia" w:ascii="宋体" w:hAnsi="宋体" w:cs="宋体"/>
          <w:color w:val="auto"/>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cs="宋体"/>
          <w:color w:val="auto"/>
          <w:kern w:val="0"/>
          <w:sz w:val="28"/>
          <w:highlight w:val="none"/>
        </w:rPr>
      </w:pPr>
    </w:p>
    <w:p>
      <w:pPr>
        <w:pStyle w:val="53"/>
        <w:ind w:firstLine="560"/>
        <w:rPr>
          <w:rFonts w:hint="eastAsia" w:ascii="宋体" w:hAnsi="宋体" w:cs="宋体"/>
          <w:color w:val="auto"/>
          <w:kern w:val="0"/>
          <w:sz w:val="28"/>
          <w:highlight w:val="none"/>
        </w:rPr>
      </w:pPr>
    </w:p>
    <w:p>
      <w:pPr>
        <w:pStyle w:val="3"/>
        <w:ind w:firstLine="210"/>
        <w:rPr>
          <w:rFonts w:hint="eastAsia"/>
          <w:color w:val="auto"/>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cs="宋体"/>
          <w:color w:val="auto"/>
          <w:kern w:val="0"/>
          <w:sz w:val="28"/>
          <w:highlight w:val="none"/>
          <w:u w:val="single"/>
        </w:rPr>
      </w:pPr>
      <w:r>
        <w:rPr>
          <w:rFonts w:hint="eastAsia" w:ascii="宋体" w:hAnsi="宋体" w:cs="宋体"/>
          <w:color w:val="auto"/>
          <w:kern w:val="0"/>
          <w:sz w:val="28"/>
          <w:highlight w:val="none"/>
        </w:rPr>
        <w:t>项目名称：</w:t>
      </w: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cs="宋体"/>
          <w:b/>
          <w:bCs/>
          <w:color w:val="auto"/>
          <w:kern w:val="0"/>
          <w:sz w:val="32"/>
          <w:szCs w:val="32"/>
          <w:highlight w:val="none"/>
          <w:u w:val="single"/>
        </w:rPr>
      </w:pPr>
      <w:r>
        <w:rPr>
          <w:rFonts w:hint="eastAsia" w:ascii="宋体" w:hAnsi="宋体" w:cs="宋体"/>
          <w:color w:val="auto"/>
          <w:kern w:val="0"/>
          <w:sz w:val="28"/>
          <w:highlight w:val="none"/>
        </w:rPr>
        <w:t>项目编号：</w:t>
      </w:r>
    </w:p>
    <w:p>
      <w:pPr>
        <w:autoSpaceDE w:val="0"/>
        <w:autoSpaceDN w:val="0"/>
        <w:adjustRightInd w:val="0"/>
        <w:snapToGrid w:val="0"/>
        <w:spacing w:line="360" w:lineRule="auto"/>
        <w:jc w:val="left"/>
        <w:rPr>
          <w:rFonts w:hint="eastAsia" w:ascii="宋体" w:hAnsi="宋体" w:cs="宋体"/>
          <w:color w:val="auto"/>
          <w:kern w:val="0"/>
          <w:sz w:val="24"/>
          <w:highlight w:val="none"/>
        </w:rPr>
      </w:pPr>
    </w:p>
    <w:p>
      <w:pPr>
        <w:autoSpaceDE w:val="0"/>
        <w:autoSpaceDN w:val="0"/>
        <w:adjustRightInd w:val="0"/>
        <w:snapToGrid w:val="0"/>
        <w:spacing w:line="360" w:lineRule="auto"/>
        <w:jc w:val="left"/>
        <w:rPr>
          <w:rFonts w:hint="eastAsia" w:ascii="宋体" w:hAnsi="宋体" w:cs="宋体"/>
          <w:color w:val="auto"/>
          <w:kern w:val="0"/>
          <w:sz w:val="24"/>
          <w:highlight w:val="none"/>
        </w:rPr>
      </w:pPr>
    </w:p>
    <w:p>
      <w:pPr>
        <w:tabs>
          <w:tab w:val="left" w:pos="1805"/>
          <w:tab w:val="left" w:pos="5360"/>
        </w:tabs>
        <w:autoSpaceDE w:val="0"/>
        <w:autoSpaceDN w:val="0"/>
        <w:adjustRightInd w:val="0"/>
        <w:snapToGrid w:val="0"/>
        <w:spacing w:line="360" w:lineRule="auto"/>
        <w:ind w:right="-20"/>
        <w:jc w:val="center"/>
        <w:rPr>
          <w:rFonts w:hint="eastAsia" w:ascii="宋体" w:hAnsi="宋体" w:cs="宋体"/>
          <w:color w:val="auto"/>
          <w:kern w:val="0"/>
          <w:sz w:val="72"/>
          <w:highlight w:val="none"/>
        </w:rPr>
      </w:pPr>
      <w:r>
        <w:rPr>
          <w:rFonts w:hint="eastAsia" w:ascii="宋体" w:hAnsi="宋体" w:cs="宋体"/>
          <w:color w:val="auto"/>
          <w:kern w:val="0"/>
          <w:sz w:val="72"/>
          <w:highlight w:val="none"/>
        </w:rPr>
        <w:t>投标文件</w:t>
      </w:r>
    </w:p>
    <w:p>
      <w:pPr>
        <w:tabs>
          <w:tab w:val="left" w:pos="1805"/>
          <w:tab w:val="left" w:pos="5360"/>
        </w:tabs>
        <w:autoSpaceDE w:val="0"/>
        <w:autoSpaceDN w:val="0"/>
        <w:adjustRightInd w:val="0"/>
        <w:snapToGrid w:val="0"/>
        <w:spacing w:line="360" w:lineRule="auto"/>
        <w:ind w:right="-20"/>
        <w:jc w:val="center"/>
        <w:rPr>
          <w:rFonts w:hint="eastAsia" w:ascii="宋体" w:hAnsi="宋体" w:cs="宋体"/>
          <w:color w:val="auto"/>
          <w:sz w:val="48"/>
          <w:highlight w:val="none"/>
        </w:rPr>
      </w:pPr>
      <w:r>
        <w:rPr>
          <w:rFonts w:hint="eastAsia" w:ascii="宋体" w:hAnsi="宋体" w:cs="宋体"/>
          <w:color w:val="auto"/>
          <w:sz w:val="48"/>
          <w:highlight w:val="none"/>
        </w:rPr>
        <w:t>（资格证明文件或报价文件</w:t>
      </w:r>
    </w:p>
    <w:p>
      <w:pPr>
        <w:tabs>
          <w:tab w:val="left" w:pos="1805"/>
          <w:tab w:val="left" w:pos="5360"/>
        </w:tabs>
        <w:autoSpaceDE w:val="0"/>
        <w:autoSpaceDN w:val="0"/>
        <w:adjustRightInd w:val="0"/>
        <w:snapToGrid w:val="0"/>
        <w:spacing w:line="360" w:lineRule="auto"/>
        <w:ind w:right="-20"/>
        <w:jc w:val="center"/>
        <w:rPr>
          <w:rFonts w:hint="eastAsia" w:ascii="宋体" w:hAnsi="宋体" w:cs="宋体"/>
          <w:color w:val="auto"/>
          <w:kern w:val="0"/>
          <w:sz w:val="72"/>
          <w:highlight w:val="none"/>
        </w:rPr>
      </w:pPr>
      <w:r>
        <w:rPr>
          <w:rFonts w:hint="eastAsia" w:ascii="宋体" w:hAnsi="宋体" w:cs="宋体"/>
          <w:color w:val="auto"/>
          <w:sz w:val="48"/>
          <w:highlight w:val="none"/>
        </w:rPr>
        <w:t>或商务技术文件）</w:t>
      </w:r>
    </w:p>
    <w:p>
      <w:pPr>
        <w:autoSpaceDE w:val="0"/>
        <w:autoSpaceDN w:val="0"/>
        <w:adjustRightInd w:val="0"/>
        <w:snapToGrid w:val="0"/>
        <w:spacing w:line="360" w:lineRule="auto"/>
        <w:jc w:val="left"/>
        <w:rPr>
          <w:rFonts w:hint="eastAsia" w:ascii="宋体" w:hAnsi="宋体" w:cs="宋体"/>
          <w:color w:val="auto"/>
          <w:kern w:val="0"/>
          <w:sz w:val="16"/>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6080"/>
          <w:tab w:val="left" w:pos="6640"/>
        </w:tabs>
        <w:autoSpaceDE w:val="0"/>
        <w:autoSpaceDN w:val="0"/>
        <w:adjustRightInd w:val="0"/>
        <w:snapToGrid w:val="0"/>
        <w:spacing w:line="360" w:lineRule="auto"/>
        <w:ind w:left="775" w:leftChars="369" w:right="403" w:firstLine="700" w:firstLineChars="250"/>
        <w:jc w:val="left"/>
        <w:rPr>
          <w:rFonts w:hint="eastAsia" w:ascii="宋体" w:hAnsi="宋体" w:cs="宋体"/>
          <w:color w:val="auto"/>
          <w:kern w:val="0"/>
          <w:sz w:val="28"/>
          <w:highlight w:val="none"/>
        </w:rPr>
      </w:pPr>
      <w:r>
        <w:rPr>
          <w:rFonts w:hint="eastAsia" w:ascii="宋体" w:hAnsi="宋体" w:cs="宋体"/>
          <w:color w:val="auto"/>
          <w:kern w:val="0"/>
          <w:sz w:val="28"/>
          <w:highlight w:val="none"/>
        </w:rPr>
        <w:t>投标人：（盖单位公章）</w:t>
      </w:r>
    </w:p>
    <w:p>
      <w:pPr>
        <w:tabs>
          <w:tab w:val="left" w:pos="6080"/>
          <w:tab w:val="left" w:pos="6640"/>
        </w:tabs>
        <w:autoSpaceDE w:val="0"/>
        <w:autoSpaceDN w:val="0"/>
        <w:adjustRightInd w:val="0"/>
        <w:snapToGrid w:val="0"/>
        <w:spacing w:line="360" w:lineRule="auto"/>
        <w:ind w:left="775" w:leftChars="369" w:right="403" w:firstLine="700" w:firstLineChars="250"/>
        <w:jc w:val="left"/>
        <w:rPr>
          <w:rFonts w:hint="eastAsia" w:ascii="宋体" w:hAnsi="宋体" w:cs="宋体"/>
          <w:color w:val="auto"/>
          <w:kern w:val="0"/>
          <w:sz w:val="28"/>
          <w:highlight w:val="none"/>
        </w:rPr>
      </w:pPr>
      <w:r>
        <w:rPr>
          <w:rFonts w:hint="eastAsia" w:ascii="宋体" w:hAnsi="宋体" w:cs="宋体"/>
          <w:color w:val="auto"/>
          <w:kern w:val="0"/>
          <w:sz w:val="28"/>
          <w:highlight w:val="none"/>
        </w:rPr>
        <w:t>日期：__________年_____月_____日</w:t>
      </w:r>
    </w:p>
    <w:p>
      <w:pPr>
        <w:widowControl/>
        <w:spacing w:line="360" w:lineRule="auto"/>
        <w:jc w:val="center"/>
        <w:rPr>
          <w:rFonts w:hint="eastAsia" w:ascii="宋体" w:hAnsi="宋体" w:cs="宋体"/>
          <w:b/>
          <w:bCs/>
          <w:color w:val="auto"/>
          <w:sz w:val="32"/>
          <w:szCs w:val="20"/>
          <w:highlight w:val="none"/>
        </w:rPr>
      </w:pPr>
      <w:bookmarkStart w:id="67" w:name="_Toc345575535"/>
      <w:bookmarkStart w:id="68" w:name="_Toc336683576"/>
    </w:p>
    <w:p>
      <w:pPr>
        <w:widowControl/>
        <w:spacing w:line="360" w:lineRule="auto"/>
        <w:jc w:val="center"/>
        <w:rPr>
          <w:rFonts w:hint="eastAsia" w:ascii="宋体" w:hAnsi="宋体" w:cs="宋体"/>
          <w:b/>
          <w:bCs/>
          <w:color w:val="auto"/>
          <w:sz w:val="32"/>
          <w:szCs w:val="20"/>
          <w:highlight w:val="none"/>
        </w:rPr>
      </w:pPr>
    </w:p>
    <w:p>
      <w:pPr>
        <w:widowControl/>
        <w:spacing w:line="360" w:lineRule="auto"/>
        <w:jc w:val="center"/>
        <w:rPr>
          <w:rFonts w:hint="eastAsia" w:ascii="宋体" w:hAnsi="宋体" w:cs="宋体"/>
          <w:b/>
          <w:bCs/>
          <w:color w:val="auto"/>
          <w:sz w:val="32"/>
          <w:szCs w:val="20"/>
          <w:highlight w:val="none"/>
        </w:rPr>
      </w:pPr>
      <w:r>
        <w:rPr>
          <w:rFonts w:hint="eastAsia" w:ascii="宋体" w:hAnsi="宋体" w:cs="宋体"/>
          <w:b/>
          <w:bCs/>
          <w:color w:val="auto"/>
          <w:sz w:val="32"/>
          <w:szCs w:val="20"/>
          <w:highlight w:val="none"/>
        </w:rPr>
        <w:t>（一）资格证明文件</w:t>
      </w:r>
    </w:p>
    <w:p>
      <w:pPr>
        <w:autoSpaceDE w:val="0"/>
        <w:autoSpaceDN w:val="0"/>
        <w:adjustRightInd w:val="0"/>
        <w:snapToGrid w:val="0"/>
        <w:spacing w:line="300" w:lineRule="auto"/>
        <w:ind w:firstLine="420" w:firstLineChars="200"/>
        <w:jc w:val="left"/>
        <w:rPr>
          <w:rFonts w:ascii="Arial" w:hAnsi="Arial" w:cs="Arial"/>
          <w:color w:val="auto"/>
          <w:kern w:val="0"/>
          <w:highlight w:val="none"/>
        </w:rPr>
      </w:pPr>
      <w:r>
        <w:rPr>
          <w:rFonts w:ascii="Arial" w:hAnsi="Arial" w:cs="Arial"/>
          <w:color w:val="auto"/>
          <w:kern w:val="0"/>
          <w:highlight w:val="none"/>
        </w:rPr>
        <w:t>（一）资格审查须知</w:t>
      </w:r>
    </w:p>
    <w:p>
      <w:pPr>
        <w:autoSpaceDE w:val="0"/>
        <w:autoSpaceDN w:val="0"/>
        <w:adjustRightInd w:val="0"/>
        <w:snapToGrid w:val="0"/>
        <w:spacing w:line="300" w:lineRule="auto"/>
        <w:ind w:firstLine="420" w:firstLineChars="200"/>
        <w:jc w:val="left"/>
        <w:rPr>
          <w:rFonts w:ascii="Arial" w:hAnsi="Arial" w:cs="Arial"/>
          <w:color w:val="auto"/>
          <w:kern w:val="0"/>
          <w:highlight w:val="none"/>
        </w:rPr>
      </w:pPr>
      <w:r>
        <w:rPr>
          <w:rFonts w:ascii="Arial" w:hAnsi="Arial" w:cs="Arial"/>
          <w:color w:val="auto"/>
          <w:kern w:val="0"/>
          <w:highlight w:val="none"/>
        </w:rPr>
        <w:t>1、投标人必须认真填写招标文件规定的所有表格，并对其真实性负责，采购人有权对其进行调查核实和要求澄清。</w:t>
      </w:r>
    </w:p>
    <w:p>
      <w:pPr>
        <w:autoSpaceDE w:val="0"/>
        <w:autoSpaceDN w:val="0"/>
        <w:adjustRightInd w:val="0"/>
        <w:snapToGrid w:val="0"/>
        <w:spacing w:line="300" w:lineRule="auto"/>
        <w:ind w:firstLine="420" w:firstLineChars="200"/>
        <w:jc w:val="left"/>
        <w:rPr>
          <w:rFonts w:ascii="Arial" w:hAnsi="Arial" w:cs="Arial"/>
          <w:color w:val="auto"/>
          <w:kern w:val="0"/>
          <w:highlight w:val="none"/>
        </w:rPr>
      </w:pPr>
      <w:r>
        <w:rPr>
          <w:rFonts w:ascii="Arial" w:hAnsi="Arial" w:cs="Arial"/>
          <w:color w:val="auto"/>
          <w:kern w:val="0"/>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autoSpaceDE w:val="0"/>
        <w:autoSpaceDN w:val="0"/>
        <w:adjustRightInd w:val="0"/>
        <w:snapToGrid w:val="0"/>
        <w:spacing w:line="300" w:lineRule="auto"/>
        <w:ind w:firstLine="420" w:firstLineChars="200"/>
        <w:jc w:val="left"/>
        <w:rPr>
          <w:rFonts w:ascii="Arial" w:hAnsi="Arial" w:cs="Arial"/>
          <w:color w:val="auto"/>
          <w:kern w:val="0"/>
          <w:highlight w:val="none"/>
        </w:rPr>
      </w:pPr>
      <w:r>
        <w:rPr>
          <w:rFonts w:ascii="Arial" w:hAnsi="Arial" w:cs="Arial"/>
          <w:color w:val="auto"/>
          <w:kern w:val="0"/>
          <w:highlight w:val="none"/>
        </w:rPr>
        <w:t>（二）资格审查资料格式</w:t>
      </w:r>
    </w:p>
    <w:p>
      <w:pPr>
        <w:autoSpaceDE w:val="0"/>
        <w:autoSpaceDN w:val="0"/>
        <w:adjustRightInd w:val="0"/>
        <w:snapToGrid w:val="0"/>
        <w:spacing w:line="300" w:lineRule="auto"/>
        <w:ind w:firstLine="420" w:firstLineChars="200"/>
        <w:jc w:val="left"/>
        <w:rPr>
          <w:rFonts w:ascii="Arial" w:hAnsi="Arial" w:cs="Arial"/>
          <w:color w:val="auto"/>
          <w:kern w:val="0"/>
          <w:highlight w:val="none"/>
        </w:rPr>
      </w:pPr>
      <w:r>
        <w:rPr>
          <w:rFonts w:ascii="Arial" w:hAnsi="Arial" w:cs="Arial"/>
          <w:color w:val="auto"/>
          <w:kern w:val="0"/>
          <w:highlight w:val="none"/>
        </w:rPr>
        <w:t>表1 强制性资格条件</w:t>
      </w:r>
    </w:p>
    <w:p>
      <w:pPr>
        <w:autoSpaceDE w:val="0"/>
        <w:autoSpaceDN w:val="0"/>
        <w:adjustRightInd w:val="0"/>
        <w:snapToGrid w:val="0"/>
        <w:spacing w:line="300" w:lineRule="auto"/>
        <w:ind w:firstLine="420" w:firstLineChars="200"/>
        <w:jc w:val="left"/>
        <w:rPr>
          <w:rFonts w:ascii="Arial" w:hAnsi="Arial" w:cs="Arial"/>
          <w:color w:val="auto"/>
          <w:kern w:val="0"/>
          <w:highlight w:val="none"/>
        </w:rPr>
      </w:pPr>
      <w:r>
        <w:rPr>
          <w:rFonts w:ascii="Arial" w:hAnsi="Arial" w:cs="Arial"/>
          <w:color w:val="auto"/>
          <w:kern w:val="0"/>
          <w:highlight w:val="none"/>
        </w:rPr>
        <w:t>表附件</w:t>
      </w:r>
    </w:p>
    <w:p>
      <w:pPr>
        <w:snapToGrid w:val="0"/>
        <w:spacing w:line="300" w:lineRule="auto"/>
        <w:ind w:left="281" w:hanging="281" w:hangingChars="100"/>
        <w:jc w:val="center"/>
        <w:rPr>
          <w:color w:val="auto"/>
          <w:highlight w:val="none"/>
        </w:rPr>
      </w:pPr>
      <w:r>
        <w:rPr>
          <w:rFonts w:ascii="Arial" w:hAnsi="Arial" w:cs="Arial"/>
          <w:b/>
          <w:bCs/>
          <w:color w:val="auto"/>
          <w:sz w:val="28"/>
          <w:szCs w:val="28"/>
          <w:highlight w:val="none"/>
        </w:rPr>
        <w:t>强制性资格条件表</w:t>
      </w:r>
    </w:p>
    <w:tbl>
      <w:tblPr>
        <w:tblStyle w:val="54"/>
        <w:tblpPr w:leftFromText="180" w:rightFromText="180" w:vertAnchor="text" w:horzAnchor="page" w:tblpX="1620"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4412"/>
        <w:gridCol w:w="3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15"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412"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强制性资格条件</w:t>
            </w:r>
          </w:p>
        </w:tc>
        <w:tc>
          <w:tcPr>
            <w:tcW w:w="3951"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证明资料附后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515" w:type="dxa"/>
            <w:noWrap w:val="0"/>
            <w:vAlign w:val="center"/>
          </w:tcPr>
          <w:p>
            <w:pPr>
              <w:jc w:val="center"/>
              <w:rPr>
                <w:rFonts w:ascii="宋体" w:hAnsi="宋体" w:cs="宋体"/>
                <w:color w:val="auto"/>
                <w:szCs w:val="21"/>
                <w:highlight w:val="none"/>
              </w:rPr>
            </w:pPr>
            <w:r>
              <w:rPr>
                <w:rFonts w:ascii="宋体" w:hAnsi="宋体" w:cs="宋体"/>
                <w:color w:val="auto"/>
                <w:szCs w:val="21"/>
                <w:highlight w:val="none"/>
              </w:rPr>
              <w:t>1</w:t>
            </w:r>
          </w:p>
        </w:tc>
        <w:tc>
          <w:tcPr>
            <w:tcW w:w="4412" w:type="dxa"/>
            <w:noWrap w:val="0"/>
            <w:vAlign w:val="center"/>
          </w:tcPr>
          <w:p>
            <w:pPr>
              <w:rPr>
                <w:rFonts w:ascii="宋体" w:hAnsi="宋体" w:cs="宋体"/>
                <w:color w:val="auto"/>
                <w:kern w:val="0"/>
                <w:szCs w:val="21"/>
                <w:highlight w:val="none"/>
              </w:rPr>
            </w:pPr>
            <w:r>
              <w:rPr>
                <w:rFonts w:hint="eastAsia" w:ascii="宋体" w:hAnsi="宋体" w:cs="宋体"/>
                <w:color w:val="auto"/>
                <w:highlight w:val="none"/>
              </w:rPr>
              <w:t>具有独立承担民事责任的能力</w:t>
            </w:r>
          </w:p>
        </w:tc>
        <w:tc>
          <w:tcPr>
            <w:tcW w:w="3951" w:type="dxa"/>
            <w:noWrap w:val="0"/>
            <w:vAlign w:val="center"/>
          </w:tcPr>
          <w:p>
            <w:pPr>
              <w:jc w:val="left"/>
              <w:rPr>
                <w:rFonts w:ascii="宋体" w:hAnsi="宋体" w:cs="宋体"/>
                <w:color w:val="auto"/>
                <w:szCs w:val="21"/>
                <w:highlight w:val="none"/>
              </w:rPr>
            </w:pPr>
            <w:r>
              <w:rPr>
                <w:rFonts w:hint="eastAsia" w:ascii="宋体" w:hAnsi="宋体" w:cs="宋体"/>
                <w:color w:val="auto"/>
                <w:szCs w:val="21"/>
                <w:highlight w:val="none"/>
              </w:rPr>
              <w:t>营业执照</w:t>
            </w:r>
            <w:r>
              <w:rPr>
                <w:rFonts w:ascii="宋体" w:hAnsi="宋体" w:cs="宋体"/>
                <w:color w:val="auto"/>
                <w:szCs w:val="21"/>
                <w:highlight w:val="none"/>
              </w:rPr>
              <w:t>(或事业法人登记证书或其它工商等登记证明材料；自然人参与政府采购，提供身份证)复印件、实施“五证合一、一照一码”登记制度改革的，只需提供改革后取得的营业执照复印件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15" w:type="dxa"/>
            <w:noWrap w:val="0"/>
            <w:vAlign w:val="center"/>
          </w:tcPr>
          <w:p>
            <w:pPr>
              <w:jc w:val="center"/>
              <w:rPr>
                <w:rFonts w:ascii="宋体" w:hAnsi="宋体" w:cs="宋体"/>
                <w:color w:val="auto"/>
                <w:szCs w:val="21"/>
                <w:highlight w:val="none"/>
              </w:rPr>
            </w:pPr>
            <w:r>
              <w:rPr>
                <w:rFonts w:ascii="宋体" w:hAnsi="宋体" w:cs="宋体"/>
                <w:color w:val="auto"/>
                <w:szCs w:val="21"/>
                <w:highlight w:val="none"/>
              </w:rPr>
              <w:t>2</w:t>
            </w:r>
          </w:p>
        </w:tc>
        <w:tc>
          <w:tcPr>
            <w:tcW w:w="4412" w:type="dxa"/>
            <w:noWrap w:val="0"/>
            <w:vAlign w:val="center"/>
          </w:tcPr>
          <w:p>
            <w:pPr>
              <w:rPr>
                <w:rFonts w:ascii="宋体" w:hAnsi="宋体" w:cs="宋体"/>
                <w:color w:val="auto"/>
                <w:highlight w:val="none"/>
              </w:rPr>
            </w:pPr>
            <w:r>
              <w:rPr>
                <w:rFonts w:hint="eastAsia" w:ascii="宋体" w:hAnsi="宋体" w:cs="宋体"/>
                <w:color w:val="auto"/>
                <w:highlight w:val="none"/>
              </w:rPr>
              <w:t>具有良好的商业信誉和健全的财务会计制度</w:t>
            </w:r>
          </w:p>
        </w:tc>
        <w:tc>
          <w:tcPr>
            <w:tcW w:w="3951" w:type="dxa"/>
            <w:vMerge w:val="restart"/>
            <w:noWrap w:val="0"/>
            <w:vAlign w:val="center"/>
          </w:tcPr>
          <w:p>
            <w:pPr>
              <w:jc w:val="left"/>
              <w:rPr>
                <w:rFonts w:hint="eastAsia" w:ascii="宋体" w:hAnsi="宋体" w:cs="宋体"/>
                <w:color w:val="auto"/>
                <w:highlight w:val="none"/>
              </w:rPr>
            </w:pPr>
            <w:r>
              <w:rPr>
                <w:rFonts w:hint="eastAsia" w:ascii="宋体" w:hAnsi="宋体" w:cs="宋体"/>
                <w:color w:val="auto"/>
                <w:highlight w:val="none"/>
              </w:rPr>
              <w:t>详见承诺函格式</w:t>
            </w:r>
          </w:p>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15" w:type="dxa"/>
            <w:noWrap w:val="0"/>
            <w:vAlign w:val="center"/>
          </w:tcPr>
          <w:p>
            <w:pPr>
              <w:jc w:val="center"/>
              <w:rPr>
                <w:rFonts w:ascii="宋体" w:hAnsi="宋体" w:cs="宋体"/>
                <w:color w:val="auto"/>
                <w:szCs w:val="21"/>
                <w:highlight w:val="none"/>
              </w:rPr>
            </w:pPr>
            <w:r>
              <w:rPr>
                <w:rFonts w:ascii="宋体" w:hAnsi="宋体" w:cs="宋体"/>
                <w:color w:val="auto"/>
                <w:szCs w:val="21"/>
                <w:highlight w:val="none"/>
              </w:rPr>
              <w:t>3</w:t>
            </w:r>
          </w:p>
        </w:tc>
        <w:tc>
          <w:tcPr>
            <w:tcW w:w="4412" w:type="dxa"/>
            <w:noWrap w:val="0"/>
            <w:vAlign w:val="center"/>
          </w:tcPr>
          <w:p>
            <w:pPr>
              <w:rPr>
                <w:rFonts w:ascii="宋体" w:hAnsi="宋体" w:cs="宋体"/>
                <w:color w:val="auto"/>
                <w:highlight w:val="none"/>
              </w:rPr>
            </w:pPr>
            <w:r>
              <w:rPr>
                <w:rFonts w:hint="eastAsia" w:ascii="宋体" w:hAnsi="宋体" w:cs="宋体"/>
                <w:color w:val="auto"/>
                <w:highlight w:val="none"/>
              </w:rPr>
              <w:t>具有履行合同所必需的设备和专业技术能力</w:t>
            </w:r>
          </w:p>
        </w:tc>
        <w:tc>
          <w:tcPr>
            <w:tcW w:w="3951" w:type="dxa"/>
            <w:vMerge w:val="continue"/>
            <w:noWrap w:val="0"/>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15" w:type="dxa"/>
            <w:noWrap w:val="0"/>
            <w:vAlign w:val="center"/>
          </w:tcPr>
          <w:p>
            <w:pPr>
              <w:jc w:val="center"/>
              <w:rPr>
                <w:rFonts w:ascii="宋体" w:hAnsi="宋体" w:cs="宋体"/>
                <w:color w:val="auto"/>
                <w:szCs w:val="21"/>
                <w:highlight w:val="none"/>
              </w:rPr>
            </w:pPr>
            <w:r>
              <w:rPr>
                <w:rFonts w:ascii="宋体" w:hAnsi="宋体" w:cs="宋体"/>
                <w:color w:val="auto"/>
                <w:szCs w:val="21"/>
                <w:highlight w:val="none"/>
              </w:rPr>
              <w:t>4</w:t>
            </w:r>
          </w:p>
        </w:tc>
        <w:tc>
          <w:tcPr>
            <w:tcW w:w="4412" w:type="dxa"/>
            <w:noWrap w:val="0"/>
            <w:vAlign w:val="center"/>
          </w:tcPr>
          <w:p>
            <w:pPr>
              <w:rPr>
                <w:rFonts w:ascii="宋体" w:hAnsi="宋体" w:cs="宋体"/>
                <w:color w:val="auto"/>
                <w:highlight w:val="none"/>
              </w:rPr>
            </w:pPr>
            <w:r>
              <w:rPr>
                <w:rFonts w:hint="eastAsia" w:ascii="宋体" w:hAnsi="宋体" w:cs="宋体"/>
                <w:color w:val="auto"/>
                <w:highlight w:val="none"/>
              </w:rPr>
              <w:t>有依法缴纳税收和社会保障资金的良好记录</w:t>
            </w:r>
          </w:p>
        </w:tc>
        <w:tc>
          <w:tcPr>
            <w:tcW w:w="3951" w:type="dxa"/>
            <w:vMerge w:val="continue"/>
            <w:noWrap w:val="0"/>
            <w:vAlign w:val="center"/>
          </w:tcPr>
          <w:p>
            <w:pPr>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15" w:type="dxa"/>
            <w:noWrap w:val="0"/>
            <w:vAlign w:val="center"/>
          </w:tcPr>
          <w:p>
            <w:pPr>
              <w:jc w:val="center"/>
              <w:rPr>
                <w:rFonts w:ascii="宋体" w:hAnsi="宋体" w:cs="宋体"/>
                <w:color w:val="auto"/>
                <w:szCs w:val="21"/>
                <w:highlight w:val="none"/>
              </w:rPr>
            </w:pPr>
            <w:r>
              <w:rPr>
                <w:rFonts w:ascii="宋体" w:hAnsi="宋体" w:cs="宋体"/>
                <w:color w:val="auto"/>
                <w:szCs w:val="21"/>
                <w:highlight w:val="none"/>
              </w:rPr>
              <w:t>5</w:t>
            </w:r>
          </w:p>
        </w:tc>
        <w:tc>
          <w:tcPr>
            <w:tcW w:w="4412" w:type="dxa"/>
            <w:noWrap w:val="0"/>
            <w:vAlign w:val="center"/>
          </w:tcPr>
          <w:p>
            <w:pPr>
              <w:rPr>
                <w:rFonts w:ascii="宋体" w:hAnsi="宋体" w:cs="宋体"/>
                <w:color w:val="auto"/>
                <w:highlight w:val="none"/>
              </w:rPr>
            </w:pPr>
            <w:r>
              <w:rPr>
                <w:rFonts w:hint="eastAsia" w:ascii="宋体" w:hAnsi="宋体" w:cs="宋体"/>
                <w:color w:val="auto"/>
                <w:highlight w:val="none"/>
              </w:rPr>
              <w:t>参加政府采购活动前三年内，在经营活动中没有重大违法记录</w:t>
            </w:r>
          </w:p>
        </w:tc>
        <w:tc>
          <w:tcPr>
            <w:tcW w:w="3951" w:type="dxa"/>
            <w:vMerge w:val="continue"/>
            <w:noWrap w:val="0"/>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15" w:type="dxa"/>
            <w:noWrap w:val="0"/>
            <w:vAlign w:val="center"/>
          </w:tcPr>
          <w:p>
            <w:pPr>
              <w:jc w:val="center"/>
              <w:rPr>
                <w:rFonts w:ascii="宋体" w:hAnsi="宋体" w:cs="宋体"/>
                <w:color w:val="auto"/>
                <w:szCs w:val="21"/>
                <w:highlight w:val="none"/>
              </w:rPr>
            </w:pPr>
            <w:r>
              <w:rPr>
                <w:rFonts w:ascii="宋体" w:hAnsi="宋体" w:cs="宋体"/>
                <w:color w:val="auto"/>
                <w:szCs w:val="21"/>
                <w:highlight w:val="none"/>
              </w:rPr>
              <w:t>6</w:t>
            </w:r>
          </w:p>
        </w:tc>
        <w:tc>
          <w:tcPr>
            <w:tcW w:w="4412" w:type="dxa"/>
            <w:noWrap w:val="0"/>
            <w:vAlign w:val="center"/>
          </w:tcPr>
          <w:p>
            <w:pPr>
              <w:wordWrap w:val="0"/>
              <w:rPr>
                <w:rFonts w:ascii="宋体" w:hAnsi="宋体" w:cs="宋体"/>
                <w:color w:val="auto"/>
                <w:highlight w:val="none"/>
              </w:rPr>
            </w:pPr>
            <w:r>
              <w:rPr>
                <w:rFonts w:hint="eastAsia" w:ascii="宋体" w:hAnsi="宋体" w:cs="宋体"/>
                <w:color w:val="auto"/>
                <w:kern w:val="0"/>
                <w:szCs w:val="21"/>
                <w:highlight w:val="none"/>
              </w:rPr>
              <w:t>未被“信用中国”（</w:t>
            </w:r>
            <w:r>
              <w:rPr>
                <w:rFonts w:ascii="宋体" w:hAnsi="宋体" w:cs="宋体"/>
                <w:color w:val="auto"/>
                <w:kern w:val="0"/>
                <w:szCs w:val="21"/>
                <w:highlight w:val="none"/>
              </w:rPr>
              <w:t>www.creditchina.gov.cn）、中国政府采购网（www.ccgp.gov.cn）列入失信被执行人、重大税收违法案件当事人名单、政府采购严重违法失信行为记录名单</w:t>
            </w:r>
          </w:p>
        </w:tc>
        <w:tc>
          <w:tcPr>
            <w:tcW w:w="3951" w:type="dxa"/>
            <w:vMerge w:val="continue"/>
            <w:noWrap w:val="0"/>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15" w:type="dxa"/>
            <w:noWrap w:val="0"/>
            <w:vAlign w:val="center"/>
          </w:tcPr>
          <w:p>
            <w:pPr>
              <w:jc w:val="center"/>
              <w:rPr>
                <w:rFonts w:ascii="宋体" w:hAnsi="宋体" w:cs="宋体"/>
                <w:color w:val="auto"/>
                <w:szCs w:val="21"/>
                <w:highlight w:val="none"/>
              </w:rPr>
            </w:pPr>
            <w:r>
              <w:rPr>
                <w:rFonts w:ascii="宋体" w:hAnsi="宋体" w:cs="宋体"/>
                <w:color w:val="auto"/>
                <w:szCs w:val="21"/>
                <w:highlight w:val="none"/>
              </w:rPr>
              <w:t>7</w:t>
            </w:r>
          </w:p>
        </w:tc>
        <w:tc>
          <w:tcPr>
            <w:tcW w:w="4412" w:type="dxa"/>
            <w:noWrap w:val="0"/>
            <w:vAlign w:val="center"/>
          </w:tcPr>
          <w:p>
            <w:pPr>
              <w:wordWrap w:val="0"/>
              <w:rPr>
                <w:rFonts w:ascii="宋体" w:hAnsi="宋体" w:cs="宋体"/>
                <w:color w:val="auto"/>
                <w:kern w:val="0"/>
                <w:szCs w:val="21"/>
                <w:highlight w:val="none"/>
              </w:rPr>
            </w:pPr>
            <w:r>
              <w:rPr>
                <w:rFonts w:cs="Arial"/>
                <w:szCs w:val="21"/>
              </w:rPr>
              <w:t>单位负责人为同一人或者存在直接控股、管理关系的不同投标人，不得参加本项目的政府采购活动</w:t>
            </w:r>
          </w:p>
        </w:tc>
        <w:tc>
          <w:tcPr>
            <w:tcW w:w="3951" w:type="dxa"/>
            <w:vMerge w:val="continue"/>
            <w:noWrap w:val="0"/>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15" w:type="dxa"/>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4412" w:type="dxa"/>
            <w:noWrap w:val="0"/>
            <w:vAlign w:val="center"/>
          </w:tcPr>
          <w:p>
            <w:pPr>
              <w:wordWrap w:val="0"/>
              <w:rPr>
                <w:rFonts w:cs="Arial"/>
                <w:szCs w:val="21"/>
              </w:rPr>
            </w:pPr>
            <w:r>
              <w:rPr>
                <w:rFonts w:cs="Arial"/>
                <w:kern w:val="0"/>
                <w:szCs w:val="21"/>
              </w:rPr>
              <w:t>为采购项目提供整体设计、规范编制或者项目管理、监理、检测等服务的供应商不得参加本项目的政府采购活动</w:t>
            </w:r>
          </w:p>
        </w:tc>
        <w:tc>
          <w:tcPr>
            <w:tcW w:w="3951" w:type="dxa"/>
            <w:vMerge w:val="continue"/>
            <w:noWrap w:val="0"/>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15" w:type="dxa"/>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4412" w:type="dxa"/>
            <w:noWrap w:val="0"/>
            <w:vAlign w:val="center"/>
          </w:tcPr>
          <w:p>
            <w:pPr>
              <w:wordWrap w:val="0"/>
              <w:rPr>
                <w:rFonts w:ascii="宋体" w:hAnsi="宋体" w:cs="宋体"/>
                <w:color w:val="auto"/>
                <w:szCs w:val="21"/>
                <w:highlight w:val="none"/>
              </w:rPr>
            </w:pPr>
            <w:r>
              <w:rPr>
                <w:rFonts w:hint="eastAsia" w:ascii="宋体" w:hAnsi="宋体" w:cs="宋体"/>
                <w:color w:val="auto"/>
                <w:szCs w:val="21"/>
              </w:rPr>
              <w:t>本项目不受联合体投标</w:t>
            </w:r>
          </w:p>
        </w:tc>
        <w:tc>
          <w:tcPr>
            <w:tcW w:w="3951" w:type="dxa"/>
            <w:vMerge w:val="continue"/>
            <w:noWrap w:val="0"/>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15"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4412" w:type="dxa"/>
            <w:noWrap w:val="0"/>
            <w:vAlign w:val="center"/>
          </w:tcPr>
          <w:p>
            <w:pPr>
              <w:wordWrap w:val="0"/>
              <w:rPr>
                <w:rFonts w:hint="eastAsia" w:ascii="宋体" w:hAnsi="宋体" w:cs="宋体"/>
                <w:color w:val="auto"/>
                <w:szCs w:val="21"/>
                <w:highlight w:val="none"/>
              </w:rPr>
            </w:pPr>
            <w:r>
              <w:rPr>
                <w:rFonts w:hint="eastAsia" w:ascii="宋体" w:hAnsi="宋体" w:cs="宋体"/>
                <w:color w:val="auto"/>
                <w:kern w:val="0"/>
                <w:szCs w:val="21"/>
                <w:highlight w:val="none"/>
              </w:rPr>
              <w:t>落实政府采购政策需满足的资格要求：</w:t>
            </w:r>
          </w:p>
        </w:tc>
        <w:tc>
          <w:tcPr>
            <w:tcW w:w="3951" w:type="dxa"/>
            <w:noWrap w:val="0"/>
            <w:vAlign w:val="center"/>
          </w:tcPr>
          <w:p>
            <w:pPr>
              <w:rPr>
                <w:rFonts w:hint="eastAsia" w:ascii="宋体" w:hAnsi="宋体" w:cs="宋体"/>
                <w:color w:val="auto"/>
                <w:highlight w:val="none"/>
              </w:rPr>
            </w:pP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15" w:type="dxa"/>
            <w:noWrap w:val="0"/>
            <w:vAlign w:val="center"/>
          </w:tcPr>
          <w:p>
            <w:pPr>
              <w:jc w:val="center"/>
              <w:rPr>
                <w:rFonts w:hint="eastAsia" w:ascii="宋体" w:hAnsi="宋体" w:eastAsia="宋体" w:cs="宋体"/>
                <w:color w:val="auto"/>
                <w:szCs w:val="21"/>
                <w:highlight w:val="none"/>
                <w:lang w:val="en-US" w:eastAsia="zh-CN"/>
              </w:rPr>
            </w:pPr>
            <w:r>
              <w:rPr>
                <w:rFonts w:ascii="宋体" w:hAnsi="宋体" w:cs="宋体"/>
                <w:color w:val="auto"/>
                <w:szCs w:val="21"/>
                <w:highlight w:val="none"/>
              </w:rPr>
              <w:t>1</w:t>
            </w:r>
            <w:r>
              <w:rPr>
                <w:rFonts w:hint="eastAsia" w:ascii="宋体" w:hAnsi="宋体" w:cs="宋体"/>
                <w:color w:val="auto"/>
                <w:szCs w:val="21"/>
                <w:highlight w:val="none"/>
                <w:lang w:val="en-US" w:eastAsia="zh-CN"/>
              </w:rPr>
              <w:t>1</w:t>
            </w:r>
          </w:p>
        </w:tc>
        <w:tc>
          <w:tcPr>
            <w:tcW w:w="4412" w:type="dxa"/>
            <w:noWrap w:val="0"/>
            <w:vAlign w:val="center"/>
          </w:tcPr>
          <w:p>
            <w:pPr>
              <w:wordWrap w:val="0"/>
              <w:rPr>
                <w:rFonts w:hint="eastAsia" w:ascii="宋体" w:hAnsi="宋体" w:eastAsia="宋体" w:cs="宋体"/>
                <w:color w:val="auto"/>
                <w:kern w:val="0"/>
                <w:szCs w:val="21"/>
                <w:highlight w:val="none"/>
              </w:rPr>
            </w:pPr>
            <w:r>
              <w:rPr>
                <w:rFonts w:hint="eastAsia" w:ascii="宋体" w:hAnsi="宋体" w:cs="Arial"/>
                <w:color w:val="auto"/>
                <w:kern w:val="0"/>
                <w:szCs w:val="21"/>
                <w:highlight w:val="none"/>
                <w:lang w:val="en-US" w:eastAsia="zh-CN"/>
              </w:rPr>
              <w:t>具备乙级及以上测绘资质（须包含测绘航空摄影、地理信息系统）</w:t>
            </w:r>
            <w:r>
              <w:rPr>
                <w:rFonts w:hint="eastAsia"/>
                <w:color w:val="auto"/>
                <w:szCs w:val="22"/>
                <w:highlight w:val="none"/>
                <w:lang w:val="en-US" w:eastAsia="zh-CN"/>
              </w:rPr>
              <w:t>；</w:t>
            </w:r>
          </w:p>
        </w:tc>
        <w:tc>
          <w:tcPr>
            <w:tcW w:w="3951" w:type="dxa"/>
            <w:noWrap w:val="0"/>
            <w:vAlign w:val="center"/>
          </w:tcPr>
          <w:p>
            <w:pPr>
              <w:wordWrap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提供有效的</w:t>
            </w:r>
            <w:r>
              <w:rPr>
                <w:rFonts w:hint="eastAsia" w:ascii="宋体" w:hAnsi="宋体" w:eastAsia="宋体" w:cs="宋体"/>
                <w:color w:val="auto"/>
                <w:kern w:val="0"/>
                <w:szCs w:val="21"/>
                <w:highlight w:val="none"/>
                <w:lang w:val="en-US" w:eastAsia="zh-CN"/>
              </w:rPr>
              <w:t>测绘资质</w:t>
            </w:r>
            <w:r>
              <w:rPr>
                <w:rFonts w:hint="eastAsia" w:ascii="宋体" w:hAnsi="宋体" w:eastAsia="宋体" w:cs="宋体"/>
                <w:color w:val="auto"/>
                <w:kern w:val="0"/>
                <w:szCs w:val="21"/>
                <w:highlight w:val="none"/>
              </w:rPr>
              <w:t>证书复制件</w:t>
            </w:r>
          </w:p>
        </w:tc>
      </w:tr>
    </w:tbl>
    <w:p>
      <w:pPr>
        <w:snapToGrid w:val="0"/>
        <w:spacing w:line="300" w:lineRule="auto"/>
        <w:ind w:firstLine="422" w:firstLineChars="200"/>
        <w:jc w:val="left"/>
        <w:rPr>
          <w:rFonts w:ascii="Arial" w:hAnsi="Arial" w:cs="Arial"/>
          <w:b/>
          <w:bCs/>
          <w:color w:val="auto"/>
          <w:szCs w:val="21"/>
          <w:highlight w:val="none"/>
          <w:u w:val="single"/>
        </w:rPr>
      </w:pPr>
      <w:r>
        <w:rPr>
          <w:rFonts w:ascii="Arial" w:hAnsi="Arial" w:cs="Arial"/>
          <w:b/>
          <w:bCs/>
          <w:color w:val="auto"/>
          <w:szCs w:val="21"/>
          <w:highlight w:val="none"/>
          <w:u w:val="single"/>
        </w:rPr>
        <w:t>各声明函格式附后</w:t>
      </w:r>
    </w:p>
    <w:p>
      <w:pPr>
        <w:snapToGrid w:val="0"/>
        <w:spacing w:line="300" w:lineRule="auto"/>
        <w:rPr>
          <w:rFonts w:ascii="Arial" w:hAnsi="Arial" w:cs="Arial"/>
          <w:color w:val="auto"/>
          <w:highlight w:val="none"/>
        </w:rPr>
      </w:pPr>
      <w:r>
        <w:rPr>
          <w:rFonts w:ascii="Arial" w:hAnsi="Arial" w:cs="Arial"/>
          <w:color w:val="auto"/>
          <w:highlight w:val="none"/>
        </w:rPr>
        <w:br w:type="page"/>
      </w:r>
    </w:p>
    <w:p>
      <w:pPr>
        <w:adjustRightInd w:val="0"/>
        <w:snapToGrid w:val="0"/>
        <w:spacing w:line="360" w:lineRule="auto"/>
        <w:ind w:left="105" w:leftChars="50" w:firstLine="562" w:firstLineChars="200"/>
        <w:rPr>
          <w:rFonts w:ascii="宋体" w:hAnsi="宋体" w:cs="宋体"/>
          <w:b/>
          <w:color w:val="auto"/>
          <w:sz w:val="22"/>
          <w:highlight w:val="none"/>
        </w:rPr>
      </w:pPr>
      <w:r>
        <w:rPr>
          <w:rFonts w:hint="eastAsia" w:ascii="宋体" w:hAnsi="宋体" w:cs="宋体"/>
          <w:b/>
          <w:color w:val="auto"/>
          <w:sz w:val="28"/>
          <w:highlight w:val="none"/>
        </w:rPr>
        <w:t>资格要求审查材料：</w:t>
      </w:r>
    </w:p>
    <w:p>
      <w:pPr>
        <w:adjustRightInd w:val="0"/>
        <w:snapToGrid w:val="0"/>
        <w:spacing w:line="360" w:lineRule="auto"/>
        <w:ind w:left="105" w:leftChars="50" w:firstLine="420" w:firstLineChars="200"/>
        <w:rPr>
          <w:rFonts w:ascii="宋体" w:hAnsi="宋体" w:cs="宋体"/>
          <w:color w:val="auto"/>
          <w:szCs w:val="21"/>
          <w:highlight w:val="none"/>
        </w:rPr>
      </w:pPr>
      <w:r>
        <w:rPr>
          <w:rFonts w:hint="eastAsia" w:ascii="宋体" w:hAnsi="宋体" w:cs="宋体"/>
          <w:color w:val="auto"/>
          <w:szCs w:val="21"/>
          <w:highlight w:val="none"/>
        </w:rPr>
        <w:t>【即证明其符合《中华人民共和国政府采购法》规定的供应商基本条件的有关资格证明文件】</w:t>
      </w:r>
    </w:p>
    <w:p>
      <w:pPr>
        <w:adjustRightInd w:val="0"/>
        <w:snapToGrid w:val="0"/>
        <w:spacing w:line="360" w:lineRule="auto"/>
        <w:ind w:left="105" w:leftChars="50" w:firstLine="420" w:firstLineChars="200"/>
        <w:rPr>
          <w:rFonts w:ascii="宋体" w:hAnsi="宋体" w:cs="宋体"/>
          <w:color w:val="auto"/>
          <w:szCs w:val="21"/>
          <w:highlight w:val="none"/>
        </w:rPr>
      </w:pPr>
      <w:r>
        <w:rPr>
          <w:rFonts w:hint="eastAsia" w:ascii="宋体" w:hAnsi="宋体" w:cs="宋体"/>
          <w:color w:val="auto"/>
          <w:szCs w:val="21"/>
          <w:highlight w:val="none"/>
        </w:rPr>
        <w:t>包括：</w:t>
      </w:r>
    </w:p>
    <w:p>
      <w:pPr>
        <w:adjustRightInd w:val="0"/>
        <w:snapToGrid w:val="0"/>
        <w:spacing w:line="360" w:lineRule="auto"/>
        <w:ind w:left="105" w:leftChars="50"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1）营业执照(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 </w:t>
      </w:r>
    </w:p>
    <w:p>
      <w:pPr>
        <w:adjustRightInd w:val="0"/>
        <w:snapToGrid w:val="0"/>
        <w:spacing w:line="360" w:lineRule="auto"/>
        <w:ind w:left="105" w:leftChars="50" w:firstLine="420" w:firstLineChars="200"/>
        <w:rPr>
          <w:rFonts w:ascii="宋体" w:hAnsi="宋体" w:cs="宋体"/>
          <w:color w:val="auto"/>
          <w:szCs w:val="21"/>
          <w:highlight w:val="none"/>
        </w:rPr>
      </w:pPr>
      <w:r>
        <w:rPr>
          <w:rFonts w:hint="eastAsia" w:ascii="宋体" w:hAnsi="宋体" w:cs="宋体"/>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如有）。</w:t>
      </w:r>
    </w:p>
    <w:p>
      <w:pPr>
        <w:rPr>
          <w:rFonts w:hint="eastAsia" w:ascii="Arial" w:hAnsi="Arial" w:cs="Arial"/>
          <w:color w:val="auto"/>
          <w:highlight w:val="none"/>
        </w:rPr>
      </w:pPr>
    </w:p>
    <w:p>
      <w:pPr>
        <w:adjustRightInd w:val="0"/>
        <w:snapToGrid w:val="0"/>
        <w:spacing w:line="360" w:lineRule="auto"/>
        <w:ind w:left="105" w:leftChars="50" w:firstLine="420" w:firstLineChars="200"/>
        <w:rPr>
          <w:rFonts w:hint="eastAsia" w:ascii="宋体" w:hAnsi="宋体" w:cs="宋体"/>
          <w:color w:val="auto"/>
          <w:szCs w:val="21"/>
          <w:highlight w:val="none"/>
        </w:rPr>
      </w:pPr>
    </w:p>
    <w:p>
      <w:pPr>
        <w:adjustRightInd w:val="0"/>
        <w:snapToGrid w:val="0"/>
        <w:spacing w:line="360" w:lineRule="auto"/>
        <w:ind w:left="105" w:leftChars="50" w:firstLine="420" w:firstLineChars="200"/>
        <w:rPr>
          <w:rFonts w:hint="eastAsia" w:ascii="宋体" w:hAnsi="宋体" w:cs="宋体"/>
          <w:color w:val="auto"/>
          <w:szCs w:val="21"/>
          <w:highlight w:val="none"/>
        </w:rPr>
      </w:pPr>
    </w:p>
    <w:p>
      <w:pPr>
        <w:adjustRightInd w:val="0"/>
        <w:snapToGrid w:val="0"/>
        <w:spacing w:line="360" w:lineRule="auto"/>
        <w:ind w:left="105" w:leftChars="50" w:firstLine="420" w:firstLineChars="200"/>
        <w:rPr>
          <w:rFonts w:hint="eastAsia" w:ascii="宋体" w:hAnsi="宋体" w:cs="宋体"/>
          <w:color w:val="auto"/>
          <w:szCs w:val="21"/>
          <w:highlight w:val="none"/>
        </w:rPr>
      </w:pPr>
    </w:p>
    <w:p>
      <w:pPr>
        <w:adjustRightInd w:val="0"/>
        <w:snapToGrid w:val="0"/>
        <w:spacing w:line="360" w:lineRule="auto"/>
        <w:ind w:left="105" w:leftChars="50" w:firstLine="420" w:firstLineChars="200"/>
        <w:rPr>
          <w:rFonts w:hint="eastAsia" w:ascii="宋体" w:hAnsi="宋体" w:cs="宋体"/>
          <w:color w:val="auto"/>
          <w:szCs w:val="21"/>
          <w:highlight w:val="none"/>
        </w:rPr>
      </w:pPr>
    </w:p>
    <w:p>
      <w:pPr>
        <w:adjustRightInd w:val="0"/>
        <w:snapToGrid w:val="0"/>
        <w:spacing w:line="360" w:lineRule="auto"/>
        <w:ind w:left="105" w:leftChars="50" w:firstLine="420" w:firstLineChars="200"/>
        <w:rPr>
          <w:rFonts w:hint="eastAsia" w:ascii="宋体" w:hAnsi="宋体" w:cs="宋体"/>
          <w:color w:val="auto"/>
          <w:szCs w:val="21"/>
          <w:highlight w:val="none"/>
        </w:rPr>
      </w:pPr>
    </w:p>
    <w:p>
      <w:pPr>
        <w:adjustRightInd w:val="0"/>
        <w:snapToGrid w:val="0"/>
        <w:spacing w:line="360" w:lineRule="auto"/>
        <w:ind w:left="105" w:leftChars="50" w:firstLine="420" w:firstLineChars="200"/>
        <w:rPr>
          <w:rFonts w:hint="eastAsia" w:ascii="宋体" w:hAnsi="宋体" w:cs="宋体"/>
          <w:color w:val="auto"/>
          <w:szCs w:val="21"/>
          <w:highlight w:val="none"/>
        </w:rPr>
      </w:pPr>
    </w:p>
    <w:p>
      <w:pPr>
        <w:adjustRightInd w:val="0"/>
        <w:snapToGrid w:val="0"/>
        <w:spacing w:line="360" w:lineRule="auto"/>
        <w:ind w:left="105" w:leftChars="50" w:firstLine="420" w:firstLineChars="200"/>
        <w:rPr>
          <w:rFonts w:hint="eastAsia" w:ascii="宋体" w:hAnsi="宋体" w:cs="宋体"/>
          <w:color w:val="auto"/>
          <w:szCs w:val="21"/>
          <w:highlight w:val="none"/>
        </w:rPr>
      </w:pPr>
    </w:p>
    <w:p>
      <w:pPr>
        <w:adjustRightInd w:val="0"/>
        <w:snapToGrid w:val="0"/>
        <w:spacing w:line="360" w:lineRule="auto"/>
        <w:ind w:left="105" w:leftChars="50" w:firstLine="420" w:firstLineChars="200"/>
        <w:rPr>
          <w:rFonts w:hint="eastAsia" w:ascii="宋体" w:hAnsi="宋体" w:cs="宋体"/>
          <w:color w:val="auto"/>
          <w:szCs w:val="21"/>
          <w:highlight w:val="none"/>
        </w:rPr>
      </w:pPr>
    </w:p>
    <w:p>
      <w:pPr>
        <w:adjustRightInd w:val="0"/>
        <w:snapToGrid w:val="0"/>
        <w:spacing w:line="360" w:lineRule="auto"/>
        <w:ind w:left="105" w:leftChars="50" w:firstLine="420" w:firstLineChars="200"/>
        <w:rPr>
          <w:rFonts w:hint="eastAsia" w:ascii="宋体" w:hAnsi="宋体" w:cs="宋体"/>
          <w:color w:val="auto"/>
          <w:szCs w:val="21"/>
          <w:highlight w:val="none"/>
        </w:rPr>
      </w:pPr>
    </w:p>
    <w:p>
      <w:pPr>
        <w:adjustRightInd w:val="0"/>
        <w:snapToGrid w:val="0"/>
        <w:spacing w:line="360" w:lineRule="auto"/>
        <w:ind w:left="105" w:leftChars="50" w:firstLine="420" w:firstLineChars="200"/>
        <w:rPr>
          <w:rFonts w:hint="eastAsia" w:ascii="宋体" w:hAnsi="宋体" w:cs="宋体"/>
          <w:color w:val="auto"/>
          <w:szCs w:val="21"/>
          <w:highlight w:val="none"/>
        </w:rPr>
      </w:pPr>
    </w:p>
    <w:p>
      <w:pPr>
        <w:adjustRightInd w:val="0"/>
        <w:snapToGrid w:val="0"/>
        <w:spacing w:line="360" w:lineRule="auto"/>
        <w:ind w:left="105" w:leftChars="50" w:firstLine="420" w:firstLineChars="200"/>
        <w:rPr>
          <w:rFonts w:hint="eastAsia" w:ascii="宋体" w:hAnsi="宋体" w:cs="宋体"/>
          <w:color w:val="auto"/>
          <w:szCs w:val="21"/>
          <w:highlight w:val="none"/>
        </w:rPr>
      </w:pPr>
    </w:p>
    <w:p>
      <w:pPr>
        <w:adjustRightInd w:val="0"/>
        <w:snapToGrid w:val="0"/>
        <w:spacing w:line="360" w:lineRule="auto"/>
        <w:ind w:left="105" w:leftChars="50" w:firstLine="420" w:firstLineChars="200"/>
        <w:rPr>
          <w:rFonts w:hint="eastAsia" w:ascii="宋体" w:hAnsi="宋体" w:cs="宋体"/>
          <w:color w:val="auto"/>
          <w:szCs w:val="21"/>
          <w:highlight w:val="none"/>
        </w:rPr>
      </w:pPr>
    </w:p>
    <w:p>
      <w:pPr>
        <w:adjustRightInd w:val="0"/>
        <w:snapToGrid w:val="0"/>
        <w:spacing w:line="360" w:lineRule="auto"/>
        <w:ind w:left="105" w:leftChars="50" w:firstLine="420" w:firstLineChars="200"/>
        <w:rPr>
          <w:rFonts w:hint="eastAsia" w:ascii="宋体" w:hAnsi="宋体" w:cs="宋体"/>
          <w:color w:val="auto"/>
          <w:szCs w:val="21"/>
          <w:highlight w:val="none"/>
        </w:rPr>
      </w:pPr>
    </w:p>
    <w:p>
      <w:pPr>
        <w:adjustRightInd w:val="0"/>
        <w:snapToGrid w:val="0"/>
        <w:spacing w:line="360" w:lineRule="auto"/>
        <w:ind w:left="105" w:leftChars="50" w:firstLine="420" w:firstLineChars="200"/>
        <w:rPr>
          <w:rFonts w:hint="eastAsia" w:ascii="宋体" w:hAnsi="宋体" w:cs="宋体"/>
          <w:color w:val="auto"/>
          <w:szCs w:val="21"/>
          <w:highlight w:val="none"/>
        </w:rPr>
      </w:pPr>
    </w:p>
    <w:p>
      <w:pPr>
        <w:adjustRightInd w:val="0"/>
        <w:snapToGrid w:val="0"/>
        <w:spacing w:line="360" w:lineRule="auto"/>
        <w:ind w:left="105" w:leftChars="50" w:firstLine="420" w:firstLineChars="200"/>
        <w:rPr>
          <w:rFonts w:hint="eastAsia" w:ascii="宋体" w:hAnsi="宋体" w:cs="宋体"/>
          <w:color w:val="auto"/>
          <w:szCs w:val="21"/>
          <w:highlight w:val="none"/>
        </w:rPr>
      </w:pPr>
    </w:p>
    <w:p>
      <w:pPr>
        <w:adjustRightInd w:val="0"/>
        <w:snapToGrid w:val="0"/>
        <w:spacing w:line="360" w:lineRule="auto"/>
        <w:ind w:left="105" w:leftChars="50" w:firstLine="420" w:firstLineChars="200"/>
        <w:rPr>
          <w:rFonts w:hint="eastAsia" w:ascii="宋体" w:hAnsi="宋体" w:cs="宋体"/>
          <w:color w:val="auto"/>
          <w:szCs w:val="21"/>
          <w:highlight w:val="none"/>
        </w:rPr>
      </w:pPr>
    </w:p>
    <w:p>
      <w:pPr>
        <w:adjustRightInd w:val="0"/>
        <w:snapToGrid w:val="0"/>
        <w:spacing w:line="360" w:lineRule="auto"/>
        <w:ind w:left="105" w:leftChars="50" w:firstLine="420" w:firstLineChars="200"/>
        <w:rPr>
          <w:rFonts w:hint="eastAsia" w:ascii="宋体" w:hAnsi="宋体" w:cs="宋体"/>
          <w:color w:val="auto"/>
          <w:szCs w:val="21"/>
          <w:highlight w:val="none"/>
        </w:rPr>
      </w:pPr>
    </w:p>
    <w:p>
      <w:pPr>
        <w:adjustRightInd w:val="0"/>
        <w:snapToGrid w:val="0"/>
        <w:spacing w:line="360" w:lineRule="auto"/>
        <w:ind w:left="105" w:leftChars="50" w:firstLine="420" w:firstLineChars="200"/>
        <w:rPr>
          <w:rFonts w:hint="eastAsia" w:ascii="宋体" w:hAnsi="宋体" w:cs="宋体"/>
          <w:color w:val="auto"/>
          <w:szCs w:val="21"/>
          <w:highlight w:val="none"/>
        </w:rPr>
      </w:pPr>
    </w:p>
    <w:p>
      <w:pPr>
        <w:adjustRightInd w:val="0"/>
        <w:snapToGrid w:val="0"/>
        <w:spacing w:line="360" w:lineRule="auto"/>
        <w:ind w:left="105" w:leftChars="50" w:firstLine="420" w:firstLineChars="200"/>
        <w:rPr>
          <w:rFonts w:hint="eastAsia" w:ascii="宋体" w:hAnsi="宋体" w:cs="宋体"/>
          <w:color w:val="auto"/>
          <w:szCs w:val="21"/>
          <w:highlight w:val="none"/>
        </w:rPr>
      </w:pPr>
    </w:p>
    <w:p>
      <w:pPr>
        <w:adjustRightInd w:val="0"/>
        <w:snapToGrid w:val="0"/>
        <w:spacing w:line="360" w:lineRule="auto"/>
        <w:ind w:left="105" w:leftChars="50" w:firstLine="420" w:firstLineChars="200"/>
        <w:rPr>
          <w:rFonts w:hint="eastAsia" w:ascii="宋体" w:hAnsi="宋体" w:cs="宋体"/>
          <w:color w:val="auto"/>
          <w:szCs w:val="21"/>
          <w:highlight w:val="none"/>
        </w:rPr>
      </w:pPr>
    </w:p>
    <w:p>
      <w:pPr>
        <w:pStyle w:val="28"/>
        <w:rPr>
          <w:rFonts w:hint="eastAsia"/>
          <w:color w:val="auto"/>
          <w:highlight w:val="none"/>
        </w:rPr>
      </w:pPr>
    </w:p>
    <w:p>
      <w:pPr>
        <w:adjustRightInd w:val="0"/>
        <w:snapToGrid w:val="0"/>
        <w:spacing w:line="360" w:lineRule="auto"/>
        <w:ind w:left="105" w:leftChars="50" w:firstLine="420" w:firstLineChars="200"/>
        <w:rPr>
          <w:rFonts w:hint="eastAsia" w:ascii="宋体" w:hAnsi="宋体" w:cs="宋体"/>
          <w:color w:val="auto"/>
          <w:szCs w:val="21"/>
          <w:highlight w:val="none"/>
        </w:rPr>
      </w:pPr>
    </w:p>
    <w:p>
      <w:pPr>
        <w:adjustRightInd w:val="0"/>
        <w:snapToGrid w:val="0"/>
        <w:spacing w:line="360" w:lineRule="auto"/>
        <w:ind w:left="105" w:leftChars="50" w:firstLine="420" w:firstLineChars="200"/>
        <w:rPr>
          <w:rFonts w:hint="eastAsia" w:ascii="宋体" w:hAnsi="宋体" w:cs="宋体"/>
          <w:color w:val="auto"/>
          <w:szCs w:val="21"/>
          <w:highlight w:val="none"/>
        </w:rPr>
      </w:pPr>
    </w:p>
    <w:p>
      <w:pPr>
        <w:adjustRightInd w:val="0"/>
        <w:snapToGrid w:val="0"/>
        <w:spacing w:line="360" w:lineRule="auto"/>
        <w:ind w:left="105" w:leftChars="50"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2）承诺函</w:t>
      </w:r>
    </w:p>
    <w:p>
      <w:pPr>
        <w:widowControl/>
        <w:adjustRightInd w:val="0"/>
        <w:snapToGrid w:val="0"/>
        <w:spacing w:line="360" w:lineRule="auto"/>
        <w:jc w:val="center"/>
        <w:rPr>
          <w:rFonts w:hint="eastAsia" w:ascii="宋体" w:hAnsi="宋体" w:cs="宋体"/>
          <w:b/>
          <w:color w:val="auto"/>
          <w:kern w:val="0"/>
          <w:sz w:val="28"/>
          <w:szCs w:val="28"/>
          <w:highlight w:val="none"/>
        </w:rPr>
      </w:pPr>
    </w:p>
    <w:p>
      <w:pPr>
        <w:widowControl/>
        <w:adjustRightInd w:val="0"/>
        <w:snapToGrid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承诺函</w:t>
      </w:r>
    </w:p>
    <w:p>
      <w:pPr>
        <w:widowControl/>
        <w:adjustRightInd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龙游县自然资源和规划局</w:t>
      </w:r>
      <w:r>
        <w:rPr>
          <w:rFonts w:hint="eastAsia" w:ascii="宋体" w:hAnsi="宋体" w:cs="宋体"/>
          <w:color w:val="auto"/>
          <w:kern w:val="0"/>
          <w:szCs w:val="21"/>
          <w:highlight w:val="none"/>
        </w:rPr>
        <w:t>：</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我方</w:t>
      </w:r>
      <w:r>
        <w:rPr>
          <w:rFonts w:hint="eastAsia" w:ascii="宋体" w:hAnsi="宋体" w:cs="宋体"/>
          <w:color w:val="auto"/>
          <w:kern w:val="0"/>
          <w:szCs w:val="21"/>
          <w:highlight w:val="none"/>
          <w:u w:val="single"/>
        </w:rPr>
        <w:t>（投标人）</w:t>
      </w:r>
      <w:r>
        <w:rPr>
          <w:rFonts w:hint="eastAsia" w:ascii="宋体" w:hAnsi="宋体" w:cs="宋体"/>
          <w:color w:val="auto"/>
          <w:kern w:val="0"/>
          <w:szCs w:val="21"/>
          <w:highlight w:val="none"/>
        </w:rPr>
        <w:t>承诺：</w:t>
      </w:r>
    </w:p>
    <w:p>
      <w:pPr>
        <w:widowControl/>
        <w:numPr>
          <w:ilvl w:val="0"/>
          <w:numId w:val="7"/>
        </w:num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highlight w:val="none"/>
        </w:rPr>
        <w:t>具有良好的商业信誉和健全的财务会计制度</w:t>
      </w:r>
      <w:r>
        <w:rPr>
          <w:rFonts w:hint="eastAsia" w:ascii="宋体" w:hAnsi="宋体" w:cs="宋体"/>
          <w:color w:val="auto"/>
          <w:kern w:val="0"/>
          <w:szCs w:val="21"/>
          <w:highlight w:val="none"/>
        </w:rPr>
        <w:t>；</w:t>
      </w:r>
    </w:p>
    <w:p>
      <w:pPr>
        <w:widowControl/>
        <w:numPr>
          <w:ilvl w:val="0"/>
          <w:numId w:val="7"/>
        </w:num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具有履行合同所必需的设备和专业技术能力；</w:t>
      </w:r>
    </w:p>
    <w:p>
      <w:pPr>
        <w:widowControl/>
        <w:numPr>
          <w:ilvl w:val="0"/>
          <w:numId w:val="7"/>
        </w:num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严格依法缴纳税收和社会保障资金；</w:t>
      </w:r>
    </w:p>
    <w:p>
      <w:pPr>
        <w:widowControl/>
        <w:numPr>
          <w:ilvl w:val="0"/>
          <w:numId w:val="7"/>
        </w:num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参加本次采购活动前</w:t>
      </w:r>
      <w:r>
        <w:rPr>
          <w:rFonts w:ascii="宋体" w:hAnsi="宋体" w:cs="宋体"/>
          <w:color w:val="auto"/>
          <w:kern w:val="0"/>
          <w:szCs w:val="21"/>
          <w:highlight w:val="none"/>
        </w:rPr>
        <w:t>3年内在经营活动中没有重大违法记录（没有因违法经营受到刑事处罚，没有被责令停产停业、被吊销许可证或者执照、被处以较大数额罚款等行政处罚，没有因违法经营被禁止参加采购活动的期限未满情形）；</w:t>
      </w:r>
    </w:p>
    <w:p>
      <w:pPr>
        <w:widowControl/>
        <w:numPr>
          <w:ilvl w:val="0"/>
          <w:numId w:val="7"/>
        </w:num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未被列入失信被执行人名单、重大税收违法案件当事人名单、政府采购严重违法失信行为记录名单；</w:t>
      </w:r>
    </w:p>
    <w:p>
      <w:pPr>
        <w:widowControl/>
        <w:numPr>
          <w:ilvl w:val="0"/>
          <w:numId w:val="7"/>
        </w:num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与参加本次项目同一</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项</w:t>
      </w:r>
      <w:r>
        <w:rPr>
          <w:rFonts w:hint="eastAsia" w:ascii="宋体" w:hAnsi="宋体" w:eastAsia="宋体" w:cs="宋体"/>
          <w:color w:val="auto"/>
          <w:kern w:val="0"/>
          <w:szCs w:val="21"/>
          <w:highlight w:val="none"/>
          <w:lang w:val="en-US" w:eastAsia="zh-CN"/>
        </w:rPr>
        <w:t>的政府</w:t>
      </w:r>
      <w:r>
        <w:rPr>
          <w:rFonts w:hint="eastAsia" w:ascii="宋体" w:hAnsi="宋体" w:eastAsia="宋体" w:cs="宋体"/>
          <w:color w:val="auto"/>
          <w:kern w:val="0"/>
          <w:szCs w:val="21"/>
          <w:highlight w:val="none"/>
        </w:rPr>
        <w:t>采购活动的其他供应商不存在单位负责人为同一人或者直接控股、管理关系；</w:t>
      </w:r>
    </w:p>
    <w:p>
      <w:pPr>
        <w:widowControl/>
        <w:numPr>
          <w:ilvl w:val="0"/>
          <w:numId w:val="7"/>
        </w:numPr>
        <w:adjustRightInd w:val="0"/>
        <w:snapToGrid w:val="0"/>
        <w:spacing w:line="360" w:lineRule="auto"/>
        <w:ind w:firstLine="420" w:firstLineChars="200"/>
        <w:jc w:val="left"/>
        <w:rPr>
          <w:rFonts w:ascii="宋体" w:hAnsi="宋体" w:eastAsia="宋体" w:cs="宋体"/>
          <w:color w:val="auto"/>
          <w:kern w:val="0"/>
          <w:szCs w:val="21"/>
          <w:highlight w:val="none"/>
        </w:rPr>
      </w:pPr>
      <w:r>
        <w:rPr>
          <w:rFonts w:cs="Arial"/>
        </w:rPr>
        <w:t>在此之前，</w:t>
      </w:r>
      <w:r>
        <w:rPr>
          <w:rFonts w:ascii="宋体" w:hAnsi="宋体" w:eastAsia="宋体" w:cs="宋体"/>
          <w:color w:val="auto"/>
          <w:kern w:val="0"/>
          <w:szCs w:val="21"/>
          <w:highlight w:val="none"/>
        </w:rPr>
        <w:t>未针对本</w:t>
      </w:r>
      <w:r>
        <w:rPr>
          <w:rFonts w:hint="eastAsia" w:ascii="宋体" w:hAnsi="宋体" w:eastAsia="宋体" w:cs="宋体"/>
          <w:color w:val="auto"/>
          <w:kern w:val="0"/>
          <w:szCs w:val="21"/>
          <w:highlight w:val="none"/>
          <w:lang w:val="en-US" w:eastAsia="zh-CN"/>
        </w:rPr>
        <w:t>项目</w:t>
      </w:r>
      <w:r>
        <w:rPr>
          <w:rFonts w:ascii="宋体" w:hAnsi="宋体" w:eastAsia="宋体" w:cs="宋体"/>
          <w:color w:val="auto"/>
          <w:kern w:val="0"/>
          <w:szCs w:val="21"/>
          <w:highlight w:val="none"/>
        </w:rPr>
        <w:t>提供整体设计、规范编制或者项目管理、监理、检测等服务</w:t>
      </w:r>
      <w:r>
        <w:rPr>
          <w:rFonts w:hint="eastAsia" w:ascii="宋体" w:hAnsi="宋体" w:eastAsia="宋体" w:cs="宋体"/>
          <w:color w:val="auto"/>
          <w:kern w:val="0"/>
          <w:szCs w:val="21"/>
          <w:highlight w:val="none"/>
          <w:lang w:eastAsia="zh-CN"/>
        </w:rPr>
        <w:t>。</w:t>
      </w:r>
    </w:p>
    <w:p>
      <w:pPr>
        <w:widowControl/>
        <w:adjustRightInd w:val="0"/>
        <w:snapToGrid w:val="0"/>
        <w:spacing w:line="360" w:lineRule="auto"/>
        <w:ind w:left="420" w:leftChars="200"/>
        <w:jc w:val="left"/>
        <w:rPr>
          <w:rFonts w:ascii="宋体" w:hAnsi="宋体" w:cs="宋体"/>
        </w:rPr>
      </w:pPr>
      <w:r>
        <w:rPr>
          <w:rFonts w:hint="eastAsia" w:ascii="宋体" w:hAnsi="宋体" w:eastAsia="宋体" w:cs="宋体"/>
          <w:color w:val="auto"/>
          <w:kern w:val="0"/>
          <w:szCs w:val="21"/>
          <w:highlight w:val="none"/>
          <w:lang w:val="en-US" w:eastAsia="zh-CN"/>
        </w:rPr>
        <w:t>8、</w:t>
      </w:r>
      <w:r>
        <w:rPr>
          <w:rFonts w:hint="eastAsia" w:ascii="宋体" w:hAnsi="宋体" w:cs="宋体"/>
          <w:kern w:val="0"/>
          <w:szCs w:val="21"/>
        </w:rPr>
        <w:t>此次参加本项目的投标，为非联合体投标。</w:t>
      </w:r>
    </w:p>
    <w:p>
      <w:pPr>
        <w:pStyle w:val="2"/>
        <w:rPr>
          <w:rFonts w:hint="default"/>
          <w:lang w:val="en-US"/>
        </w:rPr>
      </w:pPr>
    </w:p>
    <w:p>
      <w:pPr>
        <w:widowControl/>
        <w:numPr>
          <w:ilvl w:val="0"/>
          <w:numId w:val="0"/>
        </w:num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如有虚假，采购人可取消我方任何资格（投标</w:t>
      </w:r>
      <w:r>
        <w:rPr>
          <w:rFonts w:ascii="宋体" w:hAnsi="宋体" w:eastAsia="宋体" w:cs="宋体"/>
          <w:color w:val="auto"/>
          <w:kern w:val="0"/>
          <w:szCs w:val="21"/>
          <w:highlight w:val="none"/>
        </w:rPr>
        <w:t>/中标/签订合同），我方对此无任何异议，并承担一切后果。</w:t>
      </w:r>
    </w:p>
    <w:p>
      <w:pPr>
        <w:widowControl/>
        <w:snapToGrid w:val="0"/>
        <w:spacing w:line="360" w:lineRule="auto"/>
        <w:ind w:firstLine="420" w:firstLineChars="200"/>
        <w:jc w:val="left"/>
        <w:rPr>
          <w:rFonts w:ascii="宋体" w:hAnsi="宋体" w:cs="宋体"/>
          <w:color w:val="auto"/>
          <w:kern w:val="0"/>
          <w:szCs w:val="21"/>
          <w:highlight w:val="none"/>
        </w:rPr>
      </w:pP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特此承诺！</w:t>
      </w:r>
    </w:p>
    <w:p>
      <w:pPr>
        <w:adjustRightInd w:val="0"/>
        <w:snapToGrid w:val="0"/>
        <w:spacing w:line="360" w:lineRule="auto"/>
        <w:ind w:left="525" w:leftChars="250"/>
        <w:rPr>
          <w:rFonts w:ascii="宋体" w:hAnsi="宋体" w:cs="宋体"/>
          <w:color w:val="auto"/>
          <w:szCs w:val="21"/>
          <w:highlight w:val="none"/>
        </w:rPr>
      </w:pP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投标人全称（盖章）：</w:t>
      </w: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日期：</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年</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月</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日</w:t>
      </w:r>
    </w:p>
    <w:p>
      <w:pPr>
        <w:pStyle w:val="28"/>
        <w:rPr>
          <w:rFonts w:hint="eastAsia" w:hAnsi="宋体" w:cs="宋体"/>
          <w:color w:val="auto"/>
          <w:kern w:val="0"/>
          <w:szCs w:val="21"/>
          <w:highlight w:val="none"/>
        </w:rPr>
      </w:pPr>
    </w:p>
    <w:p>
      <w:pPr>
        <w:rPr>
          <w:rFonts w:hint="eastAsia" w:ascii="宋体" w:hAnsi="宋体" w:cs="宋体"/>
          <w:color w:val="auto"/>
          <w:kern w:val="0"/>
          <w:szCs w:val="21"/>
          <w:highlight w:val="none"/>
        </w:rPr>
      </w:pPr>
    </w:p>
    <w:p>
      <w:pPr>
        <w:pStyle w:val="28"/>
        <w:rPr>
          <w:rFonts w:hint="eastAsia" w:hAnsi="宋体" w:cs="宋体"/>
          <w:color w:val="auto"/>
          <w:kern w:val="0"/>
          <w:szCs w:val="21"/>
          <w:highlight w:val="none"/>
        </w:rPr>
      </w:pPr>
    </w:p>
    <w:p>
      <w:pPr>
        <w:rPr>
          <w:rFonts w:hint="eastAsia" w:ascii="宋体" w:hAnsi="宋体" w:cs="宋体"/>
          <w:color w:val="auto"/>
          <w:kern w:val="0"/>
          <w:szCs w:val="21"/>
          <w:highlight w:val="none"/>
        </w:rPr>
      </w:pPr>
    </w:p>
    <w:p>
      <w:pPr>
        <w:ind w:firstLine="422" w:firstLineChars="200"/>
        <w:rPr>
          <w:rFonts w:eastAsia="楷体" w:cs="Arial"/>
          <w:b/>
          <w:bCs/>
          <w:color w:val="auto"/>
          <w:szCs w:val="21"/>
          <w:highlight w:val="none"/>
          <w:u w:val="single"/>
        </w:rPr>
      </w:pPr>
    </w:p>
    <w:p>
      <w:pPr>
        <w:pStyle w:val="28"/>
        <w:rPr>
          <w:rFonts w:hint="eastAsia" w:hAnsi="宋体" w:cs="宋体"/>
          <w:color w:val="auto"/>
          <w:kern w:val="0"/>
          <w:szCs w:val="21"/>
          <w:highlight w:val="none"/>
        </w:rPr>
        <w:sectPr>
          <w:headerReference r:id="rId12" w:type="default"/>
          <w:footerReference r:id="rId13" w:type="default"/>
          <w:pgSz w:w="11906" w:h="16838"/>
          <w:pgMar w:top="1247" w:right="1247" w:bottom="1247" w:left="1247" w:header="851" w:footer="851" w:gutter="0"/>
          <w:cols w:space="720" w:num="1"/>
          <w:docGrid w:linePitch="272" w:charSpace="-3831"/>
        </w:sectPr>
      </w:pPr>
    </w:p>
    <w:p>
      <w:pPr>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（二）商务技术文件</w:t>
      </w:r>
    </w:p>
    <w:p>
      <w:pPr>
        <w:spacing w:line="360" w:lineRule="auto"/>
        <w:jc w:val="center"/>
        <w:rPr>
          <w:rFonts w:hint="eastAsia" w:ascii="宋体" w:hAnsi="宋体" w:cs="宋体"/>
          <w:b/>
          <w:bCs/>
          <w:color w:val="auto"/>
          <w:sz w:val="32"/>
          <w:szCs w:val="20"/>
          <w:highlight w:val="none"/>
        </w:rPr>
      </w:pPr>
    </w:p>
    <w:p>
      <w:pPr>
        <w:rPr>
          <w:rFonts w:hint="eastAsia" w:ascii="宋体" w:hAnsi="宋体" w:cs="宋体"/>
          <w:b/>
          <w:color w:val="auto"/>
          <w:highlight w:val="none"/>
        </w:rPr>
      </w:pPr>
      <w:r>
        <w:rPr>
          <w:rFonts w:hint="eastAsia" w:ascii="宋体" w:hAnsi="宋体" w:cs="宋体"/>
          <w:b/>
          <w:color w:val="auto"/>
          <w:highlight w:val="none"/>
        </w:rPr>
        <w:t>一、法定代表人资格证明书及授权委托书格式</w:t>
      </w:r>
    </w:p>
    <w:p>
      <w:pPr>
        <w:rPr>
          <w:rFonts w:hint="eastAsia" w:ascii="宋体" w:hAnsi="宋体" w:cs="宋体"/>
          <w:b/>
          <w:color w:val="auto"/>
          <w:highlight w:val="none"/>
        </w:rPr>
      </w:pPr>
    </w:p>
    <w:p>
      <w:pPr>
        <w:rPr>
          <w:rFonts w:hint="eastAsia" w:ascii="宋体" w:hAnsi="宋体" w:cs="宋体"/>
          <w:color w:val="auto"/>
          <w:highlight w:val="none"/>
        </w:rPr>
      </w:pPr>
    </w:p>
    <w:p>
      <w:pPr>
        <w:pStyle w:val="28"/>
        <w:adjustRightInd w:val="0"/>
        <w:snapToGrid w:val="0"/>
        <w:spacing w:line="360" w:lineRule="auto"/>
        <w:ind w:firstLine="643"/>
        <w:jc w:val="center"/>
        <w:rPr>
          <w:rFonts w:hint="eastAsia" w:hAnsi="宋体" w:cs="宋体"/>
          <w:b/>
          <w:bCs/>
          <w:color w:val="auto"/>
          <w:sz w:val="32"/>
          <w:highlight w:val="none"/>
        </w:rPr>
      </w:pPr>
      <w:r>
        <w:rPr>
          <w:rFonts w:hint="eastAsia" w:hAnsi="宋体" w:cs="宋体"/>
          <w:b/>
          <w:bCs/>
          <w:color w:val="auto"/>
          <w:sz w:val="32"/>
          <w:highlight w:val="none"/>
        </w:rPr>
        <w:t>法定代表人资格证明书</w:t>
      </w:r>
    </w:p>
    <w:p>
      <w:pPr>
        <w:pStyle w:val="28"/>
        <w:adjustRightInd w:val="0"/>
        <w:spacing w:line="360" w:lineRule="auto"/>
        <w:ind w:firstLine="480" w:firstLineChars="229"/>
        <w:rPr>
          <w:rFonts w:hint="eastAsia" w:hAnsi="宋体" w:cs="宋体"/>
          <w:color w:val="auto"/>
          <w:highlight w:val="none"/>
          <w:u w:val="single"/>
        </w:rPr>
      </w:pPr>
      <w:r>
        <w:rPr>
          <w:rFonts w:hint="eastAsia" w:hAnsi="宋体" w:cs="宋体"/>
          <w:color w:val="auto"/>
          <w:highlight w:val="none"/>
          <w:u w:val="single"/>
        </w:rPr>
        <w:t>（采购人单位名称）：</w:t>
      </w:r>
    </w:p>
    <w:p>
      <w:pPr>
        <w:pStyle w:val="28"/>
        <w:adjustRightInd w:val="0"/>
        <w:spacing w:line="360" w:lineRule="auto"/>
        <w:ind w:firstLine="482"/>
        <w:rPr>
          <w:rFonts w:hint="eastAsia" w:hAnsi="宋体" w:cs="宋体"/>
          <w:color w:val="auto"/>
          <w:highlight w:val="none"/>
          <w:u w:val="single"/>
        </w:rPr>
      </w:pPr>
      <w:r>
        <w:rPr>
          <w:rFonts w:hint="eastAsia" w:hAnsi="宋体" w:cs="宋体"/>
          <w:color w:val="auto"/>
          <w:highlight w:val="none"/>
          <w:u w:val="single"/>
        </w:rPr>
        <w:t>泰宇建筑工程技术咨询有限公司：</w:t>
      </w:r>
    </w:p>
    <w:p>
      <w:pPr>
        <w:pStyle w:val="28"/>
        <w:adjustRightInd w:val="0"/>
        <w:spacing w:line="360" w:lineRule="auto"/>
        <w:ind w:firstLine="482"/>
        <w:rPr>
          <w:rFonts w:hint="eastAsia" w:hAnsi="宋体" w:cs="宋体"/>
          <w:color w:val="auto"/>
          <w:highlight w:val="none"/>
        </w:rPr>
      </w:pPr>
    </w:p>
    <w:p>
      <w:pPr>
        <w:pStyle w:val="22"/>
        <w:adjustRightInd w:val="0"/>
        <w:spacing w:before="0" w:line="360" w:lineRule="auto"/>
        <w:ind w:firstLine="420" w:firstLineChars="200"/>
        <w:rPr>
          <w:rFonts w:hint="eastAsia" w:hAnsi="宋体" w:cs="宋体"/>
          <w:snapToGrid w:val="0"/>
          <w:color w:val="auto"/>
          <w:sz w:val="21"/>
          <w:szCs w:val="21"/>
          <w:highlight w:val="none"/>
        </w:rPr>
      </w:pPr>
      <w:r>
        <w:rPr>
          <w:rFonts w:hint="eastAsia" w:hAnsi="宋体" w:cs="宋体"/>
          <w:snapToGrid w:val="0"/>
          <w:color w:val="auto"/>
          <w:sz w:val="21"/>
          <w:szCs w:val="21"/>
          <w:highlight w:val="none"/>
          <w:u w:val="single"/>
        </w:rPr>
        <w:t>（姓名）</w:t>
      </w:r>
      <w:r>
        <w:rPr>
          <w:rFonts w:hint="eastAsia" w:hAnsi="宋体" w:cs="宋体"/>
          <w:snapToGrid w:val="0"/>
          <w:color w:val="auto"/>
          <w:sz w:val="21"/>
          <w:szCs w:val="21"/>
          <w:highlight w:val="none"/>
        </w:rPr>
        <w:t>系</w:t>
      </w:r>
      <w:r>
        <w:rPr>
          <w:rFonts w:hint="eastAsia" w:hAnsi="宋体" w:cs="宋体"/>
          <w:snapToGrid w:val="0"/>
          <w:color w:val="auto"/>
          <w:sz w:val="21"/>
          <w:szCs w:val="21"/>
          <w:highlight w:val="none"/>
          <w:u w:val="single"/>
        </w:rPr>
        <w:t>（单位名称）</w:t>
      </w:r>
      <w:r>
        <w:rPr>
          <w:rFonts w:hint="eastAsia" w:hAnsi="宋体" w:cs="宋体"/>
          <w:snapToGrid w:val="0"/>
          <w:color w:val="auto"/>
          <w:sz w:val="21"/>
          <w:szCs w:val="21"/>
          <w:highlight w:val="none"/>
        </w:rPr>
        <w:t>的法定代表人，</w:t>
      </w:r>
      <w:r>
        <w:rPr>
          <w:rFonts w:hint="eastAsia" w:hAnsi="宋体" w:cs="宋体"/>
          <w:snapToGrid w:val="0"/>
          <w:color w:val="auto"/>
          <w:sz w:val="21"/>
          <w:szCs w:val="21"/>
          <w:highlight w:val="none"/>
          <w:u w:val="single"/>
        </w:rPr>
        <w:t>（身份证号）</w:t>
      </w:r>
      <w:r>
        <w:rPr>
          <w:rFonts w:hint="eastAsia" w:hAnsi="宋体" w:cs="宋体"/>
          <w:snapToGrid w:val="0"/>
          <w:color w:val="auto"/>
          <w:sz w:val="21"/>
          <w:szCs w:val="21"/>
          <w:highlight w:val="none"/>
        </w:rPr>
        <w:t>。</w:t>
      </w:r>
    </w:p>
    <w:p>
      <w:pPr>
        <w:pStyle w:val="22"/>
        <w:adjustRightInd w:val="0"/>
        <w:spacing w:before="0" w:line="360" w:lineRule="auto"/>
        <w:ind w:firstLine="420" w:firstLineChars="200"/>
        <w:rPr>
          <w:rFonts w:hint="eastAsia" w:hAnsi="宋体" w:cs="宋体"/>
          <w:snapToGrid w:val="0"/>
          <w:color w:val="auto"/>
          <w:sz w:val="21"/>
          <w:szCs w:val="21"/>
          <w:highlight w:val="none"/>
        </w:rPr>
      </w:pPr>
      <w:r>
        <w:rPr>
          <w:rFonts w:hint="eastAsia" w:hAnsi="宋体" w:cs="宋体"/>
          <w:snapToGrid w:val="0"/>
          <w:color w:val="auto"/>
          <w:sz w:val="21"/>
          <w:szCs w:val="21"/>
          <w:highlight w:val="none"/>
        </w:rPr>
        <w:t>特此证明。</w:t>
      </w:r>
    </w:p>
    <w:p>
      <w:pPr>
        <w:pStyle w:val="22"/>
        <w:adjustRightInd w:val="0"/>
        <w:spacing w:before="0" w:line="360" w:lineRule="auto"/>
        <w:ind w:firstLine="422" w:firstLineChars="200"/>
        <w:rPr>
          <w:rFonts w:hint="eastAsia" w:hAnsi="宋体" w:cs="宋体"/>
          <w:b/>
          <w:snapToGrid w:val="0"/>
          <w:color w:val="auto"/>
          <w:sz w:val="21"/>
          <w:szCs w:val="21"/>
          <w:highlight w:val="none"/>
        </w:rPr>
      </w:pPr>
    </w:p>
    <w:p>
      <w:pPr>
        <w:pStyle w:val="22"/>
        <w:adjustRightInd w:val="0"/>
        <w:spacing w:before="0" w:line="360" w:lineRule="auto"/>
        <w:ind w:firstLine="422" w:firstLineChars="200"/>
        <w:rPr>
          <w:rFonts w:hint="eastAsia" w:hAnsi="宋体" w:cs="宋体"/>
          <w:b/>
          <w:snapToGrid w:val="0"/>
          <w:color w:val="auto"/>
          <w:sz w:val="21"/>
          <w:szCs w:val="21"/>
          <w:highlight w:val="none"/>
        </w:rPr>
      </w:pPr>
      <w:r>
        <w:rPr>
          <w:rFonts w:hint="eastAsia" w:hAnsi="宋体" w:cs="宋体"/>
          <w:b/>
          <w:snapToGrid w:val="0"/>
          <w:color w:val="auto"/>
          <w:sz w:val="21"/>
          <w:szCs w:val="21"/>
          <w:highlight w:val="none"/>
        </w:rPr>
        <w:t>投标人：（盖单位公章）</w:t>
      </w:r>
    </w:p>
    <w:p>
      <w:pPr>
        <w:adjustRightInd w:val="0"/>
        <w:snapToGrid w:val="0"/>
        <w:spacing w:line="360" w:lineRule="auto"/>
        <w:ind w:firstLine="422" w:firstLineChars="200"/>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日期：年 月 日</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附：</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法定代表人联系方式及身份证复印件</w:t>
      </w:r>
    </w:p>
    <w:p>
      <w:pPr>
        <w:adjustRightInd w:val="0"/>
        <w:snapToGrid w:val="0"/>
        <w:spacing w:line="360" w:lineRule="auto"/>
        <w:ind w:firstLine="422" w:firstLineChars="200"/>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注：法定代表人直接签署投标文件并参加投标的，在投标文件中出具此资格证明书及身份证复印件。</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4814" w:type="dxa"/>
            <w:noWrap w:val="0"/>
            <w:vAlign w:val="top"/>
          </w:tcPr>
          <w:p>
            <w:pPr>
              <w:adjustRightInd w:val="0"/>
              <w:snapToGrid w:val="0"/>
              <w:spacing w:line="360" w:lineRule="auto"/>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身份证复印件正面</w:t>
            </w:r>
          </w:p>
        </w:tc>
        <w:tc>
          <w:tcPr>
            <w:tcW w:w="4814" w:type="dxa"/>
            <w:noWrap w:val="0"/>
            <w:vAlign w:val="top"/>
          </w:tcPr>
          <w:p>
            <w:pPr>
              <w:adjustRightInd w:val="0"/>
              <w:snapToGrid w:val="0"/>
              <w:spacing w:line="360" w:lineRule="auto"/>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身份证复印件反面</w:t>
            </w:r>
          </w:p>
        </w:tc>
      </w:tr>
    </w:tbl>
    <w:p>
      <w:pPr>
        <w:adjustRightInd w:val="0"/>
        <w:snapToGrid w:val="0"/>
        <w:spacing w:line="360" w:lineRule="auto"/>
        <w:ind w:firstLine="422" w:firstLineChars="200"/>
        <w:rPr>
          <w:rFonts w:hint="eastAsia" w:ascii="宋体" w:hAnsi="宋体" w:cs="宋体"/>
          <w:b/>
          <w:snapToGrid w:val="0"/>
          <w:color w:val="auto"/>
          <w:kern w:val="0"/>
          <w:szCs w:val="21"/>
          <w:highlight w:val="none"/>
        </w:rPr>
      </w:pPr>
    </w:p>
    <w:p>
      <w:pPr>
        <w:adjustRightInd w:val="0"/>
        <w:snapToGrid w:val="0"/>
        <w:spacing w:line="360" w:lineRule="auto"/>
        <w:ind w:firstLine="422" w:firstLineChars="200"/>
        <w:rPr>
          <w:rFonts w:hint="eastAsia" w:ascii="宋体" w:hAnsi="宋体" w:cs="宋体"/>
          <w:b/>
          <w:snapToGrid w:val="0"/>
          <w:color w:val="auto"/>
          <w:kern w:val="0"/>
          <w:szCs w:val="21"/>
          <w:highlight w:val="none"/>
        </w:rPr>
      </w:pPr>
    </w:p>
    <w:p>
      <w:pPr>
        <w:adjustRightInd w:val="0"/>
        <w:snapToGrid w:val="0"/>
        <w:spacing w:line="360" w:lineRule="auto"/>
        <w:ind w:firstLine="422" w:firstLineChars="200"/>
        <w:rPr>
          <w:rFonts w:hint="eastAsia" w:ascii="宋体" w:hAnsi="宋体" w:cs="宋体"/>
          <w:b/>
          <w:snapToGrid w:val="0"/>
          <w:color w:val="auto"/>
          <w:kern w:val="0"/>
          <w:szCs w:val="21"/>
          <w:highlight w:val="none"/>
        </w:rPr>
      </w:pPr>
    </w:p>
    <w:p>
      <w:pPr>
        <w:adjustRightInd w:val="0"/>
        <w:snapToGrid w:val="0"/>
        <w:spacing w:line="360" w:lineRule="auto"/>
        <w:ind w:firstLine="422" w:firstLineChars="200"/>
        <w:rPr>
          <w:rFonts w:hint="eastAsia" w:ascii="宋体" w:hAnsi="宋体" w:cs="宋体"/>
          <w:b/>
          <w:snapToGrid w:val="0"/>
          <w:color w:val="auto"/>
          <w:kern w:val="0"/>
          <w:szCs w:val="21"/>
          <w:highlight w:val="none"/>
        </w:rPr>
      </w:pPr>
    </w:p>
    <w:p>
      <w:pPr>
        <w:adjustRightInd w:val="0"/>
        <w:snapToGrid w:val="0"/>
        <w:spacing w:line="360" w:lineRule="auto"/>
        <w:ind w:firstLine="422" w:firstLineChars="200"/>
        <w:rPr>
          <w:rFonts w:hint="eastAsia" w:ascii="宋体" w:hAnsi="宋体" w:cs="宋体"/>
          <w:b/>
          <w:snapToGrid w:val="0"/>
          <w:color w:val="auto"/>
          <w:kern w:val="0"/>
          <w:szCs w:val="21"/>
          <w:highlight w:val="none"/>
        </w:rPr>
      </w:pPr>
    </w:p>
    <w:p>
      <w:pPr>
        <w:adjustRightInd w:val="0"/>
        <w:snapToGrid w:val="0"/>
        <w:spacing w:line="360" w:lineRule="auto"/>
        <w:ind w:firstLine="422" w:firstLineChars="200"/>
        <w:rPr>
          <w:rFonts w:hint="eastAsia" w:ascii="宋体" w:hAnsi="宋体" w:cs="宋体"/>
          <w:b/>
          <w:snapToGrid w:val="0"/>
          <w:color w:val="auto"/>
          <w:kern w:val="0"/>
          <w:szCs w:val="21"/>
          <w:highlight w:val="none"/>
        </w:rPr>
      </w:pPr>
    </w:p>
    <w:p>
      <w:pPr>
        <w:adjustRightInd w:val="0"/>
        <w:snapToGrid w:val="0"/>
        <w:spacing w:line="360" w:lineRule="auto"/>
        <w:ind w:firstLine="420" w:firstLineChars="200"/>
        <w:rPr>
          <w:rFonts w:hint="eastAsia" w:ascii="宋体" w:hAnsi="宋体" w:cs="宋体"/>
          <w:color w:val="auto"/>
          <w:highlight w:val="none"/>
        </w:rPr>
      </w:pPr>
    </w:p>
    <w:p>
      <w:pPr>
        <w:pStyle w:val="28"/>
        <w:adjustRightInd w:val="0"/>
        <w:snapToGrid w:val="0"/>
        <w:spacing w:line="360" w:lineRule="auto"/>
        <w:ind w:firstLine="643"/>
        <w:jc w:val="center"/>
        <w:rPr>
          <w:rFonts w:hint="eastAsia" w:hAnsi="宋体" w:cs="宋体"/>
          <w:b/>
          <w:bCs/>
          <w:color w:val="auto"/>
          <w:sz w:val="32"/>
          <w:highlight w:val="none"/>
        </w:rPr>
      </w:pPr>
    </w:p>
    <w:p>
      <w:pPr>
        <w:pStyle w:val="28"/>
        <w:adjustRightInd w:val="0"/>
        <w:snapToGrid w:val="0"/>
        <w:spacing w:line="360" w:lineRule="auto"/>
        <w:ind w:firstLine="643"/>
        <w:jc w:val="center"/>
        <w:rPr>
          <w:rFonts w:hint="eastAsia" w:hAnsi="宋体" w:cs="宋体"/>
          <w:b/>
          <w:bCs/>
          <w:color w:val="auto"/>
          <w:sz w:val="32"/>
          <w:highlight w:val="none"/>
        </w:rPr>
      </w:pPr>
      <w:r>
        <w:rPr>
          <w:rFonts w:hint="eastAsia" w:hAnsi="宋体" w:cs="宋体"/>
          <w:b/>
          <w:bCs/>
          <w:color w:val="auto"/>
          <w:sz w:val="32"/>
          <w:highlight w:val="none"/>
        </w:rPr>
        <w:t>法定代表人授权委托书</w:t>
      </w:r>
    </w:p>
    <w:p>
      <w:pPr>
        <w:pStyle w:val="28"/>
        <w:adjustRightInd w:val="0"/>
        <w:spacing w:line="360" w:lineRule="auto"/>
        <w:ind w:firstLine="420" w:firstLineChars="200"/>
        <w:rPr>
          <w:rFonts w:hint="eastAsia" w:hAnsi="宋体" w:cs="宋体"/>
          <w:color w:val="auto"/>
          <w:highlight w:val="none"/>
          <w:u w:val="single"/>
        </w:rPr>
      </w:pPr>
      <w:r>
        <w:rPr>
          <w:rFonts w:hint="eastAsia" w:hAnsi="宋体" w:cs="宋体"/>
          <w:color w:val="auto"/>
          <w:highlight w:val="none"/>
          <w:u w:val="single"/>
        </w:rPr>
        <w:t>（采购人单位名称）：</w:t>
      </w:r>
    </w:p>
    <w:p>
      <w:pPr>
        <w:pStyle w:val="28"/>
        <w:adjustRightInd w:val="0"/>
        <w:spacing w:line="360" w:lineRule="auto"/>
        <w:ind w:firstLine="420" w:firstLineChars="200"/>
        <w:rPr>
          <w:rFonts w:hint="eastAsia" w:hAnsi="宋体" w:cs="宋体"/>
          <w:color w:val="auto"/>
          <w:highlight w:val="none"/>
          <w:u w:val="single"/>
        </w:rPr>
      </w:pPr>
      <w:r>
        <w:rPr>
          <w:rFonts w:hint="eastAsia" w:hAnsi="宋体" w:cs="宋体"/>
          <w:color w:val="auto"/>
          <w:highlight w:val="none"/>
          <w:u w:val="single"/>
        </w:rPr>
        <w:t>泰宇建筑工程技术咨询有限公司：</w:t>
      </w:r>
    </w:p>
    <w:p>
      <w:pPr>
        <w:pStyle w:val="28"/>
        <w:spacing w:line="360" w:lineRule="auto"/>
        <w:ind w:firstLine="420" w:firstLineChars="200"/>
        <w:rPr>
          <w:rFonts w:hint="eastAsia" w:hAnsi="宋体" w:cs="宋体"/>
          <w:color w:val="auto"/>
          <w:highlight w:val="none"/>
        </w:rPr>
      </w:pPr>
      <w:r>
        <w:rPr>
          <w:rFonts w:cs="Arial"/>
          <w:color w:val="auto"/>
          <w:highlight w:val="none"/>
        </w:rPr>
        <w:t>我【</w:t>
      </w:r>
      <w:r>
        <w:rPr>
          <w:rFonts w:cs="Arial"/>
          <w:color w:val="auto"/>
          <w:highlight w:val="none"/>
          <w:u w:val="single"/>
        </w:rPr>
        <w:t xml:space="preserve"> （法定代表人姓名） </w:t>
      </w:r>
      <w:r>
        <w:rPr>
          <w:rFonts w:cs="Arial"/>
          <w:color w:val="auto"/>
          <w:highlight w:val="none"/>
        </w:rPr>
        <w:t>】以【</w:t>
      </w:r>
      <w:r>
        <w:rPr>
          <w:rFonts w:cs="Arial"/>
          <w:color w:val="auto"/>
          <w:highlight w:val="none"/>
          <w:u w:val="single"/>
        </w:rPr>
        <w:t xml:space="preserve">       （投标人全称）    </w:t>
      </w:r>
      <w:r>
        <w:rPr>
          <w:rFonts w:cs="Arial"/>
          <w:color w:val="auto"/>
          <w:highlight w:val="none"/>
        </w:rPr>
        <w:t>】法定代表人的身份授权我单位在职员工【</w:t>
      </w:r>
      <w:r>
        <w:rPr>
          <w:rFonts w:cs="Arial"/>
          <w:color w:val="auto"/>
          <w:highlight w:val="none"/>
          <w:u w:val="single"/>
        </w:rPr>
        <w:t>（授权代表姓名）</w:t>
      </w:r>
      <w:r>
        <w:rPr>
          <w:rFonts w:cs="Arial"/>
          <w:color w:val="auto"/>
          <w:highlight w:val="none"/>
        </w:rPr>
        <w:t>】、【</w:t>
      </w:r>
      <w:r>
        <w:rPr>
          <w:rFonts w:cs="Arial"/>
          <w:color w:val="auto"/>
          <w:highlight w:val="none"/>
          <w:u w:val="single"/>
        </w:rPr>
        <w:t xml:space="preserve"> （身份证号）   </w:t>
      </w:r>
      <w:r>
        <w:rPr>
          <w:rFonts w:cs="Arial"/>
          <w:color w:val="auto"/>
          <w:highlight w:val="none"/>
        </w:rPr>
        <w:t>】</w:t>
      </w:r>
      <w:r>
        <w:rPr>
          <w:rFonts w:hint="eastAsia" w:hAnsi="宋体" w:cs="宋体"/>
          <w:color w:val="auto"/>
          <w:highlight w:val="none"/>
        </w:rPr>
        <w:t>，为我单位的全权代表，参加贵处组织的</w:t>
      </w:r>
      <w:r>
        <w:rPr>
          <w:rFonts w:hint="eastAsia" w:hAnsi="宋体" w:cs="宋体"/>
          <w:color w:val="auto"/>
          <w:highlight w:val="none"/>
          <w:u w:val="single"/>
        </w:rPr>
        <w:t>（项目名称）</w:t>
      </w:r>
      <w:r>
        <w:rPr>
          <w:rFonts w:hint="eastAsia" w:hAnsi="宋体" w:cs="宋体"/>
          <w:color w:val="auto"/>
          <w:highlight w:val="none"/>
        </w:rPr>
        <w:t>（</w:t>
      </w:r>
      <w:r>
        <w:rPr>
          <w:rFonts w:hint="eastAsia" w:hAnsi="宋体" w:cs="宋体"/>
          <w:color w:val="auto"/>
          <w:highlight w:val="none"/>
          <w:u w:val="single"/>
        </w:rPr>
        <w:t>项目编号</w:t>
      </w:r>
      <w:r>
        <w:rPr>
          <w:rFonts w:hint="eastAsia" w:hAnsi="宋体" w:cs="宋体"/>
          <w:color w:val="auto"/>
          <w:highlight w:val="none"/>
        </w:rPr>
        <w:t>）的采购，签署本项目相关投标文件并全权处理投标活动中的一切事宜。我单位承认全权代表做出的与本项目招投标活动有关的全部行为。</w:t>
      </w:r>
    </w:p>
    <w:p>
      <w:pPr>
        <w:pStyle w:val="28"/>
        <w:spacing w:line="360" w:lineRule="auto"/>
        <w:ind w:firstLine="422" w:firstLineChars="200"/>
        <w:rPr>
          <w:rFonts w:hint="eastAsia" w:hAnsi="宋体" w:cs="宋体"/>
          <w:b/>
          <w:color w:val="auto"/>
          <w:highlight w:val="none"/>
        </w:rPr>
      </w:pPr>
    </w:p>
    <w:p>
      <w:pPr>
        <w:pStyle w:val="28"/>
        <w:spacing w:line="360" w:lineRule="auto"/>
        <w:ind w:firstLine="422" w:firstLineChars="200"/>
        <w:rPr>
          <w:rFonts w:hint="eastAsia" w:hAnsi="宋体" w:cs="宋体"/>
          <w:b/>
          <w:color w:val="auto"/>
          <w:highlight w:val="none"/>
        </w:rPr>
      </w:pPr>
    </w:p>
    <w:p>
      <w:pPr>
        <w:pStyle w:val="28"/>
        <w:spacing w:line="360" w:lineRule="auto"/>
        <w:ind w:firstLine="422" w:firstLineChars="200"/>
        <w:rPr>
          <w:rFonts w:hint="eastAsia" w:hAnsi="宋体" w:cs="宋体"/>
          <w:b/>
          <w:color w:val="auto"/>
          <w:highlight w:val="none"/>
        </w:rPr>
      </w:pPr>
      <w:r>
        <w:rPr>
          <w:rFonts w:hint="eastAsia" w:hAnsi="宋体" w:cs="宋体"/>
          <w:b/>
          <w:color w:val="auto"/>
          <w:highlight w:val="none"/>
        </w:rPr>
        <w:t>投标人全称（盖单位公章）：</w:t>
      </w:r>
    </w:p>
    <w:p>
      <w:pPr>
        <w:pStyle w:val="28"/>
        <w:spacing w:line="360" w:lineRule="auto"/>
        <w:ind w:firstLine="422" w:firstLineChars="200"/>
        <w:rPr>
          <w:rFonts w:hint="eastAsia" w:hAnsi="宋体" w:cs="宋体"/>
          <w:b/>
          <w:color w:val="auto"/>
          <w:highlight w:val="none"/>
        </w:rPr>
      </w:pPr>
      <w:r>
        <w:rPr>
          <w:rFonts w:hint="eastAsia" w:hAnsi="宋体" w:cs="宋体"/>
          <w:b/>
          <w:color w:val="auto"/>
          <w:highlight w:val="none"/>
        </w:rPr>
        <w:t>法定代表人（签字或盖章）：</w:t>
      </w:r>
    </w:p>
    <w:p>
      <w:pPr>
        <w:pStyle w:val="28"/>
        <w:spacing w:line="360" w:lineRule="auto"/>
        <w:ind w:firstLine="422" w:firstLineChars="200"/>
        <w:rPr>
          <w:rFonts w:hint="eastAsia" w:hAnsi="宋体" w:cs="宋体"/>
          <w:b/>
          <w:color w:val="auto"/>
          <w:highlight w:val="none"/>
        </w:rPr>
      </w:pPr>
      <w:r>
        <w:rPr>
          <w:rFonts w:hint="eastAsia" w:hAnsi="宋体" w:cs="宋体"/>
          <w:b/>
          <w:color w:val="auto"/>
          <w:highlight w:val="none"/>
        </w:rPr>
        <w:t>电话：</w:t>
      </w:r>
    </w:p>
    <w:p>
      <w:pPr>
        <w:pStyle w:val="28"/>
        <w:spacing w:line="360" w:lineRule="auto"/>
        <w:ind w:firstLine="422" w:firstLineChars="200"/>
        <w:rPr>
          <w:rFonts w:hint="eastAsia" w:hAnsi="宋体" w:cs="宋体"/>
          <w:b/>
          <w:color w:val="auto"/>
          <w:highlight w:val="none"/>
        </w:rPr>
      </w:pPr>
      <w:r>
        <w:rPr>
          <w:rFonts w:hint="eastAsia" w:hAnsi="宋体" w:cs="宋体"/>
          <w:b/>
          <w:color w:val="auto"/>
          <w:highlight w:val="none"/>
        </w:rPr>
        <w:t>日期：</w:t>
      </w:r>
    </w:p>
    <w:p>
      <w:pPr>
        <w:pStyle w:val="28"/>
        <w:spacing w:line="360" w:lineRule="auto"/>
        <w:ind w:firstLine="480"/>
        <w:rPr>
          <w:rFonts w:hint="eastAsia" w:hAnsi="宋体" w:cs="宋体"/>
          <w:color w:val="auto"/>
          <w:highlight w:val="none"/>
        </w:rPr>
      </w:pPr>
      <w:r>
        <w:rPr>
          <w:rFonts w:hint="eastAsia" w:hAnsi="宋体" w:cs="宋体"/>
          <w:color w:val="auto"/>
          <w:highlight w:val="none"/>
        </w:rPr>
        <w:t>附：</w:t>
      </w:r>
    </w:p>
    <w:p>
      <w:pPr>
        <w:pStyle w:val="28"/>
        <w:spacing w:line="360" w:lineRule="auto"/>
        <w:ind w:firstLine="480"/>
        <w:rPr>
          <w:rFonts w:hint="eastAsia" w:hAnsi="宋体" w:cs="宋体"/>
          <w:b/>
          <w:color w:val="auto"/>
          <w:szCs w:val="24"/>
          <w:highlight w:val="none"/>
        </w:rPr>
      </w:pPr>
      <w:r>
        <w:rPr>
          <w:rFonts w:hint="eastAsia" w:hAnsi="宋体" w:cs="宋体"/>
          <w:b/>
          <w:color w:val="auto"/>
          <w:szCs w:val="24"/>
          <w:highlight w:val="none"/>
        </w:rPr>
        <w:t>授权委托人姓名：身份证号码：职务：电话：</w:t>
      </w:r>
    </w:p>
    <w:p>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授权委托人身份证复印件：</w:t>
      </w:r>
    </w:p>
    <w:p>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注：法定代表人授权其公司员工签署及参加投标的，在投标文件中同时出具法定代表人资格证明书及此授权书，并附身份证复印件。</w:t>
      </w:r>
    </w:p>
    <w:p>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如参加开标并在开评标过程中签署文件的人员与投标文件签署人不一致，须另行提供授权书。</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4814" w:type="dxa"/>
            <w:noWrap w:val="0"/>
            <w:vAlign w:val="top"/>
          </w:tcPr>
          <w:p>
            <w:pPr>
              <w:adjustRightInd w:val="0"/>
              <w:snapToGrid w:val="0"/>
              <w:spacing w:line="360" w:lineRule="auto"/>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身份证复印件正面</w:t>
            </w:r>
          </w:p>
        </w:tc>
        <w:tc>
          <w:tcPr>
            <w:tcW w:w="4814" w:type="dxa"/>
            <w:noWrap w:val="0"/>
            <w:vAlign w:val="top"/>
          </w:tcPr>
          <w:p>
            <w:pPr>
              <w:adjustRightInd w:val="0"/>
              <w:snapToGrid w:val="0"/>
              <w:spacing w:line="360" w:lineRule="auto"/>
              <w:rPr>
                <w:rFonts w:hint="eastAsia"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身份证复印件反面</w:t>
            </w:r>
          </w:p>
        </w:tc>
      </w:tr>
    </w:tbl>
    <w:p>
      <w:pPr>
        <w:rPr>
          <w:rFonts w:hint="eastAsia" w:ascii="宋体" w:hAnsi="宋体" w:cs="宋体"/>
          <w:b/>
          <w:color w:val="auto"/>
          <w:highlight w:val="none"/>
        </w:rPr>
      </w:pPr>
      <w:r>
        <w:rPr>
          <w:rFonts w:hint="eastAsia" w:ascii="宋体" w:hAnsi="宋体" w:cs="宋体"/>
          <w:b/>
          <w:color w:val="auto"/>
          <w:highlight w:val="none"/>
        </w:rPr>
        <w:br w:type="page"/>
      </w:r>
    </w:p>
    <w:p>
      <w:pPr>
        <w:spacing w:line="360" w:lineRule="auto"/>
        <w:rPr>
          <w:rFonts w:hint="eastAsia" w:ascii="宋体" w:hAnsi="宋体" w:cs="宋体"/>
          <w:b/>
          <w:color w:val="auto"/>
          <w:highlight w:val="none"/>
        </w:rPr>
      </w:pPr>
      <w:r>
        <w:rPr>
          <w:rFonts w:hint="eastAsia" w:ascii="宋体" w:hAnsi="宋体" w:cs="宋体"/>
          <w:b/>
          <w:color w:val="auto"/>
          <w:highlight w:val="none"/>
        </w:rPr>
        <w:t>二、</w:t>
      </w:r>
      <w:r>
        <w:rPr>
          <w:rFonts w:cs="Arial"/>
          <w:color w:val="auto"/>
          <w:highlight w:val="none"/>
        </w:rPr>
        <w:t>廉政承诺书</w:t>
      </w:r>
    </w:p>
    <w:p>
      <w:pPr>
        <w:spacing w:line="360" w:lineRule="auto"/>
        <w:rPr>
          <w:rFonts w:hint="eastAsia" w:ascii="宋体" w:hAnsi="宋体" w:cs="宋体"/>
          <w:b/>
          <w:color w:val="auto"/>
          <w:highlight w:val="none"/>
        </w:rPr>
      </w:pPr>
    </w:p>
    <w:p>
      <w:pPr>
        <w:pStyle w:val="28"/>
        <w:adjustRightInd w:val="0"/>
        <w:snapToGrid w:val="0"/>
        <w:spacing w:line="360" w:lineRule="auto"/>
        <w:ind w:firstLine="643"/>
        <w:jc w:val="center"/>
        <w:rPr>
          <w:rFonts w:hint="eastAsia" w:hAnsi="宋体" w:cs="宋体"/>
          <w:b/>
          <w:bCs/>
          <w:color w:val="auto"/>
          <w:sz w:val="32"/>
          <w:highlight w:val="none"/>
        </w:rPr>
      </w:pPr>
      <w:r>
        <w:rPr>
          <w:rFonts w:ascii="Arial" w:hAnsi="Arial" w:cs="Arial"/>
          <w:b/>
          <w:bCs/>
          <w:color w:val="auto"/>
          <w:sz w:val="28"/>
          <w:szCs w:val="28"/>
          <w:highlight w:val="none"/>
        </w:rPr>
        <w:t>廉政承诺书</w:t>
      </w:r>
    </w:p>
    <w:p>
      <w:pPr>
        <w:snapToGrid w:val="0"/>
        <w:spacing w:line="360" w:lineRule="auto"/>
        <w:rPr>
          <w:rFonts w:ascii="Arial" w:hAnsi="Arial" w:cs="Arial"/>
          <w:color w:val="auto"/>
          <w:szCs w:val="21"/>
          <w:highlight w:val="none"/>
        </w:rPr>
      </w:pPr>
      <w:r>
        <w:rPr>
          <w:rFonts w:hint="eastAsia" w:ascii="Arial" w:hAnsi="Arial" w:cs="Arial"/>
          <w:color w:val="auto"/>
          <w:szCs w:val="21"/>
          <w:highlight w:val="none"/>
          <w:u w:val="single"/>
        </w:rPr>
        <w:t>龙游县自然资源和规划局</w:t>
      </w:r>
      <w:r>
        <w:rPr>
          <w:rFonts w:ascii="Arial" w:hAnsi="Arial" w:cs="Arial"/>
          <w:color w:val="auto"/>
          <w:szCs w:val="21"/>
          <w:highlight w:val="none"/>
        </w:rPr>
        <w:t>：</w:t>
      </w:r>
    </w:p>
    <w:p>
      <w:pPr>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我单位响应</w:t>
      </w:r>
      <w:r>
        <w:rPr>
          <w:rFonts w:hint="eastAsia" w:ascii="Arial" w:hAnsi="Arial" w:cs="Arial"/>
          <w:color w:val="auto"/>
          <w:highlight w:val="none"/>
          <w:u w:val="single"/>
        </w:rPr>
        <w:t>龙游县自然资源和规划局</w:t>
      </w:r>
      <w:r>
        <w:rPr>
          <w:rFonts w:ascii="Arial" w:hAnsi="Arial" w:cs="Arial"/>
          <w:color w:val="auto"/>
          <w:highlight w:val="none"/>
        </w:rPr>
        <w:t>（采购人）</w:t>
      </w:r>
      <w:r>
        <w:rPr>
          <w:rFonts w:hint="eastAsia" w:ascii="Arial" w:hAnsi="Arial" w:cs="Arial"/>
          <w:color w:val="auto"/>
          <w:highlight w:val="none"/>
          <w:u w:val="single"/>
          <w:lang w:eastAsia="zh-CN"/>
        </w:rPr>
        <w:t>2025年龙游县耕地现状调查项目</w:t>
      </w:r>
      <w:r>
        <w:rPr>
          <w:rFonts w:ascii="Arial" w:hAnsi="Arial" w:cs="Arial"/>
          <w:color w:val="auto"/>
          <w:highlight w:val="none"/>
        </w:rPr>
        <w:t>（项目名称）</w:t>
      </w:r>
      <w:r>
        <w:rPr>
          <w:rFonts w:hint="eastAsia" w:ascii="Arial" w:hAnsi="Arial" w:cs="Arial"/>
          <w:color w:val="auto"/>
          <w:highlight w:val="none"/>
          <w:u w:val="single"/>
          <w:lang w:eastAsia="zh-CN"/>
        </w:rPr>
        <w:t>LYCG2025TY-047</w:t>
      </w:r>
      <w:r>
        <w:rPr>
          <w:rFonts w:ascii="Arial" w:hAnsi="Arial" w:cs="Arial"/>
          <w:color w:val="auto"/>
          <w:highlight w:val="none"/>
        </w:rPr>
        <w:t>（项目编号）</w:t>
      </w:r>
      <w:r>
        <w:rPr>
          <w:rFonts w:ascii="Arial" w:hAnsi="Arial" w:cs="Arial"/>
          <w:color w:val="auto"/>
          <w:szCs w:val="21"/>
          <w:highlight w:val="none"/>
        </w:rPr>
        <w:t>招标要求参加投标。在这次投标过程中和中标后，我们将严格遵守国家法律法规要求，并郑重承诺：</w:t>
      </w:r>
    </w:p>
    <w:p>
      <w:pPr>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一、不向项目有关人员及部门赠送礼金礼物、有价证券、回扣以及中介费、介绍费、咨询费等好处费；</w:t>
      </w:r>
    </w:p>
    <w:p>
      <w:pPr>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二、不为项目有关人员及部门报销应由你方单位或个人支付的费用；</w:t>
      </w:r>
    </w:p>
    <w:p>
      <w:pPr>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三、不向项目有关人员及部门提供有可能影响公正的宴请和健身娱乐等活动；</w:t>
      </w:r>
    </w:p>
    <w:p>
      <w:pPr>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四、不为项目有关人员及部门出国（境）、旅游等提供方便；</w:t>
      </w:r>
    </w:p>
    <w:p>
      <w:pPr>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五、不为项目有关人员个人装修住房、婚丧嫁娶、配偶子女工作安排等提供好处；</w:t>
      </w:r>
    </w:p>
    <w:p>
      <w:pPr>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如违反上述承诺，你单位有权立即取消我单位投标、中标资格，有权拒绝我单位在一定时期内进入你单位进行项目建设或其他经营活动，并通报政府采购监管部门。由此引起的相应损失均由我单位承担。</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特此承诺！</w:t>
      </w:r>
    </w:p>
    <w:p>
      <w:pPr>
        <w:pStyle w:val="28"/>
        <w:adjustRightInd w:val="0"/>
        <w:snapToGrid w:val="0"/>
        <w:spacing w:line="360" w:lineRule="auto"/>
        <w:ind w:firstLine="643"/>
        <w:rPr>
          <w:rFonts w:hint="eastAsia" w:hAnsi="宋体" w:cs="宋体"/>
          <w:b/>
          <w:bCs/>
          <w:color w:val="auto"/>
          <w:sz w:val="32"/>
          <w:highlight w:val="none"/>
        </w:rPr>
      </w:pP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投标人全称（盖章）：</w:t>
      </w:r>
    </w:p>
    <w:p>
      <w:pPr>
        <w:widowControl/>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日期：</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年</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月</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日</w:t>
      </w:r>
    </w:p>
    <w:p>
      <w:pPr>
        <w:pStyle w:val="29"/>
        <w:ind w:left="5250"/>
        <w:rPr>
          <w:rFonts w:hint="eastAsia" w:hAnsi="宋体" w:cs="宋体"/>
          <w:b/>
          <w:bCs/>
          <w:color w:val="auto"/>
          <w:sz w:val="32"/>
          <w:highlight w:val="none"/>
        </w:rPr>
      </w:pPr>
    </w:p>
    <w:p>
      <w:pPr>
        <w:rPr>
          <w:rFonts w:hint="eastAsia" w:hAnsi="宋体" w:cs="宋体"/>
          <w:b/>
          <w:bCs/>
          <w:color w:val="auto"/>
          <w:sz w:val="32"/>
          <w:highlight w:val="none"/>
        </w:rPr>
      </w:pPr>
    </w:p>
    <w:p>
      <w:pPr>
        <w:pStyle w:val="53"/>
        <w:ind w:firstLine="643"/>
        <w:rPr>
          <w:rFonts w:hint="eastAsia" w:hAnsi="宋体" w:cs="宋体"/>
          <w:b/>
          <w:bCs/>
          <w:color w:val="auto"/>
          <w:sz w:val="32"/>
          <w:highlight w:val="none"/>
        </w:rPr>
      </w:pPr>
    </w:p>
    <w:p>
      <w:pPr>
        <w:pStyle w:val="3"/>
        <w:ind w:firstLine="321"/>
        <w:rPr>
          <w:rFonts w:hint="eastAsia" w:hAnsi="宋体" w:cs="宋体"/>
          <w:b/>
          <w:bCs/>
          <w:color w:val="auto"/>
          <w:sz w:val="32"/>
          <w:highlight w:val="none"/>
        </w:rPr>
      </w:pPr>
    </w:p>
    <w:p>
      <w:pPr>
        <w:pStyle w:val="41"/>
        <w:rPr>
          <w:rFonts w:hint="eastAsia" w:hAnsi="宋体" w:cs="宋体"/>
          <w:b/>
          <w:bCs/>
          <w:color w:val="auto"/>
          <w:sz w:val="32"/>
          <w:highlight w:val="none"/>
        </w:rPr>
      </w:pPr>
    </w:p>
    <w:p>
      <w:pPr>
        <w:rPr>
          <w:rFonts w:hint="eastAsia" w:hAnsi="宋体" w:cs="宋体"/>
          <w:b/>
          <w:bCs/>
          <w:color w:val="auto"/>
          <w:sz w:val="32"/>
          <w:highlight w:val="none"/>
        </w:rPr>
      </w:pPr>
    </w:p>
    <w:p>
      <w:pPr>
        <w:pStyle w:val="53"/>
        <w:ind w:firstLine="643"/>
        <w:rPr>
          <w:rFonts w:hint="eastAsia" w:hAnsi="宋体" w:cs="宋体"/>
          <w:b/>
          <w:bCs/>
          <w:color w:val="auto"/>
          <w:sz w:val="32"/>
          <w:highlight w:val="none"/>
        </w:rPr>
      </w:pPr>
    </w:p>
    <w:p>
      <w:pPr>
        <w:pStyle w:val="3"/>
        <w:ind w:firstLine="321"/>
        <w:rPr>
          <w:rFonts w:hint="eastAsia" w:hAnsi="宋体" w:cs="宋体"/>
          <w:b/>
          <w:bCs/>
          <w:color w:val="auto"/>
          <w:sz w:val="32"/>
          <w:highlight w:val="none"/>
        </w:rPr>
      </w:pPr>
    </w:p>
    <w:p>
      <w:pPr>
        <w:pStyle w:val="41"/>
        <w:rPr>
          <w:rFonts w:hint="eastAsia" w:hAnsi="宋体" w:cs="宋体"/>
          <w:b/>
          <w:bCs/>
          <w:color w:val="auto"/>
          <w:sz w:val="32"/>
          <w:highlight w:val="none"/>
        </w:rPr>
      </w:pPr>
    </w:p>
    <w:p>
      <w:pPr>
        <w:adjustRightInd w:val="0"/>
        <w:snapToGrid w:val="0"/>
        <w:spacing w:line="360" w:lineRule="auto"/>
        <w:ind w:firstLine="420" w:firstLineChars="200"/>
        <w:rPr>
          <w:rFonts w:ascii="宋体" w:hAnsi="宋体" w:cs="宋体"/>
          <w:b/>
          <w:color w:val="auto"/>
          <w:highlight w:val="none"/>
        </w:rPr>
      </w:pPr>
      <w:r>
        <w:rPr>
          <w:rFonts w:hint="eastAsia"/>
          <w:color w:val="auto"/>
          <w:highlight w:val="none"/>
        </w:rPr>
        <w:br w:type="page"/>
      </w:r>
      <w:r>
        <w:rPr>
          <w:rFonts w:hint="eastAsia" w:ascii="宋体" w:hAnsi="宋体" w:cs="宋体"/>
          <w:b/>
          <w:color w:val="auto"/>
          <w:highlight w:val="none"/>
        </w:rPr>
        <w:t>三、投标人简介</w:t>
      </w:r>
    </w:p>
    <w:p>
      <w:pPr>
        <w:widowControl/>
        <w:spacing w:line="420" w:lineRule="atLeast"/>
        <w:jc w:val="center"/>
        <w:rPr>
          <w:rFonts w:hint="eastAsia" w:ascii="宋体" w:hAnsi="宋体"/>
          <w:b/>
          <w:bCs/>
          <w:color w:val="auto"/>
          <w:kern w:val="0"/>
          <w:sz w:val="30"/>
          <w:szCs w:val="30"/>
          <w:highlight w:val="none"/>
        </w:rPr>
      </w:pPr>
      <w:r>
        <w:rPr>
          <w:rFonts w:hint="eastAsia" w:ascii="宋体" w:hAnsi="宋体"/>
          <w:b/>
          <w:bCs/>
          <w:color w:val="auto"/>
          <w:kern w:val="0"/>
          <w:sz w:val="30"/>
          <w:szCs w:val="30"/>
          <w:highlight w:val="none"/>
        </w:rPr>
        <w:t>投标人基本情况表</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Cs/>
                <w:color w:val="auto"/>
                <w:szCs w:val="21"/>
                <w:highlight w:val="none"/>
              </w:rPr>
            </w:pPr>
            <w:r>
              <w:rPr>
                <w:rFonts w:hint="eastAsia" w:ascii="宋体" w:hAnsi="宋体"/>
                <w:bCs/>
                <w:color w:val="auto"/>
                <w:szCs w:val="21"/>
                <w:highlight w:val="none"/>
              </w:rPr>
              <w:t>投标人名称</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right="-107" w:rightChars="-51" w:hanging="69" w:hangingChars="33"/>
              <w:jc w:val="center"/>
              <w:rPr>
                <w:rFonts w:ascii="宋体" w:hAnsi="宋体"/>
                <w:bCs/>
                <w:color w:val="auto"/>
                <w:szCs w:val="21"/>
                <w:highlight w:val="none"/>
              </w:rPr>
            </w:pPr>
            <w:r>
              <w:rPr>
                <w:rFonts w:hint="eastAsia" w:ascii="宋体" w:hAnsi="宋体"/>
                <w:bCs/>
                <w:color w:val="auto"/>
                <w:szCs w:val="21"/>
                <w:highlight w:val="none"/>
              </w:rPr>
              <w:t>法定代表人</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bCs/>
                <w:color w:val="auto"/>
                <w:szCs w:val="21"/>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right="-107" w:rightChars="-51" w:hanging="69" w:hangingChars="33"/>
              <w:jc w:val="center"/>
              <w:rPr>
                <w:rFonts w:ascii="宋体" w:hAnsi="宋体"/>
                <w:bCs/>
                <w:color w:val="auto"/>
                <w:szCs w:val="21"/>
                <w:highlight w:val="none"/>
              </w:rPr>
            </w:pPr>
            <w:r>
              <w:rPr>
                <w:rFonts w:hint="eastAsia" w:ascii="宋体" w:hAnsi="宋体"/>
                <w:bCs/>
                <w:color w:val="auto"/>
                <w:szCs w:val="21"/>
                <w:highlight w:val="none"/>
              </w:rPr>
              <w:t>授权代表人</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bCs/>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Cs/>
                <w:color w:val="auto"/>
                <w:szCs w:val="21"/>
                <w:highlight w:val="none"/>
              </w:rPr>
            </w:pPr>
            <w:r>
              <w:rPr>
                <w:rFonts w:hint="eastAsia" w:ascii="宋体" w:hAnsi="宋体"/>
                <w:bCs/>
                <w:color w:val="auto"/>
                <w:szCs w:val="21"/>
                <w:highlight w:val="none"/>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Cs/>
                <w:color w:val="auto"/>
                <w:szCs w:val="21"/>
                <w:highlight w:val="none"/>
              </w:rPr>
            </w:pPr>
            <w:r>
              <w:rPr>
                <w:rFonts w:hint="eastAsia" w:ascii="宋体" w:hAnsi="宋体"/>
                <w:bCs/>
                <w:color w:val="auto"/>
                <w:szCs w:val="21"/>
                <w:highlight w:val="none"/>
              </w:rPr>
              <w:t>职工人数</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bCs/>
                <w:color w:val="auto"/>
                <w:szCs w:val="21"/>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Cs/>
                <w:color w:val="auto"/>
                <w:szCs w:val="21"/>
                <w:highlight w:val="none"/>
              </w:rPr>
            </w:pPr>
            <w:r>
              <w:rPr>
                <w:rFonts w:hint="eastAsia" w:ascii="宋体" w:hAnsi="宋体"/>
                <w:bCs/>
                <w:color w:val="auto"/>
                <w:szCs w:val="21"/>
                <w:highlight w:val="none"/>
              </w:rPr>
              <w:t>注册时间</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89"/>
              <w:jc w:val="center"/>
              <w:rPr>
                <w:rFonts w:ascii="宋体" w:hAnsi="宋体"/>
                <w:bCs/>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hanging="69" w:hangingChars="33"/>
              <w:jc w:val="center"/>
              <w:rPr>
                <w:rFonts w:ascii="宋体" w:hAnsi="宋体"/>
                <w:bCs/>
                <w:color w:val="auto"/>
                <w:szCs w:val="21"/>
                <w:highlight w:val="none"/>
              </w:rPr>
            </w:pPr>
            <w:r>
              <w:rPr>
                <w:rFonts w:hint="eastAsia" w:ascii="宋体" w:hAnsi="宋体"/>
                <w:bCs/>
                <w:color w:val="auto"/>
                <w:szCs w:val="21"/>
                <w:highlight w:val="none"/>
              </w:rPr>
              <w:t>注册资金</w:t>
            </w:r>
          </w:p>
        </w:tc>
        <w:tc>
          <w:tcPr>
            <w:tcW w:w="187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bCs/>
                <w:color w:val="auto"/>
                <w:szCs w:val="21"/>
                <w:highlight w:val="none"/>
              </w:rPr>
            </w:pPr>
            <w:r>
              <w:rPr>
                <w:rFonts w:ascii="宋体" w:hAnsi="宋体"/>
                <w:bCs/>
                <w:color w:val="auto"/>
                <w:szCs w:val="21"/>
                <w:highlight w:val="none"/>
              </w:rPr>
              <w:t xml:space="preserve">      </w:t>
            </w:r>
            <w:r>
              <w:rPr>
                <w:rFonts w:hint="eastAsia" w:ascii="宋体" w:hAnsi="宋体"/>
                <w:bCs/>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地   址</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所获资质</w:t>
            </w:r>
          </w:p>
          <w:p>
            <w:pPr>
              <w:spacing w:line="320" w:lineRule="exact"/>
              <w:jc w:val="center"/>
              <w:rPr>
                <w:rFonts w:ascii="宋体" w:hAnsi="宋体"/>
                <w:color w:val="auto"/>
                <w:szCs w:val="21"/>
                <w:highlight w:val="none"/>
              </w:rPr>
            </w:pPr>
            <w:r>
              <w:rPr>
                <w:rFonts w:hint="eastAsia" w:ascii="宋体" w:hAnsi="宋体"/>
                <w:color w:val="auto"/>
                <w:szCs w:val="21"/>
                <w:highlight w:val="none"/>
              </w:rPr>
              <w:t>或认证</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color w:val="auto"/>
                <w:szCs w:val="21"/>
                <w:highlight w:val="none"/>
              </w:rPr>
            </w:pPr>
            <w:r>
              <w:rPr>
                <w:rFonts w:hint="eastAsia" w:ascii="宋体" w:hAnsi="宋体"/>
                <w:bCs/>
                <w:color w:val="auto"/>
                <w:szCs w:val="21"/>
                <w:highlight w:val="none"/>
              </w:rPr>
              <w:t>所获荣誉</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经营范围</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pStyle w:val="22"/>
              <w:tabs>
                <w:tab w:val="left" w:pos="1800"/>
                <w:tab w:val="left" w:pos="1980"/>
              </w:tabs>
              <w:spacing w:line="240" w:lineRule="exact"/>
              <w:ind w:left="420" w:hanging="420"/>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其他</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bCs/>
                <w:color w:val="auto"/>
                <w:szCs w:val="21"/>
                <w:highlight w:val="none"/>
              </w:rPr>
            </w:pPr>
          </w:p>
        </w:tc>
      </w:tr>
    </w:tbl>
    <w:p>
      <w:pPr>
        <w:spacing w:line="320" w:lineRule="exact"/>
        <w:ind w:firstLine="90"/>
        <w:rPr>
          <w:rFonts w:hint="eastAsia"/>
          <w:color w:val="auto"/>
          <w:sz w:val="18"/>
          <w:szCs w:val="18"/>
          <w:highlight w:val="none"/>
        </w:rPr>
      </w:pPr>
      <w:r>
        <w:rPr>
          <w:rFonts w:hint="eastAsia"/>
          <w:color w:val="auto"/>
          <w:sz w:val="18"/>
          <w:szCs w:val="18"/>
          <w:highlight w:val="none"/>
        </w:rPr>
        <w:t>注：1、表格内容不够,可另附页；</w:t>
      </w:r>
    </w:p>
    <w:p>
      <w:pPr>
        <w:spacing w:line="320" w:lineRule="exact"/>
        <w:ind w:firstLine="435"/>
        <w:rPr>
          <w:rFonts w:hint="eastAsia"/>
          <w:color w:val="auto"/>
          <w:sz w:val="18"/>
          <w:szCs w:val="18"/>
          <w:highlight w:val="none"/>
        </w:rPr>
      </w:pPr>
      <w:r>
        <w:rPr>
          <w:rFonts w:hint="eastAsia"/>
          <w:color w:val="auto"/>
          <w:sz w:val="18"/>
          <w:szCs w:val="18"/>
          <w:highlight w:val="none"/>
        </w:rPr>
        <w:t>2、企业营业执照、所获认证证书、荣誉资料等的复印件附后，</w:t>
      </w:r>
      <w:r>
        <w:rPr>
          <w:rFonts w:hint="eastAsia"/>
          <w:color w:val="auto"/>
          <w:sz w:val="18"/>
          <w:szCs w:val="18"/>
          <w:highlight w:val="none"/>
          <w:lang w:val="zh-CN"/>
        </w:rPr>
        <w:t>（资格审查资料中已提供的不需重复提供）；</w:t>
      </w:r>
    </w:p>
    <w:p>
      <w:pPr>
        <w:pStyle w:val="116"/>
        <w:tabs>
          <w:tab w:val="left" w:pos="1251"/>
        </w:tabs>
        <w:spacing w:before="72"/>
        <w:ind w:firstLine="540" w:firstLineChars="300"/>
        <w:jc w:val="left"/>
        <w:rPr>
          <w:rFonts w:hint="eastAsia"/>
          <w:color w:val="auto"/>
          <w:sz w:val="18"/>
          <w:szCs w:val="18"/>
          <w:highlight w:val="none"/>
          <w:lang w:val="zh-CN"/>
        </w:rPr>
      </w:pPr>
      <w:r>
        <w:rPr>
          <w:rFonts w:hint="eastAsia"/>
          <w:color w:val="auto"/>
          <w:sz w:val="18"/>
          <w:szCs w:val="18"/>
          <w:highlight w:val="none"/>
        </w:rPr>
        <w:t>3、投标人</w:t>
      </w:r>
      <w:r>
        <w:rPr>
          <w:rFonts w:hint="eastAsia"/>
          <w:color w:val="auto"/>
          <w:sz w:val="18"/>
          <w:szCs w:val="18"/>
          <w:highlight w:val="none"/>
          <w:lang w:val="zh-CN"/>
        </w:rPr>
        <w:t>应如实填写以上内容，不得有虚假。没有内容可不填；</w:t>
      </w:r>
    </w:p>
    <w:p>
      <w:pPr>
        <w:pStyle w:val="116"/>
        <w:tabs>
          <w:tab w:val="left" w:pos="1251"/>
        </w:tabs>
        <w:spacing w:before="72"/>
        <w:ind w:firstLine="540" w:firstLineChars="300"/>
        <w:jc w:val="left"/>
        <w:rPr>
          <w:rFonts w:hint="eastAsia" w:ascii="仿宋_GB2312" w:eastAsia="仿宋_GB2312"/>
          <w:b/>
          <w:color w:val="auto"/>
          <w:sz w:val="24"/>
          <w:highlight w:val="none"/>
        </w:rPr>
      </w:pPr>
      <w:r>
        <w:rPr>
          <w:rFonts w:hint="eastAsia"/>
          <w:color w:val="auto"/>
          <w:sz w:val="18"/>
          <w:szCs w:val="18"/>
          <w:highlight w:val="none"/>
        </w:rPr>
        <w:t>4、</w:t>
      </w:r>
      <w:r>
        <w:rPr>
          <w:rFonts w:hint="eastAsia"/>
          <w:color w:val="auto"/>
          <w:sz w:val="18"/>
          <w:szCs w:val="18"/>
          <w:highlight w:val="none"/>
          <w:lang w:val="zh-CN"/>
        </w:rPr>
        <w:t>评审办法所要求资料请务必提供。</w:t>
      </w:r>
    </w:p>
    <w:p>
      <w:pPr>
        <w:spacing w:line="320" w:lineRule="exact"/>
        <w:rPr>
          <w:rFonts w:hint="eastAsia" w:ascii="仿宋_GB2312" w:eastAsia="仿宋_GB2312"/>
          <w:b/>
          <w:color w:val="auto"/>
          <w:sz w:val="24"/>
          <w:highlight w:val="none"/>
        </w:rPr>
      </w:pPr>
    </w:p>
    <w:p>
      <w:pPr>
        <w:pStyle w:val="28"/>
        <w:adjustRightInd w:val="0"/>
        <w:snapToGrid w:val="0"/>
        <w:spacing w:line="360" w:lineRule="auto"/>
        <w:ind w:firstLine="480"/>
        <w:rPr>
          <w:rFonts w:hint="eastAsia" w:hAnsi="宋体" w:cs="宋体"/>
          <w:b/>
          <w:color w:val="auto"/>
          <w:highlight w:val="none"/>
        </w:rPr>
      </w:pPr>
      <w:r>
        <w:rPr>
          <w:rFonts w:hint="eastAsia" w:hAnsi="宋体" w:cs="宋体"/>
          <w:b/>
          <w:color w:val="auto"/>
          <w:highlight w:val="none"/>
        </w:rPr>
        <w:t>投标人全称（盖单位公章）：</w:t>
      </w:r>
    </w:p>
    <w:p>
      <w:pPr>
        <w:pStyle w:val="28"/>
        <w:adjustRightInd w:val="0"/>
        <w:snapToGrid w:val="0"/>
        <w:spacing w:line="360" w:lineRule="auto"/>
        <w:ind w:firstLine="480"/>
        <w:rPr>
          <w:rFonts w:hint="eastAsia" w:hAnsi="宋体" w:cs="宋体"/>
          <w:b/>
          <w:color w:val="auto"/>
          <w:highlight w:val="none"/>
        </w:rPr>
      </w:pPr>
      <w:r>
        <w:rPr>
          <w:rFonts w:hint="eastAsia" w:hAnsi="宋体" w:cs="宋体"/>
          <w:b/>
          <w:color w:val="auto"/>
          <w:highlight w:val="none"/>
        </w:rPr>
        <w:t>法定代表人或其授权委托人（签字或盖章）：</w:t>
      </w:r>
    </w:p>
    <w:p>
      <w:pPr>
        <w:pStyle w:val="28"/>
        <w:adjustRightInd w:val="0"/>
        <w:snapToGrid w:val="0"/>
        <w:spacing w:line="360" w:lineRule="auto"/>
        <w:ind w:firstLine="480"/>
        <w:rPr>
          <w:rFonts w:hint="eastAsia" w:hAnsi="宋体" w:cs="宋体"/>
          <w:b/>
          <w:color w:val="auto"/>
          <w:highlight w:val="none"/>
        </w:rPr>
      </w:pPr>
      <w:r>
        <w:rPr>
          <w:rFonts w:hint="eastAsia" w:hAnsi="宋体" w:cs="宋体"/>
          <w:b/>
          <w:color w:val="auto"/>
          <w:highlight w:val="none"/>
        </w:rPr>
        <w:t>日期：</w:t>
      </w:r>
    </w:p>
    <w:p>
      <w:pPr>
        <w:rPr>
          <w:rFonts w:hint="eastAsia" w:hAnsi="宋体" w:cs="宋体"/>
          <w:b/>
          <w:color w:val="auto"/>
          <w:highlight w:val="none"/>
        </w:rPr>
      </w:pPr>
    </w:p>
    <w:p>
      <w:pPr>
        <w:adjustRightInd w:val="0"/>
        <w:snapToGrid w:val="0"/>
        <w:spacing w:line="360" w:lineRule="auto"/>
        <w:ind w:firstLine="482"/>
        <w:rPr>
          <w:rFonts w:hint="eastAsia" w:ascii="宋体" w:hAnsi="宋体" w:cs="宋体"/>
          <w:b/>
          <w:color w:val="auto"/>
          <w:highlight w:val="none"/>
        </w:rPr>
      </w:pPr>
    </w:p>
    <w:p>
      <w:pPr>
        <w:adjustRightInd w:val="0"/>
        <w:snapToGrid w:val="0"/>
        <w:spacing w:line="360" w:lineRule="auto"/>
        <w:ind w:firstLine="482"/>
        <w:rPr>
          <w:rFonts w:ascii="宋体" w:hAnsi="宋体" w:cs="宋体"/>
          <w:b/>
          <w:color w:val="auto"/>
          <w:highlight w:val="none"/>
        </w:rPr>
      </w:pPr>
      <w:bookmarkStart w:id="69" w:name="_Toc26454"/>
      <w:r>
        <w:rPr>
          <w:rFonts w:hint="eastAsia" w:ascii="宋体" w:hAnsi="宋体" w:cs="宋体"/>
          <w:b/>
          <w:color w:val="auto"/>
          <w:highlight w:val="none"/>
        </w:rPr>
        <w:br w:type="page"/>
      </w:r>
      <w:r>
        <w:rPr>
          <w:rFonts w:hint="eastAsia" w:ascii="宋体" w:hAnsi="宋体" w:cs="宋体"/>
          <w:b/>
          <w:color w:val="auto"/>
          <w:highlight w:val="none"/>
        </w:rPr>
        <w:t>四、项目组人员情况表</w:t>
      </w:r>
      <w:bookmarkEnd w:id="69"/>
    </w:p>
    <w:p>
      <w:pPr>
        <w:spacing w:before="55"/>
        <w:ind w:firstLine="640"/>
        <w:rPr>
          <w:color w:val="auto"/>
          <w:sz w:val="32"/>
          <w:highlight w:val="none"/>
        </w:rPr>
      </w:pPr>
    </w:p>
    <w:p>
      <w:pPr>
        <w:adjustRightInd w:val="0"/>
        <w:snapToGrid w:val="0"/>
        <w:spacing w:line="312" w:lineRule="auto"/>
        <w:ind w:firstLine="562" w:firstLineChars="200"/>
        <w:jc w:val="center"/>
        <w:rPr>
          <w:rFonts w:hint="eastAsia" w:ascii="仿宋" w:hAnsi="仿宋" w:eastAsia="仿宋" w:cs="宋体"/>
          <w:b/>
          <w:bCs/>
          <w:color w:val="auto"/>
          <w:sz w:val="28"/>
          <w:szCs w:val="28"/>
          <w:highlight w:val="none"/>
        </w:rPr>
      </w:pPr>
      <w:r>
        <w:rPr>
          <w:rFonts w:hint="eastAsia" w:ascii="仿宋" w:hAnsi="仿宋" w:eastAsia="仿宋" w:cs="宋体"/>
          <w:b/>
          <w:bCs/>
          <w:color w:val="auto"/>
          <w:sz w:val="28"/>
          <w:szCs w:val="28"/>
          <w:highlight w:val="none"/>
        </w:rPr>
        <w:t>拟派人员一览表</w:t>
      </w:r>
    </w:p>
    <w:p>
      <w:pPr>
        <w:pStyle w:val="53"/>
        <w:rPr>
          <w:color w:val="auto"/>
          <w:highlight w:val="none"/>
        </w:rPr>
      </w:pPr>
    </w:p>
    <w:tbl>
      <w:tblPr>
        <w:tblStyle w:val="5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3"/>
        <w:gridCol w:w="1346"/>
        <w:gridCol w:w="1421"/>
        <w:gridCol w:w="2111"/>
        <w:gridCol w:w="1063"/>
        <w:gridCol w:w="1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3" w:type="dxa"/>
            <w:noWrap/>
            <w:vAlign w:val="center"/>
          </w:tcPr>
          <w:p>
            <w:pPr>
              <w:adjustRightInd w:val="0"/>
              <w:snapToGri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346" w:type="dxa"/>
            <w:noWrap/>
            <w:vAlign w:val="center"/>
          </w:tcPr>
          <w:p>
            <w:pPr>
              <w:adjustRightInd w:val="0"/>
              <w:snapToGri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421" w:type="dxa"/>
            <w:noWrap/>
            <w:vAlign w:val="center"/>
          </w:tcPr>
          <w:p>
            <w:pPr>
              <w:adjustRightInd w:val="0"/>
              <w:snapToGri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2111" w:type="dxa"/>
            <w:noWrap/>
            <w:vAlign w:val="center"/>
          </w:tcPr>
          <w:p>
            <w:pPr>
              <w:adjustRightInd w:val="0"/>
              <w:snapToGri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职称或资格</w:t>
            </w:r>
          </w:p>
        </w:tc>
        <w:tc>
          <w:tcPr>
            <w:tcW w:w="1063" w:type="dxa"/>
            <w:noWrap/>
            <w:vAlign w:val="center"/>
          </w:tcPr>
          <w:p>
            <w:pPr>
              <w:adjustRightInd w:val="0"/>
              <w:snapToGri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证号</w:t>
            </w:r>
          </w:p>
        </w:tc>
        <w:tc>
          <w:tcPr>
            <w:tcW w:w="1782" w:type="dxa"/>
            <w:noWrap/>
            <w:vAlign w:val="center"/>
          </w:tcPr>
          <w:p>
            <w:pPr>
              <w:adjustRightInd w:val="0"/>
              <w:snapToGri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03" w:type="dxa"/>
            <w:noWrap/>
            <w:vAlign w:val="center"/>
          </w:tcPr>
          <w:p>
            <w:pPr>
              <w:adjustRightInd w:val="0"/>
              <w:snapToGrid w:val="0"/>
              <w:spacing w:line="312" w:lineRule="auto"/>
              <w:rPr>
                <w:rFonts w:hint="eastAsia" w:ascii="宋体" w:hAnsi="宋体" w:cs="宋体"/>
                <w:color w:val="auto"/>
                <w:szCs w:val="21"/>
                <w:highlight w:val="none"/>
              </w:rPr>
            </w:pPr>
          </w:p>
        </w:tc>
        <w:tc>
          <w:tcPr>
            <w:tcW w:w="1346" w:type="dxa"/>
            <w:noWrap/>
            <w:vAlign w:val="center"/>
          </w:tcPr>
          <w:p>
            <w:pPr>
              <w:adjustRightInd w:val="0"/>
              <w:snapToGrid w:val="0"/>
              <w:spacing w:line="312" w:lineRule="auto"/>
              <w:ind w:firstLine="420" w:firstLineChars="200"/>
              <w:rPr>
                <w:rFonts w:hint="eastAsia" w:ascii="宋体" w:hAnsi="宋体" w:cs="宋体"/>
                <w:color w:val="auto"/>
                <w:szCs w:val="21"/>
                <w:highlight w:val="none"/>
              </w:rPr>
            </w:pPr>
          </w:p>
        </w:tc>
        <w:tc>
          <w:tcPr>
            <w:tcW w:w="1421" w:type="dxa"/>
            <w:noWrap/>
            <w:vAlign w:val="center"/>
          </w:tcPr>
          <w:p>
            <w:pPr>
              <w:adjustRightInd w:val="0"/>
              <w:snapToGrid w:val="0"/>
              <w:spacing w:line="312" w:lineRule="auto"/>
              <w:ind w:firstLine="420" w:firstLineChars="200"/>
              <w:rPr>
                <w:rFonts w:hint="eastAsia" w:ascii="宋体" w:hAnsi="宋体" w:cs="宋体"/>
                <w:color w:val="auto"/>
                <w:szCs w:val="21"/>
                <w:highlight w:val="none"/>
              </w:rPr>
            </w:pPr>
          </w:p>
        </w:tc>
        <w:tc>
          <w:tcPr>
            <w:tcW w:w="2111" w:type="dxa"/>
            <w:noWrap/>
            <w:vAlign w:val="center"/>
          </w:tcPr>
          <w:p>
            <w:pPr>
              <w:adjustRightInd w:val="0"/>
              <w:snapToGrid w:val="0"/>
              <w:spacing w:line="312" w:lineRule="auto"/>
              <w:ind w:firstLine="420" w:firstLineChars="200"/>
              <w:rPr>
                <w:rFonts w:hint="eastAsia" w:ascii="宋体" w:hAnsi="宋体" w:cs="宋体"/>
                <w:color w:val="auto"/>
                <w:szCs w:val="21"/>
                <w:highlight w:val="none"/>
              </w:rPr>
            </w:pPr>
          </w:p>
        </w:tc>
        <w:tc>
          <w:tcPr>
            <w:tcW w:w="1063" w:type="dxa"/>
            <w:noWrap/>
            <w:vAlign w:val="center"/>
          </w:tcPr>
          <w:p>
            <w:pPr>
              <w:adjustRightInd w:val="0"/>
              <w:snapToGrid w:val="0"/>
              <w:spacing w:line="312" w:lineRule="auto"/>
              <w:ind w:firstLine="420" w:firstLineChars="200"/>
              <w:rPr>
                <w:rFonts w:hint="eastAsia" w:ascii="宋体" w:hAnsi="宋体" w:cs="宋体"/>
                <w:color w:val="auto"/>
                <w:szCs w:val="21"/>
                <w:highlight w:val="none"/>
              </w:rPr>
            </w:pPr>
          </w:p>
        </w:tc>
        <w:tc>
          <w:tcPr>
            <w:tcW w:w="1782" w:type="dxa"/>
            <w:noWrap/>
            <w:vAlign w:val="center"/>
          </w:tcPr>
          <w:p>
            <w:pPr>
              <w:pStyle w:val="2"/>
              <w:keepNext/>
              <w:spacing w:line="276" w:lineRule="auto"/>
              <w:ind w:right="63"/>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03" w:type="dxa"/>
            <w:noWrap/>
            <w:vAlign w:val="center"/>
          </w:tcPr>
          <w:p>
            <w:pPr>
              <w:pStyle w:val="2"/>
              <w:keepNext/>
              <w:spacing w:line="276" w:lineRule="auto"/>
              <w:ind w:right="63"/>
              <w:rPr>
                <w:rFonts w:hint="eastAsia" w:ascii="宋体" w:hAnsi="宋体" w:cs="宋体"/>
                <w:color w:val="auto"/>
                <w:szCs w:val="21"/>
                <w:highlight w:val="none"/>
              </w:rPr>
            </w:pPr>
          </w:p>
        </w:tc>
        <w:tc>
          <w:tcPr>
            <w:tcW w:w="1346" w:type="dxa"/>
            <w:noWrap/>
            <w:vAlign w:val="center"/>
          </w:tcPr>
          <w:p>
            <w:pPr>
              <w:adjustRightInd w:val="0"/>
              <w:snapToGrid w:val="0"/>
              <w:spacing w:line="312" w:lineRule="auto"/>
              <w:ind w:firstLine="420" w:firstLineChars="200"/>
              <w:rPr>
                <w:rFonts w:hint="eastAsia" w:ascii="宋体" w:hAnsi="宋体" w:cs="宋体"/>
                <w:color w:val="auto"/>
                <w:szCs w:val="21"/>
                <w:highlight w:val="none"/>
              </w:rPr>
            </w:pPr>
          </w:p>
        </w:tc>
        <w:tc>
          <w:tcPr>
            <w:tcW w:w="1421" w:type="dxa"/>
            <w:noWrap/>
            <w:vAlign w:val="center"/>
          </w:tcPr>
          <w:p>
            <w:pPr>
              <w:adjustRightInd w:val="0"/>
              <w:snapToGrid w:val="0"/>
              <w:spacing w:line="312" w:lineRule="auto"/>
              <w:ind w:firstLine="420" w:firstLineChars="200"/>
              <w:rPr>
                <w:rFonts w:hint="eastAsia" w:ascii="宋体" w:hAnsi="宋体" w:cs="宋体"/>
                <w:color w:val="auto"/>
                <w:szCs w:val="21"/>
                <w:highlight w:val="none"/>
              </w:rPr>
            </w:pPr>
          </w:p>
        </w:tc>
        <w:tc>
          <w:tcPr>
            <w:tcW w:w="2111" w:type="dxa"/>
            <w:noWrap/>
            <w:vAlign w:val="center"/>
          </w:tcPr>
          <w:p>
            <w:pPr>
              <w:adjustRightInd w:val="0"/>
              <w:snapToGrid w:val="0"/>
              <w:spacing w:line="312" w:lineRule="auto"/>
              <w:ind w:firstLine="420" w:firstLineChars="200"/>
              <w:rPr>
                <w:rFonts w:hint="eastAsia" w:ascii="宋体" w:hAnsi="宋体" w:cs="宋体"/>
                <w:color w:val="auto"/>
                <w:szCs w:val="21"/>
                <w:highlight w:val="none"/>
              </w:rPr>
            </w:pPr>
          </w:p>
        </w:tc>
        <w:tc>
          <w:tcPr>
            <w:tcW w:w="1063" w:type="dxa"/>
            <w:noWrap/>
            <w:vAlign w:val="center"/>
          </w:tcPr>
          <w:p>
            <w:pPr>
              <w:adjustRightInd w:val="0"/>
              <w:snapToGrid w:val="0"/>
              <w:spacing w:line="312" w:lineRule="auto"/>
              <w:ind w:firstLine="420" w:firstLineChars="200"/>
              <w:rPr>
                <w:rFonts w:hint="eastAsia" w:ascii="宋体" w:hAnsi="宋体" w:cs="宋体"/>
                <w:color w:val="auto"/>
                <w:szCs w:val="21"/>
                <w:highlight w:val="none"/>
              </w:rPr>
            </w:pPr>
          </w:p>
        </w:tc>
        <w:tc>
          <w:tcPr>
            <w:tcW w:w="1782" w:type="dxa"/>
            <w:noWrap/>
            <w:vAlign w:val="center"/>
          </w:tcPr>
          <w:p>
            <w:pPr>
              <w:pStyle w:val="2"/>
              <w:keepNext/>
              <w:spacing w:line="276" w:lineRule="auto"/>
              <w:ind w:right="63"/>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03" w:type="dxa"/>
            <w:noWrap/>
            <w:vAlign w:val="center"/>
          </w:tcPr>
          <w:p>
            <w:pPr>
              <w:pStyle w:val="2"/>
              <w:keepNext/>
              <w:spacing w:line="276" w:lineRule="auto"/>
              <w:ind w:right="63"/>
              <w:rPr>
                <w:rFonts w:hint="eastAsia" w:ascii="宋体" w:hAnsi="宋体" w:cs="宋体"/>
                <w:color w:val="auto"/>
                <w:szCs w:val="21"/>
                <w:highlight w:val="none"/>
              </w:rPr>
            </w:pPr>
          </w:p>
        </w:tc>
        <w:tc>
          <w:tcPr>
            <w:tcW w:w="1346" w:type="dxa"/>
            <w:noWrap/>
            <w:vAlign w:val="center"/>
          </w:tcPr>
          <w:p>
            <w:pPr>
              <w:adjustRightInd w:val="0"/>
              <w:snapToGrid w:val="0"/>
              <w:spacing w:line="312" w:lineRule="auto"/>
              <w:ind w:firstLine="420" w:firstLineChars="200"/>
              <w:rPr>
                <w:rFonts w:hint="eastAsia" w:ascii="宋体" w:hAnsi="宋体" w:cs="宋体"/>
                <w:color w:val="auto"/>
                <w:szCs w:val="21"/>
                <w:highlight w:val="none"/>
              </w:rPr>
            </w:pPr>
          </w:p>
        </w:tc>
        <w:tc>
          <w:tcPr>
            <w:tcW w:w="1421" w:type="dxa"/>
            <w:noWrap/>
            <w:vAlign w:val="center"/>
          </w:tcPr>
          <w:p>
            <w:pPr>
              <w:adjustRightInd w:val="0"/>
              <w:snapToGrid w:val="0"/>
              <w:spacing w:line="312" w:lineRule="auto"/>
              <w:ind w:firstLine="420" w:firstLineChars="200"/>
              <w:rPr>
                <w:rFonts w:hint="eastAsia" w:ascii="宋体" w:hAnsi="宋体" w:cs="宋体"/>
                <w:color w:val="auto"/>
                <w:szCs w:val="21"/>
                <w:highlight w:val="none"/>
              </w:rPr>
            </w:pPr>
          </w:p>
        </w:tc>
        <w:tc>
          <w:tcPr>
            <w:tcW w:w="2111" w:type="dxa"/>
            <w:noWrap/>
            <w:vAlign w:val="center"/>
          </w:tcPr>
          <w:p>
            <w:pPr>
              <w:adjustRightInd w:val="0"/>
              <w:snapToGrid w:val="0"/>
              <w:spacing w:line="312" w:lineRule="auto"/>
              <w:ind w:firstLine="420" w:firstLineChars="200"/>
              <w:rPr>
                <w:rFonts w:hint="eastAsia" w:ascii="宋体" w:hAnsi="宋体" w:cs="宋体"/>
                <w:color w:val="auto"/>
                <w:szCs w:val="21"/>
                <w:highlight w:val="none"/>
              </w:rPr>
            </w:pPr>
          </w:p>
        </w:tc>
        <w:tc>
          <w:tcPr>
            <w:tcW w:w="1063" w:type="dxa"/>
            <w:noWrap/>
            <w:vAlign w:val="center"/>
          </w:tcPr>
          <w:p>
            <w:pPr>
              <w:adjustRightInd w:val="0"/>
              <w:snapToGrid w:val="0"/>
              <w:spacing w:line="312" w:lineRule="auto"/>
              <w:ind w:firstLine="420" w:firstLineChars="200"/>
              <w:rPr>
                <w:rFonts w:hint="eastAsia" w:ascii="宋体" w:hAnsi="宋体" w:cs="宋体"/>
                <w:color w:val="auto"/>
                <w:szCs w:val="21"/>
                <w:highlight w:val="none"/>
              </w:rPr>
            </w:pPr>
          </w:p>
        </w:tc>
        <w:tc>
          <w:tcPr>
            <w:tcW w:w="1782" w:type="dxa"/>
            <w:noWrap/>
            <w:vAlign w:val="center"/>
          </w:tcPr>
          <w:p>
            <w:pPr>
              <w:pStyle w:val="2"/>
              <w:keepNext/>
              <w:spacing w:line="276" w:lineRule="auto"/>
              <w:ind w:right="63"/>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03" w:type="dxa"/>
            <w:noWrap/>
            <w:vAlign w:val="center"/>
          </w:tcPr>
          <w:p>
            <w:pPr>
              <w:pStyle w:val="2"/>
              <w:keepNext/>
              <w:spacing w:line="276" w:lineRule="auto"/>
              <w:ind w:right="63"/>
              <w:rPr>
                <w:rFonts w:hint="eastAsia" w:ascii="宋体" w:hAnsi="宋体" w:cs="宋体"/>
                <w:color w:val="auto"/>
                <w:szCs w:val="21"/>
                <w:highlight w:val="none"/>
              </w:rPr>
            </w:pPr>
          </w:p>
        </w:tc>
        <w:tc>
          <w:tcPr>
            <w:tcW w:w="1346" w:type="dxa"/>
            <w:noWrap/>
            <w:vAlign w:val="center"/>
          </w:tcPr>
          <w:p>
            <w:pPr>
              <w:adjustRightInd w:val="0"/>
              <w:snapToGrid w:val="0"/>
              <w:spacing w:line="312" w:lineRule="auto"/>
              <w:ind w:firstLine="420" w:firstLineChars="200"/>
              <w:rPr>
                <w:rFonts w:hint="eastAsia" w:ascii="宋体" w:hAnsi="宋体" w:cs="宋体"/>
                <w:color w:val="auto"/>
                <w:szCs w:val="21"/>
                <w:highlight w:val="none"/>
              </w:rPr>
            </w:pPr>
          </w:p>
        </w:tc>
        <w:tc>
          <w:tcPr>
            <w:tcW w:w="1421" w:type="dxa"/>
            <w:noWrap/>
            <w:vAlign w:val="center"/>
          </w:tcPr>
          <w:p>
            <w:pPr>
              <w:adjustRightInd w:val="0"/>
              <w:snapToGrid w:val="0"/>
              <w:spacing w:line="312" w:lineRule="auto"/>
              <w:ind w:firstLine="420" w:firstLineChars="200"/>
              <w:rPr>
                <w:rFonts w:hint="eastAsia" w:ascii="宋体" w:hAnsi="宋体" w:cs="宋体"/>
                <w:color w:val="auto"/>
                <w:szCs w:val="21"/>
                <w:highlight w:val="none"/>
              </w:rPr>
            </w:pPr>
          </w:p>
        </w:tc>
        <w:tc>
          <w:tcPr>
            <w:tcW w:w="2111" w:type="dxa"/>
            <w:noWrap/>
            <w:vAlign w:val="center"/>
          </w:tcPr>
          <w:p>
            <w:pPr>
              <w:adjustRightInd w:val="0"/>
              <w:snapToGrid w:val="0"/>
              <w:spacing w:line="312" w:lineRule="auto"/>
              <w:ind w:firstLine="420" w:firstLineChars="200"/>
              <w:rPr>
                <w:rFonts w:hint="eastAsia" w:ascii="宋体" w:hAnsi="宋体" w:cs="宋体"/>
                <w:color w:val="auto"/>
                <w:szCs w:val="21"/>
                <w:highlight w:val="none"/>
              </w:rPr>
            </w:pPr>
          </w:p>
        </w:tc>
        <w:tc>
          <w:tcPr>
            <w:tcW w:w="1063" w:type="dxa"/>
            <w:noWrap/>
            <w:vAlign w:val="center"/>
          </w:tcPr>
          <w:p>
            <w:pPr>
              <w:adjustRightInd w:val="0"/>
              <w:snapToGrid w:val="0"/>
              <w:spacing w:line="312" w:lineRule="auto"/>
              <w:ind w:firstLine="420" w:firstLineChars="200"/>
              <w:rPr>
                <w:rFonts w:hint="eastAsia" w:ascii="宋体" w:hAnsi="宋体" w:cs="宋体"/>
                <w:color w:val="auto"/>
                <w:szCs w:val="21"/>
                <w:highlight w:val="none"/>
              </w:rPr>
            </w:pPr>
          </w:p>
        </w:tc>
        <w:tc>
          <w:tcPr>
            <w:tcW w:w="1782" w:type="dxa"/>
            <w:noWrap/>
            <w:vAlign w:val="center"/>
          </w:tcPr>
          <w:p>
            <w:pPr>
              <w:pStyle w:val="2"/>
              <w:keepNext/>
              <w:spacing w:line="276" w:lineRule="auto"/>
              <w:ind w:right="63"/>
              <w:rPr>
                <w:rFonts w:hint="eastAsia"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03" w:type="dxa"/>
            <w:noWrap/>
            <w:vAlign w:val="center"/>
          </w:tcPr>
          <w:p>
            <w:pPr>
              <w:pStyle w:val="2"/>
              <w:keepNext/>
              <w:spacing w:line="276" w:lineRule="auto"/>
              <w:ind w:right="63"/>
              <w:rPr>
                <w:rFonts w:hint="eastAsia" w:ascii="宋体" w:hAnsi="宋体" w:cs="宋体"/>
                <w:color w:val="auto"/>
                <w:szCs w:val="21"/>
                <w:highlight w:val="none"/>
              </w:rPr>
            </w:pPr>
          </w:p>
        </w:tc>
        <w:tc>
          <w:tcPr>
            <w:tcW w:w="1346" w:type="dxa"/>
            <w:noWrap/>
            <w:vAlign w:val="center"/>
          </w:tcPr>
          <w:p>
            <w:pPr>
              <w:adjustRightInd w:val="0"/>
              <w:snapToGrid w:val="0"/>
              <w:spacing w:line="312" w:lineRule="auto"/>
              <w:ind w:firstLine="420" w:firstLineChars="200"/>
              <w:rPr>
                <w:rFonts w:ascii="宋体" w:hAnsi="宋体" w:cs="宋体"/>
                <w:color w:val="auto"/>
                <w:szCs w:val="21"/>
                <w:highlight w:val="none"/>
              </w:rPr>
            </w:pPr>
          </w:p>
        </w:tc>
        <w:tc>
          <w:tcPr>
            <w:tcW w:w="1421" w:type="dxa"/>
            <w:noWrap/>
            <w:vAlign w:val="center"/>
          </w:tcPr>
          <w:p>
            <w:pPr>
              <w:adjustRightInd w:val="0"/>
              <w:snapToGrid w:val="0"/>
              <w:spacing w:line="312" w:lineRule="auto"/>
              <w:ind w:firstLine="420" w:firstLineChars="200"/>
              <w:rPr>
                <w:rFonts w:ascii="宋体" w:hAnsi="宋体" w:cs="宋体"/>
                <w:color w:val="auto"/>
                <w:szCs w:val="21"/>
                <w:highlight w:val="none"/>
              </w:rPr>
            </w:pPr>
          </w:p>
        </w:tc>
        <w:tc>
          <w:tcPr>
            <w:tcW w:w="2111" w:type="dxa"/>
            <w:noWrap/>
            <w:vAlign w:val="center"/>
          </w:tcPr>
          <w:p>
            <w:pPr>
              <w:adjustRightInd w:val="0"/>
              <w:snapToGrid w:val="0"/>
              <w:spacing w:line="312" w:lineRule="auto"/>
              <w:ind w:firstLine="420" w:firstLineChars="200"/>
              <w:rPr>
                <w:rFonts w:ascii="宋体" w:hAnsi="宋体" w:cs="宋体"/>
                <w:color w:val="auto"/>
                <w:szCs w:val="21"/>
                <w:highlight w:val="none"/>
              </w:rPr>
            </w:pPr>
          </w:p>
        </w:tc>
        <w:tc>
          <w:tcPr>
            <w:tcW w:w="1063" w:type="dxa"/>
            <w:noWrap/>
            <w:vAlign w:val="center"/>
          </w:tcPr>
          <w:p>
            <w:pPr>
              <w:adjustRightInd w:val="0"/>
              <w:snapToGrid w:val="0"/>
              <w:spacing w:line="312" w:lineRule="auto"/>
              <w:rPr>
                <w:rFonts w:ascii="宋体" w:hAnsi="宋体" w:cs="宋体"/>
                <w:color w:val="auto"/>
                <w:szCs w:val="21"/>
                <w:highlight w:val="none"/>
              </w:rPr>
            </w:pPr>
          </w:p>
        </w:tc>
        <w:tc>
          <w:tcPr>
            <w:tcW w:w="1782" w:type="dxa"/>
            <w:noWrap/>
            <w:vAlign w:val="center"/>
          </w:tcPr>
          <w:p>
            <w:pPr>
              <w:pStyle w:val="2"/>
              <w:keepNext/>
              <w:spacing w:line="276" w:lineRule="auto"/>
              <w:ind w:right="63"/>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03" w:type="dxa"/>
            <w:noWrap/>
            <w:vAlign w:val="center"/>
          </w:tcPr>
          <w:p>
            <w:pPr>
              <w:pStyle w:val="2"/>
              <w:keepNext/>
              <w:spacing w:line="276" w:lineRule="auto"/>
              <w:ind w:right="63"/>
              <w:rPr>
                <w:rFonts w:hAnsi="宋体"/>
                <w:color w:val="auto"/>
                <w:szCs w:val="21"/>
                <w:highlight w:val="none"/>
              </w:rPr>
            </w:pPr>
          </w:p>
        </w:tc>
        <w:tc>
          <w:tcPr>
            <w:tcW w:w="1346" w:type="dxa"/>
            <w:noWrap/>
            <w:vAlign w:val="center"/>
          </w:tcPr>
          <w:p>
            <w:pPr>
              <w:adjustRightInd w:val="0"/>
              <w:snapToGrid w:val="0"/>
              <w:spacing w:line="312" w:lineRule="auto"/>
              <w:ind w:firstLine="420" w:firstLineChars="200"/>
              <w:rPr>
                <w:rFonts w:hint="eastAsia" w:ascii="宋体" w:hAnsi="宋体" w:cs="宋体"/>
                <w:color w:val="auto"/>
                <w:szCs w:val="21"/>
                <w:highlight w:val="none"/>
              </w:rPr>
            </w:pPr>
          </w:p>
        </w:tc>
        <w:tc>
          <w:tcPr>
            <w:tcW w:w="1421" w:type="dxa"/>
            <w:noWrap/>
            <w:vAlign w:val="center"/>
          </w:tcPr>
          <w:p>
            <w:pPr>
              <w:adjustRightInd w:val="0"/>
              <w:snapToGrid w:val="0"/>
              <w:spacing w:line="312" w:lineRule="auto"/>
              <w:ind w:firstLine="420" w:firstLineChars="200"/>
              <w:rPr>
                <w:rFonts w:hint="eastAsia" w:ascii="宋体" w:hAnsi="宋体" w:cs="宋体"/>
                <w:color w:val="auto"/>
                <w:szCs w:val="21"/>
                <w:highlight w:val="none"/>
              </w:rPr>
            </w:pPr>
          </w:p>
        </w:tc>
        <w:tc>
          <w:tcPr>
            <w:tcW w:w="2111" w:type="dxa"/>
            <w:noWrap/>
            <w:vAlign w:val="center"/>
          </w:tcPr>
          <w:p>
            <w:pPr>
              <w:adjustRightInd w:val="0"/>
              <w:snapToGrid w:val="0"/>
              <w:spacing w:line="312" w:lineRule="auto"/>
              <w:ind w:firstLine="420" w:firstLineChars="200"/>
              <w:rPr>
                <w:rFonts w:hint="eastAsia" w:ascii="宋体" w:hAnsi="宋体" w:cs="宋体"/>
                <w:color w:val="auto"/>
                <w:szCs w:val="21"/>
                <w:highlight w:val="none"/>
              </w:rPr>
            </w:pPr>
          </w:p>
        </w:tc>
        <w:tc>
          <w:tcPr>
            <w:tcW w:w="1063" w:type="dxa"/>
            <w:noWrap/>
            <w:vAlign w:val="center"/>
          </w:tcPr>
          <w:p>
            <w:pPr>
              <w:adjustRightInd w:val="0"/>
              <w:snapToGrid w:val="0"/>
              <w:spacing w:line="312" w:lineRule="auto"/>
              <w:rPr>
                <w:rFonts w:hint="eastAsia" w:ascii="宋体" w:hAnsi="宋体" w:cs="宋体"/>
                <w:color w:val="auto"/>
                <w:szCs w:val="21"/>
                <w:highlight w:val="none"/>
              </w:rPr>
            </w:pPr>
          </w:p>
        </w:tc>
        <w:tc>
          <w:tcPr>
            <w:tcW w:w="1782" w:type="dxa"/>
            <w:noWrap/>
            <w:vAlign w:val="center"/>
          </w:tcPr>
          <w:p>
            <w:pPr>
              <w:pStyle w:val="2"/>
              <w:keepNext/>
              <w:spacing w:line="276" w:lineRule="auto"/>
              <w:ind w:right="63"/>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03" w:type="dxa"/>
            <w:noWrap/>
            <w:vAlign w:val="center"/>
          </w:tcPr>
          <w:p>
            <w:pPr>
              <w:pStyle w:val="2"/>
              <w:keepNext/>
              <w:spacing w:line="276" w:lineRule="auto"/>
              <w:ind w:right="63"/>
              <w:rPr>
                <w:rFonts w:hAnsi="宋体"/>
                <w:color w:val="auto"/>
                <w:szCs w:val="21"/>
                <w:highlight w:val="none"/>
              </w:rPr>
            </w:pPr>
            <w:r>
              <w:rPr>
                <w:rFonts w:hint="eastAsia" w:hAnsi="宋体"/>
                <w:color w:val="auto"/>
                <w:szCs w:val="21"/>
                <w:highlight w:val="none"/>
              </w:rPr>
              <w:t>...</w:t>
            </w:r>
          </w:p>
        </w:tc>
        <w:tc>
          <w:tcPr>
            <w:tcW w:w="1346" w:type="dxa"/>
            <w:noWrap/>
            <w:vAlign w:val="center"/>
          </w:tcPr>
          <w:p>
            <w:pPr>
              <w:adjustRightInd w:val="0"/>
              <w:snapToGrid w:val="0"/>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p>
        </w:tc>
        <w:tc>
          <w:tcPr>
            <w:tcW w:w="1421" w:type="dxa"/>
            <w:noWrap/>
            <w:vAlign w:val="center"/>
          </w:tcPr>
          <w:p>
            <w:pPr>
              <w:adjustRightInd w:val="0"/>
              <w:snapToGrid w:val="0"/>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p>
        </w:tc>
        <w:tc>
          <w:tcPr>
            <w:tcW w:w="2111" w:type="dxa"/>
            <w:noWrap/>
            <w:vAlign w:val="center"/>
          </w:tcPr>
          <w:p>
            <w:pPr>
              <w:adjustRightInd w:val="0"/>
              <w:snapToGrid w:val="0"/>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p>
        </w:tc>
        <w:tc>
          <w:tcPr>
            <w:tcW w:w="1063" w:type="dxa"/>
            <w:noWrap/>
            <w:vAlign w:val="center"/>
          </w:tcPr>
          <w:p>
            <w:pPr>
              <w:adjustRightInd w:val="0"/>
              <w:snapToGrid w:val="0"/>
              <w:spacing w:line="312" w:lineRule="auto"/>
              <w:rPr>
                <w:rFonts w:ascii="宋体" w:hAnsi="宋体" w:cs="宋体"/>
                <w:color w:val="auto"/>
                <w:szCs w:val="21"/>
                <w:highlight w:val="none"/>
              </w:rPr>
            </w:pPr>
            <w:r>
              <w:rPr>
                <w:rFonts w:hint="eastAsia" w:ascii="宋体" w:hAnsi="宋体" w:cs="宋体"/>
                <w:color w:val="auto"/>
                <w:szCs w:val="21"/>
                <w:highlight w:val="none"/>
              </w:rPr>
              <w:t>...</w:t>
            </w:r>
          </w:p>
        </w:tc>
        <w:tc>
          <w:tcPr>
            <w:tcW w:w="1782" w:type="dxa"/>
            <w:noWrap/>
            <w:vAlign w:val="center"/>
          </w:tcPr>
          <w:p>
            <w:pPr>
              <w:pStyle w:val="2"/>
              <w:keepNext/>
              <w:spacing w:line="276" w:lineRule="auto"/>
              <w:ind w:right="63"/>
              <w:rPr>
                <w:rFonts w:ascii="宋体" w:hAnsi="宋体" w:cs="宋体"/>
                <w:color w:val="auto"/>
                <w:szCs w:val="21"/>
                <w:highlight w:val="none"/>
              </w:rPr>
            </w:pPr>
            <w:r>
              <w:rPr>
                <w:rFonts w:hint="eastAsia" w:ascii="宋体" w:hAnsi="宋体" w:cs="宋体"/>
                <w:color w:val="auto"/>
                <w:szCs w:val="21"/>
                <w:highlight w:val="none"/>
              </w:rPr>
              <w:t>...</w:t>
            </w:r>
          </w:p>
        </w:tc>
      </w:tr>
    </w:tbl>
    <w:p>
      <w:pPr>
        <w:snapToGrid w:val="0"/>
        <w:spacing w:line="360" w:lineRule="auto"/>
        <w:rPr>
          <w:color w:val="auto"/>
          <w:highlight w:val="none"/>
        </w:rPr>
      </w:pPr>
    </w:p>
    <w:p>
      <w:pPr>
        <w:spacing w:line="360" w:lineRule="auto"/>
        <w:ind w:firstLine="422"/>
        <w:rPr>
          <w:rFonts w:ascii="宋体" w:hAnsi="宋体" w:cs="宋体"/>
          <w:bCs/>
          <w:color w:val="auto"/>
          <w:szCs w:val="21"/>
          <w:highlight w:val="none"/>
        </w:rPr>
      </w:pPr>
      <w:r>
        <w:rPr>
          <w:rFonts w:hint="eastAsia" w:ascii="宋体" w:hAnsi="宋体" w:cs="宋体"/>
          <w:bCs/>
          <w:color w:val="auto"/>
          <w:szCs w:val="21"/>
          <w:highlight w:val="none"/>
        </w:rPr>
        <w:t>本表后附人员身份证、相关职称证书、缴纳社保的证明材料等</w:t>
      </w:r>
      <w:r>
        <w:rPr>
          <w:rFonts w:hint="eastAsia" w:ascii="宋体" w:hAnsi="宋体" w:cs="宋体"/>
          <w:color w:val="auto"/>
          <w:szCs w:val="21"/>
          <w:highlight w:val="none"/>
          <w:lang w:val="zh-CN"/>
        </w:rPr>
        <w:t>复</w:t>
      </w:r>
      <w:r>
        <w:rPr>
          <w:rFonts w:hint="eastAsia" w:ascii="宋体" w:hAnsi="宋体" w:cs="宋体"/>
          <w:color w:val="auto"/>
          <w:szCs w:val="21"/>
          <w:highlight w:val="none"/>
        </w:rPr>
        <w:t>制</w:t>
      </w:r>
      <w:r>
        <w:rPr>
          <w:rFonts w:hint="eastAsia" w:ascii="宋体" w:hAnsi="宋体" w:cs="宋体"/>
          <w:color w:val="auto"/>
          <w:szCs w:val="21"/>
          <w:highlight w:val="none"/>
          <w:lang w:val="zh-CN"/>
        </w:rPr>
        <w:t>件</w:t>
      </w:r>
      <w:r>
        <w:rPr>
          <w:rFonts w:hint="eastAsia" w:ascii="宋体" w:hAnsi="宋体" w:cs="宋体"/>
          <w:bCs/>
          <w:color w:val="auto"/>
          <w:szCs w:val="21"/>
          <w:highlight w:val="none"/>
        </w:rPr>
        <w:t>（具体按评分标准相应评分项证明材料要求提供），原件自带备查。</w:t>
      </w:r>
    </w:p>
    <w:p>
      <w:pPr>
        <w:pStyle w:val="321"/>
        <w:ind w:left="840" w:hanging="420"/>
        <w:rPr>
          <w:rFonts w:hint="eastAsia"/>
          <w:bCs/>
          <w:color w:val="auto"/>
          <w:highlight w:val="none"/>
        </w:rPr>
      </w:pPr>
    </w:p>
    <w:p>
      <w:pPr>
        <w:pStyle w:val="2"/>
        <w:spacing w:line="360" w:lineRule="auto"/>
        <w:ind w:firstLine="480"/>
        <w:rPr>
          <w:bCs/>
          <w:color w:val="auto"/>
          <w:highlight w:val="none"/>
        </w:rPr>
      </w:pPr>
    </w:p>
    <w:p>
      <w:pPr>
        <w:pStyle w:val="28"/>
        <w:adjustRightInd w:val="0"/>
        <w:snapToGrid w:val="0"/>
        <w:spacing w:line="360" w:lineRule="auto"/>
        <w:ind w:firstLine="422"/>
        <w:rPr>
          <w:rFonts w:hAnsi="宋体"/>
          <w:bCs/>
          <w:color w:val="auto"/>
          <w:highlight w:val="none"/>
        </w:rPr>
      </w:pPr>
      <w:r>
        <w:rPr>
          <w:rFonts w:hint="eastAsia" w:hAnsi="宋体"/>
          <w:bCs/>
          <w:color w:val="auto"/>
          <w:highlight w:val="none"/>
        </w:rPr>
        <w:t>投标人全称（盖单位公章）：</w:t>
      </w:r>
    </w:p>
    <w:p>
      <w:pPr>
        <w:pStyle w:val="28"/>
        <w:adjustRightInd w:val="0"/>
        <w:snapToGrid w:val="0"/>
        <w:spacing w:line="360" w:lineRule="auto"/>
        <w:ind w:firstLine="422"/>
        <w:rPr>
          <w:rFonts w:hAnsi="宋体"/>
          <w:bCs/>
          <w:color w:val="auto"/>
          <w:highlight w:val="none"/>
        </w:rPr>
      </w:pPr>
      <w:r>
        <w:rPr>
          <w:rFonts w:hint="eastAsia" w:hAnsi="宋体"/>
          <w:bCs/>
          <w:color w:val="auto"/>
          <w:highlight w:val="none"/>
        </w:rPr>
        <w:t>法定代表人或其授权委托人（签字或盖章）：</w:t>
      </w:r>
    </w:p>
    <w:p>
      <w:pPr>
        <w:pStyle w:val="28"/>
        <w:adjustRightInd w:val="0"/>
        <w:snapToGrid w:val="0"/>
        <w:spacing w:line="360" w:lineRule="auto"/>
        <w:ind w:firstLine="422"/>
        <w:rPr>
          <w:rFonts w:hint="eastAsia" w:hAnsi="宋体"/>
          <w:bCs/>
          <w:color w:val="auto"/>
          <w:highlight w:val="none"/>
        </w:rPr>
        <w:sectPr>
          <w:pgSz w:w="11906" w:h="16838"/>
          <w:pgMar w:top="1247" w:right="1247" w:bottom="1247" w:left="1247" w:header="851" w:footer="851" w:gutter="0"/>
          <w:cols w:space="720" w:num="1"/>
          <w:docGrid w:linePitch="272" w:charSpace="-3831"/>
        </w:sectPr>
      </w:pPr>
      <w:r>
        <w:rPr>
          <w:rFonts w:hint="eastAsia" w:hAnsi="宋体"/>
          <w:bCs/>
          <w:color w:val="auto"/>
          <w:highlight w:val="none"/>
        </w:rPr>
        <w:t>日期：</w:t>
      </w:r>
    </w:p>
    <w:p>
      <w:pPr>
        <w:spacing w:line="360" w:lineRule="auto"/>
        <w:jc w:val="left"/>
        <w:rPr>
          <w:rFonts w:hint="eastAsia" w:ascii="宋体" w:hAnsi="宋体" w:cs="宋体"/>
          <w:b/>
          <w:color w:val="auto"/>
          <w:spacing w:val="-6"/>
          <w:sz w:val="24"/>
          <w:highlight w:val="none"/>
        </w:rPr>
      </w:pPr>
      <w:r>
        <w:rPr>
          <w:rFonts w:hint="eastAsia" w:ascii="宋体" w:hAnsi="宋体" w:cs="宋体"/>
          <w:b/>
          <w:color w:val="auto"/>
          <w:spacing w:val="-6"/>
          <w:sz w:val="24"/>
          <w:highlight w:val="none"/>
        </w:rPr>
        <w:t>五、类似项目业绩</w:t>
      </w:r>
    </w:p>
    <w:p>
      <w:pPr>
        <w:spacing w:line="360" w:lineRule="auto"/>
        <w:rPr>
          <w:rFonts w:hint="eastAsia" w:ascii="宋体" w:hAnsi="宋体" w:cs="宋体"/>
          <w:b/>
          <w:color w:val="auto"/>
          <w:highlight w:val="none"/>
        </w:rPr>
      </w:pPr>
    </w:p>
    <w:p>
      <w:pPr>
        <w:spacing w:line="360" w:lineRule="auto"/>
        <w:jc w:val="center"/>
        <w:rPr>
          <w:rFonts w:hint="eastAsia" w:ascii="宋体" w:hAnsi="宋体" w:cs="宋体"/>
          <w:b/>
          <w:color w:val="auto"/>
          <w:spacing w:val="-6"/>
          <w:sz w:val="24"/>
          <w:highlight w:val="none"/>
        </w:rPr>
      </w:pPr>
      <w:r>
        <w:rPr>
          <w:rFonts w:hint="eastAsia" w:ascii="宋体" w:hAnsi="宋体" w:cs="宋体"/>
          <w:b/>
          <w:color w:val="auto"/>
          <w:spacing w:val="-6"/>
          <w:sz w:val="24"/>
          <w:highlight w:val="none"/>
        </w:rPr>
        <w:t>类似项目实施情况一览表</w:t>
      </w:r>
    </w:p>
    <w:p>
      <w:pPr>
        <w:pStyle w:val="39"/>
        <w:spacing w:line="360" w:lineRule="auto"/>
        <w:ind w:left="480" w:hanging="480"/>
        <w:rPr>
          <w:rFonts w:hint="eastAsia" w:ascii="宋体" w:hAnsi="宋体" w:cs="宋体"/>
          <w:color w:val="auto"/>
          <w:sz w:val="24"/>
          <w:highlight w:val="none"/>
        </w:rPr>
      </w:pPr>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6"/>
        <w:gridCol w:w="1232"/>
        <w:gridCol w:w="1686"/>
        <w:gridCol w:w="1350"/>
        <w:gridCol w:w="1821"/>
        <w:gridCol w:w="23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采购单位</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项目名称</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合同金额</w:t>
            </w:r>
          </w:p>
          <w:p>
            <w:pPr>
              <w:jc w:val="center"/>
              <w:rPr>
                <w:rFonts w:hint="eastAsia" w:ascii="宋体" w:hAnsi="宋体" w:cs="宋体"/>
                <w:b/>
                <w:color w:val="auto"/>
                <w:szCs w:val="21"/>
                <w:highlight w:val="none"/>
              </w:rPr>
            </w:pPr>
            <w:r>
              <w:rPr>
                <w:rFonts w:hint="eastAsia" w:ascii="宋体" w:hAnsi="宋体" w:cs="宋体"/>
                <w:b/>
                <w:color w:val="auto"/>
                <w:szCs w:val="21"/>
                <w:highlight w:val="none"/>
              </w:rPr>
              <w:t>（万元）</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合同签订时间</w:t>
            </w:r>
          </w:p>
        </w:tc>
        <w:tc>
          <w:tcPr>
            <w:tcW w:w="23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采购单位联系人</w:t>
            </w:r>
          </w:p>
          <w:p>
            <w:pPr>
              <w:jc w:val="center"/>
              <w:rPr>
                <w:rFonts w:hint="eastAsia" w:ascii="宋体" w:hAnsi="宋体" w:cs="宋体"/>
                <w:b/>
                <w:color w:val="auto"/>
                <w:sz w:val="24"/>
                <w:highlight w:val="none"/>
              </w:rPr>
            </w:pPr>
            <w:r>
              <w:rPr>
                <w:rFonts w:hint="eastAsia" w:ascii="宋体" w:hAnsi="宋体" w:cs="宋体"/>
                <w:b/>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0"/>
                <w:highlight w:val="none"/>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auto"/>
                <w:sz w:val="24"/>
                <w:szCs w:val="20"/>
                <w:highlight w:val="none"/>
              </w:rPr>
            </w:pPr>
          </w:p>
        </w:tc>
      </w:tr>
    </w:tbl>
    <w:p>
      <w:pPr>
        <w:pStyle w:val="39"/>
        <w:spacing w:line="360" w:lineRule="auto"/>
        <w:ind w:left="480" w:hanging="480"/>
        <w:rPr>
          <w:rFonts w:hint="eastAsia" w:ascii="宋体" w:hAnsi="宋体" w:cs="宋体"/>
          <w:color w:val="auto"/>
          <w:sz w:val="24"/>
          <w:highlight w:val="none"/>
        </w:rPr>
      </w:pPr>
    </w:p>
    <w:p>
      <w:pPr>
        <w:spacing w:line="360" w:lineRule="auto"/>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说明：</w:t>
      </w:r>
    </w:p>
    <w:p>
      <w:pPr>
        <w:spacing w:line="360" w:lineRule="auto"/>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1、投标人须提供上述业绩证明资料复印件；</w:t>
      </w:r>
    </w:p>
    <w:p>
      <w:pPr>
        <w:spacing w:line="360" w:lineRule="auto"/>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2、所有合同复印件应清晰，应能体现合同签订时间、双方签字盖章等内容；</w:t>
      </w:r>
    </w:p>
    <w:p>
      <w:pPr>
        <w:spacing w:line="360" w:lineRule="auto"/>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3、投标人应在不涉及商业秘密的前提下尽可能提供详细的合同复印件内容。</w:t>
      </w:r>
    </w:p>
    <w:p>
      <w:pPr>
        <w:spacing w:line="360" w:lineRule="auto"/>
        <w:ind w:left="210" w:leftChars="100"/>
        <w:rPr>
          <w:rFonts w:hint="eastAsia" w:ascii="宋体" w:hAnsi="宋体" w:cs="宋体"/>
          <w:color w:val="auto"/>
          <w:szCs w:val="21"/>
          <w:highlight w:val="none"/>
        </w:rPr>
      </w:pPr>
    </w:p>
    <w:p>
      <w:pPr>
        <w:spacing w:line="360" w:lineRule="auto"/>
        <w:ind w:left="210" w:leftChars="100"/>
        <w:rPr>
          <w:rFonts w:hint="eastAsia" w:ascii="宋体" w:hAnsi="宋体" w:cs="宋体"/>
          <w:color w:val="auto"/>
          <w:szCs w:val="21"/>
          <w:highlight w:val="none"/>
        </w:rPr>
      </w:pPr>
    </w:p>
    <w:p>
      <w:pPr>
        <w:pStyle w:val="28"/>
        <w:adjustRightInd w:val="0"/>
        <w:snapToGrid w:val="0"/>
        <w:spacing w:line="360" w:lineRule="auto"/>
        <w:ind w:firstLine="480"/>
        <w:rPr>
          <w:rFonts w:hint="eastAsia" w:hAnsi="宋体" w:cs="宋体"/>
          <w:b/>
          <w:color w:val="auto"/>
          <w:highlight w:val="none"/>
        </w:rPr>
      </w:pPr>
      <w:r>
        <w:rPr>
          <w:rFonts w:hint="eastAsia" w:hAnsi="宋体" w:cs="宋体"/>
          <w:b/>
          <w:color w:val="auto"/>
          <w:highlight w:val="none"/>
        </w:rPr>
        <w:t>投标人全称（盖单位公章）：</w:t>
      </w:r>
    </w:p>
    <w:p>
      <w:pPr>
        <w:pStyle w:val="28"/>
        <w:adjustRightInd w:val="0"/>
        <w:snapToGrid w:val="0"/>
        <w:spacing w:line="360" w:lineRule="auto"/>
        <w:ind w:firstLine="480"/>
        <w:rPr>
          <w:rFonts w:hint="eastAsia" w:hAnsi="宋体" w:cs="宋体"/>
          <w:b/>
          <w:color w:val="auto"/>
          <w:highlight w:val="none"/>
        </w:rPr>
      </w:pPr>
      <w:r>
        <w:rPr>
          <w:rFonts w:hint="eastAsia" w:hAnsi="宋体" w:cs="宋体"/>
          <w:b/>
          <w:color w:val="auto"/>
          <w:highlight w:val="none"/>
        </w:rPr>
        <w:t>法定代表人或其授权委托人（签字或盖章）：</w:t>
      </w:r>
    </w:p>
    <w:p>
      <w:pPr>
        <w:pStyle w:val="28"/>
        <w:adjustRightInd w:val="0"/>
        <w:snapToGrid w:val="0"/>
        <w:spacing w:line="360" w:lineRule="auto"/>
        <w:ind w:firstLine="480"/>
        <w:rPr>
          <w:rFonts w:hint="eastAsia"/>
          <w:color w:val="auto"/>
          <w:highlight w:val="none"/>
        </w:rPr>
        <w:sectPr>
          <w:footerReference r:id="rId15" w:type="first"/>
          <w:footerReference r:id="rId14" w:type="default"/>
          <w:pgSz w:w="11906" w:h="16838"/>
          <w:pgMar w:top="1440" w:right="1310" w:bottom="1440" w:left="1310" w:header="851" w:footer="850" w:gutter="0"/>
          <w:cols w:space="720" w:num="1"/>
          <w:titlePg/>
          <w:docGrid w:linePitch="312" w:charSpace="0"/>
        </w:sectPr>
      </w:pPr>
      <w:r>
        <w:rPr>
          <w:rFonts w:hint="eastAsia" w:hAnsi="宋体" w:cs="宋体"/>
          <w:b/>
          <w:color w:val="auto"/>
          <w:highlight w:val="none"/>
        </w:rPr>
        <w:t>日期：</w:t>
      </w:r>
    </w:p>
    <w:p>
      <w:pPr>
        <w:jc w:val="left"/>
        <w:rPr>
          <w:rFonts w:hint="eastAsia" w:ascii="宋体" w:hAnsi="宋体" w:cs="宋体"/>
          <w:b/>
          <w:color w:val="auto"/>
          <w:highlight w:val="none"/>
        </w:rPr>
      </w:pPr>
    </w:p>
    <w:p>
      <w:pPr>
        <w:jc w:val="left"/>
        <w:rPr>
          <w:rFonts w:hint="eastAsia" w:ascii="宋体" w:hAnsi="宋体" w:cs="宋体"/>
          <w:b/>
          <w:color w:val="auto"/>
          <w:highlight w:val="none"/>
        </w:rPr>
      </w:pPr>
      <w:r>
        <w:rPr>
          <w:rFonts w:hint="eastAsia" w:ascii="宋体" w:hAnsi="宋体" w:cs="宋体"/>
          <w:b/>
          <w:color w:val="auto"/>
          <w:highlight w:val="none"/>
        </w:rPr>
        <w:t>六、投标响应表（偏离表）格式</w:t>
      </w:r>
    </w:p>
    <w:p>
      <w:pPr>
        <w:spacing w:line="360" w:lineRule="auto"/>
        <w:ind w:left="321" w:hanging="321" w:hangingChars="100"/>
        <w:jc w:val="center"/>
        <w:rPr>
          <w:rFonts w:hint="eastAsia" w:ascii="宋体" w:hAnsi="宋体" w:cs="宋体"/>
          <w:b/>
          <w:bCs/>
          <w:color w:val="auto"/>
          <w:sz w:val="32"/>
          <w:szCs w:val="32"/>
          <w:highlight w:val="none"/>
        </w:rPr>
      </w:pPr>
    </w:p>
    <w:p>
      <w:pPr>
        <w:spacing w:line="360" w:lineRule="auto"/>
        <w:ind w:left="321" w:hanging="321" w:hangingChars="10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投标响应表（商务偏离表）</w:t>
      </w:r>
    </w:p>
    <w:p>
      <w:pPr>
        <w:spacing w:line="360" w:lineRule="auto"/>
        <w:rPr>
          <w:rFonts w:hint="eastAsia" w:ascii="宋体" w:hAnsi="宋体" w:cs="宋体"/>
          <w:color w:val="auto"/>
          <w:highlight w:val="none"/>
          <w:u w:val="single"/>
        </w:rPr>
      </w:pPr>
      <w:r>
        <w:rPr>
          <w:rFonts w:hint="eastAsia" w:ascii="宋体" w:hAnsi="宋体" w:cs="宋体"/>
          <w:color w:val="auto"/>
          <w:highlight w:val="none"/>
        </w:rPr>
        <w:t>项目名称：</w:t>
      </w:r>
    </w:p>
    <w:tbl>
      <w:tblPr>
        <w:tblStyle w:val="54"/>
        <w:tblpPr w:leftFromText="180" w:rightFromText="180" w:vertAnchor="text" w:horzAnchor="page" w:tblpX="1271" w:tblpY="468"/>
        <w:tblOverlap w:val="never"/>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5"/>
        <w:gridCol w:w="3052"/>
        <w:gridCol w:w="2334"/>
        <w:gridCol w:w="31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005" w:type="dxa"/>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序号</w:t>
            </w:r>
          </w:p>
        </w:tc>
        <w:tc>
          <w:tcPr>
            <w:tcW w:w="3052" w:type="dxa"/>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采购要求</w:t>
            </w:r>
          </w:p>
        </w:tc>
        <w:tc>
          <w:tcPr>
            <w:tcW w:w="2334" w:type="dxa"/>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投标响应</w:t>
            </w:r>
          </w:p>
        </w:tc>
        <w:tc>
          <w:tcPr>
            <w:tcW w:w="3147" w:type="dxa"/>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说明（正偏离/负偏离）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1005" w:type="dxa"/>
            <w:noWrap w:val="0"/>
            <w:vAlign w:val="center"/>
          </w:tcPr>
          <w:p>
            <w:pPr>
              <w:snapToGrid w:val="0"/>
              <w:jc w:val="center"/>
              <w:rPr>
                <w:rFonts w:hint="eastAsia" w:ascii="宋体" w:hAnsi="宋体" w:cs="宋体"/>
                <w:color w:val="auto"/>
                <w:spacing w:val="20"/>
                <w:highlight w:val="none"/>
              </w:rPr>
            </w:pPr>
          </w:p>
        </w:tc>
        <w:tc>
          <w:tcPr>
            <w:tcW w:w="3052" w:type="dxa"/>
            <w:noWrap w:val="0"/>
            <w:vAlign w:val="center"/>
          </w:tcPr>
          <w:p>
            <w:pPr>
              <w:snapToGrid w:val="0"/>
              <w:jc w:val="center"/>
              <w:rPr>
                <w:rFonts w:hint="eastAsia" w:ascii="宋体" w:hAnsi="宋体" w:cs="宋体"/>
                <w:color w:val="auto"/>
                <w:spacing w:val="20"/>
                <w:highlight w:val="none"/>
              </w:rPr>
            </w:pPr>
          </w:p>
        </w:tc>
        <w:tc>
          <w:tcPr>
            <w:tcW w:w="2334" w:type="dxa"/>
            <w:noWrap w:val="0"/>
            <w:vAlign w:val="center"/>
          </w:tcPr>
          <w:p>
            <w:pPr>
              <w:snapToGrid w:val="0"/>
              <w:jc w:val="center"/>
              <w:rPr>
                <w:rFonts w:hint="eastAsia" w:ascii="宋体" w:hAnsi="宋体" w:cs="宋体"/>
                <w:color w:val="auto"/>
                <w:spacing w:val="20"/>
                <w:highlight w:val="none"/>
              </w:rPr>
            </w:pPr>
          </w:p>
        </w:tc>
        <w:tc>
          <w:tcPr>
            <w:tcW w:w="3147" w:type="dxa"/>
            <w:noWrap w:val="0"/>
            <w:vAlign w:val="center"/>
          </w:tcPr>
          <w:p>
            <w:pPr>
              <w:snapToGrid w:val="0"/>
              <w:jc w:val="center"/>
              <w:rPr>
                <w:rFonts w:hint="eastAsia"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1005" w:type="dxa"/>
            <w:noWrap w:val="0"/>
            <w:vAlign w:val="center"/>
          </w:tcPr>
          <w:p>
            <w:pPr>
              <w:snapToGrid w:val="0"/>
              <w:jc w:val="center"/>
              <w:rPr>
                <w:rFonts w:hint="eastAsia" w:ascii="宋体" w:hAnsi="宋体" w:cs="宋体"/>
                <w:color w:val="auto"/>
                <w:spacing w:val="20"/>
                <w:highlight w:val="none"/>
              </w:rPr>
            </w:pPr>
          </w:p>
        </w:tc>
        <w:tc>
          <w:tcPr>
            <w:tcW w:w="3052" w:type="dxa"/>
            <w:noWrap w:val="0"/>
            <w:vAlign w:val="center"/>
          </w:tcPr>
          <w:p>
            <w:pPr>
              <w:snapToGrid w:val="0"/>
              <w:jc w:val="center"/>
              <w:rPr>
                <w:rFonts w:hint="eastAsia" w:ascii="宋体" w:hAnsi="宋体" w:cs="宋体"/>
                <w:color w:val="auto"/>
                <w:spacing w:val="20"/>
                <w:highlight w:val="none"/>
              </w:rPr>
            </w:pPr>
          </w:p>
        </w:tc>
        <w:tc>
          <w:tcPr>
            <w:tcW w:w="2334" w:type="dxa"/>
            <w:noWrap w:val="0"/>
            <w:vAlign w:val="center"/>
          </w:tcPr>
          <w:p>
            <w:pPr>
              <w:snapToGrid w:val="0"/>
              <w:jc w:val="center"/>
              <w:rPr>
                <w:rFonts w:hint="eastAsia" w:ascii="宋体" w:hAnsi="宋体" w:cs="宋体"/>
                <w:color w:val="auto"/>
                <w:spacing w:val="20"/>
                <w:highlight w:val="none"/>
              </w:rPr>
            </w:pPr>
          </w:p>
        </w:tc>
        <w:tc>
          <w:tcPr>
            <w:tcW w:w="3147" w:type="dxa"/>
            <w:noWrap w:val="0"/>
            <w:vAlign w:val="center"/>
          </w:tcPr>
          <w:p>
            <w:pPr>
              <w:snapToGrid w:val="0"/>
              <w:jc w:val="center"/>
              <w:rPr>
                <w:rFonts w:hint="eastAsia"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1005" w:type="dxa"/>
            <w:noWrap w:val="0"/>
            <w:vAlign w:val="center"/>
          </w:tcPr>
          <w:p>
            <w:pPr>
              <w:snapToGrid w:val="0"/>
              <w:jc w:val="center"/>
              <w:rPr>
                <w:rFonts w:hint="eastAsia" w:ascii="宋体" w:hAnsi="宋体" w:cs="宋体"/>
                <w:color w:val="auto"/>
                <w:spacing w:val="20"/>
                <w:highlight w:val="none"/>
              </w:rPr>
            </w:pPr>
          </w:p>
        </w:tc>
        <w:tc>
          <w:tcPr>
            <w:tcW w:w="3052" w:type="dxa"/>
            <w:noWrap w:val="0"/>
            <w:vAlign w:val="center"/>
          </w:tcPr>
          <w:p>
            <w:pPr>
              <w:snapToGrid w:val="0"/>
              <w:jc w:val="center"/>
              <w:rPr>
                <w:rFonts w:hint="eastAsia" w:ascii="宋体" w:hAnsi="宋体" w:cs="宋体"/>
                <w:color w:val="auto"/>
                <w:spacing w:val="20"/>
                <w:highlight w:val="none"/>
              </w:rPr>
            </w:pPr>
          </w:p>
        </w:tc>
        <w:tc>
          <w:tcPr>
            <w:tcW w:w="2334" w:type="dxa"/>
            <w:noWrap w:val="0"/>
            <w:vAlign w:val="center"/>
          </w:tcPr>
          <w:p>
            <w:pPr>
              <w:snapToGrid w:val="0"/>
              <w:jc w:val="center"/>
              <w:rPr>
                <w:rFonts w:hint="eastAsia" w:ascii="宋体" w:hAnsi="宋体" w:cs="宋体"/>
                <w:color w:val="auto"/>
                <w:spacing w:val="20"/>
                <w:highlight w:val="none"/>
              </w:rPr>
            </w:pPr>
          </w:p>
        </w:tc>
        <w:tc>
          <w:tcPr>
            <w:tcW w:w="3147" w:type="dxa"/>
            <w:noWrap w:val="0"/>
            <w:vAlign w:val="center"/>
          </w:tcPr>
          <w:p>
            <w:pPr>
              <w:snapToGrid w:val="0"/>
              <w:jc w:val="center"/>
              <w:rPr>
                <w:rFonts w:hint="eastAsia"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1005" w:type="dxa"/>
            <w:noWrap w:val="0"/>
            <w:vAlign w:val="center"/>
          </w:tcPr>
          <w:p>
            <w:pPr>
              <w:snapToGrid w:val="0"/>
              <w:jc w:val="center"/>
              <w:rPr>
                <w:rFonts w:hint="eastAsia" w:ascii="宋体" w:hAnsi="宋体" w:cs="宋体"/>
                <w:color w:val="auto"/>
                <w:spacing w:val="20"/>
                <w:highlight w:val="none"/>
              </w:rPr>
            </w:pPr>
          </w:p>
        </w:tc>
        <w:tc>
          <w:tcPr>
            <w:tcW w:w="3052" w:type="dxa"/>
            <w:noWrap w:val="0"/>
            <w:vAlign w:val="center"/>
          </w:tcPr>
          <w:p>
            <w:pPr>
              <w:snapToGrid w:val="0"/>
              <w:jc w:val="center"/>
              <w:rPr>
                <w:rFonts w:hint="eastAsia" w:ascii="宋体" w:hAnsi="宋体" w:cs="宋体"/>
                <w:color w:val="auto"/>
                <w:spacing w:val="20"/>
                <w:highlight w:val="none"/>
              </w:rPr>
            </w:pPr>
          </w:p>
        </w:tc>
        <w:tc>
          <w:tcPr>
            <w:tcW w:w="2334" w:type="dxa"/>
            <w:noWrap w:val="0"/>
            <w:vAlign w:val="center"/>
          </w:tcPr>
          <w:p>
            <w:pPr>
              <w:snapToGrid w:val="0"/>
              <w:jc w:val="center"/>
              <w:rPr>
                <w:rFonts w:hint="eastAsia" w:ascii="宋体" w:hAnsi="宋体" w:cs="宋体"/>
                <w:color w:val="auto"/>
                <w:spacing w:val="20"/>
                <w:highlight w:val="none"/>
              </w:rPr>
            </w:pPr>
          </w:p>
        </w:tc>
        <w:tc>
          <w:tcPr>
            <w:tcW w:w="3147" w:type="dxa"/>
            <w:noWrap w:val="0"/>
            <w:vAlign w:val="center"/>
          </w:tcPr>
          <w:p>
            <w:pPr>
              <w:snapToGrid w:val="0"/>
              <w:jc w:val="center"/>
              <w:rPr>
                <w:rFonts w:hint="eastAsia"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16" w:hRule="atLeast"/>
        </w:trPr>
        <w:tc>
          <w:tcPr>
            <w:tcW w:w="1005" w:type="dxa"/>
            <w:noWrap w:val="0"/>
            <w:vAlign w:val="center"/>
          </w:tcPr>
          <w:p>
            <w:pPr>
              <w:snapToGrid w:val="0"/>
              <w:jc w:val="center"/>
              <w:rPr>
                <w:rFonts w:ascii="宋体" w:hAnsi="宋体" w:cs="宋体"/>
                <w:color w:val="auto"/>
                <w:spacing w:val="20"/>
                <w:highlight w:val="none"/>
              </w:rPr>
            </w:pPr>
            <w:r>
              <w:rPr>
                <w:rFonts w:hint="eastAsia" w:ascii="宋体" w:hAnsi="宋体" w:cs="宋体"/>
                <w:color w:val="auto"/>
                <w:spacing w:val="20"/>
                <w:highlight w:val="none"/>
              </w:rPr>
              <w:t>...</w:t>
            </w:r>
          </w:p>
        </w:tc>
        <w:tc>
          <w:tcPr>
            <w:tcW w:w="3052" w:type="dxa"/>
            <w:noWrap w:val="0"/>
            <w:vAlign w:val="center"/>
          </w:tcPr>
          <w:p>
            <w:pPr>
              <w:snapToGrid w:val="0"/>
              <w:jc w:val="center"/>
              <w:rPr>
                <w:rFonts w:ascii="宋体" w:hAnsi="宋体" w:cs="宋体"/>
                <w:color w:val="auto"/>
                <w:spacing w:val="20"/>
                <w:highlight w:val="none"/>
              </w:rPr>
            </w:pPr>
            <w:r>
              <w:rPr>
                <w:rFonts w:hint="eastAsia" w:ascii="宋体" w:hAnsi="宋体" w:cs="宋体"/>
                <w:color w:val="auto"/>
                <w:spacing w:val="20"/>
                <w:highlight w:val="none"/>
              </w:rPr>
              <w:t>...</w:t>
            </w:r>
          </w:p>
        </w:tc>
        <w:tc>
          <w:tcPr>
            <w:tcW w:w="2334" w:type="dxa"/>
            <w:noWrap w:val="0"/>
            <w:vAlign w:val="center"/>
          </w:tcPr>
          <w:p>
            <w:pPr>
              <w:snapToGrid w:val="0"/>
              <w:jc w:val="center"/>
              <w:rPr>
                <w:rFonts w:ascii="宋体" w:hAnsi="宋体" w:cs="宋体"/>
                <w:color w:val="auto"/>
                <w:spacing w:val="20"/>
                <w:highlight w:val="none"/>
              </w:rPr>
            </w:pPr>
            <w:r>
              <w:rPr>
                <w:rFonts w:hint="eastAsia" w:ascii="宋体" w:hAnsi="宋体" w:cs="宋体"/>
                <w:color w:val="auto"/>
                <w:spacing w:val="20"/>
                <w:highlight w:val="none"/>
              </w:rPr>
              <w:t>...</w:t>
            </w:r>
          </w:p>
        </w:tc>
        <w:tc>
          <w:tcPr>
            <w:tcW w:w="3147" w:type="dxa"/>
            <w:noWrap w:val="0"/>
            <w:vAlign w:val="center"/>
          </w:tcPr>
          <w:p>
            <w:pPr>
              <w:snapToGrid w:val="0"/>
              <w:jc w:val="center"/>
              <w:rPr>
                <w:rFonts w:ascii="宋体" w:hAnsi="宋体" w:cs="宋体"/>
                <w:color w:val="auto"/>
                <w:spacing w:val="20"/>
                <w:highlight w:val="none"/>
              </w:rPr>
            </w:pPr>
            <w:r>
              <w:rPr>
                <w:rFonts w:hint="eastAsia" w:ascii="宋体" w:hAnsi="宋体" w:cs="宋体"/>
                <w:color w:val="auto"/>
                <w:spacing w:val="20"/>
                <w:highlight w:val="none"/>
              </w:rPr>
              <w:t>...</w:t>
            </w:r>
          </w:p>
        </w:tc>
      </w:tr>
    </w:tbl>
    <w:p>
      <w:pPr>
        <w:spacing w:line="360" w:lineRule="auto"/>
        <w:rPr>
          <w:rFonts w:hint="eastAsia" w:ascii="宋体" w:hAnsi="宋体" w:cs="宋体"/>
          <w:color w:val="auto"/>
          <w:highlight w:val="none"/>
          <w:u w:val="single"/>
        </w:rPr>
      </w:pPr>
      <w:r>
        <w:rPr>
          <w:rFonts w:hint="eastAsia" w:ascii="宋体" w:hAnsi="宋体" w:cs="宋体"/>
          <w:color w:val="auto"/>
          <w:highlight w:val="none"/>
        </w:rPr>
        <w:t>项目编号：</w:t>
      </w:r>
    </w:p>
    <w:p>
      <w:pPr>
        <w:spacing w:line="360" w:lineRule="auto"/>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填表说明：对采购文件有任何偏离（包括正偏离及负偏离）均应汇总并填写在此表中。</w:t>
      </w: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pStyle w:val="28"/>
        <w:adjustRightInd w:val="0"/>
        <w:snapToGrid w:val="0"/>
        <w:spacing w:line="360" w:lineRule="auto"/>
        <w:ind w:firstLine="480"/>
        <w:rPr>
          <w:rFonts w:hint="eastAsia" w:hAnsi="宋体" w:cs="宋体"/>
          <w:b/>
          <w:color w:val="auto"/>
          <w:highlight w:val="none"/>
        </w:rPr>
      </w:pPr>
      <w:r>
        <w:rPr>
          <w:rFonts w:hint="eastAsia" w:hAnsi="宋体" w:cs="宋体"/>
          <w:b/>
          <w:color w:val="auto"/>
          <w:highlight w:val="none"/>
        </w:rPr>
        <w:t>投标人全称（盖单位公章）：</w:t>
      </w:r>
    </w:p>
    <w:p>
      <w:pPr>
        <w:pStyle w:val="28"/>
        <w:adjustRightInd w:val="0"/>
        <w:snapToGrid w:val="0"/>
        <w:spacing w:line="360" w:lineRule="auto"/>
        <w:ind w:firstLine="480"/>
        <w:rPr>
          <w:rFonts w:hint="eastAsia" w:hAnsi="宋体" w:cs="宋体"/>
          <w:b/>
          <w:color w:val="auto"/>
          <w:highlight w:val="none"/>
        </w:rPr>
      </w:pPr>
      <w:r>
        <w:rPr>
          <w:rFonts w:hint="eastAsia" w:hAnsi="宋体" w:cs="宋体"/>
          <w:b/>
          <w:color w:val="auto"/>
          <w:highlight w:val="none"/>
        </w:rPr>
        <w:t>法定代表人或其授权委托人（签字或盖章）：</w:t>
      </w:r>
    </w:p>
    <w:p>
      <w:pPr>
        <w:pStyle w:val="28"/>
        <w:adjustRightInd w:val="0"/>
        <w:snapToGrid w:val="0"/>
        <w:spacing w:line="360" w:lineRule="auto"/>
        <w:ind w:firstLine="480"/>
        <w:rPr>
          <w:rFonts w:hint="eastAsia" w:hAnsi="宋体" w:cs="宋体"/>
          <w:b/>
          <w:color w:val="auto"/>
          <w:highlight w:val="none"/>
        </w:rPr>
      </w:pPr>
      <w:r>
        <w:rPr>
          <w:rFonts w:hint="eastAsia" w:hAnsi="宋体" w:cs="宋体"/>
          <w:b/>
          <w:color w:val="auto"/>
          <w:highlight w:val="none"/>
        </w:rPr>
        <w:t>日期：</w:t>
      </w:r>
    </w:p>
    <w:p>
      <w:pPr>
        <w:pStyle w:val="28"/>
        <w:adjustRightInd w:val="0"/>
        <w:snapToGrid w:val="0"/>
        <w:spacing w:line="360" w:lineRule="auto"/>
        <w:ind w:firstLine="480"/>
        <w:rPr>
          <w:rFonts w:hint="eastAsia" w:hAnsi="宋体" w:cs="宋体"/>
          <w:b/>
          <w:color w:val="auto"/>
          <w:highlight w:val="none"/>
        </w:rPr>
      </w:pPr>
    </w:p>
    <w:p>
      <w:pPr>
        <w:pStyle w:val="28"/>
        <w:adjustRightInd w:val="0"/>
        <w:snapToGrid w:val="0"/>
        <w:spacing w:line="360" w:lineRule="auto"/>
        <w:ind w:firstLine="480"/>
        <w:rPr>
          <w:rFonts w:hint="eastAsia" w:hAnsi="宋体" w:cs="宋体"/>
          <w:b/>
          <w:color w:val="auto"/>
          <w:highlight w:val="none"/>
        </w:rPr>
      </w:pPr>
    </w:p>
    <w:p>
      <w:pPr>
        <w:spacing w:line="360" w:lineRule="auto"/>
        <w:jc w:val="center"/>
        <w:rPr>
          <w:rFonts w:hint="eastAsia" w:ascii="仿宋" w:hAnsi="仿宋" w:cs="仿宋"/>
          <w:b/>
          <w:color w:val="auto"/>
          <w:sz w:val="30"/>
          <w:szCs w:val="30"/>
          <w:highlight w:val="none"/>
          <w:lang w:val="zh-CN"/>
        </w:rPr>
      </w:pPr>
    </w:p>
    <w:p>
      <w:pPr>
        <w:spacing w:line="360" w:lineRule="auto"/>
        <w:ind w:left="321" w:hanging="321" w:hangingChars="100"/>
        <w:jc w:val="center"/>
        <w:rPr>
          <w:rFonts w:hint="eastAsia" w:ascii="宋体" w:hAnsi="宋体" w:cs="宋体"/>
          <w:b/>
          <w:bCs/>
          <w:color w:val="auto"/>
          <w:sz w:val="32"/>
          <w:szCs w:val="32"/>
          <w:highlight w:val="none"/>
        </w:rPr>
      </w:pPr>
    </w:p>
    <w:p>
      <w:pPr>
        <w:spacing w:line="360" w:lineRule="auto"/>
        <w:ind w:left="321" w:hanging="321" w:hangingChars="100"/>
        <w:jc w:val="center"/>
        <w:rPr>
          <w:rFonts w:hint="eastAsia" w:ascii="宋体" w:hAnsi="宋体" w:cs="宋体"/>
          <w:b/>
          <w:bCs/>
          <w:color w:val="auto"/>
          <w:sz w:val="32"/>
          <w:szCs w:val="32"/>
          <w:highlight w:val="none"/>
        </w:rPr>
      </w:pPr>
    </w:p>
    <w:p>
      <w:pPr>
        <w:spacing w:line="360" w:lineRule="auto"/>
        <w:ind w:left="321" w:hanging="321" w:hangingChars="100"/>
        <w:jc w:val="center"/>
        <w:rPr>
          <w:rFonts w:hint="eastAsia" w:ascii="宋体" w:hAnsi="宋体" w:cs="宋体"/>
          <w:b/>
          <w:bCs/>
          <w:color w:val="auto"/>
          <w:sz w:val="32"/>
          <w:szCs w:val="32"/>
          <w:highlight w:val="none"/>
        </w:rPr>
      </w:pPr>
    </w:p>
    <w:p>
      <w:pPr>
        <w:spacing w:line="360" w:lineRule="auto"/>
        <w:ind w:left="321" w:hanging="321" w:hangingChars="100"/>
        <w:jc w:val="center"/>
        <w:rPr>
          <w:rFonts w:hint="eastAsia" w:ascii="宋体" w:hAnsi="宋体" w:cs="宋体"/>
          <w:b/>
          <w:bCs/>
          <w:color w:val="auto"/>
          <w:sz w:val="32"/>
          <w:szCs w:val="32"/>
          <w:highlight w:val="none"/>
        </w:rPr>
      </w:pPr>
    </w:p>
    <w:p>
      <w:pPr>
        <w:rPr>
          <w:rFonts w:hint="eastAsia"/>
          <w:color w:val="auto"/>
          <w:highlight w:val="none"/>
          <w:lang w:val="zh-CN"/>
        </w:rPr>
      </w:pPr>
    </w:p>
    <w:p>
      <w:pPr>
        <w:pStyle w:val="22"/>
        <w:spacing w:line="360" w:lineRule="auto"/>
        <w:ind w:left="465" w:leftChars="180" w:hanging="87" w:hangingChars="36"/>
        <w:jc w:val="left"/>
        <w:rPr>
          <w:rFonts w:hint="eastAsia" w:cs="宋体"/>
          <w:b/>
          <w:color w:val="auto"/>
          <w:highlight w:val="none"/>
        </w:rPr>
      </w:pPr>
      <w:bookmarkStart w:id="70" w:name="_Toc245088206"/>
      <w:bookmarkStart w:id="71" w:name="_Toc345575544"/>
      <w:r>
        <w:rPr>
          <w:rFonts w:hint="eastAsia" w:cs="宋体"/>
          <w:b/>
          <w:color w:val="auto"/>
          <w:highlight w:val="none"/>
        </w:rPr>
        <w:t>七、技术部分</w:t>
      </w:r>
    </w:p>
    <w:p>
      <w:pPr>
        <w:spacing w:line="360" w:lineRule="auto"/>
        <w:rPr>
          <w:rFonts w:hint="eastAsia" w:ascii="宋体" w:hAnsi="宋体" w:cs="宋体"/>
          <w:b/>
          <w:color w:val="auto"/>
          <w:highlight w:val="none"/>
        </w:rPr>
      </w:pPr>
    </w:p>
    <w:p>
      <w:pPr>
        <w:adjustRightInd w:val="0"/>
        <w:snapToGrid w:val="0"/>
        <w:spacing w:line="360" w:lineRule="auto"/>
        <w:ind w:firstLine="422" w:firstLineChars="200"/>
        <w:rPr>
          <w:rFonts w:hint="eastAsia" w:ascii="宋体" w:hAnsi="宋体"/>
          <w:color w:val="auto"/>
          <w:szCs w:val="21"/>
          <w:highlight w:val="none"/>
        </w:rPr>
      </w:pPr>
      <w:r>
        <w:rPr>
          <w:rFonts w:hint="eastAsia" w:ascii="宋体" w:hAnsi="宋体" w:cs="宋体"/>
          <w:b/>
          <w:color w:val="auto"/>
          <w:highlight w:val="none"/>
        </w:rPr>
        <w:t xml:space="preserve">B.技术部分 </w:t>
      </w:r>
    </w:p>
    <w:p>
      <w:pPr>
        <w:pStyle w:val="24"/>
        <w:snapToGrid w:val="0"/>
        <w:spacing w:line="360" w:lineRule="auto"/>
        <w:ind w:left="4" w:leftChars="2" w:firstLine="420" w:firstLineChars="200"/>
        <w:rPr>
          <w:rFonts w:hint="eastAsia" w:ascii="宋体" w:hAnsi="宋体" w:cs="宋体"/>
          <w:color w:val="auto"/>
          <w:spacing w:val="20"/>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zh-CN"/>
        </w:rPr>
        <w:t>根据评标细则自拟）</w:t>
      </w:r>
    </w:p>
    <w:p>
      <w:pPr>
        <w:pStyle w:val="24"/>
        <w:snapToGrid w:val="0"/>
        <w:spacing w:line="360" w:lineRule="auto"/>
        <w:ind w:left="4" w:leftChars="2" w:firstLine="0" w:firstLineChars="0"/>
        <w:rPr>
          <w:rFonts w:hint="eastAsia" w:ascii="宋体" w:hAnsi="宋体" w:cs="宋体"/>
          <w:color w:val="auto"/>
          <w:spacing w:val="20"/>
          <w:highlight w:val="none"/>
        </w:rPr>
      </w:pPr>
    </w:p>
    <w:p>
      <w:pPr>
        <w:spacing w:line="360" w:lineRule="auto"/>
        <w:jc w:val="center"/>
        <w:rPr>
          <w:rStyle w:val="151"/>
          <w:rFonts w:hint="eastAsia" w:eastAsia="宋体" w:cs="宋体"/>
          <w:b/>
          <w:color w:val="auto"/>
          <w:sz w:val="24"/>
          <w:szCs w:val="24"/>
          <w:highlight w:val="none"/>
        </w:rPr>
      </w:pPr>
    </w:p>
    <w:p>
      <w:pPr>
        <w:pStyle w:val="24"/>
        <w:snapToGrid w:val="0"/>
        <w:spacing w:line="360" w:lineRule="auto"/>
        <w:ind w:left="4" w:leftChars="2" w:firstLine="0" w:firstLineChars="0"/>
        <w:rPr>
          <w:rFonts w:hint="eastAsia" w:ascii="宋体" w:hAnsi="宋体" w:cs="宋体"/>
          <w:color w:val="auto"/>
          <w:spacing w:val="20"/>
          <w:highlight w:val="none"/>
        </w:rPr>
      </w:pPr>
    </w:p>
    <w:p>
      <w:pPr>
        <w:pStyle w:val="24"/>
        <w:snapToGrid w:val="0"/>
        <w:spacing w:line="360" w:lineRule="auto"/>
        <w:ind w:left="4" w:leftChars="2" w:firstLine="0" w:firstLineChars="0"/>
        <w:rPr>
          <w:rFonts w:hint="eastAsia" w:ascii="宋体" w:hAnsi="宋体" w:cs="宋体"/>
          <w:color w:val="auto"/>
          <w:spacing w:val="20"/>
          <w:highlight w:val="none"/>
        </w:rPr>
      </w:pPr>
    </w:p>
    <w:p>
      <w:pPr>
        <w:pStyle w:val="24"/>
        <w:snapToGrid w:val="0"/>
        <w:spacing w:line="360" w:lineRule="auto"/>
        <w:ind w:left="4" w:leftChars="2" w:firstLine="0" w:firstLineChars="0"/>
        <w:rPr>
          <w:rFonts w:hint="eastAsia" w:ascii="宋体" w:hAnsi="宋体" w:cs="宋体"/>
          <w:color w:val="auto"/>
          <w:spacing w:val="20"/>
          <w:highlight w:val="none"/>
        </w:rPr>
      </w:pPr>
    </w:p>
    <w:p>
      <w:pPr>
        <w:pStyle w:val="28"/>
        <w:adjustRightInd w:val="0"/>
        <w:snapToGrid w:val="0"/>
        <w:spacing w:line="360" w:lineRule="auto"/>
        <w:ind w:firstLine="480"/>
        <w:rPr>
          <w:rFonts w:hint="eastAsia" w:hAnsi="宋体" w:cs="宋体"/>
          <w:b/>
          <w:color w:val="auto"/>
          <w:highlight w:val="none"/>
        </w:rPr>
      </w:pPr>
      <w:r>
        <w:rPr>
          <w:rFonts w:hint="eastAsia" w:hAnsi="宋体" w:cs="宋体"/>
          <w:b/>
          <w:color w:val="auto"/>
          <w:highlight w:val="none"/>
        </w:rPr>
        <w:t>投标人全称（盖单位公章）：</w:t>
      </w:r>
    </w:p>
    <w:p>
      <w:pPr>
        <w:pStyle w:val="28"/>
        <w:adjustRightInd w:val="0"/>
        <w:snapToGrid w:val="0"/>
        <w:spacing w:line="360" w:lineRule="auto"/>
        <w:ind w:firstLine="480"/>
        <w:rPr>
          <w:rFonts w:hint="eastAsia" w:hAnsi="宋体" w:cs="宋体"/>
          <w:b/>
          <w:color w:val="auto"/>
          <w:highlight w:val="none"/>
        </w:rPr>
      </w:pPr>
      <w:r>
        <w:rPr>
          <w:rFonts w:hint="eastAsia" w:hAnsi="宋体" w:cs="宋体"/>
          <w:b/>
          <w:color w:val="auto"/>
          <w:highlight w:val="none"/>
        </w:rPr>
        <w:t>法定代表人或其授权委托人（签字或盖章）：</w:t>
      </w:r>
    </w:p>
    <w:p>
      <w:pPr>
        <w:pStyle w:val="28"/>
        <w:adjustRightInd w:val="0"/>
        <w:snapToGrid w:val="0"/>
        <w:spacing w:line="360" w:lineRule="auto"/>
        <w:ind w:firstLine="480"/>
        <w:rPr>
          <w:rFonts w:hint="eastAsia" w:hAnsi="宋体" w:cs="宋体"/>
          <w:b/>
          <w:color w:val="auto"/>
          <w:highlight w:val="none"/>
        </w:rPr>
      </w:pPr>
      <w:r>
        <w:rPr>
          <w:rFonts w:hint="eastAsia" w:hAnsi="宋体" w:cs="宋体"/>
          <w:b/>
          <w:color w:val="auto"/>
          <w:highlight w:val="none"/>
        </w:rPr>
        <w:t>日期：</w:t>
      </w:r>
    </w:p>
    <w:bookmarkEnd w:id="70"/>
    <w:bookmarkEnd w:id="71"/>
    <w:p>
      <w:pPr>
        <w:spacing w:line="360" w:lineRule="auto"/>
        <w:jc w:val="left"/>
        <w:rPr>
          <w:rFonts w:hint="eastAsia" w:ascii="宋体" w:hAnsi="宋体" w:cs="宋体"/>
          <w:color w:val="auto"/>
          <w:sz w:val="24"/>
          <w:highlight w:val="none"/>
        </w:rPr>
      </w:pPr>
    </w:p>
    <w:p>
      <w:pPr>
        <w:rPr>
          <w:rFonts w:hint="eastAsia" w:ascii="宋体" w:hAnsi="宋体"/>
          <w:color w:val="auto"/>
          <w:spacing w:val="-6"/>
          <w:szCs w:val="21"/>
          <w:highlight w:val="none"/>
        </w:rPr>
      </w:pPr>
    </w:p>
    <w:p>
      <w:pPr>
        <w:pStyle w:val="2"/>
        <w:rPr>
          <w:rFonts w:hint="eastAsia" w:ascii="宋体" w:hAnsi="宋体"/>
          <w:color w:val="auto"/>
          <w:spacing w:val="-6"/>
          <w:szCs w:val="21"/>
          <w:highlight w:val="none"/>
        </w:rPr>
      </w:pPr>
    </w:p>
    <w:p>
      <w:pPr>
        <w:pStyle w:val="3"/>
        <w:ind w:firstLine="198"/>
        <w:rPr>
          <w:rFonts w:hint="eastAsia" w:ascii="宋体" w:hAnsi="宋体"/>
          <w:color w:val="auto"/>
          <w:spacing w:val="-6"/>
          <w:szCs w:val="21"/>
          <w:highlight w:val="none"/>
        </w:rPr>
      </w:pPr>
      <w:r>
        <w:rPr>
          <w:rFonts w:hint="eastAsia" w:ascii="宋体" w:hAnsi="宋体"/>
          <w:color w:val="auto"/>
          <w:spacing w:val="-6"/>
          <w:szCs w:val="21"/>
          <w:highlight w:val="none"/>
        </w:rPr>
        <w:br w:type="page"/>
      </w:r>
    </w:p>
    <w:p>
      <w:pPr>
        <w:spacing w:line="360" w:lineRule="auto"/>
        <w:jc w:val="center"/>
        <w:rPr>
          <w:rFonts w:hint="eastAsia" w:ascii="宋体" w:hAnsi="宋体" w:cs="宋体"/>
          <w:b/>
          <w:bCs/>
          <w:color w:val="auto"/>
          <w:sz w:val="32"/>
          <w:szCs w:val="20"/>
          <w:highlight w:val="none"/>
        </w:rPr>
      </w:pPr>
      <w:r>
        <w:rPr>
          <w:rFonts w:hint="eastAsia" w:ascii="宋体" w:hAnsi="宋体" w:cs="宋体"/>
          <w:b/>
          <w:bCs/>
          <w:color w:val="auto"/>
          <w:sz w:val="32"/>
          <w:szCs w:val="20"/>
          <w:highlight w:val="none"/>
        </w:rPr>
        <w:t>（三）报价文件</w:t>
      </w:r>
    </w:p>
    <w:p>
      <w:pPr>
        <w:spacing w:line="480" w:lineRule="auto"/>
        <w:rPr>
          <w:rFonts w:hint="eastAsia" w:ascii="宋体" w:hAnsi="宋体" w:cs="宋体"/>
          <w:b/>
          <w:color w:val="auto"/>
          <w:highlight w:val="none"/>
        </w:rPr>
      </w:pPr>
      <w:bookmarkStart w:id="72" w:name="_Toc336683578"/>
      <w:bookmarkStart w:id="73" w:name="_Toc345575538"/>
      <w:r>
        <w:rPr>
          <w:rFonts w:hint="eastAsia" w:ascii="宋体" w:hAnsi="宋体" w:cs="宋体"/>
          <w:b/>
          <w:color w:val="auto"/>
          <w:highlight w:val="none"/>
        </w:rPr>
        <w:t>一、投标函格式</w:t>
      </w:r>
      <w:bookmarkEnd w:id="72"/>
      <w:bookmarkEnd w:id="73"/>
    </w:p>
    <w:p>
      <w:pPr>
        <w:spacing w:line="48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投标函</w:t>
      </w:r>
    </w:p>
    <w:p>
      <w:pPr>
        <w:pStyle w:val="28"/>
        <w:adjustRightInd w:val="0"/>
        <w:snapToGrid w:val="0"/>
        <w:spacing w:line="480" w:lineRule="auto"/>
        <w:rPr>
          <w:rFonts w:hint="eastAsia" w:hAnsi="宋体" w:cs="宋体"/>
          <w:color w:val="auto"/>
          <w:highlight w:val="none"/>
        </w:rPr>
      </w:pPr>
      <w:r>
        <w:rPr>
          <w:rFonts w:hint="eastAsia" w:hAnsi="宋体" w:cs="宋体"/>
          <w:color w:val="auto"/>
          <w:highlight w:val="none"/>
          <w:u w:val="single"/>
        </w:rPr>
        <w:t>（采购人单位名称）</w:t>
      </w:r>
      <w:r>
        <w:rPr>
          <w:rFonts w:hint="eastAsia" w:hAnsi="宋体" w:cs="宋体"/>
          <w:color w:val="auto"/>
          <w:highlight w:val="none"/>
        </w:rPr>
        <w:t>：</w:t>
      </w:r>
    </w:p>
    <w:p>
      <w:pPr>
        <w:pStyle w:val="28"/>
        <w:adjustRightInd w:val="0"/>
        <w:snapToGrid w:val="0"/>
        <w:spacing w:line="480" w:lineRule="auto"/>
        <w:rPr>
          <w:rFonts w:hint="eastAsia" w:hAnsi="宋体" w:cs="宋体"/>
          <w:color w:val="auto"/>
          <w:highlight w:val="none"/>
        </w:rPr>
      </w:pPr>
      <w:r>
        <w:rPr>
          <w:rFonts w:hint="eastAsia" w:hAnsi="宋体" w:cs="宋体"/>
          <w:color w:val="auto"/>
          <w:highlight w:val="none"/>
          <w:u w:val="single"/>
        </w:rPr>
        <w:t>泰宇建筑工程技术咨询有限公司</w:t>
      </w:r>
      <w:r>
        <w:rPr>
          <w:rFonts w:hint="eastAsia" w:hAnsi="宋体" w:cs="宋体"/>
          <w:color w:val="auto"/>
          <w:highlight w:val="none"/>
        </w:rPr>
        <w:t>：</w:t>
      </w:r>
    </w:p>
    <w:p>
      <w:pPr>
        <w:pStyle w:val="28"/>
        <w:adjustRightInd w:val="0"/>
        <w:snapToGrid w:val="0"/>
        <w:spacing w:line="480" w:lineRule="auto"/>
        <w:ind w:firstLine="411" w:firstLineChars="196"/>
        <w:rPr>
          <w:rFonts w:hint="eastAsia" w:hAnsi="宋体" w:cs="宋体"/>
          <w:color w:val="auto"/>
          <w:highlight w:val="none"/>
        </w:rPr>
      </w:pPr>
      <w:r>
        <w:rPr>
          <w:rFonts w:hint="eastAsia" w:hAnsi="宋体" w:cs="宋体"/>
          <w:color w:val="auto"/>
          <w:highlight w:val="none"/>
          <w:u w:val="single"/>
        </w:rPr>
        <w:t>（投标人全称）</w:t>
      </w:r>
      <w:r>
        <w:rPr>
          <w:rFonts w:hint="eastAsia" w:hAnsi="宋体" w:cs="宋体"/>
          <w:color w:val="auto"/>
          <w:highlight w:val="none"/>
        </w:rPr>
        <w:t>参加贵方组织的</w:t>
      </w:r>
      <w:r>
        <w:rPr>
          <w:rFonts w:hint="eastAsia" w:hAnsi="宋体" w:cs="宋体"/>
          <w:color w:val="auto"/>
          <w:highlight w:val="none"/>
          <w:u w:val="single"/>
        </w:rPr>
        <w:t>（项目名称）（项目编号）</w:t>
      </w:r>
      <w:r>
        <w:rPr>
          <w:rFonts w:hint="eastAsia" w:hAnsi="宋体" w:cs="宋体"/>
          <w:color w:val="auto"/>
          <w:highlight w:val="none"/>
        </w:rPr>
        <w:t>招标投标的有关活动。为此我方：</w:t>
      </w:r>
    </w:p>
    <w:p>
      <w:pPr>
        <w:adjustRightInd w:val="0"/>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1、承诺在投标人</w:t>
      </w:r>
      <w:r>
        <w:rPr>
          <w:rFonts w:hint="eastAsia" w:ascii="宋体" w:hAnsi="宋体" w:cs="宋体"/>
          <w:color w:val="auto"/>
          <w:kern w:val="44"/>
          <w:szCs w:val="21"/>
          <w:highlight w:val="none"/>
        </w:rPr>
        <w:t>须知</w:t>
      </w:r>
      <w:r>
        <w:rPr>
          <w:rFonts w:hint="eastAsia" w:ascii="宋体" w:hAnsi="宋体" w:cs="宋体"/>
          <w:color w:val="auto"/>
          <w:szCs w:val="21"/>
          <w:highlight w:val="none"/>
        </w:rPr>
        <w:t>规定的投标截止日起遵守本投标文件中的承诺，且在投标有效期满之前均具有约束力。</w:t>
      </w:r>
    </w:p>
    <w:p>
      <w:pPr>
        <w:adjustRightInd w:val="0"/>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2、承诺已经具备《中华人民共和国政府采购法》中规定的参加政府采购活动的投标人应当具备的条件及采购人规定的特定条件。</w:t>
      </w:r>
    </w:p>
    <w:p>
      <w:pPr>
        <w:adjustRightInd w:val="0"/>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3、已详细审核全部采购文件，包括采购文件补充（如果有）、参考资料及有关附件，确认无误。</w:t>
      </w:r>
    </w:p>
    <w:p>
      <w:pPr>
        <w:adjustRightInd w:val="0"/>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4、提供</w:t>
      </w:r>
      <w:r>
        <w:rPr>
          <w:rFonts w:hint="eastAsia" w:ascii="宋体" w:hAnsi="宋体" w:cs="宋体"/>
          <w:color w:val="auto"/>
          <w:kern w:val="44"/>
          <w:szCs w:val="21"/>
          <w:highlight w:val="none"/>
        </w:rPr>
        <w:t>投标人须知</w:t>
      </w:r>
      <w:r>
        <w:rPr>
          <w:rFonts w:hint="eastAsia" w:ascii="宋体" w:hAnsi="宋体" w:cs="宋体"/>
          <w:color w:val="auto"/>
          <w:szCs w:val="21"/>
          <w:highlight w:val="none"/>
        </w:rPr>
        <w:t>规定的全部投标文件。</w:t>
      </w:r>
    </w:p>
    <w:p>
      <w:pPr>
        <w:adjustRightInd w:val="0"/>
        <w:snapToGrid w:val="0"/>
        <w:spacing w:line="48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5、投标</w:t>
      </w:r>
      <w:r>
        <w:rPr>
          <w:rFonts w:hint="eastAsia" w:ascii="宋体" w:hAnsi="宋体" w:cs="宋体"/>
          <w:color w:val="auto"/>
          <w:highlight w:val="none"/>
        </w:rPr>
        <w:t>报价详见《开标一览表》。</w:t>
      </w:r>
    </w:p>
    <w:p>
      <w:pPr>
        <w:adjustRightInd w:val="0"/>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6、保证遵守采购文件中的其他有关规定。</w:t>
      </w:r>
    </w:p>
    <w:p>
      <w:pPr>
        <w:adjustRightInd w:val="0"/>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7、完全理解不一定接受最低价中标。</w:t>
      </w:r>
    </w:p>
    <w:p>
      <w:pPr>
        <w:adjustRightInd w:val="0"/>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8、愿意向贵方提供任何与该项目投标有关的数据、情况和技术资料。若贵方需要，愿意提供我方做出的一切承诺的证明材料。</w:t>
      </w:r>
    </w:p>
    <w:p>
      <w:pPr>
        <w:adjustRightInd w:val="0"/>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9、保证忠实地执行双方所签订的合同，并承担合同规定的责任和义务。</w:t>
      </w:r>
    </w:p>
    <w:p>
      <w:pPr>
        <w:adjustRightInd w:val="0"/>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a）提供虚假材料谋取中标、成交的；</w:t>
      </w:r>
    </w:p>
    <w:p>
      <w:pPr>
        <w:adjustRightInd w:val="0"/>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b）采取不正当手段诋毁、排挤其他投标人的；</w:t>
      </w:r>
    </w:p>
    <w:p>
      <w:pPr>
        <w:adjustRightInd w:val="0"/>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c）与采购人、其它投标人或者采购代理机构恶意串通的；</w:t>
      </w:r>
    </w:p>
    <w:p>
      <w:pPr>
        <w:adjustRightInd w:val="0"/>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d）向采购人、采购代理机构行贿或者提供其他不正当利益的；</w:t>
      </w:r>
    </w:p>
    <w:p>
      <w:pPr>
        <w:adjustRightInd w:val="0"/>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e）在采购采购过程中与采购人进行协商谈判的；</w:t>
      </w:r>
    </w:p>
    <w:p>
      <w:pPr>
        <w:adjustRightInd w:val="0"/>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f）拒绝有关部门监督检查或提供虚假情况的。</w:t>
      </w:r>
    </w:p>
    <w:p>
      <w:pPr>
        <w:adjustRightInd w:val="0"/>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投标人有前款第a）至e）项情形之一的，中标、成交无效。</w:t>
      </w:r>
    </w:p>
    <w:p>
      <w:pPr>
        <w:adjustRightInd w:val="0"/>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11、本投标文件的有效期为</w:t>
      </w:r>
      <w:r>
        <w:rPr>
          <w:rFonts w:hint="eastAsia" w:ascii="宋体" w:hAnsi="宋体" w:cs="宋体"/>
          <w:color w:val="auto"/>
          <w:highlight w:val="none"/>
        </w:rPr>
        <w:t>自投标截止时间起</w:t>
      </w:r>
      <w:r>
        <w:rPr>
          <w:rFonts w:hint="eastAsia" w:ascii="宋体" w:hAnsi="宋体" w:cs="宋体"/>
          <w:color w:val="auto"/>
          <w:highlight w:val="none"/>
          <w:u w:val="single"/>
        </w:rPr>
        <w:t>90</w:t>
      </w:r>
      <w:r>
        <w:rPr>
          <w:rFonts w:hint="eastAsia" w:ascii="宋体" w:hAnsi="宋体" w:cs="宋体"/>
          <w:color w:val="auto"/>
          <w:highlight w:val="none"/>
        </w:rPr>
        <w:t>天。</w:t>
      </w:r>
    </w:p>
    <w:p>
      <w:pPr>
        <w:adjustRightInd w:val="0"/>
        <w:snapToGrid w:val="0"/>
        <w:spacing w:line="360" w:lineRule="auto"/>
        <w:ind w:firstLine="420" w:firstLineChars="200"/>
        <w:rPr>
          <w:rFonts w:hint="eastAsia" w:ascii="宋体" w:hAnsi="宋体" w:cs="宋体"/>
          <w:color w:val="auto"/>
          <w:szCs w:val="21"/>
          <w:highlight w:val="none"/>
        </w:rPr>
      </w:pPr>
    </w:p>
    <w:p>
      <w:pPr>
        <w:pStyle w:val="28"/>
        <w:adjustRightInd w:val="0"/>
        <w:snapToGrid w:val="0"/>
        <w:spacing w:line="480" w:lineRule="auto"/>
        <w:ind w:firstLine="480"/>
        <w:rPr>
          <w:rFonts w:hint="eastAsia" w:hAnsi="宋体" w:cs="宋体"/>
          <w:b/>
          <w:color w:val="auto"/>
          <w:highlight w:val="none"/>
        </w:rPr>
      </w:pPr>
      <w:r>
        <w:rPr>
          <w:rFonts w:hint="eastAsia" w:hAnsi="宋体" w:cs="宋体"/>
          <w:b/>
          <w:color w:val="auto"/>
          <w:highlight w:val="none"/>
        </w:rPr>
        <w:t>投标人全称（盖单位公章）：</w:t>
      </w:r>
    </w:p>
    <w:p>
      <w:pPr>
        <w:pStyle w:val="28"/>
        <w:adjustRightInd w:val="0"/>
        <w:snapToGrid w:val="0"/>
        <w:spacing w:line="480" w:lineRule="auto"/>
        <w:ind w:firstLine="480"/>
        <w:rPr>
          <w:rFonts w:hint="eastAsia" w:hAnsi="宋体" w:cs="宋体"/>
          <w:b/>
          <w:color w:val="auto"/>
          <w:highlight w:val="none"/>
        </w:rPr>
      </w:pPr>
      <w:r>
        <w:rPr>
          <w:rFonts w:hint="eastAsia" w:hAnsi="宋体" w:cs="宋体"/>
          <w:b/>
          <w:color w:val="auto"/>
          <w:highlight w:val="none"/>
        </w:rPr>
        <w:t>法定代表人或其授权委托人（签字或盖章）：</w:t>
      </w:r>
    </w:p>
    <w:p>
      <w:pPr>
        <w:pStyle w:val="28"/>
        <w:adjustRightInd w:val="0"/>
        <w:snapToGrid w:val="0"/>
        <w:spacing w:line="480" w:lineRule="auto"/>
        <w:ind w:firstLine="480"/>
        <w:rPr>
          <w:rFonts w:hint="eastAsia" w:hAnsi="宋体" w:cs="宋体"/>
          <w:b/>
          <w:color w:val="auto"/>
          <w:highlight w:val="none"/>
        </w:rPr>
      </w:pPr>
      <w:r>
        <w:rPr>
          <w:rFonts w:hint="eastAsia" w:hAnsi="宋体" w:cs="宋体"/>
          <w:b/>
          <w:color w:val="auto"/>
          <w:highlight w:val="none"/>
        </w:rPr>
        <w:t>日期：</w:t>
      </w:r>
    </w:p>
    <w:p>
      <w:pPr>
        <w:pStyle w:val="28"/>
        <w:adjustRightInd w:val="0"/>
        <w:snapToGrid w:val="0"/>
        <w:spacing w:line="480" w:lineRule="auto"/>
        <w:ind w:firstLine="480"/>
        <w:rPr>
          <w:rFonts w:hint="eastAsia" w:hAnsi="宋体" w:cs="宋体"/>
          <w:b/>
          <w:color w:val="auto"/>
          <w:highlight w:val="none"/>
        </w:rPr>
      </w:pPr>
      <w:r>
        <w:rPr>
          <w:rFonts w:hint="eastAsia" w:hAnsi="宋体" w:cs="宋体"/>
          <w:b/>
          <w:color w:val="auto"/>
          <w:highlight w:val="none"/>
        </w:rPr>
        <w:t>单位地址：</w:t>
      </w:r>
    </w:p>
    <w:p>
      <w:pPr>
        <w:pStyle w:val="28"/>
        <w:adjustRightInd w:val="0"/>
        <w:snapToGrid w:val="0"/>
        <w:spacing w:line="480" w:lineRule="auto"/>
        <w:ind w:firstLine="480"/>
        <w:rPr>
          <w:rFonts w:hint="eastAsia" w:hAnsi="宋体" w:cs="宋体"/>
          <w:b/>
          <w:color w:val="auto"/>
          <w:highlight w:val="none"/>
        </w:rPr>
      </w:pPr>
      <w:r>
        <w:rPr>
          <w:rFonts w:hint="eastAsia" w:hAnsi="宋体" w:cs="宋体"/>
          <w:b/>
          <w:color w:val="auto"/>
          <w:highlight w:val="none"/>
        </w:rPr>
        <w:t>邮编：</w:t>
      </w:r>
    </w:p>
    <w:p>
      <w:pPr>
        <w:pStyle w:val="28"/>
        <w:adjustRightInd w:val="0"/>
        <w:snapToGrid w:val="0"/>
        <w:spacing w:line="480" w:lineRule="auto"/>
        <w:ind w:firstLine="480"/>
        <w:rPr>
          <w:rFonts w:hint="eastAsia" w:hAnsi="宋体" w:cs="宋体"/>
          <w:b/>
          <w:color w:val="auto"/>
          <w:highlight w:val="none"/>
        </w:rPr>
      </w:pPr>
      <w:r>
        <w:rPr>
          <w:rFonts w:hint="eastAsia" w:hAnsi="宋体" w:cs="宋体"/>
          <w:b/>
          <w:color w:val="auto"/>
          <w:highlight w:val="none"/>
        </w:rPr>
        <w:t>电话：</w:t>
      </w:r>
    </w:p>
    <w:p>
      <w:pPr>
        <w:pStyle w:val="28"/>
        <w:adjustRightInd w:val="0"/>
        <w:snapToGrid w:val="0"/>
        <w:spacing w:line="480" w:lineRule="auto"/>
        <w:ind w:firstLine="480"/>
        <w:rPr>
          <w:rFonts w:hint="eastAsia" w:hAnsi="宋体" w:cs="宋体"/>
          <w:b/>
          <w:color w:val="auto"/>
          <w:highlight w:val="none"/>
        </w:rPr>
      </w:pPr>
      <w:r>
        <w:rPr>
          <w:rFonts w:hint="eastAsia" w:hAnsi="宋体" w:cs="宋体"/>
          <w:b/>
          <w:color w:val="auto"/>
          <w:highlight w:val="none"/>
        </w:rPr>
        <w:t>传真：</w:t>
      </w:r>
    </w:p>
    <w:p>
      <w:pPr>
        <w:adjustRightInd w:val="0"/>
        <w:snapToGrid w:val="0"/>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注：未按照本投标函要求填报的将被视为非实质性响应投标，从而可能导致该投标被拒绝</w:t>
      </w:r>
    </w:p>
    <w:p>
      <w:pPr>
        <w:rPr>
          <w:rFonts w:hint="eastAsia" w:ascii="宋体" w:hAnsi="宋体" w:cs="宋体"/>
          <w:b/>
          <w:color w:val="auto"/>
          <w:highlight w:val="none"/>
        </w:rPr>
      </w:pPr>
    </w:p>
    <w:p>
      <w:pPr>
        <w:rPr>
          <w:rFonts w:hint="eastAsia" w:ascii="宋体" w:hAnsi="宋体" w:cs="宋体"/>
          <w:b/>
          <w:color w:val="auto"/>
          <w:highlight w:val="none"/>
        </w:rPr>
      </w:pPr>
    </w:p>
    <w:p>
      <w:pPr>
        <w:rPr>
          <w:rFonts w:hint="eastAsia" w:ascii="宋体" w:hAnsi="宋体" w:cs="宋体"/>
          <w:b/>
          <w:color w:val="auto"/>
          <w:highlight w:val="none"/>
        </w:rPr>
      </w:pPr>
    </w:p>
    <w:p>
      <w:pPr>
        <w:rPr>
          <w:rFonts w:hint="eastAsia" w:ascii="宋体" w:hAnsi="宋体" w:cs="宋体"/>
          <w:b/>
          <w:color w:val="auto"/>
          <w:highlight w:val="none"/>
        </w:rPr>
      </w:pPr>
    </w:p>
    <w:p>
      <w:pPr>
        <w:rPr>
          <w:rFonts w:hint="eastAsia" w:ascii="宋体" w:hAnsi="宋体" w:cs="宋体"/>
          <w:b/>
          <w:color w:val="auto"/>
          <w:highlight w:val="none"/>
        </w:rPr>
      </w:pPr>
    </w:p>
    <w:p>
      <w:pPr>
        <w:rPr>
          <w:rFonts w:hint="eastAsia" w:ascii="宋体" w:hAnsi="宋体" w:cs="宋体"/>
          <w:b/>
          <w:color w:val="auto"/>
          <w:highlight w:val="none"/>
        </w:rPr>
      </w:pPr>
    </w:p>
    <w:p>
      <w:pPr>
        <w:rPr>
          <w:rFonts w:hint="eastAsia" w:ascii="宋体" w:hAnsi="宋体" w:cs="宋体"/>
          <w:b/>
          <w:color w:val="auto"/>
          <w:highlight w:val="none"/>
        </w:rPr>
      </w:pPr>
    </w:p>
    <w:p>
      <w:pPr>
        <w:rPr>
          <w:rFonts w:hint="eastAsia" w:ascii="宋体" w:hAnsi="宋体" w:cs="宋体"/>
          <w:b/>
          <w:color w:val="auto"/>
          <w:highlight w:val="none"/>
        </w:rPr>
      </w:pPr>
    </w:p>
    <w:p>
      <w:pPr>
        <w:rPr>
          <w:rFonts w:hint="eastAsia" w:ascii="宋体" w:hAnsi="宋体" w:cs="宋体"/>
          <w:b/>
          <w:color w:val="auto"/>
          <w:highlight w:val="none"/>
        </w:rPr>
      </w:pPr>
    </w:p>
    <w:p>
      <w:pPr>
        <w:rPr>
          <w:rFonts w:hint="eastAsia" w:ascii="宋体" w:hAnsi="宋体" w:cs="宋体"/>
          <w:b/>
          <w:color w:val="auto"/>
          <w:highlight w:val="none"/>
        </w:rPr>
      </w:pPr>
    </w:p>
    <w:p>
      <w:pPr>
        <w:rPr>
          <w:rFonts w:hint="eastAsia" w:ascii="宋体" w:hAnsi="宋体" w:cs="宋体"/>
          <w:b/>
          <w:color w:val="auto"/>
          <w:highlight w:val="none"/>
        </w:rPr>
      </w:pPr>
    </w:p>
    <w:p>
      <w:pPr>
        <w:rPr>
          <w:rFonts w:hint="eastAsia" w:ascii="宋体" w:hAnsi="宋体" w:cs="宋体"/>
          <w:b/>
          <w:color w:val="auto"/>
          <w:highlight w:val="none"/>
        </w:rPr>
      </w:pPr>
    </w:p>
    <w:p>
      <w:pPr>
        <w:rPr>
          <w:rFonts w:hint="eastAsia" w:ascii="宋体" w:hAnsi="宋体" w:cs="宋体"/>
          <w:b/>
          <w:color w:val="auto"/>
          <w:highlight w:val="none"/>
        </w:rPr>
      </w:pPr>
    </w:p>
    <w:p>
      <w:pPr>
        <w:rPr>
          <w:rFonts w:hint="eastAsia" w:ascii="宋体" w:hAnsi="宋体" w:cs="宋体"/>
          <w:b/>
          <w:color w:val="auto"/>
          <w:highlight w:val="none"/>
        </w:rPr>
      </w:pPr>
    </w:p>
    <w:p>
      <w:pPr>
        <w:rPr>
          <w:rFonts w:hint="eastAsia" w:ascii="宋体" w:hAnsi="宋体" w:cs="宋体"/>
          <w:b/>
          <w:color w:val="auto"/>
          <w:highlight w:val="none"/>
        </w:rPr>
      </w:pPr>
    </w:p>
    <w:p>
      <w:pPr>
        <w:rPr>
          <w:rFonts w:hint="eastAsia" w:ascii="宋体" w:hAnsi="宋体" w:cs="宋体"/>
          <w:b/>
          <w:color w:val="auto"/>
          <w:highlight w:val="none"/>
        </w:rPr>
      </w:pPr>
    </w:p>
    <w:p>
      <w:pPr>
        <w:rPr>
          <w:rFonts w:hint="eastAsia" w:ascii="宋体" w:hAnsi="宋体" w:cs="宋体"/>
          <w:b/>
          <w:color w:val="auto"/>
          <w:highlight w:val="none"/>
        </w:rPr>
      </w:pPr>
    </w:p>
    <w:p>
      <w:pPr>
        <w:rPr>
          <w:rFonts w:hint="eastAsia" w:ascii="宋体" w:hAnsi="宋体" w:cs="宋体"/>
          <w:b/>
          <w:color w:val="auto"/>
          <w:highlight w:val="none"/>
        </w:rPr>
      </w:pPr>
    </w:p>
    <w:p>
      <w:pPr>
        <w:rPr>
          <w:rFonts w:hint="eastAsia" w:ascii="宋体" w:hAnsi="宋体" w:cs="宋体"/>
          <w:b/>
          <w:color w:val="auto"/>
          <w:highlight w:val="none"/>
        </w:rPr>
      </w:pPr>
    </w:p>
    <w:p>
      <w:pPr>
        <w:pStyle w:val="297"/>
        <w:ind w:firstLine="406"/>
        <w:rPr>
          <w:rFonts w:hint="eastAsia" w:hAnsi="宋体" w:cs="宋体"/>
          <w:b/>
          <w:color w:val="auto"/>
          <w:highlight w:val="none"/>
        </w:rPr>
      </w:pPr>
    </w:p>
    <w:p>
      <w:pPr>
        <w:pStyle w:val="297"/>
        <w:ind w:firstLine="406"/>
        <w:rPr>
          <w:rFonts w:hint="eastAsia" w:hAnsi="宋体" w:cs="宋体"/>
          <w:b/>
          <w:color w:val="auto"/>
          <w:highlight w:val="none"/>
        </w:rPr>
      </w:pPr>
    </w:p>
    <w:p>
      <w:pPr>
        <w:pStyle w:val="297"/>
        <w:ind w:firstLine="406"/>
        <w:rPr>
          <w:rFonts w:hint="eastAsia" w:hAnsi="宋体" w:cs="宋体"/>
          <w:b/>
          <w:color w:val="auto"/>
          <w:highlight w:val="none"/>
        </w:rPr>
      </w:pPr>
    </w:p>
    <w:p>
      <w:pPr>
        <w:rPr>
          <w:rFonts w:hint="eastAsia" w:ascii="宋体" w:hAnsi="宋体" w:cs="宋体"/>
          <w:b/>
          <w:color w:val="auto"/>
          <w:highlight w:val="none"/>
        </w:rPr>
      </w:pPr>
    </w:p>
    <w:p>
      <w:pPr>
        <w:rPr>
          <w:rFonts w:hint="eastAsia" w:ascii="宋体" w:hAnsi="宋体" w:cs="宋体"/>
          <w:b/>
          <w:color w:val="auto"/>
          <w:highlight w:val="none"/>
        </w:rPr>
      </w:pPr>
    </w:p>
    <w:p>
      <w:pPr>
        <w:rPr>
          <w:rFonts w:hint="eastAsia" w:ascii="宋体" w:hAnsi="宋体" w:cs="宋体"/>
          <w:b/>
          <w:color w:val="auto"/>
          <w:highlight w:val="none"/>
        </w:rPr>
      </w:pPr>
      <w:bookmarkStart w:id="74" w:name="_Toc336683579"/>
      <w:bookmarkStart w:id="75" w:name="_Toc345575539"/>
      <w:r>
        <w:rPr>
          <w:rFonts w:hint="eastAsia" w:ascii="宋体" w:hAnsi="宋体" w:cs="宋体"/>
          <w:b/>
          <w:color w:val="auto"/>
          <w:highlight w:val="none"/>
        </w:rPr>
        <w:t>二、报价一览表格式</w:t>
      </w:r>
      <w:bookmarkEnd w:id="74"/>
      <w:bookmarkEnd w:id="75"/>
      <w:r>
        <w:rPr>
          <w:rFonts w:hint="eastAsia" w:ascii="宋体" w:hAnsi="宋体" w:cs="宋体"/>
          <w:b/>
          <w:color w:val="auto"/>
          <w:highlight w:val="none"/>
        </w:rPr>
        <w:t>1</w:t>
      </w: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报价一览表</w:t>
      </w:r>
    </w:p>
    <w:p>
      <w:pPr>
        <w:pStyle w:val="28"/>
        <w:adjustRightInd w:val="0"/>
        <w:snapToGrid w:val="0"/>
        <w:spacing w:line="360" w:lineRule="auto"/>
        <w:rPr>
          <w:rFonts w:hint="eastAsia" w:hAnsi="宋体" w:cs="宋体"/>
          <w:color w:val="auto"/>
          <w:highlight w:val="none"/>
          <w:u w:val="single"/>
        </w:rPr>
      </w:pPr>
      <w:r>
        <w:rPr>
          <w:rFonts w:hint="eastAsia" w:hAnsi="宋体" w:cs="宋体"/>
          <w:color w:val="auto"/>
          <w:highlight w:val="none"/>
        </w:rPr>
        <w:t>项目名称：</w:t>
      </w:r>
    </w:p>
    <w:p>
      <w:pPr>
        <w:pStyle w:val="28"/>
        <w:adjustRightInd w:val="0"/>
        <w:snapToGrid w:val="0"/>
        <w:spacing w:line="360" w:lineRule="auto"/>
        <w:rPr>
          <w:rFonts w:hint="eastAsia" w:hAnsi="宋体" w:cs="宋体"/>
          <w:color w:val="auto"/>
          <w:highlight w:val="none"/>
          <w:u w:val="single"/>
        </w:rPr>
      </w:pPr>
      <w:r>
        <w:rPr>
          <w:rFonts w:hint="eastAsia" w:hAnsi="宋体" w:cs="宋体"/>
          <w:color w:val="auto"/>
          <w:highlight w:val="none"/>
        </w:rPr>
        <w:t>项目编号：</w:t>
      </w:r>
    </w:p>
    <w:p>
      <w:pPr>
        <w:pStyle w:val="28"/>
        <w:adjustRightInd w:val="0"/>
        <w:snapToGrid w:val="0"/>
        <w:spacing w:line="360" w:lineRule="auto"/>
        <w:jc w:val="right"/>
        <w:rPr>
          <w:rFonts w:hint="eastAsia" w:hAnsi="宋体" w:cs="宋体"/>
          <w:color w:val="auto"/>
          <w:highlight w:val="none"/>
        </w:rPr>
      </w:pPr>
      <w:r>
        <w:rPr>
          <w:rFonts w:hint="eastAsia" w:hAnsi="宋体" w:cs="宋体"/>
          <w:color w:val="auto"/>
          <w:highlight w:val="none"/>
        </w:rPr>
        <w:t>（价格单位：元人民币）</w:t>
      </w:r>
    </w:p>
    <w:p>
      <w:pPr>
        <w:adjustRightInd w:val="0"/>
        <w:snapToGrid w:val="0"/>
        <w:spacing w:line="360" w:lineRule="auto"/>
        <w:ind w:firstLine="420" w:firstLineChars="200"/>
        <w:rPr>
          <w:rFonts w:hint="eastAsia" w:ascii="宋体" w:hAnsi="宋体" w:cs="宋体"/>
          <w:color w:val="auto"/>
          <w:highlight w:val="none"/>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pStyle w:val="259"/>
              <w:spacing w:before="0" w:beforeAutospacing="0" w:after="0" w:afterAutospacing="0" w:line="460" w:lineRule="exact"/>
              <w:jc w:val="center"/>
              <w:rPr>
                <w:color w:val="auto"/>
                <w:kern w:val="2"/>
                <w:sz w:val="21"/>
                <w:szCs w:val="21"/>
                <w:highlight w:val="none"/>
              </w:rPr>
            </w:pPr>
            <w:r>
              <w:rPr>
                <w:rFonts w:hint="eastAsia"/>
                <w:color w:val="auto"/>
                <w:sz w:val="21"/>
                <w:szCs w:val="21"/>
                <w:highlight w:val="none"/>
              </w:rPr>
              <w:t>项目名称</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pStyle w:val="259"/>
              <w:spacing w:before="0" w:beforeAutospacing="0" w:after="0" w:afterAutospacing="0" w:line="460" w:lineRule="exact"/>
              <w:rPr>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pStyle w:val="259"/>
              <w:spacing w:before="0" w:beforeAutospacing="0" w:after="0" w:afterAutospacing="0" w:line="460" w:lineRule="exact"/>
              <w:jc w:val="center"/>
              <w:rPr>
                <w:color w:val="auto"/>
                <w:kern w:val="2"/>
                <w:sz w:val="21"/>
                <w:szCs w:val="21"/>
                <w:highlight w:val="none"/>
              </w:rPr>
            </w:pPr>
            <w:r>
              <w:rPr>
                <w:rFonts w:hint="eastAsia"/>
                <w:color w:val="auto"/>
                <w:sz w:val="21"/>
                <w:szCs w:val="21"/>
                <w:highlight w:val="none"/>
              </w:rPr>
              <w:t>投标人名称</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pStyle w:val="259"/>
              <w:spacing w:before="0" w:beforeAutospacing="0" w:after="0" w:afterAutospacing="0" w:line="460" w:lineRule="exact"/>
              <w:rPr>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pStyle w:val="259"/>
              <w:spacing w:before="0" w:beforeAutospacing="0" w:after="0" w:afterAutospacing="0" w:line="460" w:lineRule="exact"/>
              <w:jc w:val="center"/>
              <w:rPr>
                <w:color w:val="auto"/>
                <w:kern w:val="2"/>
                <w:sz w:val="21"/>
                <w:szCs w:val="21"/>
                <w:highlight w:val="none"/>
              </w:rPr>
            </w:pPr>
            <w:r>
              <w:rPr>
                <w:rFonts w:hint="eastAsia"/>
                <w:color w:val="auto"/>
                <w:sz w:val="21"/>
                <w:szCs w:val="21"/>
                <w:highlight w:val="none"/>
              </w:rPr>
              <w:t>项目负责人</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pStyle w:val="259"/>
              <w:spacing w:before="0" w:beforeAutospacing="0" w:after="0" w:afterAutospacing="0" w:line="460" w:lineRule="exact"/>
              <w:rPr>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971" w:type="dxa"/>
            <w:tcBorders>
              <w:top w:val="single" w:color="auto" w:sz="4" w:space="0"/>
              <w:left w:val="single" w:color="auto" w:sz="4" w:space="0"/>
              <w:right w:val="single" w:color="auto" w:sz="4" w:space="0"/>
            </w:tcBorders>
            <w:noWrap w:val="0"/>
            <w:vAlign w:val="center"/>
          </w:tcPr>
          <w:p>
            <w:pPr>
              <w:pStyle w:val="259"/>
              <w:spacing w:before="0" w:beforeAutospacing="0" w:after="0" w:afterAutospacing="0" w:line="460" w:lineRule="exact"/>
              <w:jc w:val="center"/>
              <w:rPr>
                <w:color w:val="auto"/>
                <w:kern w:val="2"/>
                <w:sz w:val="21"/>
                <w:szCs w:val="21"/>
                <w:highlight w:val="none"/>
              </w:rPr>
            </w:pPr>
            <w:r>
              <w:rPr>
                <w:rFonts w:hint="eastAsia"/>
                <w:color w:val="auto"/>
                <w:sz w:val="21"/>
                <w:szCs w:val="21"/>
                <w:highlight w:val="none"/>
              </w:rPr>
              <w:t>投标报价</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pStyle w:val="259"/>
              <w:spacing w:before="0" w:beforeAutospacing="0" w:after="0" w:afterAutospacing="0" w:line="320" w:lineRule="exact"/>
              <w:rPr>
                <w:color w:val="auto"/>
                <w:sz w:val="21"/>
                <w:szCs w:val="21"/>
                <w:highlight w:val="none"/>
              </w:rPr>
            </w:pPr>
            <w:r>
              <w:rPr>
                <w:rFonts w:hint="eastAsia"/>
                <w:color w:val="auto"/>
                <w:spacing w:val="-5"/>
                <w:sz w:val="21"/>
                <w:szCs w:val="21"/>
                <w:highlight w:val="none"/>
              </w:rPr>
              <w:t>投标总价</w:t>
            </w:r>
            <w:r>
              <w:rPr>
                <w:rFonts w:hint="eastAsia"/>
                <w:color w:val="auto"/>
                <w:sz w:val="21"/>
                <w:szCs w:val="21"/>
                <w:highlight w:val="none"/>
              </w:rPr>
              <w:t>大写：</w:t>
            </w:r>
            <w:r>
              <w:rPr>
                <w:rFonts w:hint="eastAsia"/>
                <w:color w:val="auto"/>
                <w:spacing w:val="-5"/>
                <w:sz w:val="21"/>
                <w:szCs w:val="21"/>
                <w:highlight w:val="none"/>
                <w:u w:val="single"/>
              </w:rPr>
              <w:t>                               </w:t>
            </w:r>
            <w:r>
              <w:rPr>
                <w:rFonts w:hint="eastAsia"/>
                <w:color w:val="auto"/>
                <w:sz w:val="21"/>
                <w:szCs w:val="21"/>
                <w:highlight w:val="none"/>
              </w:rPr>
              <w:t>元整</w:t>
            </w:r>
          </w:p>
          <w:p>
            <w:pPr>
              <w:pStyle w:val="259"/>
              <w:spacing w:before="0" w:beforeAutospacing="0" w:after="0" w:afterAutospacing="0" w:line="320" w:lineRule="exact"/>
              <w:rPr>
                <w:color w:val="auto"/>
                <w:spacing w:val="-5"/>
                <w:sz w:val="21"/>
                <w:szCs w:val="21"/>
                <w:highlight w:val="none"/>
                <w:u w:val="single"/>
              </w:rPr>
            </w:pPr>
            <w:r>
              <w:rPr>
                <w:rFonts w:hint="eastAsia"/>
                <w:color w:val="auto"/>
                <w:sz w:val="21"/>
                <w:szCs w:val="21"/>
                <w:highlight w:val="none"/>
              </w:rPr>
              <w:t>（小写）</w:t>
            </w:r>
            <w:r>
              <w:rPr>
                <w:rFonts w:hint="eastAsia"/>
                <w:color w:val="auto"/>
                <w:spacing w:val="-5"/>
                <w:sz w:val="21"/>
                <w:szCs w:val="21"/>
                <w:highlight w:val="none"/>
                <w:u w:val="single"/>
              </w:rPr>
              <w:t>          </w:t>
            </w:r>
            <w:r>
              <w:rPr>
                <w:rFonts w:hint="eastAsia"/>
                <w:color w:val="auto"/>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971" w:type="dxa"/>
            <w:tcBorders>
              <w:top w:val="single" w:color="auto" w:sz="4" w:space="0"/>
              <w:left w:val="single" w:color="auto" w:sz="4" w:space="0"/>
              <w:bottom w:val="single" w:color="auto" w:sz="4" w:space="0"/>
              <w:right w:val="single" w:color="auto" w:sz="4" w:space="0"/>
            </w:tcBorders>
            <w:noWrap w:val="0"/>
            <w:vAlign w:val="center"/>
          </w:tcPr>
          <w:p>
            <w:pPr>
              <w:pStyle w:val="259"/>
              <w:spacing w:before="0" w:beforeAutospacing="0" w:after="0" w:afterAutospacing="0" w:line="460" w:lineRule="exact"/>
              <w:jc w:val="center"/>
              <w:rPr>
                <w:color w:val="auto"/>
                <w:kern w:val="2"/>
                <w:sz w:val="21"/>
                <w:szCs w:val="21"/>
                <w:highlight w:val="none"/>
              </w:rPr>
            </w:pPr>
            <w:r>
              <w:rPr>
                <w:rFonts w:hint="eastAsia"/>
                <w:color w:val="auto"/>
                <w:sz w:val="21"/>
                <w:szCs w:val="21"/>
                <w:highlight w:val="none"/>
              </w:rPr>
              <w:t>备注</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pStyle w:val="259"/>
              <w:spacing w:before="0" w:beforeAutospacing="0" w:after="0" w:afterAutospacing="0" w:line="460" w:lineRule="exact"/>
              <w:rPr>
                <w:color w:val="auto"/>
                <w:kern w:val="2"/>
                <w:sz w:val="21"/>
                <w:szCs w:val="21"/>
                <w:highlight w:val="none"/>
              </w:rPr>
            </w:pPr>
          </w:p>
        </w:tc>
      </w:tr>
    </w:tbl>
    <w:p>
      <w:pPr>
        <w:tabs>
          <w:tab w:val="left" w:pos="900"/>
        </w:tabs>
        <w:spacing w:line="360" w:lineRule="auto"/>
        <w:rPr>
          <w:rFonts w:hint="eastAsia" w:ascii="宋体" w:hAnsi="宋体" w:cs="宋体"/>
          <w:color w:val="auto"/>
          <w:highlight w:val="none"/>
        </w:rPr>
      </w:pPr>
    </w:p>
    <w:p>
      <w:pPr>
        <w:pStyle w:val="28"/>
        <w:adjustRightInd w:val="0"/>
        <w:snapToGrid w:val="0"/>
        <w:rPr>
          <w:rFonts w:hAnsi="宋体" w:cs="Arial"/>
          <w:color w:val="auto"/>
          <w:highlight w:val="none"/>
        </w:rPr>
      </w:pPr>
      <w:r>
        <w:rPr>
          <w:rFonts w:hint="eastAsia" w:hAnsi="宋体" w:cs="宋体"/>
          <w:color w:val="auto"/>
          <w:highlight w:val="none"/>
        </w:rPr>
        <w:t xml:space="preserve">  </w:t>
      </w:r>
      <w:r>
        <w:rPr>
          <w:rFonts w:hAnsi="宋体" w:cs="Arial"/>
          <w:color w:val="auto"/>
          <w:highlight w:val="none"/>
        </w:rPr>
        <w:t>报价说明：</w:t>
      </w:r>
    </w:p>
    <w:p>
      <w:pPr>
        <w:pStyle w:val="28"/>
        <w:adjustRightInd w:val="0"/>
        <w:snapToGrid w:val="0"/>
        <w:rPr>
          <w:rFonts w:hAnsi="宋体" w:cs="Arial"/>
          <w:color w:val="auto"/>
          <w:highlight w:val="none"/>
        </w:rPr>
      </w:pPr>
      <w:r>
        <w:rPr>
          <w:rFonts w:hint="eastAsia" w:hAnsi="宋体" w:cs="宋体"/>
          <w:color w:val="auto"/>
          <w:highlight w:val="none"/>
        </w:rPr>
        <w:t xml:space="preserve"> </w:t>
      </w:r>
      <w:r>
        <w:rPr>
          <w:rFonts w:hAnsi="宋体" w:cs="Arial"/>
          <w:color w:val="auto"/>
          <w:highlight w:val="none"/>
        </w:rPr>
        <w:t>报价说明：</w:t>
      </w:r>
    </w:p>
    <w:p>
      <w:pPr>
        <w:pStyle w:val="28"/>
        <w:adjustRightInd w:val="0"/>
        <w:snapToGrid w:val="0"/>
        <w:rPr>
          <w:rFonts w:hAnsi="宋体" w:cs="Arial"/>
          <w:color w:val="auto"/>
          <w:highlight w:val="none"/>
        </w:rPr>
      </w:pPr>
      <w:r>
        <w:rPr>
          <w:rFonts w:hint="eastAsia" w:hAnsi="宋体" w:cs="Arial"/>
          <w:color w:val="auto"/>
          <w:highlight w:val="none"/>
        </w:rPr>
        <w:t>1.本表内容完整填写，不得随意改变格式，采用印刷体打印，字迹清晰，否则以无效报价处理；</w:t>
      </w:r>
    </w:p>
    <w:p>
      <w:pPr>
        <w:pStyle w:val="28"/>
        <w:adjustRightInd w:val="0"/>
        <w:snapToGrid w:val="0"/>
        <w:rPr>
          <w:rFonts w:hint="eastAsia" w:hAnsi="宋体" w:cs="Arial"/>
          <w:color w:val="auto"/>
          <w:highlight w:val="none"/>
        </w:rPr>
      </w:pPr>
      <w:r>
        <w:rPr>
          <w:rFonts w:hint="eastAsia" w:hAnsi="宋体" w:cs="Arial"/>
          <w:color w:val="auto"/>
          <w:highlight w:val="none"/>
        </w:rPr>
        <w:t>2.报价应包括项目涉及的一切相关费用。采购文件未列明，而投标人认为必需的费用也需列入报价。投标人在投标报价中应充分考虑所有可能发生的费用，否则采购人将视投标总价中已包括所有费用。</w:t>
      </w:r>
    </w:p>
    <w:p>
      <w:pPr>
        <w:pStyle w:val="28"/>
        <w:adjustRightInd w:val="0"/>
        <w:snapToGrid w:val="0"/>
        <w:rPr>
          <w:rFonts w:hint="eastAsia" w:hAnsi="宋体" w:cs="Arial"/>
          <w:color w:val="auto"/>
          <w:highlight w:val="none"/>
        </w:rPr>
      </w:pPr>
      <w:r>
        <w:rPr>
          <w:rFonts w:hint="eastAsia" w:hAnsi="宋体" w:cs="Arial"/>
          <w:color w:val="auto"/>
          <w:highlight w:val="none"/>
        </w:rPr>
        <w:t>3.大写金额与小写金额不一致时，以大写金额为准。</w:t>
      </w:r>
    </w:p>
    <w:p>
      <w:pPr>
        <w:spacing w:line="360" w:lineRule="auto"/>
        <w:ind w:firstLine="420" w:firstLineChars="200"/>
        <w:rPr>
          <w:rFonts w:hint="eastAsia" w:ascii="宋体" w:hAnsi="宋体" w:cs="宋体"/>
          <w:color w:val="auto"/>
          <w:szCs w:val="21"/>
          <w:highlight w:val="none"/>
        </w:rPr>
      </w:pPr>
    </w:p>
    <w:p>
      <w:pPr>
        <w:adjustRightInd w:val="0"/>
        <w:snapToGrid w:val="0"/>
        <w:spacing w:line="360" w:lineRule="auto"/>
        <w:ind w:firstLine="420" w:firstLineChars="200"/>
        <w:rPr>
          <w:rFonts w:hint="eastAsia" w:ascii="宋体" w:hAnsi="宋体" w:cs="宋体"/>
          <w:color w:val="auto"/>
          <w:highlight w:val="none"/>
        </w:rPr>
      </w:pPr>
    </w:p>
    <w:p>
      <w:pPr>
        <w:pStyle w:val="5"/>
        <w:ind w:firstLine="422"/>
        <w:rPr>
          <w:rFonts w:hint="eastAsia"/>
          <w:color w:val="auto"/>
          <w:highlight w:val="none"/>
        </w:rPr>
      </w:pPr>
    </w:p>
    <w:p>
      <w:pPr>
        <w:adjustRightInd w:val="0"/>
        <w:snapToGrid w:val="0"/>
        <w:spacing w:line="360" w:lineRule="auto"/>
        <w:ind w:firstLine="420" w:firstLineChars="200"/>
        <w:rPr>
          <w:rFonts w:hint="eastAsia" w:ascii="宋体" w:hAnsi="宋体" w:cs="宋体"/>
          <w:color w:val="auto"/>
          <w:highlight w:val="none"/>
        </w:rPr>
      </w:pPr>
    </w:p>
    <w:p>
      <w:pPr>
        <w:pStyle w:val="28"/>
        <w:adjustRightInd w:val="0"/>
        <w:snapToGrid w:val="0"/>
        <w:spacing w:line="360" w:lineRule="auto"/>
        <w:ind w:firstLine="480"/>
        <w:rPr>
          <w:rFonts w:hint="eastAsia" w:hAnsi="宋体" w:cs="宋体"/>
          <w:b/>
          <w:color w:val="auto"/>
          <w:highlight w:val="none"/>
        </w:rPr>
      </w:pPr>
      <w:r>
        <w:rPr>
          <w:rFonts w:hint="eastAsia" w:hAnsi="宋体" w:cs="宋体"/>
          <w:b/>
          <w:color w:val="auto"/>
          <w:highlight w:val="none"/>
        </w:rPr>
        <w:t>投标人全称（盖单位公章）：</w:t>
      </w:r>
    </w:p>
    <w:p>
      <w:pPr>
        <w:pStyle w:val="28"/>
        <w:adjustRightInd w:val="0"/>
        <w:snapToGrid w:val="0"/>
        <w:spacing w:line="360" w:lineRule="auto"/>
        <w:ind w:firstLine="480"/>
        <w:rPr>
          <w:rFonts w:hint="eastAsia" w:hAnsi="宋体" w:cs="宋体"/>
          <w:b/>
          <w:color w:val="auto"/>
          <w:highlight w:val="none"/>
        </w:rPr>
      </w:pPr>
      <w:r>
        <w:rPr>
          <w:rFonts w:hint="eastAsia" w:hAnsi="宋体" w:cs="宋体"/>
          <w:b/>
          <w:color w:val="auto"/>
          <w:highlight w:val="none"/>
        </w:rPr>
        <w:t>法定代表人或其授权委托人（签字或盖章）：</w:t>
      </w:r>
    </w:p>
    <w:p>
      <w:pPr>
        <w:pStyle w:val="28"/>
        <w:adjustRightInd w:val="0"/>
        <w:snapToGrid w:val="0"/>
        <w:spacing w:line="360" w:lineRule="auto"/>
        <w:ind w:firstLine="480"/>
        <w:rPr>
          <w:rFonts w:hint="eastAsia" w:hAnsi="宋体" w:cs="宋体"/>
          <w:b/>
          <w:color w:val="auto"/>
          <w:highlight w:val="none"/>
        </w:rPr>
      </w:pPr>
      <w:r>
        <w:rPr>
          <w:rFonts w:hint="eastAsia" w:hAnsi="宋体" w:cs="宋体"/>
          <w:b/>
          <w:color w:val="auto"/>
          <w:highlight w:val="none"/>
        </w:rPr>
        <w:t>日期：</w:t>
      </w:r>
    </w:p>
    <w:p>
      <w:pPr>
        <w:pStyle w:val="29"/>
        <w:ind w:left="5250"/>
        <w:rPr>
          <w:rFonts w:hint="eastAsia"/>
          <w:color w:val="auto"/>
          <w:highlight w:val="none"/>
        </w:rPr>
        <w:sectPr>
          <w:pgSz w:w="11906" w:h="16838"/>
          <w:pgMar w:top="1247" w:right="1247" w:bottom="1247" w:left="1247" w:header="851" w:footer="851" w:gutter="0"/>
          <w:cols w:space="720" w:num="1"/>
          <w:docGrid w:linePitch="272" w:charSpace="-3831"/>
        </w:sectPr>
      </w:pPr>
    </w:p>
    <w:p>
      <w:pPr>
        <w:rPr>
          <w:rFonts w:hint="eastAsia"/>
          <w:color w:val="auto"/>
          <w:highlight w:val="none"/>
        </w:rPr>
      </w:pPr>
    </w:p>
    <w:p>
      <w:pPr>
        <w:rPr>
          <w:rFonts w:hint="eastAsia" w:hAnsi="宋体" w:cs="宋体"/>
          <w:b/>
          <w:color w:val="auto"/>
          <w:highlight w:val="none"/>
        </w:rPr>
      </w:pPr>
    </w:p>
    <w:bookmarkEnd w:id="67"/>
    <w:bookmarkEnd w:id="68"/>
    <w:p>
      <w:pPr>
        <w:widowControl/>
        <w:spacing w:line="360" w:lineRule="auto"/>
        <w:ind w:left="420"/>
        <w:jc w:val="left"/>
        <w:rPr>
          <w:rFonts w:ascii="宋体" w:hAnsi="宋体" w:cs="宋体"/>
          <w:color w:val="auto"/>
          <w:sz w:val="30"/>
          <w:szCs w:val="30"/>
          <w:highlight w:val="none"/>
        </w:rPr>
      </w:pPr>
      <w:bookmarkStart w:id="76" w:name="_Toc23058"/>
      <w:bookmarkStart w:id="77" w:name="_Toc3771"/>
      <w:bookmarkStart w:id="78" w:name="_Toc4859"/>
      <w:bookmarkStart w:id="79" w:name="_Toc15588"/>
      <w:bookmarkStart w:id="80" w:name="_Toc17180"/>
      <w:bookmarkStart w:id="81" w:name="_Toc31549"/>
      <w:bookmarkStart w:id="82" w:name="_Toc8184"/>
      <w:bookmarkStart w:id="83" w:name="_Toc23625"/>
      <w:bookmarkStart w:id="84" w:name="_Hlk11761414"/>
      <w:bookmarkStart w:id="85" w:name="_Toc4275"/>
      <w:r>
        <w:rPr>
          <w:rFonts w:hint="eastAsia" w:ascii="宋体" w:hAnsi="宋体" w:cs="宋体"/>
          <w:b/>
          <w:bCs/>
          <w:color w:val="auto"/>
          <w:kern w:val="0"/>
          <w:szCs w:val="21"/>
          <w:highlight w:val="none"/>
        </w:rPr>
        <w:t>三、</w:t>
      </w:r>
      <w:bookmarkEnd w:id="76"/>
      <w:r>
        <w:rPr>
          <w:rFonts w:hint="eastAsia" w:ascii="Arial" w:hAnsi="Arial" w:cs="Arial"/>
          <w:bCs/>
          <w:color w:val="auto"/>
          <w:szCs w:val="28"/>
          <w:highlight w:val="none"/>
        </w:rPr>
        <w:t>中小企业声明函/监狱企业声明函及其相关的充分的证明材料/残疾人福利性单位声明函</w:t>
      </w:r>
    </w:p>
    <w:p>
      <w:pPr>
        <w:adjustRightInd w:val="0"/>
        <w:snapToGrid w:val="0"/>
        <w:spacing w:line="300" w:lineRule="auto"/>
        <w:jc w:val="center"/>
        <w:rPr>
          <w:rFonts w:hint="eastAsia" w:ascii="宋体" w:cs="宋体"/>
          <w:color w:val="auto"/>
          <w:sz w:val="36"/>
          <w:szCs w:val="36"/>
          <w:highlight w:val="none"/>
        </w:rPr>
      </w:pPr>
    </w:p>
    <w:p>
      <w:pPr>
        <w:adjustRightInd w:val="0"/>
        <w:snapToGrid w:val="0"/>
        <w:spacing w:line="300" w:lineRule="auto"/>
        <w:jc w:val="center"/>
        <w:rPr>
          <w:rFonts w:hint="eastAsia" w:ascii="宋体" w:eastAsia="宋体" w:cs="宋体"/>
          <w:color w:val="auto"/>
          <w:sz w:val="36"/>
          <w:szCs w:val="36"/>
          <w:highlight w:val="none"/>
          <w:lang w:eastAsia="zh-CN"/>
        </w:rPr>
      </w:pPr>
      <w:r>
        <w:rPr>
          <w:rFonts w:hint="eastAsia" w:ascii="宋体" w:cs="宋体"/>
          <w:color w:val="auto"/>
          <w:sz w:val="36"/>
          <w:szCs w:val="36"/>
          <w:highlight w:val="none"/>
        </w:rPr>
        <w:t>中小企业声明函（服务）</w:t>
      </w:r>
    </w:p>
    <w:p>
      <w:pPr>
        <w:adjustRightInd w:val="0"/>
        <w:snapToGrid w:val="0"/>
        <w:spacing w:line="300" w:lineRule="auto"/>
        <w:jc w:val="center"/>
        <w:rPr>
          <w:rFonts w:hint="eastAsia" w:ascii="宋体" w:eastAsia="宋体" w:cs="宋体"/>
          <w:color w:val="auto"/>
          <w:sz w:val="36"/>
          <w:szCs w:val="36"/>
          <w:highlight w:val="none"/>
          <w:lang w:eastAsia="zh-CN"/>
        </w:rPr>
      </w:pPr>
    </w:p>
    <w:p>
      <w:pPr>
        <w:adjustRightInd w:val="0"/>
        <w:snapToGrid w:val="0"/>
        <w:spacing w:line="300" w:lineRule="auto"/>
        <w:jc w:val="center"/>
        <w:rPr>
          <w:rFonts w:ascii="Arial" w:hAnsi="Arial" w:cs="Arial"/>
          <w:b/>
          <w:bCs/>
          <w:color w:val="auto"/>
          <w:szCs w:val="21"/>
          <w:highlight w:val="none"/>
        </w:rPr>
      </w:pPr>
      <w:r>
        <w:rPr>
          <w:rFonts w:hint="eastAsia" w:ascii="Arial" w:hAnsi="Arial" w:cs="Arial"/>
          <w:b/>
          <w:bCs/>
          <w:color w:val="auto"/>
          <w:szCs w:val="21"/>
          <w:highlight w:val="none"/>
        </w:rPr>
        <w:t>【不属于小、微型企业，不用提供此函】</w:t>
      </w:r>
    </w:p>
    <w:p>
      <w:pPr>
        <w:pStyle w:val="347"/>
        <w:spacing w:after="0" w:line="360" w:lineRule="auto"/>
        <w:jc w:val="center"/>
        <w:rPr>
          <w:rFonts w:ascii="宋体" w:hAnsi="Times New Roman" w:eastAsia="宋体" w:cs="宋体"/>
          <w:color w:val="auto"/>
          <w:highlight w:val="none"/>
        </w:rPr>
      </w:pPr>
    </w:p>
    <w:p>
      <w:pPr>
        <w:pStyle w:val="237"/>
        <w:spacing w:line="360" w:lineRule="auto"/>
        <w:ind w:firstLine="420" w:firstLineChars="200"/>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本公司（联合体）郑重声明，根据《政府采购促进中小企业发展管理办法》（财库</w:t>
      </w:r>
      <w:r>
        <w:rPr>
          <w:rFonts w:hint="eastAsia" w:ascii="宋体" w:hAnsi="宋体" w:eastAsia="宋体" w:cs="宋体"/>
          <w:color w:val="auto"/>
          <w:sz w:val="21"/>
          <w:szCs w:val="21"/>
          <w:highlight w:val="none"/>
        </w:rPr>
        <w:t>﹝</w:t>
      </w:r>
      <w:r>
        <w:rPr>
          <w:rFonts w:ascii="宋体" w:hAnsi="宋体" w:eastAsia="宋体" w:cs="仿宋"/>
          <w:color w:val="auto"/>
          <w:sz w:val="21"/>
          <w:szCs w:val="21"/>
          <w:highlight w:val="none"/>
        </w:rPr>
        <w:t>2020</w:t>
      </w:r>
      <w:r>
        <w:rPr>
          <w:rFonts w:hint="eastAsia" w:ascii="宋体" w:hAnsi="宋体" w:eastAsia="宋体" w:cs="宋体"/>
          <w:color w:val="auto"/>
          <w:sz w:val="21"/>
          <w:szCs w:val="21"/>
          <w:highlight w:val="none"/>
        </w:rPr>
        <w:t>﹞</w:t>
      </w:r>
      <w:r>
        <w:rPr>
          <w:rFonts w:ascii="宋体" w:hAnsi="宋体" w:eastAsia="宋体" w:cs="仿宋"/>
          <w:color w:val="auto"/>
          <w:sz w:val="21"/>
          <w:szCs w:val="21"/>
          <w:highlight w:val="none"/>
        </w:rPr>
        <w:t>46</w:t>
      </w:r>
      <w:r>
        <w:rPr>
          <w:rFonts w:hint="eastAsia" w:ascii="宋体" w:hAnsi="宋体" w:eastAsia="宋体" w:cs="仿宋"/>
          <w:color w:val="auto"/>
          <w:sz w:val="21"/>
          <w:szCs w:val="21"/>
          <w:highlight w:val="none"/>
        </w:rPr>
        <w:t>号）的规定，本公司（联合体）参加</w:t>
      </w:r>
      <w:r>
        <w:rPr>
          <w:rFonts w:hint="eastAsia" w:ascii="宋体" w:hAnsi="宋体" w:eastAsia="宋体" w:cs="仿宋"/>
          <w:snapToGrid/>
          <w:color w:val="auto"/>
          <w:kern w:val="0"/>
          <w:sz w:val="21"/>
          <w:szCs w:val="21"/>
          <w:highlight w:val="none"/>
          <w:u w:val="single"/>
        </w:rPr>
        <w:t>龙游县自然资源和规划局</w:t>
      </w:r>
      <w:r>
        <w:rPr>
          <w:rFonts w:hint="eastAsia" w:ascii="宋体" w:hAnsi="宋体" w:eastAsia="宋体" w:cs="仿宋"/>
          <w:color w:val="auto"/>
          <w:sz w:val="21"/>
          <w:szCs w:val="21"/>
          <w:highlight w:val="none"/>
        </w:rPr>
        <w:t>的</w:t>
      </w:r>
      <w:r>
        <w:rPr>
          <w:rFonts w:hint="eastAsia" w:ascii="宋体" w:hAnsi="宋体" w:eastAsia="宋体" w:cs="仿宋"/>
          <w:color w:val="auto"/>
          <w:spacing w:val="0"/>
          <w:sz w:val="21"/>
          <w:szCs w:val="21"/>
          <w:highlight w:val="none"/>
          <w:u w:val="single"/>
          <w:lang w:eastAsia="zh-CN"/>
        </w:rPr>
        <w:t>2025年龙游县耕地现状调查项目</w:t>
      </w:r>
      <w:r>
        <w:rPr>
          <w:rFonts w:hint="eastAsia" w:ascii="宋体" w:hAnsi="宋体" w:eastAsia="宋体" w:cs="仿宋"/>
          <w:color w:val="auto"/>
          <w:sz w:val="21"/>
          <w:szCs w:val="21"/>
          <w:highlight w:val="none"/>
        </w:rPr>
        <w:t>采购活动，服务全部由符合政策要求的中小企业承接。相关企业（含联合体中的中小企业、签订分包意向协议的中小企业）的具体情况如下：</w:t>
      </w:r>
    </w:p>
    <w:p>
      <w:pPr>
        <w:pStyle w:val="212"/>
        <w:spacing w:after="0" w:line="360" w:lineRule="auto"/>
        <w:ind w:firstLine="420" w:firstLineChars="200"/>
        <w:rPr>
          <w:rFonts w:ascii="宋体" w:hAnsi="宋体" w:eastAsia="宋体"/>
          <w:color w:val="auto"/>
          <w:sz w:val="21"/>
          <w:szCs w:val="21"/>
          <w:highlight w:val="none"/>
        </w:rPr>
      </w:pPr>
      <w:r>
        <w:rPr>
          <w:rFonts w:ascii="宋体" w:hAnsi="宋体" w:eastAsia="宋体" w:cs="仿宋"/>
          <w:color w:val="auto"/>
          <w:sz w:val="21"/>
          <w:szCs w:val="21"/>
          <w:highlight w:val="none"/>
        </w:rPr>
        <w:t xml:space="preserve">1. </w:t>
      </w:r>
      <w:r>
        <w:rPr>
          <w:rFonts w:hint="eastAsia" w:ascii="宋体" w:hAnsi="宋体" w:eastAsia="宋体" w:cs="仿宋"/>
          <w:color w:val="auto"/>
          <w:sz w:val="21"/>
          <w:szCs w:val="21"/>
          <w:highlight w:val="none"/>
          <w:u w:val="single"/>
        </w:rPr>
        <w:t>（标的名称）</w:t>
      </w:r>
      <w:r>
        <w:rPr>
          <w:rFonts w:hint="eastAsia" w:ascii="宋体" w:hAnsi="宋体" w:eastAsia="宋体" w:cs="仿宋"/>
          <w:color w:val="auto"/>
          <w:sz w:val="21"/>
          <w:szCs w:val="21"/>
          <w:highlight w:val="none"/>
        </w:rPr>
        <w:t>，属于</w:t>
      </w:r>
      <w:r>
        <w:rPr>
          <w:rFonts w:hint="eastAsia" w:ascii="宋体" w:hAnsi="宋体" w:eastAsia="宋体" w:cs="仿宋"/>
          <w:color w:val="auto"/>
          <w:sz w:val="21"/>
          <w:szCs w:val="21"/>
          <w:highlight w:val="none"/>
          <w:u w:val="single"/>
        </w:rPr>
        <w:t>（采购文件中明确的所属行业）行业</w:t>
      </w:r>
      <w:r>
        <w:rPr>
          <w:rFonts w:hint="eastAsia" w:ascii="宋体" w:hAnsi="宋体" w:eastAsia="宋体" w:cs="仿宋"/>
          <w:color w:val="auto"/>
          <w:sz w:val="21"/>
          <w:szCs w:val="21"/>
          <w:highlight w:val="none"/>
        </w:rPr>
        <w:t>；承接企业为</w:t>
      </w:r>
      <w:r>
        <w:rPr>
          <w:rFonts w:hint="eastAsia" w:ascii="宋体" w:hAnsi="宋体" w:eastAsia="宋体" w:cs="仿宋"/>
          <w:color w:val="auto"/>
          <w:sz w:val="21"/>
          <w:szCs w:val="21"/>
          <w:highlight w:val="none"/>
          <w:u w:val="single"/>
        </w:rPr>
        <w:t>（企业名称）</w:t>
      </w:r>
      <w:r>
        <w:rPr>
          <w:rFonts w:hint="eastAsia" w:ascii="宋体" w:hAnsi="宋体" w:eastAsia="宋体" w:cs="仿宋"/>
          <w:color w:val="auto"/>
          <w:sz w:val="21"/>
          <w:szCs w:val="21"/>
          <w:highlight w:val="none"/>
        </w:rPr>
        <w:t>，从业人员</w:t>
      </w:r>
      <w:r>
        <w:rPr>
          <w:rFonts w:hint="eastAsia" w:ascii="宋体" w:hAnsi="宋体" w:eastAsia="宋体" w:cs="仿宋"/>
          <w:color w:val="auto"/>
          <w:sz w:val="21"/>
          <w:szCs w:val="21"/>
          <w:highlight w:val="none"/>
          <w:u w:val="single"/>
        </w:rPr>
        <w:t xml:space="preserve">    </w:t>
      </w:r>
      <w:r>
        <w:rPr>
          <w:rFonts w:hint="eastAsia" w:ascii="宋体" w:hAnsi="宋体" w:eastAsia="宋体" w:cs="仿宋"/>
          <w:color w:val="auto"/>
          <w:sz w:val="21"/>
          <w:szCs w:val="21"/>
          <w:highlight w:val="none"/>
        </w:rPr>
        <w:t>人，营业收</w:t>
      </w:r>
      <w:r>
        <w:rPr>
          <w:rFonts w:hint="eastAsia" w:ascii="宋体" w:hAnsi="宋体" w:eastAsia="宋体"/>
          <w:color w:val="auto"/>
          <w:sz w:val="21"/>
          <w:szCs w:val="21"/>
          <w:highlight w:val="none"/>
        </w:rPr>
        <w:t>入为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万元，资产总额为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万元，属于</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u w:val="single"/>
        </w:rPr>
        <w:sym w:font="Wingdings" w:char="00A8"/>
      </w:r>
      <w:r>
        <w:rPr>
          <w:rFonts w:hint="eastAsia" w:ascii="宋体" w:hAnsi="宋体" w:eastAsia="宋体"/>
          <w:color w:val="auto"/>
          <w:sz w:val="21"/>
          <w:szCs w:val="21"/>
          <w:highlight w:val="none"/>
          <w:u w:val="single"/>
        </w:rPr>
        <w:t>中型企业、</w:t>
      </w:r>
      <w:r>
        <w:rPr>
          <w:rFonts w:hint="eastAsia" w:ascii="宋体" w:hAnsi="宋体" w:eastAsia="宋体"/>
          <w:color w:val="auto"/>
          <w:sz w:val="21"/>
          <w:szCs w:val="21"/>
          <w:highlight w:val="none"/>
          <w:u w:val="single"/>
        </w:rPr>
        <w:sym w:font="Wingdings" w:char="00A8"/>
      </w:r>
      <w:r>
        <w:rPr>
          <w:rFonts w:hint="eastAsia" w:ascii="宋体" w:hAnsi="宋体" w:eastAsia="宋体"/>
          <w:color w:val="auto"/>
          <w:sz w:val="21"/>
          <w:szCs w:val="21"/>
          <w:highlight w:val="none"/>
          <w:u w:val="single"/>
        </w:rPr>
        <w:t>小型企业、</w:t>
      </w:r>
      <w:r>
        <w:rPr>
          <w:rFonts w:hint="eastAsia" w:ascii="宋体" w:hAnsi="宋体" w:eastAsia="宋体"/>
          <w:color w:val="auto"/>
          <w:sz w:val="21"/>
          <w:szCs w:val="21"/>
          <w:highlight w:val="none"/>
          <w:u w:val="single"/>
        </w:rPr>
        <w:sym w:font="Wingdings" w:char="00A8"/>
      </w:r>
      <w:r>
        <w:rPr>
          <w:rFonts w:hint="eastAsia" w:ascii="宋体" w:hAnsi="宋体" w:eastAsia="宋体"/>
          <w:color w:val="auto"/>
          <w:sz w:val="21"/>
          <w:szCs w:val="21"/>
          <w:highlight w:val="none"/>
          <w:u w:val="single"/>
        </w:rPr>
        <w:t>微型企业）</w:t>
      </w:r>
      <w:r>
        <w:rPr>
          <w:rFonts w:hint="eastAsia" w:ascii="宋体" w:hAnsi="宋体" w:eastAsia="宋体"/>
          <w:color w:val="auto"/>
          <w:sz w:val="21"/>
          <w:szCs w:val="21"/>
          <w:highlight w:val="none"/>
        </w:rPr>
        <w:t>；</w:t>
      </w:r>
    </w:p>
    <w:p>
      <w:pPr>
        <w:pStyle w:val="212"/>
        <w:spacing w:after="0" w:line="360" w:lineRule="auto"/>
        <w:ind w:firstLine="420" w:firstLineChars="200"/>
        <w:rPr>
          <w:rFonts w:ascii="宋体" w:hAnsi="宋体" w:eastAsia="宋体" w:cs="仿宋"/>
          <w:color w:val="auto"/>
          <w:sz w:val="21"/>
          <w:szCs w:val="21"/>
          <w:highlight w:val="none"/>
        </w:rPr>
      </w:pPr>
      <w:r>
        <w:rPr>
          <w:rFonts w:ascii="宋体" w:hAnsi="宋体" w:eastAsia="宋体" w:cs="仿宋"/>
          <w:color w:val="auto"/>
          <w:sz w:val="21"/>
          <w:szCs w:val="21"/>
          <w:highlight w:val="none"/>
        </w:rPr>
        <w:t xml:space="preserve">2. </w:t>
      </w:r>
      <w:r>
        <w:rPr>
          <w:rFonts w:hint="eastAsia" w:ascii="宋体" w:hAnsi="宋体" w:eastAsia="宋体" w:cs="仿宋"/>
          <w:color w:val="auto"/>
          <w:sz w:val="21"/>
          <w:szCs w:val="21"/>
          <w:highlight w:val="none"/>
          <w:u w:val="single"/>
        </w:rPr>
        <w:t>（标的名称）</w:t>
      </w:r>
      <w:r>
        <w:rPr>
          <w:rFonts w:hint="eastAsia" w:ascii="宋体" w:hAnsi="宋体" w:eastAsia="宋体" w:cs="仿宋"/>
          <w:color w:val="auto"/>
          <w:sz w:val="21"/>
          <w:szCs w:val="21"/>
          <w:highlight w:val="none"/>
        </w:rPr>
        <w:t>，属于</w:t>
      </w:r>
      <w:r>
        <w:rPr>
          <w:rFonts w:hint="eastAsia" w:ascii="宋体" w:hAnsi="宋体" w:eastAsia="宋体" w:cs="仿宋"/>
          <w:color w:val="auto"/>
          <w:sz w:val="21"/>
          <w:szCs w:val="21"/>
          <w:highlight w:val="none"/>
          <w:u w:val="single"/>
        </w:rPr>
        <w:t>（采购文件中明确的所属行业）行业</w:t>
      </w:r>
      <w:r>
        <w:rPr>
          <w:rFonts w:hint="eastAsia" w:ascii="宋体" w:hAnsi="宋体" w:eastAsia="宋体" w:cs="仿宋"/>
          <w:color w:val="auto"/>
          <w:sz w:val="21"/>
          <w:szCs w:val="21"/>
          <w:highlight w:val="none"/>
        </w:rPr>
        <w:t>；承接企业为</w:t>
      </w:r>
      <w:r>
        <w:rPr>
          <w:rFonts w:hint="eastAsia" w:ascii="宋体" w:hAnsi="宋体" w:eastAsia="宋体" w:cs="仿宋"/>
          <w:color w:val="auto"/>
          <w:sz w:val="21"/>
          <w:szCs w:val="21"/>
          <w:highlight w:val="none"/>
          <w:u w:val="single"/>
        </w:rPr>
        <w:t>（企业名称）</w:t>
      </w:r>
      <w:r>
        <w:rPr>
          <w:rFonts w:hint="eastAsia" w:ascii="宋体" w:hAnsi="宋体" w:eastAsia="宋体" w:cs="仿宋"/>
          <w:color w:val="auto"/>
          <w:sz w:val="21"/>
          <w:szCs w:val="21"/>
          <w:highlight w:val="none"/>
        </w:rPr>
        <w:t>，从业人员</w:t>
      </w:r>
      <w:r>
        <w:rPr>
          <w:rFonts w:hint="eastAsia" w:ascii="宋体" w:hAnsi="宋体" w:eastAsia="宋体" w:cs="仿宋"/>
          <w:color w:val="auto"/>
          <w:sz w:val="21"/>
          <w:szCs w:val="21"/>
          <w:highlight w:val="none"/>
          <w:u w:val="single"/>
        </w:rPr>
        <w:t xml:space="preserve">    </w:t>
      </w:r>
      <w:r>
        <w:rPr>
          <w:rFonts w:hint="eastAsia" w:ascii="宋体" w:hAnsi="宋体" w:eastAsia="宋体" w:cs="仿宋"/>
          <w:color w:val="auto"/>
          <w:sz w:val="21"/>
          <w:szCs w:val="21"/>
          <w:highlight w:val="none"/>
        </w:rPr>
        <w:t>人，营业收</w:t>
      </w:r>
      <w:r>
        <w:rPr>
          <w:rFonts w:hint="eastAsia" w:ascii="宋体" w:hAnsi="宋体" w:eastAsia="宋体"/>
          <w:color w:val="auto"/>
          <w:sz w:val="21"/>
          <w:szCs w:val="21"/>
          <w:highlight w:val="none"/>
        </w:rPr>
        <w:t>入为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万元，资产总额为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万元，属于</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u w:val="single"/>
        </w:rPr>
        <w:sym w:font="Wingdings" w:char="00A8"/>
      </w:r>
      <w:r>
        <w:rPr>
          <w:rFonts w:hint="eastAsia" w:ascii="宋体" w:hAnsi="宋体" w:eastAsia="宋体"/>
          <w:color w:val="auto"/>
          <w:sz w:val="21"/>
          <w:szCs w:val="21"/>
          <w:highlight w:val="none"/>
          <w:u w:val="single"/>
        </w:rPr>
        <w:t>中型企业、</w:t>
      </w:r>
      <w:r>
        <w:rPr>
          <w:rFonts w:hint="eastAsia" w:ascii="宋体" w:hAnsi="宋体" w:eastAsia="宋体"/>
          <w:color w:val="auto"/>
          <w:sz w:val="21"/>
          <w:szCs w:val="21"/>
          <w:highlight w:val="none"/>
          <w:u w:val="single"/>
        </w:rPr>
        <w:sym w:font="Wingdings" w:char="00A8"/>
      </w:r>
      <w:r>
        <w:rPr>
          <w:rFonts w:hint="eastAsia" w:ascii="宋体" w:hAnsi="宋体" w:eastAsia="宋体"/>
          <w:color w:val="auto"/>
          <w:sz w:val="21"/>
          <w:szCs w:val="21"/>
          <w:highlight w:val="none"/>
          <w:u w:val="single"/>
        </w:rPr>
        <w:t>小型企业、</w:t>
      </w:r>
      <w:r>
        <w:rPr>
          <w:rFonts w:hint="eastAsia" w:ascii="宋体" w:hAnsi="宋体" w:eastAsia="宋体"/>
          <w:color w:val="auto"/>
          <w:sz w:val="21"/>
          <w:szCs w:val="21"/>
          <w:highlight w:val="none"/>
          <w:u w:val="single"/>
        </w:rPr>
        <w:sym w:font="Wingdings" w:char="00A8"/>
      </w:r>
      <w:r>
        <w:rPr>
          <w:rFonts w:hint="eastAsia" w:ascii="宋体" w:hAnsi="宋体" w:eastAsia="宋体"/>
          <w:color w:val="auto"/>
          <w:sz w:val="21"/>
          <w:szCs w:val="21"/>
          <w:highlight w:val="none"/>
          <w:u w:val="single"/>
        </w:rPr>
        <w:t>微型企业）</w:t>
      </w:r>
      <w:r>
        <w:rPr>
          <w:rFonts w:hint="eastAsia" w:ascii="宋体" w:hAnsi="宋体" w:eastAsia="宋体"/>
          <w:color w:val="auto"/>
          <w:sz w:val="21"/>
          <w:szCs w:val="21"/>
          <w:highlight w:val="none"/>
        </w:rPr>
        <w:t>；</w:t>
      </w:r>
    </w:p>
    <w:p>
      <w:pPr>
        <w:pStyle w:val="212"/>
        <w:spacing w:after="0" w:line="360" w:lineRule="auto"/>
        <w:rPr>
          <w:rFonts w:ascii="宋体" w:hAnsi="宋体" w:eastAsia="宋体"/>
          <w:color w:val="auto"/>
          <w:sz w:val="21"/>
          <w:szCs w:val="21"/>
          <w:highlight w:val="none"/>
        </w:rPr>
      </w:pPr>
      <w:r>
        <w:rPr>
          <w:rFonts w:hint="eastAsia" w:ascii="宋体" w:hAnsi="宋体" w:eastAsia="宋体" w:cs="仿宋"/>
          <w:color w:val="auto"/>
          <w:sz w:val="21"/>
          <w:szCs w:val="21"/>
          <w:highlight w:val="none"/>
        </w:rPr>
        <w:t>……</w:t>
      </w:r>
    </w:p>
    <w:p>
      <w:pPr>
        <w:pStyle w:val="212"/>
        <w:spacing w:after="0" w:line="360" w:lineRule="auto"/>
        <w:ind w:firstLine="420" w:firstLineChars="200"/>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以上企业，不属于大企业的分支机构，不存在控股股东为大企业的情形，也不存在与大企业的负责人为同一人的情形。</w:t>
      </w:r>
    </w:p>
    <w:p>
      <w:pPr>
        <w:pStyle w:val="212"/>
        <w:spacing w:after="0" w:line="360" w:lineRule="auto"/>
        <w:ind w:firstLine="420" w:firstLineChars="200"/>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本企业对上述声明内容的真实性负责。如有虚假，将依法承担相应责任。</w:t>
      </w:r>
    </w:p>
    <w:p>
      <w:pPr>
        <w:pStyle w:val="212"/>
        <w:spacing w:after="0" w:line="360" w:lineRule="auto"/>
        <w:ind w:firstLine="420" w:firstLineChars="200"/>
        <w:rPr>
          <w:rFonts w:ascii="宋体" w:hAnsi="宋体" w:eastAsia="宋体" w:cs="仿宋"/>
          <w:color w:val="auto"/>
          <w:sz w:val="21"/>
          <w:szCs w:val="21"/>
          <w:highlight w:val="none"/>
        </w:rPr>
      </w:pPr>
    </w:p>
    <w:p>
      <w:pPr>
        <w:pStyle w:val="212"/>
        <w:spacing w:after="0" w:line="360" w:lineRule="auto"/>
        <w:ind w:firstLine="420" w:firstLineChars="200"/>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企业名称（盖章）：</w:t>
      </w:r>
    </w:p>
    <w:p>
      <w:pPr>
        <w:pStyle w:val="212"/>
        <w:spacing w:after="0" w:line="360" w:lineRule="auto"/>
        <w:ind w:firstLine="420" w:firstLineChars="200"/>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日期：</w:t>
      </w:r>
    </w:p>
    <w:p>
      <w:pPr>
        <w:pStyle w:val="213"/>
        <w:ind w:firstLine="480" w:firstLineChars="200"/>
        <w:rPr>
          <w:color w:val="auto"/>
          <w:highlight w:val="none"/>
        </w:rPr>
      </w:pPr>
    </w:p>
    <w:p>
      <w:pPr>
        <w:pStyle w:val="213"/>
        <w:spacing w:line="360" w:lineRule="auto"/>
        <w:ind w:firstLine="420" w:firstLineChars="200"/>
        <w:rPr>
          <w:color w:val="auto"/>
          <w:sz w:val="21"/>
          <w:szCs w:val="21"/>
          <w:highlight w:val="none"/>
        </w:rPr>
      </w:pPr>
      <w:r>
        <w:rPr>
          <w:rFonts w:hint="eastAsia"/>
          <w:color w:val="auto"/>
          <w:sz w:val="21"/>
          <w:szCs w:val="21"/>
          <w:highlight w:val="none"/>
        </w:rPr>
        <w:t>备注：</w:t>
      </w:r>
    </w:p>
    <w:p>
      <w:pPr>
        <w:pStyle w:val="213"/>
        <w:spacing w:line="360" w:lineRule="auto"/>
        <w:ind w:firstLine="420" w:firstLineChars="200"/>
        <w:rPr>
          <w:color w:val="auto"/>
          <w:sz w:val="21"/>
          <w:szCs w:val="21"/>
          <w:highlight w:val="none"/>
        </w:rPr>
      </w:pPr>
      <w:r>
        <w:rPr>
          <w:rFonts w:hint="eastAsia"/>
          <w:color w:val="auto"/>
          <w:sz w:val="21"/>
          <w:szCs w:val="21"/>
          <w:highlight w:val="none"/>
        </w:rPr>
        <w:t>1、从业人员、营业收入、资产总额填报上一年度数据，无上一年度数据的新成立企业可不填报。</w:t>
      </w:r>
    </w:p>
    <w:p>
      <w:pPr>
        <w:pStyle w:val="213"/>
        <w:spacing w:line="360" w:lineRule="auto"/>
        <w:ind w:firstLine="420" w:firstLineChars="200"/>
        <w:rPr>
          <w:rFonts w:hint="eastAsia"/>
          <w:color w:val="auto"/>
          <w:sz w:val="21"/>
          <w:szCs w:val="21"/>
          <w:highlight w:val="none"/>
        </w:rPr>
      </w:pPr>
      <w:r>
        <w:rPr>
          <w:rFonts w:hint="eastAsia"/>
          <w:color w:val="auto"/>
          <w:sz w:val="21"/>
          <w:szCs w:val="21"/>
          <w:highlight w:val="none"/>
        </w:rPr>
        <w:t>2、一旦中标，本声明函将与中标、成交结果公告时一起公开。</w:t>
      </w:r>
    </w:p>
    <w:p>
      <w:pPr>
        <w:pStyle w:val="213"/>
        <w:spacing w:line="360" w:lineRule="auto"/>
        <w:ind w:firstLine="420" w:firstLineChars="200"/>
        <w:rPr>
          <w:rFonts w:hint="eastAsia" w:hAnsi="Arial" w:cs="Arial"/>
          <w:color w:val="auto"/>
          <w:sz w:val="21"/>
          <w:szCs w:val="21"/>
          <w:highlight w:val="none"/>
        </w:rPr>
      </w:pPr>
      <w:r>
        <w:rPr>
          <w:rFonts w:hint="eastAsia" w:hAnsi="Arial" w:cs="Arial"/>
          <w:color w:val="auto"/>
          <w:sz w:val="21"/>
          <w:szCs w:val="21"/>
          <w:highlight w:val="none"/>
          <w:lang w:val="en-US" w:eastAsia="zh-CN"/>
        </w:rPr>
        <w:t>3、</w:t>
      </w:r>
      <w:r>
        <w:rPr>
          <w:rFonts w:hint="eastAsia" w:hAnsi="Arial" w:cs="Arial"/>
          <w:color w:val="auto"/>
          <w:sz w:val="21"/>
          <w:szCs w:val="21"/>
          <w:highlight w:val="none"/>
        </w:rPr>
        <w:t>可采用工业和信息化部网站（https://www.miit.gov.cn/）中小企业规模类型自测小程序进行自测后填写。</w:t>
      </w:r>
    </w:p>
    <w:p>
      <w:pPr>
        <w:pStyle w:val="213"/>
        <w:spacing w:line="360" w:lineRule="auto"/>
        <w:ind w:firstLine="420" w:firstLineChars="200"/>
        <w:rPr>
          <w:rFonts w:hint="eastAsia"/>
          <w:color w:val="auto"/>
          <w:sz w:val="21"/>
          <w:szCs w:val="21"/>
          <w:highlight w:val="none"/>
        </w:rPr>
      </w:pPr>
    </w:p>
    <w:p>
      <w:pPr>
        <w:widowControl/>
        <w:spacing w:line="360" w:lineRule="auto"/>
        <w:rPr>
          <w:rFonts w:hint="eastAsia" w:ascii="宋体" w:hAnsi="宋体" w:cs="宋体"/>
          <w:b/>
          <w:bCs/>
          <w:color w:val="auto"/>
          <w:sz w:val="32"/>
          <w:highlight w:val="none"/>
        </w:rPr>
      </w:pPr>
    </w:p>
    <w:p>
      <w:pPr>
        <w:widowControl/>
        <w:spacing w:line="360" w:lineRule="auto"/>
        <w:jc w:val="center"/>
        <w:rPr>
          <w:rFonts w:hint="eastAsia" w:ascii="宋体" w:hAnsi="宋体" w:cs="宋体"/>
          <w:b/>
          <w:bCs/>
          <w:color w:val="auto"/>
          <w:sz w:val="32"/>
          <w:highlight w:val="none"/>
        </w:rPr>
      </w:pPr>
    </w:p>
    <w:p>
      <w:pPr>
        <w:widowControl/>
        <w:spacing w:line="360" w:lineRule="auto"/>
        <w:jc w:val="center"/>
        <w:rPr>
          <w:rFonts w:hint="eastAsia" w:ascii="宋体" w:hAnsi="宋体" w:cs="宋体"/>
          <w:b/>
          <w:bCs/>
          <w:color w:val="auto"/>
          <w:sz w:val="32"/>
          <w:highlight w:val="none"/>
        </w:rPr>
      </w:pPr>
    </w:p>
    <w:p>
      <w:pPr>
        <w:widowControl/>
        <w:spacing w:line="360" w:lineRule="auto"/>
        <w:jc w:val="center"/>
        <w:rPr>
          <w:rFonts w:hint="eastAsia" w:ascii="宋体" w:hAnsi="宋体" w:cs="宋体"/>
          <w:b/>
          <w:bCs/>
          <w:color w:val="auto"/>
          <w:sz w:val="32"/>
          <w:highlight w:val="none"/>
        </w:rPr>
      </w:pPr>
    </w:p>
    <w:p>
      <w:pPr>
        <w:widowControl/>
        <w:spacing w:line="360" w:lineRule="auto"/>
        <w:jc w:val="center"/>
        <w:rPr>
          <w:rFonts w:hint="eastAsia" w:ascii="宋体" w:hAnsi="宋体" w:cs="宋体"/>
          <w:b/>
          <w:bCs/>
          <w:color w:val="auto"/>
          <w:sz w:val="32"/>
          <w:highlight w:val="none"/>
        </w:rPr>
      </w:pPr>
    </w:p>
    <w:p>
      <w:pPr>
        <w:widowControl/>
        <w:spacing w:line="360" w:lineRule="auto"/>
        <w:jc w:val="center"/>
        <w:rPr>
          <w:rFonts w:hint="eastAsia" w:ascii="宋体" w:hAnsi="宋体" w:cs="宋体"/>
          <w:b/>
          <w:bCs/>
          <w:color w:val="auto"/>
          <w:sz w:val="32"/>
          <w:highlight w:val="none"/>
        </w:rPr>
      </w:pPr>
    </w:p>
    <w:p>
      <w:pPr>
        <w:widowControl/>
        <w:spacing w:line="360" w:lineRule="auto"/>
        <w:jc w:val="center"/>
        <w:rPr>
          <w:rFonts w:hint="eastAsia" w:ascii="宋体" w:hAnsi="宋体" w:cs="宋体"/>
          <w:b/>
          <w:bCs/>
          <w:color w:val="auto"/>
          <w:sz w:val="32"/>
          <w:highlight w:val="none"/>
        </w:rPr>
      </w:pPr>
    </w:p>
    <w:p>
      <w:pPr>
        <w:widowControl/>
        <w:spacing w:line="360" w:lineRule="auto"/>
        <w:jc w:val="center"/>
        <w:rPr>
          <w:rFonts w:ascii="宋体" w:hAnsi="宋体" w:cs="宋体"/>
          <w:b/>
          <w:bCs/>
          <w:color w:val="auto"/>
          <w:sz w:val="32"/>
          <w:highlight w:val="none"/>
        </w:rPr>
      </w:pPr>
      <w:r>
        <w:rPr>
          <w:rFonts w:hint="eastAsia" w:ascii="宋体" w:hAnsi="宋体" w:cs="宋体"/>
          <w:b/>
          <w:bCs/>
          <w:color w:val="auto"/>
          <w:sz w:val="32"/>
          <w:highlight w:val="none"/>
        </w:rPr>
        <w:t>监狱企业声明函</w:t>
      </w:r>
    </w:p>
    <w:p>
      <w:pPr>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【不属于监狱企业的无需填写、递交】</w:t>
      </w:r>
    </w:p>
    <w:p>
      <w:pPr>
        <w:widowControl/>
        <w:adjustRightInd w:val="0"/>
        <w:snapToGrid w:val="0"/>
        <w:spacing w:line="360" w:lineRule="auto"/>
        <w:ind w:firstLine="420" w:firstLineChars="200"/>
        <w:rPr>
          <w:rFonts w:ascii="宋体" w:hAnsi="宋体" w:cs="宋体"/>
          <w:color w:val="auto"/>
          <w:szCs w:val="21"/>
          <w:highlight w:val="none"/>
        </w:rPr>
      </w:pPr>
    </w:p>
    <w:p>
      <w:pPr>
        <w:widowControl/>
        <w:adjustRightInd w:val="0"/>
        <w:snapToGrid w:val="0"/>
        <w:spacing w:line="480" w:lineRule="exact"/>
        <w:ind w:firstLine="480"/>
        <w:jc w:val="left"/>
        <w:rPr>
          <w:rFonts w:hint="eastAsia" w:ascii="宋体" w:hAnsi="宋体" w:cs="宋体"/>
          <w:color w:val="auto"/>
          <w:szCs w:val="21"/>
          <w:highlight w:val="none"/>
        </w:rPr>
      </w:pPr>
      <w:r>
        <w:rPr>
          <w:rFonts w:hint="eastAsia" w:ascii="宋体" w:hAnsi="宋体" w:cs="宋体"/>
          <w:color w:val="auto"/>
          <w:szCs w:val="21"/>
          <w:highlight w:val="none"/>
        </w:rPr>
        <w:t>本企业郑重声明，根据《关于政府采购支持监狱企业发展有关问题的通知》（财库[2014]68号）的规定，本企业为</w:t>
      </w:r>
      <w:r>
        <w:rPr>
          <w:rFonts w:hint="eastAsia" w:ascii="宋体" w:hAnsi="宋体" w:cs="宋体"/>
          <w:color w:val="auto"/>
          <w:szCs w:val="21"/>
          <w:highlight w:val="none"/>
          <w:u w:val="single"/>
        </w:rPr>
        <w:t>监狱企业</w:t>
      </w:r>
      <w:r>
        <w:rPr>
          <w:rFonts w:hint="eastAsia" w:ascii="宋体" w:hAnsi="宋体" w:cs="宋体"/>
          <w:color w:val="auto"/>
          <w:szCs w:val="21"/>
          <w:highlight w:val="none"/>
        </w:rPr>
        <w:t>。</w:t>
      </w:r>
    </w:p>
    <w:p>
      <w:pPr>
        <w:widowControl/>
        <w:adjustRightInd w:val="0"/>
        <w:snapToGrid w:val="0"/>
        <w:spacing w:line="480" w:lineRule="exact"/>
        <w:ind w:firstLine="480"/>
        <w:jc w:val="left"/>
        <w:rPr>
          <w:rFonts w:hint="eastAsia" w:ascii="宋体" w:hAnsi="宋体" w:cs="宋体"/>
          <w:color w:val="auto"/>
          <w:szCs w:val="21"/>
          <w:highlight w:val="none"/>
        </w:rPr>
      </w:pPr>
      <w:r>
        <w:rPr>
          <w:rFonts w:hint="eastAsia" w:ascii="宋体" w:hAnsi="宋体" w:cs="宋体"/>
          <w:color w:val="auto"/>
          <w:szCs w:val="21"/>
          <w:highlight w:val="none"/>
        </w:rPr>
        <w:t>根据上述标准，我企业属于</w:t>
      </w:r>
      <w:r>
        <w:rPr>
          <w:rFonts w:hint="eastAsia" w:ascii="宋体" w:hAnsi="宋体" w:cs="宋体"/>
          <w:color w:val="auto"/>
          <w:szCs w:val="21"/>
          <w:highlight w:val="none"/>
          <w:u w:val="single"/>
        </w:rPr>
        <w:t>监狱企业</w:t>
      </w:r>
      <w:r>
        <w:rPr>
          <w:rFonts w:hint="eastAsia" w:ascii="宋体" w:hAnsi="宋体" w:cs="宋体"/>
          <w:color w:val="auto"/>
          <w:szCs w:val="21"/>
          <w:highlight w:val="none"/>
        </w:rPr>
        <w:t>的理由为：</w:t>
      </w:r>
    </w:p>
    <w:p>
      <w:pPr>
        <w:widowControl/>
        <w:adjustRightInd w:val="0"/>
        <w:snapToGrid w:val="0"/>
        <w:spacing w:line="48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本企业为参加（项目名称：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）采购活动提供本企业的产品。</w:t>
      </w:r>
    </w:p>
    <w:p>
      <w:pPr>
        <w:widowControl/>
        <w:adjustRightInd w:val="0"/>
        <w:snapToGrid w:val="0"/>
        <w:spacing w:line="48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本企业对上述声明的真实性负责。如有虚假，将依法承担相应责任。</w:t>
      </w:r>
    </w:p>
    <w:p>
      <w:pPr>
        <w:widowControl/>
        <w:adjustRightInd w:val="0"/>
        <w:snapToGrid w:val="0"/>
        <w:spacing w:line="360" w:lineRule="auto"/>
        <w:ind w:firstLine="422" w:firstLineChars="200"/>
        <w:rPr>
          <w:rFonts w:hint="eastAsia" w:ascii="宋体" w:hAnsi="宋体" w:cs="宋体"/>
          <w:b/>
          <w:bCs/>
          <w:color w:val="auto"/>
          <w:szCs w:val="21"/>
          <w:highlight w:val="none"/>
        </w:rPr>
      </w:pPr>
    </w:p>
    <w:p>
      <w:pPr>
        <w:adjustRightInd w:val="0"/>
        <w:snapToGrid w:val="0"/>
        <w:spacing w:line="360" w:lineRule="auto"/>
        <w:ind w:firstLine="420" w:firstLineChars="200"/>
        <w:jc w:val="center"/>
        <w:rPr>
          <w:rFonts w:ascii="宋体" w:hAnsi="宋体" w:cs="宋体"/>
          <w:color w:val="auto"/>
          <w:szCs w:val="21"/>
          <w:highlight w:val="none"/>
        </w:rPr>
      </w:pPr>
    </w:p>
    <w:p>
      <w:pPr>
        <w:adjustRightInd w:val="0"/>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供应商（盖章）：</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日期：</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年</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月</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日</w:t>
      </w:r>
    </w:p>
    <w:p>
      <w:pPr>
        <w:widowControl/>
        <w:snapToGrid w:val="0"/>
        <w:spacing w:line="360" w:lineRule="auto"/>
        <w:ind w:firstLine="420" w:firstLineChars="200"/>
        <w:rPr>
          <w:rFonts w:ascii="宋体" w:hAnsi="宋体" w:cs="宋体"/>
          <w:color w:val="auto"/>
          <w:kern w:val="0"/>
          <w:szCs w:val="21"/>
          <w:highlight w:val="none"/>
        </w:rPr>
      </w:pPr>
    </w:p>
    <w:p>
      <w:pPr>
        <w:widowControl/>
        <w:snapToGrid w:val="0"/>
        <w:spacing w:line="360" w:lineRule="auto"/>
        <w:ind w:firstLine="420" w:firstLineChars="200"/>
        <w:rPr>
          <w:rFonts w:ascii="宋体" w:hAnsi="宋体" w:cs="宋体"/>
          <w:color w:val="auto"/>
          <w:kern w:val="0"/>
          <w:szCs w:val="21"/>
          <w:highlight w:val="none"/>
        </w:rPr>
      </w:pPr>
    </w:p>
    <w:p>
      <w:pPr>
        <w:widowControl/>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监狱企业参加政府采购活动时，应当提供由省级以上监狱管理局、戒毒管理局（含新疆生产建设兵团）出具的属于监狱企业的证明文件。</w:t>
      </w:r>
    </w:p>
    <w:p>
      <w:pPr>
        <w:pStyle w:val="28"/>
        <w:adjustRightInd w:val="0"/>
        <w:snapToGrid w:val="0"/>
        <w:spacing w:line="360" w:lineRule="auto"/>
        <w:ind w:firstLine="420" w:firstLineChars="200"/>
        <w:rPr>
          <w:rFonts w:hAnsi="宋体" w:cs="宋体"/>
          <w:color w:val="auto"/>
          <w:highlight w:val="none"/>
        </w:rPr>
      </w:pPr>
      <w:r>
        <w:rPr>
          <w:rFonts w:hint="eastAsia" w:hAnsi="宋体" w:cs="宋体"/>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adjustRightInd w:val="0"/>
        <w:snapToGrid w:val="0"/>
        <w:spacing w:line="360" w:lineRule="auto"/>
        <w:jc w:val="center"/>
        <w:rPr>
          <w:rFonts w:ascii="宋体" w:hAnsi="宋体" w:cs="宋体"/>
          <w:b/>
          <w:color w:val="auto"/>
          <w:kern w:val="0"/>
          <w:sz w:val="32"/>
          <w:szCs w:val="21"/>
          <w:highlight w:val="none"/>
        </w:rPr>
      </w:pPr>
      <w:r>
        <w:rPr>
          <w:rFonts w:ascii="宋体" w:hAnsi="宋体" w:cs="宋体"/>
          <w:color w:val="auto"/>
          <w:kern w:val="0"/>
          <w:sz w:val="28"/>
          <w:highlight w:val="none"/>
        </w:rPr>
        <w:br w:type="page"/>
      </w:r>
      <w:r>
        <w:rPr>
          <w:rFonts w:hint="eastAsia" w:ascii="宋体" w:hAnsi="宋体" w:cs="宋体"/>
          <w:b/>
          <w:color w:val="auto"/>
          <w:kern w:val="0"/>
          <w:sz w:val="32"/>
          <w:szCs w:val="21"/>
          <w:highlight w:val="none"/>
        </w:rPr>
        <w:t>残疾人福利性单位声明函</w:t>
      </w:r>
    </w:p>
    <w:p>
      <w:pPr>
        <w:widowControl/>
        <w:adjustRightInd w:val="0"/>
        <w:snapToGrid w:val="0"/>
        <w:spacing w:line="360" w:lineRule="auto"/>
        <w:ind w:firstLine="422" w:firstLineChars="20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【不属于残疾人福利性单位的无需填写、递交】</w:t>
      </w:r>
    </w:p>
    <w:p>
      <w:pPr>
        <w:snapToGrid w:val="0"/>
        <w:spacing w:line="360" w:lineRule="auto"/>
        <w:jc w:val="center"/>
        <w:rPr>
          <w:rFonts w:ascii="宋体" w:hAnsi="宋体" w:cs="宋体"/>
          <w:b/>
          <w:bCs/>
          <w:color w:val="auto"/>
          <w:sz w:val="32"/>
          <w:szCs w:val="32"/>
          <w:highlight w:val="none"/>
        </w:rPr>
      </w:pPr>
    </w:p>
    <w:p>
      <w:pPr>
        <w:snapToGrid w:val="0"/>
        <w:spacing w:line="480" w:lineRule="exact"/>
        <w:ind w:firstLine="480"/>
        <w:rPr>
          <w:rFonts w:hint="eastAsia" w:ascii="宋体" w:hAnsi="宋体" w:cs="宋体"/>
          <w:color w:val="auto"/>
          <w:highlight w:val="none"/>
        </w:rPr>
      </w:pPr>
      <w:r>
        <w:rPr>
          <w:rFonts w:hint="eastAsia" w:ascii="宋体" w:hAnsi="宋体" w:cs="宋体"/>
          <w:color w:val="auto"/>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highlight w:val="none"/>
          <w:u w:val="single"/>
        </w:rPr>
        <w:t>（采购人名称）</w:t>
      </w:r>
      <w:r>
        <w:rPr>
          <w:rFonts w:hint="eastAsia" w:ascii="宋体" w:hAnsi="宋体" w:cs="宋体"/>
          <w:color w:val="auto"/>
          <w:highlight w:val="none"/>
        </w:rPr>
        <w:t>单位的</w:t>
      </w:r>
      <w:r>
        <w:rPr>
          <w:rFonts w:hint="eastAsia" w:ascii="宋体" w:hAnsi="宋体" w:cs="宋体"/>
          <w:color w:val="auto"/>
          <w:highlight w:val="none"/>
          <w:u w:val="single"/>
        </w:rPr>
        <w:t>（项目名称）</w:t>
      </w:r>
      <w:r>
        <w:rPr>
          <w:rFonts w:hint="eastAsia" w:ascii="宋体" w:hAnsi="宋体" w:cs="宋体"/>
          <w:color w:val="auto"/>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80" w:lineRule="exact"/>
        <w:ind w:firstLine="480"/>
        <w:rPr>
          <w:rFonts w:hint="eastAsia" w:ascii="宋体" w:hAnsi="宋体" w:cs="宋体"/>
          <w:color w:val="auto"/>
          <w:highlight w:val="none"/>
        </w:rPr>
      </w:pPr>
      <w:r>
        <w:rPr>
          <w:rFonts w:hint="eastAsia" w:ascii="宋体" w:hAnsi="宋体" w:cs="宋体"/>
          <w:color w:val="auto"/>
          <w:highlight w:val="none"/>
        </w:rPr>
        <w:t>本单位对上述声明的真实性负责。如有虚假，将依法承担相应责任。</w:t>
      </w:r>
    </w:p>
    <w:p>
      <w:pPr>
        <w:snapToGrid w:val="0"/>
        <w:spacing w:line="312" w:lineRule="auto"/>
        <w:ind w:firstLine="480"/>
        <w:rPr>
          <w:rFonts w:hint="eastAsia" w:ascii="宋体" w:hAnsi="宋体" w:cs="宋体"/>
          <w:color w:val="auto"/>
          <w:highlight w:val="none"/>
          <w:lang w:val="zh-CN"/>
        </w:rPr>
      </w:pPr>
    </w:p>
    <w:p>
      <w:pPr>
        <w:snapToGrid w:val="0"/>
        <w:spacing w:line="312" w:lineRule="auto"/>
        <w:ind w:firstLine="480"/>
        <w:rPr>
          <w:rFonts w:hint="eastAsia" w:ascii="宋体" w:hAnsi="宋体" w:cs="宋体"/>
          <w:color w:val="auto"/>
          <w:highlight w:val="none"/>
          <w:lang w:val="zh-CN"/>
        </w:rPr>
      </w:pPr>
    </w:p>
    <w:p>
      <w:pPr>
        <w:snapToGrid w:val="0"/>
        <w:spacing w:line="312" w:lineRule="auto"/>
        <w:ind w:firstLine="480"/>
        <w:rPr>
          <w:rFonts w:hint="eastAsia" w:ascii="宋体" w:hAnsi="宋体" w:cs="宋体"/>
          <w:color w:val="auto"/>
          <w:highlight w:val="none"/>
          <w:lang w:val="zh-CN"/>
        </w:rPr>
      </w:pPr>
    </w:p>
    <w:p>
      <w:pPr>
        <w:adjustRightInd w:val="0"/>
        <w:snapToGrid w:val="0"/>
        <w:spacing w:line="360" w:lineRule="auto"/>
        <w:ind w:firstLine="4164" w:firstLineChars="1983"/>
        <w:rPr>
          <w:rFonts w:hint="eastAsia" w:ascii="宋体" w:hAnsi="宋体" w:cs="宋体"/>
          <w:color w:val="auto"/>
          <w:highlight w:val="none"/>
        </w:rPr>
      </w:pPr>
      <w:r>
        <w:rPr>
          <w:rFonts w:hint="eastAsia" w:ascii="宋体" w:hAnsi="宋体" w:cs="宋体"/>
          <w:color w:val="auto"/>
          <w:kern w:val="0"/>
          <w:szCs w:val="21"/>
          <w:highlight w:val="none"/>
        </w:rPr>
        <w:t>供应商</w:t>
      </w:r>
      <w:r>
        <w:rPr>
          <w:rFonts w:hint="eastAsia" w:ascii="宋体" w:hAnsi="宋体" w:cs="宋体"/>
          <w:color w:val="auto"/>
          <w:highlight w:val="none"/>
        </w:rPr>
        <w:t>（盖章）：</w:t>
      </w:r>
    </w:p>
    <w:p>
      <w:pPr>
        <w:adjustRightInd w:val="0"/>
        <w:snapToGrid w:val="0"/>
        <w:spacing w:line="360" w:lineRule="auto"/>
        <w:ind w:firstLine="4164" w:firstLineChars="1983"/>
        <w:rPr>
          <w:rFonts w:hint="eastAsia" w:ascii="宋体" w:hAnsi="宋体" w:cs="宋体"/>
          <w:color w:val="auto"/>
          <w:highlight w:val="none"/>
        </w:rPr>
      </w:pPr>
      <w:r>
        <w:rPr>
          <w:rFonts w:hint="eastAsia" w:ascii="宋体" w:hAnsi="宋体" w:cs="宋体"/>
          <w:color w:val="auto"/>
          <w:highlight w:val="none"/>
        </w:rPr>
        <w:t>日  期：</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widowControl/>
        <w:snapToGrid w:val="0"/>
        <w:spacing w:line="480" w:lineRule="exact"/>
        <w:ind w:firstLine="480"/>
        <w:rPr>
          <w:rFonts w:ascii="华文中宋" w:hAnsi="华文中宋" w:eastAsia="华文中宋" w:cs="宋体"/>
          <w:color w:val="auto"/>
          <w:highlight w:val="none"/>
        </w:rPr>
      </w:pPr>
      <w:r>
        <w:rPr>
          <w:rFonts w:hint="eastAsia" w:ascii="华文中宋" w:hAnsi="华文中宋" w:eastAsia="华文中宋" w:cs="宋体"/>
          <w:color w:val="auto"/>
          <w:highlight w:val="none"/>
        </w:rPr>
        <w:t>供应商为残疾人福利性单位的提供此函。</w:t>
      </w:r>
    </w:p>
    <w:p>
      <w:pPr>
        <w:widowControl/>
        <w:snapToGrid w:val="0"/>
        <w:spacing w:line="480" w:lineRule="exact"/>
        <w:ind w:firstLine="480"/>
        <w:jc w:val="left"/>
        <w:rPr>
          <w:rFonts w:hint="eastAsia" w:ascii="华文中宋" w:hAnsi="华文中宋" w:eastAsia="华文中宋" w:cs="宋体"/>
          <w:color w:val="auto"/>
          <w:highlight w:val="none"/>
        </w:rPr>
      </w:pPr>
      <w:r>
        <w:rPr>
          <w:rFonts w:hint="eastAsia" w:ascii="华文中宋" w:hAnsi="华文中宋" w:eastAsia="华文中宋" w:cs="宋体"/>
          <w:color w:val="auto"/>
          <w:highlight w:val="none"/>
        </w:rPr>
        <w:t>备注：中标供应商为残疾人福利性单位的，应当随中标结果同时公告其《残疾人福利性单位声明函》，接受社会监督。</w:t>
      </w:r>
      <w:bookmarkEnd w:id="77"/>
      <w:bookmarkEnd w:id="78"/>
      <w:bookmarkEnd w:id="79"/>
      <w:bookmarkEnd w:id="80"/>
    </w:p>
    <w:p>
      <w:pPr>
        <w:widowControl/>
        <w:snapToGrid w:val="0"/>
        <w:spacing w:line="480" w:lineRule="exact"/>
        <w:ind w:firstLine="480"/>
        <w:jc w:val="center"/>
        <w:rPr>
          <w:rFonts w:hint="eastAsia" w:ascii="宋体" w:hAnsi="宋体" w:cs="宋体"/>
          <w:color w:val="auto"/>
          <w:sz w:val="36"/>
          <w:szCs w:val="36"/>
          <w:highlight w:val="none"/>
        </w:rPr>
      </w:pPr>
      <w:r>
        <w:rPr>
          <w:rFonts w:hint="eastAsia" w:ascii="华文中宋" w:hAnsi="华文中宋" w:eastAsia="华文中宋" w:cs="宋体"/>
          <w:color w:val="auto"/>
          <w:highlight w:val="none"/>
        </w:rPr>
        <w:br w:type="page"/>
      </w:r>
      <w:r>
        <w:rPr>
          <w:rFonts w:hint="eastAsia" w:ascii="宋体" w:hAnsi="宋体" w:cs="宋体"/>
          <w:color w:val="auto"/>
          <w:sz w:val="36"/>
          <w:szCs w:val="36"/>
          <w:highlight w:val="none"/>
        </w:rPr>
        <w:t>第六章 采购需求</w:t>
      </w:r>
      <w:bookmarkEnd w:id="81"/>
    </w:p>
    <w:bookmarkEnd w:id="82"/>
    <w:bookmarkEnd w:id="83"/>
    <w:bookmarkEnd w:id="84"/>
    <w:bookmarkEnd w:id="85"/>
    <w:p>
      <w:pPr>
        <w:pStyle w:val="213"/>
        <w:snapToGrid w:val="0"/>
        <w:spacing w:line="360" w:lineRule="auto"/>
        <w:ind w:firstLine="482"/>
        <w:outlineLvl w:val="1"/>
        <w:rPr>
          <w:rFonts w:hint="eastAsia" w:ascii="宋体" w:hAnsi="宋体" w:eastAsia="宋体" w:cs="宋体"/>
          <w:b/>
          <w:bCs/>
          <w:color w:val="auto"/>
          <w:highlight w:val="none"/>
        </w:rPr>
      </w:pPr>
      <w:bookmarkStart w:id="86" w:name="_Toc13296"/>
      <w:bookmarkStart w:id="87" w:name="OLE_LINK6"/>
      <w:bookmarkStart w:id="88" w:name="_Toc470431981"/>
      <w:r>
        <w:rPr>
          <w:rFonts w:hint="eastAsia" w:ascii="宋体" w:hAnsi="宋体" w:eastAsia="宋体" w:cs="宋体"/>
          <w:b/>
          <w:bCs/>
          <w:color w:val="auto"/>
          <w:highlight w:val="none"/>
        </w:rPr>
        <w:t>一、</w:t>
      </w:r>
      <w:bookmarkEnd w:id="86"/>
      <w:r>
        <w:rPr>
          <w:rFonts w:hint="eastAsia" w:ascii="宋体" w:hAnsi="宋体" w:eastAsia="宋体" w:cs="宋体"/>
          <w:b/>
          <w:bCs/>
          <w:color w:val="auto"/>
          <w:highlight w:val="none"/>
        </w:rPr>
        <w:t>采购内容</w:t>
      </w:r>
    </w:p>
    <w:p>
      <w:pPr>
        <w:spacing w:line="460" w:lineRule="exact"/>
        <w:ind w:firstLine="480" w:firstLineChars="200"/>
        <w:outlineLvl w:val="0"/>
        <w:rPr>
          <w:rFonts w:hint="eastAsia" w:ascii="宋体" w:hAnsi="宋体" w:eastAsia="宋体" w:cs="宋体"/>
          <w:color w:val="auto"/>
          <w:kern w:val="0"/>
          <w:sz w:val="24"/>
          <w:szCs w:val="24"/>
          <w:highlight w:val="none"/>
          <w:lang w:val="en-US" w:eastAsia="zh-CN" w:bidi="ar-SA"/>
        </w:rPr>
      </w:pPr>
      <w:bookmarkStart w:id="89" w:name="_Toc8945"/>
      <w:r>
        <w:rPr>
          <w:rFonts w:hint="eastAsia" w:ascii="宋体" w:hAnsi="宋体" w:eastAsia="宋体" w:cs="宋体"/>
          <w:color w:val="auto"/>
          <w:kern w:val="0"/>
          <w:sz w:val="24"/>
          <w:szCs w:val="24"/>
          <w:highlight w:val="none"/>
          <w:lang w:val="en-US" w:eastAsia="zh-CN" w:bidi="ar-SA"/>
        </w:rPr>
        <w:t xml:space="preserve">根据衢州市自然资源和规划局《关于加快现状耕地实地调查工作提示函》文件要求，在结合2024年变更调查一上数据、第三次国土调查等成果基础上，全面梳理耕地特别是永久基本农田现状种植的类型、面积、分布情况，并按要求填报调查表格，上图入库，建立耕地现状利用信息数据库。 </w:t>
      </w:r>
    </w:p>
    <w:p>
      <w:pPr>
        <w:pStyle w:val="213"/>
        <w:snapToGrid w:val="0"/>
        <w:spacing w:line="360" w:lineRule="auto"/>
        <w:ind w:firstLine="482"/>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二、主要工作内容</w:t>
      </w:r>
      <w:bookmarkEnd w:id="89"/>
    </w:p>
    <w:bookmarkEnd w:id="87"/>
    <w:p>
      <w:pPr>
        <w:numPr>
          <w:ilvl w:val="0"/>
          <w:numId w:val="0"/>
        </w:numPr>
        <w:spacing w:line="460" w:lineRule="exact"/>
        <w:ind w:left="0" w:leftChars="0" w:firstLine="480" w:firstLineChars="200"/>
        <w:jc w:val="left"/>
        <w:outlineLvl w:val="1"/>
        <w:rPr>
          <w:rFonts w:hint="eastAsia" w:ascii="宋体" w:hAnsi="宋体" w:eastAsia="宋体" w:cs="宋体"/>
          <w:color w:val="auto"/>
          <w:kern w:val="0"/>
          <w:sz w:val="24"/>
          <w:szCs w:val="24"/>
          <w:highlight w:val="none"/>
          <w:lang w:val="en-US" w:eastAsia="zh-CN" w:bidi="ar-SA"/>
        </w:rPr>
      </w:pPr>
      <w:bookmarkStart w:id="90" w:name="_Toc564"/>
      <w:r>
        <w:rPr>
          <w:rFonts w:hint="default"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szCs w:val="24"/>
          <w:highlight w:val="none"/>
          <w:lang w:val="en-US" w:eastAsia="zh-CN" w:bidi="ar-SA"/>
        </w:rPr>
        <w:t>1．对县内耕地“非农化”“非粮化”典型区域进行无人机航拍，要求正射影像（2000国家大地坐标系，3度分带，带号40，高清影像地面分辨率应优于0.2米，能够肉眼清晰判断现状种植情况。</w:t>
      </w:r>
    </w:p>
    <w:p>
      <w:pPr>
        <w:numPr>
          <w:ilvl w:val="0"/>
          <w:numId w:val="0"/>
        </w:numPr>
        <w:spacing w:line="460" w:lineRule="exact"/>
        <w:ind w:left="0" w:leftChars="0" w:firstLine="480" w:firstLineChars="200"/>
        <w:jc w:val="left"/>
        <w:outlineLvl w:val="1"/>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highlight w:val="none"/>
          <w:lang w:val="en-US" w:eastAsia="zh-CN" w:bidi="ar-SA"/>
        </w:rPr>
        <w:t>“非农化”“非粮化”图斑的提取、核实。依据最新影像和2024年变更调查一上成果，对耕地“非农化”“非粮化”情况进行全面梳理，逐图斑、逐地块摸清种植利用情况，形成耕地“非农化”“非粮化”图斑数据层。对难以判别的图斑开展实地核查举证。</w:t>
      </w:r>
    </w:p>
    <w:p>
      <w:pPr>
        <w:numPr>
          <w:ilvl w:val="0"/>
          <w:numId w:val="0"/>
        </w:numPr>
        <w:spacing w:line="460" w:lineRule="exact"/>
        <w:ind w:left="0" w:leftChars="0" w:firstLine="480" w:firstLineChars="200"/>
        <w:jc w:val="left"/>
        <w:outlineLvl w:val="1"/>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lang w:val="en-US" w:eastAsia="zh-CN" w:bidi="ar-SA"/>
        </w:rPr>
        <w:t>3．</w:t>
      </w:r>
      <w:r>
        <w:rPr>
          <w:rFonts w:hint="eastAsia" w:ascii="宋体" w:hAnsi="宋体" w:eastAsia="宋体" w:cs="宋体"/>
          <w:color w:val="auto"/>
          <w:kern w:val="0"/>
          <w:sz w:val="24"/>
          <w:szCs w:val="24"/>
          <w:highlight w:val="none"/>
          <w:lang w:val="en-US" w:eastAsia="zh-CN" w:bidi="ar-SA"/>
        </w:rPr>
        <w:t>建立数据库。根据调查摸排情况，按市局数据模版要求，建立耕地利用信息数据库，真实准确反映耕地现状和利用变化情况。</w:t>
      </w:r>
    </w:p>
    <w:p>
      <w:pPr>
        <w:numPr>
          <w:ilvl w:val="0"/>
          <w:numId w:val="0"/>
        </w:numPr>
        <w:spacing w:line="460" w:lineRule="exact"/>
        <w:ind w:left="0" w:leftChars="0" w:firstLine="480" w:firstLineChars="200"/>
        <w:jc w:val="left"/>
        <w:outlineLvl w:val="1"/>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lang w:val="en-US" w:eastAsia="zh-CN" w:bidi="ar-SA"/>
        </w:rPr>
        <w:t>4．</w:t>
      </w:r>
      <w:r>
        <w:rPr>
          <w:rFonts w:hint="eastAsia" w:ascii="宋体" w:hAnsi="宋体" w:eastAsia="宋体" w:cs="宋体"/>
          <w:color w:val="auto"/>
          <w:kern w:val="0"/>
          <w:sz w:val="24"/>
          <w:szCs w:val="24"/>
          <w:highlight w:val="none"/>
          <w:lang w:val="en-US" w:eastAsia="zh-CN" w:bidi="ar-SA"/>
        </w:rPr>
        <w:t>完成数据库检查汇交。对龙游县耕地利用信息数据库开展数据质检，确保数据库符合相关要求，类型、面积、位置以及管理信息完整准确。对通过数据质检的龙游县耕地利用信息数据库，及时提交市级审核，确保按时完成数据库上报。</w:t>
      </w:r>
    </w:p>
    <w:p>
      <w:pPr>
        <w:numPr>
          <w:ilvl w:val="0"/>
          <w:numId w:val="0"/>
        </w:numPr>
        <w:snapToGrid w:val="0"/>
        <w:spacing w:line="480" w:lineRule="exact"/>
        <w:ind w:firstLine="480" w:firstLineChars="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三、标准规范</w:t>
      </w:r>
    </w:p>
    <w:p>
      <w:pPr>
        <w:spacing w:line="46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（1）《永久基本农田数据库标准》；</w:t>
      </w:r>
    </w:p>
    <w:p>
      <w:pPr>
        <w:spacing w:line="46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（2）《土地利用现状分类》（GB/T21010-2017）；</w:t>
      </w:r>
    </w:p>
    <w:p>
      <w:pPr>
        <w:spacing w:line="460" w:lineRule="exact"/>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（3）《国土调查数据库标准（试行）》 国土资源部；</w:t>
      </w:r>
    </w:p>
    <w:p>
      <w:pPr>
        <w:spacing w:line="460" w:lineRule="exact"/>
        <w:ind w:firstLine="480" w:firstLineChars="200"/>
        <w:jc w:val="left"/>
        <w:outlineLvl w:val="1"/>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（4）《永久基本农田质量检查细则》（ 2019版）</w:t>
      </w:r>
    </w:p>
    <w:p>
      <w:pPr>
        <w:spacing w:line="460" w:lineRule="exact"/>
        <w:ind w:firstLine="480" w:firstLineChars="200"/>
        <w:jc w:val="left"/>
        <w:outlineLvl w:val="1"/>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（5）《永久基本农田数据库成果汇交要求》 （2019版）</w:t>
      </w:r>
    </w:p>
    <w:p>
      <w:pPr>
        <w:spacing w:line="460" w:lineRule="exact"/>
        <w:ind w:firstLine="480" w:firstLineChars="200"/>
        <w:jc w:val="left"/>
        <w:outlineLvl w:val="1"/>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（6）《第三次全国国土调查技术规程》</w:t>
      </w:r>
    </w:p>
    <w:p>
      <w:pPr>
        <w:spacing w:line="460" w:lineRule="exact"/>
        <w:ind w:firstLine="480" w:firstLineChars="200"/>
        <w:jc w:val="left"/>
        <w:outlineLvl w:val="1"/>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坐标系统采用2000坐标系，中央子午线为120度，3度带高斯正形投影。高程系统为1985国家高程基准。</w:t>
      </w:r>
    </w:p>
    <w:p>
      <w:pPr>
        <w:pStyle w:val="213"/>
        <w:snapToGrid w:val="0"/>
        <w:spacing w:line="360" w:lineRule="auto"/>
        <w:ind w:firstLine="482"/>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四、主要成果要求</w:t>
      </w:r>
      <w:bookmarkEnd w:id="90"/>
    </w:p>
    <w:p>
      <w:pPr>
        <w:pStyle w:val="213"/>
        <w:snapToGrid w:val="0"/>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按照文件要求，成果主要包括矢量数据库成果、文本成果、表格成果以及相关举证材料。</w:t>
      </w:r>
    </w:p>
    <w:p>
      <w:pPr>
        <w:pStyle w:val="213"/>
        <w:snapToGrid w:val="0"/>
        <w:spacing w:line="360" w:lineRule="auto"/>
        <w:ind w:firstLine="482"/>
        <w:outlineLvl w:val="1"/>
        <w:rPr>
          <w:rFonts w:hint="eastAsia" w:ascii="宋体" w:hAnsi="宋体" w:eastAsia="宋体" w:cs="宋体"/>
          <w:b/>
          <w:bCs/>
          <w:color w:val="auto"/>
          <w:highlight w:val="none"/>
        </w:rPr>
      </w:pPr>
      <w:bookmarkStart w:id="91" w:name="_Toc13273"/>
      <w:r>
        <w:rPr>
          <w:rFonts w:hint="eastAsia" w:ascii="宋体" w:hAnsi="宋体" w:eastAsia="宋体" w:cs="宋体"/>
          <w:b/>
          <w:bCs/>
          <w:color w:val="auto"/>
          <w:highlight w:val="none"/>
        </w:rPr>
        <w:t>五、时间进度要求</w:t>
      </w:r>
      <w:bookmarkEnd w:id="91"/>
    </w:p>
    <w:p>
      <w:pPr>
        <w:pStyle w:val="213"/>
        <w:snapToGrid w:val="0"/>
        <w:spacing w:line="360" w:lineRule="auto"/>
        <w:ind w:firstLine="482"/>
        <w:rPr>
          <w:rFonts w:hint="eastAsia" w:ascii="宋体" w:hAnsi="宋体" w:eastAsia="宋体" w:cs="宋体"/>
          <w:color w:val="auto"/>
          <w:highlight w:val="none"/>
        </w:rPr>
      </w:pPr>
      <w:bookmarkStart w:id="92" w:name="_Toc16895"/>
      <w:r>
        <w:rPr>
          <w:rFonts w:hint="eastAsia" w:ascii="宋体" w:hAnsi="宋体" w:eastAsia="宋体" w:cs="宋体"/>
          <w:color w:val="auto"/>
          <w:highlight w:val="none"/>
        </w:rPr>
        <w:t>按《关于加快现状耕地实地调查工作提示函》规定时限及衢州市自然资源和规划局要求上报数据成果。</w:t>
      </w:r>
    </w:p>
    <w:p>
      <w:pPr>
        <w:pStyle w:val="213"/>
        <w:snapToGrid w:val="0"/>
        <w:spacing w:line="360" w:lineRule="auto"/>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六</w:t>
      </w:r>
      <w:r>
        <w:rPr>
          <w:rFonts w:hint="eastAsia" w:ascii="宋体" w:hAnsi="宋体" w:eastAsia="宋体" w:cs="宋体"/>
          <w:b/>
          <w:bCs/>
          <w:color w:val="auto"/>
          <w:highlight w:val="none"/>
        </w:rPr>
        <w:t>、付款条件和方</w:t>
      </w:r>
      <w:bookmarkEnd w:id="92"/>
      <w:r>
        <w:rPr>
          <w:rFonts w:hint="eastAsia" w:ascii="宋体" w:hAnsi="宋体" w:eastAsia="宋体" w:cs="宋体"/>
          <w:b/>
          <w:bCs/>
          <w:color w:val="auto"/>
          <w:highlight w:val="none"/>
        </w:rPr>
        <w:t>式</w:t>
      </w:r>
    </w:p>
    <w:p>
      <w:pPr>
        <w:pStyle w:val="213"/>
        <w:keepNext w:val="0"/>
        <w:keepLines w:val="0"/>
        <w:pageBreakBefore w:val="0"/>
        <w:widowControl w:val="0"/>
        <w:kinsoku/>
        <w:wordWrap/>
        <w:overflowPunct/>
        <w:topLinePunct w:val="0"/>
        <w:bidi w:val="0"/>
        <w:snapToGrid w:val="0"/>
        <w:spacing w:line="360" w:lineRule="auto"/>
        <w:ind w:firstLine="329"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 合同签订后支付合同总价的40%；</w:t>
      </w:r>
    </w:p>
    <w:p>
      <w:pPr>
        <w:keepNext w:val="0"/>
        <w:keepLines w:val="0"/>
        <w:pageBreakBefore w:val="0"/>
        <w:widowControl w:val="0"/>
        <w:kinsoku/>
        <w:wordWrap/>
        <w:overflowPunct/>
        <w:topLinePunct w:val="0"/>
        <w:bidi w:val="0"/>
        <w:spacing w:line="460" w:lineRule="exact"/>
        <w:ind w:firstLine="329" w:firstLineChars="0"/>
        <w:jc w:val="left"/>
        <w:textAlignment w:val="auto"/>
        <w:rPr>
          <w:rFonts w:ascii="宋体" w:hAnsi="宋体" w:eastAsia="宋体" w:cs="微软雅黑"/>
          <w:sz w:val="24"/>
          <w:szCs w:val="24"/>
        </w:rPr>
      </w:pPr>
      <w:r>
        <w:rPr>
          <w:rFonts w:hint="eastAsia" w:ascii="宋体" w:hAnsi="宋体" w:eastAsia="宋体" w:cs="宋体"/>
          <w:color w:val="auto"/>
          <w:kern w:val="0"/>
          <w:sz w:val="24"/>
          <w:szCs w:val="24"/>
          <w:highlight w:val="none"/>
          <w:lang w:val="en-US" w:eastAsia="zh-CN" w:bidi="ar-SA"/>
        </w:rPr>
        <w:t>2. 全部成果通过市自然资源主管部门认可后，支付合同总价的60%，具体以龙游县自然资源和规划局支付时间为准</w:t>
      </w:r>
      <w:r>
        <w:rPr>
          <w:rFonts w:hint="eastAsia" w:ascii="宋体" w:hAnsi="宋体" w:eastAsia="宋体" w:cs="微软雅黑"/>
          <w:sz w:val="24"/>
          <w:szCs w:val="24"/>
        </w:rPr>
        <w:t>。</w:t>
      </w:r>
    </w:p>
    <w:bookmarkEnd w:id="88"/>
    <w:p>
      <w:pPr>
        <w:pStyle w:val="4"/>
        <w:ind w:left="420"/>
        <w:rPr>
          <w:rFonts w:hint="eastAsia" w:ascii="宋体" w:hAnsi="宋体" w:cs="宋体"/>
          <w:color w:val="auto"/>
          <w:highlight w:val="none"/>
        </w:rPr>
      </w:pPr>
      <w:bookmarkStart w:id="93" w:name="_Toc5398"/>
      <w:bookmarkStart w:id="94" w:name="_Toc5324"/>
      <w:r>
        <w:rPr>
          <w:rFonts w:hint="eastAsia" w:ascii="宋体" w:hAnsi="宋体" w:cs="宋体"/>
          <w:color w:val="auto"/>
          <w:highlight w:val="none"/>
        </w:rPr>
        <w:br w:type="page"/>
      </w:r>
      <w:bookmarkStart w:id="95" w:name="_Toc28485"/>
      <w:r>
        <w:rPr>
          <w:rFonts w:hint="eastAsia" w:ascii="宋体" w:hAnsi="宋体" w:cs="宋体"/>
          <w:color w:val="auto"/>
          <w:highlight w:val="none"/>
        </w:rPr>
        <w:t>第七章 评标办法</w:t>
      </w:r>
      <w:bookmarkEnd w:id="93"/>
      <w:bookmarkEnd w:id="94"/>
      <w:bookmarkEnd w:id="95"/>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本评标办法遵照《中华人民共和国政府采购法》、《中华人民共和国政府采购法实施条例》、《政府采购货物和服务招标投标管理办法》等法律法规的有关规定，并结合本项目的具体情况制定。</w:t>
      </w:r>
    </w:p>
    <w:p>
      <w:pPr>
        <w:pStyle w:val="5"/>
        <w:ind w:firstLine="422"/>
        <w:rPr>
          <w:rFonts w:hint="eastAsia" w:ascii="宋体" w:hAnsi="宋体" w:cs="宋体"/>
          <w:snapToGrid w:val="0"/>
          <w:color w:val="auto"/>
          <w:kern w:val="0"/>
          <w:szCs w:val="21"/>
          <w:highlight w:val="none"/>
        </w:rPr>
      </w:pPr>
      <w:bookmarkStart w:id="96" w:name="_Toc520323191"/>
      <w:bookmarkStart w:id="97" w:name="_Toc30538"/>
      <w:bookmarkStart w:id="98" w:name="_Toc470431982"/>
      <w:r>
        <w:rPr>
          <w:rFonts w:hint="eastAsia" w:ascii="宋体" w:hAnsi="宋体" w:cs="宋体"/>
          <w:snapToGrid w:val="0"/>
          <w:color w:val="auto"/>
          <w:kern w:val="0"/>
          <w:szCs w:val="21"/>
          <w:highlight w:val="none"/>
        </w:rPr>
        <w:t>一、总则</w:t>
      </w:r>
      <w:bookmarkEnd w:id="96"/>
      <w:bookmarkEnd w:id="97"/>
      <w:bookmarkEnd w:id="98"/>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工作遵循公开、公正、公平、择优和诚实信用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对落标人，评标委员会不作任何落标解释。</w:t>
      </w:r>
    </w:p>
    <w:p>
      <w:pPr>
        <w:pStyle w:val="5"/>
        <w:ind w:firstLine="422"/>
        <w:rPr>
          <w:rFonts w:hint="eastAsia" w:ascii="宋体" w:hAnsi="宋体" w:cs="宋体"/>
          <w:snapToGrid w:val="0"/>
          <w:color w:val="auto"/>
          <w:kern w:val="0"/>
          <w:szCs w:val="21"/>
          <w:highlight w:val="none"/>
        </w:rPr>
      </w:pPr>
      <w:bookmarkStart w:id="99" w:name="_Toc470431983"/>
      <w:bookmarkStart w:id="100" w:name="_Toc27732"/>
      <w:bookmarkStart w:id="101" w:name="_Toc520323192"/>
      <w:r>
        <w:rPr>
          <w:rFonts w:hint="eastAsia" w:ascii="宋体" w:hAnsi="宋体" w:cs="宋体"/>
          <w:snapToGrid w:val="0"/>
          <w:color w:val="auto"/>
          <w:kern w:val="0"/>
          <w:szCs w:val="21"/>
          <w:highlight w:val="none"/>
        </w:rPr>
        <w:t>二、评标组织</w:t>
      </w:r>
      <w:bookmarkEnd w:id="99"/>
      <w:bookmarkEnd w:id="100"/>
      <w:bookmarkEnd w:id="101"/>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评标工作由采购采购单位依法组建的评标委员会负责。评标委员会负责审标、询标、评审等工作，并向采购人提出评审意见和评标报告。</w:t>
      </w:r>
    </w:p>
    <w:p>
      <w:pPr>
        <w:pStyle w:val="5"/>
        <w:ind w:firstLine="422"/>
        <w:rPr>
          <w:rFonts w:hint="eastAsia" w:ascii="宋体" w:hAnsi="宋体" w:cs="宋体"/>
          <w:snapToGrid w:val="0"/>
          <w:color w:val="auto"/>
          <w:kern w:val="0"/>
          <w:szCs w:val="21"/>
          <w:highlight w:val="none"/>
        </w:rPr>
      </w:pPr>
      <w:bookmarkStart w:id="102" w:name="_Toc2354"/>
      <w:bookmarkStart w:id="103" w:name="_Toc470431984"/>
      <w:bookmarkStart w:id="104" w:name="_Toc520323193"/>
      <w:r>
        <w:rPr>
          <w:rFonts w:hint="eastAsia" w:ascii="宋体" w:hAnsi="宋体" w:cs="宋体"/>
          <w:snapToGrid w:val="0"/>
          <w:color w:val="auto"/>
          <w:kern w:val="0"/>
          <w:szCs w:val="21"/>
          <w:highlight w:val="none"/>
        </w:rPr>
        <w:t>三、评标程序</w:t>
      </w:r>
      <w:bookmarkEnd w:id="102"/>
      <w:bookmarkEnd w:id="103"/>
      <w:bookmarkEnd w:id="104"/>
      <w:r>
        <w:rPr>
          <w:rFonts w:hint="eastAsia" w:ascii="宋体" w:hAnsi="宋体" w:cs="宋体"/>
          <w:snapToGrid w:val="0"/>
          <w:color w:val="auto"/>
          <w:kern w:val="0"/>
          <w:szCs w:val="21"/>
          <w:highlight w:val="none"/>
        </w:rPr>
        <w:tab/>
      </w:r>
    </w:p>
    <w:p>
      <w:pPr>
        <w:pStyle w:val="16"/>
        <w:adjustRightInd w:val="0"/>
        <w:snapToGrid w:val="0"/>
        <w:spacing w:line="360" w:lineRule="auto"/>
        <w:ind w:firstLine="422"/>
        <w:rPr>
          <w:rFonts w:hint="eastAsia" w:ascii="宋体" w:hAnsi="宋体" w:cs="宋体"/>
          <w:b/>
          <w:bCs/>
          <w:color w:val="auto"/>
          <w:szCs w:val="21"/>
          <w:highlight w:val="none"/>
        </w:rPr>
      </w:pPr>
      <w:bookmarkStart w:id="105" w:name="_Toc520323194"/>
      <w:bookmarkStart w:id="106" w:name="_Toc470431985"/>
      <w:r>
        <w:rPr>
          <w:rFonts w:hint="eastAsia" w:ascii="宋体" w:hAnsi="宋体" w:cs="宋体"/>
          <w:b/>
          <w:bCs/>
          <w:color w:val="auto"/>
          <w:szCs w:val="21"/>
          <w:highlight w:val="none"/>
        </w:rPr>
        <w:t>本次评审，采用两阶段开评标，商务技术文件和报价文件分别开启，评标程序如下：</w:t>
      </w:r>
    </w:p>
    <w:p>
      <w:pPr>
        <w:pStyle w:val="16"/>
        <w:adjustRightInd w:val="0"/>
        <w:snapToGrid w:val="0"/>
        <w:spacing w:line="360" w:lineRule="auto"/>
        <w:ind w:firstLine="422"/>
        <w:rPr>
          <w:rFonts w:hint="eastAsia" w:ascii="宋体" w:hAnsi="宋体" w:cs="宋体"/>
          <w:b/>
          <w:bCs/>
          <w:color w:val="auto"/>
          <w:szCs w:val="21"/>
          <w:highlight w:val="none"/>
        </w:rPr>
      </w:pPr>
      <w:r>
        <w:rPr>
          <w:rFonts w:hint="eastAsia" w:ascii="宋体" w:hAnsi="宋体" w:cs="宋体"/>
          <w:b/>
          <w:bCs/>
          <w:color w:val="auto"/>
          <w:szCs w:val="21"/>
          <w:highlight w:val="none"/>
        </w:rPr>
        <w:t>第一阶段：</w:t>
      </w:r>
    </w:p>
    <w:p>
      <w:pPr>
        <w:pStyle w:val="16"/>
        <w:adjustRightInd w:val="0"/>
        <w:snapToGrid w:val="0"/>
        <w:spacing w:line="360" w:lineRule="auto"/>
        <w:rPr>
          <w:rFonts w:hint="eastAsia" w:ascii="宋体" w:hAnsi="宋体" w:cs="宋体"/>
          <w:color w:val="auto"/>
          <w:highlight w:val="none"/>
        </w:rPr>
      </w:pPr>
      <w:r>
        <w:rPr>
          <w:rFonts w:hint="eastAsia" w:ascii="宋体" w:hAnsi="宋体" w:cs="宋体"/>
          <w:color w:val="auto"/>
          <w:szCs w:val="21"/>
          <w:highlight w:val="none"/>
        </w:rPr>
        <w:t>第一步：采购代理机构</w:t>
      </w:r>
      <w:r>
        <w:rPr>
          <w:rFonts w:hint="eastAsia" w:ascii="宋体" w:hAnsi="宋体" w:cs="宋体"/>
          <w:color w:val="auto"/>
          <w:highlight w:val="none"/>
        </w:rPr>
        <w:t xml:space="preserve">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                    </w:t>
      </w:r>
    </w:p>
    <w:p>
      <w:pPr>
        <w:pStyle w:val="16"/>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第二步</w:t>
      </w:r>
      <w:r>
        <w:rPr>
          <w:rFonts w:hint="eastAsia" w:ascii="宋体" w:hAnsi="宋体" w:cs="宋体"/>
          <w:color w:val="auto"/>
          <w:highlight w:val="none"/>
        </w:rPr>
        <w:t>：投标文件解密结束，通过邮件形式发送各投标人组织签署《政府采购活动现场确认声明书》</w:t>
      </w:r>
    </w:p>
    <w:p>
      <w:pPr>
        <w:pStyle w:val="164"/>
        <w:spacing w:line="360" w:lineRule="auto"/>
        <w:ind w:firstLine="420"/>
        <w:rPr>
          <w:rFonts w:hint="eastAsia" w:ascii="宋体" w:hAnsi="宋体" w:cs="宋体"/>
          <w:color w:val="auto"/>
          <w:highlight w:val="none"/>
        </w:rPr>
      </w:pPr>
      <w:r>
        <w:rPr>
          <w:rFonts w:hint="eastAsia" w:ascii="宋体" w:hAnsi="宋体" w:cs="宋体"/>
          <w:color w:val="auto"/>
          <w:szCs w:val="21"/>
          <w:highlight w:val="none"/>
        </w:rPr>
        <w:t>第三步：</w:t>
      </w:r>
      <w:r>
        <w:rPr>
          <w:rFonts w:hint="eastAsia" w:ascii="宋体" w:hAnsi="宋体" w:cs="宋体"/>
          <w:color w:val="auto"/>
          <w:highlight w:val="none"/>
        </w:rPr>
        <w:t>开启投标文件，进入资格审查开启资格审查证明文件、商务技术文件，采购人或采购代理机构对投标人所提供的资格审查材料仅负审核的责任。如发现投标人所提供的资格审查材料不合法或不真实，采购人可取消中标资格并追究投标人的法律责任，通过的投标供应商的商务技术文件进入符合性审查、商务技术评审；评标委员会根据评审原则和评审办法，对各投标人的商务技术文件进行符合性评审和综合打分评审，其中商务技术文件符合性评审不合格的投标文件做无效标处理，不再进入报价文件评审。第一阶段开标结束。</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第二阶段开标</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第四步：符合性审查、商务技术评审结束后，举行开标会第二阶段会议。首先通过发送邮件形式公布符合性审查、商务技术评审无效供应商名称及理由；公布经商务技术评审后有效投标供应商的名单，同时公布其商务技术部分得分情况。</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第五步：开启符合性审查、商务技术评审有效投标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第六步：评标委员会以商务技术文件和报价文件合计分值由高到低的顺序依次推荐得分第一名的为第一中标候选单位，推荐得分第二名的为第二中标候选单位，并提交书面评标报告。合计分值相同时以报价低者为先，合计分值和报价均相同时以商务技术部分得分高的为先，合计分值、报价和商务技术部分得分均相同时由评标委员会全体成员记名投票按少数服从多数的原则（不得弃权）确定中标候选顺序。</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第七部：评审结束后，通过发送邮件形式公布中标（成交）候选供应商名单，及采购人最终确定中标或成交供应商名单的时间和公告方式等。</w:t>
      </w:r>
    </w:p>
    <w:p>
      <w:pPr>
        <w:pStyle w:val="164"/>
        <w:spacing w:line="360" w:lineRule="auto"/>
        <w:ind w:firstLine="420"/>
        <w:rPr>
          <w:rFonts w:hint="eastAsia" w:ascii="宋体" w:hAnsi="宋体" w:cs="宋体"/>
          <w:color w:val="auto"/>
          <w:highlight w:val="none"/>
        </w:rPr>
      </w:pPr>
      <w:r>
        <w:rPr>
          <w:rFonts w:hint="eastAsia" w:ascii="宋体" w:hAnsi="宋体" w:cs="宋体"/>
          <w:color w:val="auto"/>
          <w:highlight w:val="none"/>
        </w:rPr>
        <w:t>特别说明：如遇“政府采购云平台”电子化开标或评审程序调整的，按调整后程序执行。</w:t>
      </w:r>
    </w:p>
    <w:bookmarkEnd w:id="105"/>
    <w:bookmarkEnd w:id="106"/>
    <w:p>
      <w:pPr>
        <w:pStyle w:val="5"/>
        <w:numPr>
          <w:ilvl w:val="0"/>
          <w:numId w:val="8"/>
        </w:numPr>
        <w:ind w:firstLine="422"/>
        <w:rPr>
          <w:rFonts w:hint="eastAsia" w:ascii="宋体" w:hAnsi="宋体"/>
          <w:color w:val="auto"/>
          <w:szCs w:val="21"/>
          <w:highlight w:val="none"/>
        </w:rPr>
      </w:pPr>
      <w:bookmarkStart w:id="107" w:name="_Toc4568"/>
      <w:r>
        <w:rPr>
          <w:rFonts w:hint="eastAsia" w:ascii="宋体" w:hAnsi="宋体" w:cs="宋体"/>
          <w:snapToGrid w:val="0"/>
          <w:color w:val="auto"/>
          <w:kern w:val="0"/>
          <w:szCs w:val="21"/>
          <w:highlight w:val="none"/>
        </w:rPr>
        <w:t>评标细则</w:t>
      </w:r>
      <w:bookmarkEnd w:id="107"/>
    </w:p>
    <w:p>
      <w:pPr>
        <w:snapToGrid w:val="0"/>
        <w:rPr>
          <w:rFonts w:hint="eastAsia" w:ascii="宋体" w:hAnsi="宋体" w:cs="Arial"/>
          <w:b/>
          <w:bCs/>
          <w:color w:val="auto"/>
          <w:szCs w:val="21"/>
          <w:highlight w:val="none"/>
        </w:rPr>
      </w:pPr>
      <w:r>
        <w:rPr>
          <w:rFonts w:hint="eastAsia" w:ascii="宋体" w:hAnsi="宋体" w:cs="Arial"/>
          <w:b/>
          <w:bCs/>
          <w:color w:val="auto"/>
          <w:szCs w:val="21"/>
          <w:highlight w:val="none"/>
        </w:rPr>
        <w:t>（一）商务资信部分 （2</w:t>
      </w:r>
      <w:r>
        <w:rPr>
          <w:rFonts w:hint="eastAsia" w:ascii="宋体" w:hAnsi="宋体" w:cs="Arial"/>
          <w:b/>
          <w:bCs/>
          <w:color w:val="auto"/>
          <w:szCs w:val="21"/>
          <w:highlight w:val="none"/>
          <w:lang w:val="en-US" w:eastAsia="zh-CN"/>
        </w:rPr>
        <w:t>3</w:t>
      </w:r>
      <w:r>
        <w:rPr>
          <w:rFonts w:hint="eastAsia" w:ascii="宋体" w:hAnsi="宋体" w:cs="Arial"/>
          <w:b/>
          <w:bCs/>
          <w:color w:val="auto"/>
          <w:szCs w:val="21"/>
          <w:highlight w:val="none"/>
        </w:rPr>
        <w:t>分）</w:t>
      </w:r>
    </w:p>
    <w:tbl>
      <w:tblPr>
        <w:tblStyle w:val="54"/>
        <w:tblW w:w="0" w:type="auto"/>
        <w:jc w:val="center"/>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1236"/>
        <w:gridCol w:w="1496"/>
        <w:gridCol w:w="5697"/>
        <w:gridCol w:w="950"/>
      </w:tblGrid>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11" w:hRule="atLeast"/>
          <w:jc w:val="center"/>
        </w:trPr>
        <w:tc>
          <w:tcPr>
            <w:tcW w:w="273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评分内容</w:t>
            </w:r>
          </w:p>
        </w:tc>
        <w:tc>
          <w:tcPr>
            <w:tcW w:w="56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细则内容</w:t>
            </w:r>
          </w:p>
        </w:tc>
        <w:tc>
          <w:tcPr>
            <w:tcW w:w="9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分值</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236"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资信部分（2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1496" w:type="dxa"/>
            <w:tcBorders>
              <w:top w:val="single" w:color="auto" w:sz="4" w:space="0"/>
              <w:left w:val="single" w:color="auto" w:sz="4" w:space="0"/>
              <w:right w:val="single" w:color="auto" w:sz="4" w:space="0"/>
            </w:tcBorders>
            <w:noWrap w:val="0"/>
            <w:vAlign w:val="center"/>
          </w:tcPr>
          <w:p>
            <w:pPr>
              <w:widowControl/>
              <w:spacing w:line="360" w:lineRule="exact"/>
              <w:jc w:val="center"/>
              <w:textAlignment w:val="center"/>
              <w:rPr>
                <w:rFonts w:hint="eastAsia"/>
                <w:color w:val="auto"/>
                <w:szCs w:val="21"/>
                <w:highlight w:val="none"/>
              </w:rPr>
            </w:pPr>
            <w:r>
              <w:rPr>
                <w:rFonts w:hint="eastAsia" w:ascii="宋体" w:hAnsi="宋体" w:cs="宋体"/>
                <w:color w:val="auto"/>
                <w:szCs w:val="21"/>
                <w:highlight w:val="none"/>
              </w:rPr>
              <w:t>项目业绩</w:t>
            </w:r>
          </w:p>
        </w:tc>
        <w:tc>
          <w:tcPr>
            <w:tcW w:w="5697" w:type="dxa"/>
            <w:tcBorders>
              <w:top w:val="single" w:color="auto" w:sz="4" w:space="0"/>
              <w:left w:val="single" w:color="auto" w:sz="4" w:space="0"/>
              <w:right w:val="single" w:color="auto" w:sz="4" w:space="0"/>
            </w:tcBorders>
            <w:noWrap w:val="0"/>
            <w:vAlign w:val="center"/>
          </w:tcPr>
          <w:p>
            <w:pPr>
              <w:widowControl/>
              <w:spacing w:line="360" w:lineRule="exact"/>
              <w:ind w:firstLine="210" w:firstLineChars="10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投标人自2022年1月1日至投标截止时间止（以合同签订时间为准）承担过类似项目</w:t>
            </w:r>
            <w:r>
              <w:rPr>
                <w:rFonts w:hint="eastAsia" w:ascii="宋体" w:hAnsi="宋体" w:cs="宋体"/>
                <w:color w:val="auto"/>
                <w:szCs w:val="21"/>
                <w:highlight w:val="none"/>
                <w:lang w:eastAsia="zh-CN"/>
              </w:rPr>
              <w:t>（</w:t>
            </w:r>
            <w:r>
              <w:rPr>
                <w:rFonts w:hint="eastAsia" w:ascii="宋体" w:hAnsi="宋体" w:cs="宋体"/>
                <w:color w:val="auto"/>
                <w:szCs w:val="21"/>
                <w:highlight w:val="none"/>
              </w:rPr>
              <w:t>包括但不限于</w:t>
            </w:r>
            <w:r>
              <w:rPr>
                <w:rFonts w:hint="eastAsia" w:ascii="宋体" w:hAnsi="宋体" w:cs="宋体"/>
                <w:color w:val="auto"/>
                <w:szCs w:val="21"/>
                <w:highlight w:val="none"/>
                <w:lang w:val="en-US" w:eastAsia="zh-CN"/>
              </w:rPr>
              <w:t>国土</w:t>
            </w:r>
            <w:r>
              <w:rPr>
                <w:rFonts w:hint="eastAsia" w:ascii="宋体" w:hAnsi="宋体" w:cs="宋体"/>
                <w:color w:val="auto"/>
                <w:szCs w:val="21"/>
                <w:highlight w:val="none"/>
              </w:rPr>
              <w:t>变更调查、“多田套合”农用地布局优化工作等</w:t>
            </w:r>
            <w:r>
              <w:rPr>
                <w:rFonts w:hint="eastAsia" w:ascii="宋体" w:hAnsi="宋体" w:cs="宋体"/>
                <w:color w:val="auto"/>
                <w:szCs w:val="21"/>
                <w:highlight w:val="none"/>
                <w:lang w:eastAsia="zh-CN"/>
              </w:rPr>
              <w:t>）</w:t>
            </w:r>
            <w:r>
              <w:rPr>
                <w:rFonts w:hint="eastAsia" w:ascii="宋体" w:hAnsi="宋体" w:cs="宋体"/>
                <w:color w:val="auto"/>
                <w:szCs w:val="21"/>
                <w:highlight w:val="none"/>
              </w:rPr>
              <w:t>的成功案例，每提供一份合同得0.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分,最高得1分。</w:t>
            </w:r>
          </w:p>
          <w:p>
            <w:pPr>
              <w:pStyle w:val="295"/>
              <w:spacing w:line="360" w:lineRule="exact"/>
              <w:ind w:firstLine="211" w:firstLineChars="100"/>
              <w:rPr>
                <w:rFonts w:hint="default" w:eastAsia="宋体"/>
                <w:color w:val="auto"/>
                <w:szCs w:val="21"/>
                <w:highlight w:val="none"/>
                <w:lang w:val="en-US" w:eastAsia="zh-CN"/>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响应文件中须提供合同</w:t>
            </w:r>
            <w:r>
              <w:rPr>
                <w:rFonts w:hint="eastAsia" w:ascii="宋体" w:hAnsi="宋体" w:cs="宋体"/>
                <w:b/>
                <w:bCs/>
                <w:color w:val="auto"/>
                <w:szCs w:val="21"/>
                <w:highlight w:val="none"/>
                <w:lang w:val="en-US" w:eastAsia="zh-CN"/>
              </w:rPr>
              <w:t>复制</w:t>
            </w:r>
            <w:r>
              <w:rPr>
                <w:rFonts w:hint="eastAsia" w:ascii="宋体" w:hAnsi="宋体" w:cs="宋体"/>
                <w:b/>
                <w:bCs/>
                <w:color w:val="auto"/>
                <w:szCs w:val="21"/>
                <w:highlight w:val="none"/>
              </w:rPr>
              <w:t>件，否则不得分。</w:t>
            </w:r>
          </w:p>
        </w:tc>
        <w:tc>
          <w:tcPr>
            <w:tcW w:w="950" w:type="dxa"/>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0-1分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1236" w:type="dxa"/>
            <w:vMerge w:val="continue"/>
            <w:tcBorders>
              <w:left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496" w:type="dxa"/>
            <w:tcBorders>
              <w:top w:val="single" w:color="auto" w:sz="4" w:space="0"/>
              <w:left w:val="single" w:color="auto" w:sz="4" w:space="0"/>
              <w:right w:val="single" w:color="auto" w:sz="4" w:space="0"/>
            </w:tcBorders>
            <w:noWrap w:val="0"/>
            <w:vAlign w:val="center"/>
          </w:tcPr>
          <w:p>
            <w:pPr>
              <w:autoSpaceDE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投标人实力</w:t>
            </w:r>
          </w:p>
        </w:tc>
        <w:tc>
          <w:tcPr>
            <w:tcW w:w="5697" w:type="dxa"/>
            <w:tcBorders>
              <w:top w:val="single" w:color="auto" w:sz="4" w:space="0"/>
              <w:left w:val="single" w:color="auto" w:sz="4" w:space="0"/>
              <w:right w:val="single" w:color="auto" w:sz="4" w:space="0"/>
            </w:tcBorders>
            <w:noWrap w:val="0"/>
            <w:vAlign w:val="center"/>
          </w:tcPr>
          <w:p>
            <w:pPr>
              <w:autoSpaceDE w:val="0"/>
              <w:spacing w:line="360" w:lineRule="exact"/>
              <w:ind w:firstLine="210" w:firstLineChars="100"/>
              <w:rPr>
                <w:rFonts w:hint="eastAsia" w:cs="宋体"/>
                <w:color w:val="auto"/>
                <w:szCs w:val="22"/>
                <w:highlight w:val="none"/>
              </w:rPr>
            </w:pPr>
            <w:r>
              <w:rPr>
                <w:rFonts w:cs="宋体"/>
                <w:color w:val="auto"/>
                <w:szCs w:val="22"/>
                <w:highlight w:val="none"/>
              </w:rPr>
              <w:t>投标人</w:t>
            </w:r>
            <w:r>
              <w:rPr>
                <w:rFonts w:hint="eastAsia" w:cs="宋体"/>
                <w:color w:val="auto"/>
                <w:szCs w:val="22"/>
                <w:highlight w:val="none"/>
              </w:rPr>
              <w:t>自 202</w:t>
            </w:r>
            <w:r>
              <w:rPr>
                <w:rFonts w:hint="eastAsia" w:cs="宋体"/>
                <w:color w:val="auto"/>
                <w:szCs w:val="22"/>
                <w:highlight w:val="none"/>
                <w:lang w:val="en-US" w:eastAsia="zh-CN"/>
              </w:rPr>
              <w:t>2</w:t>
            </w:r>
            <w:r>
              <w:rPr>
                <w:rFonts w:hint="eastAsia" w:cs="宋体"/>
                <w:color w:val="auto"/>
                <w:szCs w:val="22"/>
                <w:highlight w:val="none"/>
              </w:rPr>
              <w:t>年1月1日以来（以获奖证书或文件颁发的时间为准）获省级及以上土地</w:t>
            </w:r>
            <w:r>
              <w:rPr>
                <w:rFonts w:hint="eastAsia" w:cs="宋体"/>
                <w:color w:val="auto"/>
                <w:szCs w:val="22"/>
                <w:highlight w:val="none"/>
                <w:lang w:val="en-US" w:eastAsia="zh-CN"/>
              </w:rPr>
              <w:t>调查类</w:t>
            </w:r>
            <w:r>
              <w:rPr>
                <w:rFonts w:hint="eastAsia" w:cs="宋体"/>
                <w:color w:val="auto"/>
                <w:szCs w:val="22"/>
                <w:highlight w:val="none"/>
              </w:rPr>
              <w:t>相关奖项的，获一等奖</w:t>
            </w:r>
            <w:r>
              <w:rPr>
                <w:rFonts w:hint="eastAsia" w:cs="宋体"/>
                <w:color w:val="auto"/>
                <w:szCs w:val="22"/>
                <w:highlight w:val="none"/>
                <w:lang w:eastAsia="zh-CN"/>
              </w:rPr>
              <w:t>（</w:t>
            </w:r>
            <w:r>
              <w:rPr>
                <w:rFonts w:hint="eastAsia" w:cs="宋体"/>
                <w:color w:val="auto"/>
                <w:szCs w:val="22"/>
                <w:highlight w:val="none"/>
                <w:lang w:val="en-US" w:eastAsia="zh-CN"/>
              </w:rPr>
              <w:t>金奖</w:t>
            </w:r>
            <w:r>
              <w:rPr>
                <w:rFonts w:hint="eastAsia" w:cs="宋体"/>
                <w:color w:val="auto"/>
                <w:szCs w:val="22"/>
                <w:highlight w:val="none"/>
                <w:lang w:eastAsia="zh-CN"/>
              </w:rPr>
              <w:t>）</w:t>
            </w:r>
            <w:r>
              <w:rPr>
                <w:rFonts w:hint="eastAsia" w:cs="宋体"/>
                <w:color w:val="auto"/>
                <w:szCs w:val="22"/>
                <w:highlight w:val="none"/>
              </w:rPr>
              <w:t>及以上的每提供一个项目得</w:t>
            </w:r>
            <w:r>
              <w:rPr>
                <w:rFonts w:hint="eastAsia" w:cs="宋体"/>
                <w:color w:val="auto"/>
                <w:szCs w:val="22"/>
                <w:highlight w:val="none"/>
                <w:lang w:val="en-US" w:eastAsia="zh-CN"/>
              </w:rPr>
              <w:t>2</w:t>
            </w:r>
            <w:r>
              <w:rPr>
                <w:rFonts w:hint="eastAsia" w:cs="宋体"/>
                <w:color w:val="auto"/>
                <w:szCs w:val="22"/>
                <w:highlight w:val="none"/>
              </w:rPr>
              <w:t>分，二等奖</w:t>
            </w:r>
            <w:r>
              <w:rPr>
                <w:rFonts w:hint="eastAsia" w:cs="宋体"/>
                <w:color w:val="auto"/>
                <w:szCs w:val="22"/>
                <w:highlight w:val="none"/>
                <w:lang w:eastAsia="zh-CN"/>
              </w:rPr>
              <w:t>（</w:t>
            </w:r>
            <w:r>
              <w:rPr>
                <w:rFonts w:hint="eastAsia" w:cs="宋体"/>
                <w:color w:val="auto"/>
                <w:szCs w:val="22"/>
                <w:highlight w:val="none"/>
                <w:lang w:val="en-US" w:eastAsia="zh-CN"/>
              </w:rPr>
              <w:t>银奖</w:t>
            </w:r>
            <w:r>
              <w:rPr>
                <w:rFonts w:hint="eastAsia" w:cs="宋体"/>
                <w:color w:val="auto"/>
                <w:szCs w:val="22"/>
                <w:highlight w:val="none"/>
                <w:lang w:eastAsia="zh-CN"/>
              </w:rPr>
              <w:t>）</w:t>
            </w:r>
            <w:r>
              <w:rPr>
                <w:rFonts w:hint="eastAsia" w:cs="宋体"/>
                <w:color w:val="auto"/>
                <w:szCs w:val="22"/>
                <w:highlight w:val="none"/>
              </w:rPr>
              <w:t>及以下的每提供一个项目得1分</w:t>
            </w:r>
            <w:r>
              <w:rPr>
                <w:rFonts w:cs="宋体"/>
                <w:color w:val="auto"/>
                <w:szCs w:val="22"/>
                <w:highlight w:val="none"/>
              </w:rPr>
              <w:t>，最高得</w:t>
            </w:r>
            <w:r>
              <w:rPr>
                <w:rFonts w:hint="eastAsia" w:cs="宋体"/>
                <w:color w:val="auto"/>
                <w:szCs w:val="22"/>
                <w:highlight w:val="none"/>
                <w:lang w:val="en-US" w:eastAsia="zh-CN"/>
              </w:rPr>
              <w:t>4</w:t>
            </w:r>
            <w:r>
              <w:rPr>
                <w:rFonts w:cs="宋体"/>
                <w:color w:val="auto"/>
                <w:szCs w:val="22"/>
                <w:highlight w:val="none"/>
              </w:rPr>
              <w:t>分</w:t>
            </w:r>
            <w:r>
              <w:rPr>
                <w:rFonts w:hint="eastAsia" w:cs="宋体"/>
                <w:color w:val="auto"/>
                <w:szCs w:val="22"/>
                <w:highlight w:val="none"/>
              </w:rPr>
              <w:t>。</w:t>
            </w:r>
          </w:p>
          <w:p>
            <w:pPr>
              <w:autoSpaceDE w:val="0"/>
              <w:spacing w:line="360" w:lineRule="exact"/>
              <w:ind w:firstLine="211" w:firstLineChars="100"/>
              <w:rPr>
                <w:rFonts w:hint="eastAsia" w:ascii="宋体" w:hAnsi="宋体" w:cs="宋体"/>
                <w:b/>
                <w:bCs/>
                <w:color w:val="auto"/>
                <w:szCs w:val="21"/>
                <w:highlight w:val="none"/>
                <w:lang w:bidi="ar"/>
              </w:rPr>
            </w:pPr>
            <w:r>
              <w:rPr>
                <w:rFonts w:hint="eastAsia" w:ascii="宋体" w:hAnsi="宋体" w:cs="宋体"/>
                <w:b/>
                <w:bCs/>
                <w:color w:val="auto"/>
                <w:kern w:val="0"/>
                <w:szCs w:val="21"/>
                <w:highlight w:val="none"/>
              </w:rPr>
              <w:t>说明：</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提供相关证明文件</w:t>
            </w:r>
            <w:r>
              <w:rPr>
                <w:rFonts w:hint="eastAsia" w:ascii="宋体" w:hAnsi="宋体" w:cs="宋体"/>
                <w:b/>
                <w:bCs/>
                <w:color w:val="auto"/>
                <w:kern w:val="0"/>
                <w:szCs w:val="21"/>
                <w:highlight w:val="none"/>
                <w:lang w:val="en-US" w:eastAsia="zh-CN"/>
              </w:rPr>
              <w:t>复制</w:t>
            </w:r>
            <w:r>
              <w:rPr>
                <w:rFonts w:hint="eastAsia" w:ascii="宋体" w:hAnsi="宋体" w:cs="宋体"/>
                <w:b/>
                <w:bCs/>
                <w:color w:val="auto"/>
                <w:kern w:val="0"/>
                <w:szCs w:val="21"/>
                <w:highlight w:val="none"/>
              </w:rPr>
              <w:t>件，否则不得分。</w:t>
            </w:r>
          </w:p>
        </w:tc>
        <w:tc>
          <w:tcPr>
            <w:tcW w:w="950" w:type="dxa"/>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1236" w:type="dxa"/>
            <w:vMerge w:val="continue"/>
            <w:tcBorders>
              <w:left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Cs w:val="21"/>
                <w:highlight w:val="none"/>
              </w:rPr>
            </w:pPr>
          </w:p>
        </w:tc>
        <w:tc>
          <w:tcPr>
            <w:tcW w:w="1496" w:type="dxa"/>
            <w:tcBorders>
              <w:top w:val="single" w:color="auto" w:sz="4" w:space="0"/>
              <w:left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认证体系</w:t>
            </w:r>
          </w:p>
        </w:tc>
        <w:tc>
          <w:tcPr>
            <w:tcW w:w="5697" w:type="dxa"/>
            <w:tcBorders>
              <w:top w:val="single" w:color="auto" w:sz="4" w:space="0"/>
              <w:left w:val="single" w:color="auto" w:sz="4" w:space="0"/>
              <w:right w:val="single" w:color="auto" w:sz="4" w:space="0"/>
            </w:tcBorders>
            <w:noWrap w:val="0"/>
            <w:vAlign w:val="center"/>
          </w:tcPr>
          <w:p>
            <w:pPr>
              <w:spacing w:line="30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投标人具有质量管理体系认证的得1分；投标人具有环境管理体系认证的得1分；投标人具有职业健康安全管理体系认证的得1分。</w:t>
            </w:r>
          </w:p>
          <w:p>
            <w:pPr>
              <w:keepNext w:val="0"/>
              <w:keepLines w:val="0"/>
              <w:pageBreakBefore w:val="0"/>
              <w:widowControl w:val="0"/>
              <w:kinsoku/>
              <w:wordWrap/>
              <w:overflowPunct/>
              <w:topLinePunct w:val="0"/>
              <w:autoSpaceDE w:val="0"/>
              <w:autoSpaceDN/>
              <w:bidi w:val="0"/>
              <w:adjustRightInd/>
              <w:snapToGrid/>
              <w:spacing w:line="360" w:lineRule="exact"/>
              <w:jc w:val="both"/>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bidi="ar"/>
              </w:rPr>
              <w:t>注：须在响应文件中提供的有效证书复</w:t>
            </w:r>
            <w:r>
              <w:rPr>
                <w:rFonts w:hint="eastAsia" w:ascii="宋体" w:hAnsi="宋体" w:eastAsia="宋体" w:cs="宋体"/>
                <w:b/>
                <w:bCs/>
                <w:color w:val="auto"/>
                <w:szCs w:val="21"/>
                <w:highlight w:val="none"/>
                <w:lang w:val="en-US" w:eastAsia="zh-CN" w:bidi="ar"/>
              </w:rPr>
              <w:t>制</w:t>
            </w:r>
            <w:r>
              <w:rPr>
                <w:rFonts w:hint="eastAsia" w:ascii="宋体" w:hAnsi="宋体" w:eastAsia="宋体" w:cs="宋体"/>
                <w:b/>
                <w:bCs/>
                <w:color w:val="auto"/>
                <w:szCs w:val="21"/>
                <w:highlight w:val="none"/>
                <w:lang w:bidi="ar"/>
              </w:rPr>
              <w:t>件加盖公章，未提供或提供不全的不得分。</w:t>
            </w:r>
          </w:p>
        </w:tc>
        <w:tc>
          <w:tcPr>
            <w:tcW w:w="950" w:type="dxa"/>
            <w:tcBorders>
              <w:top w:val="single" w:color="auto" w:sz="4" w:space="0"/>
              <w:left w:val="single" w:color="auto" w:sz="4" w:space="0"/>
              <w:right w:val="single" w:color="auto" w:sz="4" w:space="0"/>
            </w:tcBorders>
            <w:noWrap w:val="0"/>
            <w:vAlign w:val="center"/>
          </w:tcPr>
          <w:p>
            <w:pPr>
              <w:autoSpaceDE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0-3</w:t>
            </w:r>
            <w:r>
              <w:rPr>
                <w:rFonts w:hint="eastAsia" w:ascii="宋体" w:hAnsi="宋体" w:eastAsia="宋体" w:cs="宋体"/>
                <w:color w:val="auto"/>
                <w:szCs w:val="21"/>
                <w:highlight w:val="none"/>
                <w:lang w:val="en-US" w:eastAsia="zh-CN"/>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236" w:type="dxa"/>
            <w:vMerge w:val="continue"/>
            <w:tcBorders>
              <w:left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496" w:type="dxa"/>
            <w:tcBorders>
              <w:top w:val="single" w:color="auto" w:sz="4" w:space="0"/>
              <w:left w:val="single" w:color="auto" w:sz="4" w:space="0"/>
              <w:right w:val="single" w:color="auto" w:sz="4" w:space="0"/>
            </w:tcBorders>
            <w:noWrap w:val="0"/>
            <w:vAlign w:val="center"/>
          </w:tcPr>
          <w:p>
            <w:pPr>
              <w:widowControl/>
              <w:spacing w:line="360" w:lineRule="exact"/>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tc>
        <w:tc>
          <w:tcPr>
            <w:tcW w:w="5697" w:type="dxa"/>
            <w:tcBorders>
              <w:top w:val="single" w:color="auto" w:sz="4" w:space="0"/>
              <w:left w:val="single" w:color="auto" w:sz="4" w:space="0"/>
              <w:right w:val="single" w:color="auto" w:sz="4" w:space="0"/>
            </w:tcBorders>
            <w:noWrap w:val="0"/>
            <w:vAlign w:val="center"/>
          </w:tcPr>
          <w:p>
            <w:pPr>
              <w:autoSpaceDE w:val="0"/>
              <w:spacing w:line="360" w:lineRule="exact"/>
              <w:ind w:firstLine="210" w:firstLineChars="100"/>
              <w:rPr>
                <w:rFonts w:hint="eastAsia" w:ascii="Times New Roman" w:hAnsi="Times New Roman" w:eastAsia="宋体" w:cs="宋体"/>
                <w:color w:val="auto"/>
                <w:szCs w:val="22"/>
                <w:highlight w:val="none"/>
              </w:rPr>
            </w:pPr>
            <w:r>
              <w:rPr>
                <w:rFonts w:hint="eastAsia" w:ascii="Times New Roman" w:hAnsi="Times New Roman" w:eastAsia="宋体" w:cs="宋体"/>
                <w:color w:val="auto"/>
                <w:szCs w:val="22"/>
                <w:highlight w:val="none"/>
              </w:rPr>
              <w:t>拟投入项目负责人同时具有地理信息</w:t>
            </w:r>
            <w:r>
              <w:rPr>
                <w:rFonts w:hint="eastAsia" w:ascii="Times New Roman" w:hAnsi="Times New Roman" w:eastAsia="宋体" w:cs="宋体"/>
                <w:color w:val="auto"/>
                <w:szCs w:val="22"/>
                <w:highlight w:val="none"/>
                <w:lang w:val="en-US" w:eastAsia="zh-CN"/>
              </w:rPr>
              <w:t>教授级</w:t>
            </w:r>
            <w:r>
              <w:rPr>
                <w:rFonts w:hint="eastAsia" w:ascii="Times New Roman" w:hAnsi="Times New Roman" w:eastAsia="宋体" w:cs="宋体"/>
                <w:color w:val="auto"/>
                <w:szCs w:val="22"/>
                <w:highlight w:val="none"/>
              </w:rPr>
              <w:t>高级工程师</w:t>
            </w:r>
            <w:r>
              <w:rPr>
                <w:rFonts w:hint="eastAsia" w:ascii="Times New Roman" w:hAnsi="Times New Roman" w:eastAsia="宋体" w:cs="宋体"/>
                <w:color w:val="auto"/>
                <w:szCs w:val="22"/>
                <w:highlight w:val="none"/>
                <w:lang w:eastAsia="zh-CN"/>
              </w:rPr>
              <w:t>（</w:t>
            </w:r>
            <w:r>
              <w:rPr>
                <w:rFonts w:hint="eastAsia" w:ascii="Times New Roman" w:hAnsi="Times New Roman" w:eastAsia="宋体" w:cs="宋体"/>
                <w:color w:val="auto"/>
                <w:szCs w:val="22"/>
                <w:highlight w:val="none"/>
                <w:lang w:val="en-US" w:eastAsia="zh-CN"/>
              </w:rPr>
              <w:t>正高</w:t>
            </w:r>
            <w:r>
              <w:rPr>
                <w:rFonts w:hint="eastAsia" w:ascii="Times New Roman" w:hAnsi="Times New Roman" w:eastAsia="宋体" w:cs="宋体"/>
                <w:color w:val="auto"/>
                <w:szCs w:val="22"/>
                <w:highlight w:val="none"/>
                <w:lang w:eastAsia="zh-CN"/>
              </w:rPr>
              <w:t>）</w:t>
            </w:r>
            <w:r>
              <w:rPr>
                <w:rFonts w:hint="eastAsia" w:ascii="Times New Roman" w:hAnsi="Times New Roman" w:eastAsia="宋体" w:cs="宋体"/>
                <w:color w:val="auto"/>
                <w:szCs w:val="22"/>
                <w:highlight w:val="none"/>
              </w:rPr>
              <w:t>职称、注册测绘师证书得</w:t>
            </w:r>
            <w:r>
              <w:rPr>
                <w:rFonts w:hint="eastAsia" w:ascii="Times New Roman" w:hAnsi="Times New Roman" w:eastAsia="宋体" w:cs="宋体"/>
                <w:color w:val="auto"/>
                <w:szCs w:val="22"/>
                <w:highlight w:val="none"/>
                <w:lang w:val="en-US" w:eastAsia="zh-CN"/>
              </w:rPr>
              <w:t>4</w:t>
            </w:r>
            <w:r>
              <w:rPr>
                <w:rFonts w:hint="eastAsia" w:ascii="Times New Roman" w:hAnsi="Times New Roman" w:eastAsia="宋体" w:cs="宋体"/>
                <w:color w:val="auto"/>
                <w:szCs w:val="22"/>
                <w:highlight w:val="none"/>
              </w:rPr>
              <w:t>分</w:t>
            </w:r>
            <w:r>
              <w:rPr>
                <w:rFonts w:hint="eastAsia" w:ascii="Times New Roman" w:hAnsi="Times New Roman" w:eastAsia="宋体" w:cs="宋体"/>
                <w:color w:val="auto"/>
                <w:szCs w:val="22"/>
                <w:highlight w:val="none"/>
                <w:lang w:eastAsia="zh-CN"/>
              </w:rPr>
              <w:t>，</w:t>
            </w:r>
            <w:r>
              <w:rPr>
                <w:rFonts w:hint="eastAsia" w:ascii="Times New Roman" w:hAnsi="Times New Roman" w:eastAsia="宋体" w:cs="宋体"/>
                <w:color w:val="auto"/>
                <w:szCs w:val="22"/>
                <w:highlight w:val="none"/>
                <w:lang w:val="en-US" w:eastAsia="zh-CN"/>
              </w:rPr>
              <w:t>具有其中一项的得2分。</w:t>
            </w:r>
          </w:p>
          <w:p>
            <w:pPr>
              <w:autoSpaceDE w:val="0"/>
              <w:spacing w:line="360" w:lineRule="exact"/>
              <w:ind w:firstLine="211" w:firstLineChars="100"/>
              <w:rPr>
                <w:rFonts w:hint="eastAsia" w:ascii="宋体" w:hAnsi="宋体" w:cs="宋体"/>
                <w:b/>
                <w:bCs/>
                <w:color w:val="auto"/>
                <w:szCs w:val="21"/>
                <w:highlight w:val="none"/>
              </w:rPr>
            </w:pPr>
            <w:r>
              <w:rPr>
                <w:rFonts w:hint="eastAsia" w:ascii="宋体" w:hAnsi="宋体" w:eastAsia="宋体" w:cs="宋体"/>
                <w:b/>
                <w:bCs/>
                <w:color w:val="auto"/>
                <w:szCs w:val="21"/>
                <w:highlight w:val="none"/>
                <w:lang w:bidi="ar"/>
              </w:rPr>
              <w:t>注：负责人的相关证书扫描件和为在职承诺书扫描件导入商务技术文件中，否则不得分。提供职称证书、注册证书复制件加盖公章编制在响应文件中，否</w:t>
            </w:r>
            <w:r>
              <w:rPr>
                <w:rFonts w:hint="eastAsia" w:ascii="宋体" w:hAnsi="宋体" w:cs="宋体"/>
                <w:b/>
                <w:bCs/>
                <w:color w:val="auto"/>
                <w:szCs w:val="21"/>
                <w:highlight w:val="none"/>
                <w:lang w:bidi="ar"/>
              </w:rPr>
              <w:t>则不得分；提供投标人为其连续缴纳的近三个月社保证明资料，证明资料编制在响应文件中，否则不得分。</w:t>
            </w:r>
          </w:p>
        </w:tc>
        <w:tc>
          <w:tcPr>
            <w:tcW w:w="950" w:type="dxa"/>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1236" w:type="dxa"/>
            <w:vMerge w:val="continue"/>
            <w:tcBorders>
              <w:left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autoSpaceDE w:val="0"/>
              <w:spacing w:line="360" w:lineRule="exact"/>
              <w:jc w:val="center"/>
              <w:rPr>
                <w:rFonts w:hint="eastAsia" w:ascii="宋体" w:hAnsi="宋体" w:cs="宋体"/>
                <w:color w:val="auto"/>
                <w:kern w:val="0"/>
                <w:szCs w:val="21"/>
                <w:highlight w:val="none"/>
              </w:rPr>
            </w:pPr>
            <w:r>
              <w:rPr>
                <w:rFonts w:hint="eastAsia"/>
                <w:color w:val="auto"/>
                <w:szCs w:val="21"/>
                <w:highlight w:val="none"/>
              </w:rPr>
              <w:t>团队技术力量</w:t>
            </w:r>
          </w:p>
        </w:tc>
        <w:tc>
          <w:tcPr>
            <w:tcW w:w="569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210" w:firstLineChars="1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拟投入本项目实施人员（除项目负责人外）</w:t>
            </w:r>
          </w:p>
          <w:p>
            <w:pPr>
              <w:widowControl/>
              <w:spacing w:line="360" w:lineRule="exact"/>
              <w:ind w:firstLine="210" w:firstLineChars="100"/>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同时具有测绘类高级工程师职称</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注册测绘师的每人得</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分；</w:t>
            </w:r>
            <w:r>
              <w:rPr>
                <w:rFonts w:hint="eastAsia" w:ascii="Times New Roman" w:hAnsi="Times New Roman" w:eastAsia="宋体" w:cs="Times New Roman"/>
                <w:color w:val="auto"/>
                <w:highlight w:val="none"/>
                <w:lang w:val="en-US" w:eastAsia="zh-CN"/>
              </w:rPr>
              <w:t>同时</w:t>
            </w:r>
            <w:r>
              <w:rPr>
                <w:rFonts w:hint="eastAsia" w:ascii="Times New Roman" w:hAnsi="Times New Roman" w:eastAsia="宋体" w:cs="Times New Roman"/>
                <w:color w:val="auto"/>
                <w:highlight w:val="none"/>
              </w:rPr>
              <w:t>具有测绘类工程师职称</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注册测绘师</w:t>
            </w:r>
            <w:r>
              <w:rPr>
                <w:rFonts w:hint="eastAsia" w:ascii="Times New Roman" w:hAnsi="Times New Roman" w:eastAsia="宋体" w:cs="Times New Roman"/>
                <w:color w:val="auto"/>
                <w:highlight w:val="none"/>
              </w:rPr>
              <w:t>的每人得</w:t>
            </w:r>
            <w:r>
              <w:rPr>
                <w:rFonts w:hint="eastAsia" w:ascii="Times New Roman" w:hAnsi="Times New Roman" w:eastAsia="宋体" w:cs="Times New Roman"/>
                <w:color w:val="auto"/>
                <w:highlight w:val="none"/>
                <w:lang w:val="en-US" w:eastAsia="zh-CN"/>
              </w:rPr>
              <w:t>0.5</w:t>
            </w:r>
            <w:r>
              <w:rPr>
                <w:rFonts w:hint="eastAsia" w:ascii="Times New Roman" w:hAnsi="Times New Roman" w:eastAsia="宋体" w:cs="Times New Roman"/>
                <w:color w:val="auto"/>
                <w:highlight w:val="none"/>
              </w:rPr>
              <w:t>分，本项最高得分4分</w:t>
            </w:r>
            <w:r>
              <w:rPr>
                <w:rFonts w:hint="eastAsia" w:ascii="Times New Roman" w:hAnsi="Times New Roman" w:eastAsia="宋体" w:cs="Times New Roman"/>
                <w:color w:val="auto"/>
                <w:highlight w:val="none"/>
                <w:lang w:eastAsia="zh-CN"/>
              </w:rPr>
              <w:t>。</w:t>
            </w:r>
          </w:p>
          <w:p>
            <w:pPr>
              <w:widowControl/>
              <w:spacing w:line="360" w:lineRule="exact"/>
              <w:ind w:firstLine="210" w:firstLineChars="100"/>
              <w:jc w:val="lef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具有摄影测量项目管理师的，一人得</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分，</w:t>
            </w:r>
            <w:r>
              <w:rPr>
                <w:rFonts w:hint="eastAsia" w:ascii="Times New Roman" w:hAnsi="Times New Roman" w:eastAsia="宋体" w:cs="Times New Roman"/>
                <w:color w:val="auto"/>
                <w:highlight w:val="none"/>
                <w:lang w:val="en-US" w:eastAsia="zh-CN"/>
              </w:rPr>
              <w:t>本项</w:t>
            </w:r>
            <w:r>
              <w:rPr>
                <w:rFonts w:hint="eastAsia" w:ascii="Times New Roman" w:hAnsi="Times New Roman" w:eastAsia="宋体" w:cs="Times New Roman"/>
                <w:color w:val="auto"/>
                <w:highlight w:val="none"/>
              </w:rPr>
              <w:t>最高得</w:t>
            </w:r>
            <w:r>
              <w:rPr>
                <w:rFonts w:hint="default"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分</w:t>
            </w:r>
            <w:r>
              <w:rPr>
                <w:rFonts w:hint="eastAsia"/>
                <w:color w:val="auto"/>
                <w:highlight w:val="none"/>
                <w:lang w:val="en-US" w:eastAsia="zh-CN"/>
              </w:rPr>
              <w:t>。</w:t>
            </w:r>
          </w:p>
          <w:p>
            <w:pPr>
              <w:widowControl/>
              <w:spacing w:line="360" w:lineRule="exact"/>
              <w:ind w:firstLine="211" w:firstLineChars="100"/>
              <w:jc w:val="left"/>
              <w:rPr>
                <w:rFonts w:hint="eastAsia"/>
                <w:color w:val="auto"/>
                <w:sz w:val="21"/>
                <w:szCs w:val="21"/>
                <w:highlight w:val="none"/>
              </w:rPr>
            </w:pPr>
            <w:r>
              <w:rPr>
                <w:rFonts w:hint="eastAsia" w:ascii="宋体" w:hAnsi="宋体" w:eastAsia="宋体" w:cs="宋体"/>
                <w:b/>
                <w:bCs/>
                <w:color w:val="auto"/>
                <w:kern w:val="2"/>
                <w:sz w:val="21"/>
                <w:szCs w:val="21"/>
                <w:highlight w:val="none"/>
                <w:lang w:bidi="ar"/>
              </w:rPr>
              <w:t>注：按上述要求提供职称证书或注册证书</w:t>
            </w:r>
            <w:r>
              <w:rPr>
                <w:rFonts w:hint="eastAsia" w:ascii="宋体" w:hAnsi="宋体" w:eastAsia="宋体" w:cs="宋体"/>
                <w:b/>
                <w:bCs/>
                <w:color w:val="auto"/>
                <w:kern w:val="2"/>
                <w:sz w:val="21"/>
                <w:szCs w:val="21"/>
                <w:highlight w:val="none"/>
                <w:lang w:val="en-US" w:eastAsia="zh-CN" w:bidi="ar"/>
              </w:rPr>
              <w:t>复印</w:t>
            </w:r>
            <w:r>
              <w:rPr>
                <w:rFonts w:hint="eastAsia" w:ascii="宋体" w:hAnsi="宋体" w:eastAsia="宋体" w:cs="宋体"/>
                <w:b/>
                <w:bCs/>
                <w:color w:val="auto"/>
                <w:kern w:val="2"/>
                <w:sz w:val="21"/>
                <w:szCs w:val="21"/>
                <w:highlight w:val="none"/>
                <w:lang w:bidi="ar"/>
              </w:rPr>
              <w:t>件加盖公章编制在响应文件中，否则不得分；提供投标人为其连续缴纳的近三个月社保证明资料，证明资料编制在响应文件中，否则不得分。一个人只计取一次分数。</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Lines/>
              <w:adjustRightInd w:val="0"/>
              <w:snapToGrid w:val="0"/>
              <w:jc w:val="center"/>
              <w:rPr>
                <w:rFonts w:hint="eastAsia" w:ascii="宋体" w:hAnsi="宋体" w:cs="宋体"/>
                <w:color w:val="auto"/>
                <w:kern w:val="0"/>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1236" w:type="dxa"/>
            <w:tcBorders>
              <w:left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49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jc w:val="center"/>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lang w:eastAsia="zh-CN"/>
              </w:rPr>
              <w:t>拟投入设备</w:t>
            </w:r>
          </w:p>
          <w:p>
            <w:pPr>
              <w:autoSpaceDE w:val="0"/>
              <w:spacing w:line="360" w:lineRule="exact"/>
              <w:jc w:val="center"/>
              <w:rPr>
                <w:rFonts w:hint="eastAsia"/>
                <w:color w:val="auto"/>
                <w:szCs w:val="21"/>
                <w:highlight w:val="none"/>
              </w:rPr>
            </w:pPr>
            <w:r>
              <w:rPr>
                <w:rFonts w:hint="eastAsia" w:ascii="宋体" w:hAnsi="宋体" w:eastAsia="宋体" w:cs="宋体"/>
                <w:color w:val="auto"/>
                <w:spacing w:val="0"/>
                <w:kern w:val="0"/>
                <w:sz w:val="24"/>
                <w:szCs w:val="24"/>
                <w:highlight w:val="none"/>
                <w:lang w:eastAsia="zh-CN"/>
              </w:rPr>
              <w:t>配置</w:t>
            </w:r>
          </w:p>
        </w:tc>
        <w:tc>
          <w:tcPr>
            <w:tcW w:w="5697" w:type="dxa"/>
            <w:tcBorders>
              <w:top w:val="single" w:color="auto" w:sz="4" w:space="0"/>
              <w:left w:val="single" w:color="auto" w:sz="4" w:space="0"/>
              <w:right w:val="single" w:color="auto" w:sz="4" w:space="0"/>
            </w:tcBorders>
            <w:noWrap w:val="0"/>
            <w:vAlign w:val="center"/>
          </w:tcPr>
          <w:p>
            <w:pPr>
              <w:widowControl/>
              <w:spacing w:line="360" w:lineRule="exact"/>
              <w:ind w:firstLine="210" w:firstLineChars="100"/>
              <w:jc w:val="left"/>
              <w:rPr>
                <w:rFonts w:hint="eastAsia"/>
                <w:lang w:val="en-US" w:eastAsia="zh-CN"/>
              </w:rPr>
            </w:pPr>
            <w:r>
              <w:rPr>
                <w:rFonts w:hint="eastAsia"/>
                <w:lang w:val="en-US" w:eastAsia="zh-CN"/>
              </w:rPr>
              <w:t>配备</w:t>
            </w:r>
            <w:r>
              <w:rPr>
                <w:rFonts w:hint="eastAsia"/>
                <w:lang w:val="zh-CN" w:eastAsia="zh-CN"/>
              </w:rPr>
              <w:t>无人机航摄系统</w:t>
            </w:r>
            <w:r>
              <w:rPr>
                <w:rFonts w:hint="eastAsia"/>
              </w:rPr>
              <w:t>（包含无人机飞行平台和五镜头倾斜相机）</w:t>
            </w:r>
            <w:r>
              <w:rPr>
                <w:rFonts w:hint="eastAsia"/>
                <w:lang w:val="zh-CN" w:eastAsia="zh-CN"/>
              </w:rPr>
              <w:t>，</w:t>
            </w:r>
            <w:r>
              <w:rPr>
                <w:rFonts w:hint="eastAsia"/>
                <w:lang w:val="en-US" w:eastAsia="zh-CN"/>
              </w:rPr>
              <w:t>每套得1分，本项最高得3分</w:t>
            </w:r>
          </w:p>
          <w:p>
            <w:pPr>
              <w:pStyle w:val="2"/>
              <w:rPr>
                <w:rFonts w:hint="default"/>
                <w:lang w:val="en-US"/>
              </w:rPr>
            </w:pPr>
            <w:r>
              <w:rPr>
                <w:rFonts w:hint="eastAsia" w:ascii="宋体" w:hAnsi="宋体" w:eastAsia="宋体" w:cs="宋体"/>
                <w:b/>
                <w:bCs/>
                <w:color w:val="auto"/>
                <w:spacing w:val="0"/>
                <w:sz w:val="21"/>
                <w:szCs w:val="21"/>
                <w:highlight w:val="none"/>
                <w:lang w:val="en-US" w:eastAsia="zh-CN" w:bidi="ar"/>
              </w:rPr>
              <w:t>注：</w:t>
            </w:r>
            <w:r>
              <w:rPr>
                <w:rFonts w:hint="eastAsia" w:ascii="宋体" w:hAnsi="宋体" w:eastAsia="宋体" w:cs="宋体"/>
                <w:b/>
                <w:bCs/>
                <w:color w:val="auto"/>
                <w:szCs w:val="21"/>
                <w:highlight w:val="none"/>
                <w:lang w:bidi="ar"/>
              </w:rPr>
              <w:t>须在响应文件中</w:t>
            </w:r>
            <w:r>
              <w:rPr>
                <w:rFonts w:hint="eastAsia" w:ascii="宋体" w:hAnsi="宋体" w:eastAsia="宋体" w:cs="宋体"/>
                <w:b/>
                <w:bCs/>
                <w:color w:val="auto"/>
                <w:spacing w:val="0"/>
                <w:sz w:val="21"/>
                <w:szCs w:val="21"/>
                <w:highlight w:val="none"/>
                <w:lang w:val="en-US" w:eastAsia="zh-CN" w:bidi="ar"/>
              </w:rPr>
              <w:t>提供购买发票</w:t>
            </w:r>
            <w:r>
              <w:rPr>
                <w:rFonts w:hint="eastAsia" w:ascii="宋体" w:hAnsi="宋体" w:eastAsia="宋体" w:cs="宋体"/>
                <w:b/>
                <w:bCs/>
                <w:color w:val="auto"/>
                <w:szCs w:val="21"/>
                <w:highlight w:val="none"/>
                <w:lang w:bidi="ar"/>
              </w:rPr>
              <w:t>复</w:t>
            </w:r>
            <w:r>
              <w:rPr>
                <w:rFonts w:hint="eastAsia" w:ascii="宋体" w:hAnsi="宋体" w:eastAsia="宋体" w:cs="宋体"/>
                <w:b/>
                <w:bCs/>
                <w:color w:val="auto"/>
                <w:szCs w:val="21"/>
                <w:highlight w:val="none"/>
                <w:lang w:val="en-US" w:eastAsia="zh-CN" w:bidi="ar"/>
              </w:rPr>
              <w:t>制</w:t>
            </w:r>
            <w:r>
              <w:rPr>
                <w:rFonts w:hint="eastAsia" w:ascii="宋体" w:hAnsi="宋体" w:eastAsia="宋体" w:cs="宋体"/>
                <w:b/>
                <w:bCs/>
                <w:color w:val="auto"/>
                <w:szCs w:val="21"/>
                <w:highlight w:val="none"/>
                <w:lang w:bidi="ar"/>
              </w:rPr>
              <w:t>件</w:t>
            </w:r>
            <w:r>
              <w:rPr>
                <w:rFonts w:hint="eastAsia" w:ascii="宋体" w:hAnsi="宋体" w:eastAsia="宋体" w:cs="宋体"/>
                <w:b/>
                <w:bCs/>
                <w:color w:val="auto"/>
                <w:spacing w:val="0"/>
                <w:sz w:val="21"/>
                <w:szCs w:val="21"/>
                <w:highlight w:val="none"/>
                <w:lang w:val="en-US" w:eastAsia="zh-CN" w:bidi="ar"/>
              </w:rPr>
              <w:t>并</w:t>
            </w:r>
            <w:r>
              <w:rPr>
                <w:rFonts w:hint="eastAsia" w:ascii="宋体" w:hAnsi="宋体" w:eastAsia="宋体" w:cs="宋体"/>
                <w:b/>
                <w:bCs/>
                <w:color w:val="auto"/>
                <w:spacing w:val="0"/>
                <w:sz w:val="21"/>
                <w:szCs w:val="21"/>
                <w:highlight w:val="none"/>
                <w:lang w:bidi="ar"/>
              </w:rPr>
              <w:t>加盖单位公章</w:t>
            </w:r>
            <w:r>
              <w:rPr>
                <w:rFonts w:hint="eastAsia" w:ascii="宋体" w:hAnsi="宋体" w:eastAsia="宋体" w:cs="宋体"/>
                <w:b/>
                <w:bCs/>
                <w:color w:val="auto"/>
                <w:spacing w:val="0"/>
                <w:sz w:val="21"/>
                <w:szCs w:val="21"/>
                <w:highlight w:val="none"/>
                <w:lang w:val="en-US" w:eastAsia="zh-CN" w:bidi="ar"/>
              </w:rPr>
              <w:t>，否则不得分。</w:t>
            </w:r>
          </w:p>
        </w:tc>
        <w:tc>
          <w:tcPr>
            <w:tcW w:w="950" w:type="dxa"/>
            <w:tcBorders>
              <w:top w:val="single" w:color="auto" w:sz="4" w:space="0"/>
              <w:left w:val="single" w:color="auto" w:sz="4" w:space="0"/>
              <w:right w:val="single" w:color="auto" w:sz="4" w:space="0"/>
            </w:tcBorders>
            <w:noWrap w:val="0"/>
            <w:vAlign w:val="center"/>
          </w:tcPr>
          <w:p>
            <w:pPr>
              <w:keepLines/>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0-3分</w:t>
            </w:r>
          </w:p>
        </w:tc>
      </w:tr>
    </w:tbl>
    <w:p>
      <w:pPr>
        <w:widowControl/>
        <w:jc w:val="left"/>
        <w:rPr>
          <w:rFonts w:hint="eastAsia" w:ascii="宋体" w:hAnsi="宋体" w:cs="宋体"/>
          <w:b/>
          <w:color w:val="auto"/>
          <w:szCs w:val="21"/>
          <w:highlight w:val="none"/>
        </w:rPr>
      </w:pPr>
      <w:r>
        <w:rPr>
          <w:rFonts w:hint="eastAsia" w:ascii="宋体" w:hAnsi="宋体" w:cs="宋体"/>
          <w:b/>
          <w:color w:val="auto"/>
          <w:szCs w:val="21"/>
          <w:highlight w:val="none"/>
        </w:rPr>
        <w:t>注：</w:t>
      </w:r>
      <w:r>
        <w:rPr>
          <w:rFonts w:hint="eastAsia" w:hAnsi="宋体"/>
          <w:b/>
          <w:color w:val="auto"/>
          <w:spacing w:val="-6"/>
          <w:szCs w:val="21"/>
          <w:highlight w:val="none"/>
        </w:rPr>
        <w:t>①</w:t>
      </w:r>
      <w:r>
        <w:rPr>
          <w:rFonts w:hint="eastAsia" w:ascii="宋体" w:hAnsi="宋体" w:cs="宋体"/>
          <w:b/>
          <w:color w:val="auto"/>
          <w:szCs w:val="21"/>
          <w:highlight w:val="none"/>
        </w:rPr>
        <w:t>商务部分由评标专家</w:t>
      </w:r>
      <w:r>
        <w:rPr>
          <w:rFonts w:ascii="宋体" w:hAnsi="宋体" w:cs="宋体"/>
          <w:b/>
          <w:color w:val="auto"/>
          <w:szCs w:val="21"/>
          <w:highlight w:val="none"/>
        </w:rPr>
        <w:t>记名方式各自评分</w:t>
      </w:r>
      <w:r>
        <w:rPr>
          <w:rFonts w:hint="eastAsia" w:ascii="宋体" w:hAnsi="宋体" w:cs="宋体"/>
          <w:b/>
          <w:color w:val="auto"/>
          <w:szCs w:val="21"/>
          <w:highlight w:val="none"/>
        </w:rPr>
        <w:t>，协商后统一分值。</w:t>
      </w:r>
    </w:p>
    <w:p>
      <w:pPr>
        <w:rPr>
          <w:rFonts w:hint="eastAsia"/>
          <w:color w:val="auto"/>
          <w:highlight w:val="none"/>
        </w:rPr>
      </w:pPr>
    </w:p>
    <w:p>
      <w:pPr>
        <w:outlineLvl w:val="2"/>
        <w:rPr>
          <w:rFonts w:hint="eastAsia" w:ascii="宋体" w:hAnsi="宋体"/>
          <w:b/>
          <w:color w:val="auto"/>
          <w:szCs w:val="21"/>
          <w:highlight w:val="none"/>
        </w:rPr>
      </w:pPr>
      <w:r>
        <w:rPr>
          <w:rFonts w:hint="eastAsia" w:ascii="宋体" w:hAnsi="宋体"/>
          <w:b/>
          <w:color w:val="auto"/>
          <w:szCs w:val="21"/>
          <w:highlight w:val="none"/>
        </w:rPr>
        <w:t>（二）技术部分（</w:t>
      </w:r>
      <w:r>
        <w:rPr>
          <w:rFonts w:hint="eastAsia" w:ascii="宋体" w:hAnsi="宋体"/>
          <w:b/>
          <w:color w:val="auto"/>
          <w:szCs w:val="21"/>
          <w:highlight w:val="none"/>
          <w:lang w:val="en-US" w:eastAsia="zh-CN"/>
        </w:rPr>
        <w:t>67</w:t>
      </w:r>
      <w:r>
        <w:rPr>
          <w:rFonts w:hint="eastAsia" w:ascii="宋体" w:hAnsi="宋体"/>
          <w:b/>
          <w:color w:val="auto"/>
          <w:szCs w:val="21"/>
          <w:highlight w:val="none"/>
        </w:rPr>
        <w:t>分）</w:t>
      </w:r>
    </w:p>
    <w:tbl>
      <w:tblPr>
        <w:tblStyle w:val="54"/>
        <w:tblW w:w="0" w:type="auto"/>
        <w:jc w:val="center"/>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1109"/>
        <w:gridCol w:w="1515"/>
        <w:gridCol w:w="5959"/>
        <w:gridCol w:w="935"/>
      </w:tblGrid>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262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评分内容</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细则内容</w:t>
            </w:r>
          </w:p>
        </w:tc>
        <w:tc>
          <w:tcPr>
            <w:tcW w:w="93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分值</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09"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技术部分（</w:t>
            </w:r>
            <w:r>
              <w:rPr>
                <w:rFonts w:hint="eastAsia" w:ascii="宋体" w:hAnsi="宋体" w:cs="宋体"/>
                <w:color w:val="auto"/>
                <w:szCs w:val="21"/>
                <w:highlight w:val="none"/>
                <w:lang w:val="en-US" w:eastAsia="zh-CN"/>
              </w:rPr>
              <w:t>67</w:t>
            </w:r>
            <w:r>
              <w:rPr>
                <w:rFonts w:hint="eastAsia" w:ascii="宋体" w:hAnsi="宋体" w:cs="宋体"/>
                <w:color w:val="auto"/>
                <w:szCs w:val="21"/>
                <w:highlight w:val="none"/>
              </w:rPr>
              <w:t>分）</w:t>
            </w:r>
          </w:p>
          <w:p>
            <w:pPr>
              <w:pStyle w:val="366"/>
              <w:spacing w:line="240" w:lineRule="auto"/>
              <w:ind w:left="5" w:hanging="5"/>
              <w:rPr>
                <w:rFonts w:hint="eastAsia"/>
                <w:color w:val="auto"/>
                <w:highlight w:val="none"/>
                <w:lang w:eastAsia="zh-CN"/>
              </w:rPr>
            </w:pPr>
          </w:p>
        </w:tc>
        <w:tc>
          <w:tcPr>
            <w:tcW w:w="1515" w:type="dxa"/>
            <w:tcBorders>
              <w:top w:val="single" w:color="auto" w:sz="4" w:space="0"/>
              <w:left w:val="single" w:color="auto" w:sz="4" w:space="0"/>
              <w:right w:val="single" w:color="auto" w:sz="4" w:space="0"/>
            </w:tcBorders>
            <w:noWrap w:val="0"/>
            <w:vAlign w:val="center"/>
          </w:tcPr>
          <w:p>
            <w:pPr>
              <w:keepNext/>
              <w:keepLines/>
              <w:kinsoku w:val="0"/>
              <w:overflowPunct w:val="0"/>
              <w:autoSpaceDN w:val="0"/>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对项目</w:t>
            </w:r>
            <w:r>
              <w:rPr>
                <w:rFonts w:hint="eastAsia" w:ascii="宋体" w:hAnsi="宋体" w:cs="宋体"/>
                <w:color w:val="auto"/>
                <w:szCs w:val="21"/>
                <w:highlight w:val="none"/>
                <w:lang w:val="en-US" w:eastAsia="zh-CN"/>
              </w:rPr>
              <w:t>需求</w:t>
            </w:r>
            <w:r>
              <w:rPr>
                <w:rFonts w:hint="eastAsia" w:ascii="宋体" w:hAnsi="宋体" w:cs="宋体"/>
                <w:color w:val="auto"/>
                <w:szCs w:val="21"/>
                <w:highlight w:val="none"/>
              </w:rPr>
              <w:t>的理解</w:t>
            </w:r>
            <w:r>
              <w:rPr>
                <w:rFonts w:hint="eastAsia" w:ascii="宋体" w:hAnsi="宋体" w:cs="宋体"/>
                <w:color w:val="auto"/>
                <w:szCs w:val="21"/>
                <w:highlight w:val="none"/>
                <w:lang w:val="en-US" w:eastAsia="zh-CN"/>
              </w:rPr>
              <w:t>与分析</w:t>
            </w:r>
          </w:p>
        </w:tc>
        <w:tc>
          <w:tcPr>
            <w:tcW w:w="5959" w:type="dxa"/>
            <w:tcBorders>
              <w:top w:val="single" w:color="auto" w:sz="4" w:space="0"/>
              <w:left w:val="single" w:color="auto" w:sz="4" w:space="0"/>
              <w:right w:val="single" w:color="auto" w:sz="4" w:space="0"/>
            </w:tcBorders>
            <w:noWrap w:val="0"/>
            <w:vAlign w:val="center"/>
          </w:tcPr>
          <w:p>
            <w:pPr>
              <w:tabs>
                <w:tab w:val="left" w:pos="4915"/>
              </w:tabs>
              <w:adjustRightInd w:val="0"/>
              <w:snapToGrid w:val="0"/>
              <w:spacing w:before="0" w:beforeLines="0" w:after="0" w:afterLines="0" w:line="240" w:lineRule="auto"/>
              <w:rPr>
                <w:rFonts w:hint="eastAsia"/>
                <w:color w:val="auto"/>
                <w:highlight w:val="none"/>
              </w:rPr>
            </w:pPr>
            <w:r>
              <w:rPr>
                <w:rFonts w:hint="eastAsia" w:ascii="宋体" w:hAnsi="宋体" w:cs="宋体"/>
                <w:color w:val="auto"/>
                <w:szCs w:val="21"/>
                <w:highlight w:val="none"/>
              </w:rPr>
              <w:t>1)对本项目背景的认识及区域的自然条件的理解，是否准确全面；</w:t>
            </w:r>
            <w:r>
              <w:rPr>
                <w:rFonts w:hint="eastAsia" w:ascii="宋体" w:hAnsi="宋体" w:eastAsia="宋体" w:cs="宋体"/>
                <w:color w:val="auto"/>
                <w:szCs w:val="21"/>
                <w:highlight w:val="none"/>
                <w:lang w:val="en-US"/>
              </w:rPr>
              <w:t>进行综合评议</w:t>
            </w:r>
            <w:r>
              <w:rPr>
                <w:rFonts w:hint="eastAsia" w:ascii="宋体" w:hAnsi="宋体" w:eastAsia="宋体" w:cs="宋体"/>
                <w:color w:val="auto"/>
                <w:szCs w:val="21"/>
                <w:highlight w:val="none"/>
              </w:rPr>
              <w:t>：</w:t>
            </w:r>
            <w:r>
              <w:rPr>
                <w:rFonts w:hint="eastAsia"/>
                <w:color w:val="auto"/>
                <w:highlight w:val="none"/>
              </w:rPr>
              <w:t>【</w:t>
            </w:r>
            <w:r>
              <w:rPr>
                <w:rFonts w:hint="eastAsia"/>
                <w:color w:val="auto"/>
                <w:highlight w:val="none"/>
                <w:lang w:val="en-US" w:eastAsia="zh-CN"/>
              </w:rPr>
              <w:t>满分4分，</w:t>
            </w:r>
            <w:r>
              <w:rPr>
                <w:rFonts w:hint="eastAsia"/>
                <w:color w:val="auto"/>
                <w:highlight w:val="none"/>
              </w:rPr>
              <w:t>打分分值范围：</w:t>
            </w:r>
            <w:r>
              <w:rPr>
                <w:rFonts w:hint="eastAsia"/>
                <w:color w:val="auto"/>
                <w:highlight w:val="none"/>
                <w:lang w:val="en-US" w:eastAsia="zh-CN"/>
              </w:rPr>
              <w:t>4、</w:t>
            </w:r>
            <w:r>
              <w:rPr>
                <w:rFonts w:hint="eastAsia"/>
                <w:color w:val="auto"/>
                <w:highlight w:val="none"/>
              </w:rPr>
              <w:t>3、2、1、0】</w:t>
            </w:r>
          </w:p>
          <w:p>
            <w:pPr>
              <w:jc w:val="left"/>
              <w:rPr>
                <w:rFonts w:hint="eastAsia" w:ascii="宋体" w:hAnsi="宋体" w:cs="宋体"/>
                <w:color w:val="auto"/>
                <w:szCs w:val="21"/>
                <w:highlight w:val="none"/>
              </w:rPr>
            </w:pPr>
            <w:r>
              <w:rPr>
                <w:rFonts w:hint="eastAsia" w:ascii="宋体" w:hAnsi="宋体" w:cs="宋体"/>
                <w:color w:val="auto"/>
                <w:szCs w:val="21"/>
                <w:highlight w:val="none"/>
              </w:rPr>
              <w:t>(2)对本项目相关</w:t>
            </w:r>
            <w:r>
              <w:rPr>
                <w:rFonts w:hint="eastAsia" w:ascii="宋体" w:hAnsi="宋体" w:cs="宋体"/>
                <w:color w:val="auto"/>
                <w:szCs w:val="21"/>
                <w:highlight w:val="none"/>
                <w:lang w:val="en-US" w:eastAsia="zh-CN"/>
              </w:rPr>
              <w:t>技术标准</w:t>
            </w:r>
            <w:r>
              <w:rPr>
                <w:rFonts w:hint="eastAsia" w:ascii="宋体" w:hAnsi="宋体" w:cs="宋体"/>
                <w:color w:val="auto"/>
                <w:szCs w:val="21"/>
                <w:highlight w:val="none"/>
              </w:rPr>
              <w:t>的理解，是否准确全面；</w:t>
            </w:r>
            <w:r>
              <w:rPr>
                <w:rFonts w:hint="eastAsia" w:ascii="宋体" w:hAnsi="宋体" w:eastAsia="宋体" w:cs="宋体"/>
                <w:color w:val="auto"/>
                <w:szCs w:val="21"/>
                <w:highlight w:val="none"/>
                <w:lang w:val="en-US"/>
              </w:rPr>
              <w:t>进行综合评议</w:t>
            </w:r>
            <w:r>
              <w:rPr>
                <w:rFonts w:hint="eastAsia" w:ascii="宋体" w:hAnsi="宋体" w:eastAsia="宋体" w:cs="宋体"/>
                <w:color w:val="auto"/>
                <w:szCs w:val="21"/>
                <w:highlight w:val="none"/>
              </w:rPr>
              <w:t>：</w:t>
            </w:r>
            <w:r>
              <w:rPr>
                <w:rFonts w:hint="eastAsia"/>
                <w:color w:val="auto"/>
                <w:highlight w:val="none"/>
              </w:rPr>
              <w:t>【</w:t>
            </w:r>
            <w:r>
              <w:rPr>
                <w:rFonts w:hint="eastAsia"/>
                <w:color w:val="auto"/>
                <w:highlight w:val="none"/>
                <w:lang w:val="en-US" w:eastAsia="zh-CN"/>
              </w:rPr>
              <w:t>满分4分，</w:t>
            </w:r>
            <w:r>
              <w:rPr>
                <w:rFonts w:hint="eastAsia"/>
                <w:color w:val="auto"/>
                <w:highlight w:val="none"/>
              </w:rPr>
              <w:t>打分分值范围：</w:t>
            </w:r>
            <w:r>
              <w:rPr>
                <w:rFonts w:hint="eastAsia"/>
                <w:color w:val="auto"/>
                <w:highlight w:val="none"/>
                <w:lang w:val="en-US" w:eastAsia="zh-CN"/>
              </w:rPr>
              <w:t>4、</w:t>
            </w:r>
            <w:r>
              <w:rPr>
                <w:rFonts w:hint="eastAsia"/>
                <w:color w:val="auto"/>
                <w:highlight w:val="none"/>
              </w:rPr>
              <w:t>3、2、1、0】</w:t>
            </w:r>
          </w:p>
          <w:p>
            <w:pPr>
              <w:keepNext w:val="0"/>
              <w:keepLines w:val="0"/>
              <w:tabs>
                <w:tab w:val="left" w:pos="4915"/>
              </w:tabs>
              <w:kinsoku/>
              <w:overflowPunct/>
              <w:adjustRightInd w:val="0"/>
              <w:snapToGrid w:val="0"/>
              <w:spacing w:beforeLines="0" w:afterLines="0"/>
              <w:jc w:val="left"/>
              <w:rPr>
                <w:rFonts w:ascii="宋体" w:hAnsi="宋体" w:cs="宋体"/>
                <w:color w:val="auto"/>
                <w:szCs w:val="21"/>
                <w:highlight w:val="none"/>
              </w:rPr>
            </w:pPr>
            <w:r>
              <w:rPr>
                <w:rFonts w:hint="eastAsia" w:ascii="宋体" w:hAnsi="宋体" w:cs="宋体"/>
                <w:color w:val="auto"/>
                <w:szCs w:val="21"/>
                <w:highlight w:val="none"/>
                <w:lang w:val="en-US" w:eastAsia="zh-CN"/>
              </w:rPr>
              <w:t>注：未提供</w:t>
            </w:r>
            <w:r>
              <w:rPr>
                <w:rFonts w:hint="eastAsia" w:ascii="宋体" w:hAnsi="宋体" w:cs="宋体"/>
                <w:color w:val="auto"/>
                <w:szCs w:val="21"/>
                <w:highlight w:val="none"/>
              </w:rPr>
              <w:t>不得分</w:t>
            </w:r>
            <w:r>
              <w:rPr>
                <w:rFonts w:hint="eastAsia" w:ascii="宋体" w:hAnsi="宋体" w:cs="宋体"/>
                <w:color w:val="auto"/>
                <w:szCs w:val="21"/>
                <w:highlight w:val="none"/>
                <w:lang w:bidi="ar"/>
              </w:rPr>
              <w:t>。</w:t>
            </w:r>
          </w:p>
        </w:tc>
        <w:tc>
          <w:tcPr>
            <w:tcW w:w="935" w:type="dxa"/>
            <w:tcBorders>
              <w:top w:val="single" w:color="auto" w:sz="4" w:space="0"/>
              <w:left w:val="single" w:color="auto" w:sz="4" w:space="0"/>
              <w:right w:val="single" w:color="auto" w:sz="4" w:space="0"/>
            </w:tcBorders>
            <w:noWrap w:val="0"/>
            <w:vAlign w:val="center"/>
          </w:tcPr>
          <w:p>
            <w:pPr>
              <w:keepNext/>
              <w:keepLines/>
              <w:kinsoku w:val="0"/>
              <w:overflowPunct w:val="0"/>
              <w:adjustRightInd w:val="0"/>
              <w:snapToGrid w:val="0"/>
              <w:jc w:val="center"/>
              <w:rPr>
                <w:rFonts w:ascii="宋体" w:hAnsi="宋体" w:cs="宋体"/>
                <w:color w:val="auto"/>
                <w:kern w:val="0"/>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544" w:hRule="atLeast"/>
          <w:jc w:val="center"/>
        </w:trPr>
        <w:tc>
          <w:tcPr>
            <w:tcW w:w="1109" w:type="dxa"/>
            <w:vMerge w:val="continue"/>
            <w:tcBorders>
              <w:left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szCs w:val="21"/>
                <w:highlight w:val="none"/>
              </w:rPr>
            </w:pPr>
            <w:r>
              <w:rPr>
                <w:rFonts w:hint="eastAsia" w:cs="Calibri"/>
                <w:color w:val="auto"/>
                <w:highlight w:val="none"/>
                <w:lang w:val="en-US" w:eastAsia="zh-CN"/>
              </w:rPr>
              <w:t>项目技术方案</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cs="宋体"/>
                <w:color w:val="FF0000"/>
                <w:szCs w:val="21"/>
                <w:highlight w:val="none"/>
              </w:rPr>
            </w:pPr>
            <w:r>
              <w:rPr>
                <w:rFonts w:hint="eastAsia" w:cs="Calibri"/>
                <w:color w:val="FF0000"/>
                <w:highlight w:val="none"/>
                <w:lang w:eastAsia="zh-CN"/>
              </w:rPr>
              <w:t>（</w:t>
            </w:r>
            <w:r>
              <w:rPr>
                <w:rFonts w:hint="eastAsia" w:cs="Calibri"/>
                <w:color w:val="FF0000"/>
                <w:highlight w:val="none"/>
                <w:lang w:val="en-US" w:eastAsia="zh-CN"/>
              </w:rPr>
              <w:t>1）对本项目的技术方案拟采用的总体技术路线进行阐述，内容是否具有针对性、技术路线是否清晰；进行综合评议：</w:t>
            </w:r>
            <w:r>
              <w:rPr>
                <w:rFonts w:hint="eastAsia"/>
                <w:color w:val="FF0000"/>
                <w:highlight w:val="none"/>
              </w:rPr>
              <w:t>【</w:t>
            </w:r>
            <w:r>
              <w:rPr>
                <w:rFonts w:hint="eastAsia"/>
                <w:color w:val="FF0000"/>
                <w:highlight w:val="none"/>
                <w:lang w:val="en-US" w:eastAsia="zh-CN"/>
              </w:rPr>
              <w:t>满分5分，</w:t>
            </w:r>
            <w:r>
              <w:rPr>
                <w:rFonts w:hint="eastAsia"/>
                <w:color w:val="FF0000"/>
                <w:highlight w:val="none"/>
              </w:rPr>
              <w:t>打分分值范围：</w:t>
            </w:r>
            <w:r>
              <w:rPr>
                <w:rFonts w:hint="eastAsia"/>
                <w:color w:val="FF0000"/>
                <w:highlight w:val="none"/>
                <w:lang w:val="en-US" w:eastAsia="zh-CN"/>
              </w:rPr>
              <w:t>5、4、</w:t>
            </w:r>
            <w:r>
              <w:rPr>
                <w:rFonts w:hint="eastAsia"/>
                <w:color w:val="FF0000"/>
                <w:highlight w:val="none"/>
              </w:rPr>
              <w:t>3、2、1、0】</w:t>
            </w:r>
          </w:p>
          <w:p>
            <w:pPr>
              <w:numPr>
                <w:ilvl w:val="0"/>
                <w:numId w:val="0"/>
              </w:numPr>
              <w:rPr>
                <w:rFonts w:hint="eastAsia"/>
                <w:color w:val="FF0000"/>
                <w:highlight w:val="none"/>
              </w:rPr>
            </w:pPr>
            <w:r>
              <w:rPr>
                <w:rFonts w:hint="eastAsia" w:cs="Calibri"/>
                <w:color w:val="FF0000"/>
                <w:highlight w:val="none"/>
                <w:lang w:eastAsia="zh-CN"/>
              </w:rPr>
              <w:t>（</w:t>
            </w:r>
            <w:r>
              <w:rPr>
                <w:rFonts w:hint="eastAsia" w:cs="Calibri"/>
                <w:color w:val="FF0000"/>
                <w:highlight w:val="none"/>
                <w:lang w:val="en-US" w:eastAsia="zh-CN"/>
              </w:rPr>
              <w:t>2）对本项目的技术方案拟采用的</w:t>
            </w:r>
            <w:r>
              <w:rPr>
                <w:rFonts w:hint="eastAsia" w:cs="Calibri"/>
                <w:color w:val="FF0000"/>
                <w:highlight w:val="none"/>
              </w:rPr>
              <w:t>内业调查</w:t>
            </w:r>
            <w:r>
              <w:rPr>
                <w:rFonts w:hint="eastAsia" w:cs="Calibri"/>
                <w:color w:val="FF0000"/>
                <w:highlight w:val="none"/>
                <w:lang w:val="en-US" w:eastAsia="zh-CN"/>
              </w:rPr>
              <w:t>进行阐述，内容是否具有针对性、清晰程度；进行综合评议：</w:t>
            </w:r>
            <w:r>
              <w:rPr>
                <w:rFonts w:hint="eastAsia"/>
                <w:color w:val="FF0000"/>
                <w:highlight w:val="none"/>
              </w:rPr>
              <w:t>【</w:t>
            </w:r>
            <w:r>
              <w:rPr>
                <w:rFonts w:hint="eastAsia"/>
                <w:color w:val="FF0000"/>
                <w:highlight w:val="none"/>
                <w:lang w:val="en-US" w:eastAsia="zh-CN"/>
              </w:rPr>
              <w:t>满分5分，</w:t>
            </w:r>
            <w:r>
              <w:rPr>
                <w:rFonts w:hint="eastAsia"/>
                <w:color w:val="FF0000"/>
                <w:highlight w:val="none"/>
              </w:rPr>
              <w:t>打分分值范围：</w:t>
            </w:r>
            <w:r>
              <w:rPr>
                <w:rFonts w:hint="eastAsia"/>
                <w:color w:val="FF0000"/>
                <w:highlight w:val="none"/>
                <w:lang w:val="en-US" w:eastAsia="zh-CN"/>
              </w:rPr>
              <w:t>5、4、</w:t>
            </w:r>
            <w:r>
              <w:rPr>
                <w:rFonts w:hint="eastAsia"/>
                <w:color w:val="FF0000"/>
                <w:highlight w:val="none"/>
              </w:rPr>
              <w:t>3、2、1、0】</w:t>
            </w:r>
          </w:p>
          <w:p>
            <w:pPr>
              <w:numPr>
                <w:ilvl w:val="0"/>
                <w:numId w:val="0"/>
              </w:numPr>
              <w:rPr>
                <w:rFonts w:hint="eastAsia" w:ascii="宋体" w:hAnsi="宋体" w:cs="宋体"/>
                <w:color w:val="FF0000"/>
                <w:szCs w:val="21"/>
                <w:highlight w:val="none"/>
              </w:rPr>
            </w:pPr>
            <w:r>
              <w:rPr>
                <w:rFonts w:hint="eastAsia" w:cs="Calibri"/>
                <w:color w:val="FF0000"/>
                <w:highlight w:val="none"/>
                <w:lang w:eastAsia="zh-CN"/>
              </w:rPr>
              <w:t>（</w:t>
            </w:r>
            <w:r>
              <w:rPr>
                <w:rFonts w:hint="eastAsia" w:cs="Calibri"/>
                <w:color w:val="FF0000"/>
                <w:highlight w:val="none"/>
                <w:lang w:val="en-US" w:eastAsia="zh-CN"/>
              </w:rPr>
              <w:t>3）对本项目的技术方案拟采用的</w:t>
            </w:r>
            <w:r>
              <w:rPr>
                <w:rFonts w:hint="eastAsia" w:cs="Calibri"/>
                <w:color w:val="FF0000"/>
                <w:highlight w:val="none"/>
              </w:rPr>
              <w:t>外业调查及举证</w:t>
            </w:r>
            <w:r>
              <w:rPr>
                <w:rFonts w:hint="eastAsia" w:cs="Calibri"/>
                <w:color w:val="FF0000"/>
                <w:highlight w:val="none"/>
                <w:lang w:val="en-US" w:eastAsia="zh-CN"/>
              </w:rPr>
              <w:t>进行阐述，内容是否具有针对性、清晰程度；进行综合评议：</w:t>
            </w:r>
            <w:r>
              <w:rPr>
                <w:rFonts w:hint="eastAsia"/>
                <w:color w:val="FF0000"/>
                <w:highlight w:val="none"/>
              </w:rPr>
              <w:t>【</w:t>
            </w:r>
            <w:r>
              <w:rPr>
                <w:rFonts w:hint="eastAsia"/>
                <w:color w:val="FF0000"/>
                <w:highlight w:val="none"/>
                <w:lang w:val="en-US" w:eastAsia="zh-CN"/>
              </w:rPr>
              <w:t>满分5分，</w:t>
            </w:r>
            <w:r>
              <w:rPr>
                <w:rFonts w:hint="eastAsia"/>
                <w:color w:val="FF0000"/>
                <w:highlight w:val="none"/>
              </w:rPr>
              <w:t>打分分值范围：</w:t>
            </w:r>
            <w:r>
              <w:rPr>
                <w:rFonts w:hint="eastAsia"/>
                <w:color w:val="FF0000"/>
                <w:highlight w:val="none"/>
                <w:lang w:val="en-US" w:eastAsia="zh-CN"/>
              </w:rPr>
              <w:t>5、4、</w:t>
            </w:r>
            <w:r>
              <w:rPr>
                <w:rFonts w:hint="eastAsia"/>
                <w:color w:val="FF0000"/>
                <w:highlight w:val="none"/>
              </w:rPr>
              <w:t>3、2、1、0】</w:t>
            </w:r>
          </w:p>
          <w:p>
            <w:pPr>
              <w:numPr>
                <w:ilvl w:val="0"/>
                <w:numId w:val="0"/>
              </w:numPr>
              <w:rPr>
                <w:rFonts w:hint="eastAsia" w:ascii="宋体" w:hAnsi="宋体" w:cs="宋体"/>
                <w:color w:val="FF0000"/>
                <w:szCs w:val="21"/>
                <w:highlight w:val="none"/>
              </w:rPr>
            </w:pPr>
            <w:r>
              <w:rPr>
                <w:rFonts w:hint="eastAsia" w:cs="Calibri"/>
                <w:color w:val="FF0000"/>
                <w:highlight w:val="none"/>
                <w:lang w:eastAsia="zh-CN"/>
              </w:rPr>
              <w:t>（</w:t>
            </w:r>
            <w:r>
              <w:rPr>
                <w:rFonts w:hint="eastAsia" w:cs="Calibri"/>
                <w:color w:val="FF0000"/>
                <w:highlight w:val="none"/>
                <w:lang w:val="en-US" w:eastAsia="zh-CN"/>
              </w:rPr>
              <w:t>4）对本项目的技术方案拟采用的数据库更新进行阐述，内容是否具有针对性、清晰程度；进行综合评议：</w:t>
            </w:r>
            <w:r>
              <w:rPr>
                <w:rFonts w:hint="eastAsia"/>
                <w:color w:val="FF0000"/>
                <w:highlight w:val="none"/>
              </w:rPr>
              <w:t>【</w:t>
            </w:r>
            <w:r>
              <w:rPr>
                <w:rFonts w:hint="eastAsia"/>
                <w:color w:val="FF0000"/>
                <w:highlight w:val="none"/>
                <w:lang w:val="en-US" w:eastAsia="zh-CN"/>
              </w:rPr>
              <w:t>满分5分，</w:t>
            </w:r>
            <w:r>
              <w:rPr>
                <w:rFonts w:hint="eastAsia"/>
                <w:color w:val="FF0000"/>
                <w:highlight w:val="none"/>
              </w:rPr>
              <w:t>打分分值范围：</w:t>
            </w:r>
            <w:r>
              <w:rPr>
                <w:rFonts w:hint="eastAsia"/>
                <w:color w:val="FF0000"/>
                <w:highlight w:val="none"/>
                <w:lang w:val="en-US" w:eastAsia="zh-CN"/>
              </w:rPr>
              <w:t>4、</w:t>
            </w:r>
            <w:r>
              <w:rPr>
                <w:rFonts w:hint="eastAsia"/>
                <w:color w:val="FF0000"/>
                <w:highlight w:val="none"/>
              </w:rPr>
              <w:t>3、2、1、0】</w:t>
            </w:r>
          </w:p>
          <w:p>
            <w:pPr>
              <w:keepNext/>
              <w:keepLines/>
              <w:kinsoku w:val="0"/>
              <w:overflowPunct w:val="0"/>
              <w:adjustRightInd w:val="0"/>
              <w:snapToGrid w:val="0"/>
              <w:jc w:val="left"/>
              <w:rPr>
                <w:rFonts w:hint="eastAsia"/>
                <w:color w:val="auto"/>
                <w:highlight w:val="none"/>
              </w:rPr>
            </w:pPr>
            <w:r>
              <w:rPr>
                <w:rFonts w:hint="eastAsia" w:ascii="宋体" w:hAnsi="宋体" w:cs="宋体"/>
                <w:color w:val="auto"/>
                <w:szCs w:val="21"/>
                <w:highlight w:val="none"/>
                <w:lang w:val="en-US" w:eastAsia="zh-CN"/>
              </w:rPr>
              <w:t>注：未提供</w:t>
            </w:r>
            <w:r>
              <w:rPr>
                <w:rFonts w:hint="eastAsia" w:ascii="宋体" w:hAnsi="宋体" w:cs="宋体"/>
                <w:color w:val="auto"/>
                <w:szCs w:val="21"/>
                <w:highlight w:val="none"/>
              </w:rPr>
              <w:t>不得分</w:t>
            </w:r>
            <w:r>
              <w:rPr>
                <w:rFonts w:hint="eastAsia" w:ascii="宋体" w:hAnsi="宋体" w:cs="宋体"/>
                <w:color w:val="auto"/>
                <w:szCs w:val="21"/>
                <w:highlight w:val="none"/>
                <w:lang w:bidi="ar"/>
              </w:rPr>
              <w:t>。</w:t>
            </w:r>
          </w:p>
        </w:tc>
        <w:tc>
          <w:tcPr>
            <w:tcW w:w="935" w:type="dxa"/>
            <w:tcBorders>
              <w:top w:val="single" w:color="auto" w:sz="4" w:space="0"/>
              <w:left w:val="single" w:color="auto" w:sz="4" w:space="0"/>
              <w:right w:val="single" w:color="auto" w:sz="4" w:space="0"/>
            </w:tcBorders>
            <w:noWrap w:val="0"/>
            <w:vAlign w:val="center"/>
          </w:tcPr>
          <w:p>
            <w:pPr>
              <w:keepNext/>
              <w:keepLines/>
              <w:kinsoku w:val="0"/>
              <w:overflowPunct w:val="0"/>
              <w:adjustRightInd w:val="0"/>
              <w:snapToGrid w:val="0"/>
              <w:jc w:val="center"/>
              <w:rPr>
                <w:rFonts w:hint="eastAsia" w:ascii="宋体" w:hAnsi="宋体" w:cs="宋体"/>
                <w:color w:val="auto"/>
                <w:szCs w:val="21"/>
                <w:highlight w:val="none"/>
              </w:rPr>
            </w:pPr>
            <w:r>
              <w:rPr>
                <w:rFonts w:hint="eastAsia" w:ascii="宋体" w:hAnsi="宋体" w:cs="宋体"/>
                <w:color w:val="FF0000"/>
                <w:szCs w:val="21"/>
                <w:highlight w:val="none"/>
              </w:rPr>
              <w:t>0-</w:t>
            </w:r>
            <w:r>
              <w:rPr>
                <w:rFonts w:hint="eastAsia" w:ascii="宋体" w:hAnsi="宋体" w:cs="宋体"/>
                <w:color w:val="FF0000"/>
                <w:szCs w:val="21"/>
                <w:highlight w:val="none"/>
                <w:lang w:val="en-US" w:eastAsia="zh-CN"/>
              </w:rPr>
              <w:t>19</w:t>
            </w:r>
            <w:r>
              <w:rPr>
                <w:rFonts w:hint="eastAsia" w:ascii="宋体" w:hAnsi="宋体" w:cs="宋体"/>
                <w:color w:val="FF0000"/>
                <w:szCs w:val="21"/>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1109" w:type="dxa"/>
            <w:vMerge w:val="continue"/>
            <w:tcBorders>
              <w:left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bCs/>
                <w:color w:val="auto"/>
                <w:spacing w:val="0"/>
                <w:sz w:val="24"/>
                <w:szCs w:val="24"/>
                <w:highlight w:val="none"/>
              </w:rPr>
              <w:t>项目组织实施方案</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0"/>
              </w:numPr>
              <w:kinsoku/>
              <w:overflowPunct/>
              <w:adjustRightInd/>
              <w:snapToGrid/>
              <w:jc w:val="left"/>
              <w:rPr>
                <w:rFonts w:hint="eastAsia" w:ascii="宋体" w:hAnsi="宋体" w:cs="宋体"/>
                <w:color w:val="auto"/>
                <w:szCs w:val="21"/>
                <w:highlight w:val="none"/>
              </w:rPr>
            </w:pPr>
            <w:r>
              <w:rPr>
                <w:rFonts w:hint="eastAsia" w:cs="Calibri"/>
                <w:color w:val="auto"/>
                <w:highlight w:val="none"/>
                <w:lang w:val="en-US" w:eastAsia="zh-CN"/>
              </w:rPr>
              <w:t>（1）本项目</w:t>
            </w:r>
            <w:r>
              <w:rPr>
                <w:rFonts w:hint="eastAsia" w:ascii="Times New Roman" w:hAnsi="Times New Roman" w:eastAsia="宋体" w:cs="Calibri"/>
                <w:color w:val="auto"/>
                <w:sz w:val="21"/>
                <w:highlight w:val="none"/>
              </w:rPr>
              <w:t>实施的工作程序、流程</w:t>
            </w:r>
            <w:r>
              <w:rPr>
                <w:rFonts w:hint="eastAsia" w:ascii="Times New Roman" w:hAnsi="Times New Roman" w:eastAsia="宋体" w:cs="Calibri"/>
                <w:color w:val="auto"/>
                <w:sz w:val="21"/>
                <w:highlight w:val="none"/>
                <w:lang w:val="en-US" w:eastAsia="zh-CN"/>
              </w:rPr>
              <w:t>进行综合评议</w:t>
            </w:r>
            <w:r>
              <w:rPr>
                <w:rFonts w:hint="eastAsia" w:ascii="宋体" w:hAnsi="宋体" w:eastAsia="宋体" w:cs="宋体"/>
                <w:color w:val="auto"/>
                <w:szCs w:val="21"/>
                <w:highlight w:val="none"/>
              </w:rPr>
              <w:t>：</w:t>
            </w:r>
            <w:r>
              <w:rPr>
                <w:rFonts w:hint="eastAsia"/>
                <w:color w:val="auto"/>
                <w:highlight w:val="none"/>
              </w:rPr>
              <w:t>【</w:t>
            </w:r>
            <w:r>
              <w:rPr>
                <w:rFonts w:hint="eastAsia"/>
                <w:color w:val="auto"/>
                <w:highlight w:val="none"/>
                <w:lang w:val="en-US" w:eastAsia="zh-CN"/>
              </w:rPr>
              <w:t>满分5分，</w:t>
            </w:r>
            <w:r>
              <w:rPr>
                <w:rFonts w:hint="eastAsia"/>
                <w:color w:val="auto"/>
                <w:highlight w:val="none"/>
              </w:rPr>
              <w:t>打分分值范围：</w:t>
            </w:r>
            <w:r>
              <w:rPr>
                <w:rFonts w:hint="eastAsia"/>
                <w:color w:val="auto"/>
                <w:highlight w:val="none"/>
                <w:lang w:val="en-US" w:eastAsia="zh-CN"/>
              </w:rPr>
              <w:t>5、4、</w:t>
            </w:r>
            <w:r>
              <w:rPr>
                <w:rFonts w:hint="eastAsia"/>
                <w:color w:val="auto"/>
                <w:highlight w:val="none"/>
              </w:rPr>
              <w:t>3、2、1、0】</w:t>
            </w:r>
          </w:p>
          <w:p>
            <w:pPr>
              <w:numPr>
                <w:ilvl w:val="0"/>
                <w:numId w:val="0"/>
              </w:numPr>
              <w:rPr>
                <w:rFonts w:hint="eastAsia" w:cs="Calibri"/>
                <w:color w:val="auto"/>
                <w:sz w:val="21"/>
                <w:highlight w:val="none"/>
                <w:lang w:val="en-US" w:eastAsia="zh-CN"/>
              </w:rPr>
            </w:pPr>
          </w:p>
          <w:p>
            <w:pPr>
              <w:keepNext w:val="0"/>
              <w:keepLines w:val="0"/>
              <w:numPr>
                <w:ilvl w:val="0"/>
                <w:numId w:val="0"/>
              </w:numPr>
              <w:kinsoku/>
              <w:overflowPunct/>
              <w:adjustRightInd/>
              <w:snapToGrid/>
              <w:jc w:val="left"/>
              <w:rPr>
                <w:rFonts w:hint="eastAsia" w:ascii="宋体" w:hAnsi="宋体" w:cs="宋体"/>
                <w:color w:val="auto"/>
                <w:szCs w:val="21"/>
                <w:highlight w:val="none"/>
              </w:rPr>
            </w:pPr>
            <w:r>
              <w:rPr>
                <w:rFonts w:hint="eastAsia" w:cs="Calibri"/>
                <w:color w:val="auto"/>
                <w:highlight w:val="none"/>
                <w:lang w:eastAsia="zh-CN"/>
              </w:rPr>
              <w:t>（</w:t>
            </w:r>
            <w:r>
              <w:rPr>
                <w:rFonts w:hint="eastAsia" w:cs="Calibri"/>
                <w:color w:val="auto"/>
                <w:highlight w:val="none"/>
                <w:lang w:val="en-US" w:eastAsia="zh-CN"/>
              </w:rPr>
              <w:t>2</w:t>
            </w:r>
            <w:r>
              <w:rPr>
                <w:rFonts w:hint="eastAsia" w:cs="Calibri"/>
                <w:color w:val="auto"/>
                <w:highlight w:val="none"/>
                <w:lang w:eastAsia="zh-CN"/>
              </w:rPr>
              <w:t>）</w:t>
            </w:r>
            <w:r>
              <w:rPr>
                <w:rFonts w:hint="eastAsia" w:cs="Calibri"/>
                <w:color w:val="auto"/>
                <w:highlight w:val="none"/>
              </w:rPr>
              <w:t>本项目实施方案，如项目管理方案、先进施测方法、安全技术措施、文明施测等情况进行</w:t>
            </w:r>
            <w:r>
              <w:rPr>
                <w:rFonts w:hint="eastAsia" w:cs="Calibri"/>
                <w:color w:val="auto"/>
                <w:highlight w:val="none"/>
                <w:lang w:val="en-US" w:eastAsia="zh-CN"/>
              </w:rPr>
              <w:t>综合评议</w:t>
            </w:r>
            <w:r>
              <w:rPr>
                <w:rFonts w:hint="eastAsia" w:ascii="宋体" w:hAnsi="宋体" w:eastAsia="宋体" w:cs="宋体"/>
                <w:color w:val="auto"/>
                <w:szCs w:val="21"/>
                <w:highlight w:val="none"/>
              </w:rPr>
              <w:t>：</w:t>
            </w:r>
            <w:r>
              <w:rPr>
                <w:rFonts w:hint="eastAsia"/>
                <w:color w:val="auto"/>
                <w:highlight w:val="none"/>
              </w:rPr>
              <w:t>【</w:t>
            </w:r>
            <w:r>
              <w:rPr>
                <w:rFonts w:hint="eastAsia"/>
                <w:color w:val="auto"/>
                <w:highlight w:val="none"/>
                <w:lang w:val="en-US" w:eastAsia="zh-CN"/>
              </w:rPr>
              <w:t>满分5分，</w:t>
            </w:r>
            <w:r>
              <w:rPr>
                <w:rFonts w:hint="eastAsia"/>
                <w:color w:val="auto"/>
                <w:highlight w:val="none"/>
              </w:rPr>
              <w:t>打分分值范围：</w:t>
            </w:r>
            <w:r>
              <w:rPr>
                <w:rFonts w:hint="eastAsia"/>
                <w:color w:val="auto"/>
                <w:highlight w:val="none"/>
                <w:lang w:val="en-US" w:eastAsia="zh-CN"/>
              </w:rPr>
              <w:t>5、4、</w:t>
            </w:r>
            <w:r>
              <w:rPr>
                <w:rFonts w:hint="eastAsia"/>
                <w:color w:val="auto"/>
                <w:highlight w:val="none"/>
              </w:rPr>
              <w:t>3、2、1、0】</w:t>
            </w:r>
          </w:p>
          <w:p>
            <w:pPr>
              <w:numPr>
                <w:ilvl w:val="0"/>
                <w:numId w:val="0"/>
              </w:numPr>
              <w:rPr>
                <w:rFonts w:hint="eastAsia" w:cs="Calibri"/>
                <w:color w:val="auto"/>
                <w:highlight w:val="none"/>
                <w:lang w:val="en-US" w:eastAsia="zh-CN"/>
              </w:rPr>
            </w:pPr>
            <w:r>
              <w:rPr>
                <w:rFonts w:hint="eastAsia" w:ascii="宋体" w:hAnsi="宋体" w:cs="宋体"/>
                <w:color w:val="auto"/>
                <w:szCs w:val="21"/>
                <w:highlight w:val="none"/>
                <w:lang w:val="en-US" w:eastAsia="zh-CN"/>
              </w:rPr>
              <w:t>注：未提供</w:t>
            </w:r>
            <w:r>
              <w:rPr>
                <w:rFonts w:hint="eastAsia" w:ascii="宋体" w:hAnsi="宋体" w:cs="宋体"/>
                <w:color w:val="auto"/>
                <w:szCs w:val="21"/>
                <w:highlight w:val="none"/>
              </w:rPr>
              <w:t>不得分</w:t>
            </w:r>
            <w:r>
              <w:rPr>
                <w:rFonts w:hint="eastAsia" w:ascii="宋体" w:hAnsi="宋体" w:cs="宋体"/>
                <w:color w:val="auto"/>
                <w:szCs w:val="21"/>
                <w:highlight w:val="none"/>
                <w:lang w:bidi="ar"/>
              </w:rPr>
              <w:t>。</w:t>
            </w:r>
          </w:p>
          <w:p>
            <w:pPr>
              <w:numPr>
                <w:ilvl w:val="0"/>
                <w:numId w:val="0"/>
              </w:numPr>
              <w:rPr>
                <w:color w:val="auto"/>
                <w:highlight w:val="none"/>
              </w:rPr>
            </w:pPr>
          </w:p>
        </w:tc>
        <w:tc>
          <w:tcPr>
            <w:tcW w:w="935" w:type="dxa"/>
            <w:tcBorders>
              <w:top w:val="single" w:color="auto" w:sz="4" w:space="0"/>
              <w:left w:val="single" w:color="auto" w:sz="4" w:space="0"/>
              <w:right w:val="single" w:color="auto" w:sz="4" w:space="0"/>
            </w:tcBorders>
            <w:noWrap w:val="0"/>
            <w:vAlign w:val="center"/>
          </w:tcPr>
          <w:p>
            <w:pPr>
              <w:keepLines/>
              <w:adjustRightInd w:val="0"/>
              <w:snapToGrid w:val="0"/>
              <w:jc w:val="center"/>
              <w:rPr>
                <w:bCs/>
                <w:color w:val="auto"/>
                <w:highlight w:val="none"/>
              </w:rPr>
            </w:pPr>
            <w:r>
              <w:rPr>
                <w:rFonts w:hint="eastAsia" w:ascii="宋体" w:hAnsi="宋体" w:cs="宋体"/>
                <w:color w:val="auto"/>
                <w:szCs w:val="21"/>
                <w:highlight w:val="none"/>
                <w:lang w:val="en-US" w:eastAsia="zh-CN"/>
              </w:rPr>
              <w:t>0-10分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586" w:hRule="atLeast"/>
          <w:jc w:val="center"/>
        </w:trPr>
        <w:tc>
          <w:tcPr>
            <w:tcW w:w="1109" w:type="dxa"/>
            <w:vMerge w:val="continue"/>
            <w:tcBorders>
              <w:left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重难点分析</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0"/>
              </w:numPr>
              <w:kinsoku/>
              <w:overflowPunct/>
              <w:autoSpaceDE w:val="0"/>
              <w:adjustRightInd/>
              <w:snapToGrid/>
              <w:spacing w:line="360" w:lineRule="exact"/>
              <w:ind w:firstLine="218" w:firstLineChars="104"/>
              <w:jc w:val="left"/>
              <w:rPr>
                <w:rFonts w:hint="eastAsia" w:ascii="宋体" w:hAnsi="宋体" w:cs="宋体"/>
                <w:color w:val="auto"/>
                <w:szCs w:val="21"/>
                <w:highlight w:val="none"/>
              </w:rPr>
            </w:pPr>
            <w:r>
              <w:rPr>
                <w:rFonts w:hint="eastAsia" w:ascii="宋体" w:hAnsi="宋体" w:eastAsia="宋体" w:cs="宋体"/>
                <w:color w:val="auto"/>
                <w:sz w:val="21"/>
                <w:szCs w:val="21"/>
                <w:highlight w:val="none"/>
                <w:lang w:bidi="ar"/>
              </w:rPr>
              <w:t>本项目工作的重点、难点把握情况，解决方案进行</w:t>
            </w:r>
            <w:r>
              <w:rPr>
                <w:rFonts w:hint="eastAsia" w:ascii="宋体" w:hAnsi="宋体" w:cs="宋体"/>
                <w:color w:val="auto"/>
                <w:sz w:val="21"/>
                <w:szCs w:val="21"/>
                <w:highlight w:val="none"/>
                <w:lang w:val="en-US" w:eastAsia="zh-CN" w:bidi="ar"/>
              </w:rPr>
              <w:t>综合评议</w:t>
            </w:r>
            <w:r>
              <w:rPr>
                <w:rFonts w:hint="eastAsia" w:ascii="宋体" w:hAnsi="宋体" w:eastAsia="宋体" w:cs="宋体"/>
                <w:color w:val="auto"/>
                <w:szCs w:val="21"/>
                <w:highlight w:val="none"/>
              </w:rPr>
              <w:t>：</w:t>
            </w:r>
            <w:r>
              <w:rPr>
                <w:rFonts w:hint="eastAsia"/>
                <w:color w:val="auto"/>
                <w:highlight w:val="none"/>
              </w:rPr>
              <w:t>【</w:t>
            </w:r>
            <w:r>
              <w:rPr>
                <w:rFonts w:hint="eastAsia"/>
                <w:color w:val="auto"/>
                <w:highlight w:val="none"/>
                <w:lang w:val="en-US" w:eastAsia="zh-CN"/>
              </w:rPr>
              <w:t>满分5分，</w:t>
            </w:r>
            <w:r>
              <w:rPr>
                <w:rFonts w:hint="eastAsia"/>
                <w:color w:val="auto"/>
                <w:highlight w:val="none"/>
              </w:rPr>
              <w:t>打分分值范围：</w:t>
            </w:r>
            <w:r>
              <w:rPr>
                <w:rFonts w:hint="eastAsia"/>
                <w:color w:val="auto"/>
                <w:highlight w:val="none"/>
                <w:lang w:val="en-US" w:eastAsia="zh-CN"/>
              </w:rPr>
              <w:t>5、4、</w:t>
            </w:r>
            <w:r>
              <w:rPr>
                <w:rFonts w:hint="eastAsia"/>
                <w:color w:val="auto"/>
                <w:highlight w:val="none"/>
              </w:rPr>
              <w:t>3、2、1、0】</w:t>
            </w:r>
          </w:p>
          <w:p>
            <w:pPr>
              <w:autoSpaceDE w:val="0"/>
              <w:spacing w:line="360" w:lineRule="exact"/>
              <w:ind w:firstLine="218" w:firstLineChars="104"/>
              <w:rPr>
                <w:rFonts w:hint="eastAsia" w:ascii="宋体" w:hAnsi="宋体" w:cs="宋体"/>
                <w:color w:val="auto"/>
                <w:szCs w:val="21"/>
                <w:highlight w:val="none"/>
              </w:rPr>
            </w:pPr>
            <w:r>
              <w:rPr>
                <w:rFonts w:hint="eastAsia" w:ascii="宋体" w:hAnsi="宋体" w:cs="宋体"/>
                <w:color w:val="auto"/>
                <w:szCs w:val="21"/>
                <w:highlight w:val="none"/>
                <w:lang w:val="en-US" w:eastAsia="zh-CN"/>
              </w:rPr>
              <w:t>注：未提供</w:t>
            </w:r>
            <w:r>
              <w:rPr>
                <w:rFonts w:hint="eastAsia" w:ascii="宋体" w:hAnsi="宋体" w:cs="宋体"/>
                <w:color w:val="auto"/>
                <w:szCs w:val="21"/>
                <w:highlight w:val="none"/>
              </w:rPr>
              <w:t>不得分</w:t>
            </w:r>
            <w:r>
              <w:rPr>
                <w:rFonts w:hint="eastAsia" w:ascii="宋体" w:hAnsi="宋体" w:cs="宋体"/>
                <w:color w:val="auto"/>
                <w:szCs w:val="21"/>
                <w:highlight w:val="none"/>
                <w:lang w:bidi="ar"/>
              </w:rPr>
              <w:t>。</w:t>
            </w:r>
          </w:p>
        </w:tc>
        <w:tc>
          <w:tcPr>
            <w:tcW w:w="935" w:type="dxa"/>
            <w:tcBorders>
              <w:top w:val="single" w:color="auto" w:sz="4" w:space="0"/>
              <w:left w:val="single" w:color="auto" w:sz="4" w:space="0"/>
              <w:right w:val="single" w:color="auto" w:sz="4" w:space="0"/>
            </w:tcBorders>
            <w:noWrap w:val="0"/>
            <w:vAlign w:val="center"/>
          </w:tcPr>
          <w:p>
            <w:pPr>
              <w:keepLines/>
              <w:adjustRightInd w:val="0"/>
              <w:snapToGrid w:val="0"/>
              <w:jc w:val="center"/>
              <w:rPr>
                <w:rFonts w:hint="eastAsia"/>
                <w:bCs/>
                <w:color w:val="auto"/>
                <w:highlight w:val="none"/>
              </w:rPr>
            </w:pPr>
            <w:r>
              <w:rPr>
                <w:rFonts w:hint="eastAsia" w:ascii="宋体" w:hAnsi="宋体" w:cs="宋体"/>
                <w:color w:val="auto"/>
                <w:szCs w:val="21"/>
                <w:highlight w:val="none"/>
                <w:lang w:val="en-US" w:eastAsia="zh-CN" w:bidi="ar"/>
              </w:rPr>
              <w:t>0-5分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586" w:hRule="atLeast"/>
          <w:jc w:val="center"/>
        </w:trPr>
        <w:tc>
          <w:tcPr>
            <w:tcW w:w="1109" w:type="dxa"/>
            <w:vMerge w:val="continue"/>
            <w:tcBorders>
              <w:left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Calibri" w:hAnsi="Calibri"/>
                <w:color w:val="auto"/>
                <w:highlight w:val="none"/>
              </w:rPr>
            </w:pPr>
            <w:r>
              <w:rPr>
                <w:color w:val="auto"/>
                <w:highlight w:val="none"/>
              </w:rPr>
              <w:t>项目保密措施</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autoSpaceDE/>
              <w:spacing w:line="240" w:lineRule="auto"/>
              <w:ind w:firstLine="0" w:firstLineChars="0"/>
              <w:rPr>
                <w:rFonts w:ascii="宋体" w:hAnsi="宋体" w:cs="宋体"/>
                <w:color w:val="auto"/>
                <w:szCs w:val="21"/>
                <w:highlight w:val="none"/>
                <w:lang w:bidi="ar"/>
              </w:rPr>
            </w:pPr>
            <w:r>
              <w:rPr>
                <w:rFonts w:hint="eastAsia"/>
                <w:color w:val="auto"/>
                <w:highlight w:val="none"/>
                <w:lang w:val="en-US" w:eastAsia="zh-CN"/>
              </w:rPr>
              <w:t>本</w:t>
            </w:r>
            <w:r>
              <w:rPr>
                <w:color w:val="auto"/>
                <w:highlight w:val="none"/>
              </w:rPr>
              <w:t>项目保密措施</w:t>
            </w:r>
            <w:r>
              <w:rPr>
                <w:rFonts w:hint="eastAsia" w:eastAsia="宋体"/>
                <w:color w:val="auto"/>
                <w:highlight w:val="none"/>
                <w:lang w:eastAsia="zh-CN"/>
              </w:rPr>
              <w:t>、</w:t>
            </w:r>
            <w:r>
              <w:rPr>
                <w:rFonts w:hint="eastAsia" w:eastAsia="宋体"/>
                <w:color w:val="auto"/>
                <w:highlight w:val="none"/>
                <w:lang w:val="en-US" w:eastAsia="zh-CN"/>
              </w:rPr>
              <w:t>保密制度进行综合评议：</w:t>
            </w:r>
            <w:r>
              <w:rPr>
                <w:rFonts w:hint="eastAsia"/>
                <w:color w:val="auto"/>
                <w:highlight w:val="none"/>
              </w:rPr>
              <w:t>【</w:t>
            </w:r>
            <w:r>
              <w:rPr>
                <w:rFonts w:hint="eastAsia"/>
                <w:color w:val="auto"/>
                <w:highlight w:val="none"/>
                <w:lang w:val="en-US" w:eastAsia="zh-CN"/>
              </w:rPr>
              <w:t>满分5分，</w:t>
            </w:r>
            <w:r>
              <w:rPr>
                <w:rFonts w:hint="eastAsia"/>
                <w:color w:val="auto"/>
                <w:highlight w:val="none"/>
              </w:rPr>
              <w:t>打分分值范围：</w:t>
            </w:r>
            <w:r>
              <w:rPr>
                <w:rFonts w:hint="eastAsia"/>
                <w:color w:val="auto"/>
                <w:highlight w:val="none"/>
                <w:lang w:val="en-US" w:eastAsia="zh-CN"/>
              </w:rPr>
              <w:t>5、4、</w:t>
            </w:r>
            <w:r>
              <w:rPr>
                <w:rFonts w:hint="eastAsia"/>
                <w:color w:val="auto"/>
                <w:highlight w:val="none"/>
              </w:rPr>
              <w:t>3、2、1、0】</w:t>
            </w:r>
          </w:p>
          <w:p>
            <w:pPr>
              <w:pStyle w:val="3"/>
              <w:ind w:firstLine="210"/>
              <w:rPr>
                <w:rFonts w:hint="eastAsia"/>
                <w:color w:val="auto"/>
                <w:highlight w:val="none"/>
              </w:rPr>
            </w:pPr>
            <w:r>
              <w:rPr>
                <w:rFonts w:hint="eastAsia" w:ascii="宋体" w:hAnsi="宋体" w:cs="宋体"/>
                <w:color w:val="auto"/>
                <w:szCs w:val="21"/>
                <w:highlight w:val="none"/>
                <w:lang w:val="en-US" w:eastAsia="zh-CN"/>
              </w:rPr>
              <w:t>注：未提供</w:t>
            </w:r>
            <w:r>
              <w:rPr>
                <w:rFonts w:hint="eastAsia" w:ascii="宋体" w:hAnsi="宋体" w:cs="宋体"/>
                <w:color w:val="auto"/>
                <w:szCs w:val="21"/>
                <w:highlight w:val="none"/>
              </w:rPr>
              <w:t>不得分</w:t>
            </w:r>
            <w:r>
              <w:rPr>
                <w:rFonts w:hint="eastAsia" w:ascii="宋体" w:hAnsi="宋体" w:cs="宋体"/>
                <w:color w:val="auto"/>
                <w:szCs w:val="21"/>
                <w:highlight w:val="none"/>
                <w:lang w:bidi="ar"/>
              </w:rPr>
              <w:t>。</w:t>
            </w:r>
          </w:p>
        </w:tc>
        <w:tc>
          <w:tcPr>
            <w:tcW w:w="935" w:type="dxa"/>
            <w:tcBorders>
              <w:top w:val="single" w:color="auto" w:sz="4" w:space="0"/>
              <w:left w:val="single" w:color="auto" w:sz="4" w:space="0"/>
              <w:right w:val="single" w:color="auto" w:sz="4" w:space="0"/>
            </w:tcBorders>
            <w:noWrap w:val="0"/>
            <w:vAlign w:val="center"/>
          </w:tcPr>
          <w:p>
            <w:pPr>
              <w:keepLines/>
              <w:adjustRightInd w:val="0"/>
              <w:snapToGrid w:val="0"/>
              <w:jc w:val="center"/>
              <w:rPr>
                <w:rFonts w:hint="eastAsia"/>
                <w:bCs/>
                <w:color w:val="auto"/>
                <w:highlight w:val="none"/>
              </w:rPr>
            </w:pPr>
            <w:r>
              <w:rPr>
                <w:rFonts w:hint="eastAsia" w:ascii="宋体" w:hAnsi="宋体" w:cs="宋体"/>
                <w:color w:val="auto"/>
                <w:szCs w:val="21"/>
                <w:highlight w:val="none"/>
                <w:lang w:bidi="ar"/>
              </w:rPr>
              <w:t>0</w:t>
            </w:r>
            <w:r>
              <w:rPr>
                <w:rFonts w:ascii="宋体" w:hAnsi="宋体" w:cs="宋体"/>
                <w:color w:val="auto"/>
                <w:szCs w:val="21"/>
                <w:highlight w:val="none"/>
                <w:lang w:bidi="ar"/>
              </w:rPr>
              <w:t>-</w:t>
            </w:r>
            <w:r>
              <w:rPr>
                <w:rFonts w:hint="eastAsia" w:ascii="宋体" w:hAnsi="宋体" w:cs="宋体"/>
                <w:color w:val="auto"/>
                <w:szCs w:val="21"/>
                <w:highlight w:val="none"/>
                <w:lang w:bidi="ar"/>
              </w:rPr>
              <w:t>5分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109" w:type="dxa"/>
            <w:vMerge w:val="continue"/>
            <w:tcBorders>
              <w:left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工作计划及进度保障措施</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widowControl/>
              <w:autoSpaceDE/>
              <w:spacing w:line="360" w:lineRule="exact"/>
              <w:ind w:firstLine="218" w:firstLineChars="104"/>
              <w:jc w:val="left"/>
              <w:rPr>
                <w:rFonts w:ascii="宋体" w:hAnsi="宋体" w:cs="宋体"/>
                <w:color w:val="auto"/>
                <w:szCs w:val="21"/>
                <w:highlight w:val="none"/>
                <w:lang w:bidi="ar"/>
              </w:rPr>
            </w:pPr>
            <w:r>
              <w:rPr>
                <w:rFonts w:hint="eastAsia" w:ascii="宋体" w:hAnsi="宋体" w:cs="宋体"/>
                <w:color w:val="auto"/>
                <w:szCs w:val="21"/>
                <w:highlight w:val="none"/>
                <w:lang w:bidi="ar"/>
              </w:rPr>
              <w:t>项目整体</w:t>
            </w:r>
            <w:r>
              <w:rPr>
                <w:rFonts w:hint="eastAsia" w:ascii="宋体" w:hAnsi="宋体" w:cs="宋体"/>
                <w:color w:val="auto"/>
                <w:szCs w:val="21"/>
                <w:highlight w:val="none"/>
                <w:lang w:val="en-US" w:eastAsia="zh-CN" w:bidi="ar"/>
              </w:rPr>
              <w:t>工作计划、进度保障做事进行综合评议</w:t>
            </w:r>
            <w:r>
              <w:rPr>
                <w:rFonts w:hint="eastAsia" w:eastAsia="宋体"/>
                <w:color w:val="auto"/>
                <w:highlight w:val="none"/>
                <w:lang w:val="en-US" w:eastAsia="zh-CN"/>
              </w:rPr>
              <w:t>：</w:t>
            </w:r>
            <w:r>
              <w:rPr>
                <w:rFonts w:hint="eastAsia"/>
                <w:color w:val="auto"/>
                <w:highlight w:val="none"/>
              </w:rPr>
              <w:t>【</w:t>
            </w:r>
            <w:r>
              <w:rPr>
                <w:rFonts w:hint="eastAsia"/>
                <w:color w:val="auto"/>
                <w:highlight w:val="none"/>
                <w:lang w:val="en-US" w:eastAsia="zh-CN"/>
              </w:rPr>
              <w:t>满分5分，</w:t>
            </w:r>
            <w:r>
              <w:rPr>
                <w:rFonts w:hint="eastAsia"/>
                <w:color w:val="auto"/>
                <w:highlight w:val="none"/>
              </w:rPr>
              <w:t>打分分值范围：</w:t>
            </w:r>
            <w:r>
              <w:rPr>
                <w:rFonts w:hint="eastAsia"/>
                <w:color w:val="auto"/>
                <w:highlight w:val="none"/>
                <w:lang w:val="en-US" w:eastAsia="zh-CN"/>
              </w:rPr>
              <w:t>5、4、</w:t>
            </w:r>
            <w:r>
              <w:rPr>
                <w:rFonts w:hint="eastAsia"/>
                <w:color w:val="auto"/>
                <w:highlight w:val="none"/>
              </w:rPr>
              <w:t>3、2、1、0】</w:t>
            </w:r>
          </w:p>
          <w:p>
            <w:pPr>
              <w:widowControl/>
              <w:autoSpaceDE/>
              <w:spacing w:line="360" w:lineRule="exact"/>
              <w:ind w:firstLine="218" w:firstLineChars="104"/>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注：未提供</w:t>
            </w:r>
            <w:r>
              <w:rPr>
                <w:rFonts w:hint="eastAsia" w:ascii="宋体" w:hAnsi="宋体" w:cs="宋体"/>
                <w:color w:val="auto"/>
                <w:szCs w:val="21"/>
                <w:highlight w:val="none"/>
              </w:rPr>
              <w:t>不得分</w:t>
            </w:r>
            <w:r>
              <w:rPr>
                <w:rFonts w:hint="eastAsia" w:ascii="宋体" w:hAnsi="宋体" w:cs="宋体"/>
                <w:color w:val="auto"/>
                <w:szCs w:val="21"/>
                <w:highlight w:val="none"/>
                <w:lang w:bidi="ar"/>
              </w:rPr>
              <w:t>。</w:t>
            </w:r>
          </w:p>
        </w:tc>
        <w:tc>
          <w:tcPr>
            <w:tcW w:w="935" w:type="dxa"/>
            <w:tcBorders>
              <w:top w:val="single" w:color="auto" w:sz="4" w:space="0"/>
              <w:left w:val="single" w:color="auto" w:sz="4" w:space="0"/>
              <w:right w:val="single" w:color="auto" w:sz="4" w:space="0"/>
            </w:tcBorders>
            <w:noWrap w:val="0"/>
            <w:vAlign w:val="center"/>
          </w:tcPr>
          <w:p>
            <w:pPr>
              <w:spacing w:line="360" w:lineRule="exact"/>
              <w:jc w:val="center"/>
              <w:rPr>
                <w:bCs/>
                <w:color w:val="auto"/>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109" w:type="dxa"/>
            <w:vMerge w:val="continue"/>
            <w:tcBorders>
              <w:left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应急处理措施</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60" w:lineRule="exact"/>
              <w:ind w:firstLine="218" w:firstLineChars="104"/>
              <w:jc w:val="left"/>
              <w:rPr>
                <w:rFonts w:ascii="宋体" w:hAnsi="宋体" w:cs="宋体"/>
                <w:color w:val="auto"/>
                <w:szCs w:val="21"/>
                <w:highlight w:val="none"/>
                <w:lang w:bidi="ar"/>
              </w:rPr>
            </w:pPr>
            <w:r>
              <w:rPr>
                <w:rFonts w:hint="eastAsia" w:ascii="宋体" w:hAnsi="宋体" w:cs="宋体"/>
                <w:color w:val="auto"/>
                <w:szCs w:val="21"/>
                <w:highlight w:val="none"/>
                <w:lang w:val="en-US" w:eastAsia="zh-CN"/>
              </w:rPr>
              <w:t>本项目的</w:t>
            </w:r>
            <w:r>
              <w:rPr>
                <w:rFonts w:hint="eastAsia" w:ascii="宋体" w:hAnsi="宋体" w:cs="宋体"/>
                <w:color w:val="auto"/>
                <w:szCs w:val="21"/>
                <w:highlight w:val="none"/>
              </w:rPr>
              <w:t>紧急事件、重大事件、不可抗力等事项提出的应急处理方案进行情况进行综合</w:t>
            </w:r>
            <w:r>
              <w:rPr>
                <w:rFonts w:hint="eastAsia" w:ascii="宋体" w:hAnsi="宋体" w:cs="宋体"/>
                <w:color w:val="auto"/>
                <w:szCs w:val="21"/>
                <w:highlight w:val="none"/>
                <w:lang w:val="en-US" w:eastAsia="zh-CN"/>
              </w:rPr>
              <w:t>评议</w:t>
            </w:r>
            <w:r>
              <w:rPr>
                <w:rFonts w:hint="eastAsia" w:eastAsia="宋体"/>
                <w:color w:val="auto"/>
                <w:highlight w:val="none"/>
                <w:lang w:val="en-US" w:eastAsia="zh-CN"/>
              </w:rPr>
              <w:t>：</w:t>
            </w:r>
            <w:r>
              <w:rPr>
                <w:rFonts w:hint="eastAsia"/>
                <w:color w:val="FF0000"/>
                <w:highlight w:val="none"/>
              </w:rPr>
              <w:t>【</w:t>
            </w:r>
            <w:r>
              <w:rPr>
                <w:rFonts w:hint="eastAsia"/>
                <w:color w:val="FF0000"/>
                <w:highlight w:val="none"/>
                <w:lang w:val="en-US" w:eastAsia="zh-CN"/>
              </w:rPr>
              <w:t>满分5分，</w:t>
            </w:r>
            <w:r>
              <w:rPr>
                <w:rFonts w:hint="eastAsia"/>
                <w:color w:val="FF0000"/>
                <w:highlight w:val="none"/>
              </w:rPr>
              <w:t>打分分值范围：</w:t>
            </w:r>
            <w:r>
              <w:rPr>
                <w:rFonts w:hint="eastAsia"/>
                <w:color w:val="FF0000"/>
                <w:highlight w:val="none"/>
                <w:lang w:val="en-US" w:eastAsia="zh-CN"/>
              </w:rPr>
              <w:t>5、4、</w:t>
            </w:r>
            <w:r>
              <w:rPr>
                <w:rFonts w:hint="eastAsia"/>
                <w:color w:val="FF0000"/>
                <w:highlight w:val="none"/>
              </w:rPr>
              <w:t>3、2、1、0】</w:t>
            </w:r>
          </w:p>
          <w:p>
            <w:pPr>
              <w:autoSpaceDE w:val="0"/>
              <w:spacing w:line="360" w:lineRule="exact"/>
              <w:ind w:firstLine="218" w:firstLineChars="104"/>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注：未提供</w:t>
            </w:r>
            <w:r>
              <w:rPr>
                <w:rFonts w:hint="eastAsia" w:ascii="宋体" w:hAnsi="宋体" w:cs="宋体"/>
                <w:color w:val="auto"/>
                <w:szCs w:val="21"/>
                <w:highlight w:val="none"/>
              </w:rPr>
              <w:t>不得分</w:t>
            </w:r>
            <w:r>
              <w:rPr>
                <w:rFonts w:hint="eastAsia" w:ascii="宋体" w:hAnsi="宋体" w:cs="宋体"/>
                <w:color w:val="auto"/>
                <w:szCs w:val="21"/>
                <w:highlight w:val="none"/>
                <w:lang w:bidi="ar"/>
              </w:rPr>
              <w:t>。</w:t>
            </w:r>
          </w:p>
        </w:tc>
        <w:tc>
          <w:tcPr>
            <w:tcW w:w="935" w:type="dxa"/>
            <w:tcBorders>
              <w:top w:val="single" w:color="auto" w:sz="4" w:space="0"/>
              <w:left w:val="single" w:color="auto" w:sz="4" w:space="0"/>
              <w:right w:val="single" w:color="auto" w:sz="4" w:space="0"/>
            </w:tcBorders>
            <w:noWrap w:val="0"/>
            <w:vAlign w:val="center"/>
          </w:tcPr>
          <w:p>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FF0000"/>
                <w:szCs w:val="21"/>
                <w:highlight w:val="none"/>
                <w:lang w:val="en-US" w:eastAsia="zh-CN"/>
              </w:rPr>
              <w:t>0-5分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586" w:hRule="atLeast"/>
          <w:jc w:val="center"/>
        </w:trPr>
        <w:tc>
          <w:tcPr>
            <w:tcW w:w="1109" w:type="dxa"/>
            <w:vMerge w:val="continue"/>
            <w:tcBorders>
              <w:left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质量保证措施</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60" w:lineRule="exact"/>
              <w:ind w:firstLine="218" w:firstLineChars="104"/>
              <w:jc w:val="left"/>
              <w:rPr>
                <w:rFonts w:ascii="宋体" w:hAnsi="宋体" w:cs="宋体"/>
                <w:color w:val="auto"/>
                <w:szCs w:val="21"/>
                <w:highlight w:val="none"/>
                <w:lang w:bidi="ar"/>
              </w:rPr>
            </w:pPr>
            <w:r>
              <w:rPr>
                <w:rFonts w:hint="eastAsia" w:ascii="宋体" w:hAnsi="宋体" w:cs="宋体"/>
                <w:color w:val="auto"/>
                <w:szCs w:val="21"/>
                <w:highlight w:val="none"/>
                <w:lang w:bidi="ar"/>
              </w:rPr>
              <w:t>根据投标人提出的保证质量承诺、质量保证措施的科学性、可行性</w:t>
            </w:r>
            <w:r>
              <w:rPr>
                <w:rFonts w:hint="eastAsia" w:ascii="宋体" w:hAnsi="宋体" w:eastAsia="宋体" w:cs="宋体"/>
                <w:color w:val="auto"/>
                <w:szCs w:val="21"/>
                <w:highlight w:val="none"/>
                <w:lang w:val="en-US"/>
              </w:rPr>
              <w:t>进行综合评议</w:t>
            </w:r>
            <w:r>
              <w:rPr>
                <w:rFonts w:hint="eastAsia" w:eastAsia="宋体"/>
                <w:color w:val="auto"/>
                <w:highlight w:val="none"/>
                <w:lang w:val="en-US" w:eastAsia="zh-CN"/>
              </w:rPr>
              <w:t>：</w:t>
            </w:r>
            <w:r>
              <w:rPr>
                <w:rFonts w:hint="eastAsia"/>
                <w:color w:val="auto"/>
                <w:highlight w:val="none"/>
              </w:rPr>
              <w:t>【</w:t>
            </w:r>
            <w:r>
              <w:rPr>
                <w:rFonts w:hint="eastAsia"/>
                <w:color w:val="auto"/>
                <w:highlight w:val="none"/>
                <w:lang w:val="en-US" w:eastAsia="zh-CN"/>
              </w:rPr>
              <w:t>满分5分，</w:t>
            </w:r>
            <w:r>
              <w:rPr>
                <w:rFonts w:hint="eastAsia"/>
                <w:color w:val="auto"/>
                <w:highlight w:val="none"/>
              </w:rPr>
              <w:t>打分分值范围：</w:t>
            </w:r>
            <w:r>
              <w:rPr>
                <w:rFonts w:hint="eastAsia"/>
                <w:color w:val="auto"/>
                <w:highlight w:val="none"/>
                <w:lang w:val="en-US" w:eastAsia="zh-CN"/>
              </w:rPr>
              <w:t>5、4、</w:t>
            </w:r>
            <w:r>
              <w:rPr>
                <w:rFonts w:hint="eastAsia"/>
                <w:color w:val="auto"/>
                <w:highlight w:val="none"/>
              </w:rPr>
              <w:t>3、2、1、0】</w:t>
            </w:r>
          </w:p>
          <w:p>
            <w:pPr>
              <w:autoSpaceDE w:val="0"/>
              <w:spacing w:line="360" w:lineRule="exact"/>
              <w:ind w:firstLine="218" w:firstLineChars="104"/>
              <w:rPr>
                <w:rFonts w:hint="eastAsia" w:ascii="宋体" w:hAnsi="宋体" w:cs="宋体"/>
                <w:color w:val="auto"/>
                <w:szCs w:val="21"/>
                <w:highlight w:val="none"/>
              </w:rPr>
            </w:pPr>
            <w:r>
              <w:rPr>
                <w:rFonts w:hint="eastAsia" w:ascii="宋体" w:hAnsi="宋体" w:cs="宋体"/>
                <w:color w:val="auto"/>
                <w:szCs w:val="21"/>
                <w:highlight w:val="none"/>
                <w:lang w:val="en-US" w:eastAsia="zh-CN"/>
              </w:rPr>
              <w:t>注：未提供</w:t>
            </w:r>
            <w:r>
              <w:rPr>
                <w:rFonts w:hint="eastAsia" w:ascii="宋体" w:hAnsi="宋体" w:cs="宋体"/>
                <w:color w:val="auto"/>
                <w:szCs w:val="21"/>
                <w:highlight w:val="none"/>
              </w:rPr>
              <w:t>不得分</w:t>
            </w:r>
            <w:r>
              <w:rPr>
                <w:rFonts w:hint="eastAsia" w:ascii="宋体" w:hAnsi="宋体" w:cs="宋体"/>
                <w:color w:val="auto"/>
                <w:szCs w:val="21"/>
                <w:highlight w:val="none"/>
                <w:lang w:bidi="ar"/>
              </w:rPr>
              <w:t>。</w:t>
            </w:r>
          </w:p>
        </w:tc>
        <w:tc>
          <w:tcPr>
            <w:tcW w:w="935" w:type="dxa"/>
            <w:tcBorders>
              <w:top w:val="single" w:color="auto" w:sz="4" w:space="0"/>
              <w:left w:val="single" w:color="auto" w:sz="4" w:space="0"/>
              <w:right w:val="single" w:color="auto" w:sz="4" w:space="0"/>
            </w:tcBorders>
            <w:noWrap w:val="0"/>
            <w:vAlign w:val="center"/>
          </w:tcPr>
          <w:p>
            <w:pPr>
              <w:keepLines/>
              <w:adjustRightInd w:val="0"/>
              <w:snapToGrid w:val="0"/>
              <w:jc w:val="center"/>
              <w:rPr>
                <w:bCs/>
                <w:color w:val="auto"/>
                <w:highlight w:val="none"/>
              </w:rPr>
            </w:pPr>
            <w:r>
              <w:rPr>
                <w:rFonts w:hint="eastAsia" w:ascii="宋体" w:hAnsi="宋体" w:cs="宋体"/>
                <w:color w:val="auto"/>
                <w:szCs w:val="21"/>
                <w:highlight w:val="none"/>
              </w:rPr>
              <w:t>0-5分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09" w:type="dxa"/>
            <w:vMerge w:val="continue"/>
            <w:tcBorders>
              <w:left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lang w:bidi="ar"/>
              </w:rPr>
              <w:t>后续服务的安排及保证措施</w:t>
            </w:r>
          </w:p>
        </w:tc>
        <w:tc>
          <w:tcPr>
            <w:tcW w:w="5959" w:type="dxa"/>
            <w:tcBorders>
              <w:top w:val="single" w:color="auto" w:sz="4" w:space="0"/>
              <w:left w:val="single" w:color="auto" w:sz="4" w:space="0"/>
              <w:right w:val="single" w:color="auto" w:sz="4" w:space="0"/>
            </w:tcBorders>
            <w:noWrap w:val="0"/>
            <w:vAlign w:val="center"/>
          </w:tcPr>
          <w:p>
            <w:pPr>
              <w:widowControl/>
              <w:autoSpaceDE w:val="0"/>
              <w:spacing w:line="360" w:lineRule="exact"/>
              <w:ind w:firstLine="218" w:firstLineChars="104"/>
              <w:jc w:val="left"/>
              <w:rPr>
                <w:rFonts w:ascii="宋体" w:hAnsi="宋体" w:cs="宋体"/>
                <w:color w:val="auto"/>
                <w:szCs w:val="21"/>
                <w:highlight w:val="none"/>
                <w:lang w:bidi="ar"/>
              </w:rPr>
            </w:pPr>
            <w:r>
              <w:rPr>
                <w:rFonts w:hint="eastAsia" w:ascii="宋体" w:hAnsi="宋体" w:eastAsia="宋体" w:cs="宋体"/>
                <w:color w:val="auto"/>
                <w:kern w:val="2"/>
                <w:sz w:val="21"/>
                <w:szCs w:val="21"/>
                <w:highlight w:val="none"/>
                <w:lang w:bidi="ar"/>
              </w:rPr>
              <w:t>后续服务安排及措施，符合招标文件要求的进行</w:t>
            </w:r>
            <w:r>
              <w:rPr>
                <w:rFonts w:hint="eastAsia" w:ascii="宋体" w:hAnsi="宋体" w:eastAsia="宋体" w:cs="宋体"/>
                <w:color w:val="auto"/>
                <w:szCs w:val="21"/>
                <w:highlight w:val="none"/>
                <w:lang w:val="en-US"/>
              </w:rPr>
              <w:t>综合评议</w:t>
            </w:r>
            <w:r>
              <w:rPr>
                <w:rFonts w:hint="eastAsia" w:eastAsia="宋体"/>
                <w:color w:val="auto"/>
                <w:highlight w:val="none"/>
                <w:lang w:val="en-US" w:eastAsia="zh-CN"/>
              </w:rPr>
              <w:t>：</w:t>
            </w:r>
            <w:r>
              <w:rPr>
                <w:rFonts w:hint="eastAsia"/>
                <w:color w:val="auto"/>
                <w:highlight w:val="none"/>
              </w:rPr>
              <w:t>【</w:t>
            </w:r>
            <w:r>
              <w:rPr>
                <w:rFonts w:hint="eastAsia"/>
                <w:color w:val="auto"/>
                <w:highlight w:val="none"/>
                <w:lang w:val="en-US" w:eastAsia="zh-CN"/>
              </w:rPr>
              <w:t>满分5分，</w:t>
            </w:r>
            <w:r>
              <w:rPr>
                <w:rFonts w:hint="eastAsia"/>
                <w:color w:val="auto"/>
                <w:highlight w:val="none"/>
              </w:rPr>
              <w:t>打分分值范围：</w:t>
            </w:r>
            <w:r>
              <w:rPr>
                <w:rFonts w:hint="eastAsia"/>
                <w:color w:val="auto"/>
                <w:highlight w:val="none"/>
                <w:lang w:val="en-US" w:eastAsia="zh-CN"/>
              </w:rPr>
              <w:t>5、4、</w:t>
            </w:r>
            <w:r>
              <w:rPr>
                <w:rFonts w:hint="eastAsia"/>
                <w:color w:val="auto"/>
                <w:highlight w:val="none"/>
              </w:rPr>
              <w:t>3、2、1、0】</w:t>
            </w:r>
          </w:p>
          <w:p>
            <w:pPr>
              <w:autoSpaceDE w:val="0"/>
              <w:spacing w:line="360" w:lineRule="exact"/>
              <w:ind w:right="0" w:firstLine="218" w:firstLineChars="104"/>
              <w:rPr>
                <w:rFonts w:hint="eastAsia" w:ascii="宋体" w:hAnsi="宋体" w:cs="宋体"/>
                <w:color w:val="auto"/>
                <w:kern w:val="0"/>
                <w:szCs w:val="21"/>
                <w:highlight w:val="none"/>
              </w:rPr>
            </w:pPr>
            <w:r>
              <w:rPr>
                <w:rFonts w:hint="eastAsia" w:ascii="宋体" w:hAnsi="宋体" w:eastAsia="宋体" w:cs="宋体"/>
                <w:color w:val="auto"/>
                <w:kern w:val="2"/>
                <w:sz w:val="21"/>
                <w:szCs w:val="21"/>
                <w:highlight w:val="none"/>
                <w:lang w:val="en-US" w:eastAsia="zh-CN"/>
              </w:rPr>
              <w:t>注：未提供</w:t>
            </w:r>
            <w:r>
              <w:rPr>
                <w:rFonts w:hint="eastAsia" w:ascii="宋体" w:hAnsi="宋体" w:eastAsia="宋体" w:cs="宋体"/>
                <w:color w:val="auto"/>
                <w:kern w:val="2"/>
                <w:sz w:val="21"/>
                <w:szCs w:val="21"/>
                <w:highlight w:val="none"/>
              </w:rPr>
              <w:t>不得分</w:t>
            </w:r>
            <w:r>
              <w:rPr>
                <w:rFonts w:hint="eastAsia" w:ascii="宋体" w:hAnsi="宋体" w:eastAsia="宋体" w:cs="宋体"/>
                <w:color w:val="auto"/>
                <w:kern w:val="2"/>
                <w:sz w:val="21"/>
                <w:szCs w:val="21"/>
                <w:highlight w:val="none"/>
                <w:lang w:bidi="ar-SA"/>
              </w:rPr>
              <w:t>。</w:t>
            </w:r>
          </w:p>
        </w:tc>
        <w:tc>
          <w:tcPr>
            <w:tcW w:w="935" w:type="dxa"/>
            <w:tcBorders>
              <w:top w:val="single" w:color="auto" w:sz="4" w:space="0"/>
              <w:left w:val="single" w:color="auto" w:sz="4" w:space="0"/>
              <w:right w:val="single" w:color="auto" w:sz="4" w:space="0"/>
            </w:tcBorders>
            <w:noWrap w:val="0"/>
            <w:vAlign w:val="center"/>
          </w:tcPr>
          <w:p>
            <w:pPr>
              <w:keepLines/>
              <w:adjustRightInd w:val="0"/>
              <w:snapToGrid w:val="0"/>
              <w:jc w:val="center"/>
              <w:rPr>
                <w:rFonts w:hint="eastAsia" w:ascii="宋体" w:hAnsi="宋体" w:cs="宋体"/>
                <w:color w:val="auto"/>
                <w:kern w:val="0"/>
                <w:szCs w:val="21"/>
                <w:highlight w:val="none"/>
              </w:rPr>
            </w:pPr>
            <w:r>
              <w:rPr>
                <w:rFonts w:hint="eastAsia" w:ascii="宋体" w:hAnsi="宋体" w:cs="宋体"/>
                <w:color w:val="auto"/>
                <w:szCs w:val="21"/>
                <w:highlight w:val="none"/>
              </w:rPr>
              <w:t>0-5分</w:t>
            </w:r>
          </w:p>
        </w:tc>
      </w:tr>
    </w:tbl>
    <w:p>
      <w:pPr>
        <w:rPr>
          <w:rFonts w:ascii="宋体" w:hAnsi="宋体"/>
          <w:b/>
          <w:color w:val="auto"/>
          <w:szCs w:val="21"/>
          <w:highlight w:val="none"/>
        </w:rPr>
      </w:pPr>
    </w:p>
    <w:p>
      <w:pPr>
        <w:widowControl/>
        <w:jc w:val="left"/>
        <w:rPr>
          <w:rFonts w:ascii="宋体" w:hAnsi="宋体" w:cs="宋体"/>
          <w:b/>
          <w:color w:val="auto"/>
          <w:szCs w:val="21"/>
          <w:highlight w:val="none"/>
        </w:rPr>
      </w:pPr>
      <w:r>
        <w:rPr>
          <w:rFonts w:hint="eastAsia" w:ascii="宋体" w:hAnsi="宋体" w:cs="宋体"/>
          <w:b/>
          <w:color w:val="auto"/>
          <w:szCs w:val="21"/>
          <w:highlight w:val="none"/>
        </w:rPr>
        <w:t>注：1.技术部分</w:t>
      </w:r>
      <w:r>
        <w:rPr>
          <w:rFonts w:ascii="宋体" w:hAnsi="宋体" w:cs="宋体"/>
          <w:b/>
          <w:color w:val="auto"/>
          <w:szCs w:val="21"/>
          <w:highlight w:val="none"/>
        </w:rPr>
        <w:t>由评标专家负责，采用记名方式各自评分，此项评分为全部有效评分的算术平均值。如某一份评分表中某一项评分，超过评标细则所规定的分值范围，则该张打分表无效</w:t>
      </w:r>
      <w:r>
        <w:rPr>
          <w:rFonts w:hint="eastAsia" w:ascii="宋体" w:hAnsi="宋体" w:cs="宋体"/>
          <w:b/>
          <w:color w:val="auto"/>
          <w:szCs w:val="21"/>
          <w:highlight w:val="none"/>
        </w:rPr>
        <w:t>。</w:t>
      </w:r>
    </w:p>
    <w:p>
      <w:pPr>
        <w:widowControl/>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以上内容评分时保留一位小数。计算评分值时保留二位小数</w:t>
      </w:r>
      <w:r>
        <w:rPr>
          <w:rFonts w:hint="eastAsia" w:ascii="宋体" w:hAnsi="宋体" w:cs="宋体"/>
          <w:b/>
          <w:color w:val="auto"/>
          <w:szCs w:val="21"/>
          <w:highlight w:val="none"/>
        </w:rPr>
        <w:t>。</w:t>
      </w:r>
    </w:p>
    <w:p>
      <w:pPr>
        <w:widowControl/>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3.表内有关证明文件要求：（1）须提供相关证明文件</w:t>
      </w:r>
      <w:r>
        <w:rPr>
          <w:rFonts w:hint="eastAsia"/>
          <w:b/>
          <w:color w:val="auto"/>
          <w:highlight w:val="none"/>
        </w:rPr>
        <w:t>扫描件</w:t>
      </w:r>
      <w:r>
        <w:rPr>
          <w:rFonts w:hint="eastAsia" w:ascii="宋体" w:hAnsi="宋体" w:cs="宋体"/>
          <w:b/>
          <w:color w:val="auto"/>
          <w:szCs w:val="21"/>
          <w:highlight w:val="none"/>
        </w:rPr>
        <w:t>，并加盖投标单位公章；（2）不提供或者不能提供有效证明的，不得分。（3）</w:t>
      </w:r>
      <w:r>
        <w:rPr>
          <w:rFonts w:hint="eastAsia"/>
          <w:b/>
          <w:color w:val="auto"/>
          <w:highlight w:val="none"/>
        </w:rPr>
        <w:t>扫描件必须清晰可辨，因扫描件模糊无法辨认的后果由供应商负责。</w:t>
      </w:r>
    </w:p>
    <w:p>
      <w:pPr>
        <w:outlineLvl w:val="2"/>
        <w:rPr>
          <w:b/>
          <w:color w:val="auto"/>
          <w:highlight w:val="none"/>
        </w:rPr>
      </w:pPr>
      <w:bookmarkStart w:id="108" w:name="_Toc520323195"/>
      <w:bookmarkStart w:id="109" w:name="_Toc470431986"/>
      <w:bookmarkStart w:id="110" w:name="_Toc8345"/>
      <w:r>
        <w:rPr>
          <w:rFonts w:hint="eastAsia"/>
          <w:b/>
          <w:color w:val="auto"/>
          <w:highlight w:val="none"/>
        </w:rPr>
        <w:t>（三）</w:t>
      </w:r>
      <w:r>
        <w:rPr>
          <w:b/>
          <w:color w:val="auto"/>
          <w:highlight w:val="none"/>
        </w:rPr>
        <w:t>报价评分（</w:t>
      </w:r>
      <w:r>
        <w:rPr>
          <w:rFonts w:hint="eastAsia"/>
          <w:b/>
          <w:color w:val="auto"/>
          <w:highlight w:val="none"/>
        </w:rPr>
        <w:t>10</w:t>
      </w:r>
      <w:r>
        <w:rPr>
          <w:b/>
          <w:color w:val="auto"/>
          <w:highlight w:val="none"/>
        </w:rPr>
        <w:t>分）</w:t>
      </w:r>
    </w:p>
    <w:tbl>
      <w:tblPr>
        <w:tblStyle w:val="54"/>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9"/>
        <w:gridCol w:w="1003"/>
        <w:gridCol w:w="6488"/>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pPr>
              <w:textAlignment w:val="baseline"/>
              <w:rPr>
                <w:rFonts w:ascii="宋体" w:hAnsi="宋体" w:cs="宋体"/>
                <w:bCs/>
                <w:color w:val="auto"/>
                <w:szCs w:val="21"/>
                <w:highlight w:val="none"/>
              </w:rPr>
            </w:pPr>
            <w:r>
              <w:rPr>
                <w:rFonts w:hint="eastAsia" w:ascii="宋体" w:hAnsi="宋体" w:cs="宋体"/>
                <w:bCs/>
                <w:color w:val="auto"/>
                <w:szCs w:val="21"/>
                <w:highlight w:val="none"/>
              </w:rPr>
              <w:t>评审项目</w:t>
            </w:r>
          </w:p>
        </w:tc>
        <w:tc>
          <w:tcPr>
            <w:tcW w:w="7550" w:type="dxa"/>
            <w:gridSpan w:val="3"/>
            <w:tcBorders>
              <w:top w:val="single" w:color="auto" w:sz="4" w:space="0"/>
              <w:left w:val="single" w:color="auto" w:sz="4" w:space="0"/>
              <w:bottom w:val="single" w:color="auto" w:sz="4" w:space="0"/>
              <w:right w:val="single" w:color="auto" w:sz="4" w:space="0"/>
            </w:tcBorders>
            <w:noWrap w:val="0"/>
            <w:vAlign w:val="center"/>
          </w:tcPr>
          <w:p>
            <w:pPr>
              <w:ind w:firstLine="33" w:firstLineChars="16"/>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评审细则</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ind w:firstLine="33" w:firstLineChars="16"/>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510" w:type="dxa"/>
            <w:gridSpan w:val="5"/>
            <w:tcBorders>
              <w:top w:val="single" w:color="auto" w:sz="4" w:space="0"/>
              <w:left w:val="single" w:color="auto" w:sz="4" w:space="0"/>
              <w:bottom w:val="single" w:color="auto" w:sz="4" w:space="0"/>
              <w:right w:val="single" w:color="auto" w:sz="4" w:space="0"/>
            </w:tcBorders>
            <w:noWrap w:val="0"/>
            <w:vAlign w:val="center"/>
          </w:tcPr>
          <w:p>
            <w:pPr>
              <w:ind w:firstLine="33" w:firstLineChars="16"/>
              <w:jc w:val="center"/>
              <w:textAlignment w:val="baseline"/>
              <w:rPr>
                <w:rFonts w:ascii="宋体" w:hAnsi="宋体" w:cs="宋体"/>
                <w:color w:val="auto"/>
                <w:szCs w:val="21"/>
                <w:highlight w:val="none"/>
              </w:rPr>
            </w:pPr>
            <w:r>
              <w:rPr>
                <w:rFonts w:hint="eastAsia" w:ascii="宋体" w:hAnsi="宋体" w:cs="宋体"/>
                <w:bCs/>
                <w:color w:val="auto"/>
                <w:szCs w:val="21"/>
                <w:highlight w:val="none"/>
              </w:rPr>
              <w:t>报价分（10分）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88" w:type="dxa"/>
            <w:gridSpan w:val="2"/>
            <w:tcBorders>
              <w:top w:val="single" w:color="auto" w:sz="4" w:space="0"/>
              <w:left w:val="single" w:color="auto" w:sz="4" w:space="0"/>
              <w:right w:val="single" w:color="auto" w:sz="4" w:space="0"/>
            </w:tcBorders>
            <w:noWrap w:val="0"/>
            <w:vAlign w:val="center"/>
          </w:tcPr>
          <w:p>
            <w:pPr>
              <w:jc w:val="center"/>
              <w:textAlignment w:val="baseline"/>
              <w:rPr>
                <w:rFonts w:ascii="宋体" w:hAnsi="宋体" w:cs="宋体"/>
                <w:color w:val="auto"/>
                <w:szCs w:val="21"/>
                <w:highlight w:val="none"/>
              </w:rPr>
            </w:pPr>
            <w:r>
              <w:rPr>
                <w:rFonts w:hint="eastAsia" w:ascii="宋体" w:hAnsi="宋体" w:cs="宋体"/>
                <w:color w:val="auto"/>
                <w:szCs w:val="21"/>
                <w:highlight w:val="none"/>
              </w:rPr>
              <w:t>1</w:t>
            </w:r>
          </w:p>
        </w:tc>
        <w:tc>
          <w:tcPr>
            <w:tcW w:w="1003" w:type="dxa"/>
            <w:tcBorders>
              <w:top w:val="single" w:color="auto" w:sz="4" w:space="0"/>
              <w:left w:val="single" w:color="auto" w:sz="4" w:space="0"/>
              <w:right w:val="single" w:color="auto" w:sz="4" w:space="0"/>
            </w:tcBorders>
            <w:noWrap w:val="0"/>
            <w:vAlign w:val="center"/>
          </w:tcPr>
          <w:p>
            <w:pPr>
              <w:snapToGrid w:val="0"/>
              <w:spacing w:line="400" w:lineRule="exact"/>
              <w:jc w:val="left"/>
              <w:rPr>
                <w:rFonts w:hint="eastAsia"/>
                <w:color w:val="auto"/>
                <w:szCs w:val="21"/>
                <w:highlight w:val="none"/>
              </w:rPr>
            </w:pPr>
            <w:r>
              <w:rPr>
                <w:rFonts w:hint="eastAsia"/>
                <w:color w:val="auto"/>
                <w:szCs w:val="21"/>
                <w:highlight w:val="none"/>
              </w:rPr>
              <w:t>投标报价（10分）</w:t>
            </w:r>
          </w:p>
        </w:tc>
        <w:tc>
          <w:tcPr>
            <w:tcW w:w="64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eastAsia="宋体"/>
                <w:color w:val="auto"/>
                <w:szCs w:val="21"/>
                <w:highlight w:val="none"/>
                <w:lang w:eastAsia="zh-CN"/>
              </w:rPr>
            </w:pPr>
            <w:r>
              <w:rPr>
                <w:rFonts w:hint="eastAsia"/>
                <w:color w:val="auto"/>
                <w:szCs w:val="21"/>
                <w:highlight w:val="none"/>
              </w:rPr>
              <w:t>1、本项目最高限价</w:t>
            </w:r>
            <w:r>
              <w:rPr>
                <w:rFonts w:hint="eastAsia"/>
                <w:color w:val="auto"/>
                <w:szCs w:val="21"/>
                <w:highlight w:val="none"/>
                <w:lang w:val="en-US" w:eastAsia="zh-CN"/>
              </w:rPr>
              <w:t>70</w:t>
            </w:r>
            <w:r>
              <w:rPr>
                <w:rFonts w:hint="eastAsia"/>
                <w:color w:val="auto"/>
                <w:szCs w:val="21"/>
                <w:highlight w:val="none"/>
              </w:rPr>
              <w:t>万元。</w:t>
            </w:r>
          </w:p>
          <w:p>
            <w:pPr>
              <w:snapToGrid w:val="0"/>
              <w:spacing w:line="400" w:lineRule="exact"/>
              <w:jc w:val="left"/>
              <w:rPr>
                <w:rFonts w:hint="eastAsia" w:eastAsia="宋体"/>
                <w:color w:val="auto"/>
                <w:szCs w:val="21"/>
                <w:highlight w:val="none"/>
                <w:lang w:eastAsia="zh-CN"/>
              </w:rPr>
            </w:pPr>
            <w:r>
              <w:rPr>
                <w:rFonts w:hint="eastAsia"/>
                <w:color w:val="auto"/>
                <w:szCs w:val="21"/>
                <w:highlight w:val="none"/>
              </w:rPr>
              <w:t>2、价格分采用低价优先法计算，即满足招标文件要求且最后报价最低的为基准价。</w:t>
            </w:r>
          </w:p>
          <w:p>
            <w:pPr>
              <w:snapToGrid w:val="0"/>
              <w:spacing w:line="400" w:lineRule="exact"/>
              <w:jc w:val="left"/>
              <w:rPr>
                <w:rFonts w:hint="eastAsia"/>
                <w:color w:val="auto"/>
                <w:szCs w:val="21"/>
                <w:highlight w:val="none"/>
              </w:rPr>
            </w:pPr>
            <w:r>
              <w:rPr>
                <w:rFonts w:hint="eastAsia"/>
                <w:color w:val="auto"/>
                <w:szCs w:val="21"/>
                <w:highlight w:val="none"/>
              </w:rPr>
              <w:t>3、报价得分＝基准价/最后报价×10（保留小数二位，第三位四舍五入）。</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rPr>
                <w:rFonts w:ascii="宋体" w:hAnsi="宋体" w:cs="宋体"/>
                <w:color w:val="auto"/>
                <w:szCs w:val="21"/>
                <w:highlight w:val="none"/>
              </w:rPr>
            </w:pPr>
            <w:r>
              <w:rPr>
                <w:rFonts w:hint="eastAsia" w:ascii="宋体" w:hAnsi="宋体" w:cs="宋体"/>
                <w:color w:val="auto"/>
                <w:szCs w:val="21"/>
                <w:highlight w:val="none"/>
              </w:rPr>
              <w:t>0-10分</w:t>
            </w:r>
          </w:p>
        </w:tc>
      </w:tr>
    </w:tbl>
    <w:p>
      <w:pPr>
        <w:spacing w:line="360" w:lineRule="auto"/>
        <w:ind w:firstLine="420"/>
        <w:rPr>
          <w:rFonts w:ascii="宋体" w:hAnsi="宋体" w:cs="宋体"/>
          <w:color w:val="auto"/>
          <w:kern w:val="0"/>
          <w:szCs w:val="21"/>
          <w:highlight w:val="none"/>
          <w:lang w:val="en-GB"/>
        </w:rPr>
      </w:pPr>
      <w:r>
        <w:rPr>
          <w:rFonts w:hint="eastAsia" w:ascii="宋体" w:hAnsi="宋体" w:cs="宋体"/>
          <w:color w:val="auto"/>
          <w:kern w:val="0"/>
          <w:szCs w:val="21"/>
          <w:highlight w:val="none"/>
          <w:lang w:val="en-GB"/>
        </w:rPr>
        <w:t>（计算过程小数点后保留三位，得分值小数点后保留两位）</w:t>
      </w:r>
    </w:p>
    <w:p>
      <w:pPr>
        <w:ind w:firstLine="422" w:firstLineChars="200"/>
        <w:rPr>
          <w:rFonts w:cs="Calibri"/>
          <w:b/>
          <w:color w:val="auto"/>
          <w:szCs w:val="21"/>
          <w:highlight w:val="none"/>
        </w:rPr>
      </w:pPr>
      <w:r>
        <w:rPr>
          <w:rFonts w:cs="Calibri"/>
          <w:b/>
          <w:color w:val="auto"/>
          <w:szCs w:val="21"/>
          <w:highlight w:val="none"/>
        </w:rPr>
        <w:t>落实政府采购扶持政策说明：</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cs="Calibri"/>
          <w:color w:val="auto"/>
          <w:highlight w:val="none"/>
        </w:rPr>
      </w:pPr>
      <w:r>
        <w:rPr>
          <w:rFonts w:cs="Calibri"/>
          <w:color w:val="auto"/>
          <w:highlight w:val="none"/>
        </w:rPr>
        <w:t>本项目执行《财政部 工业和信息化部关于印发＜政府采购促进中小企业发展管理办法＞的通知》（财库〔2020〕46号）的规定，对小型、微型企业的最后报价进行价格评审优惠扶持。</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cs="Calibri"/>
          <w:color w:val="auto"/>
          <w:highlight w:val="none"/>
        </w:rPr>
      </w:pPr>
      <w:r>
        <w:rPr>
          <w:rFonts w:cs="Calibri"/>
          <w:color w:val="auto"/>
          <w:highlight w:val="none"/>
        </w:rPr>
        <w:t>（1）如标项内所涉供应商全部属于小型、微型企业，则对供应商的最后报价给予10%的扣除，</w:t>
      </w:r>
      <w:r>
        <w:rPr>
          <w:rFonts w:hint="eastAsia" w:ascii="宋体" w:hAnsi="宋体" w:eastAsia="宋体" w:cs="宋体"/>
          <w:b/>
          <w:color w:val="auto"/>
          <w:kern w:val="0"/>
          <w:sz w:val="21"/>
          <w:szCs w:val="21"/>
          <w:highlight w:val="none"/>
        </w:rPr>
        <w:t>并用扣除后的价格（即最终报价*90%）计算价格评分</w:t>
      </w:r>
      <w:r>
        <w:rPr>
          <w:rFonts w:cs="Calibri"/>
          <w:color w:val="auto"/>
          <w:highlight w:val="none"/>
        </w:rPr>
        <w:t>。</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cs="Calibri"/>
          <w:color w:val="auto"/>
          <w:highlight w:val="none"/>
        </w:rPr>
      </w:pPr>
      <w:r>
        <w:rPr>
          <w:rFonts w:cs="Calibri"/>
          <w:color w:val="auto"/>
          <w:highlight w:val="none"/>
        </w:rPr>
        <w:t>（</w:t>
      </w:r>
      <w:r>
        <w:rPr>
          <w:rFonts w:hint="eastAsia" w:cs="Calibri"/>
          <w:color w:val="auto"/>
          <w:highlight w:val="none"/>
          <w:lang w:val="en-US" w:eastAsia="zh-CN"/>
        </w:rPr>
        <w:t>2</w:t>
      </w:r>
      <w:r>
        <w:rPr>
          <w:rFonts w:cs="Calibri"/>
          <w:color w:val="auto"/>
          <w:highlight w:val="none"/>
        </w:rPr>
        <w:t>）满足以下之一条件，视为小型、微型企业。</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cs="Calibri"/>
          <w:color w:val="auto"/>
          <w:highlight w:val="none"/>
        </w:rPr>
      </w:pPr>
      <w:r>
        <w:rPr>
          <w:rFonts w:cs="Calibri"/>
          <w:color w:val="auto"/>
          <w:highlight w:val="none"/>
        </w:rPr>
        <w:t>◇按照《工业和信息化部 国家统计局 国家发展和改革委员会财政部关于印发＜中小企业划型标准规定＞的通知》（工信部联企业〔2011〕300号）的规定，所涉企业属于采购标的对应的中小企业划分标准所属行业【</w:t>
      </w:r>
      <w:r>
        <w:rPr>
          <w:rFonts w:cs="Calibri"/>
          <w:b/>
          <w:bCs/>
          <w:color w:val="auto"/>
          <w:szCs w:val="21"/>
          <w:highlight w:val="none"/>
        </w:rPr>
        <w:t>其他未列明行业</w:t>
      </w:r>
      <w:r>
        <w:rPr>
          <w:rFonts w:cs="Calibri"/>
          <w:color w:val="auto"/>
          <w:highlight w:val="none"/>
        </w:rPr>
        <w:t>】的小型、微型企业，并按《财政部 工业和信息化部关于印发＜政府采购促进中小企业发展管理办法＞的通知》（财库〔2020〕46号）的规定在响应文件中提供了【《中小企业声明函》】。</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cs="Calibri"/>
          <w:color w:val="auto"/>
          <w:highlight w:val="none"/>
        </w:rPr>
      </w:pPr>
      <w:r>
        <w:rPr>
          <w:rFonts w:cs="Calibri"/>
          <w:color w:val="auto"/>
          <w:highlight w:val="none"/>
        </w:rPr>
        <w:t>◇按照《财政部司法部关于政府采购支持监狱企业发展有关问题的通知》（财库〔2014〕68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cs="Calibri"/>
          <w:color w:val="auto"/>
          <w:szCs w:val="21"/>
          <w:highlight w:val="none"/>
        </w:rPr>
      </w:pPr>
      <w:r>
        <w:rPr>
          <w:rFonts w:cs="Calibri"/>
          <w:color w:val="auto"/>
          <w:highlight w:val="none"/>
        </w:rPr>
        <w:t>◇按照《财政部民政部 中国残疾人联合会关于促进残疾人就业政府采购政策的通知》（财库〔2017〕141号）的规定，所涉单位属于残疾人福利性单位，并在响应文件中提供了【《残疾人福利性单位声明函》】，视为小型、微型企业，享受价格评审优惠扶持。残疾人福利性单位属于小型、微型企业的，不重复享受价格评审优惠扶持。</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textAlignment w:val="auto"/>
        <w:rPr>
          <w:rFonts w:cs="Calibri"/>
          <w:color w:val="auto"/>
          <w:szCs w:val="21"/>
          <w:highlight w:val="none"/>
        </w:rPr>
      </w:pPr>
      <w:r>
        <w:rPr>
          <w:rFonts w:cs="Calibri"/>
          <w:color w:val="auto"/>
          <w:szCs w:val="21"/>
          <w:highlight w:val="none"/>
        </w:rPr>
        <w:t>此项由</w:t>
      </w:r>
      <w:r>
        <w:rPr>
          <w:rFonts w:hint="eastAsia" w:cs="Calibri"/>
          <w:color w:val="auto"/>
          <w:szCs w:val="21"/>
          <w:highlight w:val="none"/>
          <w:lang w:val="en-US" w:eastAsia="zh-CN"/>
        </w:rPr>
        <w:t>评审</w:t>
      </w:r>
      <w:r>
        <w:rPr>
          <w:rFonts w:cs="Calibri"/>
          <w:color w:val="auto"/>
          <w:szCs w:val="21"/>
          <w:highlight w:val="none"/>
        </w:rPr>
        <w:t>小组集体核实后统一打分。</w:t>
      </w:r>
    </w:p>
    <w:p>
      <w:pPr>
        <w:spacing w:line="360" w:lineRule="auto"/>
        <w:ind w:firstLine="422"/>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五、定标办法</w:t>
      </w:r>
      <w:bookmarkEnd w:id="108"/>
      <w:bookmarkEnd w:id="109"/>
      <w:bookmarkEnd w:id="110"/>
    </w:p>
    <w:p>
      <w:pPr>
        <w:pStyle w:val="16"/>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1、评标委员会根据评标办法进行评标，并向采购人提交评标报告，评标报告由全体评标委员会成员签字后有效。</w:t>
      </w:r>
    </w:p>
    <w:p>
      <w:pPr>
        <w:pStyle w:val="16"/>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2、评标委员会应在评标报告中依次推荐综合评分前二名的投标人为中标候选人，综合评分第一名的为第一中标候选人，综合评分第二名的为第二中标候选人。</w:t>
      </w:r>
    </w:p>
    <w:p>
      <w:pPr>
        <w:pStyle w:val="16"/>
        <w:spacing w:line="360" w:lineRule="auto"/>
        <w:rPr>
          <w:rFonts w:hint="eastAsia" w:ascii="宋体" w:hAnsi="宋体" w:cs="宋体"/>
          <w:color w:val="auto"/>
          <w:szCs w:val="21"/>
          <w:highlight w:val="none"/>
        </w:rPr>
      </w:pPr>
      <w:r>
        <w:rPr>
          <w:rFonts w:hint="eastAsia" w:ascii="宋体" w:hAnsi="宋体" w:cs="宋体"/>
          <w:snapToGrid w:val="0"/>
          <w:color w:val="auto"/>
          <w:kern w:val="0"/>
          <w:szCs w:val="21"/>
          <w:highlight w:val="none"/>
        </w:rPr>
        <w:t>3、</w:t>
      </w:r>
      <w:r>
        <w:rPr>
          <w:rFonts w:hint="eastAsia" w:ascii="宋体" w:hAnsi="宋体" w:cs="宋体"/>
          <w:color w:val="auto"/>
          <w:szCs w:val="21"/>
          <w:highlight w:val="none"/>
        </w:rPr>
        <w:t>定标由采购人负责，应坚持评审小组推荐的中标候选人为中标人。但如出现下列情形之一的，采购人可以直接确定备用中标候选人为中标人：</w:t>
      </w:r>
    </w:p>
    <w:p>
      <w:pPr>
        <w:pStyle w:val="16"/>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排名第一的候选投标人，因自身原因放弃中标成交或因不可抗力不能履行合同的；（2）经质疑，采购组织机构审查确认因排名第一的候选投标人在本次采购活动中存在违法违规行为或其他原因使质疑成立的。（3）《采购文件》规定应当提交履约保证金而在规定的期限内未能提交的，采购人可以取消其中标资格，并确定第二中标候选人为中标成交单位，新的中标人继续适用于本条款，或者重新组织采购。如果替补的第二中标候选人同样存在不符合中标资格情况的，则本项目重新招标。</w:t>
      </w:r>
    </w:p>
    <w:p>
      <w:pPr>
        <w:pStyle w:val="5"/>
        <w:spacing w:line="240" w:lineRule="auto"/>
        <w:ind w:firstLine="472" w:firstLineChars="196"/>
        <w:rPr>
          <w:rFonts w:hint="eastAsia" w:ascii="宋体" w:hAnsi="宋体" w:cs="宋体"/>
          <w:snapToGrid w:val="0"/>
          <w:color w:val="auto"/>
          <w:kern w:val="0"/>
          <w:sz w:val="24"/>
          <w:szCs w:val="24"/>
          <w:highlight w:val="none"/>
        </w:rPr>
      </w:pPr>
      <w:bookmarkStart w:id="111" w:name="_Toc520323196"/>
      <w:bookmarkStart w:id="112" w:name="_Toc470431987"/>
      <w:bookmarkStart w:id="113" w:name="_Toc26346"/>
      <w:r>
        <w:rPr>
          <w:rFonts w:hint="eastAsia" w:ascii="宋体" w:hAnsi="宋体" w:cs="宋体"/>
          <w:snapToGrid w:val="0"/>
          <w:color w:val="auto"/>
          <w:kern w:val="0"/>
          <w:sz w:val="24"/>
          <w:szCs w:val="24"/>
          <w:highlight w:val="none"/>
        </w:rPr>
        <w:t>六、投标人义务</w:t>
      </w:r>
      <w:bookmarkEnd w:id="111"/>
      <w:bookmarkEnd w:id="112"/>
      <w:bookmarkEnd w:id="113"/>
    </w:p>
    <w:p>
      <w:pPr>
        <w:pStyle w:val="16"/>
        <w:spacing w:line="360" w:lineRule="auto"/>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rPr>
        <w:t>评标期间，投标人应随时随地答复评标委员会的询标，解答包括有关的商务、技术问题等。评标结束，所有评标资料存招标人备查。</w:t>
      </w:r>
    </w:p>
    <w:sectPr>
      <w:footerReference r:id="rId16" w:type="default"/>
      <w:pgSz w:w="11906" w:h="16838"/>
      <w:pgMar w:top="1247" w:right="1247" w:bottom="1247" w:left="1247" w:header="851" w:footer="851" w:gutter="0"/>
      <w:cols w:space="720" w:num="1"/>
      <w:docGrid w:linePitch="272" w:charSpace="-38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ヒラギノ角ゴ Pro W3">
    <w:altName w:val="MS Gothic"/>
    <w:panose1 w:val="00000000000000000000"/>
    <w:charset w:val="80"/>
    <w:family w:val="auto"/>
    <w:pitch w:val="default"/>
    <w:sig w:usb0="00000000" w:usb1="00000000" w:usb2="00000010" w:usb3="00000000" w:csb0="0002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_x0000_s4144" o:spid="_x0000_s4144"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_x0000_s4145" o:spid="_x0000_s4145"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pict>
        <v:shape id="文本框 1" o:spid="_x0000_s4151"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33"/>
                  <w:jc w:val="center"/>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8"/>
      </w:rPr>
    </w:pPr>
    <w:r>
      <w:fldChar w:fldCharType="begin"/>
    </w:r>
    <w:r>
      <w:rPr>
        <w:rStyle w:val="58"/>
      </w:rPr>
      <w:instrText xml:space="preserve">PAGE  </w:instrText>
    </w:r>
    <w:r>
      <w:fldChar w:fldCharType="end"/>
    </w:r>
  </w:p>
  <w:p>
    <w:pPr>
      <w:pStyle w:val="3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pPr>
    <w:r>
      <w:pict>
        <v:shape id="_x0000_s4158" o:spid="_x0000_s4158"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3"/>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w:r>
  </w:p>
  <w:p>
    <w:pPr>
      <w:pStyle w:val="3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_x0000_s4160" o:spid="_x0000_s4160"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48</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_x0000_s4159" o:spid="_x0000_s4159" o:spt="202" type="#_x0000_t202" style="position:absolute;left:0pt;margin-top:0pt;height:144pt;width:144pt;mso-position-horizontal:right;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43</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_x0000_s4162" o:spid="_x0000_s4162"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57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000000" w:sz="4" w:space="1"/>
      </w:pBdr>
      <w:jc w:val="both"/>
      <w:rPr>
        <w:rFonts w:hint="eastAsia" w:eastAsia="宋体"/>
        <w:lang w:eastAsia="zh-CN"/>
      </w:rPr>
    </w:pPr>
    <w:r>
      <w:rPr>
        <w:rFonts w:hint="eastAsia"/>
      </w:rPr>
      <w:t xml:space="preserve">  2025年龙游县“一张图”统筹耕林园草空间治理相关工作                             </w:t>
    </w:r>
    <w:r>
      <w:rPr>
        <w:rFonts w:hint="eastAsia"/>
        <w:lang w:eastAsia="zh-CN"/>
      </w:rPr>
      <w:t>LYCG2025TY-047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4"/>
      </w:pBdr>
      <w:jc w:val="right"/>
    </w:pPr>
    <w:r>
      <w:t></w:t>
    </w:r>
    <w:r>
      <w:rPr>
        <w:rFonts w:hint="eastAsia"/>
      </w:rPr>
      <w:t xml:space="preserve">           </w:t>
    </w:r>
  </w:p>
  <w:p>
    <w:pPr>
      <w:pStyle w:val="51"/>
      <w:tabs>
        <w:tab w:val="center" w:pos="4535"/>
        <w:tab w:val="right" w:pos="9070"/>
      </w:tabs>
      <w:ind w:firstLine="180" w:firstLineChars="100"/>
      <w:jc w:val="both"/>
      <w:rPr>
        <w:rFonts w:ascii="仿宋_GB2312" w:eastAsia="仿宋_GB2312"/>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000000" w:sz="4" w:space="1"/>
      </w:pBdr>
      <w:jc w:val="both"/>
      <w:rPr>
        <w:rFonts w:hint="eastAsia" w:eastAsia="宋体"/>
        <w:lang w:eastAsia="zh-CN"/>
      </w:rPr>
    </w:pPr>
    <w:r>
      <w:rPr>
        <w:rFonts w:hint="eastAsia"/>
        <w:lang w:eastAsia="zh-CN"/>
      </w:rPr>
      <w:t>2025年龙游县耕地现状调查项目</w:t>
    </w:r>
    <w:r>
      <w:rPr>
        <w:rFonts w:hint="eastAsia"/>
      </w:rPr>
      <w:t xml:space="preserve">                    </w:t>
    </w:r>
    <w:r>
      <w:rPr>
        <w:rFonts w:hint="eastAsia"/>
        <w:lang w:val="en-US" w:eastAsia="zh-CN"/>
      </w:rPr>
      <w:t xml:space="preserve">                              </w:t>
    </w:r>
    <w:r>
      <w:rPr>
        <w:rFonts w:hint="eastAsia"/>
      </w:rPr>
      <w:t xml:space="preserve"> </w:t>
    </w:r>
    <w:r>
      <w:rPr>
        <w:rFonts w:hint="eastAsia"/>
        <w:lang w:eastAsia="zh-CN"/>
      </w:rPr>
      <w:t>LYCG2025TY-047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B49F"/>
    <w:multiLevelType w:val="singleLevel"/>
    <w:tmpl w:val="890FB49F"/>
    <w:lvl w:ilvl="0" w:tentative="0">
      <w:start w:val="1"/>
      <w:numFmt w:val="decimal"/>
      <w:suff w:val="space"/>
      <w:lvlText w:val="%1."/>
      <w:lvlJc w:val="left"/>
    </w:lvl>
  </w:abstractNum>
  <w:abstractNum w:abstractNumId="1">
    <w:nsid w:val="D8E640C1"/>
    <w:multiLevelType w:val="singleLevel"/>
    <w:tmpl w:val="D8E640C1"/>
    <w:lvl w:ilvl="0" w:tentative="0">
      <w:start w:val="1"/>
      <w:numFmt w:val="decimal"/>
      <w:suff w:val="nothing"/>
      <w:lvlText w:val="（%1）"/>
      <w:lvlJc w:val="left"/>
    </w:lvl>
  </w:abstractNum>
  <w:abstractNum w:abstractNumId="2">
    <w:nsid w:val="F74BFD74"/>
    <w:multiLevelType w:val="singleLevel"/>
    <w:tmpl w:val="F74BFD74"/>
    <w:lvl w:ilvl="0" w:tentative="0">
      <w:start w:val="1"/>
      <w:numFmt w:val="chineseCounting"/>
      <w:suff w:val="space"/>
      <w:lvlText w:val="第%1章"/>
      <w:lvlJc w:val="left"/>
      <w:rPr>
        <w:rFonts w:hint="eastAsia"/>
      </w:rPr>
    </w:lvl>
  </w:abstractNum>
  <w:abstractNum w:abstractNumId="3">
    <w:nsid w:val="F9ED193D"/>
    <w:multiLevelType w:val="singleLevel"/>
    <w:tmpl w:val="F9ED193D"/>
    <w:lvl w:ilvl="0" w:tentative="0">
      <w:start w:val="1"/>
      <w:numFmt w:val="decimal"/>
      <w:suff w:val="nothing"/>
      <w:lvlText w:val="%1、"/>
      <w:lvlJc w:val="left"/>
    </w:lvl>
  </w:abstractNum>
  <w:abstractNum w:abstractNumId="4">
    <w:nsid w:val="00000017"/>
    <w:multiLevelType w:val="multilevel"/>
    <w:tmpl w:val="00000017"/>
    <w:lvl w:ilvl="0" w:tentative="0">
      <w:start w:val="1"/>
      <w:numFmt w:val="bullet"/>
      <w:pStyle w:val="37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F"/>
    <w:multiLevelType w:val="multilevel"/>
    <w:tmpl w:val="0000001F"/>
    <w:lvl w:ilvl="0" w:tentative="0">
      <w:start w:val="4"/>
      <w:numFmt w:val="chineseCounting"/>
      <w:suff w:val="nothing"/>
      <w:lvlText w:val="%1、"/>
      <w:lvlJc w:val="left"/>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8563C1B"/>
    <w:multiLevelType w:val="singleLevel"/>
    <w:tmpl w:val="08563C1B"/>
    <w:lvl w:ilvl="0" w:tentative="0">
      <w:start w:val="7"/>
      <w:numFmt w:val="chineseCounting"/>
      <w:suff w:val="nothing"/>
      <w:lvlText w:val="%1、"/>
      <w:lvlJc w:val="left"/>
      <w:rPr>
        <w:rFonts w:hint="eastAsia"/>
      </w:rPr>
    </w:lvl>
  </w:abstractNum>
  <w:abstractNum w:abstractNumId="7">
    <w:nsid w:val="0E591254"/>
    <w:multiLevelType w:val="multilevel"/>
    <w:tmpl w:val="0E59125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4YjdmYWU4MGEwOGE1MGRjM2JmZGVlZDI0YmY1NzAifQ=="/>
  </w:docVars>
  <w:rsids>
    <w:rsidRoot w:val="00172A27"/>
    <w:rsid w:val="00007EC6"/>
    <w:rsid w:val="000108D9"/>
    <w:rsid w:val="0001211B"/>
    <w:rsid w:val="000134B5"/>
    <w:rsid w:val="000135BC"/>
    <w:rsid w:val="00013D7F"/>
    <w:rsid w:val="00014AAC"/>
    <w:rsid w:val="00022811"/>
    <w:rsid w:val="00022AEA"/>
    <w:rsid w:val="000319CF"/>
    <w:rsid w:val="000409CB"/>
    <w:rsid w:val="00041001"/>
    <w:rsid w:val="00042FAB"/>
    <w:rsid w:val="00044D45"/>
    <w:rsid w:val="00050D00"/>
    <w:rsid w:val="00053AA0"/>
    <w:rsid w:val="00053EF1"/>
    <w:rsid w:val="00064DCB"/>
    <w:rsid w:val="00080ECB"/>
    <w:rsid w:val="00081756"/>
    <w:rsid w:val="00086FFF"/>
    <w:rsid w:val="00091B8D"/>
    <w:rsid w:val="000A0DE4"/>
    <w:rsid w:val="000A27B4"/>
    <w:rsid w:val="000B2785"/>
    <w:rsid w:val="000B4456"/>
    <w:rsid w:val="000B5AA8"/>
    <w:rsid w:val="000C4485"/>
    <w:rsid w:val="000D22A7"/>
    <w:rsid w:val="00110265"/>
    <w:rsid w:val="00114716"/>
    <w:rsid w:val="00124AED"/>
    <w:rsid w:val="00130A32"/>
    <w:rsid w:val="00137859"/>
    <w:rsid w:val="00155317"/>
    <w:rsid w:val="00163EF8"/>
    <w:rsid w:val="00165A90"/>
    <w:rsid w:val="00181F9A"/>
    <w:rsid w:val="00182983"/>
    <w:rsid w:val="00184975"/>
    <w:rsid w:val="00192555"/>
    <w:rsid w:val="001979E0"/>
    <w:rsid w:val="00197A24"/>
    <w:rsid w:val="001A0714"/>
    <w:rsid w:val="001D2747"/>
    <w:rsid w:val="001F68AD"/>
    <w:rsid w:val="00201254"/>
    <w:rsid w:val="00212A04"/>
    <w:rsid w:val="002241B3"/>
    <w:rsid w:val="00231514"/>
    <w:rsid w:val="00241D95"/>
    <w:rsid w:val="0024788B"/>
    <w:rsid w:val="002635A2"/>
    <w:rsid w:val="0027081F"/>
    <w:rsid w:val="0028099C"/>
    <w:rsid w:val="00284C86"/>
    <w:rsid w:val="00286011"/>
    <w:rsid w:val="00291708"/>
    <w:rsid w:val="0029404F"/>
    <w:rsid w:val="00294964"/>
    <w:rsid w:val="002A24ED"/>
    <w:rsid w:val="002A6D78"/>
    <w:rsid w:val="002A6F0A"/>
    <w:rsid w:val="002B1C30"/>
    <w:rsid w:val="002C47DB"/>
    <w:rsid w:val="002E6AF3"/>
    <w:rsid w:val="002F1E82"/>
    <w:rsid w:val="002F2179"/>
    <w:rsid w:val="00301138"/>
    <w:rsid w:val="00303AE1"/>
    <w:rsid w:val="00314B4C"/>
    <w:rsid w:val="00331F95"/>
    <w:rsid w:val="003324EB"/>
    <w:rsid w:val="00333C24"/>
    <w:rsid w:val="00342EA3"/>
    <w:rsid w:val="003629A8"/>
    <w:rsid w:val="00375277"/>
    <w:rsid w:val="00382BB4"/>
    <w:rsid w:val="00385699"/>
    <w:rsid w:val="0038657A"/>
    <w:rsid w:val="00397451"/>
    <w:rsid w:val="003B349B"/>
    <w:rsid w:val="003B394B"/>
    <w:rsid w:val="003B4409"/>
    <w:rsid w:val="003B6E76"/>
    <w:rsid w:val="003E757E"/>
    <w:rsid w:val="0041455E"/>
    <w:rsid w:val="004232DA"/>
    <w:rsid w:val="004278B8"/>
    <w:rsid w:val="00427E1B"/>
    <w:rsid w:val="00451728"/>
    <w:rsid w:val="004621FE"/>
    <w:rsid w:val="004762EB"/>
    <w:rsid w:val="004775D1"/>
    <w:rsid w:val="00486CD5"/>
    <w:rsid w:val="004905B3"/>
    <w:rsid w:val="004A209C"/>
    <w:rsid w:val="004B24E7"/>
    <w:rsid w:val="004B5CE2"/>
    <w:rsid w:val="004C0790"/>
    <w:rsid w:val="004D5EE0"/>
    <w:rsid w:val="004E5726"/>
    <w:rsid w:val="004F77BA"/>
    <w:rsid w:val="00501BF1"/>
    <w:rsid w:val="005030F4"/>
    <w:rsid w:val="00506D48"/>
    <w:rsid w:val="00513797"/>
    <w:rsid w:val="00540462"/>
    <w:rsid w:val="0054080C"/>
    <w:rsid w:val="005457EB"/>
    <w:rsid w:val="00547681"/>
    <w:rsid w:val="00571FC3"/>
    <w:rsid w:val="0058043C"/>
    <w:rsid w:val="0058139E"/>
    <w:rsid w:val="00592A4B"/>
    <w:rsid w:val="00594BDF"/>
    <w:rsid w:val="005A5BF1"/>
    <w:rsid w:val="005A6E7E"/>
    <w:rsid w:val="005B7139"/>
    <w:rsid w:val="005E2D8C"/>
    <w:rsid w:val="005F0744"/>
    <w:rsid w:val="00600DF3"/>
    <w:rsid w:val="00632FF9"/>
    <w:rsid w:val="00650A7E"/>
    <w:rsid w:val="0065177C"/>
    <w:rsid w:val="006537B5"/>
    <w:rsid w:val="00654816"/>
    <w:rsid w:val="0065663C"/>
    <w:rsid w:val="006676EF"/>
    <w:rsid w:val="006711C7"/>
    <w:rsid w:val="0068298B"/>
    <w:rsid w:val="00684885"/>
    <w:rsid w:val="006A7698"/>
    <w:rsid w:val="006D26DA"/>
    <w:rsid w:val="006D7D85"/>
    <w:rsid w:val="006E0E9B"/>
    <w:rsid w:val="006E7F53"/>
    <w:rsid w:val="006F09A2"/>
    <w:rsid w:val="00703584"/>
    <w:rsid w:val="00703D05"/>
    <w:rsid w:val="007140A9"/>
    <w:rsid w:val="00730079"/>
    <w:rsid w:val="00735A0C"/>
    <w:rsid w:val="00735E49"/>
    <w:rsid w:val="007530D1"/>
    <w:rsid w:val="00762103"/>
    <w:rsid w:val="0076295E"/>
    <w:rsid w:val="00763814"/>
    <w:rsid w:val="0076797E"/>
    <w:rsid w:val="007744BA"/>
    <w:rsid w:val="00776363"/>
    <w:rsid w:val="0078448E"/>
    <w:rsid w:val="007A40CA"/>
    <w:rsid w:val="007B7265"/>
    <w:rsid w:val="007D0D62"/>
    <w:rsid w:val="0081219A"/>
    <w:rsid w:val="008121EA"/>
    <w:rsid w:val="008140F3"/>
    <w:rsid w:val="00816B6C"/>
    <w:rsid w:val="008462FC"/>
    <w:rsid w:val="0084723F"/>
    <w:rsid w:val="00850A99"/>
    <w:rsid w:val="008702F0"/>
    <w:rsid w:val="00873616"/>
    <w:rsid w:val="008854BE"/>
    <w:rsid w:val="00893798"/>
    <w:rsid w:val="008A32B1"/>
    <w:rsid w:val="008B5B1D"/>
    <w:rsid w:val="008B5D2A"/>
    <w:rsid w:val="008C0133"/>
    <w:rsid w:val="008D0C52"/>
    <w:rsid w:val="00907B6F"/>
    <w:rsid w:val="00930770"/>
    <w:rsid w:val="00932AC6"/>
    <w:rsid w:val="009541F0"/>
    <w:rsid w:val="0096558C"/>
    <w:rsid w:val="0097150C"/>
    <w:rsid w:val="00972150"/>
    <w:rsid w:val="009952FA"/>
    <w:rsid w:val="009A56B7"/>
    <w:rsid w:val="009B33F8"/>
    <w:rsid w:val="009B57DB"/>
    <w:rsid w:val="009E01B1"/>
    <w:rsid w:val="009E641C"/>
    <w:rsid w:val="009F428B"/>
    <w:rsid w:val="00A053AF"/>
    <w:rsid w:val="00A06356"/>
    <w:rsid w:val="00A25428"/>
    <w:rsid w:val="00A2699C"/>
    <w:rsid w:val="00A31E86"/>
    <w:rsid w:val="00A53743"/>
    <w:rsid w:val="00A57F1E"/>
    <w:rsid w:val="00A70ABA"/>
    <w:rsid w:val="00A8738A"/>
    <w:rsid w:val="00AA1B0D"/>
    <w:rsid w:val="00AA4519"/>
    <w:rsid w:val="00AB498A"/>
    <w:rsid w:val="00AF056C"/>
    <w:rsid w:val="00AF7A9F"/>
    <w:rsid w:val="00B03215"/>
    <w:rsid w:val="00B1276D"/>
    <w:rsid w:val="00B31451"/>
    <w:rsid w:val="00B47BF8"/>
    <w:rsid w:val="00B60E5C"/>
    <w:rsid w:val="00B72D6E"/>
    <w:rsid w:val="00B76F9C"/>
    <w:rsid w:val="00B902C0"/>
    <w:rsid w:val="00B91EF5"/>
    <w:rsid w:val="00BA1064"/>
    <w:rsid w:val="00BA224A"/>
    <w:rsid w:val="00BB1A10"/>
    <w:rsid w:val="00BC09C3"/>
    <w:rsid w:val="00BC2C56"/>
    <w:rsid w:val="00BC765B"/>
    <w:rsid w:val="00BD14BD"/>
    <w:rsid w:val="00BD514B"/>
    <w:rsid w:val="00BF4DB3"/>
    <w:rsid w:val="00C034DF"/>
    <w:rsid w:val="00C07A24"/>
    <w:rsid w:val="00C10BC5"/>
    <w:rsid w:val="00C45D41"/>
    <w:rsid w:val="00C47390"/>
    <w:rsid w:val="00C52FC0"/>
    <w:rsid w:val="00C62A89"/>
    <w:rsid w:val="00CB2C70"/>
    <w:rsid w:val="00CB65F3"/>
    <w:rsid w:val="00D21C35"/>
    <w:rsid w:val="00D22EC8"/>
    <w:rsid w:val="00D255CC"/>
    <w:rsid w:val="00D304E4"/>
    <w:rsid w:val="00D47D85"/>
    <w:rsid w:val="00D50761"/>
    <w:rsid w:val="00D52FCD"/>
    <w:rsid w:val="00D5363D"/>
    <w:rsid w:val="00D61323"/>
    <w:rsid w:val="00D66DC2"/>
    <w:rsid w:val="00D67B81"/>
    <w:rsid w:val="00D67CF1"/>
    <w:rsid w:val="00D71F03"/>
    <w:rsid w:val="00D8662F"/>
    <w:rsid w:val="00D97A80"/>
    <w:rsid w:val="00DA4F24"/>
    <w:rsid w:val="00DB78EA"/>
    <w:rsid w:val="00DD534C"/>
    <w:rsid w:val="00DE25FE"/>
    <w:rsid w:val="00E10C57"/>
    <w:rsid w:val="00E33DC2"/>
    <w:rsid w:val="00E33F80"/>
    <w:rsid w:val="00E533FB"/>
    <w:rsid w:val="00E53D65"/>
    <w:rsid w:val="00E65D26"/>
    <w:rsid w:val="00E74DC2"/>
    <w:rsid w:val="00E75202"/>
    <w:rsid w:val="00E83386"/>
    <w:rsid w:val="00EA27BE"/>
    <w:rsid w:val="00EC68E2"/>
    <w:rsid w:val="00ED125A"/>
    <w:rsid w:val="00EF6968"/>
    <w:rsid w:val="00F30213"/>
    <w:rsid w:val="00F36809"/>
    <w:rsid w:val="00F37B67"/>
    <w:rsid w:val="00F50904"/>
    <w:rsid w:val="00F57976"/>
    <w:rsid w:val="00F64AF5"/>
    <w:rsid w:val="00F704EE"/>
    <w:rsid w:val="00F741E9"/>
    <w:rsid w:val="00F85754"/>
    <w:rsid w:val="00F91E06"/>
    <w:rsid w:val="00F96265"/>
    <w:rsid w:val="00FA4A0A"/>
    <w:rsid w:val="00FA75FA"/>
    <w:rsid w:val="00FA7668"/>
    <w:rsid w:val="00FB469C"/>
    <w:rsid w:val="00FB5DD6"/>
    <w:rsid w:val="00FC4A19"/>
    <w:rsid w:val="00FD7442"/>
    <w:rsid w:val="00FE5E23"/>
    <w:rsid w:val="00FF1DD0"/>
    <w:rsid w:val="00FF3043"/>
    <w:rsid w:val="00FF47A6"/>
    <w:rsid w:val="00FF493D"/>
    <w:rsid w:val="01260E98"/>
    <w:rsid w:val="018067FB"/>
    <w:rsid w:val="01E647E2"/>
    <w:rsid w:val="02112D2A"/>
    <w:rsid w:val="027E5B1F"/>
    <w:rsid w:val="02AB682A"/>
    <w:rsid w:val="03153DEC"/>
    <w:rsid w:val="0324625E"/>
    <w:rsid w:val="03471EAF"/>
    <w:rsid w:val="03A576BB"/>
    <w:rsid w:val="03DA518E"/>
    <w:rsid w:val="042358EC"/>
    <w:rsid w:val="04360017"/>
    <w:rsid w:val="044A42D0"/>
    <w:rsid w:val="04725261"/>
    <w:rsid w:val="048F372F"/>
    <w:rsid w:val="04A95A54"/>
    <w:rsid w:val="04E27FD8"/>
    <w:rsid w:val="04F66576"/>
    <w:rsid w:val="05A6534A"/>
    <w:rsid w:val="05C540BD"/>
    <w:rsid w:val="05DF53D7"/>
    <w:rsid w:val="05EF3F4F"/>
    <w:rsid w:val="06126362"/>
    <w:rsid w:val="062C63FD"/>
    <w:rsid w:val="06306FAC"/>
    <w:rsid w:val="0638746F"/>
    <w:rsid w:val="06BA7DA3"/>
    <w:rsid w:val="07260E86"/>
    <w:rsid w:val="077943F2"/>
    <w:rsid w:val="07812AD2"/>
    <w:rsid w:val="07B77B93"/>
    <w:rsid w:val="080866AF"/>
    <w:rsid w:val="084A43A2"/>
    <w:rsid w:val="08E40DB4"/>
    <w:rsid w:val="09141C8A"/>
    <w:rsid w:val="092052DB"/>
    <w:rsid w:val="09383F59"/>
    <w:rsid w:val="093A3733"/>
    <w:rsid w:val="096E4FCF"/>
    <w:rsid w:val="09A700F1"/>
    <w:rsid w:val="0A0B2823"/>
    <w:rsid w:val="0A421A5D"/>
    <w:rsid w:val="0A910750"/>
    <w:rsid w:val="0AB539B9"/>
    <w:rsid w:val="0B1E3C62"/>
    <w:rsid w:val="0BBA22CF"/>
    <w:rsid w:val="0BD03FC2"/>
    <w:rsid w:val="0C005D91"/>
    <w:rsid w:val="0CA0657A"/>
    <w:rsid w:val="0CB7463F"/>
    <w:rsid w:val="0CF41007"/>
    <w:rsid w:val="0D172428"/>
    <w:rsid w:val="0D774349"/>
    <w:rsid w:val="0D8A7C8F"/>
    <w:rsid w:val="0EF24C0E"/>
    <w:rsid w:val="0F0F60C3"/>
    <w:rsid w:val="0FAB08CB"/>
    <w:rsid w:val="0FF73A5C"/>
    <w:rsid w:val="102822F4"/>
    <w:rsid w:val="104D2D53"/>
    <w:rsid w:val="106C3848"/>
    <w:rsid w:val="10D460A8"/>
    <w:rsid w:val="113E2728"/>
    <w:rsid w:val="118732D1"/>
    <w:rsid w:val="11A75979"/>
    <w:rsid w:val="11D127F1"/>
    <w:rsid w:val="11FE3AAA"/>
    <w:rsid w:val="1217441D"/>
    <w:rsid w:val="1223301F"/>
    <w:rsid w:val="122652C9"/>
    <w:rsid w:val="127759F8"/>
    <w:rsid w:val="127E0161"/>
    <w:rsid w:val="12BF2D5A"/>
    <w:rsid w:val="1367706B"/>
    <w:rsid w:val="137C396A"/>
    <w:rsid w:val="146A5DA4"/>
    <w:rsid w:val="147E33A2"/>
    <w:rsid w:val="149B4276"/>
    <w:rsid w:val="14F076FE"/>
    <w:rsid w:val="14F75A4E"/>
    <w:rsid w:val="150B1DF0"/>
    <w:rsid w:val="155B4209"/>
    <w:rsid w:val="15746A3E"/>
    <w:rsid w:val="15752231"/>
    <w:rsid w:val="15BF56EC"/>
    <w:rsid w:val="16373AFC"/>
    <w:rsid w:val="16B53792"/>
    <w:rsid w:val="17261E41"/>
    <w:rsid w:val="173436D3"/>
    <w:rsid w:val="17360748"/>
    <w:rsid w:val="17653122"/>
    <w:rsid w:val="17D03871"/>
    <w:rsid w:val="17F729C2"/>
    <w:rsid w:val="1829269E"/>
    <w:rsid w:val="18A7723D"/>
    <w:rsid w:val="18DC30F4"/>
    <w:rsid w:val="191A12BB"/>
    <w:rsid w:val="196071E6"/>
    <w:rsid w:val="19884671"/>
    <w:rsid w:val="19B5566C"/>
    <w:rsid w:val="19BE156B"/>
    <w:rsid w:val="1A3F7970"/>
    <w:rsid w:val="1A5C3A1E"/>
    <w:rsid w:val="1A615F21"/>
    <w:rsid w:val="1A7B2219"/>
    <w:rsid w:val="1ABD462C"/>
    <w:rsid w:val="1AC11C23"/>
    <w:rsid w:val="1AE32E43"/>
    <w:rsid w:val="1B0B224E"/>
    <w:rsid w:val="1B101FDA"/>
    <w:rsid w:val="1B113A3B"/>
    <w:rsid w:val="1B164096"/>
    <w:rsid w:val="1B177075"/>
    <w:rsid w:val="1B351FAC"/>
    <w:rsid w:val="1B604014"/>
    <w:rsid w:val="1BB07810"/>
    <w:rsid w:val="1C0025BA"/>
    <w:rsid w:val="1C0F6CA1"/>
    <w:rsid w:val="1C396C00"/>
    <w:rsid w:val="1CBE080F"/>
    <w:rsid w:val="1D271DC8"/>
    <w:rsid w:val="1D2F71CD"/>
    <w:rsid w:val="1D396DA1"/>
    <w:rsid w:val="1D4B4287"/>
    <w:rsid w:val="1D7F3876"/>
    <w:rsid w:val="1DB4231D"/>
    <w:rsid w:val="1DD9376E"/>
    <w:rsid w:val="1DF77E93"/>
    <w:rsid w:val="1E143963"/>
    <w:rsid w:val="1E326FFF"/>
    <w:rsid w:val="1E4A03E5"/>
    <w:rsid w:val="1E545FB5"/>
    <w:rsid w:val="1E6843F2"/>
    <w:rsid w:val="1ECE2E43"/>
    <w:rsid w:val="1F0954E7"/>
    <w:rsid w:val="1F5B4F4A"/>
    <w:rsid w:val="1F975158"/>
    <w:rsid w:val="1FA25D3A"/>
    <w:rsid w:val="1FBB3543"/>
    <w:rsid w:val="205A6C0B"/>
    <w:rsid w:val="20781E64"/>
    <w:rsid w:val="20C363F3"/>
    <w:rsid w:val="20F20270"/>
    <w:rsid w:val="21177973"/>
    <w:rsid w:val="211D77B3"/>
    <w:rsid w:val="21A421EE"/>
    <w:rsid w:val="21AE40B2"/>
    <w:rsid w:val="21FA3BD0"/>
    <w:rsid w:val="22385AFF"/>
    <w:rsid w:val="232A6C06"/>
    <w:rsid w:val="23425CA2"/>
    <w:rsid w:val="236B0124"/>
    <w:rsid w:val="23767721"/>
    <w:rsid w:val="23E74208"/>
    <w:rsid w:val="23FB1121"/>
    <w:rsid w:val="24896BDE"/>
    <w:rsid w:val="249D4AEB"/>
    <w:rsid w:val="24BA1990"/>
    <w:rsid w:val="254D706C"/>
    <w:rsid w:val="25527D63"/>
    <w:rsid w:val="258305A9"/>
    <w:rsid w:val="25841894"/>
    <w:rsid w:val="258E6E89"/>
    <w:rsid w:val="25BD07EC"/>
    <w:rsid w:val="267C0094"/>
    <w:rsid w:val="27057BB3"/>
    <w:rsid w:val="27581187"/>
    <w:rsid w:val="276536E1"/>
    <w:rsid w:val="27B90C61"/>
    <w:rsid w:val="27D00F9C"/>
    <w:rsid w:val="27FE176C"/>
    <w:rsid w:val="28403B27"/>
    <w:rsid w:val="28441DB4"/>
    <w:rsid w:val="2847312E"/>
    <w:rsid w:val="29152F27"/>
    <w:rsid w:val="2919087A"/>
    <w:rsid w:val="292F6D96"/>
    <w:rsid w:val="294D6254"/>
    <w:rsid w:val="296C50B0"/>
    <w:rsid w:val="298D356A"/>
    <w:rsid w:val="29937E73"/>
    <w:rsid w:val="2A054397"/>
    <w:rsid w:val="2A897B67"/>
    <w:rsid w:val="2AC97FC0"/>
    <w:rsid w:val="2AE00121"/>
    <w:rsid w:val="2AE03992"/>
    <w:rsid w:val="2B247F35"/>
    <w:rsid w:val="2B3B4507"/>
    <w:rsid w:val="2B607081"/>
    <w:rsid w:val="2BB00458"/>
    <w:rsid w:val="2C420371"/>
    <w:rsid w:val="2C970542"/>
    <w:rsid w:val="2CB53426"/>
    <w:rsid w:val="2CF8131C"/>
    <w:rsid w:val="2D1145F4"/>
    <w:rsid w:val="2D565A52"/>
    <w:rsid w:val="2D571624"/>
    <w:rsid w:val="2D745EBC"/>
    <w:rsid w:val="2DDF7CCD"/>
    <w:rsid w:val="2DEC5AA1"/>
    <w:rsid w:val="2E383403"/>
    <w:rsid w:val="2E5328FB"/>
    <w:rsid w:val="2E8950BD"/>
    <w:rsid w:val="2EDE7700"/>
    <w:rsid w:val="2EE54067"/>
    <w:rsid w:val="2F0F1080"/>
    <w:rsid w:val="2F566C69"/>
    <w:rsid w:val="2FC770FD"/>
    <w:rsid w:val="2FF00FF4"/>
    <w:rsid w:val="304C5979"/>
    <w:rsid w:val="307A5CCD"/>
    <w:rsid w:val="30EA2095"/>
    <w:rsid w:val="30EE574C"/>
    <w:rsid w:val="3166425D"/>
    <w:rsid w:val="3176738D"/>
    <w:rsid w:val="31D65A26"/>
    <w:rsid w:val="325960AD"/>
    <w:rsid w:val="328510D4"/>
    <w:rsid w:val="32A63A63"/>
    <w:rsid w:val="32E764A9"/>
    <w:rsid w:val="33005B8D"/>
    <w:rsid w:val="33151A69"/>
    <w:rsid w:val="337A59DD"/>
    <w:rsid w:val="33B227AD"/>
    <w:rsid w:val="33B73534"/>
    <w:rsid w:val="33B91056"/>
    <w:rsid w:val="33ED48D4"/>
    <w:rsid w:val="356F4FC0"/>
    <w:rsid w:val="361A2CC9"/>
    <w:rsid w:val="36493F44"/>
    <w:rsid w:val="36522390"/>
    <w:rsid w:val="36AB3A6E"/>
    <w:rsid w:val="36C74BEB"/>
    <w:rsid w:val="36EC4581"/>
    <w:rsid w:val="36FB00F6"/>
    <w:rsid w:val="374C69DF"/>
    <w:rsid w:val="380507C2"/>
    <w:rsid w:val="385E4E34"/>
    <w:rsid w:val="39875C16"/>
    <w:rsid w:val="39CB3DB0"/>
    <w:rsid w:val="3A080B60"/>
    <w:rsid w:val="3A6F0BDF"/>
    <w:rsid w:val="3A741B9F"/>
    <w:rsid w:val="3A8B7B71"/>
    <w:rsid w:val="3ABE36C4"/>
    <w:rsid w:val="3AF13CEA"/>
    <w:rsid w:val="3B1D5990"/>
    <w:rsid w:val="3B7D2282"/>
    <w:rsid w:val="3B8B2B6A"/>
    <w:rsid w:val="3C025A83"/>
    <w:rsid w:val="3C8A6B1B"/>
    <w:rsid w:val="3CD059AF"/>
    <w:rsid w:val="3CD53987"/>
    <w:rsid w:val="3D06044D"/>
    <w:rsid w:val="3D2D528A"/>
    <w:rsid w:val="3D703B4C"/>
    <w:rsid w:val="3D8961A4"/>
    <w:rsid w:val="3DBF014C"/>
    <w:rsid w:val="3DDE5402"/>
    <w:rsid w:val="3DEE28E1"/>
    <w:rsid w:val="3DF964B1"/>
    <w:rsid w:val="3E897349"/>
    <w:rsid w:val="3EA26983"/>
    <w:rsid w:val="3ECA69E6"/>
    <w:rsid w:val="3F3D3961"/>
    <w:rsid w:val="3F675531"/>
    <w:rsid w:val="3F7453F2"/>
    <w:rsid w:val="3F842486"/>
    <w:rsid w:val="3F971B29"/>
    <w:rsid w:val="3FAD104B"/>
    <w:rsid w:val="3FD26B55"/>
    <w:rsid w:val="40531870"/>
    <w:rsid w:val="40862A9E"/>
    <w:rsid w:val="40FE3980"/>
    <w:rsid w:val="410F7E6B"/>
    <w:rsid w:val="41D11F56"/>
    <w:rsid w:val="421F45D8"/>
    <w:rsid w:val="42AD6DD3"/>
    <w:rsid w:val="42B84AE7"/>
    <w:rsid w:val="42D77C69"/>
    <w:rsid w:val="42EA6882"/>
    <w:rsid w:val="4300311E"/>
    <w:rsid w:val="43641AF2"/>
    <w:rsid w:val="438C42B6"/>
    <w:rsid w:val="43BD437D"/>
    <w:rsid w:val="43D258A0"/>
    <w:rsid w:val="44283DA3"/>
    <w:rsid w:val="44547EC2"/>
    <w:rsid w:val="447C33EB"/>
    <w:rsid w:val="448F2337"/>
    <w:rsid w:val="44F508C3"/>
    <w:rsid w:val="455D3879"/>
    <w:rsid w:val="45C976D1"/>
    <w:rsid w:val="45F32AE3"/>
    <w:rsid w:val="45FC59D0"/>
    <w:rsid w:val="466F5500"/>
    <w:rsid w:val="46DA7A9D"/>
    <w:rsid w:val="471D456E"/>
    <w:rsid w:val="478314BB"/>
    <w:rsid w:val="479E4870"/>
    <w:rsid w:val="47B73C77"/>
    <w:rsid w:val="47BF5A4F"/>
    <w:rsid w:val="47C307BC"/>
    <w:rsid w:val="480936CE"/>
    <w:rsid w:val="483B555F"/>
    <w:rsid w:val="48576465"/>
    <w:rsid w:val="4909233C"/>
    <w:rsid w:val="49204E32"/>
    <w:rsid w:val="49662273"/>
    <w:rsid w:val="49932D8E"/>
    <w:rsid w:val="49E74613"/>
    <w:rsid w:val="4A297118"/>
    <w:rsid w:val="4A381815"/>
    <w:rsid w:val="4A395FF8"/>
    <w:rsid w:val="4A636E00"/>
    <w:rsid w:val="4AA66F91"/>
    <w:rsid w:val="4ACD20FD"/>
    <w:rsid w:val="4ADA1E31"/>
    <w:rsid w:val="4ADD146E"/>
    <w:rsid w:val="4B9C37FE"/>
    <w:rsid w:val="4BA67686"/>
    <w:rsid w:val="4BDD5809"/>
    <w:rsid w:val="4BF453E8"/>
    <w:rsid w:val="4C5F288F"/>
    <w:rsid w:val="4C7E0668"/>
    <w:rsid w:val="4C981188"/>
    <w:rsid w:val="4CBA6828"/>
    <w:rsid w:val="4CBD4FCE"/>
    <w:rsid w:val="4CE72AF9"/>
    <w:rsid w:val="4CEF2F1B"/>
    <w:rsid w:val="4D570235"/>
    <w:rsid w:val="4E1E1E7E"/>
    <w:rsid w:val="4E465B59"/>
    <w:rsid w:val="4E524D23"/>
    <w:rsid w:val="4EE95070"/>
    <w:rsid w:val="4EFC280B"/>
    <w:rsid w:val="4F25324B"/>
    <w:rsid w:val="4F26341F"/>
    <w:rsid w:val="4F707742"/>
    <w:rsid w:val="500E34A2"/>
    <w:rsid w:val="50307BEE"/>
    <w:rsid w:val="50372370"/>
    <w:rsid w:val="50B14184"/>
    <w:rsid w:val="50BF3DB7"/>
    <w:rsid w:val="50C26352"/>
    <w:rsid w:val="50C717AF"/>
    <w:rsid w:val="50E1645A"/>
    <w:rsid w:val="50FF6684"/>
    <w:rsid w:val="51474285"/>
    <w:rsid w:val="521553CC"/>
    <w:rsid w:val="524C496F"/>
    <w:rsid w:val="52730DDD"/>
    <w:rsid w:val="538D6BDA"/>
    <w:rsid w:val="53DB5ABA"/>
    <w:rsid w:val="541F34DA"/>
    <w:rsid w:val="543E5FB2"/>
    <w:rsid w:val="54C217F3"/>
    <w:rsid w:val="54D4563E"/>
    <w:rsid w:val="55417090"/>
    <w:rsid w:val="55504E3B"/>
    <w:rsid w:val="55683C90"/>
    <w:rsid w:val="558C40BA"/>
    <w:rsid w:val="55964664"/>
    <w:rsid w:val="55B83F5F"/>
    <w:rsid w:val="55E47541"/>
    <w:rsid w:val="55FD6FC2"/>
    <w:rsid w:val="55FF72F7"/>
    <w:rsid w:val="561641AD"/>
    <w:rsid w:val="564E1FE5"/>
    <w:rsid w:val="565332B6"/>
    <w:rsid w:val="565C4765"/>
    <w:rsid w:val="56757125"/>
    <w:rsid w:val="56DC20AF"/>
    <w:rsid w:val="56DC245A"/>
    <w:rsid w:val="579F79A5"/>
    <w:rsid w:val="57B763CE"/>
    <w:rsid w:val="57DD384D"/>
    <w:rsid w:val="57E9650F"/>
    <w:rsid w:val="57F6099E"/>
    <w:rsid w:val="581E7003"/>
    <w:rsid w:val="5843218D"/>
    <w:rsid w:val="58CA54FB"/>
    <w:rsid w:val="58E6709D"/>
    <w:rsid w:val="58FD3402"/>
    <w:rsid w:val="593F608C"/>
    <w:rsid w:val="595E0345"/>
    <w:rsid w:val="596E17E5"/>
    <w:rsid w:val="59935444"/>
    <w:rsid w:val="59AD1453"/>
    <w:rsid w:val="59AF48B6"/>
    <w:rsid w:val="59C10AFB"/>
    <w:rsid w:val="5A9526D6"/>
    <w:rsid w:val="5B6607C9"/>
    <w:rsid w:val="5B957051"/>
    <w:rsid w:val="5BD0695E"/>
    <w:rsid w:val="5BF63DD8"/>
    <w:rsid w:val="5BF71D3F"/>
    <w:rsid w:val="5C1A2501"/>
    <w:rsid w:val="5C302F52"/>
    <w:rsid w:val="5C34538D"/>
    <w:rsid w:val="5C621EFA"/>
    <w:rsid w:val="5C763BF7"/>
    <w:rsid w:val="5C823744"/>
    <w:rsid w:val="5D111C3D"/>
    <w:rsid w:val="5D7D3E14"/>
    <w:rsid w:val="5DBA5822"/>
    <w:rsid w:val="5DF37879"/>
    <w:rsid w:val="5E020EBE"/>
    <w:rsid w:val="5E7C56A8"/>
    <w:rsid w:val="5ED66888"/>
    <w:rsid w:val="5F454768"/>
    <w:rsid w:val="5F5923FB"/>
    <w:rsid w:val="5F5F5445"/>
    <w:rsid w:val="5F7631CD"/>
    <w:rsid w:val="603D027A"/>
    <w:rsid w:val="603F0BF6"/>
    <w:rsid w:val="60B941F0"/>
    <w:rsid w:val="60BE7C26"/>
    <w:rsid w:val="61322FD6"/>
    <w:rsid w:val="61932540"/>
    <w:rsid w:val="619F14FA"/>
    <w:rsid w:val="6254649D"/>
    <w:rsid w:val="62652744"/>
    <w:rsid w:val="62A60A00"/>
    <w:rsid w:val="62CE4230"/>
    <w:rsid w:val="62F05EED"/>
    <w:rsid w:val="63247AA4"/>
    <w:rsid w:val="632B24E5"/>
    <w:rsid w:val="6339767E"/>
    <w:rsid w:val="63921885"/>
    <w:rsid w:val="63CA61F1"/>
    <w:rsid w:val="647039B4"/>
    <w:rsid w:val="647566CD"/>
    <w:rsid w:val="64DC4BE7"/>
    <w:rsid w:val="65041DFC"/>
    <w:rsid w:val="65AB0675"/>
    <w:rsid w:val="65C92060"/>
    <w:rsid w:val="65F55A90"/>
    <w:rsid w:val="66803842"/>
    <w:rsid w:val="66B05E59"/>
    <w:rsid w:val="66EC5C91"/>
    <w:rsid w:val="66F5284B"/>
    <w:rsid w:val="66F55E76"/>
    <w:rsid w:val="67340937"/>
    <w:rsid w:val="676A2D91"/>
    <w:rsid w:val="679345F6"/>
    <w:rsid w:val="67C33D93"/>
    <w:rsid w:val="67D5211A"/>
    <w:rsid w:val="681060F7"/>
    <w:rsid w:val="684F01AA"/>
    <w:rsid w:val="68933C2B"/>
    <w:rsid w:val="68A40062"/>
    <w:rsid w:val="69110B5E"/>
    <w:rsid w:val="6917029D"/>
    <w:rsid w:val="691F4162"/>
    <w:rsid w:val="699F33AF"/>
    <w:rsid w:val="69E95BF4"/>
    <w:rsid w:val="6A2D5E3C"/>
    <w:rsid w:val="6B7C2E38"/>
    <w:rsid w:val="6BA916BC"/>
    <w:rsid w:val="6BAA7ED5"/>
    <w:rsid w:val="6BD109C7"/>
    <w:rsid w:val="6BDD1C45"/>
    <w:rsid w:val="6BE75612"/>
    <w:rsid w:val="6BF54163"/>
    <w:rsid w:val="6C9B6125"/>
    <w:rsid w:val="6CC81D25"/>
    <w:rsid w:val="6CC95EAB"/>
    <w:rsid w:val="6CD850C3"/>
    <w:rsid w:val="6CF61321"/>
    <w:rsid w:val="6D133437"/>
    <w:rsid w:val="6D4318A1"/>
    <w:rsid w:val="6D5D069C"/>
    <w:rsid w:val="6D736C29"/>
    <w:rsid w:val="6DAF32CE"/>
    <w:rsid w:val="6E307110"/>
    <w:rsid w:val="6E7837FF"/>
    <w:rsid w:val="6E986470"/>
    <w:rsid w:val="6F626748"/>
    <w:rsid w:val="6FC24BFD"/>
    <w:rsid w:val="6FEB0C4C"/>
    <w:rsid w:val="700E193E"/>
    <w:rsid w:val="701A0AB3"/>
    <w:rsid w:val="704A21C0"/>
    <w:rsid w:val="70682538"/>
    <w:rsid w:val="708C3591"/>
    <w:rsid w:val="70BC0CA5"/>
    <w:rsid w:val="70F3688B"/>
    <w:rsid w:val="71262095"/>
    <w:rsid w:val="715A72FB"/>
    <w:rsid w:val="71894F2A"/>
    <w:rsid w:val="719C61F3"/>
    <w:rsid w:val="71A709D7"/>
    <w:rsid w:val="71BE1EB4"/>
    <w:rsid w:val="7215466B"/>
    <w:rsid w:val="72A24A86"/>
    <w:rsid w:val="72B4017F"/>
    <w:rsid w:val="72FC6E11"/>
    <w:rsid w:val="732C7CEE"/>
    <w:rsid w:val="734336BF"/>
    <w:rsid w:val="7351307F"/>
    <w:rsid w:val="73BE64F3"/>
    <w:rsid w:val="74136B4C"/>
    <w:rsid w:val="74210EA2"/>
    <w:rsid w:val="74575C64"/>
    <w:rsid w:val="745D1A7D"/>
    <w:rsid w:val="745F718A"/>
    <w:rsid w:val="74844554"/>
    <w:rsid w:val="74BE056A"/>
    <w:rsid w:val="74C622A2"/>
    <w:rsid w:val="750411C1"/>
    <w:rsid w:val="75802133"/>
    <w:rsid w:val="75864187"/>
    <w:rsid w:val="76CA4CC2"/>
    <w:rsid w:val="76D10FD2"/>
    <w:rsid w:val="76DB2DE5"/>
    <w:rsid w:val="76E07596"/>
    <w:rsid w:val="76E14F57"/>
    <w:rsid w:val="7715756D"/>
    <w:rsid w:val="772A214A"/>
    <w:rsid w:val="7748772C"/>
    <w:rsid w:val="77520C62"/>
    <w:rsid w:val="776877FE"/>
    <w:rsid w:val="777D6364"/>
    <w:rsid w:val="77966169"/>
    <w:rsid w:val="77FD73DA"/>
    <w:rsid w:val="78320CB0"/>
    <w:rsid w:val="787A6B4F"/>
    <w:rsid w:val="78AB1211"/>
    <w:rsid w:val="78B246DA"/>
    <w:rsid w:val="78E468F7"/>
    <w:rsid w:val="79114BA1"/>
    <w:rsid w:val="792924F9"/>
    <w:rsid w:val="794744F9"/>
    <w:rsid w:val="79527DEB"/>
    <w:rsid w:val="795512DA"/>
    <w:rsid w:val="7963796C"/>
    <w:rsid w:val="7AC017E7"/>
    <w:rsid w:val="7AC248B2"/>
    <w:rsid w:val="7B670E83"/>
    <w:rsid w:val="7BC20D35"/>
    <w:rsid w:val="7C0A2C4B"/>
    <w:rsid w:val="7C433745"/>
    <w:rsid w:val="7CC24CD1"/>
    <w:rsid w:val="7CD06596"/>
    <w:rsid w:val="7CDE59D0"/>
    <w:rsid w:val="7D42698A"/>
    <w:rsid w:val="7D480A63"/>
    <w:rsid w:val="7D533EBF"/>
    <w:rsid w:val="7D563C8C"/>
    <w:rsid w:val="7DC1770B"/>
    <w:rsid w:val="7DFA7F87"/>
    <w:rsid w:val="7E752487"/>
    <w:rsid w:val="7E8D4CAE"/>
    <w:rsid w:val="7EA6497F"/>
    <w:rsid w:val="7EBB7DEC"/>
    <w:rsid w:val="7F164125"/>
    <w:rsid w:val="7F3106C8"/>
    <w:rsid w:val="7F8801C3"/>
    <w:rsid w:val="7FFE61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0"/>
    <w:qFormat/>
    <w:uiPriority w:val="0"/>
    <w:pPr>
      <w:keepNext/>
      <w:spacing w:line="360" w:lineRule="auto"/>
      <w:jc w:val="center"/>
      <w:outlineLvl w:val="0"/>
    </w:pPr>
    <w:rPr>
      <w:b/>
      <w:color w:val="000000"/>
      <w:sz w:val="32"/>
    </w:rPr>
  </w:style>
  <w:style w:type="paragraph" w:styleId="5">
    <w:name w:val="heading 2"/>
    <w:basedOn w:val="1"/>
    <w:next w:val="1"/>
    <w:link w:val="71"/>
    <w:qFormat/>
    <w:uiPriority w:val="0"/>
    <w:pPr>
      <w:keepNext/>
      <w:keepLines/>
      <w:spacing w:line="360" w:lineRule="auto"/>
      <w:ind w:firstLine="200" w:firstLineChars="200"/>
      <w:outlineLvl w:val="1"/>
    </w:pPr>
    <w:rPr>
      <w:rFonts w:ascii="Arial" w:hAnsi="Arial"/>
      <w:b/>
      <w:bCs/>
      <w:szCs w:val="32"/>
    </w:rPr>
  </w:style>
  <w:style w:type="paragraph" w:styleId="6">
    <w:name w:val="heading 3"/>
    <w:basedOn w:val="1"/>
    <w:next w:val="1"/>
    <w:link w:val="72"/>
    <w:autoRedefine/>
    <w:qFormat/>
    <w:uiPriority w:val="0"/>
    <w:pPr>
      <w:widowControl/>
      <w:autoSpaceDE w:val="0"/>
      <w:autoSpaceDN w:val="0"/>
      <w:spacing w:before="120" w:beforeLines="0" w:after="120" w:afterLines="0" w:line="300" w:lineRule="auto"/>
      <w:outlineLvl w:val="2"/>
    </w:pPr>
    <w:rPr>
      <w:sz w:val="24"/>
      <w:szCs w:val="20"/>
    </w:rPr>
  </w:style>
  <w:style w:type="paragraph" w:styleId="7">
    <w:name w:val="heading 4"/>
    <w:basedOn w:val="1"/>
    <w:next w:val="1"/>
    <w:link w:val="73"/>
    <w:autoRedefine/>
    <w:qFormat/>
    <w:uiPriority w:val="0"/>
    <w:pPr>
      <w:keepNext/>
      <w:keepLines/>
      <w:spacing w:before="280" w:beforeLines="0" w:after="290" w:afterLines="0" w:line="374" w:lineRule="auto"/>
      <w:outlineLvl w:val="3"/>
    </w:pPr>
    <w:rPr>
      <w:rFonts w:ascii="Cambria" w:hAnsi="Cambria"/>
      <w:b/>
      <w:bCs/>
      <w:sz w:val="28"/>
      <w:szCs w:val="28"/>
    </w:rPr>
  </w:style>
  <w:style w:type="paragraph" w:styleId="8">
    <w:name w:val="heading 5"/>
    <w:basedOn w:val="1"/>
    <w:next w:val="1"/>
    <w:link w:val="74"/>
    <w:autoRedefine/>
    <w:qFormat/>
    <w:uiPriority w:val="0"/>
    <w:pPr>
      <w:spacing w:before="240" w:beforeLines="0" w:after="60" w:afterLines="0"/>
      <w:outlineLvl w:val="4"/>
    </w:pPr>
    <w:rPr>
      <w:b/>
      <w:bCs/>
      <w:i/>
      <w:iCs/>
      <w:sz w:val="26"/>
      <w:szCs w:val="26"/>
    </w:rPr>
  </w:style>
  <w:style w:type="paragraph" w:styleId="9">
    <w:name w:val="heading 6"/>
    <w:basedOn w:val="1"/>
    <w:next w:val="1"/>
    <w:link w:val="75"/>
    <w:autoRedefine/>
    <w:qFormat/>
    <w:uiPriority w:val="0"/>
    <w:pPr>
      <w:spacing w:before="240" w:beforeLines="0" w:after="60" w:afterLines="0"/>
      <w:outlineLvl w:val="5"/>
    </w:pPr>
    <w:rPr>
      <w:b/>
      <w:bCs/>
      <w:sz w:val="22"/>
      <w:szCs w:val="22"/>
    </w:rPr>
  </w:style>
  <w:style w:type="paragraph" w:styleId="10">
    <w:name w:val="heading 7"/>
    <w:basedOn w:val="1"/>
    <w:next w:val="1"/>
    <w:link w:val="76"/>
    <w:autoRedefine/>
    <w:qFormat/>
    <w:uiPriority w:val="0"/>
    <w:pPr>
      <w:spacing w:before="240" w:beforeLines="0" w:after="60" w:afterLines="0"/>
      <w:outlineLvl w:val="6"/>
    </w:pPr>
    <w:rPr>
      <w:szCs w:val="22"/>
    </w:rPr>
  </w:style>
  <w:style w:type="paragraph" w:styleId="11">
    <w:name w:val="heading 8"/>
    <w:basedOn w:val="1"/>
    <w:next w:val="1"/>
    <w:link w:val="77"/>
    <w:autoRedefine/>
    <w:qFormat/>
    <w:uiPriority w:val="0"/>
    <w:pPr>
      <w:spacing w:before="240" w:beforeLines="0" w:after="60" w:afterLines="0"/>
      <w:outlineLvl w:val="7"/>
    </w:pPr>
    <w:rPr>
      <w:i/>
      <w:iCs/>
      <w:szCs w:val="22"/>
    </w:rPr>
  </w:style>
  <w:style w:type="paragraph" w:styleId="12">
    <w:name w:val="heading 9"/>
    <w:basedOn w:val="1"/>
    <w:next w:val="1"/>
    <w:link w:val="78"/>
    <w:autoRedefine/>
    <w:qFormat/>
    <w:uiPriority w:val="0"/>
    <w:pPr>
      <w:spacing w:before="240" w:beforeLines="0" w:after="60" w:afterLines="0"/>
      <w:outlineLvl w:val="8"/>
    </w:pPr>
    <w:rPr>
      <w:rFonts w:ascii="Cambria" w:hAnsi="Cambria"/>
      <w:sz w:val="22"/>
      <w:szCs w:val="22"/>
    </w:rPr>
  </w:style>
  <w:style w:type="character" w:default="1" w:styleId="56">
    <w:name w:val="Default Paragraph Font"/>
    <w:autoRedefine/>
    <w:qFormat/>
    <w:uiPriority w:val="0"/>
  </w:style>
  <w:style w:type="table" w:default="1" w:styleId="54">
    <w:name w:val="Normal Table"/>
    <w:semiHidden/>
    <w:uiPriority w:val="0"/>
    <w:tblPr>
      <w:tblCellMar>
        <w:top w:w="0" w:type="dxa"/>
        <w:left w:w="108" w:type="dxa"/>
        <w:bottom w:w="0" w:type="dxa"/>
        <w:right w:w="108" w:type="dxa"/>
      </w:tblCellMar>
    </w:tblPr>
  </w:style>
  <w:style w:type="paragraph" w:styleId="2">
    <w:name w:val="Body Text"/>
    <w:basedOn w:val="1"/>
    <w:next w:val="3"/>
    <w:link w:val="68"/>
    <w:uiPriority w:val="0"/>
    <w:pPr>
      <w:spacing w:after="120" w:afterLines="0"/>
    </w:pPr>
  </w:style>
  <w:style w:type="paragraph" w:styleId="3">
    <w:name w:val="Body Text First Indent"/>
    <w:basedOn w:val="2"/>
    <w:next w:val="1"/>
    <w:link w:val="69"/>
    <w:uiPriority w:val="0"/>
    <w:pPr>
      <w:ind w:firstLine="420" w:firstLineChars="100"/>
    </w:pPr>
  </w:style>
  <w:style w:type="paragraph" w:styleId="13">
    <w:name w:val="List 3"/>
    <w:basedOn w:val="1"/>
    <w:autoRedefine/>
    <w:qFormat/>
    <w:uiPriority w:val="0"/>
    <w:pPr>
      <w:ind w:left="100" w:leftChars="400" w:hanging="200" w:hangingChars="200"/>
    </w:pPr>
    <w:rPr>
      <w:szCs w:val="20"/>
    </w:rPr>
  </w:style>
  <w:style w:type="paragraph" w:styleId="14">
    <w:name w:val="toc 7"/>
    <w:basedOn w:val="1"/>
    <w:next w:val="1"/>
    <w:autoRedefine/>
    <w:qFormat/>
    <w:uiPriority w:val="0"/>
    <w:pPr>
      <w:ind w:left="1260"/>
      <w:jc w:val="left"/>
    </w:pPr>
    <w:rPr>
      <w:sz w:val="18"/>
      <w:szCs w:val="18"/>
    </w:rPr>
  </w:style>
  <w:style w:type="paragraph" w:styleId="15">
    <w:name w:val="List Number"/>
    <w:basedOn w:val="1"/>
    <w:uiPriority w:val="0"/>
    <w:pPr>
      <w:widowControl/>
      <w:tabs>
        <w:tab w:val="left" w:pos="420"/>
        <w:tab w:val="left" w:pos="454"/>
      </w:tabs>
      <w:spacing w:after="156" w:afterLines="50"/>
      <w:ind w:left="454" w:hanging="284"/>
      <w:jc w:val="left"/>
    </w:pPr>
    <w:rPr>
      <w:rFonts w:ascii="Arial" w:hAnsi="Arial" w:cs="Arial"/>
      <w:kern w:val="0"/>
      <w:sz w:val="24"/>
      <w:szCs w:val="20"/>
    </w:rPr>
  </w:style>
  <w:style w:type="paragraph" w:styleId="16">
    <w:name w:val="Normal Indent"/>
    <w:basedOn w:val="1"/>
    <w:next w:val="1"/>
    <w:link w:val="79"/>
    <w:uiPriority w:val="0"/>
    <w:pPr>
      <w:ind w:firstLine="420" w:firstLineChars="200"/>
    </w:pPr>
  </w:style>
  <w:style w:type="paragraph" w:styleId="17">
    <w:name w:val="caption"/>
    <w:basedOn w:val="1"/>
    <w:next w:val="1"/>
    <w:link w:val="80"/>
    <w:qFormat/>
    <w:uiPriority w:val="0"/>
    <w:pPr>
      <w:spacing w:line="400" w:lineRule="exact"/>
      <w:ind w:firstLine="200" w:firstLineChars="200"/>
    </w:pPr>
    <w:rPr>
      <w:rFonts w:ascii="Arial" w:hAnsi="Arial" w:eastAsia="黑体"/>
      <w:kern w:val="0"/>
      <w:sz w:val="20"/>
      <w:szCs w:val="20"/>
      <w:lang w:eastAsia="en-US"/>
    </w:rPr>
  </w:style>
  <w:style w:type="paragraph" w:styleId="18">
    <w:name w:val="Document Map"/>
    <w:basedOn w:val="1"/>
    <w:link w:val="81"/>
    <w:uiPriority w:val="0"/>
    <w:pPr>
      <w:shd w:val="clear" w:color="auto" w:fill="000080"/>
    </w:pPr>
    <w:rPr>
      <w:shd w:val="clear" w:color="auto" w:fill="000080"/>
    </w:rPr>
  </w:style>
  <w:style w:type="paragraph" w:styleId="19">
    <w:name w:val="toa heading"/>
    <w:basedOn w:val="1"/>
    <w:next w:val="1"/>
    <w:unhideWhenUsed/>
    <w:qFormat/>
    <w:uiPriority w:val="99"/>
    <w:rPr>
      <w:rFonts w:ascii="Arial" w:hAnsi="Arial"/>
      <w:sz w:val="24"/>
    </w:rPr>
  </w:style>
  <w:style w:type="paragraph" w:styleId="20">
    <w:name w:val="annotation text"/>
    <w:basedOn w:val="1"/>
    <w:link w:val="82"/>
    <w:uiPriority w:val="0"/>
    <w:pPr>
      <w:jc w:val="left"/>
    </w:pPr>
    <w:rPr>
      <w:szCs w:val="20"/>
    </w:rPr>
  </w:style>
  <w:style w:type="paragraph" w:styleId="21">
    <w:name w:val="Body Text 3"/>
    <w:basedOn w:val="1"/>
    <w:link w:val="83"/>
    <w:uiPriority w:val="0"/>
    <w:pPr>
      <w:spacing w:line="440" w:lineRule="atLeast"/>
      <w:jc w:val="center"/>
    </w:pPr>
    <w:rPr>
      <w:rFonts w:ascii="楷体_GB2312" w:eastAsia="楷体_GB2312"/>
      <w:b/>
      <w:color w:val="000000"/>
      <w:sz w:val="30"/>
    </w:rPr>
  </w:style>
  <w:style w:type="paragraph" w:styleId="22">
    <w:name w:val="Body Text Indent"/>
    <w:basedOn w:val="1"/>
    <w:next w:val="1"/>
    <w:link w:val="84"/>
    <w:uiPriority w:val="0"/>
    <w:pPr>
      <w:widowControl/>
      <w:autoSpaceDE w:val="0"/>
      <w:autoSpaceDN w:val="0"/>
      <w:snapToGrid w:val="0"/>
      <w:spacing w:before="120" w:beforeLines="0" w:line="400" w:lineRule="atLeast"/>
      <w:ind w:firstLine="570"/>
      <w:textAlignment w:val="bottom"/>
    </w:pPr>
    <w:rPr>
      <w:rFonts w:ascii="宋体"/>
      <w:kern w:val="0"/>
      <w:sz w:val="24"/>
      <w:szCs w:val="20"/>
    </w:rPr>
  </w:style>
  <w:style w:type="paragraph" w:styleId="23">
    <w:name w:val="List Number 3"/>
    <w:basedOn w:val="1"/>
    <w:uiPriority w:val="0"/>
    <w:pPr>
      <w:widowControl/>
      <w:tabs>
        <w:tab w:val="left" w:pos="482"/>
        <w:tab w:val="left" w:pos="1157"/>
      </w:tabs>
      <w:spacing w:after="156" w:afterLines="50"/>
      <w:ind w:left="482" w:hanging="340"/>
      <w:jc w:val="left"/>
    </w:pPr>
    <w:rPr>
      <w:rFonts w:ascii="Arial" w:hAnsi="Arial" w:cs="Arial"/>
      <w:kern w:val="0"/>
      <w:sz w:val="24"/>
      <w:szCs w:val="20"/>
    </w:rPr>
  </w:style>
  <w:style w:type="paragraph" w:styleId="24">
    <w:name w:val="List 2"/>
    <w:basedOn w:val="1"/>
    <w:uiPriority w:val="0"/>
    <w:pPr>
      <w:ind w:left="100" w:leftChars="200" w:hanging="200" w:hangingChars="200"/>
    </w:pPr>
  </w:style>
  <w:style w:type="paragraph" w:styleId="25">
    <w:name w:val="Block Text"/>
    <w:basedOn w:val="1"/>
    <w:uiPriority w:val="0"/>
    <w:pPr>
      <w:adjustRightInd w:val="0"/>
      <w:snapToGrid w:val="0"/>
      <w:spacing w:line="300" w:lineRule="auto"/>
      <w:ind w:left="958" w:right="-120" w:rightChars="-120"/>
      <w:jc w:val="left"/>
    </w:pPr>
    <w:rPr>
      <w:rFonts w:hint="eastAsia" w:ascii="Century Gothic" w:hAnsi="Century Gothic" w:cs="Arial"/>
      <w:sz w:val="28"/>
      <w:szCs w:val="20"/>
    </w:rPr>
  </w:style>
  <w:style w:type="paragraph" w:styleId="26">
    <w:name w:val="toc 5"/>
    <w:basedOn w:val="1"/>
    <w:next w:val="1"/>
    <w:uiPriority w:val="0"/>
    <w:pPr>
      <w:ind w:left="840"/>
      <w:jc w:val="left"/>
    </w:pPr>
    <w:rPr>
      <w:sz w:val="18"/>
      <w:szCs w:val="18"/>
    </w:rPr>
  </w:style>
  <w:style w:type="paragraph" w:styleId="27">
    <w:name w:val="toc 3"/>
    <w:basedOn w:val="1"/>
    <w:next w:val="1"/>
    <w:uiPriority w:val="0"/>
    <w:pPr>
      <w:ind w:left="420"/>
      <w:jc w:val="left"/>
    </w:pPr>
    <w:rPr>
      <w:i/>
      <w:iCs/>
      <w:sz w:val="20"/>
      <w:szCs w:val="20"/>
    </w:rPr>
  </w:style>
  <w:style w:type="paragraph" w:styleId="28">
    <w:name w:val="Plain Text"/>
    <w:basedOn w:val="1"/>
    <w:next w:val="29"/>
    <w:link w:val="85"/>
    <w:uiPriority w:val="0"/>
    <w:rPr>
      <w:rFonts w:ascii="宋体" w:hAnsi="Courier New"/>
      <w:szCs w:val="20"/>
    </w:rPr>
  </w:style>
  <w:style w:type="paragraph" w:styleId="29">
    <w:name w:val="Date"/>
    <w:basedOn w:val="1"/>
    <w:next w:val="1"/>
    <w:link w:val="86"/>
    <w:uiPriority w:val="0"/>
    <w:pPr>
      <w:ind w:left="100" w:leftChars="2500"/>
    </w:pPr>
    <w:rPr>
      <w:color w:val="000000"/>
      <w:sz w:val="24"/>
    </w:rPr>
  </w:style>
  <w:style w:type="paragraph" w:styleId="30">
    <w:name w:val="toc 8"/>
    <w:basedOn w:val="1"/>
    <w:next w:val="1"/>
    <w:uiPriority w:val="0"/>
    <w:pPr>
      <w:ind w:left="1470"/>
      <w:jc w:val="left"/>
    </w:pPr>
    <w:rPr>
      <w:sz w:val="18"/>
      <w:szCs w:val="18"/>
    </w:rPr>
  </w:style>
  <w:style w:type="paragraph" w:styleId="31">
    <w:name w:val="Body Text Indent 2"/>
    <w:basedOn w:val="1"/>
    <w:link w:val="87"/>
    <w:uiPriority w:val="0"/>
    <w:pPr>
      <w:widowControl/>
      <w:spacing w:line="480" w:lineRule="atLeast"/>
      <w:ind w:firstLine="480"/>
    </w:pPr>
    <w:rPr>
      <w:rFonts w:ascii="宋体"/>
      <w:kern w:val="0"/>
      <w:sz w:val="24"/>
      <w:szCs w:val="20"/>
    </w:rPr>
  </w:style>
  <w:style w:type="paragraph" w:styleId="32">
    <w:name w:val="Balloon Text"/>
    <w:basedOn w:val="1"/>
    <w:link w:val="88"/>
    <w:uiPriority w:val="0"/>
    <w:rPr>
      <w:sz w:val="18"/>
      <w:szCs w:val="18"/>
    </w:rPr>
  </w:style>
  <w:style w:type="paragraph" w:styleId="33">
    <w:name w:val="footer"/>
    <w:basedOn w:val="1"/>
    <w:link w:val="89"/>
    <w:uiPriority w:val="0"/>
    <w:pPr>
      <w:tabs>
        <w:tab w:val="center" w:pos="4153"/>
        <w:tab w:val="right" w:pos="8306"/>
      </w:tabs>
      <w:snapToGrid w:val="0"/>
      <w:jc w:val="left"/>
    </w:pPr>
    <w:rPr>
      <w:sz w:val="18"/>
      <w:szCs w:val="18"/>
    </w:rPr>
  </w:style>
  <w:style w:type="paragraph" w:styleId="34">
    <w:name w:val="header"/>
    <w:basedOn w:val="1"/>
    <w:link w:val="90"/>
    <w:uiPriority w:val="0"/>
    <w:pPr>
      <w:pBdr>
        <w:bottom w:val="single" w:color="auto" w:sz="6" w:space="1"/>
      </w:pBdr>
      <w:tabs>
        <w:tab w:val="center" w:pos="4153"/>
        <w:tab w:val="right" w:pos="8306"/>
      </w:tabs>
      <w:snapToGrid w:val="0"/>
      <w:jc w:val="center"/>
    </w:pPr>
    <w:rPr>
      <w:sz w:val="18"/>
      <w:szCs w:val="18"/>
    </w:rPr>
  </w:style>
  <w:style w:type="paragraph" w:styleId="35">
    <w:name w:val="Signature"/>
    <w:basedOn w:val="1"/>
    <w:next w:val="1"/>
    <w:link w:val="91"/>
    <w:uiPriority w:val="0"/>
    <w:pPr>
      <w:keepNext/>
      <w:widowControl/>
      <w:adjustRightInd w:val="0"/>
      <w:spacing w:line="220" w:lineRule="atLeast"/>
      <w:jc w:val="right"/>
      <w:textAlignment w:val="baseline"/>
    </w:pPr>
    <w:rPr>
      <w:rFonts w:ascii="Arial" w:hAnsi="Arial"/>
      <w:spacing w:val="-5"/>
      <w:kern w:val="0"/>
      <w:sz w:val="24"/>
      <w:szCs w:val="20"/>
    </w:rPr>
  </w:style>
  <w:style w:type="paragraph" w:styleId="36">
    <w:name w:val="toc 1"/>
    <w:basedOn w:val="1"/>
    <w:next w:val="1"/>
    <w:uiPriority w:val="0"/>
    <w:pPr>
      <w:tabs>
        <w:tab w:val="right" w:leader="dot" w:pos="9403"/>
      </w:tabs>
      <w:snapToGrid w:val="0"/>
      <w:spacing w:line="360" w:lineRule="auto"/>
    </w:pPr>
    <w:rPr>
      <w:b/>
      <w:bCs/>
      <w:caps/>
    </w:rPr>
  </w:style>
  <w:style w:type="paragraph" w:styleId="37">
    <w:name w:val="toc 4"/>
    <w:basedOn w:val="1"/>
    <w:next w:val="1"/>
    <w:uiPriority w:val="0"/>
    <w:pPr>
      <w:ind w:left="630"/>
      <w:jc w:val="left"/>
    </w:pPr>
    <w:rPr>
      <w:sz w:val="18"/>
      <w:szCs w:val="18"/>
    </w:rPr>
  </w:style>
  <w:style w:type="paragraph" w:styleId="38">
    <w:name w:val="Subtitle"/>
    <w:basedOn w:val="1"/>
    <w:next w:val="1"/>
    <w:link w:val="92"/>
    <w:qFormat/>
    <w:uiPriority w:val="0"/>
    <w:pPr>
      <w:spacing w:before="240" w:beforeLines="0" w:after="60" w:afterLines="0" w:line="312" w:lineRule="auto"/>
      <w:jc w:val="center"/>
      <w:outlineLvl w:val="1"/>
    </w:pPr>
    <w:rPr>
      <w:rFonts w:ascii="Cambria" w:hAnsi="Cambria"/>
      <w:b/>
      <w:bCs/>
      <w:kern w:val="28"/>
      <w:sz w:val="32"/>
      <w:szCs w:val="32"/>
    </w:rPr>
  </w:style>
  <w:style w:type="paragraph" w:styleId="39">
    <w:name w:val="List"/>
    <w:basedOn w:val="1"/>
    <w:uiPriority w:val="0"/>
    <w:pPr>
      <w:ind w:left="200" w:hanging="200" w:hangingChars="200"/>
    </w:pPr>
  </w:style>
  <w:style w:type="paragraph" w:styleId="40">
    <w:name w:val="footnote text"/>
    <w:basedOn w:val="1"/>
    <w:link w:val="93"/>
    <w:uiPriority w:val="0"/>
    <w:pPr>
      <w:snapToGrid w:val="0"/>
      <w:jc w:val="left"/>
    </w:pPr>
    <w:rPr>
      <w:sz w:val="18"/>
      <w:szCs w:val="18"/>
    </w:rPr>
  </w:style>
  <w:style w:type="paragraph" w:styleId="41">
    <w:name w:val="toc 6"/>
    <w:basedOn w:val="1"/>
    <w:next w:val="1"/>
    <w:autoRedefine/>
    <w:qFormat/>
    <w:uiPriority w:val="0"/>
    <w:pPr>
      <w:ind w:left="1050"/>
      <w:jc w:val="left"/>
    </w:pPr>
    <w:rPr>
      <w:sz w:val="18"/>
      <w:szCs w:val="18"/>
    </w:rPr>
  </w:style>
  <w:style w:type="paragraph" w:styleId="42">
    <w:name w:val="List 5"/>
    <w:basedOn w:val="1"/>
    <w:uiPriority w:val="0"/>
    <w:pPr>
      <w:ind w:left="100" w:leftChars="800" w:hanging="200" w:hangingChars="200"/>
    </w:pPr>
    <w:rPr>
      <w:szCs w:val="20"/>
    </w:rPr>
  </w:style>
  <w:style w:type="paragraph" w:styleId="43">
    <w:name w:val="Body Text Indent 3"/>
    <w:basedOn w:val="1"/>
    <w:link w:val="94"/>
    <w:uiPriority w:val="0"/>
    <w:pPr>
      <w:autoSpaceDE w:val="0"/>
      <w:autoSpaceDN w:val="0"/>
      <w:spacing w:line="400" w:lineRule="atLeast"/>
      <w:ind w:firstLine="443" w:firstLineChars="200"/>
      <w:textAlignment w:val="bottom"/>
    </w:pPr>
    <w:rPr>
      <w:rFonts w:eastAsia="黑体"/>
      <w:color w:val="000000"/>
      <w:sz w:val="24"/>
    </w:rPr>
  </w:style>
  <w:style w:type="paragraph" w:styleId="44">
    <w:name w:val="toc 2"/>
    <w:basedOn w:val="1"/>
    <w:next w:val="1"/>
    <w:uiPriority w:val="0"/>
    <w:pPr>
      <w:tabs>
        <w:tab w:val="right" w:leader="dot" w:pos="9403"/>
      </w:tabs>
      <w:snapToGrid w:val="0"/>
      <w:spacing w:line="360" w:lineRule="auto"/>
      <w:ind w:firstLine="200" w:firstLineChars="200"/>
    </w:pPr>
    <w:rPr>
      <w:smallCaps/>
    </w:rPr>
  </w:style>
  <w:style w:type="paragraph" w:styleId="45">
    <w:name w:val="toc 9"/>
    <w:basedOn w:val="1"/>
    <w:next w:val="1"/>
    <w:uiPriority w:val="0"/>
    <w:pPr>
      <w:ind w:left="1680"/>
      <w:jc w:val="left"/>
    </w:pPr>
    <w:rPr>
      <w:sz w:val="18"/>
      <w:szCs w:val="18"/>
    </w:rPr>
  </w:style>
  <w:style w:type="paragraph" w:styleId="46">
    <w:name w:val="Body Text 2"/>
    <w:basedOn w:val="1"/>
    <w:link w:val="95"/>
    <w:uiPriority w:val="0"/>
    <w:rPr>
      <w:b/>
      <w:bCs/>
      <w:color w:val="000000"/>
      <w:sz w:val="28"/>
    </w:rPr>
  </w:style>
  <w:style w:type="paragraph" w:styleId="47">
    <w:name w:val="List 4"/>
    <w:basedOn w:val="1"/>
    <w:uiPriority w:val="0"/>
    <w:pPr>
      <w:ind w:left="100" w:leftChars="600" w:hanging="200" w:hangingChars="200"/>
    </w:pPr>
    <w:rPr>
      <w:szCs w:val="20"/>
    </w:rPr>
  </w:style>
  <w:style w:type="paragraph" w:styleId="48">
    <w:name w:val="HTML Preformatted"/>
    <w:basedOn w:val="1"/>
    <w:link w:val="96"/>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9">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50">
    <w:name w:val="index 1"/>
    <w:basedOn w:val="1"/>
    <w:next w:val="1"/>
    <w:uiPriority w:val="0"/>
    <w:pPr>
      <w:widowControl/>
      <w:spacing w:line="360" w:lineRule="auto"/>
      <w:jc w:val="center"/>
    </w:pPr>
    <w:rPr>
      <w:rFonts w:ascii="Arial" w:hAnsi="Arial" w:cs="Arial"/>
      <w:kern w:val="0"/>
      <w:sz w:val="24"/>
    </w:rPr>
  </w:style>
  <w:style w:type="paragraph" w:styleId="51">
    <w:name w:val="Title"/>
    <w:basedOn w:val="1"/>
    <w:next w:val="1"/>
    <w:link w:val="97"/>
    <w:qFormat/>
    <w:uiPriority w:val="0"/>
    <w:pPr>
      <w:jc w:val="center"/>
    </w:pPr>
    <w:rPr>
      <w:sz w:val="30"/>
    </w:rPr>
  </w:style>
  <w:style w:type="paragraph" w:styleId="52">
    <w:name w:val="annotation subject"/>
    <w:basedOn w:val="20"/>
    <w:next w:val="20"/>
    <w:link w:val="98"/>
    <w:uiPriority w:val="0"/>
    <w:rPr>
      <w:b/>
      <w:bCs/>
    </w:rPr>
  </w:style>
  <w:style w:type="paragraph" w:styleId="53">
    <w:name w:val="Body Text First Indent 2"/>
    <w:basedOn w:val="22"/>
    <w:next w:val="3"/>
    <w:link w:val="99"/>
    <w:uiPriority w:val="0"/>
    <w:pPr>
      <w:widowControl w:val="0"/>
      <w:autoSpaceDE/>
      <w:autoSpaceDN/>
      <w:snapToGrid/>
      <w:spacing w:before="0" w:beforeLines="0" w:after="120" w:afterLines="0" w:line="240" w:lineRule="auto"/>
      <w:ind w:left="420" w:leftChars="200" w:firstLine="420" w:firstLineChars="200"/>
      <w:textAlignment w:val="auto"/>
    </w:pPr>
    <w:rPr>
      <w:rFonts w:ascii="Arial" w:hAnsi="Arial"/>
      <w:kern w:val="2"/>
      <w:sz w:val="21"/>
    </w:rPr>
  </w:style>
  <w:style w:type="table" w:styleId="55">
    <w:name w:val="Table Grid"/>
    <w:basedOn w:val="5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rPr>
  </w:style>
  <w:style w:type="character" w:styleId="58">
    <w:name w:val="page number"/>
    <w:uiPriority w:val="0"/>
    <w:rPr>
      <w:rFonts w:eastAsia="Arial"/>
    </w:rPr>
  </w:style>
  <w:style w:type="character" w:styleId="59">
    <w:name w:val="FollowedHyperlink"/>
    <w:uiPriority w:val="0"/>
    <w:rPr>
      <w:color w:val="3177FD"/>
      <w:u w:val="none"/>
    </w:rPr>
  </w:style>
  <w:style w:type="character" w:styleId="60">
    <w:name w:val="Emphasis"/>
    <w:qFormat/>
    <w:uiPriority w:val="0"/>
    <w:rPr>
      <w:color w:val="CC0033"/>
    </w:rPr>
  </w:style>
  <w:style w:type="character" w:styleId="61">
    <w:name w:val="HTML Definition"/>
    <w:uiPriority w:val="0"/>
    <w:rPr>
      <w:i/>
    </w:rPr>
  </w:style>
  <w:style w:type="character" w:styleId="62">
    <w:name w:val="Hyperlink"/>
    <w:uiPriority w:val="0"/>
    <w:rPr>
      <w:color w:val="3177FD"/>
      <w:u w:val="none"/>
    </w:rPr>
  </w:style>
  <w:style w:type="character" w:styleId="63">
    <w:name w:val="HTML Code"/>
    <w:uiPriority w:val="0"/>
    <w:rPr>
      <w:rFonts w:hint="default" w:ascii="Consolas" w:hAnsi="Consolas" w:eastAsia="Consolas" w:cs="Consolas"/>
      <w:sz w:val="21"/>
      <w:szCs w:val="21"/>
    </w:rPr>
  </w:style>
  <w:style w:type="character" w:styleId="64">
    <w:name w:val="annotation reference"/>
    <w:uiPriority w:val="0"/>
    <w:rPr>
      <w:sz w:val="21"/>
      <w:szCs w:val="21"/>
    </w:rPr>
  </w:style>
  <w:style w:type="character" w:styleId="65">
    <w:name w:val="footnote reference"/>
    <w:uiPriority w:val="0"/>
    <w:rPr>
      <w:vertAlign w:val="superscript"/>
    </w:rPr>
  </w:style>
  <w:style w:type="character" w:styleId="66">
    <w:name w:val="HTML Keyboard"/>
    <w:uiPriority w:val="0"/>
    <w:rPr>
      <w:rFonts w:hint="default" w:ascii="Consolas" w:hAnsi="Consolas" w:eastAsia="Consolas" w:cs="Consolas"/>
      <w:sz w:val="21"/>
      <w:szCs w:val="21"/>
    </w:rPr>
  </w:style>
  <w:style w:type="character" w:styleId="67">
    <w:name w:val="HTML Sample"/>
    <w:uiPriority w:val="0"/>
    <w:rPr>
      <w:rFonts w:ascii="Consolas" w:hAnsi="Consolas" w:eastAsia="Consolas" w:cs="Consolas"/>
      <w:sz w:val="21"/>
      <w:szCs w:val="21"/>
    </w:rPr>
  </w:style>
  <w:style w:type="character" w:customStyle="1" w:styleId="68">
    <w:name w:val="正文文本 Char"/>
    <w:link w:val="2"/>
    <w:uiPriority w:val="0"/>
    <w:rPr>
      <w:kern w:val="2"/>
      <w:sz w:val="21"/>
      <w:szCs w:val="24"/>
    </w:rPr>
  </w:style>
  <w:style w:type="character" w:customStyle="1" w:styleId="69">
    <w:name w:val="正文首行缩进 Char"/>
    <w:link w:val="3"/>
    <w:uiPriority w:val="0"/>
    <w:rPr>
      <w:kern w:val="2"/>
      <w:sz w:val="21"/>
      <w:szCs w:val="24"/>
    </w:rPr>
  </w:style>
  <w:style w:type="character" w:customStyle="1" w:styleId="70">
    <w:name w:val="标题 1 Char"/>
    <w:link w:val="4"/>
    <w:uiPriority w:val="0"/>
    <w:rPr>
      <w:b/>
      <w:color w:val="000000"/>
      <w:kern w:val="2"/>
      <w:sz w:val="32"/>
      <w:szCs w:val="24"/>
    </w:rPr>
  </w:style>
  <w:style w:type="character" w:customStyle="1" w:styleId="71">
    <w:name w:val="标题 2 Char"/>
    <w:link w:val="5"/>
    <w:uiPriority w:val="0"/>
    <w:rPr>
      <w:rFonts w:ascii="Arial" w:hAnsi="Arial"/>
      <w:b/>
      <w:bCs/>
      <w:kern w:val="2"/>
      <w:sz w:val="21"/>
      <w:szCs w:val="32"/>
    </w:rPr>
  </w:style>
  <w:style w:type="character" w:customStyle="1" w:styleId="72">
    <w:name w:val="标题 3 Char"/>
    <w:link w:val="6"/>
    <w:uiPriority w:val="0"/>
    <w:rPr>
      <w:kern w:val="2"/>
      <w:sz w:val="24"/>
    </w:rPr>
  </w:style>
  <w:style w:type="character" w:customStyle="1" w:styleId="73">
    <w:name w:val="标题 4 Char"/>
    <w:link w:val="7"/>
    <w:uiPriority w:val="0"/>
    <w:rPr>
      <w:rFonts w:ascii="Cambria" w:hAnsi="Cambria" w:eastAsia="宋体" w:cs="Times New Roman"/>
      <w:b/>
      <w:bCs/>
      <w:kern w:val="2"/>
      <w:sz w:val="28"/>
      <w:szCs w:val="28"/>
    </w:rPr>
  </w:style>
  <w:style w:type="character" w:customStyle="1" w:styleId="74">
    <w:name w:val="标题 5 Char"/>
    <w:link w:val="8"/>
    <w:autoRedefine/>
    <w:qFormat/>
    <w:uiPriority w:val="0"/>
    <w:rPr>
      <w:b/>
      <w:bCs/>
      <w:i/>
      <w:iCs/>
      <w:kern w:val="2"/>
      <w:sz w:val="26"/>
      <w:szCs w:val="26"/>
    </w:rPr>
  </w:style>
  <w:style w:type="character" w:customStyle="1" w:styleId="75">
    <w:name w:val="标题 6 Char"/>
    <w:link w:val="9"/>
    <w:autoRedefine/>
    <w:uiPriority w:val="0"/>
    <w:rPr>
      <w:b/>
      <w:bCs/>
      <w:kern w:val="2"/>
      <w:sz w:val="22"/>
      <w:szCs w:val="22"/>
    </w:rPr>
  </w:style>
  <w:style w:type="character" w:customStyle="1" w:styleId="76">
    <w:name w:val="标题 7 Char"/>
    <w:link w:val="10"/>
    <w:autoRedefine/>
    <w:qFormat/>
    <w:uiPriority w:val="0"/>
    <w:rPr>
      <w:kern w:val="2"/>
      <w:sz w:val="21"/>
      <w:szCs w:val="22"/>
    </w:rPr>
  </w:style>
  <w:style w:type="character" w:customStyle="1" w:styleId="77">
    <w:name w:val="标题 8 Char"/>
    <w:link w:val="11"/>
    <w:uiPriority w:val="0"/>
    <w:rPr>
      <w:i/>
      <w:iCs/>
      <w:kern w:val="2"/>
      <w:sz w:val="21"/>
      <w:szCs w:val="22"/>
    </w:rPr>
  </w:style>
  <w:style w:type="character" w:customStyle="1" w:styleId="78">
    <w:name w:val="标题 9 Char"/>
    <w:link w:val="12"/>
    <w:autoRedefine/>
    <w:qFormat/>
    <w:uiPriority w:val="0"/>
    <w:rPr>
      <w:rFonts w:ascii="Cambria" w:hAnsi="Cambria"/>
      <w:kern w:val="2"/>
      <w:sz w:val="22"/>
      <w:szCs w:val="22"/>
    </w:rPr>
  </w:style>
  <w:style w:type="character" w:customStyle="1" w:styleId="79">
    <w:name w:val="正文缩进 Char"/>
    <w:link w:val="16"/>
    <w:autoRedefine/>
    <w:qFormat/>
    <w:uiPriority w:val="0"/>
    <w:rPr>
      <w:kern w:val="2"/>
      <w:sz w:val="21"/>
      <w:szCs w:val="24"/>
    </w:rPr>
  </w:style>
  <w:style w:type="character" w:customStyle="1" w:styleId="80">
    <w:name w:val="题注 Char"/>
    <w:link w:val="17"/>
    <w:autoRedefine/>
    <w:qFormat/>
    <w:uiPriority w:val="0"/>
    <w:rPr>
      <w:rFonts w:ascii="Arial" w:hAnsi="Arial" w:eastAsia="黑体"/>
      <w:lang w:eastAsia="en-US"/>
    </w:rPr>
  </w:style>
  <w:style w:type="character" w:customStyle="1" w:styleId="81">
    <w:name w:val="文档结构图 Char"/>
    <w:link w:val="18"/>
    <w:autoRedefine/>
    <w:qFormat/>
    <w:uiPriority w:val="0"/>
    <w:rPr>
      <w:kern w:val="2"/>
      <w:sz w:val="21"/>
      <w:szCs w:val="24"/>
      <w:shd w:val="clear" w:color="auto" w:fill="000080"/>
    </w:rPr>
  </w:style>
  <w:style w:type="character" w:customStyle="1" w:styleId="82">
    <w:name w:val="批注文字 Char"/>
    <w:link w:val="20"/>
    <w:autoRedefine/>
    <w:qFormat/>
    <w:uiPriority w:val="0"/>
    <w:rPr>
      <w:kern w:val="2"/>
      <w:sz w:val="21"/>
    </w:rPr>
  </w:style>
  <w:style w:type="character" w:customStyle="1" w:styleId="83">
    <w:name w:val="正文文本 3 Char"/>
    <w:link w:val="21"/>
    <w:uiPriority w:val="0"/>
    <w:rPr>
      <w:rFonts w:ascii="楷体_GB2312" w:eastAsia="楷体_GB2312"/>
      <w:b/>
      <w:color w:val="000000"/>
      <w:kern w:val="2"/>
      <w:sz w:val="30"/>
      <w:szCs w:val="24"/>
    </w:rPr>
  </w:style>
  <w:style w:type="character" w:customStyle="1" w:styleId="84">
    <w:name w:val="正文文本缩进 Char"/>
    <w:link w:val="22"/>
    <w:autoRedefine/>
    <w:qFormat/>
    <w:uiPriority w:val="0"/>
    <w:rPr>
      <w:rFonts w:ascii="宋体"/>
      <w:sz w:val="24"/>
    </w:rPr>
  </w:style>
  <w:style w:type="character" w:customStyle="1" w:styleId="85">
    <w:name w:val="纯文本 Char"/>
    <w:link w:val="28"/>
    <w:uiPriority w:val="0"/>
    <w:rPr>
      <w:rFonts w:ascii="宋体" w:hAnsi="Courier New"/>
      <w:kern w:val="2"/>
      <w:sz w:val="21"/>
    </w:rPr>
  </w:style>
  <w:style w:type="character" w:customStyle="1" w:styleId="86">
    <w:name w:val="日期 Char"/>
    <w:link w:val="29"/>
    <w:autoRedefine/>
    <w:qFormat/>
    <w:uiPriority w:val="0"/>
    <w:rPr>
      <w:color w:val="000000"/>
      <w:kern w:val="2"/>
      <w:sz w:val="24"/>
      <w:szCs w:val="24"/>
    </w:rPr>
  </w:style>
  <w:style w:type="character" w:customStyle="1" w:styleId="87">
    <w:name w:val="正文文本缩进 2 Char"/>
    <w:link w:val="31"/>
    <w:autoRedefine/>
    <w:qFormat/>
    <w:uiPriority w:val="0"/>
    <w:rPr>
      <w:rFonts w:ascii="宋体"/>
      <w:sz w:val="24"/>
    </w:rPr>
  </w:style>
  <w:style w:type="character" w:customStyle="1" w:styleId="88">
    <w:name w:val="批注框文本 Char"/>
    <w:link w:val="32"/>
    <w:autoRedefine/>
    <w:qFormat/>
    <w:uiPriority w:val="0"/>
    <w:rPr>
      <w:kern w:val="2"/>
      <w:sz w:val="18"/>
      <w:szCs w:val="18"/>
    </w:rPr>
  </w:style>
  <w:style w:type="character" w:customStyle="1" w:styleId="89">
    <w:name w:val="页脚 Char"/>
    <w:link w:val="33"/>
    <w:uiPriority w:val="0"/>
    <w:rPr>
      <w:kern w:val="2"/>
      <w:sz w:val="18"/>
      <w:szCs w:val="18"/>
    </w:rPr>
  </w:style>
  <w:style w:type="character" w:customStyle="1" w:styleId="90">
    <w:name w:val="页眉 Char"/>
    <w:link w:val="34"/>
    <w:autoRedefine/>
    <w:qFormat/>
    <w:uiPriority w:val="0"/>
    <w:rPr>
      <w:kern w:val="2"/>
      <w:sz w:val="18"/>
      <w:szCs w:val="18"/>
    </w:rPr>
  </w:style>
  <w:style w:type="character" w:customStyle="1" w:styleId="91">
    <w:name w:val="签名 Char"/>
    <w:link w:val="35"/>
    <w:autoRedefine/>
    <w:qFormat/>
    <w:uiPriority w:val="0"/>
    <w:rPr>
      <w:rFonts w:ascii="Arial" w:hAnsi="Arial"/>
      <w:spacing w:val="-5"/>
      <w:sz w:val="24"/>
    </w:rPr>
  </w:style>
  <w:style w:type="character" w:customStyle="1" w:styleId="92">
    <w:name w:val="副标题 Char"/>
    <w:link w:val="38"/>
    <w:uiPriority w:val="0"/>
    <w:rPr>
      <w:rFonts w:ascii="Cambria" w:hAnsi="Cambria"/>
      <w:b/>
      <w:bCs/>
      <w:kern w:val="28"/>
      <w:sz w:val="32"/>
      <w:szCs w:val="32"/>
    </w:rPr>
  </w:style>
  <w:style w:type="character" w:customStyle="1" w:styleId="93">
    <w:name w:val="脚注文本 Char"/>
    <w:link w:val="40"/>
    <w:uiPriority w:val="0"/>
    <w:rPr>
      <w:rFonts w:ascii="Calibri" w:hAnsi="Calibri"/>
      <w:kern w:val="2"/>
      <w:sz w:val="18"/>
      <w:szCs w:val="18"/>
    </w:rPr>
  </w:style>
  <w:style w:type="character" w:customStyle="1" w:styleId="94">
    <w:name w:val="正文文本缩进 3 Char"/>
    <w:link w:val="43"/>
    <w:autoRedefine/>
    <w:qFormat/>
    <w:uiPriority w:val="0"/>
    <w:rPr>
      <w:rFonts w:eastAsia="黑体"/>
      <w:color w:val="000000"/>
      <w:kern w:val="2"/>
      <w:sz w:val="24"/>
      <w:szCs w:val="24"/>
    </w:rPr>
  </w:style>
  <w:style w:type="character" w:customStyle="1" w:styleId="95">
    <w:name w:val="正文文本 2 Char"/>
    <w:link w:val="46"/>
    <w:autoRedefine/>
    <w:qFormat/>
    <w:uiPriority w:val="0"/>
    <w:rPr>
      <w:b/>
      <w:bCs/>
      <w:color w:val="000000"/>
      <w:kern w:val="2"/>
      <w:sz w:val="28"/>
      <w:szCs w:val="24"/>
    </w:rPr>
  </w:style>
  <w:style w:type="character" w:customStyle="1" w:styleId="96">
    <w:name w:val="HTML 预设格式 Char"/>
    <w:link w:val="48"/>
    <w:autoRedefine/>
    <w:qFormat/>
    <w:uiPriority w:val="0"/>
    <w:rPr>
      <w:rFonts w:ascii="宋体" w:hAnsi="宋体" w:cs="宋体"/>
      <w:sz w:val="24"/>
      <w:szCs w:val="24"/>
    </w:rPr>
  </w:style>
  <w:style w:type="character" w:customStyle="1" w:styleId="97">
    <w:name w:val="标题 Char"/>
    <w:link w:val="51"/>
    <w:uiPriority w:val="0"/>
    <w:rPr>
      <w:kern w:val="2"/>
      <w:sz w:val="30"/>
      <w:szCs w:val="24"/>
    </w:rPr>
  </w:style>
  <w:style w:type="character" w:customStyle="1" w:styleId="98">
    <w:name w:val="批注主题 Char"/>
    <w:link w:val="52"/>
    <w:autoRedefine/>
    <w:qFormat/>
    <w:uiPriority w:val="0"/>
    <w:rPr>
      <w:b/>
      <w:bCs/>
      <w:kern w:val="2"/>
      <w:sz w:val="21"/>
    </w:rPr>
  </w:style>
  <w:style w:type="character" w:customStyle="1" w:styleId="99">
    <w:name w:val="正文首行缩进 2 Char"/>
    <w:link w:val="53"/>
    <w:uiPriority w:val="0"/>
    <w:rPr>
      <w:rFonts w:ascii="Arial" w:hAnsi="Arial" w:cs="Arial"/>
      <w:kern w:val="2"/>
      <w:sz w:val="21"/>
    </w:rPr>
  </w:style>
  <w:style w:type="character" w:customStyle="1" w:styleId="100">
    <w:name w:val="font41"/>
    <w:uiPriority w:val="0"/>
    <w:rPr>
      <w:rFonts w:hint="eastAsia" w:ascii="宋体" w:hAnsi="宋体" w:eastAsia="宋体"/>
      <w:color w:val="000000"/>
      <w:sz w:val="22"/>
      <w:szCs w:val="22"/>
      <w:u w:val="none"/>
    </w:rPr>
  </w:style>
  <w:style w:type="character" w:customStyle="1" w:styleId="101">
    <w:name w:val="font61"/>
    <w:uiPriority w:val="0"/>
    <w:rPr>
      <w:rFonts w:hint="eastAsia" w:ascii="微软雅黑" w:hAnsi="微软雅黑" w:eastAsia="微软雅黑" w:cs="微软雅黑"/>
      <w:color w:val="000000"/>
      <w:sz w:val="22"/>
      <w:szCs w:val="22"/>
      <w:u w:val="none"/>
    </w:rPr>
  </w:style>
  <w:style w:type="character" w:customStyle="1" w:styleId="102">
    <w:name w:val="正文文本缩进 字符"/>
    <w:uiPriority w:val="0"/>
    <w:rPr>
      <w:sz w:val="24"/>
    </w:rPr>
  </w:style>
  <w:style w:type="character" w:customStyle="1" w:styleId="103">
    <w:name w:val="纯文本 字符"/>
    <w:autoRedefine/>
    <w:qFormat/>
    <w:uiPriority w:val="0"/>
    <w:rPr>
      <w:rFonts w:ascii="等线" w:hAnsi="Courier New" w:cs="Courier New"/>
      <w:szCs w:val="24"/>
    </w:rPr>
  </w:style>
  <w:style w:type="character" w:customStyle="1" w:styleId="104">
    <w:name w:val="_Style 103"/>
    <w:autoRedefine/>
    <w:qFormat/>
    <w:uiPriority w:val="0"/>
    <w:rPr>
      <w:sz w:val="24"/>
      <w:szCs w:val="24"/>
      <w:u w:val="single"/>
    </w:rPr>
  </w:style>
  <w:style w:type="character" w:customStyle="1" w:styleId="105">
    <w:name w:val="正文文本缩进 Char1"/>
    <w:uiPriority w:val="0"/>
    <w:rPr>
      <w:kern w:val="2"/>
      <w:sz w:val="21"/>
      <w:szCs w:val="24"/>
    </w:rPr>
  </w:style>
  <w:style w:type="character" w:customStyle="1" w:styleId="106">
    <w:name w:val="正文首行缩进 2 Char1"/>
    <w:autoRedefine/>
    <w:qFormat/>
    <w:uiPriority w:val="0"/>
    <w:rPr>
      <w:rFonts w:ascii="宋体"/>
      <w:kern w:val="2"/>
      <w:sz w:val="21"/>
      <w:szCs w:val="24"/>
    </w:rPr>
  </w:style>
  <w:style w:type="character" w:customStyle="1" w:styleId="107">
    <w:name w:val="明显引用 Char"/>
    <w:link w:val="108"/>
    <w:autoRedefine/>
    <w:qFormat/>
    <w:uiPriority w:val="0"/>
    <w:rPr>
      <w:b/>
      <w:i/>
      <w:kern w:val="2"/>
      <w:sz w:val="21"/>
      <w:szCs w:val="22"/>
    </w:rPr>
  </w:style>
  <w:style w:type="paragraph" w:styleId="108">
    <w:name w:val="Intense Quote"/>
    <w:basedOn w:val="1"/>
    <w:next w:val="1"/>
    <w:link w:val="107"/>
    <w:qFormat/>
    <w:uiPriority w:val="0"/>
    <w:pPr>
      <w:ind w:left="720" w:right="720"/>
    </w:pPr>
    <w:rPr>
      <w:b/>
      <w:i/>
      <w:szCs w:val="22"/>
    </w:rPr>
  </w:style>
  <w:style w:type="character" w:customStyle="1" w:styleId="109">
    <w:name w:val="正文文本缩进 字符1"/>
    <w:uiPriority w:val="0"/>
    <w:rPr>
      <w:rFonts w:ascii="Times New Roman" w:hAnsi="Times New Roman" w:eastAsia="宋体" w:cs="Times New Roman"/>
      <w:szCs w:val="24"/>
    </w:rPr>
  </w:style>
  <w:style w:type="character" w:customStyle="1" w:styleId="110">
    <w:name w:val="ant-select-tree-switcher"/>
    <w:uiPriority w:val="0"/>
  </w:style>
  <w:style w:type="character" w:customStyle="1" w:styleId="111">
    <w:name w:val="样式2 Char"/>
    <w:link w:val="112"/>
    <w:autoRedefine/>
    <w:uiPriority w:val="0"/>
    <w:rPr>
      <w:b/>
      <w:kern w:val="2"/>
      <w:sz w:val="32"/>
      <w:szCs w:val="22"/>
    </w:rPr>
  </w:style>
  <w:style w:type="paragraph" w:customStyle="1" w:styleId="112">
    <w:name w:val="样式2"/>
    <w:basedOn w:val="1"/>
    <w:next w:val="1"/>
    <w:link w:val="111"/>
    <w:uiPriority w:val="0"/>
    <w:pPr>
      <w:spacing w:before="156" w:beforeLines="50" w:after="156" w:afterLines="50" w:line="360" w:lineRule="auto"/>
      <w:outlineLvl w:val="1"/>
    </w:pPr>
    <w:rPr>
      <w:b/>
      <w:sz w:val="32"/>
      <w:szCs w:val="22"/>
    </w:rPr>
  </w:style>
  <w:style w:type="character" w:customStyle="1" w:styleId="113">
    <w:name w:val="zbggmain style9"/>
    <w:uiPriority w:val="0"/>
  </w:style>
  <w:style w:type="character" w:customStyle="1" w:styleId="114">
    <w:name w:val="Char Char21"/>
    <w:uiPriority w:val="0"/>
    <w:rPr>
      <w:rFonts w:eastAsia="Century Gothic"/>
      <w:b/>
      <w:bCs/>
      <w:kern w:val="44"/>
      <w:sz w:val="32"/>
      <w:szCs w:val="44"/>
      <w:lang w:val="en-US" w:eastAsia="zh-CN" w:bidi="ar-SA"/>
    </w:rPr>
  </w:style>
  <w:style w:type="character" w:customStyle="1" w:styleId="115">
    <w:name w:val="列出段落 Char"/>
    <w:link w:val="116"/>
    <w:autoRedefine/>
    <w:qFormat/>
    <w:uiPriority w:val="0"/>
    <w:rPr>
      <w:kern w:val="2"/>
      <w:sz w:val="21"/>
      <w:szCs w:val="24"/>
    </w:rPr>
  </w:style>
  <w:style w:type="paragraph" w:styleId="116">
    <w:name w:val="List Paragraph"/>
    <w:basedOn w:val="1"/>
    <w:link w:val="115"/>
    <w:autoRedefine/>
    <w:qFormat/>
    <w:uiPriority w:val="0"/>
    <w:pPr>
      <w:ind w:firstLine="420" w:firstLineChars="200"/>
    </w:pPr>
  </w:style>
  <w:style w:type="character" w:customStyle="1" w:styleId="117">
    <w:name w:val="样式1 Char Char Char"/>
    <w:autoRedefine/>
    <w:qFormat/>
    <w:uiPriority w:val="0"/>
    <w:rPr>
      <w:rFonts w:ascii="Arial" w:hAnsi="Arial" w:eastAsia="宋体"/>
      <w:kern w:val="2"/>
      <w:sz w:val="21"/>
      <w:szCs w:val="24"/>
      <w:lang w:val="en-US" w:eastAsia="zh-CN" w:bidi="ar-SA"/>
    </w:rPr>
  </w:style>
  <w:style w:type="character" w:customStyle="1" w:styleId="118">
    <w:name w:val="脚注文本 Char1"/>
    <w:autoRedefine/>
    <w:qFormat/>
    <w:uiPriority w:val="0"/>
    <w:rPr>
      <w:kern w:val="2"/>
      <w:sz w:val="18"/>
      <w:szCs w:val="18"/>
    </w:rPr>
  </w:style>
  <w:style w:type="character" w:customStyle="1" w:styleId="119">
    <w:name w:val="纯文本 Char Char Char Char Char Char Char Char Char Char Char Char Char Char Char"/>
    <w:autoRedefine/>
    <w:qFormat/>
    <w:uiPriority w:val="0"/>
    <w:rPr>
      <w:rFonts w:ascii="宋体" w:hAnsi="Courier New" w:eastAsia="宋体"/>
      <w:kern w:val="2"/>
      <w:sz w:val="21"/>
      <w:lang w:val="en-US" w:eastAsia="zh-CN" w:bidi="ar-SA"/>
    </w:rPr>
  </w:style>
  <w:style w:type="character" w:customStyle="1" w:styleId="120">
    <w:name w:val="List Paragraph Char"/>
    <w:link w:val="121"/>
    <w:autoRedefine/>
    <w:qFormat/>
    <w:uiPriority w:val="0"/>
    <w:rPr>
      <w:kern w:val="2"/>
      <w:sz w:val="21"/>
      <w:szCs w:val="24"/>
    </w:rPr>
  </w:style>
  <w:style w:type="paragraph" w:customStyle="1" w:styleId="121">
    <w:name w:val="列出段落1"/>
    <w:basedOn w:val="1"/>
    <w:link w:val="120"/>
    <w:autoRedefine/>
    <w:qFormat/>
    <w:uiPriority w:val="0"/>
    <w:pPr>
      <w:ind w:firstLine="420" w:firstLineChars="200"/>
    </w:pPr>
  </w:style>
  <w:style w:type="character" w:customStyle="1" w:styleId="122">
    <w:name w:val="标题 1 字符1"/>
    <w:autoRedefine/>
    <w:qFormat/>
    <w:uiPriority w:val="0"/>
    <w:rPr>
      <w:rFonts w:ascii="Times New Roman" w:hAnsi="Times New Roman" w:eastAsia="宋体" w:cs="Times New Roman"/>
      <w:b/>
      <w:color w:val="000000"/>
      <w:sz w:val="32"/>
      <w:szCs w:val="24"/>
      <w:lang w:val="zh-CN" w:eastAsia="zh-CN"/>
    </w:rPr>
  </w:style>
  <w:style w:type="character" w:customStyle="1" w:styleId="123">
    <w:name w:val="Char Char12"/>
    <w:autoRedefine/>
    <w:qFormat/>
    <w:uiPriority w:val="0"/>
    <w:rPr>
      <w:rFonts w:ascii="Century Gothic" w:hAnsi="楷体_GB2312" w:eastAsia="Century Gothic" w:cs="楷体_GB2312"/>
      <w:kern w:val="2"/>
      <w:sz w:val="21"/>
      <w:szCs w:val="21"/>
      <w:lang w:val="en-US" w:eastAsia="zh-CN" w:bidi="ar-SA"/>
    </w:rPr>
  </w:style>
  <w:style w:type="character" w:customStyle="1" w:styleId="124">
    <w:name w:val="副标题 Char1"/>
    <w:autoRedefine/>
    <w:qFormat/>
    <w:uiPriority w:val="0"/>
    <w:rPr>
      <w:rFonts w:ascii="Cambria" w:hAnsi="Cambria" w:cs="Times New Roman"/>
      <w:b/>
      <w:bCs/>
      <w:kern w:val="28"/>
      <w:sz w:val="32"/>
      <w:szCs w:val="32"/>
    </w:rPr>
  </w:style>
  <w:style w:type="character" w:customStyle="1" w:styleId="125">
    <w:name w:val="标题 Char1"/>
    <w:uiPriority w:val="0"/>
    <w:rPr>
      <w:rFonts w:ascii="Cambria" w:hAnsi="Cambria" w:cs="黑体"/>
      <w:b/>
      <w:bCs/>
      <w:kern w:val="2"/>
      <w:sz w:val="32"/>
      <w:szCs w:val="32"/>
    </w:rPr>
  </w:style>
  <w:style w:type="character" w:customStyle="1" w:styleId="126">
    <w:name w:val="font151"/>
    <w:autoRedefine/>
    <w:qFormat/>
    <w:uiPriority w:val="0"/>
    <w:rPr>
      <w:rFonts w:hint="default" w:ascii="Calibri" w:hAnsi="Calibri" w:cs="Calibri"/>
      <w:color w:val="000000"/>
      <w:sz w:val="21"/>
      <w:szCs w:val="21"/>
      <w:u w:val="none"/>
    </w:rPr>
  </w:style>
  <w:style w:type="character" w:customStyle="1" w:styleId="127">
    <w:name w:val="标题 2 字符"/>
    <w:autoRedefine/>
    <w:qFormat/>
    <w:uiPriority w:val="0"/>
    <w:rPr>
      <w:rFonts w:ascii="等线 Light" w:hAnsi="等线 Light" w:eastAsia="等线 Light" w:cs="Times New Roman"/>
      <w:b/>
      <w:bCs/>
      <w:sz w:val="32"/>
      <w:szCs w:val="32"/>
    </w:rPr>
  </w:style>
  <w:style w:type="character" w:customStyle="1" w:styleId="128">
    <w:name w:val="标题 3 Char1"/>
    <w:uiPriority w:val="0"/>
    <w:rPr>
      <w:kern w:val="2"/>
      <w:sz w:val="24"/>
    </w:rPr>
  </w:style>
  <w:style w:type="character" w:customStyle="1" w:styleId="129">
    <w:name w:val="ant-tree-switcher"/>
    <w:autoRedefine/>
    <w:qFormat/>
    <w:uiPriority w:val="0"/>
  </w:style>
  <w:style w:type="character" w:customStyle="1" w:styleId="130">
    <w:name w:val="unnamed51"/>
    <w:autoRedefine/>
    <w:qFormat/>
    <w:uiPriority w:val="0"/>
    <w:rPr>
      <w:sz w:val="22"/>
      <w:szCs w:val="22"/>
    </w:rPr>
  </w:style>
  <w:style w:type="character" w:customStyle="1" w:styleId="131">
    <w:name w:val="font51"/>
    <w:autoRedefine/>
    <w:qFormat/>
    <w:uiPriority w:val="0"/>
    <w:rPr>
      <w:rFonts w:hint="eastAsia" w:ascii="宋体" w:hAnsi="宋体" w:eastAsia="宋体" w:cs="宋体"/>
      <w:b/>
      <w:color w:val="000000"/>
      <w:sz w:val="18"/>
      <w:szCs w:val="18"/>
      <w:u w:val="none"/>
    </w:rPr>
  </w:style>
  <w:style w:type="character" w:customStyle="1" w:styleId="132">
    <w:name w:val="Char Char Char"/>
    <w:link w:val="133"/>
    <w:autoRedefine/>
    <w:qFormat/>
    <w:uiPriority w:val="0"/>
    <w:rPr>
      <w:rFonts w:ascii="宋体" w:hAnsi="宋体"/>
      <w:b/>
      <w:kern w:val="2"/>
      <w:sz w:val="21"/>
      <w:szCs w:val="21"/>
    </w:rPr>
  </w:style>
  <w:style w:type="paragraph" w:customStyle="1" w:styleId="133">
    <w:name w:val="Char"/>
    <w:basedOn w:val="34"/>
    <w:next w:val="34"/>
    <w:link w:val="132"/>
    <w:autoRedefine/>
    <w:qFormat/>
    <w:uiPriority w:val="0"/>
    <w:pPr>
      <w:snapToGrid/>
      <w:jc w:val="right"/>
    </w:pPr>
    <w:rPr>
      <w:rFonts w:ascii="宋体" w:hAnsi="宋体"/>
      <w:b/>
      <w:sz w:val="21"/>
      <w:szCs w:val="21"/>
    </w:rPr>
  </w:style>
  <w:style w:type="character" w:customStyle="1" w:styleId="134">
    <w:name w:val="已访问的超链接1"/>
    <w:autoRedefine/>
    <w:qFormat/>
    <w:uiPriority w:val="0"/>
    <w:rPr>
      <w:color w:val="800080"/>
      <w:u w:val="single"/>
    </w:rPr>
  </w:style>
  <w:style w:type="character" w:customStyle="1" w:styleId="135">
    <w:name w:val="Char Char9"/>
    <w:autoRedefine/>
    <w:qFormat/>
    <w:uiPriority w:val="0"/>
    <w:rPr>
      <w:kern w:val="2"/>
      <w:sz w:val="18"/>
      <w:szCs w:val="18"/>
    </w:rPr>
  </w:style>
  <w:style w:type="character" w:customStyle="1" w:styleId="136">
    <w:name w:val="ant-form-item-children1"/>
    <w:autoRedefine/>
    <w:qFormat/>
    <w:uiPriority w:val="0"/>
  </w:style>
  <w:style w:type="character" w:customStyle="1" w:styleId="137">
    <w:name w:val="font101"/>
    <w:autoRedefine/>
    <w:qFormat/>
    <w:uiPriority w:val="0"/>
    <w:rPr>
      <w:rFonts w:hint="default" w:ascii="Times New Roman" w:hAnsi="Times New Roman" w:cs="Times New Roman"/>
      <w:color w:val="000000"/>
      <w:sz w:val="28"/>
      <w:szCs w:val="28"/>
      <w:u w:val="none"/>
    </w:rPr>
  </w:style>
  <w:style w:type="character" w:customStyle="1" w:styleId="138">
    <w:name w:val="标题 2 Char1"/>
    <w:autoRedefine/>
    <w:qFormat/>
    <w:uiPriority w:val="0"/>
    <w:rPr>
      <w:rFonts w:ascii="Arial" w:hAnsi="Arial" w:eastAsia="黑体"/>
      <w:bCs/>
      <w:kern w:val="2"/>
      <w:sz w:val="28"/>
      <w:szCs w:val="32"/>
    </w:rPr>
  </w:style>
  <w:style w:type="character" w:customStyle="1" w:styleId="139">
    <w:name w:val="font31"/>
    <w:uiPriority w:val="0"/>
    <w:rPr>
      <w:rFonts w:hint="eastAsia" w:ascii="宋体" w:hAnsi="宋体" w:eastAsia="宋体"/>
      <w:color w:val="000000"/>
      <w:sz w:val="22"/>
      <w:szCs w:val="22"/>
      <w:u w:val="none"/>
    </w:rPr>
  </w:style>
  <w:style w:type="character" w:customStyle="1" w:styleId="140">
    <w:name w:val="引用 Char"/>
    <w:link w:val="141"/>
    <w:autoRedefine/>
    <w:qFormat/>
    <w:uiPriority w:val="0"/>
    <w:rPr>
      <w:i/>
      <w:kern w:val="2"/>
      <w:sz w:val="21"/>
      <w:szCs w:val="22"/>
    </w:rPr>
  </w:style>
  <w:style w:type="paragraph" w:styleId="141">
    <w:name w:val="Quote"/>
    <w:basedOn w:val="1"/>
    <w:next w:val="1"/>
    <w:link w:val="140"/>
    <w:autoRedefine/>
    <w:qFormat/>
    <w:uiPriority w:val="0"/>
    <w:rPr>
      <w:i/>
      <w:szCs w:val="22"/>
    </w:rPr>
  </w:style>
  <w:style w:type="character" w:customStyle="1" w:styleId="142">
    <w:name w:val="ant-select-tree-iconele"/>
    <w:uiPriority w:val="0"/>
  </w:style>
  <w:style w:type="character" w:customStyle="1" w:styleId="143">
    <w:name w:val="*正文 Char"/>
    <w:link w:val="144"/>
    <w:autoRedefine/>
    <w:qFormat/>
    <w:uiPriority w:val="0"/>
    <w:rPr>
      <w:rFonts w:ascii="宋体" w:hAnsi="宋体"/>
      <w:sz w:val="24"/>
      <w:szCs w:val="24"/>
    </w:rPr>
  </w:style>
  <w:style w:type="paragraph" w:customStyle="1" w:styleId="144">
    <w:name w:val="*正文"/>
    <w:basedOn w:val="1"/>
    <w:link w:val="143"/>
    <w:uiPriority w:val="0"/>
    <w:pPr>
      <w:spacing w:line="300" w:lineRule="auto"/>
      <w:ind w:firstLine="480" w:firstLineChars="200"/>
    </w:pPr>
    <w:rPr>
      <w:rFonts w:ascii="宋体" w:hAnsi="宋体"/>
      <w:kern w:val="0"/>
      <w:sz w:val="24"/>
    </w:rPr>
  </w:style>
  <w:style w:type="character" w:customStyle="1" w:styleId="145">
    <w:name w:val="apple-converted-space"/>
    <w:autoRedefine/>
    <w:qFormat/>
    <w:uiPriority w:val="0"/>
  </w:style>
  <w:style w:type="character" w:customStyle="1" w:styleId="146">
    <w:name w:val="_Style 145"/>
    <w:autoRedefine/>
    <w:qFormat/>
    <w:uiPriority w:val="0"/>
    <w:rPr>
      <w:b/>
      <w:i/>
      <w:sz w:val="24"/>
      <w:szCs w:val="24"/>
      <w:u w:val="single"/>
    </w:rPr>
  </w:style>
  <w:style w:type="character" w:customStyle="1" w:styleId="147">
    <w:name w:val="纯文本 Char1"/>
    <w:uiPriority w:val="0"/>
    <w:rPr>
      <w:rFonts w:ascii="宋体" w:hAnsi="Courier New" w:cs="Courier New"/>
      <w:kern w:val="2"/>
      <w:sz w:val="21"/>
      <w:szCs w:val="21"/>
    </w:rPr>
  </w:style>
  <w:style w:type="character" w:customStyle="1" w:styleId="148">
    <w:name w:val="style1"/>
    <w:uiPriority w:val="0"/>
  </w:style>
  <w:style w:type="character" w:customStyle="1" w:styleId="149">
    <w:name w:val="正文文本 Char2"/>
    <w:uiPriority w:val="0"/>
    <w:rPr>
      <w:kern w:val="2"/>
      <w:sz w:val="21"/>
      <w:szCs w:val="24"/>
    </w:rPr>
  </w:style>
  <w:style w:type="character" w:customStyle="1" w:styleId="150">
    <w:name w:val="样式1 Char"/>
    <w:uiPriority w:val="0"/>
    <w:rPr>
      <w:rFonts w:ascii="Arial" w:hAnsi="Arial" w:eastAsia="宋体"/>
      <w:kern w:val="2"/>
      <w:sz w:val="21"/>
      <w:szCs w:val="24"/>
      <w:lang w:val="en-US" w:eastAsia="zh-CN" w:bidi="ar-SA"/>
    </w:rPr>
  </w:style>
  <w:style w:type="character" w:customStyle="1" w:styleId="151">
    <w:name w:val="标题 2 Char Char"/>
    <w:qFormat/>
    <w:uiPriority w:val="0"/>
    <w:rPr>
      <w:rFonts w:ascii="宋体" w:hAnsi="宋体" w:eastAsia="仿宋_GB2312"/>
      <w:bCs/>
      <w:kern w:val="2"/>
      <w:sz w:val="28"/>
      <w:szCs w:val="32"/>
      <w:lang w:val="en-US" w:eastAsia="zh-CN" w:bidi="ar-SA"/>
    </w:rPr>
  </w:style>
  <w:style w:type="character" w:customStyle="1" w:styleId="152">
    <w:name w:val="font11"/>
    <w:uiPriority w:val="0"/>
    <w:rPr>
      <w:rFonts w:hint="eastAsia" w:ascii="宋体" w:hAnsi="宋体" w:eastAsia="宋体" w:cs="宋体"/>
      <w:color w:val="000000"/>
      <w:sz w:val="22"/>
      <w:szCs w:val="22"/>
      <w:u w:val="none"/>
    </w:rPr>
  </w:style>
  <w:style w:type="character" w:customStyle="1" w:styleId="153">
    <w:name w:val="ant-transfer-list-search-action"/>
    <w:uiPriority w:val="0"/>
  </w:style>
  <w:style w:type="character" w:customStyle="1" w:styleId="154">
    <w:name w:val="手册正文 Char1"/>
    <w:link w:val="155"/>
    <w:uiPriority w:val="0"/>
    <w:rPr>
      <w:rFonts w:ascii="Arial" w:hAnsi="Arial"/>
      <w:sz w:val="24"/>
      <w:szCs w:val="24"/>
      <w:lang w:eastAsia="en-US"/>
    </w:rPr>
  </w:style>
  <w:style w:type="paragraph" w:customStyle="1" w:styleId="155">
    <w:name w:val="手册正文"/>
    <w:basedOn w:val="1"/>
    <w:link w:val="154"/>
    <w:uiPriority w:val="0"/>
    <w:pPr>
      <w:widowControl/>
      <w:spacing w:line="400" w:lineRule="atLeast"/>
      <w:ind w:firstLine="200" w:firstLineChars="200"/>
      <w:jc w:val="left"/>
    </w:pPr>
    <w:rPr>
      <w:rFonts w:ascii="Arial" w:hAnsi="Arial"/>
      <w:kern w:val="0"/>
      <w:sz w:val="24"/>
      <w:lang w:eastAsia="en-US"/>
    </w:rPr>
  </w:style>
  <w:style w:type="character" w:customStyle="1" w:styleId="156">
    <w:name w:val="style141"/>
    <w:uiPriority w:val="0"/>
    <w:rPr>
      <w:rFonts w:hint="default" w:ascii="Tahoma" w:hAnsi="Tahoma" w:cs="Tahoma"/>
      <w:color w:val="333333"/>
      <w:sz w:val="21"/>
      <w:szCs w:val="21"/>
    </w:rPr>
  </w:style>
  <w:style w:type="character" w:customStyle="1" w:styleId="157">
    <w:name w:val="标题 4 字符"/>
    <w:uiPriority w:val="0"/>
    <w:rPr>
      <w:rFonts w:ascii="等线 Light" w:hAnsi="等线 Light" w:eastAsia="等线 Light" w:cs="Times New Roman"/>
      <w:b/>
      <w:bCs/>
      <w:sz w:val="28"/>
      <w:szCs w:val="28"/>
    </w:rPr>
  </w:style>
  <w:style w:type="character" w:customStyle="1" w:styleId="158">
    <w:name w:val="_Style 157"/>
    <w:qFormat/>
    <w:uiPriority w:val="0"/>
    <w:rPr>
      <w:i/>
      <w:color w:val="5A5A5A"/>
    </w:rPr>
  </w:style>
  <w:style w:type="character" w:customStyle="1" w:styleId="159">
    <w:name w:val="font141"/>
    <w:qFormat/>
    <w:uiPriority w:val="0"/>
    <w:rPr>
      <w:rFonts w:hint="default" w:ascii="Tahoma" w:hAnsi="Tahoma" w:eastAsia="Tahoma" w:cs="Tahoma"/>
      <w:color w:val="000000"/>
      <w:sz w:val="24"/>
      <w:szCs w:val="24"/>
      <w:u w:val="none"/>
    </w:rPr>
  </w:style>
  <w:style w:type="character" w:customStyle="1" w:styleId="160">
    <w:name w:val="bulletintext1"/>
    <w:uiPriority w:val="0"/>
    <w:rPr>
      <w:color w:val="000000"/>
      <w:sz w:val="18"/>
    </w:rPr>
  </w:style>
  <w:style w:type="character" w:customStyle="1" w:styleId="161">
    <w:name w:val="脚注文本 Char2"/>
    <w:uiPriority w:val="0"/>
    <w:rPr>
      <w:kern w:val="2"/>
      <w:sz w:val="18"/>
      <w:szCs w:val="18"/>
    </w:rPr>
  </w:style>
  <w:style w:type="character" w:customStyle="1" w:styleId="162">
    <w:name w:val="Char Char15"/>
    <w:uiPriority w:val="0"/>
    <w:rPr>
      <w:rFonts w:ascii="宋体" w:hAnsi="Courier New"/>
      <w:kern w:val="2"/>
      <w:sz w:val="24"/>
      <w:szCs w:val="24"/>
      <w:lang w:bidi="ar-SA"/>
    </w:rPr>
  </w:style>
  <w:style w:type="character" w:customStyle="1" w:styleId="163">
    <w:name w:val="样式1 Char Char"/>
    <w:link w:val="164"/>
    <w:uiPriority w:val="0"/>
    <w:rPr>
      <w:rFonts w:ascii="Arial" w:hAnsi="Arial"/>
      <w:kern w:val="2"/>
      <w:sz w:val="21"/>
      <w:szCs w:val="24"/>
    </w:rPr>
  </w:style>
  <w:style w:type="paragraph" w:customStyle="1" w:styleId="164">
    <w:name w:val="样式1"/>
    <w:basedOn w:val="1"/>
    <w:link w:val="163"/>
    <w:uiPriority w:val="0"/>
    <w:pPr>
      <w:spacing w:line="360" w:lineRule="exact"/>
      <w:ind w:firstLine="200" w:firstLineChars="200"/>
    </w:pPr>
    <w:rPr>
      <w:rFonts w:ascii="Arial" w:hAnsi="Arial"/>
    </w:rPr>
  </w:style>
  <w:style w:type="character" w:customStyle="1" w:styleId="165">
    <w:name w:val="正文文本 2 Char1"/>
    <w:uiPriority w:val="0"/>
    <w:rPr>
      <w:kern w:val="2"/>
      <w:sz w:val="21"/>
      <w:szCs w:val="24"/>
    </w:rPr>
  </w:style>
  <w:style w:type="character" w:customStyle="1" w:styleId="166">
    <w:name w:val="chinaname1"/>
    <w:uiPriority w:val="0"/>
  </w:style>
  <w:style w:type="character" w:customStyle="1" w:styleId="167">
    <w:name w:val="search_result_snap1"/>
    <w:uiPriority w:val="0"/>
    <w:rPr>
      <w:rFonts w:cs="Times New Roman"/>
      <w:sz w:val="21"/>
      <w:szCs w:val="21"/>
    </w:rPr>
  </w:style>
  <w:style w:type="character" w:customStyle="1" w:styleId="168">
    <w:name w:val="批注框文本 Char1"/>
    <w:uiPriority w:val="0"/>
    <w:rPr>
      <w:kern w:val="2"/>
      <w:sz w:val="18"/>
      <w:szCs w:val="18"/>
    </w:rPr>
  </w:style>
  <w:style w:type="character" w:customStyle="1" w:styleId="169">
    <w:name w:val="正文文字4 Char2"/>
    <w:uiPriority w:val="0"/>
    <w:rPr>
      <w:rFonts w:eastAsia="宋体"/>
      <w:kern w:val="2"/>
      <w:sz w:val="21"/>
      <w:szCs w:val="24"/>
      <w:lang w:val="en-US" w:eastAsia="zh-CN" w:bidi="ar-SA"/>
    </w:rPr>
  </w:style>
  <w:style w:type="character" w:customStyle="1" w:styleId="170">
    <w:name w:val="Char Char3"/>
    <w:uiPriority w:val="0"/>
    <w:rPr>
      <w:rFonts w:ascii="Arial" w:hAnsi="Arial" w:eastAsia="宋体"/>
      <w:b/>
      <w:bCs/>
      <w:kern w:val="2"/>
      <w:sz w:val="21"/>
      <w:szCs w:val="32"/>
      <w:lang w:val="en-US" w:eastAsia="zh-CN" w:bidi="ar-SA"/>
    </w:rPr>
  </w:style>
  <w:style w:type="character" w:customStyle="1" w:styleId="171">
    <w:name w:val="日期 Char1"/>
    <w:uiPriority w:val="0"/>
    <w:rPr>
      <w:kern w:val="2"/>
      <w:sz w:val="21"/>
      <w:szCs w:val="24"/>
    </w:rPr>
  </w:style>
  <w:style w:type="character" w:customStyle="1" w:styleId="172">
    <w:name w:val="页眉 字符"/>
    <w:uiPriority w:val="0"/>
    <w:rPr>
      <w:sz w:val="18"/>
      <w:szCs w:val="18"/>
    </w:rPr>
  </w:style>
  <w:style w:type="character" w:customStyle="1" w:styleId="173">
    <w:name w:val="页脚 字符"/>
    <w:uiPriority w:val="0"/>
    <w:rPr>
      <w:sz w:val="18"/>
      <w:szCs w:val="18"/>
    </w:rPr>
  </w:style>
  <w:style w:type="character" w:customStyle="1" w:styleId="174">
    <w:name w:val="正文文本缩进 3 字符"/>
    <w:uiPriority w:val="0"/>
    <w:rPr>
      <w:rFonts w:ascii="Times New Roman" w:hAnsi="Times New Roman" w:eastAsia="宋体" w:cs="Times New Roman"/>
      <w:sz w:val="16"/>
      <w:szCs w:val="16"/>
    </w:rPr>
  </w:style>
  <w:style w:type="character" w:customStyle="1" w:styleId="175">
    <w:name w:val="文档结构图 Char1"/>
    <w:uiPriority w:val="0"/>
    <w:rPr>
      <w:rFonts w:ascii="宋体"/>
      <w:kern w:val="2"/>
      <w:sz w:val="18"/>
      <w:szCs w:val="18"/>
    </w:rPr>
  </w:style>
  <w:style w:type="character" w:customStyle="1" w:styleId="176">
    <w:name w:val="列表段落 字符"/>
    <w:uiPriority w:val="0"/>
    <w:rPr>
      <w:rFonts w:ascii="Calibri" w:hAnsi="Calibri"/>
    </w:rPr>
  </w:style>
  <w:style w:type="character" w:customStyle="1" w:styleId="177">
    <w:name w:val="普通文字 Char Char1"/>
    <w:uiPriority w:val="0"/>
    <w:rPr>
      <w:rFonts w:ascii="宋体" w:hAnsi="Courier New" w:eastAsia="宋体"/>
      <w:kern w:val="2"/>
      <w:sz w:val="21"/>
      <w:lang w:val="en-US" w:eastAsia="zh-CN" w:bidi="ar-SA"/>
    </w:rPr>
  </w:style>
  <w:style w:type="character" w:customStyle="1" w:styleId="178">
    <w:name w:val="正文2 Char Char"/>
    <w:link w:val="179"/>
    <w:uiPriority w:val="0"/>
    <w:rPr>
      <w:kern w:val="2"/>
      <w:sz w:val="21"/>
      <w:lang w:bidi="ar-SA"/>
    </w:rPr>
  </w:style>
  <w:style w:type="paragraph" w:customStyle="1" w:styleId="179">
    <w:name w:val="正文2"/>
    <w:link w:val="178"/>
    <w:uiPriority w:val="0"/>
    <w:pPr>
      <w:widowControl w:val="0"/>
      <w:jc w:val="both"/>
    </w:pPr>
    <w:rPr>
      <w:rFonts w:ascii="Times New Roman" w:hAnsi="Times New Roman" w:eastAsia="宋体" w:cs="Times New Roman"/>
      <w:kern w:val="2"/>
      <w:sz w:val="21"/>
      <w:lang w:val="en-US" w:eastAsia="zh-CN" w:bidi="ar-SA"/>
    </w:rPr>
  </w:style>
  <w:style w:type="character" w:customStyle="1" w:styleId="180">
    <w:name w:val="纯文本 字符1"/>
    <w:autoRedefine/>
    <w:qFormat/>
    <w:uiPriority w:val="0"/>
    <w:rPr>
      <w:rFonts w:ascii="宋体" w:hAnsi="Courier New"/>
    </w:rPr>
  </w:style>
  <w:style w:type="character" w:customStyle="1" w:styleId="181">
    <w:name w:val="正文文本缩进 3 Char2"/>
    <w:uiPriority w:val="0"/>
    <w:rPr>
      <w:rFonts w:eastAsia="黑体"/>
      <w:color w:val="000000"/>
      <w:kern w:val="2"/>
      <w:sz w:val="24"/>
      <w:szCs w:val="24"/>
    </w:rPr>
  </w:style>
  <w:style w:type="character" w:customStyle="1" w:styleId="182">
    <w:name w:val="正文缩进 字符"/>
    <w:uiPriority w:val="0"/>
    <w:rPr>
      <w:szCs w:val="24"/>
    </w:rPr>
  </w:style>
  <w:style w:type="character" w:customStyle="1" w:styleId="183">
    <w:name w:val="签名 Char1"/>
    <w:uiPriority w:val="0"/>
    <w:rPr>
      <w:kern w:val="2"/>
      <w:sz w:val="21"/>
      <w:szCs w:val="24"/>
    </w:rPr>
  </w:style>
  <w:style w:type="character" w:customStyle="1" w:styleId="184">
    <w:name w:val="样式4 Char"/>
    <w:link w:val="185"/>
    <w:qFormat/>
    <w:uiPriority w:val="0"/>
    <w:rPr>
      <w:kern w:val="2"/>
      <w:sz w:val="18"/>
      <w:szCs w:val="18"/>
    </w:rPr>
  </w:style>
  <w:style w:type="paragraph" w:customStyle="1" w:styleId="185">
    <w:name w:val="样式4"/>
    <w:basedOn w:val="33"/>
    <w:link w:val="184"/>
    <w:uiPriority w:val="0"/>
  </w:style>
  <w:style w:type="character" w:customStyle="1" w:styleId="186">
    <w:name w:val="标题 3 字符"/>
    <w:uiPriority w:val="0"/>
    <w:rPr>
      <w:rFonts w:ascii="Times New Roman" w:hAnsi="Times New Roman" w:eastAsia="宋体" w:cs="Times New Roman"/>
      <w:b/>
      <w:bCs/>
      <w:sz w:val="32"/>
      <w:szCs w:val="32"/>
    </w:rPr>
  </w:style>
  <w:style w:type="character" w:customStyle="1" w:styleId="187">
    <w:name w:val="tpc_content1"/>
    <w:qFormat/>
    <w:uiPriority w:val="0"/>
    <w:rPr>
      <w:sz w:val="20"/>
      <w:szCs w:val="20"/>
    </w:rPr>
  </w:style>
  <w:style w:type="character" w:customStyle="1" w:styleId="188">
    <w:name w:val="font81"/>
    <w:qFormat/>
    <w:uiPriority w:val="0"/>
    <w:rPr>
      <w:rFonts w:hint="eastAsia" w:ascii="宋体" w:hAnsi="宋体" w:eastAsia="宋体" w:cs="宋体"/>
      <w:color w:val="000000"/>
      <w:sz w:val="20"/>
      <w:szCs w:val="20"/>
      <w:u w:val="none"/>
    </w:rPr>
  </w:style>
  <w:style w:type="character" w:customStyle="1" w:styleId="189">
    <w:name w:val="font01"/>
    <w:uiPriority w:val="0"/>
    <w:rPr>
      <w:rFonts w:hint="default" w:ascii="Times New Roman" w:hAnsi="Times New Roman" w:cs="Times New Roman"/>
      <w:color w:val="000000"/>
      <w:sz w:val="22"/>
      <w:szCs w:val="22"/>
      <w:u w:val="none"/>
    </w:rPr>
  </w:style>
  <w:style w:type="character" w:customStyle="1" w:styleId="190">
    <w:name w:val="font21"/>
    <w:uiPriority w:val="0"/>
    <w:rPr>
      <w:rFonts w:hint="eastAsia" w:ascii="宋体" w:hAnsi="宋体" w:eastAsia="宋体" w:cs="宋体"/>
      <w:color w:val="000000"/>
      <w:sz w:val="24"/>
      <w:szCs w:val="24"/>
      <w:u w:val="none"/>
    </w:rPr>
  </w:style>
  <w:style w:type="character" w:customStyle="1" w:styleId="191">
    <w:name w:val="font12-blue-bold1"/>
    <w:uiPriority w:val="0"/>
    <w:rPr>
      <w:b/>
      <w:bCs/>
      <w:color w:val="0249A5"/>
      <w:sz w:val="15"/>
      <w:szCs w:val="15"/>
      <w:u w:val="none"/>
    </w:rPr>
  </w:style>
  <w:style w:type="character" w:customStyle="1" w:styleId="192">
    <w:name w:val="正文缩进 Char1"/>
    <w:uiPriority w:val="0"/>
    <w:rPr>
      <w:rFonts w:ascii="Arial" w:hAnsi="Arial" w:eastAsia="宋体" w:cs="Arial"/>
      <w:lang w:val="en-US" w:eastAsia="zh-CN" w:bidi="ar-SA"/>
    </w:rPr>
  </w:style>
  <w:style w:type="character" w:customStyle="1" w:styleId="193">
    <w:name w:val="b titlename wangputoptitle"/>
    <w:uiPriority w:val="0"/>
  </w:style>
  <w:style w:type="character" w:customStyle="1" w:styleId="194">
    <w:name w:val="正文1 Char"/>
    <w:link w:val="195"/>
    <w:uiPriority w:val="0"/>
    <w:rPr>
      <w:rFonts w:ascii="Calibri" w:hAnsi="Calibri"/>
      <w:color w:val="000000"/>
    </w:rPr>
  </w:style>
  <w:style w:type="paragraph" w:customStyle="1" w:styleId="195">
    <w:name w:val="正文1"/>
    <w:basedOn w:val="1"/>
    <w:link w:val="194"/>
    <w:uiPriority w:val="0"/>
    <w:pPr>
      <w:spacing w:line="360" w:lineRule="auto"/>
      <w:ind w:left="360" w:right="180" w:firstLine="420"/>
    </w:pPr>
    <w:rPr>
      <w:color w:val="000000"/>
      <w:kern w:val="0"/>
      <w:sz w:val="20"/>
      <w:szCs w:val="20"/>
    </w:rPr>
  </w:style>
  <w:style w:type="character" w:customStyle="1" w:styleId="196">
    <w:name w:val="font71"/>
    <w:autoRedefine/>
    <w:qFormat/>
    <w:uiPriority w:val="0"/>
    <w:rPr>
      <w:rFonts w:hint="default" w:ascii="Times New Roman" w:hAnsi="Times New Roman" w:cs="Times New Roman"/>
      <w:color w:val="000000"/>
      <w:sz w:val="21"/>
      <w:szCs w:val="21"/>
      <w:u w:val="none"/>
      <w:vertAlign w:val="superscript"/>
    </w:rPr>
  </w:style>
  <w:style w:type="character" w:customStyle="1" w:styleId="197">
    <w:name w:val="ant-tree-checkbox2"/>
    <w:uiPriority w:val="0"/>
  </w:style>
  <w:style w:type="character" w:customStyle="1" w:styleId="198">
    <w:name w:val="普通文字 Char1"/>
    <w:uiPriority w:val="0"/>
    <w:rPr>
      <w:rFonts w:ascii="宋体" w:hAnsi="Courier New" w:eastAsia="宋体"/>
      <w:kern w:val="2"/>
      <w:sz w:val="21"/>
      <w:lang w:val="en-US" w:eastAsia="zh-CN"/>
    </w:rPr>
  </w:style>
  <w:style w:type="character" w:customStyle="1" w:styleId="199">
    <w:name w:val="ant-tree-iconele"/>
    <w:uiPriority w:val="0"/>
  </w:style>
  <w:style w:type="character" w:customStyle="1" w:styleId="200">
    <w:name w:val="_Style 199"/>
    <w:qFormat/>
    <w:uiPriority w:val="0"/>
    <w:rPr>
      <w:rFonts w:ascii="Cambria" w:hAnsi="Cambria" w:eastAsia="宋体"/>
      <w:b/>
      <w:i/>
      <w:sz w:val="24"/>
      <w:szCs w:val="24"/>
    </w:rPr>
  </w:style>
  <w:style w:type="character" w:customStyle="1" w:styleId="201">
    <w:name w:val="标题 1 字符"/>
    <w:uiPriority w:val="0"/>
    <w:rPr>
      <w:rFonts w:ascii="Times New Roman" w:hAnsi="Times New Roman" w:eastAsia="宋体" w:cs="Times New Roman"/>
      <w:b/>
      <w:bCs/>
      <w:kern w:val="44"/>
      <w:sz w:val="44"/>
      <w:szCs w:val="44"/>
    </w:rPr>
  </w:style>
  <w:style w:type="character" w:customStyle="1" w:styleId="202">
    <w:name w:val="s"/>
    <w:autoRedefine/>
    <w:qFormat/>
    <w:uiPriority w:val="0"/>
  </w:style>
  <w:style w:type="character" w:customStyle="1" w:styleId="203">
    <w:name w:val="ant-select-tree-checkbox"/>
    <w:uiPriority w:val="0"/>
  </w:style>
  <w:style w:type="character" w:customStyle="1" w:styleId="204">
    <w:name w:val="正文文本 Char1"/>
    <w:qFormat/>
    <w:uiPriority w:val="0"/>
    <w:rPr>
      <w:rFonts w:ascii="仿宋_GB2312" w:eastAsia="仿宋_GB2312"/>
      <w:sz w:val="28"/>
    </w:rPr>
  </w:style>
  <w:style w:type="character" w:customStyle="1" w:styleId="205">
    <w:name w:val="标题 2 字符1"/>
    <w:uiPriority w:val="0"/>
    <w:rPr>
      <w:rFonts w:ascii="Arial" w:hAnsi="Arial" w:eastAsia="宋体" w:cs="Times New Roman"/>
      <w:b/>
      <w:bCs/>
      <w:szCs w:val="32"/>
      <w:lang w:val="zh-CN" w:eastAsia="zh-CN"/>
    </w:rPr>
  </w:style>
  <w:style w:type="character" w:customStyle="1" w:styleId="206">
    <w:name w:val="ant-tree-icon_loading"/>
    <w:uiPriority w:val="0"/>
    <w:rPr>
      <w:shd w:val="clear" w:color="auto" w:fill="FFFFFF"/>
    </w:rPr>
  </w:style>
  <w:style w:type="character" w:customStyle="1" w:styleId="207">
    <w:name w:val="_Style 206"/>
    <w:qFormat/>
    <w:uiPriority w:val="0"/>
    <w:rPr>
      <w:b/>
      <w:sz w:val="24"/>
      <w:u w:val="single"/>
    </w:rPr>
  </w:style>
  <w:style w:type="character" w:customStyle="1" w:styleId="208">
    <w:name w:val="Char Char4"/>
    <w:autoRedefine/>
    <w:uiPriority w:val="0"/>
    <w:rPr>
      <w:kern w:val="2"/>
      <w:sz w:val="18"/>
      <w:szCs w:val="18"/>
    </w:rPr>
  </w:style>
  <w:style w:type="character" w:customStyle="1" w:styleId="209">
    <w:name w:val="zbggtop11 style5"/>
    <w:uiPriority w:val="0"/>
  </w:style>
  <w:style w:type="character" w:customStyle="1" w:styleId="210">
    <w:name w:val="列表段落 字符1"/>
    <w:link w:val="211"/>
    <w:uiPriority w:val="0"/>
    <w:rPr>
      <w:kern w:val="2"/>
      <w:sz w:val="21"/>
      <w:szCs w:val="24"/>
    </w:rPr>
  </w:style>
  <w:style w:type="paragraph" w:customStyle="1" w:styleId="211">
    <w:name w:val="列表段落1"/>
    <w:basedOn w:val="1"/>
    <w:link w:val="210"/>
    <w:uiPriority w:val="0"/>
    <w:pPr>
      <w:ind w:firstLine="420" w:firstLineChars="200"/>
    </w:pPr>
  </w:style>
  <w:style w:type="paragraph" w:customStyle="1" w:styleId="212">
    <w:name w:val="CM17"/>
    <w:basedOn w:val="213"/>
    <w:next w:val="213"/>
    <w:qFormat/>
    <w:uiPriority w:val="99"/>
    <w:pPr>
      <w:spacing w:after="160"/>
    </w:pPr>
    <w:rPr>
      <w:rFonts w:ascii="仿宋" w:hAnsi="Calibri" w:eastAsia="仿宋" w:cs="Times New Roman"/>
      <w:color w:val="auto"/>
    </w:rPr>
  </w:style>
  <w:style w:type="paragraph" w:customStyle="1" w:styleId="213">
    <w:name w:val="Default"/>
    <w:next w:val="214"/>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214">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215">
    <w:name w:val="g11"/>
    <w:basedOn w:val="1"/>
    <w:uiPriority w:val="0"/>
    <w:pPr>
      <w:widowControl/>
      <w:spacing w:before="100" w:beforeLines="0" w:beforeAutospacing="1" w:after="100" w:afterLines="0" w:afterAutospacing="1" w:line="900" w:lineRule="atLeast"/>
      <w:jc w:val="left"/>
    </w:pPr>
    <w:rPr>
      <w:rFonts w:hint="eastAsia" w:ascii="华文中宋" w:hAnsi="华文中宋" w:eastAsia="华文中宋"/>
      <w:b/>
      <w:bCs/>
      <w:color w:val="FF0000"/>
      <w:kern w:val="0"/>
      <w:sz w:val="60"/>
      <w:szCs w:val="60"/>
    </w:rPr>
  </w:style>
  <w:style w:type="paragraph" w:customStyle="1" w:styleId="216">
    <w:name w:val="Char1"/>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217">
    <w:name w:val="正文缩进1"/>
    <w:basedOn w:val="1"/>
    <w:uiPriority w:val="0"/>
    <w:pPr>
      <w:widowControl/>
      <w:spacing w:before="120" w:beforeLines="0" w:after="120" w:afterLines="0"/>
      <w:ind w:left="992"/>
    </w:pPr>
    <w:rPr>
      <w:rFonts w:ascii="Verdana" w:hAnsi="Verdana"/>
      <w:kern w:val="0"/>
      <w:sz w:val="20"/>
      <w:szCs w:val="20"/>
      <w:lang w:eastAsia="en-US"/>
    </w:rPr>
  </w:style>
  <w:style w:type="paragraph" w:customStyle="1" w:styleId="218">
    <w:name w:val="xl33"/>
    <w:basedOn w:val="1"/>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219">
    <w:name w:val="xl59"/>
    <w:basedOn w:val="1"/>
    <w:autoRedefine/>
    <w:uiPriority w:val="0"/>
    <w:pPr>
      <w:widowControl/>
      <w:pBdr>
        <w:left w:val="single" w:color="auto" w:sz="8" w:space="0"/>
        <w:bottom w:val="single" w:color="auto" w:sz="8" w:space="0"/>
      </w:pBdr>
      <w:spacing w:before="100" w:beforeLines="0" w:beforeAutospacing="1" w:after="100" w:afterLines="0" w:afterAutospacing="1"/>
      <w:textAlignment w:val="center"/>
    </w:pPr>
    <w:rPr>
      <w:rFonts w:ascii="宋体" w:hAnsi="宋体" w:cs="宋体"/>
      <w:kern w:val="0"/>
      <w:sz w:val="18"/>
      <w:szCs w:val="18"/>
    </w:rPr>
  </w:style>
  <w:style w:type="paragraph" w:customStyle="1" w:styleId="220">
    <w:name w:val="xl22"/>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kern w:val="0"/>
      <w:sz w:val="24"/>
      <w:szCs w:val="20"/>
    </w:rPr>
  </w:style>
  <w:style w:type="paragraph" w:customStyle="1" w:styleId="221">
    <w:name w:val="Char Char Char Char Char Char Char Char Char Char Char"/>
    <w:basedOn w:val="1"/>
    <w:uiPriority w:val="0"/>
    <w:rPr>
      <w:rFonts w:ascii="Tahoma" w:hAnsi="Tahoma"/>
      <w:sz w:val="24"/>
      <w:szCs w:val="20"/>
    </w:rPr>
  </w:style>
  <w:style w:type="paragraph" w:customStyle="1" w:styleId="222">
    <w:name w:val="[Normal]"/>
    <w:qFormat/>
    <w:uiPriority w:val="0"/>
    <w:rPr>
      <w:rFonts w:ascii="宋体" w:hAnsi="宋体" w:eastAsia="宋体" w:cs="Times New Roman"/>
      <w:sz w:val="24"/>
      <w:szCs w:val="22"/>
      <w:lang w:val="zh-CN" w:eastAsia="zh-CN" w:bidi="ar-SA"/>
    </w:rPr>
  </w:style>
  <w:style w:type="paragraph" w:customStyle="1" w:styleId="223">
    <w:name w:val="xl56"/>
    <w:basedOn w:val="1"/>
    <w:uiPriority w:val="0"/>
    <w:pPr>
      <w:widowControl/>
      <w:pBdr>
        <w:left w:val="single" w:color="auto" w:sz="8" w:space="0"/>
        <w:bottom w:val="single" w:color="000000" w:sz="8"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224">
    <w:name w:val="xl46"/>
    <w:basedOn w:val="1"/>
    <w:uiPriority w:val="0"/>
    <w:pPr>
      <w:widowControl/>
      <w:pBdr>
        <w:top w:val="single" w:color="auto" w:sz="8" w:space="0"/>
        <w:bottom w:val="single" w:color="auto" w:sz="8" w:space="0"/>
        <w:right w:val="single" w:color="000000" w:sz="8"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225">
    <w:name w:val="Char5"/>
    <w:basedOn w:val="1"/>
    <w:uiPriority w:val="0"/>
    <w:rPr>
      <w:rFonts w:ascii="Courier New" w:hAnsi="Arial" w:eastAsia="Courier New" w:cs="Arial"/>
      <w:b/>
      <w:sz w:val="32"/>
      <w:szCs w:val="32"/>
    </w:rPr>
  </w:style>
  <w:style w:type="paragraph" w:customStyle="1" w:styleId="226">
    <w:name w:val="列出段落2"/>
    <w:basedOn w:val="1"/>
    <w:uiPriority w:val="0"/>
    <w:pPr>
      <w:ind w:firstLine="420" w:firstLineChars="200"/>
    </w:pPr>
  </w:style>
  <w:style w:type="paragraph" w:customStyle="1" w:styleId="227">
    <w:name w:val="标书标题2"/>
    <w:basedOn w:val="5"/>
    <w:uiPriority w:val="0"/>
    <w:pPr>
      <w:keepLines w:val="0"/>
      <w:widowControl/>
      <w:tabs>
        <w:tab w:val="left" w:pos="1320"/>
      </w:tabs>
      <w:adjustRightInd w:val="0"/>
      <w:snapToGrid w:val="0"/>
      <w:spacing w:before="156" w:beforeLines="50" w:after="60" w:afterLines="0" w:line="300" w:lineRule="auto"/>
      <w:ind w:left="1320" w:hanging="420" w:firstLineChars="0"/>
    </w:pPr>
    <w:rPr>
      <w:rFonts w:eastAsia="Courier New" w:cs="Arial"/>
      <w:color w:val="000000"/>
      <w:kern w:val="0"/>
      <w:sz w:val="28"/>
      <w:szCs w:val="20"/>
    </w:rPr>
  </w:style>
  <w:style w:type="paragraph" w:customStyle="1" w:styleId="228">
    <w:name w:val="Indent a)"/>
    <w:basedOn w:val="1"/>
    <w:uiPriority w:val="0"/>
    <w:pPr>
      <w:widowControl/>
      <w:tabs>
        <w:tab w:val="left" w:pos="1843"/>
        <w:tab w:val="right" w:pos="9072"/>
      </w:tabs>
      <w:suppressAutoHyphens/>
      <w:spacing w:line="360" w:lineRule="auto"/>
      <w:ind w:right="-36" w:rightChars="-10" w:firstLine="630" w:firstLineChars="300"/>
    </w:pPr>
    <w:rPr>
      <w:rFonts w:ascii="宋体" w:hAnsi="宋体"/>
      <w:color w:val="FF0000"/>
      <w:szCs w:val="21"/>
    </w:rPr>
  </w:style>
  <w:style w:type="paragraph" w:customStyle="1" w:styleId="229">
    <w:name w:val="纯文本1"/>
    <w:basedOn w:val="1"/>
    <w:uiPriority w:val="0"/>
    <w:rPr>
      <w:rFonts w:ascii="宋体" w:hAnsi="Courier New" w:cs="Courier New"/>
      <w:szCs w:val="21"/>
    </w:rPr>
  </w:style>
  <w:style w:type="paragraph" w:customStyle="1" w:styleId="230">
    <w:name w:val="xl31"/>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231">
    <w:name w:val="Char Char Char Char Char Char Char Char Char Char"/>
    <w:basedOn w:val="1"/>
    <w:qFormat/>
    <w:uiPriority w:val="0"/>
    <w:rPr>
      <w:rFonts w:ascii="Tahoma" w:hAnsi="Tahoma"/>
      <w:sz w:val="24"/>
      <w:szCs w:val="20"/>
    </w:rPr>
  </w:style>
  <w:style w:type="paragraph" w:customStyle="1" w:styleId="2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3">
    <w:name w:val="Table Text"/>
    <w:basedOn w:val="1"/>
    <w:autoRedefine/>
    <w:semiHidden/>
    <w:qFormat/>
    <w:uiPriority w:val="0"/>
    <w:rPr>
      <w:rFonts w:ascii="宋体" w:hAnsi="宋体" w:eastAsia="宋体" w:cs="宋体"/>
      <w:sz w:val="20"/>
      <w:szCs w:val="20"/>
      <w:lang w:val="en-US" w:eastAsia="en-US" w:bidi="ar-SA"/>
    </w:rPr>
  </w:style>
  <w:style w:type="paragraph" w:customStyle="1" w:styleId="234">
    <w:name w:val="xl30"/>
    <w:basedOn w:val="1"/>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235">
    <w:name w:val="xl101"/>
    <w:basedOn w:val="1"/>
    <w:uiPriority w:val="0"/>
    <w:pPr>
      <w:widowControl/>
      <w:pBdr>
        <w:top w:val="single" w:color="auto" w:sz="8" w:space="0"/>
        <w:left w:val="single" w:color="auto" w:sz="8" w:space="0"/>
        <w:right w:val="single" w:color="auto" w:sz="8" w:space="0"/>
      </w:pBdr>
      <w:spacing w:before="100" w:beforeLines="0" w:beforeAutospacing="1" w:after="100" w:afterLines="0" w:afterAutospacing="1"/>
      <w:jc w:val="center"/>
      <w:textAlignment w:val="center"/>
    </w:pPr>
    <w:rPr>
      <w:rFonts w:ascii="宋体" w:hAnsi="宋体" w:cs="宋体"/>
      <w:kern w:val="0"/>
      <w:szCs w:val="21"/>
    </w:rPr>
  </w:style>
  <w:style w:type="paragraph" w:customStyle="1" w:styleId="236">
    <w:name w:val="xl94"/>
    <w:basedOn w:val="1"/>
    <w:uiPriority w:val="0"/>
    <w:pPr>
      <w:widowControl/>
      <w:pBdr>
        <w:top w:val="single" w:color="auto" w:sz="8" w:space="0"/>
        <w:bottom w:val="single" w:color="auto" w:sz="8" w:space="0"/>
        <w:right w:val="single" w:color="auto" w:sz="8" w:space="0"/>
      </w:pBdr>
      <w:spacing w:before="100" w:beforeLines="0" w:beforeAutospacing="1" w:after="100" w:afterLines="0" w:afterAutospacing="1"/>
    </w:pPr>
    <w:rPr>
      <w:rFonts w:ascii="宋体" w:hAnsi="宋体" w:cs="宋体"/>
      <w:kern w:val="0"/>
      <w:szCs w:val="21"/>
    </w:rPr>
  </w:style>
  <w:style w:type="paragraph" w:customStyle="1" w:styleId="237">
    <w:name w:val="CM11"/>
    <w:basedOn w:val="213"/>
    <w:next w:val="213"/>
    <w:qFormat/>
    <w:uiPriority w:val="99"/>
    <w:pPr>
      <w:spacing w:line="520" w:lineRule="atLeast"/>
    </w:pPr>
    <w:rPr>
      <w:rFonts w:ascii="仿宋" w:hAnsi="Calibri" w:eastAsia="仿宋" w:cs="Times New Roman"/>
      <w:color w:val="auto"/>
    </w:rPr>
  </w:style>
  <w:style w:type="paragraph" w:customStyle="1" w:styleId="238">
    <w:name w:val="xl105"/>
    <w:basedOn w:val="1"/>
    <w:uiPriority w:val="0"/>
    <w:pPr>
      <w:widowControl/>
      <w:pBdr>
        <w:top w:val="single" w:color="auto" w:sz="8" w:space="0"/>
        <w:bottom w:val="single" w:color="auto" w:sz="8" w:space="0"/>
        <w:right w:val="single" w:color="auto" w:sz="8" w:space="0"/>
      </w:pBdr>
      <w:spacing w:before="100" w:beforeLines="0" w:beforeAutospacing="1" w:after="100" w:afterLines="0" w:afterAutospacing="1"/>
      <w:jc w:val="center"/>
    </w:pPr>
    <w:rPr>
      <w:rFonts w:ascii="宋体" w:hAnsi="宋体" w:cs="宋体"/>
      <w:kern w:val="0"/>
      <w:sz w:val="24"/>
    </w:rPr>
  </w:style>
  <w:style w:type="paragraph" w:customStyle="1" w:styleId="239">
    <w:name w:val="Char Char1 Char Char Char Char Char Char"/>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240">
    <w:name w:val="xl34"/>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241">
    <w:name w:val="xl44"/>
    <w:basedOn w:val="1"/>
    <w:uiPriority w:val="0"/>
    <w:pPr>
      <w:widowControl/>
      <w:pBdr>
        <w:top w:val="single" w:color="auto" w:sz="8" w:space="0"/>
        <w:bottom w:val="single" w:color="auto" w:sz="8" w:space="0"/>
      </w:pBdr>
      <w:spacing w:before="100" w:beforeLines="0" w:beforeAutospacing="1" w:after="100" w:afterLines="0" w:afterAutospacing="1"/>
      <w:textAlignment w:val="center"/>
    </w:pPr>
    <w:rPr>
      <w:rFonts w:ascii="宋体" w:hAnsi="宋体" w:cs="宋体"/>
      <w:kern w:val="0"/>
      <w:sz w:val="18"/>
      <w:szCs w:val="18"/>
    </w:rPr>
  </w:style>
  <w:style w:type="paragraph" w:customStyle="1" w:styleId="242">
    <w:name w:val="style8"/>
    <w:basedOn w:val="1"/>
    <w:uiPriority w:val="0"/>
    <w:pPr>
      <w:widowControl/>
      <w:spacing w:before="100" w:beforeLines="0" w:beforeAutospacing="1" w:after="100" w:afterLines="0" w:afterAutospacing="1"/>
      <w:jc w:val="left"/>
    </w:pPr>
    <w:rPr>
      <w:rFonts w:ascii="Tahoma" w:hAnsi="Tahoma" w:cs="Tahoma"/>
      <w:color w:val="333333"/>
      <w:kern w:val="0"/>
      <w:szCs w:val="21"/>
    </w:rPr>
  </w:style>
  <w:style w:type="paragraph" w:customStyle="1" w:styleId="243">
    <w:name w:val="Fließtext"/>
    <w:basedOn w:val="1"/>
    <w:qFormat/>
    <w:uiPriority w:val="0"/>
    <w:pPr>
      <w:overflowPunct w:val="0"/>
      <w:autoSpaceDE w:val="0"/>
      <w:autoSpaceDN w:val="0"/>
      <w:adjustRightInd w:val="0"/>
      <w:textAlignment w:val="baseline"/>
    </w:pPr>
    <w:rPr>
      <w:rFonts w:ascii="Times New Roman" w:hAnsi="Times New Roman"/>
      <w:kern w:val="28"/>
      <w:szCs w:val="20"/>
    </w:rPr>
  </w:style>
  <w:style w:type="paragraph" w:customStyle="1" w:styleId="244">
    <w:name w:val="xl37"/>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245">
    <w:name w:val="xl49"/>
    <w:basedOn w:val="1"/>
    <w:uiPriority w:val="0"/>
    <w:pPr>
      <w:widowControl/>
      <w:pBdr>
        <w:left w:val="single" w:color="auto" w:sz="8" w:space="0"/>
        <w:bottom w:val="single" w:color="auto" w:sz="8"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2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xl32"/>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248">
    <w:name w:val="样式 表格正文 + 两端对齐"/>
    <w:basedOn w:val="1"/>
    <w:next w:val="195"/>
    <w:qFormat/>
    <w:uiPriority w:val="99"/>
    <w:pPr>
      <w:spacing w:line="300" w:lineRule="auto"/>
    </w:pPr>
    <w:rPr>
      <w:sz w:val="24"/>
    </w:rPr>
  </w:style>
  <w:style w:type="paragraph" w:customStyle="1" w:styleId="24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50">
    <w:name w:val="font5"/>
    <w:basedOn w:val="1"/>
    <w:uiPriority w:val="0"/>
    <w:pPr>
      <w:widowControl/>
      <w:spacing w:before="100" w:beforeLines="0" w:beforeAutospacing="1" w:after="100" w:afterLines="0" w:afterAutospacing="1"/>
      <w:jc w:val="left"/>
    </w:pPr>
    <w:rPr>
      <w:rFonts w:ascii="Century Gothic" w:hAnsi="Century Gothic" w:cs="Century Gothic"/>
      <w:kern w:val="0"/>
      <w:sz w:val="18"/>
      <w:szCs w:val="18"/>
    </w:rPr>
  </w:style>
  <w:style w:type="paragraph" w:customStyle="1" w:styleId="251">
    <w:name w:val="表格"/>
    <w:basedOn w:val="1"/>
    <w:uiPriority w:val="0"/>
    <w:pPr>
      <w:snapToGrid w:val="0"/>
      <w:spacing w:line="240" w:lineRule="atLeast"/>
      <w:jc w:val="center"/>
    </w:pPr>
    <w:rPr>
      <w:rFonts w:ascii="宋体" w:hAnsi="宋体"/>
      <w:spacing w:val="14"/>
      <w:szCs w:val="20"/>
    </w:rPr>
  </w:style>
  <w:style w:type="paragraph" w:customStyle="1" w:styleId="252">
    <w:name w:val=" Char2"/>
    <w:basedOn w:val="1"/>
    <w:uiPriority w:val="0"/>
    <w:pPr>
      <w:spacing w:line="360" w:lineRule="auto"/>
      <w:contextualSpacing/>
    </w:pPr>
    <w:rPr>
      <w:rFonts w:ascii="仿宋_GB2312" w:eastAsia="仿宋_GB2312"/>
      <w:b/>
      <w:sz w:val="32"/>
      <w:szCs w:val="32"/>
    </w:rPr>
  </w:style>
  <w:style w:type="paragraph" w:customStyle="1" w:styleId="253">
    <w:name w:val="标准中文版式_正文"/>
    <w:basedOn w:val="1"/>
    <w:qFormat/>
    <w:uiPriority w:val="99"/>
    <w:pPr>
      <w:spacing w:before="30"/>
      <w:ind w:firstLine="200" w:firstLineChars="200"/>
    </w:pPr>
    <w:rPr>
      <w:rFonts w:ascii="Arial" w:hAnsi="Arial"/>
      <w:sz w:val="24"/>
      <w:szCs w:val="24"/>
    </w:rPr>
  </w:style>
  <w:style w:type="paragraph" w:customStyle="1" w:styleId="254">
    <w:name w:val="正文文本缩进1"/>
    <w:basedOn w:val="1"/>
    <w:qFormat/>
    <w:uiPriority w:val="0"/>
    <w:pPr>
      <w:ind w:firstLine="200"/>
    </w:pPr>
    <w:rPr>
      <w:rFonts w:ascii="仿宋_GB2312" w:eastAsia="仿宋_GB2312"/>
      <w:sz w:val="32"/>
    </w:rPr>
  </w:style>
  <w:style w:type="paragraph" w:customStyle="1" w:styleId="255">
    <w:name w:val="xl78"/>
    <w:basedOn w:val="1"/>
    <w:uiPriority w:val="0"/>
    <w:pPr>
      <w:widowControl/>
      <w:pBdr>
        <w:top w:val="single" w:color="auto" w:sz="8" w:space="0"/>
        <w:left w:val="single" w:color="auto" w:sz="8" w:space="0"/>
        <w:right w:val="single" w:color="auto" w:sz="8" w:space="0"/>
      </w:pBdr>
      <w:spacing w:before="100" w:beforeLines="0" w:beforeAutospacing="1" w:after="100" w:afterLines="0" w:afterAutospacing="1"/>
      <w:jc w:val="center"/>
    </w:pPr>
    <w:rPr>
      <w:rFonts w:ascii="宋体" w:hAnsi="宋体" w:cs="宋体"/>
      <w:kern w:val="0"/>
      <w:szCs w:val="21"/>
    </w:rPr>
  </w:style>
  <w:style w:type="paragraph" w:customStyle="1" w:styleId="256">
    <w:name w:val="样式 左侧:  2 字符"/>
    <w:basedOn w:val="1"/>
    <w:uiPriority w:val="0"/>
    <w:pPr>
      <w:spacing w:line="360" w:lineRule="auto"/>
      <w:ind w:firstLine="560" w:firstLineChars="200"/>
    </w:pPr>
    <w:rPr>
      <w:rFonts w:eastAsia="仿宋_GB2312"/>
      <w:sz w:val="28"/>
      <w:szCs w:val="20"/>
    </w:rPr>
  </w:style>
  <w:style w:type="paragraph" w:customStyle="1" w:styleId="257">
    <w:name w:val="标书标题4"/>
    <w:basedOn w:val="7"/>
    <w:uiPriority w:val="0"/>
    <w:pPr>
      <w:keepLines w:val="0"/>
      <w:adjustRightInd w:val="0"/>
      <w:snapToGrid w:val="0"/>
      <w:spacing w:before="0" w:beforeLines="0" w:after="0" w:afterLines="0" w:line="300" w:lineRule="auto"/>
    </w:pPr>
    <w:rPr>
      <w:rFonts w:eastAsia="Courier New" w:cs="Arial"/>
      <w:bCs w:val="0"/>
      <w:color w:val="000000"/>
      <w:kern w:val="0"/>
      <w:szCs w:val="32"/>
    </w:rPr>
  </w:style>
  <w:style w:type="paragraph" w:customStyle="1" w:styleId="258">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szCs w:val="20"/>
    </w:rPr>
  </w:style>
  <w:style w:type="paragraph" w:customStyle="1" w:styleId="259">
    <w:name w:val="reader-word-layer reader-word-s27-4"/>
    <w:basedOn w:val="1"/>
    <w:qFormat/>
    <w:uiPriority w:val="0"/>
    <w:pPr>
      <w:widowControl/>
      <w:spacing w:before="100" w:beforeAutospacing="1" w:after="100" w:afterAutospacing="1"/>
      <w:jc w:val="left"/>
    </w:pPr>
    <w:rPr>
      <w:rFonts w:ascii="宋体" w:hAnsi="宋体" w:cs="宋体"/>
      <w:kern w:val="0"/>
      <w:sz w:val="24"/>
    </w:rPr>
  </w:style>
  <w:style w:type="paragraph" w:customStyle="1" w:styleId="260">
    <w:name w:val="普通文字"/>
    <w:basedOn w:val="1"/>
    <w:uiPriority w:val="0"/>
    <w:pPr>
      <w:widowControl/>
      <w:spacing w:line="351" w:lineRule="atLeast"/>
      <w:ind w:firstLine="419"/>
      <w:textAlignment w:val="baseline"/>
    </w:pPr>
    <w:rPr>
      <w:rFonts w:ascii="宋体"/>
      <w:color w:val="000000"/>
      <w:kern w:val="0"/>
      <w:szCs w:val="20"/>
      <w:u w:val="none" w:color="000000"/>
    </w:rPr>
  </w:style>
  <w:style w:type="paragraph" w:customStyle="1" w:styleId="261">
    <w:name w:val="xl107"/>
    <w:basedOn w:val="1"/>
    <w:uiPriority w:val="0"/>
    <w:pPr>
      <w:widowControl/>
      <w:pBdr>
        <w:top w:val="single" w:color="auto" w:sz="8" w:space="0"/>
        <w:bottom w:val="single" w:color="auto" w:sz="8" w:space="0"/>
      </w:pBdr>
      <w:spacing w:before="100" w:beforeLines="0" w:beforeAutospacing="1" w:after="100" w:afterLines="0" w:afterAutospacing="1"/>
    </w:pPr>
    <w:rPr>
      <w:rFonts w:ascii="宋体" w:hAnsi="宋体" w:cs="宋体"/>
      <w:kern w:val="0"/>
      <w:sz w:val="24"/>
    </w:rPr>
  </w:style>
  <w:style w:type="paragraph" w:customStyle="1" w:styleId="262">
    <w:name w:val="xl2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263">
    <w:name w:val="xl2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264">
    <w:name w:val="xl104"/>
    <w:basedOn w:val="1"/>
    <w:uiPriority w:val="0"/>
    <w:pPr>
      <w:widowControl/>
      <w:pBdr>
        <w:top w:val="single" w:color="auto" w:sz="8" w:space="0"/>
        <w:bottom w:val="single" w:color="auto" w:sz="8" w:space="0"/>
      </w:pBdr>
      <w:spacing w:before="100" w:beforeLines="0" w:beforeAutospacing="1" w:after="100" w:afterLines="0" w:afterAutospacing="1"/>
      <w:jc w:val="center"/>
    </w:pPr>
    <w:rPr>
      <w:rFonts w:ascii="宋体" w:hAnsi="宋体" w:cs="宋体"/>
      <w:kern w:val="0"/>
      <w:sz w:val="24"/>
    </w:rPr>
  </w:style>
  <w:style w:type="paragraph" w:customStyle="1" w:styleId="265">
    <w:name w:val="xl35"/>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266">
    <w:name w:val="Char Char Char Char Char Char Char Char Char Char Char Char Char Char Char Char1 Char"/>
    <w:basedOn w:val="1"/>
    <w:uiPriority w:val="0"/>
    <w:rPr>
      <w:rFonts w:ascii="Tahoma" w:hAnsi="Tahoma"/>
      <w:sz w:val="24"/>
      <w:szCs w:val="20"/>
    </w:rPr>
  </w:style>
  <w:style w:type="paragraph" w:customStyle="1" w:styleId="267">
    <w:name w:val="xl92"/>
    <w:basedOn w:val="1"/>
    <w:uiPriority w:val="0"/>
    <w:pPr>
      <w:widowControl/>
      <w:pBdr>
        <w:top w:val="single" w:color="auto" w:sz="8" w:space="0"/>
        <w:bottom w:val="single" w:color="auto" w:sz="8" w:space="0"/>
      </w:pBdr>
      <w:spacing w:before="100" w:beforeLines="0" w:beforeAutospacing="1" w:after="100" w:afterLines="0" w:afterAutospacing="1"/>
    </w:pPr>
    <w:rPr>
      <w:rFonts w:ascii="宋体" w:hAnsi="宋体" w:cs="宋体"/>
      <w:kern w:val="0"/>
      <w:szCs w:val="21"/>
    </w:rPr>
  </w:style>
  <w:style w:type="paragraph" w:customStyle="1" w:styleId="268">
    <w:name w:val="p1"/>
    <w:basedOn w:val="1"/>
    <w:uiPriority w:val="0"/>
    <w:pPr>
      <w:widowControl/>
      <w:spacing w:before="100" w:beforeLines="0" w:beforeAutospacing="1" w:after="100" w:afterLines="0" w:afterAutospacing="1" w:line="288" w:lineRule="atLeast"/>
      <w:jc w:val="left"/>
    </w:pPr>
    <w:rPr>
      <w:rFonts w:ascii="仿宋_GB2312" w:hAnsi="宋体" w:eastAsia="仿宋_GB2312" w:cs="宋体"/>
      <w:kern w:val="0"/>
      <w:sz w:val="20"/>
      <w:szCs w:val="20"/>
    </w:rPr>
  </w:style>
  <w:style w:type="paragraph" w:customStyle="1" w:styleId="269">
    <w:name w:val="正文_0"/>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0">
    <w:name w:val="Char4"/>
    <w:basedOn w:val="16"/>
    <w:uiPriority w:val="0"/>
    <w:pPr>
      <w:widowControl/>
      <w:spacing w:after="156" w:afterLines="50" w:line="360" w:lineRule="auto"/>
      <w:ind w:firstLine="480"/>
      <w:jc w:val="left"/>
    </w:pPr>
  </w:style>
  <w:style w:type="paragraph" w:customStyle="1" w:styleId="271">
    <w:name w:val="xl91"/>
    <w:basedOn w:val="1"/>
    <w:uiPriority w:val="0"/>
    <w:pPr>
      <w:widowControl/>
      <w:pBdr>
        <w:left w:val="single" w:color="auto" w:sz="8" w:space="0"/>
        <w:bottom w:val="single" w:color="000000" w:sz="8" w:space="0"/>
        <w:right w:val="single" w:color="auto" w:sz="8" w:space="0"/>
      </w:pBdr>
      <w:spacing w:before="100" w:beforeLines="0" w:beforeAutospacing="1" w:after="100" w:afterLines="0" w:afterAutospacing="1"/>
    </w:pPr>
    <w:rPr>
      <w:rFonts w:ascii="宋体" w:hAnsi="宋体" w:cs="宋体"/>
      <w:kern w:val="0"/>
      <w:sz w:val="18"/>
      <w:szCs w:val="18"/>
    </w:rPr>
  </w:style>
  <w:style w:type="paragraph" w:customStyle="1" w:styleId="272">
    <w:name w:val="正文－恩普"/>
    <w:basedOn w:val="16"/>
    <w:uiPriority w:val="0"/>
    <w:pPr>
      <w:widowControl/>
      <w:spacing w:after="156" w:afterLines="50" w:line="360" w:lineRule="auto"/>
      <w:ind w:firstLine="480"/>
      <w:jc w:val="left"/>
    </w:pPr>
    <w:rPr>
      <w:kern w:val="0"/>
      <w:sz w:val="24"/>
      <w:szCs w:val="20"/>
    </w:rPr>
  </w:style>
  <w:style w:type="paragraph" w:customStyle="1" w:styleId="273">
    <w:name w:val="xl97"/>
    <w:basedOn w:val="1"/>
    <w:uiPriority w:val="0"/>
    <w:pPr>
      <w:widowControl/>
      <w:pBdr>
        <w:top w:val="single" w:color="auto" w:sz="8" w:space="0"/>
        <w:bottom w:val="single" w:color="auto" w:sz="8" w:space="0"/>
        <w:right w:val="single" w:color="auto" w:sz="8" w:space="0"/>
      </w:pBdr>
      <w:spacing w:before="100" w:beforeLines="0" w:beforeAutospacing="1" w:after="100" w:afterLines="0" w:afterAutospacing="1"/>
      <w:jc w:val="center"/>
      <w:textAlignment w:val="center"/>
    </w:pPr>
    <w:rPr>
      <w:rFonts w:ascii="宋体" w:hAnsi="宋体" w:cs="宋体"/>
      <w:kern w:val="0"/>
      <w:sz w:val="24"/>
    </w:rPr>
  </w:style>
  <w:style w:type="paragraph" w:customStyle="1" w:styleId="274">
    <w:name w:val="xc正文"/>
    <w:basedOn w:val="1"/>
    <w:uiPriority w:val="0"/>
    <w:pPr>
      <w:adjustRightInd w:val="0"/>
      <w:spacing w:line="360" w:lineRule="auto"/>
      <w:ind w:firstLine="200" w:firstLineChars="200"/>
      <w:jc w:val="left"/>
      <w:textAlignment w:val="baseline"/>
    </w:pPr>
    <w:rPr>
      <w:kern w:val="0"/>
      <w:sz w:val="24"/>
      <w:lang w:val="zh-CN"/>
    </w:rPr>
  </w:style>
  <w:style w:type="paragraph" w:customStyle="1" w:styleId="275">
    <w:name w:val="font1"/>
    <w:basedOn w:val="1"/>
    <w:uiPriority w:val="0"/>
    <w:pPr>
      <w:widowControl/>
      <w:spacing w:before="100" w:beforeLines="0" w:beforeAutospacing="1" w:after="100" w:afterLines="0" w:afterAutospacing="1"/>
      <w:jc w:val="left"/>
    </w:pPr>
    <w:rPr>
      <w:rFonts w:ascii="Century Gothic" w:hAnsi="Century Gothic" w:cs="Arial"/>
      <w:kern w:val="0"/>
      <w:sz w:val="24"/>
      <w:szCs w:val="20"/>
    </w:rPr>
  </w:style>
  <w:style w:type="paragraph" w:customStyle="1" w:styleId="276">
    <w:name w:val="Char Char Char Char Char Char Char"/>
    <w:basedOn w:val="1"/>
    <w:uiPriority w:val="0"/>
    <w:pPr>
      <w:tabs>
        <w:tab w:val="left" w:pos="432"/>
      </w:tabs>
      <w:ind w:left="432" w:hanging="432"/>
    </w:pPr>
    <w:rPr>
      <w:rFonts w:ascii="Tahoma" w:hAnsi="Tahoma"/>
    </w:rPr>
  </w:style>
  <w:style w:type="paragraph" w:customStyle="1" w:styleId="277">
    <w:name w:val="WPSOffice手动目录 1"/>
    <w:uiPriority w:val="0"/>
    <w:rPr>
      <w:rFonts w:ascii="Times New Roman" w:hAnsi="Times New Roman" w:eastAsia="宋体" w:cs="Times New Roman"/>
      <w:lang w:val="en-US" w:eastAsia="zh-CN" w:bidi="ar-SA"/>
    </w:rPr>
  </w:style>
  <w:style w:type="paragraph" w:customStyle="1" w:styleId="278">
    <w:name w:val="xl62"/>
    <w:basedOn w:val="1"/>
    <w:uiPriority w:val="0"/>
    <w:pPr>
      <w:widowControl/>
      <w:pBdr>
        <w:top w:val="single" w:color="auto" w:sz="8" w:space="0"/>
        <w:bottom w:val="single" w:color="auto" w:sz="8" w:space="0"/>
      </w:pBdr>
      <w:spacing w:before="100" w:beforeLines="0" w:beforeAutospacing="1" w:after="100" w:afterLines="0" w:afterAutospacing="1"/>
      <w:jc w:val="center"/>
    </w:pPr>
    <w:rPr>
      <w:rFonts w:ascii="宋体" w:hAnsi="宋体" w:cs="宋体"/>
      <w:kern w:val="0"/>
      <w:szCs w:val="21"/>
    </w:rPr>
  </w:style>
  <w:style w:type="paragraph" w:customStyle="1" w:styleId="279">
    <w:name w:val="样式 样式 标题 3 + (符号) 宋体 四号 加粗 黑色 段前: 0 磅 段后: 0 磅 行距: 固定值 22 磅 + 段前:..."/>
    <w:basedOn w:val="1"/>
    <w:uiPriority w:val="0"/>
    <w:pPr>
      <w:keepNext/>
      <w:keepLines/>
      <w:spacing w:before="156" w:beforeLines="50" w:after="156" w:afterLines="50" w:line="580" w:lineRule="exact"/>
      <w:jc w:val="left"/>
      <w:outlineLvl w:val="2"/>
    </w:pPr>
    <w:rPr>
      <w:rFonts w:ascii="宋体" w:hAnsi="宋体"/>
      <w:b/>
      <w:bCs/>
      <w:color w:val="000000"/>
      <w:kern w:val="24"/>
      <w:sz w:val="28"/>
      <w:szCs w:val="20"/>
    </w:rPr>
  </w:style>
  <w:style w:type="paragraph" w:customStyle="1" w:styleId="280">
    <w:name w:val="内文正文"/>
    <w:basedOn w:val="28"/>
    <w:uiPriority w:val="0"/>
    <w:pPr>
      <w:adjustRightInd w:val="0"/>
      <w:snapToGrid w:val="0"/>
      <w:spacing w:line="400" w:lineRule="exact"/>
      <w:ind w:firstLine="200" w:firstLineChars="200"/>
    </w:pPr>
    <w:rPr>
      <w:rFonts w:ascii="Arial" w:hAnsi="Arial" w:cs="Courier New"/>
      <w:color w:val="000000"/>
      <w:szCs w:val="21"/>
    </w:rPr>
  </w:style>
  <w:style w:type="paragraph" w:customStyle="1" w:styleId="281">
    <w:name w:val="自动更正"/>
    <w:next w:val="282"/>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282">
    <w:name w:val="xl39"/>
    <w:basedOn w:val="1"/>
    <w:uiPriority w:val="0"/>
    <w:pPr>
      <w:widowControl/>
      <w:pBdr>
        <w:top w:val="single" w:color="auto" w:sz="8" w:space="0"/>
        <w:left w:val="single" w:color="auto" w:sz="8" w:space="0"/>
        <w:bottom w:val="single" w:color="auto" w:sz="8"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283">
    <w:name w:val="Char2"/>
    <w:basedOn w:val="1"/>
    <w:uiPriority w:val="0"/>
    <w:rPr>
      <w:rFonts w:ascii="仿宋_GB2312" w:eastAsia="仿宋_GB2312"/>
      <w:b/>
      <w:sz w:val="32"/>
      <w:szCs w:val="32"/>
    </w:rPr>
  </w:style>
  <w:style w:type="paragraph" w:customStyle="1" w:styleId="284">
    <w:name w:val="_Style 16"/>
    <w:basedOn w:val="1"/>
    <w:next w:val="211"/>
    <w:uiPriority w:val="0"/>
    <w:pPr>
      <w:ind w:firstLine="420" w:firstLineChars="200"/>
    </w:pPr>
    <w:rPr>
      <w:lang w:val="zh-CN"/>
    </w:rPr>
  </w:style>
  <w:style w:type="paragraph" w:customStyle="1" w:styleId="285">
    <w:name w:val="正文首行缩进 21"/>
    <w:basedOn w:val="254"/>
    <w:qFormat/>
    <w:uiPriority w:val="0"/>
    <w:pPr>
      <w:ind w:firstLine="420"/>
    </w:pPr>
  </w:style>
  <w:style w:type="paragraph" w:customStyle="1" w:styleId="286">
    <w:name w:val="正文文字缩进 2"/>
    <w:basedOn w:val="1"/>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287">
    <w:name w:val="样式 样式 左侧:  2 字符 + 仿宋_GB2312"/>
    <w:basedOn w:val="256"/>
    <w:uiPriority w:val="0"/>
    <w:rPr>
      <w:rFonts w:ascii="仿宋_GB2312"/>
      <w:color w:val="FF0000"/>
      <w:szCs w:val="28"/>
    </w:rPr>
  </w:style>
  <w:style w:type="paragraph" w:customStyle="1" w:styleId="288">
    <w:name w:val="xl102"/>
    <w:basedOn w:val="1"/>
    <w:uiPriority w:val="0"/>
    <w:pPr>
      <w:widowControl/>
      <w:pBdr>
        <w:left w:val="single" w:color="auto" w:sz="8" w:space="0"/>
        <w:bottom w:val="single" w:color="000000" w:sz="8" w:space="0"/>
        <w:right w:val="single" w:color="auto" w:sz="8" w:space="0"/>
      </w:pBdr>
      <w:spacing w:before="100" w:beforeLines="0" w:beforeAutospacing="1" w:after="100" w:afterLines="0" w:afterAutospacing="1"/>
      <w:jc w:val="center"/>
      <w:textAlignment w:val="center"/>
    </w:pPr>
    <w:rPr>
      <w:rFonts w:ascii="宋体" w:hAnsi="宋体" w:cs="宋体"/>
      <w:kern w:val="0"/>
      <w:szCs w:val="21"/>
    </w:rPr>
  </w:style>
  <w:style w:type="paragraph" w:customStyle="1" w:styleId="289">
    <w:name w:val="xl72"/>
    <w:basedOn w:val="1"/>
    <w:uiPriority w:val="0"/>
    <w:pPr>
      <w:widowControl/>
      <w:pBdr>
        <w:top w:val="single" w:color="auto" w:sz="8" w:space="0"/>
        <w:bottom w:val="single" w:color="auto" w:sz="8" w:space="0"/>
      </w:pBdr>
      <w:spacing w:before="100" w:beforeLines="0" w:beforeAutospacing="1" w:after="100" w:afterLines="0" w:afterAutospacing="1"/>
    </w:pPr>
    <w:rPr>
      <w:rFonts w:ascii="宋体" w:hAnsi="宋体" w:cs="宋体"/>
      <w:kern w:val="0"/>
      <w:sz w:val="18"/>
      <w:szCs w:val="18"/>
    </w:rPr>
  </w:style>
  <w:style w:type="paragraph" w:customStyle="1" w:styleId="290">
    <w:name w:val="xl76"/>
    <w:basedOn w:val="1"/>
    <w:uiPriority w:val="0"/>
    <w:pPr>
      <w:widowControl/>
      <w:pBdr>
        <w:top w:val="single" w:color="auto" w:sz="8" w:space="0"/>
        <w:bottom w:val="single" w:color="auto" w:sz="8" w:space="0"/>
        <w:right w:val="single" w:color="000000" w:sz="8" w:space="0"/>
      </w:pBdr>
      <w:spacing w:before="100" w:beforeLines="0" w:beforeAutospacing="1" w:after="100" w:afterLines="0" w:afterAutospacing="1"/>
      <w:jc w:val="left"/>
    </w:pPr>
    <w:rPr>
      <w:rFonts w:ascii="宋体" w:hAnsi="宋体" w:cs="宋体"/>
      <w:kern w:val="0"/>
      <w:sz w:val="24"/>
    </w:rPr>
  </w:style>
  <w:style w:type="paragraph" w:customStyle="1" w:styleId="29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92">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3">
    <w:name w:val="Body Text Indent1"/>
    <w:basedOn w:val="1"/>
    <w:qFormat/>
    <w:uiPriority w:val="0"/>
    <w:pPr>
      <w:spacing w:line="200" w:lineRule="exact"/>
      <w:ind w:firstLine="301"/>
    </w:pPr>
    <w:rPr>
      <w:rFonts w:ascii="宋体" w:hAnsi="Courier New"/>
      <w:spacing w:val="-4"/>
      <w:sz w:val="18"/>
    </w:rPr>
  </w:style>
  <w:style w:type="paragraph" w:customStyle="1" w:styleId="294">
    <w:name w:val="标准段落"/>
    <w:basedOn w:val="1"/>
    <w:uiPriority w:val="0"/>
    <w:pPr>
      <w:topLinePunct/>
      <w:autoSpaceDE w:val="0"/>
      <w:autoSpaceDN w:val="0"/>
      <w:spacing w:line="360" w:lineRule="auto"/>
      <w:ind w:firstLine="560" w:firstLineChars="200"/>
    </w:pPr>
    <w:rPr>
      <w:rFonts w:eastAsia="仿宋_GB2312"/>
      <w:sz w:val="28"/>
      <w:lang w:bidi="th-TH"/>
    </w:rPr>
  </w:style>
  <w:style w:type="paragraph" w:customStyle="1" w:styleId="295">
    <w:name w:val="表格文字"/>
    <w:basedOn w:val="2"/>
    <w:next w:val="2"/>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296">
    <w:name w:val="xl69"/>
    <w:basedOn w:val="1"/>
    <w:uiPriority w:val="0"/>
    <w:pPr>
      <w:widowControl/>
      <w:pBdr>
        <w:bottom w:val="single" w:color="000000" w:sz="8" w:space="0"/>
        <w:right w:val="single" w:color="auto" w:sz="8" w:space="0"/>
      </w:pBdr>
      <w:spacing w:before="100" w:beforeLines="0" w:beforeAutospacing="1" w:after="100" w:afterLines="0" w:afterAutospacing="1"/>
      <w:jc w:val="center"/>
    </w:pPr>
    <w:rPr>
      <w:rFonts w:ascii="宋体" w:hAnsi="宋体" w:cs="宋体"/>
      <w:kern w:val="0"/>
      <w:sz w:val="18"/>
      <w:szCs w:val="18"/>
    </w:rPr>
  </w:style>
  <w:style w:type="paragraph" w:customStyle="1" w:styleId="297">
    <w:name w:val="Body Text First Indent 21"/>
    <w:basedOn w:val="293"/>
    <w:qFormat/>
    <w:uiPriority w:val="0"/>
    <w:pPr>
      <w:spacing w:after="120" w:line="240" w:lineRule="auto"/>
      <w:ind w:left="420" w:leftChars="200" w:firstLine="420" w:firstLineChars="200"/>
    </w:pPr>
    <w:rPr>
      <w:sz w:val="21"/>
    </w:rPr>
  </w:style>
  <w:style w:type="paragraph" w:customStyle="1" w:styleId="298">
    <w:name w:val="xl38"/>
    <w:basedOn w:val="1"/>
    <w:uiPriority w:val="0"/>
    <w:pPr>
      <w:widowControl/>
      <w:spacing w:before="100" w:beforeLines="0" w:beforeAutospacing="1" w:after="100" w:afterLines="0" w:afterAutospacing="1"/>
      <w:jc w:val="left"/>
    </w:pPr>
    <w:rPr>
      <w:rFonts w:ascii="Century Gothic" w:hAnsi="Century Gothic" w:cs="Century Gothic"/>
      <w:kern w:val="0"/>
      <w:sz w:val="18"/>
      <w:szCs w:val="18"/>
    </w:rPr>
  </w:style>
  <w:style w:type="paragraph" w:customStyle="1" w:styleId="299">
    <w:name w:val="xl84"/>
    <w:basedOn w:val="1"/>
    <w:uiPriority w:val="0"/>
    <w:pPr>
      <w:widowControl/>
      <w:pBdr>
        <w:left w:val="single" w:color="auto" w:sz="8" w:space="0"/>
        <w:bottom w:val="single" w:color="000000" w:sz="8" w:space="0"/>
        <w:right w:val="single" w:color="auto" w:sz="8" w:space="0"/>
      </w:pBdr>
      <w:spacing w:before="100" w:beforeLines="0" w:beforeAutospacing="1" w:after="100" w:afterLines="0" w:afterAutospacing="1"/>
      <w:jc w:val="center"/>
    </w:pPr>
    <w:rPr>
      <w:rFonts w:ascii="宋体" w:hAnsi="宋体" w:cs="宋体"/>
      <w:kern w:val="0"/>
      <w:szCs w:val="21"/>
    </w:rPr>
  </w:style>
  <w:style w:type="paragraph" w:customStyle="1" w:styleId="300">
    <w:name w:val="xl55"/>
    <w:basedOn w:val="1"/>
    <w:uiPriority w:val="0"/>
    <w:pPr>
      <w:widowControl/>
      <w:pBdr>
        <w:left w:val="single" w:color="auto" w:sz="8" w:space="0"/>
        <w:bottom w:val="single" w:color="000000" w:sz="8" w:space="0"/>
        <w:right w:val="single" w:color="auto" w:sz="8"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01">
    <w:name w:val="1.1.1.1"/>
    <w:basedOn w:val="1"/>
    <w:uiPriority w:val="0"/>
    <w:pPr>
      <w:tabs>
        <w:tab w:val="left" w:pos="26875"/>
      </w:tabs>
      <w:autoSpaceDE w:val="0"/>
      <w:autoSpaceDN w:val="0"/>
      <w:adjustRightInd w:val="0"/>
      <w:spacing w:before="60" w:beforeLines="0" w:after="60" w:afterLines="0" w:line="360" w:lineRule="atLeast"/>
      <w:ind w:left="1134" w:hanging="1134"/>
    </w:pPr>
    <w:rPr>
      <w:rFonts w:ascii="宋体"/>
      <w:kern w:val="0"/>
      <w:sz w:val="24"/>
      <w:szCs w:val="20"/>
    </w:rPr>
  </w:style>
  <w:style w:type="paragraph" w:customStyle="1" w:styleId="302">
    <w:name w:val="xl93"/>
    <w:basedOn w:val="1"/>
    <w:uiPriority w:val="0"/>
    <w:pPr>
      <w:widowControl/>
      <w:pBdr>
        <w:top w:val="single" w:color="auto" w:sz="8" w:space="0"/>
        <w:bottom w:val="single" w:color="auto" w:sz="8" w:space="0"/>
        <w:right w:val="single" w:color="000000" w:sz="8" w:space="0"/>
      </w:pBdr>
      <w:spacing w:before="100" w:beforeLines="0" w:beforeAutospacing="1" w:after="100" w:afterLines="0" w:afterAutospacing="1"/>
    </w:pPr>
    <w:rPr>
      <w:rFonts w:ascii="宋体" w:hAnsi="宋体" w:cs="宋体"/>
      <w:kern w:val="0"/>
      <w:szCs w:val="21"/>
    </w:rPr>
  </w:style>
  <w:style w:type="paragraph" w:customStyle="1" w:styleId="303">
    <w:name w:val="reader-word-layer reader-word-s27-6"/>
    <w:basedOn w:val="1"/>
    <w:qFormat/>
    <w:uiPriority w:val="0"/>
    <w:pPr>
      <w:widowControl/>
      <w:spacing w:before="100" w:beforeAutospacing="1" w:after="100" w:afterAutospacing="1"/>
      <w:jc w:val="left"/>
    </w:pPr>
    <w:rPr>
      <w:rFonts w:ascii="宋体" w:hAnsi="宋体" w:cs="宋体"/>
      <w:kern w:val="0"/>
      <w:sz w:val="24"/>
    </w:rPr>
  </w:style>
  <w:style w:type="paragraph" w:customStyle="1" w:styleId="304">
    <w:name w:val="正文文本 21"/>
    <w:basedOn w:val="1"/>
    <w:uiPriority w:val="0"/>
    <w:pPr>
      <w:adjustRightInd w:val="0"/>
      <w:spacing w:line="300" w:lineRule="auto"/>
      <w:jc w:val="center"/>
    </w:pPr>
    <w:rPr>
      <w:rFonts w:hint="eastAsia" w:ascii="Century Gothic" w:hAnsi="Century Gothic" w:cs="Arial"/>
      <w:sz w:val="24"/>
      <w:szCs w:val="20"/>
    </w:rPr>
  </w:style>
  <w:style w:type="paragraph" w:customStyle="1" w:styleId="305">
    <w:name w:val="xl41"/>
    <w:basedOn w:val="1"/>
    <w:uiPriority w:val="0"/>
    <w:pPr>
      <w:widowControl/>
      <w:pBdr>
        <w:top w:val="single" w:color="auto" w:sz="8" w:space="0"/>
        <w:left w:val="single" w:color="auto" w:sz="8" w:space="0"/>
        <w:right w:val="single" w:color="auto" w:sz="8"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06">
    <w:name w:val="文章正文"/>
    <w:basedOn w:val="1"/>
    <w:next w:val="1"/>
    <w:qFormat/>
    <w:uiPriority w:val="0"/>
    <w:pPr>
      <w:spacing w:line="360" w:lineRule="auto"/>
      <w:ind w:firstLine="200" w:firstLineChars="200"/>
    </w:pPr>
    <w:rPr>
      <w:rFonts w:ascii="Calibri" w:hAnsi="Calibri" w:cs="Times New Roman"/>
      <w:snapToGrid/>
      <w:sz w:val="24"/>
      <w:szCs w:val="24"/>
    </w:rPr>
  </w:style>
  <w:style w:type="paragraph" w:customStyle="1" w:styleId="307">
    <w:name w:val="xl27"/>
    <w:basedOn w:val="1"/>
    <w:uiPriority w:val="0"/>
    <w:pPr>
      <w:widowControl/>
      <w:pBdr>
        <w:bottom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36"/>
      <w:szCs w:val="36"/>
    </w:rPr>
  </w:style>
  <w:style w:type="paragraph" w:customStyle="1" w:styleId="308">
    <w:name w:val="font6"/>
    <w:basedOn w:val="1"/>
    <w:uiPriority w:val="0"/>
    <w:pPr>
      <w:widowControl/>
      <w:spacing w:before="100" w:beforeLines="0" w:beforeAutospacing="1" w:after="100" w:afterLines="0" w:afterAutospacing="1"/>
      <w:jc w:val="left"/>
    </w:pPr>
    <w:rPr>
      <w:rFonts w:ascii="Arial" w:hAnsi="Arial" w:cs="Arial"/>
      <w:kern w:val="0"/>
      <w:sz w:val="18"/>
      <w:szCs w:val="18"/>
    </w:rPr>
  </w:style>
  <w:style w:type="paragraph" w:customStyle="1" w:styleId="309">
    <w:name w:val="xl108"/>
    <w:basedOn w:val="1"/>
    <w:uiPriority w:val="0"/>
    <w:pPr>
      <w:widowControl/>
      <w:pBdr>
        <w:top w:val="single" w:color="auto" w:sz="8" w:space="0"/>
        <w:bottom w:val="single" w:color="auto" w:sz="8" w:space="0"/>
        <w:right w:val="single" w:color="000000" w:sz="8" w:space="0"/>
      </w:pBdr>
      <w:spacing w:before="100" w:beforeLines="0" w:beforeAutospacing="1" w:after="100" w:afterLines="0" w:afterAutospacing="1"/>
    </w:pPr>
    <w:rPr>
      <w:rFonts w:ascii="宋体" w:hAnsi="宋体" w:cs="宋体"/>
      <w:kern w:val="0"/>
      <w:sz w:val="24"/>
    </w:rPr>
  </w:style>
  <w:style w:type="paragraph" w:customStyle="1" w:styleId="310">
    <w:name w:val="样式 样式 标题 2 + 段后: 0.5 行 + 段后: 0.5 行"/>
    <w:basedOn w:val="1"/>
    <w:uiPriority w:val="0"/>
    <w:pPr>
      <w:keepNext/>
      <w:keepLines/>
      <w:adjustRightInd w:val="0"/>
      <w:snapToGrid w:val="0"/>
      <w:spacing w:before="156" w:beforeLines="50" w:after="156" w:afterLines="50" w:line="400" w:lineRule="exact"/>
      <w:jc w:val="center"/>
      <w:outlineLvl w:val="1"/>
    </w:pPr>
    <w:rPr>
      <w:rFonts w:ascii="Arial" w:hAnsi="Arial" w:eastAsia="黑体" w:cs="宋体"/>
      <w:sz w:val="28"/>
      <w:szCs w:val="20"/>
    </w:rPr>
  </w:style>
  <w:style w:type="paragraph" w:customStyle="1" w:styleId="311">
    <w:name w:val="msolistparagraph"/>
    <w:basedOn w:val="1"/>
    <w:uiPriority w:val="0"/>
    <w:pPr>
      <w:ind w:firstLine="420" w:firstLineChars="200"/>
    </w:pPr>
    <w:rPr>
      <w:szCs w:val="22"/>
    </w:rPr>
  </w:style>
  <w:style w:type="paragraph" w:customStyle="1" w:styleId="312">
    <w:name w:val="xl70"/>
    <w:basedOn w:val="1"/>
    <w:uiPriority w:val="0"/>
    <w:pPr>
      <w:widowControl/>
      <w:pBdr>
        <w:bottom w:val="single" w:color="auto" w:sz="8" w:space="0"/>
      </w:pBdr>
      <w:spacing w:before="100" w:beforeLines="0" w:beforeAutospacing="1" w:after="100" w:afterLines="0" w:afterAutospacing="1"/>
      <w:jc w:val="center"/>
    </w:pPr>
    <w:rPr>
      <w:rFonts w:ascii="宋体" w:hAnsi="宋体" w:cs="宋体"/>
      <w:kern w:val="0"/>
      <w:szCs w:val="21"/>
    </w:rPr>
  </w:style>
  <w:style w:type="paragraph" w:customStyle="1" w:styleId="313">
    <w:name w:val="xl36"/>
    <w:basedOn w:val="1"/>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314">
    <w:name w:val="Table Paragraph"/>
    <w:basedOn w:val="1"/>
    <w:qFormat/>
    <w:uiPriority w:val="1"/>
  </w:style>
  <w:style w:type="paragraph" w:customStyle="1" w:styleId="315">
    <w:name w:val="样式5"/>
    <w:basedOn w:val="7"/>
    <w:uiPriority w:val="0"/>
    <w:pPr>
      <w:spacing w:line="372" w:lineRule="auto"/>
      <w:jc w:val="left"/>
    </w:pPr>
    <w:rPr>
      <w:rFonts w:ascii="Century Gothic" w:hAnsi="Century Gothic" w:eastAsia="Century Gothic" w:cs="Arial"/>
      <w:sz w:val="32"/>
      <w:szCs w:val="32"/>
    </w:rPr>
  </w:style>
  <w:style w:type="paragraph" w:customStyle="1" w:styleId="316">
    <w:name w:val="xl88"/>
    <w:basedOn w:val="1"/>
    <w:uiPriority w:val="0"/>
    <w:pPr>
      <w:widowControl/>
      <w:pBdr>
        <w:top w:val="single" w:color="auto" w:sz="8" w:space="0"/>
        <w:left w:val="single" w:color="auto" w:sz="8" w:space="0"/>
        <w:bottom w:val="single" w:color="auto" w:sz="8" w:space="0"/>
      </w:pBdr>
      <w:spacing w:before="100" w:beforeLines="0" w:beforeAutospacing="1" w:after="100" w:afterLines="0" w:afterAutospacing="1"/>
      <w:jc w:val="center"/>
    </w:pPr>
    <w:rPr>
      <w:rFonts w:ascii="宋体" w:hAnsi="宋体" w:cs="宋体"/>
      <w:color w:val="FF0000"/>
      <w:kern w:val="0"/>
      <w:szCs w:val="21"/>
    </w:rPr>
  </w:style>
  <w:style w:type="paragraph" w:customStyle="1" w:styleId="317">
    <w:name w:val="Plain Text"/>
    <w:basedOn w:val="291"/>
    <w:uiPriority w:val="0"/>
    <w:pPr>
      <w:widowControl/>
      <w:jc w:val="left"/>
    </w:pPr>
    <w:rPr>
      <w:rFonts w:ascii="宋体" w:hAnsi="Courier New" w:eastAsia="宋体" w:cs="Times New Roman"/>
    </w:rPr>
  </w:style>
  <w:style w:type="paragraph" w:styleId="318">
    <w:name w:val="No Spacing"/>
    <w:basedOn w:val="1"/>
    <w:qFormat/>
    <w:uiPriority w:val="0"/>
    <w:rPr>
      <w:szCs w:val="32"/>
    </w:rPr>
  </w:style>
  <w:style w:type="paragraph" w:customStyle="1" w:styleId="319">
    <w:name w:val="Char Char Char1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320">
    <w:name w:val="样式 (符号) 宋体 二号 加粗 居中 左侧:  0.85 厘米 首行缩进:  1.56 厘米 行距: 固定值 23..."/>
    <w:basedOn w:val="1"/>
    <w:uiPriority w:val="0"/>
    <w:pPr>
      <w:spacing w:line="460" w:lineRule="exact"/>
      <w:ind w:left="480" w:firstLine="883"/>
      <w:jc w:val="center"/>
    </w:pPr>
    <w:rPr>
      <w:rFonts w:hAnsi="宋体" w:cs="宋体"/>
      <w:b/>
      <w:bCs/>
      <w:sz w:val="44"/>
      <w:szCs w:val="20"/>
    </w:rPr>
  </w:style>
  <w:style w:type="paragraph" w:customStyle="1" w:styleId="321">
    <w:name w:val="BodyText1I2"/>
    <w:basedOn w:val="1"/>
    <w:qFormat/>
    <w:uiPriority w:val="0"/>
    <w:pPr>
      <w:spacing w:after="120"/>
      <w:ind w:left="420" w:leftChars="200" w:hanging="200" w:hangingChars="200"/>
    </w:pPr>
    <w:rPr>
      <w:kern w:val="0"/>
      <w:szCs w:val="21"/>
    </w:rPr>
  </w:style>
  <w:style w:type="paragraph" w:customStyle="1" w:styleId="322">
    <w:name w:val="xl99"/>
    <w:basedOn w:val="1"/>
    <w:uiPriority w:val="0"/>
    <w:pPr>
      <w:widowControl/>
      <w:pBdr>
        <w:top w:val="single" w:color="auto" w:sz="8" w:space="0"/>
        <w:bottom w:val="single" w:color="auto" w:sz="8" w:space="0"/>
      </w:pBdr>
      <w:spacing w:before="100" w:beforeLines="0" w:beforeAutospacing="1" w:after="100" w:afterLines="0" w:afterAutospacing="1"/>
      <w:textAlignment w:val="center"/>
    </w:pPr>
    <w:rPr>
      <w:rFonts w:ascii="宋体" w:hAnsi="宋体" w:cs="宋体"/>
      <w:kern w:val="0"/>
      <w:sz w:val="24"/>
    </w:rPr>
  </w:style>
  <w:style w:type="paragraph" w:customStyle="1" w:styleId="323">
    <w:name w:val="xl53"/>
    <w:basedOn w:val="1"/>
    <w:uiPriority w:val="0"/>
    <w:pPr>
      <w:widowControl/>
      <w:pBdr>
        <w:top w:val="single" w:color="000000" w:sz="8" w:space="0"/>
        <w:bottom w:val="single" w:color="auto" w:sz="8" w:space="0"/>
        <w:right w:val="single" w:color="auto" w:sz="8"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24">
    <w:name w:val="style14"/>
    <w:basedOn w:val="1"/>
    <w:uiPriority w:val="0"/>
    <w:pPr>
      <w:widowControl/>
      <w:spacing w:before="100" w:beforeLines="0" w:beforeAutospacing="1" w:after="100" w:afterLines="0" w:afterAutospacing="1"/>
      <w:jc w:val="left"/>
    </w:pPr>
    <w:rPr>
      <w:rFonts w:ascii="Tahoma" w:hAnsi="Tahoma" w:cs="Tahoma"/>
      <w:color w:val="333333"/>
      <w:kern w:val="0"/>
      <w:szCs w:val="21"/>
    </w:rPr>
  </w:style>
  <w:style w:type="paragraph" w:customStyle="1" w:styleId="325">
    <w:name w:val="xl73"/>
    <w:basedOn w:val="1"/>
    <w:uiPriority w:val="0"/>
    <w:pPr>
      <w:widowControl/>
      <w:pBdr>
        <w:top w:val="single" w:color="auto" w:sz="8" w:space="0"/>
        <w:bottom w:val="single" w:color="auto" w:sz="8" w:space="0"/>
        <w:right w:val="single" w:color="auto" w:sz="8" w:space="0"/>
      </w:pBdr>
      <w:spacing w:before="100" w:beforeLines="0" w:beforeAutospacing="1" w:after="100" w:afterLines="0" w:afterAutospacing="1"/>
    </w:pPr>
    <w:rPr>
      <w:rFonts w:ascii="宋体" w:hAnsi="宋体" w:cs="宋体"/>
      <w:kern w:val="0"/>
      <w:sz w:val="18"/>
      <w:szCs w:val="18"/>
    </w:rPr>
  </w:style>
  <w:style w:type="paragraph" w:customStyle="1" w:styleId="326">
    <w:name w:val="xl74"/>
    <w:basedOn w:val="1"/>
    <w:uiPriority w:val="0"/>
    <w:pPr>
      <w:widowControl/>
      <w:pBdr>
        <w:top w:val="single" w:color="auto" w:sz="8" w:space="0"/>
        <w:left w:val="single" w:color="auto" w:sz="8" w:space="0"/>
        <w:bottom w:val="single" w:color="auto" w:sz="8" w:space="0"/>
      </w:pBdr>
      <w:spacing w:before="100" w:beforeLines="0" w:beforeAutospacing="1" w:after="100" w:afterLines="0" w:afterAutospacing="1"/>
    </w:pPr>
    <w:rPr>
      <w:rFonts w:ascii="宋体" w:hAnsi="宋体" w:cs="宋体"/>
      <w:kern w:val="0"/>
      <w:szCs w:val="21"/>
    </w:rPr>
  </w:style>
  <w:style w:type="paragraph" w:customStyle="1" w:styleId="327">
    <w:name w:val="xl90"/>
    <w:basedOn w:val="1"/>
    <w:uiPriority w:val="0"/>
    <w:pPr>
      <w:widowControl/>
      <w:pBdr>
        <w:top w:val="single" w:color="auto" w:sz="8" w:space="0"/>
        <w:left w:val="single" w:color="auto" w:sz="8" w:space="0"/>
        <w:right w:val="single" w:color="auto" w:sz="8" w:space="0"/>
      </w:pBdr>
      <w:spacing w:before="100" w:beforeLines="0" w:beforeAutospacing="1" w:after="100" w:afterLines="0" w:afterAutospacing="1"/>
    </w:pPr>
    <w:rPr>
      <w:rFonts w:ascii="宋体" w:hAnsi="宋体" w:cs="宋体"/>
      <w:kern w:val="0"/>
      <w:sz w:val="18"/>
      <w:szCs w:val="18"/>
    </w:rPr>
  </w:style>
  <w:style w:type="paragraph" w:customStyle="1" w:styleId="328">
    <w:name w:val="xl103"/>
    <w:basedOn w:val="1"/>
    <w:uiPriority w:val="0"/>
    <w:pPr>
      <w:widowControl/>
      <w:pBdr>
        <w:top w:val="single" w:color="auto" w:sz="8" w:space="0"/>
        <w:left w:val="single" w:color="auto" w:sz="8" w:space="0"/>
        <w:bottom w:val="single" w:color="auto" w:sz="8" w:space="0"/>
      </w:pBdr>
      <w:spacing w:before="100" w:beforeLines="0" w:beforeAutospacing="1" w:after="100" w:afterLines="0" w:afterAutospacing="1"/>
      <w:jc w:val="center"/>
    </w:pPr>
    <w:rPr>
      <w:rFonts w:ascii="宋体" w:hAnsi="宋体" w:cs="宋体"/>
      <w:kern w:val="0"/>
      <w:sz w:val="24"/>
    </w:rPr>
  </w:style>
  <w:style w:type="paragraph" w:customStyle="1" w:styleId="329">
    <w:name w:val="xl60"/>
    <w:basedOn w:val="1"/>
    <w:uiPriority w:val="0"/>
    <w:pPr>
      <w:widowControl/>
      <w:pBdr>
        <w:bottom w:val="single" w:color="auto" w:sz="8" w:space="0"/>
      </w:pBdr>
      <w:spacing w:before="100" w:beforeLines="0" w:beforeAutospacing="1" w:after="100" w:afterLines="0" w:afterAutospacing="1"/>
      <w:textAlignment w:val="center"/>
    </w:pPr>
    <w:rPr>
      <w:rFonts w:ascii="宋体" w:hAnsi="宋体" w:cs="宋体"/>
      <w:kern w:val="0"/>
      <w:sz w:val="18"/>
      <w:szCs w:val="18"/>
    </w:rPr>
  </w:style>
  <w:style w:type="paragraph" w:customStyle="1" w:styleId="330">
    <w:name w:val="题目 3"/>
    <w:next w:val="1"/>
    <w:uiPriority w:val="0"/>
    <w:pPr>
      <w:keepNext/>
      <w:outlineLvl w:val="2"/>
    </w:pPr>
    <w:rPr>
      <w:rFonts w:ascii="Helvetica" w:hAnsi="Helvetica" w:eastAsia="ヒラギノ角ゴ Pro W3" w:cs="Times New Roman"/>
      <w:b/>
      <w:color w:val="000000"/>
      <w:sz w:val="24"/>
      <w:lang w:val="en-US" w:eastAsia="zh-CN" w:bidi="ar-SA"/>
    </w:rPr>
  </w:style>
  <w:style w:type="paragraph" w:customStyle="1" w:styleId="331">
    <w:name w:val="无间隔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xl96"/>
    <w:basedOn w:val="1"/>
    <w:uiPriority w:val="0"/>
    <w:pPr>
      <w:widowControl/>
      <w:pBdr>
        <w:top w:val="single" w:color="auto" w:sz="8" w:space="0"/>
        <w:bottom w:val="single" w:color="auto" w:sz="8" w:space="0"/>
      </w:pBdr>
      <w:spacing w:before="100" w:beforeLines="0" w:beforeAutospacing="1" w:after="100" w:afterLines="0" w:afterAutospacing="1"/>
      <w:jc w:val="center"/>
      <w:textAlignment w:val="center"/>
    </w:pPr>
    <w:rPr>
      <w:rFonts w:ascii="宋体" w:hAnsi="宋体" w:cs="宋体"/>
      <w:kern w:val="0"/>
      <w:sz w:val="24"/>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w:hAnsi="Arial" w:cs="Arial"/>
      <w:kern w:val="0"/>
      <w:sz w:val="24"/>
    </w:rPr>
  </w:style>
  <w:style w:type="paragraph" w:customStyle="1" w:styleId="334">
    <w:name w:val="默认段落字体 Para Char"/>
    <w:basedOn w:val="1"/>
    <w:uiPriority w:val="0"/>
    <w:pPr>
      <w:tabs>
        <w:tab w:val="left" w:pos="454"/>
      </w:tabs>
      <w:ind w:firstLine="420"/>
    </w:pPr>
  </w:style>
  <w:style w:type="paragraph" w:customStyle="1" w:styleId="335">
    <w:name w:val="样式 标题 1 + 居中"/>
    <w:basedOn w:val="4"/>
    <w:uiPriority w:val="0"/>
    <w:pPr>
      <w:widowControl/>
      <w:spacing w:before="156" w:beforeLines="50" w:after="156" w:afterLines="50" w:line="400" w:lineRule="atLeast"/>
    </w:pPr>
    <w:rPr>
      <w:rFonts w:ascii="黑体" w:hAnsi="Arial" w:eastAsia="黑体" w:cs="宋体"/>
      <w:b w:val="0"/>
      <w:color w:val="auto"/>
      <w:kern w:val="0"/>
      <w:szCs w:val="32"/>
    </w:rPr>
  </w:style>
  <w:style w:type="paragraph" w:customStyle="1" w:styleId="336">
    <w:name w:val="xl43"/>
    <w:basedOn w:val="1"/>
    <w:uiPriority w:val="0"/>
    <w:pPr>
      <w:widowControl/>
      <w:pBdr>
        <w:top w:val="single" w:color="auto" w:sz="8" w:space="0"/>
        <w:left w:val="single" w:color="auto" w:sz="8" w:space="0"/>
        <w:bottom w:val="single" w:color="auto" w:sz="8" w:space="0"/>
      </w:pBdr>
      <w:spacing w:before="100" w:beforeLines="0" w:beforeAutospacing="1" w:after="100" w:afterLines="0" w:afterAutospacing="1"/>
      <w:textAlignment w:val="center"/>
    </w:pPr>
    <w:rPr>
      <w:rFonts w:ascii="宋体" w:hAnsi="宋体" w:cs="宋体"/>
      <w:kern w:val="0"/>
      <w:sz w:val="18"/>
      <w:szCs w:val="18"/>
    </w:rPr>
  </w:style>
  <w:style w:type="paragraph" w:customStyle="1" w:styleId="337">
    <w:name w:val="xl65"/>
    <w:basedOn w:val="1"/>
    <w:uiPriority w:val="0"/>
    <w:pPr>
      <w:widowControl/>
      <w:pBdr>
        <w:top w:val="single" w:color="000000" w:sz="8" w:space="0"/>
        <w:bottom w:val="single" w:color="auto" w:sz="8" w:space="0"/>
        <w:right w:val="single" w:color="auto" w:sz="8" w:space="0"/>
      </w:pBdr>
      <w:spacing w:before="100" w:beforeLines="0" w:beforeAutospacing="1" w:after="100" w:afterLines="0" w:afterAutospacing="1"/>
      <w:jc w:val="center"/>
    </w:pPr>
    <w:rPr>
      <w:rFonts w:ascii="宋体" w:hAnsi="宋体" w:cs="宋体"/>
      <w:kern w:val="0"/>
      <w:sz w:val="18"/>
      <w:szCs w:val="18"/>
    </w:rPr>
  </w:style>
  <w:style w:type="paragraph" w:customStyle="1" w:styleId="338">
    <w:name w:val="xl54"/>
    <w:basedOn w:val="1"/>
    <w:uiPriority w:val="0"/>
    <w:pPr>
      <w:widowControl/>
      <w:pBdr>
        <w:top w:val="single" w:color="000000" w:sz="8" w:space="0"/>
        <w:bottom w:val="single" w:color="auto" w:sz="8"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39">
    <w:name w:val="xl86"/>
    <w:basedOn w:val="1"/>
    <w:uiPriority w:val="0"/>
    <w:pPr>
      <w:widowControl/>
      <w:pBdr>
        <w:bottom w:val="single" w:color="000000" w:sz="8" w:space="0"/>
        <w:right w:val="single" w:color="auto" w:sz="8" w:space="0"/>
      </w:pBdr>
      <w:spacing w:before="100" w:beforeLines="0" w:beforeAutospacing="1" w:after="100" w:afterLines="0" w:afterAutospacing="1"/>
      <w:jc w:val="center"/>
    </w:pPr>
    <w:rPr>
      <w:rFonts w:ascii="宋体" w:hAnsi="宋体" w:cs="宋体"/>
      <w:kern w:val="0"/>
      <w:szCs w:val="21"/>
    </w:rPr>
  </w:style>
  <w:style w:type="paragraph" w:customStyle="1" w:styleId="340">
    <w:name w:val="xl77"/>
    <w:basedOn w:val="1"/>
    <w:uiPriority w:val="0"/>
    <w:pPr>
      <w:widowControl/>
      <w:pBdr>
        <w:top w:val="single" w:color="auto" w:sz="8" w:space="0"/>
        <w:bottom w:val="single" w:color="auto" w:sz="8" w:space="0"/>
        <w:right w:val="single" w:color="000000" w:sz="8" w:space="0"/>
      </w:pBdr>
      <w:spacing w:before="100" w:beforeLines="0" w:beforeAutospacing="1" w:after="100" w:afterLines="0" w:afterAutospacing="1"/>
      <w:jc w:val="center"/>
    </w:pPr>
    <w:rPr>
      <w:rFonts w:ascii="宋体" w:hAnsi="宋体" w:cs="宋体"/>
      <w:kern w:val="0"/>
      <w:szCs w:val="21"/>
    </w:rPr>
  </w:style>
  <w:style w:type="paragraph" w:customStyle="1" w:styleId="341">
    <w:name w:val="xl80"/>
    <w:basedOn w:val="1"/>
    <w:uiPriority w:val="0"/>
    <w:pPr>
      <w:widowControl/>
      <w:pBdr>
        <w:top w:val="single" w:color="auto" w:sz="8" w:space="0"/>
        <w:right w:val="single" w:color="auto" w:sz="8" w:space="0"/>
      </w:pBdr>
      <w:spacing w:before="100" w:beforeLines="0" w:beforeAutospacing="1" w:after="100" w:afterLines="0" w:afterAutospacing="1"/>
      <w:jc w:val="center"/>
    </w:pPr>
    <w:rPr>
      <w:rFonts w:ascii="宋体" w:hAnsi="宋体" w:cs="宋体"/>
      <w:kern w:val="0"/>
      <w:szCs w:val="21"/>
    </w:rPr>
  </w:style>
  <w:style w:type="paragraph" w:customStyle="1" w:styleId="342">
    <w:name w:val="xl100"/>
    <w:basedOn w:val="1"/>
    <w:uiPriority w:val="0"/>
    <w:pPr>
      <w:widowControl/>
      <w:pBdr>
        <w:top w:val="single" w:color="auto" w:sz="8" w:space="0"/>
        <w:bottom w:val="single" w:color="auto" w:sz="8" w:space="0"/>
        <w:right w:val="single" w:color="000000" w:sz="8" w:space="0"/>
      </w:pBdr>
      <w:spacing w:before="100" w:beforeLines="0" w:beforeAutospacing="1" w:after="100" w:afterLines="0" w:afterAutospacing="1"/>
      <w:textAlignment w:val="center"/>
    </w:pPr>
    <w:rPr>
      <w:rFonts w:ascii="宋体" w:hAnsi="宋体" w:cs="宋体"/>
      <w:kern w:val="0"/>
      <w:sz w:val="24"/>
    </w:rPr>
  </w:style>
  <w:style w:type="paragraph" w:customStyle="1" w:styleId="343">
    <w:name w:val="xl57"/>
    <w:basedOn w:val="1"/>
    <w:uiPriority w:val="0"/>
    <w:pPr>
      <w:widowControl/>
      <w:pBdr>
        <w:bottom w:val="single" w:color="000000" w:sz="8" w:space="0"/>
        <w:right w:val="single" w:color="auto" w:sz="8"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44">
    <w:name w:val="style42"/>
    <w:basedOn w:val="1"/>
    <w:uiPriority w:val="0"/>
    <w:pPr>
      <w:widowControl/>
      <w:spacing w:before="100" w:beforeLines="0" w:beforeAutospacing="1" w:after="100" w:afterLines="0" w:afterAutospacing="1"/>
      <w:jc w:val="left"/>
    </w:pPr>
    <w:rPr>
      <w:rFonts w:ascii="Calibri" w:hAnsi="Calibri" w:cs="Calibri"/>
      <w:kern w:val="0"/>
      <w:sz w:val="24"/>
    </w:rPr>
  </w:style>
  <w:style w:type="paragraph" w:customStyle="1" w:styleId="345">
    <w:name w:val="节"/>
    <w:basedOn w:val="5"/>
    <w:uiPriority w:val="0"/>
    <w:pPr>
      <w:spacing w:before="160" w:beforeLines="0" w:after="160" w:afterLines="0" w:line="720" w:lineRule="exact"/>
      <w:ind w:firstLine="0" w:firstLineChars="0"/>
      <w:jc w:val="center"/>
    </w:pPr>
    <w:rPr>
      <w:rFonts w:eastAsia="楷体" w:cs="Arial"/>
      <w:b w:val="0"/>
      <w:color w:val="000000"/>
      <w:spacing w:val="14"/>
      <w:kern w:val="24"/>
      <w:sz w:val="28"/>
      <w:szCs w:val="20"/>
    </w:rPr>
  </w:style>
  <w:style w:type="paragraph" w:customStyle="1" w:styleId="346">
    <w:name w:val="xl68"/>
    <w:basedOn w:val="1"/>
    <w:uiPriority w:val="0"/>
    <w:pPr>
      <w:widowControl/>
      <w:pBdr>
        <w:left w:val="single" w:color="auto" w:sz="8" w:space="0"/>
        <w:bottom w:val="single" w:color="000000" w:sz="8" w:space="0"/>
      </w:pBdr>
      <w:spacing w:before="100" w:beforeLines="0" w:beforeAutospacing="1" w:after="100" w:afterLines="0" w:afterAutospacing="1"/>
      <w:jc w:val="center"/>
    </w:pPr>
    <w:rPr>
      <w:rFonts w:ascii="宋体" w:hAnsi="宋体" w:cs="宋体"/>
      <w:kern w:val="0"/>
      <w:sz w:val="18"/>
      <w:szCs w:val="18"/>
    </w:rPr>
  </w:style>
  <w:style w:type="paragraph" w:customStyle="1" w:styleId="347">
    <w:name w:val="CM18"/>
    <w:basedOn w:val="213"/>
    <w:next w:val="213"/>
    <w:qFormat/>
    <w:uiPriority w:val="99"/>
    <w:pPr>
      <w:spacing w:after="523"/>
    </w:pPr>
    <w:rPr>
      <w:rFonts w:ascii="仿宋" w:hAnsi="Calibri" w:eastAsia="仿宋" w:cs="Times New Roman"/>
      <w:color w:val="auto"/>
    </w:rPr>
  </w:style>
  <w:style w:type="paragraph" w:customStyle="1" w:styleId="348">
    <w:name w:val="xl66"/>
    <w:basedOn w:val="1"/>
    <w:uiPriority w:val="0"/>
    <w:pPr>
      <w:widowControl/>
      <w:pBdr>
        <w:top w:val="single" w:color="auto" w:sz="8" w:space="0"/>
        <w:left w:val="single" w:color="auto" w:sz="8" w:space="0"/>
      </w:pBdr>
      <w:spacing w:before="100" w:beforeLines="0" w:beforeAutospacing="1" w:after="100" w:afterLines="0" w:afterAutospacing="1"/>
      <w:jc w:val="center"/>
    </w:pPr>
    <w:rPr>
      <w:rFonts w:ascii="宋体" w:hAnsi="宋体" w:cs="宋体"/>
      <w:kern w:val="0"/>
      <w:sz w:val="18"/>
      <w:szCs w:val="18"/>
    </w:rPr>
  </w:style>
  <w:style w:type="paragraph" w:customStyle="1" w:styleId="349">
    <w:name w:val="标书标题3"/>
    <w:basedOn w:val="6"/>
    <w:uiPriority w:val="0"/>
    <w:pPr>
      <w:keepNext/>
      <w:autoSpaceDE/>
      <w:autoSpaceDN/>
      <w:adjustRightInd w:val="0"/>
      <w:snapToGrid w:val="0"/>
      <w:spacing w:after="60" w:afterLines="0"/>
      <w:jc w:val="left"/>
    </w:pPr>
    <w:rPr>
      <w:rFonts w:eastAsia="Courier New" w:cs="Arial"/>
      <w:color w:val="000000"/>
      <w:kern w:val="0"/>
      <w:sz w:val="28"/>
      <w:szCs w:val="32"/>
    </w:rPr>
  </w:style>
  <w:style w:type="paragraph" w:customStyle="1" w:styleId="350">
    <w:name w:val="xl2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351">
    <w:name w:val="xl83"/>
    <w:basedOn w:val="1"/>
    <w:uiPriority w:val="0"/>
    <w:pPr>
      <w:widowControl/>
      <w:pBdr>
        <w:top w:val="single" w:color="000000" w:sz="8" w:space="0"/>
        <w:bottom w:val="single" w:color="auto" w:sz="8" w:space="0"/>
        <w:right w:val="single" w:color="auto" w:sz="8" w:space="0"/>
      </w:pBdr>
      <w:spacing w:before="100" w:beforeLines="0" w:beforeAutospacing="1" w:after="100" w:afterLines="0" w:afterAutospacing="1"/>
      <w:jc w:val="center"/>
    </w:pPr>
    <w:rPr>
      <w:rFonts w:ascii="宋体" w:hAnsi="宋体" w:cs="宋体"/>
      <w:kern w:val="0"/>
      <w:szCs w:val="21"/>
    </w:rPr>
  </w:style>
  <w:style w:type="paragraph" w:customStyle="1" w:styleId="352">
    <w:name w:val="正文文字2"/>
    <w:uiPriority w:val="0"/>
    <w:pPr>
      <w:adjustRightInd w:val="0"/>
      <w:spacing w:after="60" w:line="360" w:lineRule="atLeast"/>
      <w:ind w:left="72" w:leftChars="30" w:right="72" w:rightChars="30"/>
      <w:jc w:val="center"/>
      <w:textAlignment w:val="baseline"/>
    </w:pPr>
    <w:rPr>
      <w:rFonts w:ascii="Arial" w:hAnsi="Times New Roman" w:eastAsia="黑体" w:cs="Times New Roman"/>
      <w:sz w:val="21"/>
      <w:lang w:val="en-US" w:eastAsia="zh-CN" w:bidi="ar-SA"/>
    </w:rPr>
  </w:style>
  <w:style w:type="paragraph" w:customStyle="1" w:styleId="353">
    <w:name w:val="xl85"/>
    <w:basedOn w:val="1"/>
    <w:uiPriority w:val="0"/>
    <w:pPr>
      <w:widowControl/>
      <w:pBdr>
        <w:left w:val="single" w:color="auto" w:sz="8" w:space="0"/>
        <w:bottom w:val="single" w:color="000000" w:sz="8" w:space="0"/>
      </w:pBdr>
      <w:spacing w:before="100" w:beforeLines="0" w:beforeAutospacing="1" w:after="100" w:afterLines="0" w:afterAutospacing="1"/>
      <w:jc w:val="center"/>
    </w:pPr>
    <w:rPr>
      <w:rFonts w:ascii="宋体" w:hAnsi="宋体" w:cs="宋体"/>
      <w:kern w:val="0"/>
      <w:szCs w:val="21"/>
    </w:rPr>
  </w:style>
  <w:style w:type="paragraph" w:customStyle="1" w:styleId="354">
    <w:name w:val="xl48"/>
    <w:basedOn w:val="1"/>
    <w:uiPriority w:val="0"/>
    <w:pPr>
      <w:widowControl/>
      <w:pBdr>
        <w:top w:val="single" w:color="auto" w:sz="8" w:space="0"/>
        <w:right w:val="single" w:color="auto" w:sz="8"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55">
    <w:name w:val="普通(网站)2"/>
    <w:basedOn w:val="1"/>
    <w:uiPriority w:val="0"/>
    <w:pPr>
      <w:widowControl/>
      <w:spacing w:before="100" w:beforeLines="0" w:beforeAutospacing="1" w:after="100" w:afterLines="0" w:afterAutospacing="1"/>
      <w:jc w:val="left"/>
    </w:pPr>
    <w:rPr>
      <w:kern w:val="0"/>
      <w:szCs w:val="20"/>
    </w:rPr>
  </w:style>
  <w:style w:type="paragraph" w:customStyle="1" w:styleId="356">
    <w:name w:val="xl23"/>
    <w:basedOn w:val="1"/>
    <w:uiPriority w:val="0"/>
    <w:pPr>
      <w:widowControl/>
      <w:pBdr>
        <w:top w:val="single" w:color="auto" w:sz="8" w:space="0"/>
        <w:bottom w:val="single" w:color="auto" w:sz="8" w:space="0"/>
        <w:right w:val="single" w:color="auto" w:sz="8"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57">
    <w:name w:val="xl79"/>
    <w:basedOn w:val="1"/>
    <w:uiPriority w:val="0"/>
    <w:pPr>
      <w:widowControl/>
      <w:pBdr>
        <w:top w:val="single" w:color="auto" w:sz="8" w:space="0"/>
        <w:left w:val="single" w:color="auto" w:sz="8" w:space="0"/>
      </w:pBdr>
      <w:spacing w:before="100" w:beforeLines="0" w:beforeAutospacing="1" w:after="100" w:afterLines="0" w:afterAutospacing="1"/>
      <w:jc w:val="center"/>
    </w:pPr>
    <w:rPr>
      <w:rFonts w:ascii="宋体" w:hAnsi="宋体" w:cs="宋体"/>
      <w:kern w:val="0"/>
      <w:szCs w:val="21"/>
    </w:rPr>
  </w:style>
  <w:style w:type="paragraph" w:customStyle="1" w:styleId="358">
    <w:name w:val="样式 楷体_GB2312 四号 行距: 多倍行距 1.25 字行"/>
    <w:basedOn w:val="1"/>
    <w:uiPriority w:val="0"/>
    <w:pPr>
      <w:tabs>
        <w:tab w:val="left" w:pos="6384"/>
      </w:tabs>
      <w:adjustRightInd w:val="0"/>
      <w:snapToGrid w:val="0"/>
      <w:spacing w:line="324" w:lineRule="auto"/>
      <w:ind w:firstLine="650" w:firstLineChars="232"/>
    </w:pPr>
    <w:rPr>
      <w:rFonts w:eastAsia="楷体_GB2312" w:cs="宋体"/>
      <w:snapToGrid w:val="0"/>
      <w:kern w:val="0"/>
      <w:sz w:val="28"/>
      <w:szCs w:val="20"/>
    </w:rPr>
  </w:style>
  <w:style w:type="paragraph" w:customStyle="1" w:styleId="359">
    <w:name w:val="style27"/>
    <w:basedOn w:val="1"/>
    <w:uiPriority w:val="0"/>
    <w:pPr>
      <w:widowControl/>
      <w:spacing w:before="100" w:beforeLines="0" w:beforeAutospacing="1" w:after="100" w:afterLines="0" w:afterAutospacing="1"/>
      <w:jc w:val="left"/>
    </w:pPr>
    <w:rPr>
      <w:rFonts w:ascii="宋体" w:hAnsi="宋体" w:cs="宋体"/>
      <w:color w:val="FFFFFF"/>
      <w:kern w:val="0"/>
      <w:szCs w:val="21"/>
    </w:rPr>
  </w:style>
  <w:style w:type="paragraph" w:customStyle="1" w:styleId="360">
    <w:name w:val="自由格式"/>
    <w:uiPriority w:val="0"/>
    <w:rPr>
      <w:rFonts w:ascii="Helvetica" w:hAnsi="Helvetica" w:eastAsia="ヒラギノ角ゴ Pro W3" w:cs="Times New Roman"/>
      <w:color w:val="000000"/>
      <w:sz w:val="24"/>
      <w:lang w:val="en-US" w:eastAsia="zh-CN" w:bidi="ar-SA"/>
    </w:rPr>
  </w:style>
  <w:style w:type="paragraph" w:customStyle="1" w:styleId="361">
    <w:name w:val="_Style 360"/>
    <w:uiPriority w:val="0"/>
    <w:rPr>
      <w:rFonts w:ascii="Arial" w:hAnsi="Arial" w:eastAsia="宋体" w:cs="Arial"/>
      <w:kern w:val="2"/>
      <w:sz w:val="21"/>
      <w:szCs w:val="24"/>
      <w:lang w:val="en-US" w:eastAsia="zh-CN" w:bidi="ar-SA"/>
    </w:rPr>
  </w:style>
  <w:style w:type="paragraph" w:customStyle="1" w:styleId="362">
    <w:name w:val="xl50"/>
    <w:basedOn w:val="1"/>
    <w:uiPriority w:val="0"/>
    <w:pPr>
      <w:widowControl/>
      <w:pBdr>
        <w:top w:val="single" w:color="auto" w:sz="8"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63">
    <w:name w:val="Char1 Char Char Char Char Char Char"/>
    <w:basedOn w:val="1"/>
    <w:uiPriority w:val="0"/>
    <w:rPr>
      <w:rFonts w:ascii="仿宋_GB2312" w:eastAsia="仿宋_GB2312"/>
      <w:b/>
      <w:sz w:val="32"/>
      <w:szCs w:val="32"/>
    </w:rPr>
  </w:style>
  <w:style w:type="paragraph" w:customStyle="1" w:styleId="364">
    <w:name w:val="xl40"/>
    <w:basedOn w:val="1"/>
    <w:uiPriority w:val="0"/>
    <w:pPr>
      <w:widowControl/>
      <w:pBdr>
        <w:top w:val="single" w:color="auto" w:sz="8" w:space="0"/>
        <w:bottom w:val="single" w:color="auto" w:sz="8"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65">
    <w:name w:val="xl63"/>
    <w:basedOn w:val="1"/>
    <w:uiPriority w:val="0"/>
    <w:pPr>
      <w:widowControl/>
      <w:pBdr>
        <w:top w:val="single" w:color="auto" w:sz="8" w:space="0"/>
        <w:bottom w:val="single" w:color="auto" w:sz="8" w:space="0"/>
        <w:right w:val="single" w:color="auto" w:sz="8" w:space="0"/>
      </w:pBdr>
      <w:spacing w:before="100" w:beforeLines="0" w:beforeAutospacing="1" w:after="100" w:afterLines="0" w:afterAutospacing="1"/>
      <w:jc w:val="center"/>
    </w:pPr>
    <w:rPr>
      <w:rFonts w:ascii="宋体" w:hAnsi="宋体" w:cs="宋体"/>
      <w:kern w:val="0"/>
      <w:szCs w:val="21"/>
    </w:rPr>
  </w:style>
  <w:style w:type="paragraph" w:customStyle="1" w:styleId="366">
    <w:name w:val="样式 标题 1 + 四号 加粗"/>
    <w:basedOn w:val="4"/>
    <w:qFormat/>
    <w:uiPriority w:val="0"/>
    <w:pPr>
      <w:numPr>
        <w:ilvl w:val="0"/>
        <w:numId w:val="0"/>
      </w:numPr>
      <w:adjustRightInd/>
    </w:pPr>
    <w:rPr>
      <w:rFonts w:eastAsia="黑体"/>
      <w:lang w:val="en-US" w:eastAsia="en-US"/>
    </w:rPr>
  </w:style>
  <w:style w:type="paragraph" w:customStyle="1" w:styleId="367">
    <w:name w:val="xl75"/>
    <w:basedOn w:val="1"/>
    <w:uiPriority w:val="0"/>
    <w:pPr>
      <w:widowControl/>
      <w:pBdr>
        <w:top w:val="single" w:color="auto" w:sz="8" w:space="0"/>
        <w:bottom w:val="single" w:color="auto" w:sz="8" w:space="0"/>
      </w:pBdr>
      <w:spacing w:before="100" w:beforeLines="0" w:beforeAutospacing="1" w:after="100" w:afterLines="0" w:afterAutospacing="1"/>
      <w:jc w:val="left"/>
    </w:pPr>
    <w:rPr>
      <w:rFonts w:ascii="宋体" w:hAnsi="宋体" w:cs="宋体"/>
      <w:kern w:val="0"/>
      <w:sz w:val="24"/>
    </w:rPr>
  </w:style>
  <w:style w:type="paragraph" w:customStyle="1" w:styleId="368">
    <w:name w:val="索引 11"/>
    <w:basedOn w:val="1"/>
    <w:next w:val="1"/>
    <w:qFormat/>
    <w:uiPriority w:val="99"/>
    <w:pPr>
      <w:adjustRightInd/>
      <w:spacing w:line="360" w:lineRule="auto"/>
    </w:pPr>
    <w:rPr>
      <w:rFonts w:ascii="仿宋_GB2312" w:eastAsia="仿宋_GB2312"/>
      <w:sz w:val="24"/>
      <w:szCs w:val="20"/>
    </w:rPr>
  </w:style>
  <w:style w:type="paragraph" w:customStyle="1" w:styleId="369">
    <w:name w:val="font8"/>
    <w:basedOn w:val="1"/>
    <w:uiPriority w:val="0"/>
    <w:pPr>
      <w:widowControl/>
      <w:spacing w:before="100" w:beforeLines="0" w:beforeAutospacing="1" w:after="100" w:afterLines="0" w:afterAutospacing="1"/>
      <w:jc w:val="left"/>
    </w:pPr>
    <w:rPr>
      <w:rFonts w:ascii="宋体" w:hAnsi="宋体" w:cs="宋体"/>
      <w:color w:val="000000"/>
      <w:kern w:val="0"/>
      <w:szCs w:val="21"/>
    </w:rPr>
  </w:style>
  <w:style w:type="paragraph" w:customStyle="1" w:styleId="370">
    <w:name w:val="列表内容"/>
    <w:basedOn w:val="1"/>
    <w:next w:val="1"/>
    <w:uiPriority w:val="0"/>
    <w:pPr>
      <w:widowControl/>
      <w:numPr>
        <w:ilvl w:val="0"/>
        <w:numId w:val="1"/>
      </w:numPr>
      <w:ind w:firstLine="0"/>
      <w:jc w:val="left"/>
    </w:pPr>
    <w:rPr>
      <w:kern w:val="0"/>
      <w:sz w:val="18"/>
      <w:szCs w:val="20"/>
    </w:rPr>
  </w:style>
  <w:style w:type="paragraph" w:customStyle="1" w:styleId="371">
    <w:name w:val="xl42"/>
    <w:basedOn w:val="1"/>
    <w:uiPriority w:val="0"/>
    <w:pPr>
      <w:widowControl/>
      <w:pBdr>
        <w:left w:val="single" w:color="auto" w:sz="8"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72">
    <w:name w:val="xl71"/>
    <w:basedOn w:val="1"/>
    <w:uiPriority w:val="0"/>
    <w:pPr>
      <w:widowControl/>
      <w:pBdr>
        <w:top w:val="single" w:color="auto" w:sz="8" w:space="0"/>
        <w:left w:val="single" w:color="auto" w:sz="8" w:space="0"/>
        <w:bottom w:val="single" w:color="auto" w:sz="8" w:space="0"/>
      </w:pBdr>
      <w:spacing w:before="100" w:beforeLines="0" w:beforeAutospacing="1" w:after="100" w:afterLines="0" w:afterAutospacing="1"/>
    </w:pPr>
    <w:rPr>
      <w:rFonts w:ascii="宋体" w:hAnsi="宋体" w:cs="宋体"/>
      <w:kern w:val="0"/>
      <w:sz w:val="18"/>
      <w:szCs w:val="18"/>
    </w:rPr>
  </w:style>
  <w:style w:type="paragraph" w:customStyle="1" w:styleId="373">
    <w:name w:val="xl29"/>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374">
    <w:name w:val="小节"/>
    <w:basedOn w:val="6"/>
    <w:uiPriority w:val="0"/>
    <w:pPr>
      <w:keepNext/>
      <w:keepLines/>
      <w:widowControl w:val="0"/>
      <w:autoSpaceDE/>
      <w:autoSpaceDN/>
      <w:spacing w:before="200" w:beforeLines="0" w:after="200" w:afterLines="0" w:line="560" w:lineRule="exact"/>
      <w:jc w:val="left"/>
    </w:pPr>
    <w:rPr>
      <w:rFonts w:ascii="Century Gothic" w:hAnsi="Century Gothic" w:cs="Arial"/>
      <w:b/>
      <w:color w:val="000000"/>
      <w:spacing w:val="10"/>
      <w:kern w:val="24"/>
      <w:sz w:val="28"/>
      <w:szCs w:val="32"/>
    </w:rPr>
  </w:style>
  <w:style w:type="paragraph" w:customStyle="1" w:styleId="375">
    <w:name w:val="正文首行缩进2字符"/>
    <w:basedOn w:val="1"/>
    <w:qFormat/>
    <w:uiPriority w:val="0"/>
    <w:pPr>
      <w:widowControl/>
      <w:adjustRightInd w:val="0"/>
      <w:snapToGrid w:val="0"/>
    </w:pPr>
  </w:style>
  <w:style w:type="paragraph" w:customStyle="1" w:styleId="376">
    <w:name w:val="xl67"/>
    <w:basedOn w:val="1"/>
    <w:uiPriority w:val="0"/>
    <w:pPr>
      <w:widowControl/>
      <w:pBdr>
        <w:top w:val="single" w:color="auto" w:sz="8" w:space="0"/>
        <w:right w:val="single" w:color="auto" w:sz="8" w:space="0"/>
      </w:pBdr>
      <w:spacing w:before="100" w:beforeLines="0" w:beforeAutospacing="1" w:after="100" w:afterLines="0" w:afterAutospacing="1"/>
      <w:jc w:val="center"/>
    </w:pPr>
    <w:rPr>
      <w:rFonts w:ascii="宋体" w:hAnsi="宋体" w:cs="宋体"/>
      <w:kern w:val="0"/>
      <w:sz w:val="18"/>
      <w:szCs w:val="18"/>
    </w:rPr>
  </w:style>
  <w:style w:type="paragraph" w:customStyle="1" w:styleId="377">
    <w:name w:val="正文格式（宋体、12号、间距1.5）"/>
    <w:uiPriority w:val="0"/>
    <w:pPr>
      <w:widowControl w:val="0"/>
      <w:spacing w:line="360" w:lineRule="auto"/>
      <w:ind w:firstLine="496"/>
    </w:pPr>
    <w:rPr>
      <w:rFonts w:ascii="宋体" w:hAnsi="宋体" w:eastAsia="ヒラギノ角ゴ Pro W3" w:cs="Times New Roman"/>
      <w:color w:val="000000"/>
      <w:sz w:val="24"/>
      <w:lang w:val="en-US" w:eastAsia="zh-CN" w:bidi="ar-SA"/>
    </w:rPr>
  </w:style>
  <w:style w:type="paragraph" w:customStyle="1" w:styleId="378">
    <w:name w:val="xl47"/>
    <w:basedOn w:val="1"/>
    <w:uiPriority w:val="0"/>
    <w:pPr>
      <w:widowControl/>
      <w:pBdr>
        <w:top w:val="single" w:color="auto" w:sz="8" w:space="0"/>
        <w:left w:val="single" w:color="auto" w:sz="8"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79">
    <w:name w:val="1"/>
    <w:basedOn w:val="1"/>
    <w:next w:val="43"/>
    <w:uiPriority w:val="0"/>
    <w:pPr>
      <w:widowControl/>
      <w:snapToGrid w:val="0"/>
      <w:spacing w:line="440" w:lineRule="atLeast"/>
      <w:ind w:firstLine="480"/>
    </w:pPr>
    <w:rPr>
      <w:kern w:val="0"/>
      <w:sz w:val="24"/>
      <w:szCs w:val="20"/>
    </w:rPr>
  </w:style>
  <w:style w:type="paragraph" w:customStyle="1" w:styleId="380">
    <w:name w:val="Char3"/>
    <w:basedOn w:val="34"/>
    <w:next w:val="34"/>
    <w:uiPriority w:val="0"/>
    <w:pPr>
      <w:snapToGrid/>
      <w:jc w:val="right"/>
    </w:pPr>
    <w:rPr>
      <w:rFonts w:ascii="宋体" w:hAnsi="宋体"/>
      <w:b/>
      <w:sz w:val="21"/>
      <w:szCs w:val="21"/>
    </w:rPr>
  </w:style>
  <w:style w:type="paragraph" w:customStyle="1" w:styleId="381">
    <w:name w:val="Char3 Char Char Char"/>
    <w:basedOn w:val="1"/>
    <w:uiPriority w:val="0"/>
    <w:pPr>
      <w:widowControl/>
      <w:spacing w:after="160" w:afterLines="0" w:line="240" w:lineRule="exact"/>
      <w:jc w:val="left"/>
    </w:pPr>
    <w:rPr>
      <w:rFonts w:ascii="Arial" w:hAnsi="Arial" w:cs="Arial"/>
      <w:szCs w:val="20"/>
    </w:rPr>
  </w:style>
  <w:style w:type="paragraph" w:customStyle="1" w:styleId="382">
    <w:name w:val="正文缩进2"/>
    <w:basedOn w:val="1"/>
    <w:uiPriority w:val="0"/>
    <w:pPr>
      <w:snapToGrid w:val="0"/>
      <w:spacing w:line="360" w:lineRule="auto"/>
      <w:ind w:firstLine="200" w:firstLineChars="200"/>
      <w:jc w:val="left"/>
    </w:pPr>
    <w:rPr>
      <w:rFonts w:ascii="宋体" w:hAnsi="宋体"/>
      <w:kern w:val="0"/>
    </w:rPr>
  </w:style>
  <w:style w:type="paragraph" w:customStyle="1" w:styleId="383">
    <w:name w:val="xl52"/>
    <w:basedOn w:val="1"/>
    <w:uiPriority w:val="0"/>
    <w:pPr>
      <w:widowControl/>
      <w:pBdr>
        <w:top w:val="single" w:color="000000" w:sz="8" w:space="0"/>
        <w:left w:val="single" w:color="auto" w:sz="8" w:space="0"/>
        <w:bottom w:val="single" w:color="auto" w:sz="8"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84">
    <w:name w:val="xl95"/>
    <w:basedOn w:val="1"/>
    <w:uiPriority w:val="0"/>
    <w:pPr>
      <w:widowControl/>
      <w:pBdr>
        <w:top w:val="single" w:color="auto" w:sz="8" w:space="0"/>
        <w:left w:val="single" w:color="auto" w:sz="8" w:space="0"/>
        <w:bottom w:val="single" w:color="auto" w:sz="8" w:space="0"/>
      </w:pBdr>
      <w:spacing w:before="100" w:beforeLines="0" w:beforeAutospacing="1" w:after="100" w:afterLines="0" w:afterAutospacing="1"/>
      <w:jc w:val="center"/>
      <w:textAlignment w:val="center"/>
    </w:pPr>
    <w:rPr>
      <w:rFonts w:ascii="宋体" w:hAnsi="宋体" w:cs="宋体"/>
      <w:kern w:val="0"/>
      <w:sz w:val="24"/>
    </w:rPr>
  </w:style>
  <w:style w:type="paragraph" w:customStyle="1" w:styleId="385">
    <w:name w:val="xl51"/>
    <w:basedOn w:val="1"/>
    <w:uiPriority w:val="0"/>
    <w:pPr>
      <w:widowControl/>
      <w:pBdr>
        <w:bottom w:val="single" w:color="auto" w:sz="8"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86">
    <w:name w:val="xl82"/>
    <w:basedOn w:val="1"/>
    <w:uiPriority w:val="0"/>
    <w:pPr>
      <w:widowControl/>
      <w:pBdr>
        <w:top w:val="single" w:color="000000" w:sz="8" w:space="0"/>
        <w:left w:val="single" w:color="auto" w:sz="8" w:space="0"/>
        <w:bottom w:val="single" w:color="auto" w:sz="8" w:space="0"/>
      </w:pBdr>
      <w:spacing w:before="100" w:beforeLines="0" w:beforeAutospacing="1" w:after="100" w:afterLines="0" w:afterAutospacing="1"/>
      <w:jc w:val="center"/>
    </w:pPr>
    <w:rPr>
      <w:rFonts w:ascii="宋体" w:hAnsi="宋体" w:cs="宋体"/>
      <w:kern w:val="0"/>
      <w:szCs w:val="21"/>
    </w:rPr>
  </w:style>
  <w:style w:type="paragraph" w:customStyle="1" w:styleId="387">
    <w:name w:val="style43"/>
    <w:basedOn w:val="1"/>
    <w:uiPriority w:val="0"/>
    <w:pPr>
      <w:widowControl/>
      <w:spacing w:before="100" w:beforeLines="0" w:beforeAutospacing="1" w:after="100" w:afterLines="0" w:afterAutospacing="1"/>
      <w:jc w:val="left"/>
    </w:pPr>
    <w:rPr>
      <w:rFonts w:ascii="Calibri" w:hAnsi="Calibri" w:cs="Calibri"/>
      <w:color w:val="333333"/>
      <w:kern w:val="0"/>
      <w:szCs w:val="21"/>
    </w:rPr>
  </w:style>
  <w:style w:type="paragraph" w:customStyle="1" w:styleId="388">
    <w:name w:val="style40"/>
    <w:basedOn w:val="1"/>
    <w:uiPriority w:val="0"/>
    <w:pPr>
      <w:widowControl/>
      <w:spacing w:before="100" w:beforeLines="0" w:beforeAutospacing="1" w:after="100" w:afterLines="0" w:afterAutospacing="1"/>
      <w:jc w:val="left"/>
    </w:pPr>
    <w:rPr>
      <w:rFonts w:ascii="宋体" w:hAnsi="宋体" w:cs="宋体"/>
      <w:kern w:val="0"/>
      <w:szCs w:val="21"/>
    </w:rPr>
  </w:style>
  <w:style w:type="paragraph" w:customStyle="1" w:styleId="389">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390">
    <w:name w:val="HtmlNormal"/>
    <w:basedOn w:val="1"/>
    <w:uiPriority w:val="0"/>
    <w:pPr>
      <w:spacing w:before="100" w:beforeAutospacing="1" w:after="100" w:afterAutospacing="1" w:line="240" w:lineRule="auto"/>
      <w:ind w:left="0" w:right="0"/>
      <w:jc w:val="left"/>
    </w:pPr>
    <w:rPr>
      <w:rFonts w:ascii="Calibri" w:hAnsi="Calibri" w:eastAsia="宋体"/>
      <w:kern w:val="0"/>
      <w:sz w:val="24"/>
      <w:szCs w:val="24"/>
      <w:lang w:val="en-US" w:eastAsia="zh-CN"/>
    </w:rPr>
  </w:style>
  <w:style w:type="paragraph" w:customStyle="1" w:styleId="391">
    <w:name w:val="xl98"/>
    <w:basedOn w:val="1"/>
    <w:uiPriority w:val="0"/>
    <w:pPr>
      <w:widowControl/>
      <w:pBdr>
        <w:top w:val="single" w:color="auto" w:sz="8" w:space="0"/>
        <w:left w:val="single" w:color="auto" w:sz="8" w:space="0"/>
        <w:bottom w:val="single" w:color="auto" w:sz="8" w:space="0"/>
      </w:pBdr>
      <w:spacing w:before="100" w:beforeLines="0" w:beforeAutospacing="1" w:after="100" w:afterLines="0" w:afterAutospacing="1"/>
      <w:textAlignment w:val="center"/>
    </w:pPr>
    <w:rPr>
      <w:rFonts w:ascii="宋体" w:hAnsi="宋体" w:cs="宋体"/>
      <w:kern w:val="0"/>
      <w:sz w:val="24"/>
    </w:rPr>
  </w:style>
  <w:style w:type="paragraph" w:customStyle="1" w:styleId="392">
    <w:name w:val="项目-图表标题"/>
    <w:basedOn w:val="1"/>
    <w:qFormat/>
    <w:uiPriority w:val="0"/>
    <w:pPr>
      <w:spacing w:line="360" w:lineRule="auto"/>
      <w:jc w:val="center"/>
    </w:pPr>
    <w:rPr>
      <w:rFonts w:ascii="仿宋" w:hAnsi="仿宋" w:eastAsia="仿宋" w:cs="宋体"/>
      <w:b/>
      <w:kern w:val="0"/>
      <w:sz w:val="24"/>
    </w:rPr>
  </w:style>
  <w:style w:type="paragraph" w:customStyle="1" w:styleId="393">
    <w:name w:val="题目 2"/>
    <w:next w:val="1"/>
    <w:uiPriority w:val="0"/>
    <w:pPr>
      <w:keepNext/>
      <w:outlineLvl w:val="1"/>
    </w:pPr>
    <w:rPr>
      <w:rFonts w:ascii="Helvetica" w:hAnsi="Helvetica" w:eastAsia="ヒラギノ角ゴ Pro W3" w:cs="Times New Roman"/>
      <w:b/>
      <w:color w:val="000000"/>
      <w:sz w:val="24"/>
      <w:lang w:val="en-US" w:eastAsia="zh-CN" w:bidi="ar-SA"/>
    </w:rPr>
  </w:style>
  <w:style w:type="paragraph" w:customStyle="1" w:styleId="394">
    <w:name w:val="Char1 Char Char Char Char Char Char Char Char Char1"/>
    <w:basedOn w:val="1"/>
    <w:uiPriority w:val="0"/>
    <w:rPr>
      <w:rFonts w:ascii="Tahoma" w:hAnsi="Tahoma"/>
      <w:sz w:val="24"/>
      <w:szCs w:val="20"/>
    </w:rPr>
  </w:style>
  <w:style w:type="paragraph" w:customStyle="1" w:styleId="395">
    <w:name w:val="xl64"/>
    <w:basedOn w:val="1"/>
    <w:uiPriority w:val="0"/>
    <w:pPr>
      <w:widowControl/>
      <w:pBdr>
        <w:top w:val="single" w:color="000000" w:sz="8" w:space="0"/>
        <w:left w:val="single" w:color="auto" w:sz="8" w:space="0"/>
        <w:bottom w:val="single" w:color="auto" w:sz="8" w:space="0"/>
      </w:pBdr>
      <w:spacing w:before="100" w:beforeLines="0" w:beforeAutospacing="1" w:after="100" w:afterLines="0" w:afterAutospacing="1"/>
      <w:jc w:val="center"/>
    </w:pPr>
    <w:rPr>
      <w:rFonts w:ascii="宋体" w:hAnsi="宋体" w:cs="宋体"/>
      <w:kern w:val="0"/>
      <w:sz w:val="18"/>
      <w:szCs w:val="18"/>
    </w:rPr>
  </w:style>
  <w:style w:type="paragraph" w:customStyle="1" w:styleId="396">
    <w:name w:val="正文文字格式"/>
    <w:basedOn w:val="1"/>
    <w:uiPriority w:val="0"/>
    <w:pPr>
      <w:spacing w:line="460" w:lineRule="exact"/>
      <w:ind w:firstLine="505"/>
      <w:jc w:val="left"/>
    </w:pPr>
    <w:rPr>
      <w:rFonts w:ascii="Century Gothic" w:hAnsi="Arial" w:cs="Arial"/>
      <w:kern w:val="24"/>
      <w:sz w:val="24"/>
      <w:szCs w:val="20"/>
    </w:rPr>
  </w:style>
  <w:style w:type="paragraph" w:customStyle="1" w:styleId="397">
    <w:name w:val="_Style 396"/>
    <w:basedOn w:val="4"/>
    <w:next w:val="1"/>
    <w:qFormat/>
    <w:uiPriority w:val="0"/>
    <w:pPr>
      <w:spacing w:before="240" w:beforeLines="0" w:after="60" w:afterLines="0" w:line="240" w:lineRule="auto"/>
      <w:jc w:val="both"/>
      <w:outlineLvl w:val="9"/>
    </w:pPr>
    <w:rPr>
      <w:rFonts w:ascii="Cambria" w:hAnsi="Cambria"/>
      <w:bCs/>
      <w:color w:val="auto"/>
      <w:kern w:val="32"/>
      <w:szCs w:val="32"/>
    </w:rPr>
  </w:style>
  <w:style w:type="paragraph" w:customStyle="1" w:styleId="398">
    <w:name w:val="font7"/>
    <w:basedOn w:val="1"/>
    <w:uiPriority w:val="0"/>
    <w:pPr>
      <w:widowControl/>
      <w:spacing w:before="100" w:beforeLines="0" w:beforeAutospacing="1" w:after="100" w:afterLines="0" w:afterAutospacing="1"/>
      <w:jc w:val="left"/>
    </w:pPr>
    <w:rPr>
      <w:rFonts w:ascii="宋体" w:hAnsi="宋体" w:cs="宋体"/>
      <w:color w:val="000000"/>
      <w:kern w:val="0"/>
      <w:szCs w:val="21"/>
    </w:rPr>
  </w:style>
  <w:style w:type="paragraph" w:customStyle="1" w:styleId="399">
    <w:name w:val="正文段"/>
    <w:basedOn w:val="1"/>
    <w:uiPriority w:val="0"/>
    <w:pPr>
      <w:widowControl/>
      <w:snapToGrid w:val="0"/>
      <w:spacing w:after="156" w:afterLines="50"/>
      <w:ind w:firstLine="200" w:firstLineChars="200"/>
    </w:pPr>
    <w:rPr>
      <w:rFonts w:ascii="Arial" w:hAnsi="Arial" w:cs="Arial"/>
      <w:kern w:val="0"/>
      <w:sz w:val="24"/>
      <w:szCs w:val="20"/>
    </w:rPr>
  </w:style>
  <w:style w:type="paragraph" w:customStyle="1" w:styleId="400">
    <w:name w:val="Char1 Char Char Char Char Char Char Char Char Char"/>
    <w:basedOn w:val="1"/>
    <w:uiPriority w:val="0"/>
    <w:rPr>
      <w:rFonts w:ascii="Tahoma" w:hAnsi="Tahoma"/>
      <w:sz w:val="24"/>
      <w:szCs w:val="20"/>
    </w:rPr>
  </w:style>
  <w:style w:type="paragraph" w:customStyle="1" w:styleId="401">
    <w:name w:val="xl87"/>
    <w:basedOn w:val="1"/>
    <w:uiPriority w:val="0"/>
    <w:pPr>
      <w:widowControl/>
      <w:pBdr>
        <w:left w:val="single" w:color="auto" w:sz="8" w:space="0"/>
        <w:bottom w:val="single" w:color="auto" w:sz="8" w:space="0"/>
      </w:pBdr>
      <w:spacing w:before="100" w:beforeLines="0" w:beforeAutospacing="1" w:after="100" w:afterLines="0" w:afterAutospacing="1"/>
      <w:jc w:val="center"/>
    </w:pPr>
    <w:rPr>
      <w:rFonts w:ascii="宋体" w:hAnsi="宋体" w:cs="宋体"/>
      <w:kern w:val="0"/>
      <w:sz w:val="18"/>
      <w:szCs w:val="18"/>
    </w:rPr>
  </w:style>
  <w:style w:type="paragraph" w:customStyle="1" w:styleId="402">
    <w:name w:val="xl81"/>
    <w:basedOn w:val="1"/>
    <w:uiPriority w:val="0"/>
    <w:pPr>
      <w:widowControl/>
      <w:pBdr>
        <w:left w:val="single" w:color="auto" w:sz="8" w:space="0"/>
        <w:bottom w:val="single" w:color="auto" w:sz="8" w:space="0"/>
      </w:pBdr>
      <w:spacing w:before="100" w:beforeLines="0" w:beforeAutospacing="1" w:after="100" w:afterLines="0" w:afterAutospacing="1"/>
      <w:jc w:val="center"/>
    </w:pPr>
    <w:rPr>
      <w:rFonts w:ascii="宋体" w:hAnsi="宋体" w:cs="宋体"/>
      <w:kern w:val="0"/>
      <w:szCs w:val="21"/>
    </w:rPr>
  </w:style>
  <w:style w:type="paragraph" w:customStyle="1" w:styleId="403">
    <w:name w:val="Char11"/>
    <w:basedOn w:val="1"/>
    <w:uiPriority w:val="0"/>
    <w:pPr>
      <w:widowControl/>
      <w:spacing w:after="160" w:afterLines="0" w:line="240" w:lineRule="exact"/>
      <w:jc w:val="left"/>
    </w:pPr>
    <w:rPr>
      <w:rFonts w:ascii="Arial" w:hAnsi="Arial" w:cs="Arial"/>
      <w:szCs w:val="20"/>
    </w:rPr>
  </w:style>
  <w:style w:type="paragraph" w:customStyle="1" w:styleId="404">
    <w:name w:val="xl58"/>
    <w:basedOn w:val="1"/>
    <w:uiPriority w:val="0"/>
    <w:pPr>
      <w:widowControl/>
      <w:pBdr>
        <w:bottom w:val="single" w:color="000000" w:sz="8"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405">
    <w:name w:val="xl106"/>
    <w:basedOn w:val="1"/>
    <w:uiPriority w:val="0"/>
    <w:pPr>
      <w:widowControl/>
      <w:pBdr>
        <w:top w:val="single" w:color="auto" w:sz="8" w:space="0"/>
        <w:left w:val="single" w:color="auto" w:sz="8" w:space="0"/>
        <w:bottom w:val="single" w:color="auto" w:sz="8" w:space="0"/>
      </w:pBdr>
      <w:spacing w:before="100" w:beforeLines="0" w:beforeAutospacing="1" w:after="100" w:afterLines="0" w:afterAutospacing="1"/>
    </w:pPr>
    <w:rPr>
      <w:rFonts w:ascii="宋体" w:hAnsi="宋体" w:cs="宋体"/>
      <w:kern w:val="0"/>
      <w:sz w:val="24"/>
    </w:rPr>
  </w:style>
  <w:style w:type="paragraph" w:customStyle="1" w:styleId="406">
    <w:name w:val="xl45"/>
    <w:basedOn w:val="1"/>
    <w:uiPriority w:val="0"/>
    <w:pPr>
      <w:widowControl/>
      <w:pBdr>
        <w:top w:val="single" w:color="auto" w:sz="8" w:space="0"/>
        <w:bottom w:val="single" w:color="auto" w:sz="8" w:space="0"/>
        <w:right w:val="single" w:color="auto" w:sz="8" w:space="0"/>
      </w:pBdr>
      <w:spacing w:before="100" w:beforeLines="0" w:beforeAutospacing="1" w:after="100" w:afterLines="0" w:afterAutospacing="1"/>
      <w:textAlignment w:val="center"/>
    </w:pPr>
    <w:rPr>
      <w:rFonts w:ascii="宋体" w:hAnsi="宋体" w:cs="宋体"/>
      <w:kern w:val="0"/>
      <w:sz w:val="18"/>
      <w:szCs w:val="18"/>
    </w:rPr>
  </w:style>
  <w:style w:type="paragraph" w:customStyle="1" w:styleId="407">
    <w:name w:val="Blockquote"/>
    <w:basedOn w:val="1"/>
    <w:uiPriority w:val="0"/>
    <w:pPr>
      <w:autoSpaceDE w:val="0"/>
      <w:autoSpaceDN w:val="0"/>
      <w:adjustRightInd w:val="0"/>
      <w:spacing w:before="100" w:beforeLines="0" w:after="100" w:afterLines="0"/>
      <w:ind w:left="360" w:right="360"/>
      <w:jc w:val="left"/>
    </w:pPr>
    <w:rPr>
      <w:rFonts w:ascii="Arial" w:hAnsi="Arial" w:cs="Arial"/>
      <w:kern w:val="0"/>
      <w:sz w:val="24"/>
      <w:szCs w:val="20"/>
    </w:rPr>
  </w:style>
  <w:style w:type="paragraph" w:customStyle="1" w:styleId="408">
    <w:name w:val="正文文字缩进 3"/>
    <w:basedOn w:val="1"/>
    <w:uiPriority w:val="0"/>
    <w:pPr>
      <w:widowControl/>
      <w:spacing w:before="119" w:beforeLines="0" w:line="272" w:lineRule="atLeast"/>
      <w:ind w:left="719" w:firstLine="481"/>
      <w:jc w:val="left"/>
      <w:textAlignment w:val="baseline"/>
    </w:pPr>
    <w:rPr>
      <w:rFonts w:ascii="宋体"/>
      <w:color w:val="000000"/>
      <w:kern w:val="0"/>
      <w:sz w:val="24"/>
      <w:szCs w:val="20"/>
      <w:u w:val="none" w:color="000000"/>
    </w:rPr>
  </w:style>
  <w:style w:type="paragraph" w:customStyle="1" w:styleId="409">
    <w:name w:val="xl61"/>
    <w:basedOn w:val="1"/>
    <w:uiPriority w:val="0"/>
    <w:pPr>
      <w:widowControl/>
      <w:pBdr>
        <w:bottom w:val="single" w:color="auto" w:sz="8" w:space="0"/>
        <w:right w:val="single" w:color="auto" w:sz="8" w:space="0"/>
      </w:pBdr>
      <w:spacing w:before="100" w:beforeLines="0" w:beforeAutospacing="1" w:after="100" w:afterLines="0" w:afterAutospacing="1"/>
      <w:textAlignment w:val="center"/>
    </w:pPr>
    <w:rPr>
      <w:rFonts w:ascii="宋体" w:hAnsi="宋体" w:cs="宋体"/>
      <w:kern w:val="0"/>
      <w:sz w:val="18"/>
      <w:szCs w:val="18"/>
    </w:rPr>
  </w:style>
  <w:style w:type="paragraph" w:customStyle="1" w:styleId="410">
    <w:name w:val="普通(网站)1"/>
    <w:basedOn w:val="1"/>
    <w:uiPriority w:val="0"/>
    <w:pPr>
      <w:widowControl/>
      <w:jc w:val="left"/>
    </w:pPr>
    <w:rPr>
      <w:rFonts w:ascii="ˎ̥" w:hAnsi="ˎ̥" w:cs="宋体"/>
      <w:color w:val="000000"/>
      <w:kern w:val="0"/>
      <w:sz w:val="13"/>
      <w:szCs w:val="13"/>
    </w:rPr>
  </w:style>
  <w:style w:type="paragraph" w:customStyle="1" w:styleId="411">
    <w:name w:val="Char1 Char Char Char"/>
    <w:basedOn w:val="1"/>
    <w:uiPriority w:val="0"/>
    <w:rPr>
      <w:szCs w:val="20"/>
    </w:rPr>
  </w:style>
  <w:style w:type="paragraph" w:customStyle="1" w:styleId="412">
    <w:name w:val="xl89"/>
    <w:basedOn w:val="1"/>
    <w:uiPriority w:val="0"/>
    <w:pPr>
      <w:widowControl/>
      <w:pBdr>
        <w:top w:val="single" w:color="auto" w:sz="8" w:space="0"/>
        <w:bottom w:val="single" w:color="auto" w:sz="8" w:space="0"/>
        <w:right w:val="single" w:color="auto" w:sz="8" w:space="0"/>
      </w:pBdr>
      <w:spacing w:before="100" w:beforeLines="0" w:beforeAutospacing="1" w:after="100" w:afterLines="0" w:afterAutospacing="1"/>
      <w:jc w:val="center"/>
    </w:pPr>
    <w:rPr>
      <w:rFonts w:ascii="宋体" w:hAnsi="宋体" w:cs="宋体"/>
      <w:color w:val="FF0000"/>
      <w:kern w:val="0"/>
      <w:szCs w:val="21"/>
    </w:rPr>
  </w:style>
  <w:style w:type="paragraph" w:customStyle="1" w:styleId="413">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paragraph" w:customStyle="1" w:styleId="414">
    <w:name w:val="Normal Indent1"/>
    <w:basedOn w:val="1"/>
    <w:qFormat/>
    <w:uiPriority w:val="0"/>
    <w:pPr>
      <w:ind w:firstLine="420" w:firstLineChars="200"/>
    </w:pPr>
  </w:style>
  <w:style w:type="paragraph" w:customStyle="1" w:styleId="415">
    <w:name w:val="正文内容"/>
    <w:basedOn w:val="1"/>
    <w:uiPriority w:val="0"/>
    <w:pPr>
      <w:spacing w:before="100" w:beforeLines="0" w:beforeAutospacing="1" w:after="100" w:afterLines="0" w:afterAutospacing="1"/>
      <w:ind w:right="240" w:firstLine="42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144" textRotate="1"/>
    <customShpInfo spid="_x0000_s4145" textRotate="1"/>
    <customShpInfo spid="_x0000_s4151" textRotate="1"/>
    <customShpInfo spid="_x0000_s4158" textRotate="1"/>
    <customShpInfo spid="_x0000_s4160" textRotate="1"/>
    <customShpInfo spid="_x0000_s4159" textRotate="1"/>
    <customShpInfo spid="_x0000_s416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27195</Words>
  <Characters>28829</Characters>
  <Lines>288</Lines>
  <Paragraphs>81</Paragraphs>
  <TotalTime>26</TotalTime>
  <ScaleCrop>false</ScaleCrop>
  <LinksUpToDate>false</LinksUpToDate>
  <CharactersWithSpaces>29496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2020-04-01T06:56:00Z</dcterms:created>
  <dc:creator>wangyu</dc:creator>
  <cp:lastModifiedBy>YANG</cp:lastModifiedBy>
  <cp:lastPrinted>2020-04-28T01:52:00Z</cp:lastPrinted>
  <dcterms:modified xsi:type="dcterms:W3CDTF">2025-07-11T01:18:01Z</dcterms:modified>
  <dc:title>中标通知书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A6DC6FE947774109A6E5BB1730D83960_13</vt:lpwstr>
  </property>
  <property fmtid="{D5CDD505-2E9C-101B-9397-08002B2CF9AE}" pid="4" name="KSOTemplateDocerSaveRecord">
    <vt:lpwstr>eyJoZGlkIjoiZTUyZWU5YmY3MzE2NDY5ZTk4OTViMTFmZDZmZTY2OWIiLCJ1c2VySWQiOiIzMjk1OTE3MDUifQ==</vt:lpwstr>
  </property>
</Properties>
</file>