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绍兴市中医院蔬菜、水果、米面制品、豆制品类采购（配送服务）项目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5"/>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TYJZ2025050</w:t>
      </w:r>
    </w:p>
    <w:tbl>
      <w:tblPr>
        <w:tblStyle w:val="65"/>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绍兴市中医院蔬菜、水果、米面制品、豆制品类采购（配送服务）项目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9"/>
          <w:rFonts w:hint="eastAsia" w:ascii="仿宋_GB2312" w:hAnsi="仿宋_GB2312" w:eastAsia="仿宋_GB2312" w:cs="仿宋_GB2312"/>
          <w:snapToGrid/>
          <w:color w:val="auto"/>
          <w:kern w:val="2"/>
          <w:sz w:val="24"/>
          <w:szCs w:val="24"/>
          <w:highlight w:val="none"/>
        </w:rPr>
        <w:t>https://www.zcygov.cn/）获取（下载）招标文件，并于202</w:t>
      </w:r>
      <w:r>
        <w:rPr>
          <w:rStyle w:val="79"/>
          <w:rFonts w:hint="eastAsia" w:ascii="仿宋_GB2312" w:hAnsi="仿宋_GB2312" w:eastAsia="仿宋_GB2312" w:cs="仿宋_GB2312"/>
          <w:snapToGrid/>
          <w:color w:val="auto"/>
          <w:kern w:val="2"/>
          <w:sz w:val="24"/>
          <w:szCs w:val="24"/>
          <w:highlight w:val="none"/>
          <w:lang w:val="en-US" w:eastAsia="zh-CN"/>
        </w:rPr>
        <w:t>5</w:t>
      </w:r>
      <w:r>
        <w:rPr>
          <w:rStyle w:val="79"/>
          <w:rFonts w:hint="eastAsia" w:ascii="仿宋_GB2312" w:hAnsi="仿宋_GB2312" w:eastAsia="仿宋_GB2312" w:cs="仿宋_GB2312"/>
          <w:snapToGrid/>
          <w:color w:val="auto"/>
          <w:kern w:val="2"/>
          <w:sz w:val="24"/>
          <w:szCs w:val="24"/>
          <w:highlight w:val="none"/>
        </w:rPr>
        <w:t>年</w:t>
      </w:r>
      <w:r>
        <w:rPr>
          <w:rStyle w:val="79"/>
          <w:rFonts w:hint="eastAsia" w:ascii="仿宋_GB2312" w:hAnsi="仿宋_GB2312" w:eastAsia="仿宋_GB2312" w:cs="仿宋_GB2312"/>
          <w:snapToGrid/>
          <w:color w:val="auto"/>
          <w:kern w:val="2"/>
          <w:sz w:val="24"/>
          <w:szCs w:val="24"/>
          <w:highlight w:val="none"/>
          <w:lang w:val="en-US" w:eastAsia="zh-CN"/>
        </w:rPr>
        <w:t>07</w:t>
      </w:r>
      <w:r>
        <w:rPr>
          <w:rStyle w:val="79"/>
          <w:rFonts w:hint="eastAsia" w:ascii="仿宋_GB2312" w:hAnsi="仿宋_GB2312" w:eastAsia="仿宋_GB2312" w:cs="仿宋_GB2312"/>
          <w:snapToGrid/>
          <w:color w:val="auto"/>
          <w:kern w:val="2"/>
          <w:sz w:val="24"/>
          <w:szCs w:val="24"/>
          <w:highlight w:val="none"/>
        </w:rPr>
        <w:t>月</w:t>
      </w:r>
      <w:r>
        <w:rPr>
          <w:rStyle w:val="79"/>
          <w:rFonts w:hint="eastAsia" w:ascii="仿宋_GB2312" w:hAnsi="仿宋_GB2312" w:eastAsia="仿宋_GB2312" w:cs="仿宋_GB2312"/>
          <w:snapToGrid/>
          <w:color w:val="auto"/>
          <w:kern w:val="2"/>
          <w:sz w:val="24"/>
          <w:szCs w:val="24"/>
          <w:highlight w:val="none"/>
          <w:lang w:val="en-US" w:eastAsia="zh-CN"/>
        </w:rPr>
        <w:t>29</w:t>
      </w:r>
      <w:r>
        <w:rPr>
          <w:rStyle w:val="79"/>
          <w:rFonts w:hint="eastAsia" w:ascii="仿宋_GB2312" w:hAnsi="仿宋_GB2312" w:eastAsia="仿宋_GB2312" w:cs="仿宋_GB2312"/>
          <w:snapToGrid/>
          <w:color w:val="auto"/>
          <w:kern w:val="2"/>
          <w:sz w:val="24"/>
          <w:szCs w:val="24"/>
          <w:highlight w:val="none"/>
        </w:rPr>
        <w:t>日</w:t>
      </w:r>
      <w:r>
        <w:rPr>
          <w:rStyle w:val="79"/>
          <w:rFonts w:hint="eastAsia" w:ascii="仿宋_GB2312" w:hAnsi="仿宋_GB2312" w:eastAsia="仿宋_GB2312" w:cs="仿宋_GB2312"/>
          <w:snapToGrid/>
          <w:color w:val="auto"/>
          <w:kern w:val="2"/>
          <w:sz w:val="24"/>
          <w:szCs w:val="24"/>
          <w:highlight w:val="none"/>
          <w:lang w:val="en-US" w:eastAsia="zh-CN"/>
        </w:rPr>
        <w:t>09</w:t>
      </w:r>
      <w:r>
        <w:rPr>
          <w:rStyle w:val="79"/>
          <w:rFonts w:hint="eastAsia" w:ascii="仿宋_GB2312" w:hAnsi="仿宋_GB2312" w:eastAsia="仿宋_GB2312" w:cs="仿宋_GB2312"/>
          <w:snapToGrid/>
          <w:color w:val="auto"/>
          <w:kern w:val="2"/>
          <w:sz w:val="24"/>
          <w:szCs w:val="24"/>
          <w:highlight w:val="none"/>
        </w:rPr>
        <w:t>点</w:t>
      </w:r>
      <w:r>
        <w:rPr>
          <w:rStyle w:val="79"/>
          <w:rFonts w:hint="eastAsia" w:ascii="仿宋_GB2312" w:hAnsi="仿宋_GB2312" w:eastAsia="仿宋_GB2312" w:cs="仿宋_GB2312"/>
          <w:snapToGrid/>
          <w:color w:val="auto"/>
          <w:kern w:val="2"/>
          <w:sz w:val="24"/>
          <w:szCs w:val="24"/>
          <w:highlight w:val="none"/>
          <w:lang w:val="en-US" w:eastAsia="zh-CN"/>
        </w:rPr>
        <w:t>30</w:t>
      </w:r>
      <w:r>
        <w:rPr>
          <w:rStyle w:val="79"/>
          <w:rFonts w:hint="eastAsia" w:ascii="仿宋_GB2312" w:hAnsi="仿宋_GB2312" w:eastAsia="仿宋_GB2312" w:cs="仿宋_GB2312"/>
          <w:snapToGrid/>
          <w:color w:val="auto"/>
          <w:kern w:val="2"/>
          <w:sz w:val="24"/>
          <w:szCs w:val="24"/>
          <w:highlight w:val="none"/>
        </w:rPr>
        <w:t>分</w:t>
      </w:r>
      <w:r>
        <w:rPr>
          <w:rStyle w:val="79"/>
          <w:rFonts w:hint="eastAsia" w:ascii="仿宋_GB2312" w:hAnsi="仿宋_GB2312" w:eastAsia="仿宋_GB2312" w:cs="仿宋_GB2312"/>
          <w:bCs/>
          <w:snapToGrid/>
          <w:color w:val="auto"/>
          <w:kern w:val="2"/>
          <w:sz w:val="24"/>
          <w:szCs w:val="24"/>
          <w:highlight w:val="none"/>
        </w:rPr>
        <w:t>00秒</w:t>
      </w:r>
      <w:r>
        <w:rPr>
          <w:rStyle w:val="79"/>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TYJZ2025050</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绍兴市中医院蔬菜、水果、米面制品、豆制品类采购（配送服务）项目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3100000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3100000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标项名称：蔬菜、水果、米面制品、豆制品类采购（配送服务）项目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3100000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28359019"/>
      <w:bookmarkStart w:id="7" w:name="_Toc35393637"/>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35393808"/>
      <w:bookmarkStart w:id="15" w:name="_Toc35393639"/>
      <w:bookmarkStart w:id="16" w:name="_Toc28359021"/>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highlight w:val="none"/>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w:t>
            </w:r>
            <w:r>
              <w:rPr>
                <w:rFonts w:hint="eastAsia" w:ascii="仿宋" w:hAnsi="仿宋" w:eastAsia="仿宋" w:cs="仿宋"/>
                <w:snapToGrid w:val="0"/>
                <w:color w:val="auto"/>
                <w:kern w:val="28"/>
                <w:sz w:val="24"/>
                <w:highlight w:val="none"/>
                <w:lang w:eastAsia="zh-CN"/>
              </w:rPr>
              <w:t>3100000</w:t>
            </w:r>
            <w:r>
              <w:rPr>
                <w:rFonts w:hint="eastAsia" w:ascii="仿宋" w:hAnsi="仿宋" w:eastAsia="仿宋" w:cs="仿宋"/>
                <w:snapToGrid w:val="0"/>
                <w:color w:val="auto"/>
                <w:kern w:val="28"/>
                <w:sz w:val="24"/>
                <w:highlight w:val="none"/>
              </w:rPr>
              <w:t>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14665"/>
      <w:bookmarkEnd w:id="20"/>
      <w:bookmarkStart w:id="21" w:name="_Hlt68073093"/>
      <w:bookmarkEnd w:id="21"/>
      <w:bookmarkStart w:id="22" w:name="_Hlt68403820"/>
      <w:bookmarkEnd w:id="22"/>
      <w:bookmarkStart w:id="23" w:name="_Hlt68057669"/>
      <w:bookmarkEnd w:id="23"/>
      <w:bookmarkStart w:id="24" w:name="_Hlt75236011"/>
      <w:bookmarkEnd w:id="24"/>
      <w:bookmarkStart w:id="25" w:name="_Hlt68072990"/>
      <w:bookmarkEnd w:id="25"/>
      <w:bookmarkStart w:id="26" w:name="_Hlt74729768"/>
      <w:bookmarkEnd w:id="26"/>
      <w:bookmarkStart w:id="27" w:name="_Hlt75236290"/>
      <w:bookmarkEnd w:id="27"/>
      <w:bookmarkStart w:id="28" w:name="_Hlt74707468"/>
      <w:bookmarkEnd w:id="28"/>
      <w:bookmarkStart w:id="29" w:name="_Hlt74730295"/>
      <w:bookmarkEnd w:id="29"/>
      <w:bookmarkStart w:id="30" w:name="_Hlt68072998"/>
      <w:bookmarkEnd w:id="30"/>
      <w:bookmarkStart w:id="31" w:name="_Hlt75236101"/>
      <w:bookmarkEnd w:id="31"/>
      <w:bookmarkStart w:id="32" w:name="_Toc81372776"/>
      <w:bookmarkStart w:id="33" w:name="_Toc81372953"/>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7206"/>
      <w:bookmarkStart w:id="40" w:name="_Toc32678"/>
      <w:r>
        <w:rPr>
          <w:rFonts w:hint="eastAsia" w:ascii="仿宋_GB2312" w:hAnsi="仿宋_GB2312" w:eastAsia="仿宋_GB2312" w:cs="仿宋_GB2312"/>
          <w:b/>
          <w:bCs/>
          <w:color w:val="auto"/>
          <w:sz w:val="24"/>
          <w:szCs w:val="24"/>
          <w:highlight w:val="none"/>
          <w:lang w:eastAsia="zh-CN"/>
        </w:rPr>
        <w:t>蔬菜、水果、米面制品、豆制品类采购（配送服务）项目，</w:t>
      </w:r>
      <w:r>
        <w:rPr>
          <w:rFonts w:hint="eastAsia" w:ascii="仿宋_GB2312" w:hAnsi="仿宋_GB2312" w:eastAsia="仿宋_GB2312" w:cs="仿宋_GB2312"/>
          <w:b/>
          <w:bCs/>
          <w:color w:val="auto"/>
          <w:sz w:val="24"/>
          <w:szCs w:val="24"/>
          <w:highlight w:val="none"/>
          <w:lang w:val="en-US" w:eastAsia="zh-CN"/>
        </w:rPr>
        <w:t>上限价为310万/2年。</w:t>
      </w:r>
    </w:p>
    <w:p w14:paraId="7CCB2A56">
      <w:pPr>
        <w:numPr>
          <w:ilvl w:val="0"/>
          <w:numId w:val="0"/>
        </w:numPr>
        <w:tabs>
          <w:tab w:val="left" w:pos="0"/>
        </w:tabs>
        <w:spacing w:before="120" w:after="120" w:line="360" w:lineRule="auto"/>
        <w:ind w:right="0" w:rightChars="0"/>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主要技术参数要求</w:t>
      </w:r>
      <w:r>
        <w:rPr>
          <w:rFonts w:hint="eastAsia" w:ascii="仿宋" w:hAnsi="仿宋" w:eastAsia="仿宋" w:cs="仿宋"/>
          <w:b/>
          <w:bCs w:val="0"/>
          <w:color w:val="auto"/>
          <w:sz w:val="21"/>
          <w:szCs w:val="21"/>
          <w:highlight w:val="none"/>
          <w:lang w:eastAsia="zh-CN"/>
        </w:rPr>
        <w:t>：</w:t>
      </w:r>
    </w:p>
    <w:p w14:paraId="06DED674">
      <w:pPr>
        <w:numPr>
          <w:ilvl w:val="0"/>
          <w:numId w:val="1"/>
        </w:numPr>
        <w:spacing w:line="336" w:lineRule="auto"/>
        <w:rPr>
          <w:rFonts w:hint="eastAsia" w:ascii="仿宋" w:hAnsi="仿宋" w:eastAsia="仿宋" w:cs="仿宋"/>
          <w:highlight w:val="none"/>
          <w:lang w:eastAsia="zh-CN"/>
        </w:rPr>
      </w:pPr>
      <w:r>
        <w:rPr>
          <w:rFonts w:hint="eastAsia" w:ascii="仿宋" w:hAnsi="仿宋" w:eastAsia="仿宋" w:cs="仿宋"/>
          <w:bCs/>
          <w:color w:val="000000"/>
          <w:sz w:val="24"/>
          <w:highlight w:val="none"/>
        </w:rPr>
        <w:t>基本要求：</w:t>
      </w:r>
    </w:p>
    <w:p w14:paraId="5C35DAD7">
      <w:pPr>
        <w:numPr>
          <w:ilvl w:val="0"/>
          <w:numId w:val="2"/>
        </w:numPr>
        <w:snapToGrid w:val="0"/>
        <w:spacing w:line="360" w:lineRule="auto"/>
        <w:rPr>
          <w:rFonts w:hint="eastAsia" w:ascii="仿宋" w:hAnsi="仿宋" w:eastAsia="仿宋" w:cs="仿宋"/>
          <w:highlight w:val="none"/>
        </w:rPr>
      </w:pPr>
      <w:r>
        <w:rPr>
          <w:rFonts w:hint="eastAsia" w:ascii="仿宋" w:hAnsi="仿宋" w:eastAsia="仿宋" w:cs="仿宋"/>
          <w:sz w:val="24"/>
          <w:highlight w:val="none"/>
        </w:rPr>
        <w:t>蔬菜类必须新鲜、色泽良好、成熟度适中、形态正常、个体均匀外观清洁、完整、去皮、净重（去包装或保护层）、无腐烂、无霉变、无异味，无枯萎黄叶,小青菜要求装框，符合国家质量标准、</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"https://www.baidu.com/s?sa=re_dqa_generate&amp;wd=GB 2763-2021%E3%80%8A%E9%A3%9F%E5%93%81%E5%AE%89%E5%85%A8%E5%9B%BD%E5%AE%B6%E6%A0%87%E5%87%86 %E9%A3%9F%E5%93%81%E4%B8%AD%E5%86%9C%E8%8D%AF%E6%9C%80%E5%A4%A7%E6%AE%8B%E7%95%99%E9%99%90%E9%87%8F%E3%80%8B&amp;rsv_pq=bb233c95000299f4&amp;oq=%E9%9D%92%E8%8F%9C%E5%86%9C%E8%8D%AF%E6%AE%8B%E7%95%99%E5%9B%BD%E6%A0%87&amp;rsv_t=6439y0Fb0GTIsCg9fs00GHY5j7SrAtW8iIFFvR6d5CLbQ/APZpkusjdPmlROGUV+C0yTsA&amp;tn=15007414_1_dg&amp;ie=utf-8" \t "https://www.baidu.com/_blank"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GB 2763-2021《食品安全国家标准 食品中农药最大残留限量》</w:t>
      </w:r>
      <w:r>
        <w:rPr>
          <w:rFonts w:hint="eastAsia" w:ascii="仿宋" w:hAnsi="仿宋" w:eastAsia="仿宋" w:cs="仿宋"/>
          <w:sz w:val="24"/>
          <w:highlight w:val="none"/>
        </w:rPr>
        <w:fldChar w:fldCharType="end"/>
      </w:r>
      <w:r>
        <w:rPr>
          <w:rFonts w:hint="eastAsia" w:ascii="仿宋" w:hAnsi="仿宋" w:eastAsia="仿宋" w:cs="仿宋"/>
          <w:sz w:val="24"/>
          <w:highlight w:val="none"/>
        </w:rPr>
        <w:t>，具有一定规模的蔬菜定点种植基地或有稳定的供菜基地证明等；具有履行合同所必须的独立的仓储场所；具备农药残留检测设备（有专人负责），每次配送提供相关产品的检验合格报告。</w:t>
      </w:r>
    </w:p>
    <w:p w14:paraId="085B74DE">
      <w:pPr>
        <w:pStyle w:val="4"/>
        <w:numPr>
          <w:ilvl w:val="0"/>
          <w:numId w:val="2"/>
        </w:numPr>
        <w:spacing w:before="0" w:after="0" w:line="360" w:lineRule="auto"/>
        <w:ind w:left="0" w:firstLine="0"/>
        <w:rPr>
          <w:rFonts w:hint="eastAsia" w:ascii="仿宋" w:hAnsi="仿宋" w:eastAsia="仿宋" w:cs="仿宋"/>
          <w:b w:val="0"/>
          <w:kern w:val="2"/>
          <w:sz w:val="24"/>
          <w:szCs w:val="24"/>
          <w:highlight w:val="none"/>
        </w:rPr>
      </w:pPr>
      <w:r>
        <w:rPr>
          <w:rFonts w:hint="eastAsia" w:ascii="仿宋" w:hAnsi="仿宋" w:eastAsia="仿宋" w:cs="仿宋"/>
          <w:b w:val="0"/>
          <w:kern w:val="2"/>
          <w:sz w:val="24"/>
          <w:szCs w:val="24"/>
          <w:highlight w:val="none"/>
        </w:rPr>
        <w:t>水果大体匀称，需保证新鲜、丰满、无变质，成熟度适中，农药残留量不得超过国家相关规定，符合食品卫生标准。</w:t>
      </w:r>
    </w:p>
    <w:p w14:paraId="67B9AF0A">
      <w:pPr>
        <w:spacing w:line="336" w:lineRule="auto"/>
        <w:rPr>
          <w:rFonts w:hint="eastAsia" w:ascii="仿宋" w:hAnsi="仿宋" w:eastAsia="仿宋" w:cs="仿宋"/>
          <w:bCs/>
          <w:color w:val="000000"/>
          <w:sz w:val="24"/>
          <w:highlight w:val="none"/>
        </w:rPr>
      </w:pPr>
      <w:r>
        <w:rPr>
          <w:rFonts w:hint="eastAsia" w:ascii="仿宋" w:hAnsi="仿宋" w:eastAsia="仿宋" w:cs="仿宋"/>
          <w:sz w:val="24"/>
          <w:highlight w:val="none"/>
        </w:rPr>
        <w:t>3、米面制品、豆制品</w:t>
      </w:r>
      <w:r>
        <w:rPr>
          <w:rFonts w:hint="eastAsia" w:ascii="仿宋" w:hAnsi="仿宋" w:eastAsia="仿宋" w:cs="仿宋"/>
          <w:bCs/>
          <w:color w:val="000000"/>
          <w:sz w:val="24"/>
          <w:highlight w:val="none"/>
        </w:rPr>
        <w:t>必须具有SC食品生产许可证，有产品合格证,包装上有生产日期、保质期、净重等标识。</w:t>
      </w:r>
      <w:r>
        <w:rPr>
          <w:rFonts w:hint="eastAsia" w:ascii="仿宋" w:hAnsi="仿宋" w:eastAsia="仿宋" w:cs="仿宋"/>
          <w:sz w:val="24"/>
          <w:highlight w:val="none"/>
        </w:rPr>
        <w:t>豆制品</w:t>
      </w:r>
      <w:r>
        <w:rPr>
          <w:rFonts w:hint="eastAsia" w:ascii="仿宋" w:hAnsi="仿宋" w:eastAsia="仿宋" w:cs="仿宋"/>
          <w:bCs/>
          <w:color w:val="000000"/>
          <w:sz w:val="24"/>
          <w:highlight w:val="none"/>
        </w:rPr>
        <w:t>必须为正规厂家生产的产品。产品在常温下交货时的剩余保质期不得超出生产厂商标注保质期限的三分之二时间。</w:t>
      </w:r>
    </w:p>
    <w:p w14:paraId="3C582808">
      <w:pPr>
        <w:snapToGrid w:val="0"/>
        <w:spacing w:line="360" w:lineRule="auto"/>
        <w:rPr>
          <w:rFonts w:hint="eastAsia" w:ascii="仿宋" w:hAnsi="仿宋" w:eastAsia="仿宋" w:cs="仿宋"/>
          <w:color w:val="000000"/>
          <w:sz w:val="24"/>
          <w:highlight w:val="none"/>
        </w:rPr>
      </w:pPr>
      <w:r>
        <w:rPr>
          <w:rFonts w:hint="eastAsia" w:ascii="仿宋" w:hAnsi="仿宋" w:eastAsia="仿宋" w:cs="仿宋"/>
          <w:sz w:val="24"/>
          <w:highlight w:val="none"/>
        </w:rPr>
        <w:t>4、签订合同前完成食品安全责任险投保工作（一次事故累计限额赔付金额1000万元）。</w:t>
      </w:r>
    </w:p>
    <w:p w14:paraId="61732D8A">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（二）配送服务要求</w:t>
      </w:r>
    </w:p>
    <w:p w14:paraId="7E0B8FC8">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lang w:val="en-US" w:eastAsia="zh-CN"/>
        </w:rPr>
        <w:t>1、</w:t>
      </w:r>
      <w:r>
        <w:rPr>
          <w:rFonts w:hint="eastAsia" w:ascii="仿宋" w:hAnsi="仿宋" w:eastAsia="仿宋" w:cs="仿宋"/>
          <w:bCs/>
          <w:color w:val="000000"/>
          <w:sz w:val="24"/>
          <w:highlight w:val="none"/>
        </w:rPr>
        <w:t>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w:t>
      </w:r>
    </w:p>
    <w:p w14:paraId="4E22B0C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2、供应商要做到制度完善，证照齐全，用工规范，文明配送；自觉协调关系，妥善解决发生的问题和困难；自觉接受采购人相关职能部门的监督和指导。</w:t>
      </w:r>
    </w:p>
    <w:p w14:paraId="6627E89A">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593A2922">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4、所有配送产品必须证照齐全，源头可查，可溯源。在配送食品中，供应商应主动提供本项目相关检疫检验检测报告等证明、农药残留量检测报告、质量检测报告、产品检验报告等证明。</w:t>
      </w:r>
    </w:p>
    <w:p w14:paraId="455B83B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503F0253">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11300F1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7、合同期内若采购人更换智慧食堂系统，供应商根据采购人要求必须配合同步使用智慧食堂系统。</w:t>
      </w:r>
    </w:p>
    <w:p w14:paraId="4D51F007">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4AD169B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9、若供应商无法按时按量按要求提供产品，经沟通过后，仍无法提供的，采购人有权自行采购，所有费用由中标人承担。</w:t>
      </w:r>
    </w:p>
    <w:p w14:paraId="1AA37B74">
      <w:pPr>
        <w:pStyle w:val="4"/>
        <w:numPr>
          <w:ilvl w:val="0"/>
          <w:numId w:val="0"/>
        </w:numPr>
        <w:spacing w:before="0" w:after="0" w:line="336" w:lineRule="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2AE0231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（三）</w:t>
      </w:r>
      <w:r>
        <w:rPr>
          <w:rFonts w:hint="eastAsia" w:ascii="仿宋" w:hAnsi="仿宋" w:eastAsia="仿宋" w:cs="仿宋"/>
          <w:b w:val="0"/>
          <w:bCs w:val="0"/>
          <w:sz w:val="24"/>
          <w:highlight w:val="none"/>
        </w:rPr>
        <w:t>报价方式</w:t>
      </w:r>
    </w:p>
    <w:p w14:paraId="54F8B3B3">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以政府采购云平台（https://www.zcygov.cn/)→行业馆→绍兴食采馆的价格清单的平均价为各标段的价格基准价，投标企业报折扣。实际采购按采购人需求参考平台目录执行。</w:t>
      </w:r>
    </w:p>
    <w:p w14:paraId="4019E7C4">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注：结算价格=基准价*中标折扣。</w:t>
      </w:r>
    </w:p>
    <w:p w14:paraId="337029D4">
      <w:pPr>
        <w:snapToGrid w:val="0"/>
        <w:spacing w:line="360" w:lineRule="auto"/>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rPr>
        <w:t>（</w:t>
      </w:r>
      <w:r>
        <w:rPr>
          <w:rFonts w:hint="eastAsia" w:ascii="仿宋" w:hAnsi="仿宋" w:eastAsia="仿宋" w:cs="仿宋"/>
          <w:b w:val="0"/>
          <w:bCs/>
          <w:color w:val="000000"/>
          <w:sz w:val="24"/>
          <w:highlight w:val="none"/>
          <w:lang w:eastAsia="zh-CN"/>
        </w:rPr>
        <w:t>四</w:t>
      </w:r>
      <w:r>
        <w:rPr>
          <w:rFonts w:hint="eastAsia" w:ascii="仿宋" w:hAnsi="仿宋" w:eastAsia="仿宋" w:cs="仿宋"/>
          <w:b w:val="0"/>
          <w:bCs/>
          <w:color w:val="000000"/>
          <w:sz w:val="24"/>
          <w:highlight w:val="none"/>
        </w:rPr>
        <w:t>）目录清单</w:t>
      </w:r>
    </w:p>
    <w:p w14:paraId="51A4FA89">
      <w:pPr>
        <w:snapToGrid w:val="0"/>
        <w:spacing w:line="360" w:lineRule="auto"/>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采购目录参考政府采购云平台。</w:t>
      </w:r>
    </w:p>
    <w:p w14:paraId="73AF1181">
      <w:pPr>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★采购产品规格型号须按采购人要求提供。</w:t>
      </w:r>
    </w:p>
    <w:p w14:paraId="0E73C4CE">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二、售后服务要求：</w:t>
      </w:r>
    </w:p>
    <w:p w14:paraId="2771817B">
      <w:pPr>
        <w:pStyle w:val="4"/>
        <w:numPr>
          <w:ilvl w:val="0"/>
          <w:numId w:val="0"/>
        </w:numPr>
        <w:spacing w:before="0" w:after="0"/>
        <w:rPr>
          <w:rFonts w:hint="eastAsia" w:ascii="仿宋" w:hAnsi="仿宋" w:eastAsia="仿宋" w:cs="仿宋"/>
          <w:bCs/>
          <w:sz w:val="24"/>
          <w:szCs w:val="24"/>
          <w:highlight w:val="none"/>
        </w:rPr>
      </w:pP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一</w:t>
      </w:r>
      <w:r>
        <w:rPr>
          <w:rFonts w:hint="eastAsia" w:ascii="仿宋" w:hAnsi="仿宋" w:eastAsia="仿宋" w:cs="仿宋"/>
          <w:bCs/>
          <w:sz w:val="24"/>
          <w:szCs w:val="24"/>
          <w:highlight w:val="none"/>
        </w:rPr>
        <w:t>）安全责任</w:t>
      </w:r>
    </w:p>
    <w:p w14:paraId="32B90C46">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1、因质量问题造成食物中毒或其它安全责任事故的，供应商独立承担一切法律责任和经济责任，没收履约保证金，采购人有权终止合同，并追究由此造成的一切损失。</w:t>
      </w:r>
    </w:p>
    <w:p w14:paraId="5792BA8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2、配送整个过程（包括因配送结束后未对周边环境清洁）所发生的任何安全事故等均由供应商独立承担责任。无条件接受采购人政策层面提出的相关要求。</w:t>
      </w:r>
    </w:p>
    <w:p w14:paraId="44A18980">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3、供应商在院内运输物品，应服从指挥，确保安全。因院内运输造成的安全事故及采购人相关财产损失，供应商独立承担一切刑事、民事责任。进入院内所产生的相关费用由供应商自行承担。</w:t>
      </w:r>
    </w:p>
    <w:p w14:paraId="0E202EE0">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4、配送中所涉运输、装卸、税收及其他相应费用由供应商自行承担；所需证、照等均由供应商自行办理。</w:t>
      </w:r>
    </w:p>
    <w:p w14:paraId="19DB7606">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5、供应商在供货期间，如发生质量纠纷时采购人须对被投诉食材质量进行检测的，不论检测结果如何，因检测产生的相关费用须由供应商承担。</w:t>
      </w:r>
    </w:p>
    <w:p w14:paraId="16FD90A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08DB0CE6">
      <w:pPr>
        <w:pStyle w:val="4"/>
        <w:numPr>
          <w:ilvl w:val="0"/>
          <w:numId w:val="0"/>
        </w:numPr>
        <w:spacing w:before="0" w:after="0"/>
        <w:rPr>
          <w:rFonts w:hint="eastAsia" w:ascii="仿宋" w:hAnsi="仿宋" w:eastAsia="仿宋" w:cs="仿宋"/>
          <w:bCs/>
          <w:sz w:val="24"/>
          <w:szCs w:val="24"/>
          <w:highlight w:val="none"/>
        </w:rPr>
      </w:pP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二</w:t>
      </w:r>
      <w:r>
        <w:rPr>
          <w:rFonts w:hint="eastAsia" w:ascii="仿宋" w:hAnsi="仿宋" w:eastAsia="仿宋" w:cs="仿宋"/>
          <w:bCs/>
          <w:sz w:val="24"/>
          <w:szCs w:val="24"/>
          <w:highlight w:val="none"/>
        </w:rPr>
        <w:t>）违约责任</w:t>
      </w:r>
    </w:p>
    <w:p w14:paraId="215AECEF">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1、按中标金额交纳</w:t>
      </w:r>
      <w:r>
        <w:rPr>
          <w:rFonts w:hint="eastAsia" w:ascii="仿宋" w:hAnsi="仿宋" w:eastAsia="仿宋" w:cs="仿宋"/>
          <w:bCs/>
          <w:color w:val="000000"/>
          <w:sz w:val="24"/>
          <w:highlight w:val="none"/>
          <w:lang w:eastAsia="zh-CN"/>
        </w:rPr>
        <w:t>小于等于</w:t>
      </w:r>
      <w:r>
        <w:rPr>
          <w:rFonts w:hint="eastAsia" w:ascii="仿宋" w:hAnsi="仿宋" w:eastAsia="仿宋" w:cs="仿宋"/>
          <w:bCs/>
          <w:color w:val="000000"/>
          <w:sz w:val="24"/>
          <w:highlight w:val="none"/>
        </w:rPr>
        <w:t>1%的履约保证金。供应商如转包或变相转包，一经查实，扣除履约保证金，采购人有权终止合同，并追究由此造成的一切损失。</w:t>
      </w:r>
    </w:p>
    <w:p w14:paraId="6381B480">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70EF621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08BDD6D8">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4、供应商向采购人提供的结算票据、配送单有弄虚作假的，一经查实，扣除履约保证金。</w:t>
      </w:r>
    </w:p>
    <w:p w14:paraId="5BEBBC4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20" w:after="120" w:line="360" w:lineRule="auto"/>
        <w:ind w:right="0" w:rightChars="0"/>
        <w:textAlignment w:val="auto"/>
        <w:rPr>
          <w:rFonts w:hint="eastAsia" w:ascii="仿宋" w:hAnsi="仿宋" w:eastAsia="仿宋" w:cs="仿宋"/>
          <w:highlight w:val="none"/>
          <w:lang w:eastAsia="zh-CN"/>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sz w:val="21"/>
          <w:szCs w:val="21"/>
          <w:highlight w:val="none"/>
          <w:lang w:eastAsia="zh-CN"/>
        </w:rPr>
        <w:t>：</w:t>
      </w:r>
    </w:p>
    <w:p w14:paraId="7E999CA0">
      <w:pPr>
        <w:spacing w:line="360" w:lineRule="auto"/>
        <w:ind w:firstLine="420" w:firstLineChars="200"/>
        <w:rPr>
          <w:rFonts w:hint="eastAsia" w:ascii="仿宋" w:hAnsi="仿宋" w:eastAsia="仿宋" w:cs="仿宋"/>
          <w:bCs/>
          <w:highlight w:val="none"/>
        </w:rPr>
      </w:pPr>
      <w:r>
        <w:rPr>
          <w:rFonts w:hint="eastAsia" w:ascii="仿宋" w:hAnsi="仿宋" w:eastAsia="仿宋" w:cs="仿宋"/>
          <w:bCs/>
          <w:highlight w:val="none"/>
          <w:lang w:val="zh-CN"/>
        </w:rPr>
        <w:t>按《浙江省财政厅关于进一步发挥政府采购政策功能全力推动经济稳进提质的通知》（浙财采监〔2022〕3号）</w:t>
      </w:r>
      <w:r>
        <w:rPr>
          <w:rFonts w:hint="eastAsia" w:ascii="仿宋" w:hAnsi="仿宋" w:eastAsia="仿宋" w:cs="仿宋"/>
          <w:bCs/>
          <w:highlight w:val="none"/>
        </w:rPr>
        <w:t>等</w:t>
      </w:r>
      <w:r>
        <w:rPr>
          <w:rFonts w:hint="eastAsia" w:ascii="仿宋" w:hAnsi="仿宋" w:eastAsia="仿宋" w:cs="仿宋"/>
          <w:bCs/>
          <w:highlight w:val="none"/>
          <w:lang w:val="zh-CN"/>
        </w:rPr>
        <w:t>文件要求执行，</w:t>
      </w:r>
      <w:r>
        <w:rPr>
          <w:rFonts w:hint="eastAsia" w:ascii="仿宋" w:hAnsi="仿宋" w:eastAsia="仿宋" w:cs="仿宋"/>
          <w:bCs/>
          <w:highlight w:val="none"/>
        </w:rPr>
        <w:t>配送货款实行一月一结，财务入账后，1个月内支付。发票单位名称必须与投标时公章名称相符合，否则采购人有权拒付相关款项。</w:t>
      </w:r>
    </w:p>
    <w:p w14:paraId="66EC92BC">
      <w:pPr>
        <w:spacing w:line="440" w:lineRule="exact"/>
        <w:ind w:firstLine="482" w:firstLineChars="200"/>
        <w:rPr>
          <w:rFonts w:hint="default" w:ascii="仿宋_GB2312" w:hAnsi="仿宋_GB2312" w:eastAsia="仿宋_GB2312" w:cs="仿宋_GB2312"/>
          <w:b/>
          <w:bCs/>
          <w:color w:val="auto"/>
          <w:sz w:val="24"/>
          <w:szCs w:val="24"/>
          <w:highlight w:val="none"/>
          <w:lang w:val="en-US" w:eastAsia="zh-CN"/>
        </w:rPr>
      </w:pP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5"/>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28855"/>
      <w:bookmarkStart w:id="42" w:name="_Toc22967"/>
      <w:bookmarkStart w:id="43" w:name="_Toc15367"/>
      <w:bookmarkStart w:id="44" w:name="_Toc20421"/>
      <w:bookmarkStart w:id="45" w:name="_Toc19273"/>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6773"/>
      <w:bookmarkStart w:id="47" w:name="_Toc22185"/>
      <w:bookmarkStart w:id="48" w:name="_Toc6311"/>
      <w:bookmarkStart w:id="49" w:name="_Toc2918"/>
      <w:bookmarkStart w:id="50" w:name="_Toc18585"/>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4929"/>
      <w:bookmarkStart w:id="52" w:name="_Toc5635"/>
      <w:bookmarkStart w:id="53" w:name="_Toc13918"/>
      <w:bookmarkStart w:id="54" w:name="_Toc1386"/>
      <w:bookmarkStart w:id="55"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26916"/>
      <w:bookmarkStart w:id="57" w:name="_Toc3654"/>
      <w:bookmarkStart w:id="58" w:name="_Toc14993"/>
      <w:bookmarkStart w:id="59" w:name="_Toc30158"/>
      <w:bookmarkStart w:id="60" w:name="_Toc3050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22618"/>
      <w:bookmarkStart w:id="62" w:name="_Toc1814"/>
      <w:bookmarkStart w:id="63" w:name="_Toc10340"/>
      <w:bookmarkStart w:id="64" w:name="_Toc11108"/>
      <w:bookmarkStart w:id="65" w:name="_Toc4760"/>
      <w:bookmarkStart w:id="66" w:name="_Toc3625"/>
      <w:bookmarkStart w:id="67" w:name="_Toc8772"/>
      <w:bookmarkStart w:id="68" w:name="_Toc31421"/>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2375"/>
      <w:bookmarkStart w:id="70" w:name="_Toc8586"/>
      <w:bookmarkStart w:id="71" w:name="_Toc3079"/>
      <w:bookmarkStart w:id="72" w:name="_Toc24662"/>
      <w:bookmarkStart w:id="73" w:name="_Toc5698"/>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26807"/>
      <w:bookmarkStart w:id="75" w:name="_Toc30329"/>
      <w:bookmarkStart w:id="76" w:name="_Toc32454"/>
      <w:bookmarkStart w:id="77" w:name="_Toc9497"/>
      <w:bookmarkStart w:id="78" w:name="_Toc18683"/>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28375"/>
      <w:bookmarkStart w:id="80" w:name="_Toc15583"/>
      <w:bookmarkStart w:id="81" w:name="_Toc16021"/>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15322"/>
      <w:bookmarkStart w:id="83" w:name="_Toc7245"/>
      <w:bookmarkStart w:id="84" w:name="_Toc11173"/>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14021"/>
      <w:bookmarkStart w:id="86" w:name="_Toc19680"/>
      <w:bookmarkStart w:id="87" w:name="_Toc31297"/>
      <w:bookmarkStart w:id="88" w:name="_Toc5228"/>
      <w:bookmarkStart w:id="89" w:name="_Toc25079"/>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19539"/>
      <w:bookmarkStart w:id="91" w:name="_Toc3769"/>
      <w:bookmarkStart w:id="92" w:name="_Toc23289"/>
      <w:bookmarkStart w:id="93" w:name="_Toc16752"/>
      <w:bookmarkStart w:id="94" w:name="_Toc31402"/>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9161"/>
      <w:bookmarkStart w:id="96" w:name="_Toc13673"/>
      <w:bookmarkStart w:id="97" w:name="_Toc4133"/>
      <w:bookmarkStart w:id="98" w:name="_Toc27945"/>
      <w:bookmarkStart w:id="99" w:name="_Toc12412"/>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31233"/>
      <w:bookmarkStart w:id="101" w:name="_Toc22011"/>
      <w:bookmarkStart w:id="102" w:name="_Toc26555"/>
      <w:bookmarkStart w:id="103" w:name="_Toc15447"/>
      <w:bookmarkStart w:id="104" w:name="_Toc32670"/>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6163"/>
      <w:bookmarkStart w:id="106" w:name="_Toc13154"/>
      <w:bookmarkStart w:id="107" w:name="_Toc13467"/>
      <w:bookmarkStart w:id="108" w:name="_Toc30507"/>
      <w:bookmarkStart w:id="109" w:name="_Toc18990"/>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21830"/>
      <w:bookmarkStart w:id="114" w:name="_Toc42"/>
      <w:bookmarkStart w:id="115" w:name="_Toc23368"/>
      <w:bookmarkStart w:id="116" w:name="_Toc26689"/>
      <w:bookmarkStart w:id="117" w:name="_Toc10663"/>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4720"/>
      <w:bookmarkStart w:id="119" w:name="_Toc26633"/>
      <w:bookmarkStart w:id="120" w:name="_Toc32494"/>
      <w:bookmarkStart w:id="121" w:name="_Toc14371"/>
      <w:bookmarkStart w:id="122" w:name="_Toc25571"/>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23854"/>
      <w:bookmarkStart w:id="124" w:name="_Toc14115"/>
      <w:bookmarkStart w:id="125" w:name="_Toc3638"/>
      <w:bookmarkStart w:id="126" w:name="_Toc25783"/>
      <w:bookmarkStart w:id="127" w:name="_Toc2446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7315"/>
      <w:bookmarkStart w:id="129" w:name="_Toc25525"/>
      <w:bookmarkStart w:id="130" w:name="_Toc26883"/>
      <w:bookmarkStart w:id="131" w:name="_Toc30105"/>
      <w:bookmarkStart w:id="132" w:name="_Toc14814"/>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016"/>
      <w:bookmarkStart w:id="135" w:name="_Toc23323"/>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4525"/>
      <w:bookmarkStart w:id="137" w:name="_Toc17363"/>
      <w:bookmarkStart w:id="138" w:name="_Toc1969"/>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31892"/>
      <w:bookmarkStart w:id="140" w:name="_Toc2308"/>
      <w:bookmarkStart w:id="141" w:name="_Toc25198"/>
      <w:bookmarkStart w:id="142" w:name="_Toc9808"/>
      <w:bookmarkStart w:id="143" w:name="_Toc12666"/>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27674"/>
      <w:bookmarkStart w:id="145"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20808"/>
      <w:bookmarkStart w:id="147" w:name="_Toc5063"/>
      <w:bookmarkStart w:id="148" w:name="_Toc27644"/>
      <w:bookmarkStart w:id="149" w:name="_Toc28906"/>
      <w:bookmarkStart w:id="150" w:name="_Toc12254"/>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4355"/>
      <w:bookmarkStart w:id="152" w:name="_Toc30599"/>
      <w:bookmarkStart w:id="153" w:name="_Toc18540"/>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8"/>
        <w:rPr>
          <w:rFonts w:hint="eastAsia"/>
          <w:color w:val="auto"/>
          <w:highlight w:val="none"/>
        </w:rPr>
      </w:pPr>
    </w:p>
    <w:p w14:paraId="6401B638">
      <w:pPr>
        <w:pStyle w:val="25"/>
        <w:rPr>
          <w:rFonts w:hint="eastAsia" w:ascii="仿宋_GB2312" w:hAnsi="仿宋_GB2312" w:eastAsia="仿宋_GB2312" w:cs="仿宋_GB2312"/>
          <w:color w:val="auto"/>
          <w:highlight w:val="none"/>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5"/>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企业资质（</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highlight w:val="none"/>
              </w:rPr>
            </w:pPr>
            <w:r>
              <w:rPr>
                <w:rFonts w:hint="eastAsia" w:ascii="仿宋" w:hAnsi="仿宋" w:eastAsia="仿宋" w:cs="仿宋"/>
                <w:color w:val="auto"/>
                <w:kern w:val="0"/>
                <w:sz w:val="24"/>
                <w:szCs w:val="32"/>
                <w:highlight w:val="none"/>
              </w:rPr>
              <w:t>投标人具有有效的</w:t>
            </w:r>
            <w:r>
              <w:rPr>
                <w:rFonts w:hint="eastAsia" w:ascii="仿宋" w:hAnsi="仿宋" w:eastAsia="仿宋" w:cs="仿宋"/>
                <w:bCs/>
                <w:iCs/>
                <w:color w:val="auto"/>
                <w:sz w:val="24"/>
                <w:szCs w:val="32"/>
                <w:highlight w:val="none"/>
              </w:rPr>
              <w:t>质量管理体系认证、环境管理体系认证、职业健康安全管理体系认证</w:t>
            </w:r>
            <w:r>
              <w:rPr>
                <w:rFonts w:hint="eastAsia" w:ascii="仿宋" w:hAnsi="仿宋" w:eastAsia="仿宋" w:cs="仿宋"/>
                <w:color w:val="auto"/>
                <w:kern w:val="0"/>
                <w:sz w:val="24"/>
                <w:szCs w:val="32"/>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投标人需提供</w:t>
            </w:r>
            <w:r>
              <w:rPr>
                <w:rFonts w:hint="eastAsia" w:ascii="仿宋" w:hAnsi="仿宋" w:eastAsia="仿宋" w:cs="仿宋"/>
                <w:color w:val="auto"/>
                <w:sz w:val="24"/>
                <w:szCs w:val="32"/>
                <w:highlight w:val="none"/>
                <w:lang w:val="zh-CN"/>
              </w:rPr>
              <w:t>清晰的证书</w:t>
            </w:r>
            <w:r>
              <w:rPr>
                <w:rFonts w:hint="eastAsia" w:ascii="仿宋" w:hAnsi="仿宋" w:eastAsia="仿宋" w:cs="仿宋"/>
                <w:color w:val="auto"/>
                <w:sz w:val="24"/>
                <w:szCs w:val="32"/>
                <w:highlight w:val="none"/>
              </w:rPr>
              <w:t>复印件</w:t>
            </w:r>
            <w:r>
              <w:rPr>
                <w:rFonts w:hint="eastAsia" w:ascii="仿宋" w:hAnsi="仿宋" w:eastAsia="仿宋" w:cs="仿宋"/>
                <w:color w:val="auto"/>
                <w:sz w:val="24"/>
                <w:szCs w:val="32"/>
                <w:highlight w:val="none"/>
                <w:lang w:val="zh-CN"/>
              </w:rPr>
              <w:t>并提供全国认证认可信息公共服务平台</w:t>
            </w:r>
            <w:r>
              <w:rPr>
                <w:rFonts w:hint="eastAsia" w:ascii="仿宋" w:hAnsi="仿宋" w:eastAsia="仿宋" w:cs="仿宋"/>
                <w:color w:val="auto"/>
                <w:sz w:val="24"/>
                <w:szCs w:val="32"/>
                <w:highlight w:val="none"/>
              </w:rPr>
              <w:t>http://cx.cnca.cn</w:t>
            </w:r>
            <w:r>
              <w:rPr>
                <w:rFonts w:hint="eastAsia" w:ascii="仿宋" w:hAnsi="仿宋" w:eastAsia="仿宋" w:cs="仿宋"/>
                <w:color w:val="auto"/>
                <w:sz w:val="24"/>
                <w:szCs w:val="32"/>
                <w:highlight w:val="none"/>
                <w:lang w:val="zh-CN"/>
              </w:rPr>
              <w:t>的证书截图</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并加盖</w:t>
            </w:r>
            <w:r>
              <w:rPr>
                <w:rFonts w:hint="eastAsia" w:ascii="仿宋" w:hAnsi="仿宋" w:eastAsia="仿宋" w:cs="仿宋"/>
                <w:color w:val="auto"/>
                <w:sz w:val="24"/>
                <w:szCs w:val="32"/>
                <w:highlight w:val="none"/>
              </w:rPr>
              <w:t>投标人</w:t>
            </w:r>
            <w:r>
              <w:rPr>
                <w:rFonts w:hint="eastAsia" w:ascii="仿宋" w:hAnsi="仿宋" w:eastAsia="仿宋" w:cs="仿宋"/>
                <w:color w:val="auto"/>
                <w:sz w:val="24"/>
                <w:szCs w:val="32"/>
                <w:highlight w:val="none"/>
                <w:lang w:val="zh-CN"/>
              </w:rPr>
              <w:t>公章</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认证证书须在有效期范围内</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并与所投标段内容相符合</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食品安全责任险</w:t>
            </w:r>
          </w:p>
          <w:p w14:paraId="58A0152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根据投标人提供的有效期内的食品安全责任险打分，最高得3分。</w:t>
            </w:r>
          </w:p>
          <w:p w14:paraId="2D870DD3">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3000万以上的得3分；</w:t>
            </w:r>
          </w:p>
          <w:p w14:paraId="20730624">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2000万-3000万（含）以上的得2分；</w:t>
            </w:r>
          </w:p>
          <w:p w14:paraId="268A0676">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1000万-2000万（含）的得1分；</w:t>
            </w:r>
          </w:p>
          <w:p w14:paraId="43AEDBFB">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需提供有效期内的食品安全责任险证明资料复印件加盖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bookmarkStart w:id="161" w:name="_GoBack"/>
            <w:bookmarkEnd w:id="161"/>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企业业绩</w:t>
            </w:r>
          </w:p>
          <w:p w14:paraId="053C1E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2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投标人自202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年1月1日以来（以合同签订时间为准）承</w:t>
            </w:r>
            <w:r>
              <w:rPr>
                <w:rFonts w:hint="eastAsia" w:ascii="仿宋" w:hAnsi="仿宋" w:eastAsia="仿宋" w:cs="仿宋"/>
                <w:color w:val="auto"/>
                <w:sz w:val="24"/>
                <w:szCs w:val="32"/>
                <w:highlight w:val="none"/>
                <w:lang w:val="en-US" w:eastAsia="zh-CN"/>
              </w:rPr>
              <w:t>接</w:t>
            </w:r>
            <w:r>
              <w:rPr>
                <w:rFonts w:hint="eastAsia" w:ascii="仿宋" w:hAnsi="仿宋" w:eastAsia="仿宋" w:cs="仿宋"/>
                <w:color w:val="auto"/>
                <w:sz w:val="24"/>
                <w:szCs w:val="32"/>
                <w:highlight w:val="none"/>
              </w:rPr>
              <w:t>过</w:t>
            </w:r>
            <w:r>
              <w:rPr>
                <w:rStyle w:val="265"/>
                <w:rFonts w:hint="eastAsia" w:ascii="仿宋" w:hAnsi="仿宋" w:eastAsia="仿宋" w:cs="仿宋"/>
                <w:color w:val="auto"/>
                <w:sz w:val="24"/>
                <w:szCs w:val="32"/>
                <w:highlight w:val="none"/>
              </w:rPr>
              <w:t>机关事业、国企央企、教体局</w:t>
            </w:r>
            <w:r>
              <w:rPr>
                <w:rStyle w:val="265"/>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医院行业类似项目成功案例，每</w:t>
            </w:r>
            <w:r>
              <w:rPr>
                <w:rFonts w:hint="eastAsia" w:ascii="仿宋" w:hAnsi="仿宋" w:eastAsia="仿宋" w:cs="仿宋"/>
                <w:color w:val="auto"/>
                <w:sz w:val="24"/>
                <w:szCs w:val="32"/>
                <w:highlight w:val="none"/>
                <w:lang w:val="en-US" w:eastAsia="zh-CN"/>
              </w:rPr>
              <w:t>提供1个</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分，最高得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4A99DFF6">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bCs/>
                <w:color w:val="auto"/>
                <w:sz w:val="24"/>
                <w:szCs w:val="32"/>
                <w:highlight w:val="none"/>
              </w:rPr>
              <w:t>（提供合同复印件和合同期内至少一季度的发票</w:t>
            </w:r>
            <w:r>
              <w:rPr>
                <w:rFonts w:hint="eastAsia" w:ascii="仿宋" w:hAnsi="仿宋" w:eastAsia="仿宋" w:cs="仿宋"/>
                <w:color w:val="auto"/>
                <w:sz w:val="24"/>
                <w:szCs w:val="32"/>
                <w:highlight w:val="none"/>
              </w:rPr>
              <w:t>及配送单位证明并加盖投标人公章，未提供不得分</w:t>
            </w:r>
            <w:r>
              <w:rPr>
                <w:rFonts w:hint="eastAsia" w:ascii="仿宋" w:hAnsi="仿宋" w:eastAsia="仿宋" w:cs="仿宋"/>
                <w:bCs/>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1E1BE210">
            <w:pPr>
              <w:spacing w:line="288" w:lineRule="auto"/>
              <w:jc w:val="center"/>
              <w:rPr>
                <w:rFonts w:hint="eastAsia" w:ascii="仿宋" w:hAnsi="仿宋" w:eastAsia="仿宋" w:cs="仿宋"/>
                <w:color w:val="auto"/>
                <w:sz w:val="24"/>
                <w:highlight w:val="none"/>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安全保障</w:t>
            </w:r>
          </w:p>
          <w:p w14:paraId="5BBB01F1">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投标人提供本年度半年内本项目产品批次检测报告，最高得3分。</w:t>
            </w:r>
          </w:p>
          <w:p w14:paraId="280B9DB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1.6个批次及以上报告得3分；</w:t>
            </w:r>
          </w:p>
          <w:p w14:paraId="1ABED6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2.3个批次及以上报告得2分；</w:t>
            </w:r>
          </w:p>
          <w:p w14:paraId="62021F8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3.1个批次及以上报告得1分。</w:t>
            </w:r>
          </w:p>
          <w:p w14:paraId="42C1732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4"/>
              </w:numPr>
              <w:spacing w:line="288" w:lineRule="auto"/>
              <w:rPr>
                <w:rFonts w:hint="eastAsia" w:ascii="仿宋" w:hAnsi="仿宋" w:eastAsia="仿宋" w:cs="仿宋"/>
                <w:sz w:val="24"/>
                <w:highlight w:val="none"/>
              </w:rPr>
            </w:pPr>
            <w:r>
              <w:rPr>
                <w:rFonts w:hint="eastAsia" w:ascii="仿宋" w:hAnsi="仿宋" w:eastAsia="仿宋" w:cs="仿宋"/>
                <w:sz w:val="24"/>
                <w:highlight w:val="none"/>
              </w:rPr>
              <w:t>根据投标人提供的相关检测制度的可行性、科学性、合理性进行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（本项分值设置为2,1.5,1,0.5,0分）</w:t>
            </w:r>
            <w:r>
              <w:rPr>
                <w:rFonts w:hint="eastAsia" w:ascii="仿宋_GB2312" w:hAnsi="等线" w:eastAsia="仿宋_GB2312" w:cs="宋体"/>
                <w:color w:val="000000"/>
                <w:kern w:val="0"/>
                <w:sz w:val="24"/>
                <w:highlight w:val="none"/>
                <w:lang w:eastAsia="zh-CN"/>
              </w:rPr>
              <w:t>。</w:t>
            </w:r>
          </w:p>
          <w:p w14:paraId="6B825872">
            <w:pPr>
              <w:spacing w:line="288" w:lineRule="auto"/>
              <w:rPr>
                <w:rFonts w:hint="eastAsia" w:ascii="仿宋" w:hAnsi="仿宋" w:eastAsia="仿宋" w:cs="仿宋"/>
                <w:sz w:val="24"/>
                <w:highlight w:val="none"/>
              </w:rPr>
            </w:pPr>
            <w:r>
              <w:rPr>
                <w:rFonts w:hint="eastAsia" w:ascii="仿宋" w:hAnsi="仿宋" w:eastAsia="仿宋" w:cs="仿宋"/>
                <w:sz w:val="24"/>
                <w:highlight w:val="none"/>
              </w:rPr>
              <w:t>2.根据投标人提供的适用于本项目的相关检测设备设施的数量、先进性和合理性进行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Fonts w:hint="eastAsia" w:ascii="仿宋" w:hAnsi="仿宋" w:eastAsia="仿宋" w:cs="仿宋"/>
                <w:sz w:val="24"/>
                <w:highlight w:val="none"/>
              </w:rPr>
              <w:t>（提供设备采购发票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或租赁合同及租赁发票</w:t>
            </w:r>
            <w:r>
              <w:rPr>
                <w:rFonts w:hint="eastAsia" w:ascii="仿宋" w:hAnsi="仿宋" w:eastAsia="仿宋" w:cs="仿宋"/>
                <w:sz w:val="24"/>
                <w:highlight w:val="none"/>
              </w:rPr>
              <w:t>；提供设备功能性证明材料，例产品说明书等）</w:t>
            </w:r>
            <w:r>
              <w:rPr>
                <w:rFonts w:hint="eastAsia" w:ascii="仿宋" w:hAnsi="仿宋" w:eastAsia="仿宋" w:cs="仿宋"/>
                <w:sz w:val="24"/>
                <w:highlight w:val="none"/>
                <w:lang w:eastAsia="zh-CN"/>
              </w:rPr>
              <w:t>。</w:t>
            </w:r>
          </w:p>
          <w:p w14:paraId="1732104A">
            <w:pPr>
              <w:spacing w:line="288" w:lineRule="auto"/>
              <w:rPr>
                <w:rStyle w:val="206"/>
                <w:rFonts w:hint="eastAsia" w:ascii="仿宋" w:hAnsi="仿宋" w:eastAsia="仿宋" w:cs="仿宋"/>
                <w:sz w:val="24"/>
                <w:szCs w:val="24"/>
                <w:highlight w:val="none"/>
              </w:rPr>
            </w:pPr>
            <w:r>
              <w:rPr>
                <w:rFonts w:hint="eastAsia" w:ascii="仿宋" w:hAnsi="仿宋" w:eastAsia="仿宋" w:cs="仿宋"/>
                <w:sz w:val="24"/>
                <w:highlight w:val="none"/>
              </w:rPr>
              <w:t>3.</w:t>
            </w:r>
            <w:r>
              <w:rPr>
                <w:rStyle w:val="206"/>
                <w:rFonts w:hint="eastAsia" w:ascii="仿宋" w:hAnsi="仿宋" w:eastAsia="仿宋" w:cs="仿宋"/>
                <w:sz w:val="24"/>
                <w:szCs w:val="24"/>
                <w:highlight w:val="none"/>
              </w:rPr>
              <w:t>有独立的检测室并配备专业检测员3人及以上得1分。</w:t>
            </w:r>
          </w:p>
          <w:p w14:paraId="2E5826A7">
            <w:pPr>
              <w:spacing w:line="288" w:lineRule="auto"/>
              <w:rPr>
                <w:rStyle w:val="206"/>
                <w:rFonts w:hint="eastAsia" w:ascii="仿宋" w:hAnsi="仿宋" w:eastAsia="仿宋" w:cs="仿宋"/>
                <w:sz w:val="24"/>
                <w:szCs w:val="24"/>
                <w:highlight w:val="none"/>
              </w:rPr>
            </w:pPr>
            <w:r>
              <w:rPr>
                <w:rStyle w:val="206"/>
                <w:rFonts w:hint="eastAsia" w:ascii="仿宋" w:hAnsi="仿宋" w:eastAsia="仿宋" w:cs="仿宋"/>
                <w:sz w:val="24"/>
                <w:szCs w:val="24"/>
                <w:highlight w:val="none"/>
              </w:rPr>
              <w:t>4.提供检测操作规程及202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Fonts w:hint="eastAsia" w:ascii="仿宋" w:hAnsi="仿宋" w:eastAsia="仿宋" w:cs="仿宋"/>
                <w:kern w:val="0"/>
                <w:sz w:val="24"/>
                <w:highlight w:val="none"/>
              </w:rPr>
              <w:t>检测记录</w:t>
            </w:r>
            <w:r>
              <w:rPr>
                <w:rStyle w:val="206"/>
                <w:rFonts w:hint="eastAsia" w:ascii="仿宋" w:hAnsi="仿宋" w:eastAsia="仿宋" w:cs="仿宋"/>
                <w:sz w:val="24"/>
                <w:szCs w:val="24"/>
                <w:highlight w:val="none"/>
              </w:rPr>
              <w:t>，得2分，</w:t>
            </w:r>
            <w:r>
              <w:rPr>
                <w:rFonts w:hint="eastAsia" w:ascii="仿宋" w:hAnsi="仿宋" w:eastAsia="仿宋" w:cs="仿宋"/>
                <w:kern w:val="0"/>
                <w:sz w:val="24"/>
                <w:highlight w:val="none"/>
              </w:rPr>
              <w:t>不提供不得分</w:t>
            </w:r>
            <w:r>
              <w:rPr>
                <w:rStyle w:val="206"/>
                <w:rFonts w:hint="eastAsia" w:ascii="仿宋" w:hAnsi="仿宋" w:eastAsia="仿宋" w:cs="仿宋"/>
                <w:sz w:val="24"/>
                <w:szCs w:val="24"/>
                <w:highlight w:val="none"/>
              </w:rPr>
              <w:t>。</w:t>
            </w:r>
          </w:p>
          <w:p w14:paraId="03AD2434">
            <w:pPr>
              <w:spacing w:line="288" w:lineRule="auto"/>
              <w:rPr>
                <w:rFonts w:hint="eastAsia" w:ascii="仿宋" w:hAnsi="仿宋" w:eastAsia="仿宋" w:cs="仿宋"/>
                <w:color w:val="auto"/>
                <w:kern w:val="0"/>
                <w:sz w:val="24"/>
                <w:szCs w:val="32"/>
                <w:highlight w:val="none"/>
                <w:lang w:val="en-US" w:eastAsia="zh-CN" w:bidi="ar-SA"/>
              </w:rPr>
            </w:pPr>
            <w:r>
              <w:rPr>
                <w:rFonts w:hint="eastAsia" w:ascii="仿宋" w:hAnsi="仿宋" w:eastAsia="仿宋" w:cs="仿宋"/>
                <w:sz w:val="24"/>
                <w:highlight w:val="none"/>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pStyle w:val="4"/>
              <w:numPr>
                <w:ilvl w:val="0"/>
                <w:numId w:val="0"/>
              </w:numPr>
              <w:ind w:left="0" w:leftChars="0" w:firstLine="0" w:firstLineChars="0"/>
              <w:jc w:val="center"/>
              <w:rPr>
                <w:rFonts w:hint="eastAsia" w:ascii="仿宋" w:hAnsi="仿宋" w:eastAsia="仿宋" w:cs="仿宋"/>
                <w:b/>
                <w:bCs/>
                <w:color w:val="auto"/>
                <w:kern w:val="44"/>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1.投标人有留样制度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冷柜</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冰箱等专用留样设备，留样记录</w:t>
            </w:r>
            <w:r>
              <w:rPr>
                <w:rFonts w:hint="eastAsia" w:ascii="仿宋" w:hAnsi="仿宋" w:eastAsia="仿宋" w:cs="仿宋"/>
                <w:color w:val="auto"/>
                <w:sz w:val="24"/>
                <w:highlight w:val="none"/>
                <w:lang w:val="en-US" w:eastAsia="zh-CN"/>
              </w:rPr>
              <w:t>进行综合评审</w:t>
            </w:r>
            <w:r>
              <w:rPr>
                <w:rFonts w:hint="eastAsia" w:ascii="仿宋_GB2312" w:hAnsi="等线" w:eastAsia="仿宋_GB2312" w:cs="宋体"/>
                <w:color w:val="000000"/>
                <w:kern w:val="0"/>
                <w:sz w:val="24"/>
                <w:highlight w:val="none"/>
              </w:rPr>
              <w:t>（本项分值设置为2,1.5,1,0.5,0分）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rPr>
              <w:t>提供设备购买发票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highlight w:val="none"/>
              </w:rPr>
              <w:t>留样记录</w:t>
            </w:r>
            <w:r>
              <w:rPr>
                <w:rFonts w:hint="eastAsia" w:ascii="仿宋" w:hAnsi="仿宋" w:eastAsia="仿宋" w:cs="仿宋"/>
                <w:color w:val="auto"/>
                <w:sz w:val="24"/>
                <w:highlight w:val="none"/>
                <w:lang w:val="en-US" w:eastAsia="zh-CN"/>
              </w:rPr>
              <w:t>复印件均</w:t>
            </w:r>
            <w:r>
              <w:rPr>
                <w:rFonts w:hint="eastAsia" w:ascii="仿宋" w:hAnsi="仿宋" w:eastAsia="仿宋" w:cs="仿宋"/>
                <w:color w:val="auto"/>
                <w:sz w:val="24"/>
                <w:highlight w:val="none"/>
              </w:rPr>
              <w:t>加盖投标人公章，不提供不得分。</w:t>
            </w:r>
          </w:p>
          <w:p w14:paraId="4E0C732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2.分拣配送场地有恒温系统的得2分，提供场地租赁合同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或房产证明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购买发票或设备租赁合同及租赁发票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服务质量承诺</w:t>
            </w:r>
          </w:p>
          <w:p w14:paraId="49F64310">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w:t>
            </w:r>
            <w:r>
              <w:rPr>
                <w:rFonts w:hint="eastAsia" w:ascii="仿宋" w:hAnsi="仿宋" w:eastAsia="仿宋" w:cs="仿宋"/>
                <w:color w:val="auto"/>
                <w:sz w:val="24"/>
                <w:highlight w:val="none"/>
                <w:lang w:val="en-US" w:eastAsia="zh-CN"/>
              </w:rPr>
              <w:t>提供的</w:t>
            </w:r>
            <w:r>
              <w:rPr>
                <w:rFonts w:hint="eastAsia" w:ascii="仿宋" w:hAnsi="仿宋" w:eastAsia="仿宋" w:cs="仿宋"/>
                <w:color w:val="auto"/>
                <w:sz w:val="24"/>
                <w:highlight w:val="none"/>
              </w:rPr>
              <w:t>服务保证、质量承诺、</w:t>
            </w:r>
            <w:r>
              <w:rPr>
                <w:rFonts w:hint="eastAsia" w:ascii="仿宋" w:hAnsi="仿宋" w:eastAsia="仿宋" w:cs="仿宋"/>
                <w:color w:val="auto"/>
                <w:kern w:val="0"/>
                <w:sz w:val="24"/>
                <w:highlight w:val="none"/>
              </w:rPr>
              <w:t>诚信及服从医院管理、文明经营等服务承诺</w:t>
            </w:r>
            <w:r>
              <w:rPr>
                <w:rFonts w:hint="eastAsia" w:ascii="仿宋" w:hAnsi="仿宋" w:eastAsia="仿宋" w:cs="仿宋"/>
                <w:color w:val="auto"/>
                <w:sz w:val="24"/>
                <w:highlight w:val="none"/>
              </w:rPr>
              <w:t>情况进行综合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21"/>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根据投标人提供的对验收不合格的产品处理方案（包含</w:t>
            </w:r>
            <w:r>
              <w:rPr>
                <w:rFonts w:hint="eastAsia" w:ascii="仿宋" w:hAnsi="仿宋" w:eastAsia="仿宋" w:cs="仿宋"/>
                <w:color w:val="auto"/>
                <w:sz w:val="24"/>
                <w:highlight w:val="none"/>
                <w:lang w:val="en-US" w:eastAsia="zh-CN"/>
              </w:rPr>
              <w:t>但不仅限于</w:t>
            </w:r>
            <w:r>
              <w:rPr>
                <w:rFonts w:hint="eastAsia" w:ascii="仿宋" w:hAnsi="仿宋" w:eastAsia="仿宋" w:cs="仿宋"/>
                <w:color w:val="auto"/>
                <w:sz w:val="24"/>
                <w:highlight w:val="none"/>
              </w:rPr>
              <w:t>响应时间、处理措施、解决方案等）</w:t>
            </w:r>
            <w:r>
              <w:rPr>
                <w:rFonts w:hint="eastAsia" w:ascii="仿宋" w:hAnsi="仿宋" w:eastAsia="仿宋" w:cs="仿宋"/>
                <w:color w:val="auto"/>
                <w:sz w:val="24"/>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配送服务</w:t>
            </w:r>
          </w:p>
          <w:p w14:paraId="249A09C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9</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color w:val="auto"/>
                <w:sz w:val="24"/>
                <w:szCs w:val="32"/>
                <w:highlight w:val="none"/>
              </w:rPr>
              <w:t>1</w:t>
            </w:r>
            <w:r>
              <w:rPr>
                <w:rFonts w:hint="eastAsia" w:ascii="仿宋" w:hAnsi="仿宋" w:eastAsia="仿宋" w:cs="仿宋"/>
                <w:sz w:val="24"/>
                <w:highlight w:val="none"/>
              </w:rPr>
              <w:t>.投标人提供自有的机动车辆1辆，得1分，最高得2分；</w:t>
            </w:r>
          </w:p>
          <w:p w14:paraId="5A8D9D69">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2.投标人提供自有的冷链配送车辆1辆，得1分，最高得2分；</w:t>
            </w:r>
          </w:p>
          <w:p w14:paraId="0846BB23">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3.投标人提供自有的厢式配送车辆1辆，得1分，最高得2分。</w:t>
            </w:r>
          </w:p>
          <w:p w14:paraId="754624FC">
            <w:pPr>
              <w:spacing w:line="288" w:lineRule="auto"/>
              <w:jc w:val="left"/>
              <w:rPr>
                <w:rFonts w:hint="eastAsia" w:ascii="仿宋" w:hAnsi="仿宋" w:eastAsia="仿宋" w:cs="仿宋"/>
                <w:color w:val="auto"/>
                <w:sz w:val="24"/>
                <w:szCs w:val="32"/>
                <w:highlight w:val="none"/>
              </w:rPr>
            </w:pPr>
            <w:r>
              <w:rPr>
                <w:rFonts w:hint="eastAsia" w:ascii="仿宋" w:hAnsi="仿宋" w:eastAsia="仿宋" w:cs="仿宋"/>
                <w:sz w:val="24"/>
                <w:highlight w:val="none"/>
              </w:rPr>
              <w:t>投标人需提供车辆所有人与投标人名称相符的行驶证、车辆登记证、车辆交强险等复印件，</w:t>
            </w:r>
            <w:bookmarkStart w:id="155" w:name="OLE_LINK1"/>
            <w:r>
              <w:rPr>
                <w:rFonts w:hint="eastAsia" w:ascii="仿宋" w:hAnsi="仿宋" w:eastAsia="仿宋" w:cs="仿宋"/>
                <w:sz w:val="24"/>
                <w:highlight w:val="none"/>
              </w:rPr>
              <w:t>加盖投标人公章</w:t>
            </w:r>
            <w:bookmarkEnd w:id="155"/>
            <w:r>
              <w:rPr>
                <w:rFonts w:hint="eastAsia" w:ascii="仿宋" w:hAnsi="仿宋" w:eastAsia="仿宋" w:cs="仿宋"/>
                <w:sz w:val="24"/>
                <w:highlight w:val="none"/>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根据配送</w:t>
            </w:r>
            <w:r>
              <w:rPr>
                <w:rStyle w:val="206"/>
                <w:rFonts w:hint="eastAsia" w:ascii="仿宋" w:hAnsi="仿宋" w:eastAsia="仿宋" w:cs="仿宋"/>
                <w:color w:val="auto"/>
                <w:sz w:val="24"/>
                <w:szCs w:val="24"/>
                <w:highlight w:val="none"/>
              </w:rPr>
              <w:t>中心地理位置对配送响应时效性、可行性、应急方面的有效保障进行综合</w:t>
            </w:r>
            <w:r>
              <w:rPr>
                <w:rStyle w:val="206"/>
                <w:rFonts w:hint="eastAsia" w:ascii="仿宋" w:hAnsi="仿宋" w:eastAsia="仿宋" w:cs="仿宋"/>
                <w:color w:val="auto"/>
                <w:sz w:val="24"/>
                <w:szCs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Style w:val="206"/>
                <w:rFonts w:hint="eastAsia" w:ascii="仿宋" w:hAnsi="仿宋" w:eastAsia="仿宋" w:cs="仿宋"/>
                <w:color w:val="auto"/>
                <w:sz w:val="24"/>
                <w:szCs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根据投标人提供的总体配送实施方案（包含安全保障方案、配送过程、仓储管理、难点要点分析以及合理性和可实施性等）</w:t>
            </w:r>
            <w:r>
              <w:rPr>
                <w:rFonts w:hint="eastAsia" w:ascii="仿宋" w:hAnsi="仿宋" w:eastAsia="仿宋" w:cs="仿宋"/>
                <w:color w:val="auto"/>
                <w:sz w:val="24"/>
                <w:highlight w:val="none"/>
                <w:lang w:val="en-US" w:eastAsia="zh-CN"/>
              </w:rPr>
              <w:t>综合评审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2,1.5,1,0.5,0分）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本项不累计分数，最高得4分。</w:t>
            </w:r>
          </w:p>
          <w:p w14:paraId="592CF70C">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固定的专用储备仓库，仓储面积在3000（含）㎡以上的得4分；</w:t>
            </w:r>
          </w:p>
          <w:p w14:paraId="699C5943">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固定的专用储备仓库，仓储面积在3000㎡-2000㎡（含）之间的得3分；</w:t>
            </w:r>
          </w:p>
          <w:p w14:paraId="46BAA152">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固定的专用储备仓库，仓储面积在2000㎡-1000㎡（含）之间的得2分；</w:t>
            </w:r>
          </w:p>
          <w:p w14:paraId="44ADBBD8">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固定的专用储备仓库，仓储面积在1000㎡-500㎡（含）之间的得1分。</w:t>
            </w:r>
          </w:p>
          <w:p w14:paraId="08B5835D">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08665B02">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0E25A869">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067DF92D">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种植基地（3分）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DF6069">
            <w:pPr>
              <w:pStyle w:val="21"/>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拥有蔬菜种植基地（自有或控股）300亩的得1分，每增加100亩的加0.5分，以此类推，最高3分。</w:t>
            </w:r>
          </w:p>
          <w:p w14:paraId="0608207A">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提供租赁合同及镇街或农业部门等证明材料，加盖投标人公章，不提供不得分。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8827F6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额外服务（</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21"/>
              <w:numPr>
                <w:ilvl w:val="0"/>
                <w:numId w:val="0"/>
              </w:numPr>
              <w:spacing w:line="288" w:lineRule="auto"/>
              <w:rPr>
                <w:rFonts w:hint="eastAsia" w:ascii="仿宋" w:hAnsi="仿宋" w:eastAsia="仿宋" w:cs="仿宋"/>
                <w:color w:val="auto"/>
                <w:kern w:val="0"/>
                <w:sz w:val="24"/>
                <w:szCs w:val="32"/>
                <w:highlight w:val="none"/>
              </w:rPr>
            </w:pPr>
            <w:r>
              <w:rPr>
                <w:rFonts w:hint="eastAsia" w:ascii="仿宋" w:hAnsi="仿宋" w:eastAsia="仿宋" w:cs="仿宋"/>
                <w:color w:val="auto"/>
                <w:sz w:val="24"/>
                <w:szCs w:val="32"/>
                <w:highlight w:val="none"/>
              </w:rPr>
              <w:t>投标人提供额外服务内容，如餐饮团队应急服务、应急供餐保障及扶贫支持等</w:t>
            </w:r>
            <w:r>
              <w:rPr>
                <w:rFonts w:hint="eastAsia" w:ascii="仿宋" w:hAnsi="仿宋" w:eastAsia="仿宋" w:cs="仿宋"/>
                <w:color w:val="auto"/>
                <w:sz w:val="24"/>
                <w:szCs w:val="32"/>
                <w:highlight w:val="none"/>
                <w:lang w:val="en-US" w:eastAsia="zh-CN"/>
              </w:rPr>
              <w:t>进行评审（</w:t>
            </w:r>
            <w:r>
              <w:rPr>
                <w:rFonts w:hint="eastAsia" w:ascii="仿宋_GB2312" w:hAnsi="等线" w:eastAsia="仿宋_GB2312" w:cs="宋体"/>
                <w:color w:val="000000"/>
                <w:kern w:val="0"/>
                <w:sz w:val="24"/>
                <w:highlight w:val="none"/>
              </w:rPr>
              <w:t>本项分值设置为1,0.5,0分</w:t>
            </w:r>
            <w:r>
              <w:rPr>
                <w:rFonts w:hint="eastAsia" w:ascii="仿宋" w:hAnsi="仿宋" w:eastAsia="仿宋" w:cs="仿宋"/>
                <w:color w:val="auto"/>
                <w:sz w:val="24"/>
                <w:szCs w:val="32"/>
                <w:highlight w:val="none"/>
                <w:lang w:val="en-US" w:eastAsia="zh-CN"/>
              </w:rPr>
              <w:t>）</w:t>
            </w:r>
            <w:r>
              <w:rPr>
                <w:rFonts w:hint="eastAsia" w:ascii="仿宋" w:hAnsi="仿宋" w:eastAsia="仿宋" w:cs="仿宋"/>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1</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4FD3B8B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1CCC58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2" w:firstLineChars="200"/>
        <w:textAlignment w:val="auto"/>
        <w:rPr>
          <w:rFonts w:ascii="仿宋_GB2312" w:hAnsi="仿宋_GB2312" w:eastAsia="仿宋_GB2312" w:cs="仿宋_GB2312"/>
          <w:b/>
          <w:bCs/>
          <w:color w:val="000000" w:themeColor="text1"/>
          <w:sz w:val="36"/>
          <w:szCs w:val="20"/>
          <w:highlight w:val="none"/>
          <w14:textFill>
            <w14:solidFill>
              <w14:schemeClr w14:val="tx1"/>
            </w14:solidFill>
          </w14:textFill>
        </w:rPr>
      </w:pPr>
      <w:r>
        <w:rPr>
          <w:rFonts w:hint="eastAsia" w:ascii="仿宋" w:hAnsi="仿宋" w:eastAsia="仿宋" w:cs="仿宋"/>
          <w:b/>
          <w:bCs/>
          <w:color w:val="000000" w:themeColor="text1"/>
          <w:sz w:val="24"/>
          <w:highlight w:val="none"/>
          <w:u w:val="none"/>
          <w:lang w:val="en-US" w:eastAsia="zh-CN"/>
          <w14:textFill>
            <w14:solidFill>
              <w14:schemeClr w14:val="tx1"/>
            </w14:solidFill>
          </w14:textFill>
        </w:rPr>
        <w:t>注：本项目</w:t>
      </w:r>
      <w:r>
        <w:rPr>
          <w:rFonts w:hint="eastAsia" w:ascii="仿宋" w:hAnsi="仿宋" w:eastAsia="仿宋" w:cs="仿宋"/>
          <w:b/>
          <w:bCs/>
          <w:iCs/>
          <w:color w:val="000000" w:themeColor="text1"/>
          <w:sz w:val="24"/>
          <w:highlight w:val="none"/>
          <w:u w:val="none"/>
          <w14:textFill>
            <w14:solidFill>
              <w14:schemeClr w14:val="tx1"/>
            </w14:solidFill>
          </w14:textFill>
        </w:rPr>
        <w:t>投标报价</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即为</w:t>
      </w:r>
      <w:r>
        <w:rPr>
          <w:rFonts w:hint="eastAsia" w:ascii="仿宋" w:hAnsi="仿宋" w:eastAsia="仿宋" w:cs="仿宋"/>
          <w:b/>
          <w:bCs/>
          <w:iCs/>
          <w:color w:val="000000" w:themeColor="text1"/>
          <w:sz w:val="24"/>
          <w:highlight w:val="none"/>
          <w:u w:val="none"/>
          <w14:textFill>
            <w14:solidFill>
              <w14:schemeClr w14:val="tx1"/>
            </w14:solidFill>
          </w14:textFill>
        </w:rPr>
        <w:t>投标</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折扣</w:t>
      </w:r>
      <w:r>
        <w:rPr>
          <w:rFonts w:hint="eastAsia" w:ascii="仿宋" w:hAnsi="仿宋" w:eastAsia="仿宋" w:cs="仿宋"/>
          <w:b/>
          <w:bCs/>
          <w:iCs/>
          <w:color w:val="000000" w:themeColor="text1"/>
          <w:sz w:val="24"/>
          <w:highlight w:val="none"/>
          <w:u w:val="none"/>
          <w14:textFill>
            <w14:solidFill>
              <w14:schemeClr w14:val="tx1"/>
            </w14:solidFill>
          </w14:textFill>
        </w:rPr>
        <w:t>报价</w:t>
      </w:r>
      <w:r>
        <w:rPr>
          <w:rFonts w:hint="eastAsia" w:ascii="仿宋" w:hAnsi="仿宋" w:eastAsia="仿宋" w:cs="仿宋"/>
          <w:b/>
          <w:bCs/>
          <w:iCs/>
          <w:color w:val="000000" w:themeColor="text1"/>
          <w:sz w:val="24"/>
          <w:highlight w:val="none"/>
          <w:u w:val="none"/>
          <w:lang w:eastAsia="zh-CN"/>
          <w14:textFill>
            <w14:solidFill>
              <w14:schemeClr w14:val="tx1"/>
            </w14:solidFill>
          </w14:textFill>
        </w:rPr>
        <w:t>。</w:t>
      </w:r>
    </w:p>
    <w:p w14:paraId="07A309F2">
      <w:pPr>
        <w:pStyle w:val="25"/>
        <w:rPr>
          <w:rFonts w:hint="eastAsia" w:ascii="仿宋_GB2312" w:hAnsi="仿宋_GB2312" w:eastAsia="仿宋_GB2312" w:cs="仿宋_GB2312"/>
          <w:color w:val="auto"/>
          <w:highlight w:val="none"/>
          <w:lang w:val="en-US" w:eastAsia="zh-CN"/>
        </w:rPr>
      </w:pPr>
    </w:p>
    <w:p w14:paraId="54DFB2AA">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5"/>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绍兴市中医院蔬菜、水果、米面制品、豆制品类采购（配送服务）项目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TYJZ2025050</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highlight w:val="none"/>
          <w:u w:val="single"/>
          <w:lang w:eastAsia="zh-CN"/>
        </w:rPr>
        <w:t>绍兴市中医院</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2"/>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2"/>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2"/>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2"/>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3"/>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5"/>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绍兴市中医院蔬菜、水果、米面制品、豆制品类采购（配送服务）项目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TYJZ2025050</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2"/>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3"/>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2"/>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3"/>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5"/>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绍兴市中医院蔬菜、水果、米面制品、豆制品类采购（配送服务）项目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绍兴市中医院蔬菜、水果、米面制品、豆制品类采购（配送服务）项目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绍兴市中医院蔬菜、水果、米面制品、豆制品类采购（配送服务）项目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2"/>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绍兴市中医院蔬菜、水果、米面制品、豆制品类采购（配送服务）项目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5"/>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绍兴市中医院蔬菜、水果、米面制品、豆制品类采购（配送服务）项目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5"/>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5"/>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3"/>
      <w:framePr w:wrap="around" w:vAnchor="text" w:hAnchor="margin" w:xAlign="right" w:y="1"/>
      <w:rPr>
        <w:rStyle w:val="75"/>
      </w:rPr>
    </w:pPr>
    <w:r>
      <w:fldChar w:fldCharType="begin"/>
    </w:r>
    <w:r>
      <w:rPr>
        <w:rStyle w:val="75"/>
      </w:rPr>
      <w:instrText xml:space="preserve">PAGE  </w:instrText>
    </w:r>
    <w:r>
      <w:fldChar w:fldCharType="end"/>
    </w:r>
  </w:p>
  <w:p w14:paraId="691533A9">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3"/>
      <w:framePr w:wrap="around" w:vAnchor="text" w:hAnchor="margin" w:xAlign="right" w:y="1"/>
      <w:rPr>
        <w:rStyle w:val="75"/>
      </w:rPr>
    </w:pPr>
    <w:r>
      <w:fldChar w:fldCharType="begin"/>
    </w:r>
    <w:r>
      <w:rPr>
        <w:rStyle w:val="75"/>
      </w:rPr>
      <w:instrText xml:space="preserve">PAGE  </w:instrText>
    </w:r>
    <w:r>
      <w:fldChar w:fldCharType="end"/>
    </w:r>
  </w:p>
  <w:p w14:paraId="7909B323">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4"/>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4"/>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AC9C6224"/>
    <w:multiLevelType w:val="singleLevel"/>
    <w:tmpl w:val="AC9C6224"/>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6281AECE"/>
    <w:multiLevelType w:val="singleLevel"/>
    <w:tmpl w:val="6281AECE"/>
    <w:lvl w:ilvl="0" w:tentative="0">
      <w:start w:val="1"/>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C080F2B"/>
    <w:rsid w:val="0D05270C"/>
    <w:rsid w:val="0EC73C5B"/>
    <w:rsid w:val="0ED066DD"/>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357358"/>
    <w:rsid w:val="325B74D9"/>
    <w:rsid w:val="326F4556"/>
    <w:rsid w:val="343524A0"/>
    <w:rsid w:val="34985663"/>
    <w:rsid w:val="34C311A7"/>
    <w:rsid w:val="34D04EBC"/>
    <w:rsid w:val="34D4228C"/>
    <w:rsid w:val="37772AB0"/>
    <w:rsid w:val="378949C3"/>
    <w:rsid w:val="38805C9A"/>
    <w:rsid w:val="38A71B3B"/>
    <w:rsid w:val="38D72BE1"/>
    <w:rsid w:val="3D175306"/>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83F2D"/>
    <w:rsid w:val="49C763E6"/>
    <w:rsid w:val="4A9A622B"/>
    <w:rsid w:val="4AB656E6"/>
    <w:rsid w:val="4B822B15"/>
    <w:rsid w:val="4BD5605F"/>
    <w:rsid w:val="4D494522"/>
    <w:rsid w:val="4F1630B7"/>
    <w:rsid w:val="4F1636DC"/>
    <w:rsid w:val="4F357B5D"/>
    <w:rsid w:val="4F4B3D85"/>
    <w:rsid w:val="4F981E95"/>
    <w:rsid w:val="4FB234AC"/>
    <w:rsid w:val="51457CA0"/>
    <w:rsid w:val="54171EB0"/>
    <w:rsid w:val="55711956"/>
    <w:rsid w:val="58C80011"/>
    <w:rsid w:val="5A087C92"/>
    <w:rsid w:val="5B3A5A13"/>
    <w:rsid w:val="5B41777E"/>
    <w:rsid w:val="5B73EE39"/>
    <w:rsid w:val="5C1A2FAD"/>
    <w:rsid w:val="5C32325A"/>
    <w:rsid w:val="5CFAC9C4"/>
    <w:rsid w:val="5D2259CE"/>
    <w:rsid w:val="5E2E4BD1"/>
    <w:rsid w:val="5EAE6770"/>
    <w:rsid w:val="5F561B6F"/>
    <w:rsid w:val="5F57E5CA"/>
    <w:rsid w:val="5F70097E"/>
    <w:rsid w:val="5FD75EED"/>
    <w:rsid w:val="63046C6E"/>
    <w:rsid w:val="63672B83"/>
    <w:rsid w:val="63987E88"/>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875DAB"/>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5"/>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7"/>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paragraph" w:styleId="64">
    <w:name w:val="Body Text First Indent"/>
    <w:basedOn w:val="1"/>
    <w:next w:val="1"/>
    <w:link w:val="320"/>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2"/>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2"/>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basedOn w:val="72"/>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17314</Words>
  <Characters>18550</Characters>
  <Paragraphs>1943</Paragraphs>
  <TotalTime>77</TotalTime>
  <ScaleCrop>false</ScaleCrop>
  <LinksUpToDate>false</LinksUpToDate>
  <CharactersWithSpaces>18876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2025-07-08T12:39:50Z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