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绍兴市中医院西门子DR维保项目（重招）</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TYJZ2025046</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绍兴市中医院西门子DR维保项目（重招）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17</w:t>
      </w:r>
      <w:r>
        <w:rPr>
          <w:rStyle w:val="76"/>
          <w:rFonts w:hint="eastAsia" w:ascii="仿宋" w:hAnsi="仿宋" w:eastAsia="仿宋" w:cs="仿宋"/>
          <w:snapToGrid/>
          <w:color w:val="auto"/>
          <w:kern w:val="2"/>
          <w:sz w:val="24"/>
          <w:szCs w:val="24"/>
          <w:highlight w:val="none"/>
        </w:rPr>
        <w:t xml:space="preserve">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TYJZ2025046</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绍兴市中医院西门子DR维保项目（重招）</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 w:val="0"/>
          <w:bCs/>
          <w:color w:val="auto"/>
          <w:sz w:val="24"/>
          <w:highlight w:val="none"/>
        </w:rPr>
        <w:t xml:space="preserve">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 w:val="0"/>
          <w:bCs/>
          <w:color w:val="auto"/>
          <w:sz w:val="24"/>
          <w:highlight w:val="none"/>
        </w:rPr>
        <w:t xml:space="preserve">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标项名称：西门子DR维保项目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预算金额（元）：600000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w:t>
      </w:r>
      <w:bookmarkStart w:id="168" w:name="_GoBack"/>
      <w:bookmarkEnd w:id="168"/>
      <w:r>
        <w:rPr>
          <w:rFonts w:hint="eastAsia" w:ascii="仿宋" w:hAnsi="仿宋" w:eastAsia="仿宋" w:cs="仿宋"/>
          <w:color w:val="auto"/>
          <w:sz w:val="24"/>
          <w:highlight w:val="none"/>
        </w:rPr>
        <w:t>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637"/>
      <w:bookmarkStart w:id="7" w:name="_Toc28359019"/>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0575-89109951</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35393638"/>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403820"/>
      <w:bookmarkEnd w:id="20"/>
      <w:bookmarkStart w:id="21" w:name="_Hlt74714665"/>
      <w:bookmarkEnd w:id="21"/>
      <w:bookmarkStart w:id="22" w:name="_Hlt68073093"/>
      <w:bookmarkEnd w:id="22"/>
      <w:bookmarkStart w:id="23" w:name="_Hlt75236101"/>
      <w:bookmarkEnd w:id="23"/>
      <w:bookmarkStart w:id="24" w:name="_Hlt68072990"/>
      <w:bookmarkEnd w:id="24"/>
      <w:bookmarkStart w:id="25" w:name="_Hlt68057669"/>
      <w:bookmarkEnd w:id="25"/>
      <w:bookmarkStart w:id="26" w:name="_Hlt74707468"/>
      <w:bookmarkEnd w:id="26"/>
      <w:bookmarkStart w:id="27" w:name="_Hlt68072998"/>
      <w:bookmarkEnd w:id="27"/>
      <w:bookmarkStart w:id="28" w:name="_Hlt74729768"/>
      <w:bookmarkEnd w:id="28"/>
      <w:bookmarkStart w:id="29" w:name="_Hlt75236011"/>
      <w:bookmarkEnd w:id="29"/>
      <w:bookmarkStart w:id="30" w:name="_Hlt74730295"/>
      <w:bookmarkEnd w:id="30"/>
      <w:bookmarkStart w:id="31" w:name="_Hlt75236290"/>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1F3531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西门子DR维保项目，预算600000元/3年，合同期限：自合同签订之日起三年。</w:t>
      </w:r>
    </w:p>
    <w:p w14:paraId="09A6ACAE">
      <w:pPr>
        <w:spacing w:after="0"/>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sz w:val="24"/>
          <w:szCs w:val="24"/>
          <w:highlight w:val="none"/>
        </w:rPr>
        <w:t>技术</w:t>
      </w:r>
      <w:r>
        <w:rPr>
          <w:rFonts w:hint="eastAsia" w:ascii="仿宋" w:hAnsi="仿宋" w:eastAsia="仿宋" w:cs="仿宋"/>
          <w:b/>
          <w:sz w:val="24"/>
          <w:szCs w:val="24"/>
          <w:highlight w:val="none"/>
          <w:lang w:val="en-US" w:eastAsia="zh-CN"/>
        </w:rPr>
        <w:t>参数</w:t>
      </w:r>
      <w:r>
        <w:rPr>
          <w:rFonts w:hint="eastAsia" w:ascii="仿宋" w:hAnsi="仿宋" w:eastAsia="仿宋" w:cs="仿宋"/>
          <w:b/>
          <w:sz w:val="24"/>
          <w:szCs w:val="24"/>
          <w:highlight w:val="none"/>
        </w:rPr>
        <w:t>要求：</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7537"/>
      </w:tblGrid>
      <w:tr w14:paraId="08BE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9" w:type="dxa"/>
            <w:noWrap w:val="0"/>
            <w:vAlign w:val="center"/>
          </w:tcPr>
          <w:p w14:paraId="3046C8DF">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序号</w:t>
            </w:r>
          </w:p>
        </w:tc>
        <w:tc>
          <w:tcPr>
            <w:tcW w:w="7563" w:type="dxa"/>
            <w:noWrap w:val="0"/>
            <w:vAlign w:val="center"/>
          </w:tcPr>
          <w:p w14:paraId="4C8AEA8B">
            <w:pPr>
              <w:spacing w:after="0" w:line="240" w:lineRule="auto"/>
              <w:jc w:val="center"/>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内容</w:t>
            </w:r>
          </w:p>
        </w:tc>
      </w:tr>
      <w:tr w14:paraId="506A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959" w:type="dxa"/>
            <w:noWrap w:val="0"/>
            <w:vAlign w:val="center"/>
          </w:tcPr>
          <w:p w14:paraId="41692A2F">
            <w:pPr>
              <w:spacing w:after="0" w:line="240" w:lineRule="auto"/>
              <w:jc w:val="center"/>
              <w:rPr>
                <w:rFonts w:hint="eastAsia" w:ascii="仿宋" w:hAnsi="仿宋" w:eastAsia="仿宋" w:cs="仿宋"/>
                <w:b/>
                <w:color w:val="000000"/>
                <w:sz w:val="24"/>
                <w:szCs w:val="24"/>
                <w:highlight w:val="none"/>
                <w:lang w:val="en-US" w:eastAsia="zh-CN" w:bidi="ar-SA"/>
              </w:rPr>
            </w:pPr>
            <w:r>
              <w:rPr>
                <w:rFonts w:hint="eastAsia" w:ascii="仿宋" w:hAnsi="仿宋" w:eastAsia="仿宋" w:cs="仿宋"/>
                <w:color w:val="auto"/>
                <w:kern w:val="0"/>
                <w:sz w:val="24"/>
                <w:szCs w:val="22"/>
                <w:highlight w:val="none"/>
                <w:lang w:val="en-US" w:eastAsia="zh-CN" w:bidi="ar-SA"/>
              </w:rPr>
              <w:t>1</w:t>
            </w:r>
          </w:p>
        </w:tc>
        <w:tc>
          <w:tcPr>
            <w:tcW w:w="7563" w:type="dxa"/>
            <w:noWrap w:val="0"/>
            <w:vAlign w:val="center"/>
          </w:tcPr>
          <w:p w14:paraId="0B60DCB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4"/>
                <w:highlight w:val="none"/>
              </w:rPr>
            </w:pPr>
            <w:r>
              <w:rPr>
                <w:rFonts w:hint="eastAsia" w:ascii="仿宋" w:hAnsi="仿宋" w:eastAsia="仿宋" w:cs="仿宋"/>
                <w:sz w:val="24"/>
                <w:highlight w:val="none"/>
              </w:rPr>
              <w:t>保修内容：</w:t>
            </w:r>
            <w:r>
              <w:rPr>
                <w:rFonts w:hint="eastAsia" w:ascii="仿宋" w:hAnsi="仿宋" w:eastAsia="仿宋" w:cs="仿宋"/>
                <w:sz w:val="24"/>
                <w:szCs w:val="24"/>
                <w:highlight w:val="none"/>
                <w:vertAlign w:val="baseline"/>
                <w:lang w:val="en-US" w:eastAsia="zh-CN"/>
              </w:rPr>
              <w:t>西门子DR 1台，整机保修（除平板），包含所有人工以及备件，需提供原厂原包装备件</w:t>
            </w:r>
            <w:r>
              <w:rPr>
                <w:rFonts w:hint="eastAsia" w:ascii="仿宋" w:hAnsi="仿宋" w:eastAsia="仿宋" w:cs="仿宋"/>
                <w:b/>
                <w:bCs/>
                <w:sz w:val="24"/>
                <w:szCs w:val="24"/>
                <w:highlight w:val="none"/>
                <w:vertAlign w:val="baseline"/>
                <w:lang w:val="en-US" w:eastAsia="zh-CN"/>
              </w:rPr>
              <w:t>（提供相关证明材料）</w:t>
            </w:r>
            <w:r>
              <w:rPr>
                <w:rFonts w:hint="eastAsia" w:ascii="仿宋" w:hAnsi="仿宋" w:eastAsia="仿宋" w:cs="仿宋"/>
                <w:sz w:val="24"/>
                <w:szCs w:val="24"/>
                <w:highlight w:val="none"/>
                <w:vertAlign w:val="baseline"/>
                <w:lang w:val="en-US" w:eastAsia="zh-CN"/>
              </w:rPr>
              <w:t>。</w:t>
            </w:r>
          </w:p>
        </w:tc>
      </w:tr>
      <w:tr w14:paraId="5610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59" w:type="dxa"/>
            <w:noWrap w:val="0"/>
            <w:vAlign w:val="center"/>
          </w:tcPr>
          <w:p w14:paraId="63BE93A4">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2</w:t>
            </w:r>
          </w:p>
        </w:tc>
        <w:tc>
          <w:tcPr>
            <w:tcW w:w="7563" w:type="dxa"/>
            <w:noWrap w:val="0"/>
            <w:vAlign w:val="center"/>
          </w:tcPr>
          <w:p w14:paraId="48A14D34">
            <w:pPr>
              <w:pStyle w:val="955"/>
              <w:spacing w:line="300" w:lineRule="auto"/>
              <w:jc w:val="both"/>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设有全球技术支持中心，提供</w:t>
            </w:r>
            <w:r>
              <w:rPr>
                <w:rFonts w:hint="eastAsia" w:ascii="仿宋" w:hAnsi="仿宋" w:eastAsia="仿宋" w:cs="仿宋"/>
                <w:color w:val="auto"/>
                <w:kern w:val="0"/>
                <w:sz w:val="24"/>
                <w:szCs w:val="22"/>
                <w:highlight w:val="none"/>
                <w:lang w:val="en-US" w:eastAsia="zh-CN" w:bidi="ar-SA"/>
              </w:rPr>
              <w:t>800或400热线服务</w:t>
            </w:r>
            <w:r>
              <w:rPr>
                <w:rFonts w:hint="eastAsia" w:ascii="仿宋" w:hAnsi="仿宋" w:eastAsia="仿宋" w:cs="仿宋"/>
                <w:color w:val="auto"/>
                <w:kern w:val="0"/>
                <w:sz w:val="24"/>
                <w:szCs w:val="22"/>
                <w:highlight w:val="none"/>
                <w:lang w:val="zh-CN" w:eastAsia="zh-CN" w:bidi="ar-SA"/>
              </w:rPr>
              <w:t>电话及邮箱。</w:t>
            </w:r>
          </w:p>
        </w:tc>
      </w:tr>
      <w:tr w14:paraId="69E7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959" w:type="dxa"/>
            <w:noWrap w:val="0"/>
            <w:vAlign w:val="center"/>
          </w:tcPr>
          <w:p w14:paraId="34FEDAE8">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3</w:t>
            </w:r>
          </w:p>
        </w:tc>
        <w:tc>
          <w:tcPr>
            <w:tcW w:w="7563" w:type="dxa"/>
            <w:noWrap w:val="0"/>
            <w:vAlign w:val="center"/>
          </w:tcPr>
          <w:p w14:paraId="42081D35">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具备远程故障排除能力，可以实时远程读取故障代码、分析故障代码，并基于故障代码排除故障</w:t>
            </w:r>
            <w:r>
              <w:rPr>
                <w:rFonts w:hint="eastAsia" w:ascii="仿宋" w:hAnsi="仿宋" w:eastAsia="仿宋" w:cs="仿宋"/>
                <w:b/>
                <w:bCs/>
                <w:color w:val="auto"/>
                <w:kern w:val="0"/>
                <w:sz w:val="24"/>
                <w:szCs w:val="22"/>
                <w:highlight w:val="none"/>
                <w:lang w:val="zh-CN" w:eastAsia="zh-CN" w:bidi="ar-SA"/>
              </w:rPr>
              <w:t>（提供相关证明材料）</w:t>
            </w:r>
            <w:r>
              <w:rPr>
                <w:rFonts w:hint="eastAsia" w:ascii="仿宋" w:hAnsi="仿宋" w:eastAsia="仿宋" w:cs="仿宋"/>
                <w:color w:val="auto"/>
                <w:kern w:val="0"/>
                <w:sz w:val="24"/>
                <w:szCs w:val="22"/>
                <w:highlight w:val="none"/>
                <w:lang w:val="zh-CN" w:eastAsia="zh-CN" w:bidi="ar-SA"/>
              </w:rPr>
              <w:t>。</w:t>
            </w:r>
          </w:p>
        </w:tc>
      </w:tr>
      <w:tr w14:paraId="6469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959" w:type="dxa"/>
            <w:noWrap w:val="0"/>
            <w:vAlign w:val="center"/>
          </w:tcPr>
          <w:p w14:paraId="36AC6F1A">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4</w:t>
            </w:r>
          </w:p>
        </w:tc>
        <w:tc>
          <w:tcPr>
            <w:tcW w:w="7563" w:type="dxa"/>
            <w:noWrap w:val="0"/>
            <w:vAlign w:val="center"/>
          </w:tcPr>
          <w:p w14:paraId="57492425">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具备实时在线查询设备信息和状态的能力</w:t>
            </w:r>
            <w:r>
              <w:rPr>
                <w:rFonts w:hint="eastAsia" w:ascii="仿宋" w:hAnsi="仿宋" w:eastAsia="仿宋" w:cs="仿宋"/>
                <w:b/>
                <w:bCs/>
                <w:color w:val="auto"/>
                <w:kern w:val="0"/>
                <w:sz w:val="24"/>
                <w:szCs w:val="22"/>
                <w:highlight w:val="none"/>
                <w:lang w:val="zh-CN" w:eastAsia="zh-CN" w:bidi="ar-SA"/>
              </w:rPr>
              <w:t>（提供系统界面截图作为证明材料）。</w:t>
            </w:r>
          </w:p>
        </w:tc>
      </w:tr>
      <w:tr w14:paraId="5726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59" w:type="dxa"/>
            <w:noWrap w:val="0"/>
            <w:vAlign w:val="center"/>
          </w:tcPr>
          <w:p w14:paraId="4053E4EC">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5</w:t>
            </w:r>
          </w:p>
        </w:tc>
        <w:tc>
          <w:tcPr>
            <w:tcW w:w="7563" w:type="dxa"/>
            <w:noWrap w:val="0"/>
            <w:vAlign w:val="center"/>
          </w:tcPr>
          <w:p w14:paraId="02D4656B">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接到报修电话后15分钟内提供专业工程师电话支持。如需派工上门，1 小时内确认派工信息和工程师到达医院所在地时间。自接报修电话始，专业工程师24小时内抵达故障现场。</w:t>
            </w:r>
          </w:p>
        </w:tc>
      </w:tr>
      <w:tr w14:paraId="4CEC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959" w:type="dxa"/>
            <w:noWrap w:val="0"/>
            <w:vAlign w:val="center"/>
          </w:tcPr>
          <w:p w14:paraId="5C3D024D">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★6</w:t>
            </w:r>
          </w:p>
        </w:tc>
        <w:tc>
          <w:tcPr>
            <w:tcW w:w="7563" w:type="dxa"/>
            <w:noWrap w:val="0"/>
            <w:vAlign w:val="center"/>
          </w:tcPr>
          <w:p w14:paraId="7EE915B8">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保证保修期内开机率至少达到96%（包括双休日、节假日），单次故障最长修复时间在5天之内。如开机率达不到要求及单次维修时间超时，每超过一天，保修期相应延长7天。</w:t>
            </w:r>
            <w:r>
              <w:rPr>
                <w:rFonts w:hint="eastAsia" w:ascii="仿宋" w:hAnsi="仿宋" w:eastAsia="仿宋" w:cs="仿宋"/>
                <w:b/>
                <w:bCs/>
                <w:color w:val="auto"/>
                <w:kern w:val="0"/>
                <w:sz w:val="24"/>
                <w:szCs w:val="22"/>
                <w:highlight w:val="none"/>
                <w:lang w:val="zh-CN" w:eastAsia="zh-CN" w:bidi="ar-SA"/>
              </w:rPr>
              <w:t>（需提供承诺书）</w:t>
            </w:r>
            <w:r>
              <w:rPr>
                <w:rFonts w:hint="eastAsia" w:ascii="仿宋" w:hAnsi="仿宋" w:eastAsia="仿宋" w:cs="仿宋"/>
                <w:color w:val="auto"/>
                <w:kern w:val="0"/>
                <w:sz w:val="24"/>
                <w:szCs w:val="22"/>
                <w:highlight w:val="none"/>
                <w:lang w:val="zh-CN" w:eastAsia="zh-CN" w:bidi="ar-SA"/>
              </w:rPr>
              <w:t>。</w:t>
            </w:r>
          </w:p>
        </w:tc>
      </w:tr>
      <w:tr w14:paraId="09F7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59" w:type="dxa"/>
            <w:noWrap w:val="0"/>
            <w:vAlign w:val="center"/>
          </w:tcPr>
          <w:p w14:paraId="58C882CA">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7</w:t>
            </w:r>
          </w:p>
        </w:tc>
        <w:tc>
          <w:tcPr>
            <w:tcW w:w="7563" w:type="dxa"/>
            <w:noWrap w:val="0"/>
            <w:vAlign w:val="center"/>
          </w:tcPr>
          <w:p w14:paraId="67F4B0A5">
            <w:pPr>
              <w:pStyle w:val="955"/>
              <w:spacing w:line="300" w:lineRule="auto"/>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zh-CN" w:eastAsia="zh-CN" w:bidi="ar-SA"/>
              </w:rPr>
              <w:t>在本省配有≥</w:t>
            </w:r>
            <w:r>
              <w:rPr>
                <w:rFonts w:hint="eastAsia" w:ascii="仿宋" w:hAnsi="仿宋" w:eastAsia="仿宋" w:cs="仿宋"/>
                <w:color w:val="auto"/>
                <w:kern w:val="0"/>
                <w:sz w:val="24"/>
                <w:szCs w:val="22"/>
                <w:highlight w:val="none"/>
                <w:lang w:val="en-US" w:eastAsia="zh-CN" w:bidi="ar-SA"/>
              </w:rPr>
              <w:t>3人的专职应用服务团队</w:t>
            </w:r>
            <w:r>
              <w:rPr>
                <w:rFonts w:hint="eastAsia" w:ascii="仿宋" w:hAnsi="仿宋" w:eastAsia="仿宋" w:cs="仿宋"/>
                <w:b/>
                <w:bCs/>
                <w:color w:val="auto"/>
                <w:kern w:val="0"/>
                <w:sz w:val="24"/>
                <w:szCs w:val="22"/>
                <w:highlight w:val="none"/>
                <w:lang w:val="en-US" w:eastAsia="zh-CN" w:bidi="ar-SA"/>
              </w:rPr>
              <w:t>（提供相关证明）</w:t>
            </w:r>
            <w:r>
              <w:rPr>
                <w:rFonts w:hint="eastAsia" w:ascii="仿宋" w:hAnsi="仿宋" w:eastAsia="仿宋" w:cs="仿宋"/>
                <w:color w:val="auto"/>
                <w:kern w:val="0"/>
                <w:sz w:val="24"/>
                <w:szCs w:val="22"/>
                <w:highlight w:val="none"/>
                <w:lang w:val="en-US" w:eastAsia="zh-CN" w:bidi="ar-SA"/>
              </w:rPr>
              <w:t>。</w:t>
            </w:r>
          </w:p>
        </w:tc>
      </w:tr>
      <w:tr w14:paraId="0174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959" w:type="dxa"/>
            <w:noWrap w:val="0"/>
            <w:vAlign w:val="center"/>
          </w:tcPr>
          <w:p w14:paraId="0FEEB419">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8</w:t>
            </w:r>
          </w:p>
        </w:tc>
        <w:tc>
          <w:tcPr>
            <w:tcW w:w="7563" w:type="dxa"/>
            <w:noWrap w:val="0"/>
            <w:vAlign w:val="center"/>
          </w:tcPr>
          <w:p w14:paraId="11C1618D">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en-US" w:eastAsia="zh-CN" w:bidi="ar-SA"/>
              </w:rPr>
              <w:t>现场工作人员需提供辐射安全证书。</w:t>
            </w:r>
          </w:p>
        </w:tc>
      </w:tr>
      <w:tr w14:paraId="2EF8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59" w:type="dxa"/>
            <w:noWrap w:val="0"/>
            <w:vAlign w:val="center"/>
          </w:tcPr>
          <w:p w14:paraId="5F5CC6A2">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9</w:t>
            </w:r>
          </w:p>
        </w:tc>
        <w:tc>
          <w:tcPr>
            <w:tcW w:w="7563" w:type="dxa"/>
            <w:noWrap w:val="0"/>
            <w:vAlign w:val="center"/>
          </w:tcPr>
          <w:p w14:paraId="0A096E5D">
            <w:pPr>
              <w:pStyle w:val="955"/>
              <w:spacing w:line="300" w:lineRule="auto"/>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sz w:val="24"/>
                <w:highlight w:val="none"/>
              </w:rPr>
              <w:t>在保修服务期内提供24小时技术电话支持（24小时</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365天），客户服务中心技术支持专家支持工程师≥</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人，并提供维修资质证明文件及社保缴纳证明。</w:t>
            </w:r>
          </w:p>
        </w:tc>
      </w:tr>
      <w:tr w14:paraId="5D52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959" w:type="dxa"/>
            <w:noWrap w:val="0"/>
            <w:vAlign w:val="center"/>
          </w:tcPr>
          <w:p w14:paraId="5F7DF503">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10</w:t>
            </w:r>
          </w:p>
        </w:tc>
        <w:tc>
          <w:tcPr>
            <w:tcW w:w="7563" w:type="dxa"/>
            <w:noWrap w:val="0"/>
            <w:vAlign w:val="center"/>
          </w:tcPr>
          <w:p w14:paraId="45BE07BD">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符合资质的工程师≥</w:t>
            </w:r>
            <w:r>
              <w:rPr>
                <w:rFonts w:hint="eastAsia" w:ascii="仿宋" w:hAnsi="仿宋" w:eastAsia="仿宋" w:cs="仿宋"/>
                <w:color w:val="auto"/>
                <w:kern w:val="0"/>
                <w:sz w:val="24"/>
                <w:szCs w:val="22"/>
                <w:highlight w:val="none"/>
                <w:lang w:val="en-US" w:eastAsia="zh-CN" w:bidi="ar-SA"/>
              </w:rPr>
              <w:t>4</w:t>
            </w:r>
            <w:r>
              <w:rPr>
                <w:rFonts w:hint="eastAsia" w:ascii="仿宋" w:hAnsi="仿宋" w:eastAsia="仿宋" w:cs="仿宋"/>
                <w:color w:val="auto"/>
                <w:kern w:val="0"/>
                <w:sz w:val="24"/>
                <w:szCs w:val="22"/>
                <w:highlight w:val="none"/>
                <w:lang w:val="zh-CN" w:eastAsia="zh-CN" w:bidi="ar-SA"/>
              </w:rPr>
              <w:t>人，要求提供两年内有效的维修培训证书和雇佣关系证明。</w:t>
            </w:r>
          </w:p>
        </w:tc>
      </w:tr>
      <w:tr w14:paraId="006E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959" w:type="dxa"/>
            <w:noWrap w:val="0"/>
            <w:vAlign w:val="center"/>
          </w:tcPr>
          <w:p w14:paraId="7A8F42C3">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11</w:t>
            </w:r>
          </w:p>
        </w:tc>
        <w:tc>
          <w:tcPr>
            <w:tcW w:w="7563" w:type="dxa"/>
            <w:noWrap w:val="0"/>
            <w:vAlign w:val="center"/>
          </w:tcPr>
          <w:p w14:paraId="7ED6A2A4">
            <w:pPr>
              <w:pStyle w:val="955"/>
              <w:spacing w:line="300" w:lineRule="auto"/>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国内备件库数量≥2个。</w:t>
            </w:r>
          </w:p>
        </w:tc>
      </w:tr>
      <w:tr w14:paraId="37A4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959" w:type="dxa"/>
            <w:noWrap w:val="0"/>
            <w:vAlign w:val="center"/>
          </w:tcPr>
          <w:p w14:paraId="2E9840C5">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12</w:t>
            </w:r>
          </w:p>
        </w:tc>
        <w:tc>
          <w:tcPr>
            <w:tcW w:w="7563" w:type="dxa"/>
            <w:noWrap w:val="0"/>
            <w:vAlign w:val="center"/>
          </w:tcPr>
          <w:p w14:paraId="102C7637">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投标人需提供核心备件具有合法来源的证明材料，如向原厂采购备件的历史成交记录或原厂授权投标的证明文件；若投标人为设备原厂，则不需要提供。</w:t>
            </w:r>
          </w:p>
        </w:tc>
      </w:tr>
      <w:tr w14:paraId="721B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59" w:type="dxa"/>
            <w:noWrap w:val="0"/>
            <w:vAlign w:val="center"/>
          </w:tcPr>
          <w:p w14:paraId="23E6FF11">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13</w:t>
            </w:r>
          </w:p>
        </w:tc>
        <w:tc>
          <w:tcPr>
            <w:tcW w:w="7563" w:type="dxa"/>
            <w:noWrap w:val="0"/>
            <w:vAlign w:val="center"/>
          </w:tcPr>
          <w:p w14:paraId="0F9E1842">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提供球管出厂检验报告和球管合格证电子样板。</w:t>
            </w:r>
          </w:p>
        </w:tc>
      </w:tr>
      <w:tr w14:paraId="1225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959" w:type="dxa"/>
            <w:noWrap w:val="0"/>
            <w:vAlign w:val="center"/>
          </w:tcPr>
          <w:p w14:paraId="7B6AF4D4">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14</w:t>
            </w:r>
          </w:p>
        </w:tc>
        <w:tc>
          <w:tcPr>
            <w:tcW w:w="7563" w:type="dxa"/>
            <w:noWrap w:val="0"/>
            <w:vAlign w:val="center"/>
          </w:tcPr>
          <w:p w14:paraId="640563C1">
            <w:pPr>
              <w:pStyle w:val="955"/>
              <w:spacing w:line="300" w:lineRule="auto"/>
              <w:rPr>
                <w:rFonts w:hint="eastAsia" w:ascii="仿宋" w:hAnsi="仿宋" w:eastAsia="仿宋" w:cs="仿宋"/>
                <w:color w:val="auto"/>
                <w:kern w:val="0"/>
                <w:sz w:val="24"/>
                <w:szCs w:val="22"/>
                <w:highlight w:val="none"/>
                <w:lang w:val="zh-CN" w:eastAsia="zh-CN" w:bidi="ar-SA"/>
              </w:rPr>
            </w:pPr>
            <w:r>
              <w:rPr>
                <w:rFonts w:hint="eastAsia" w:ascii="仿宋" w:hAnsi="仿宋" w:eastAsia="仿宋" w:cs="仿宋"/>
                <w:color w:val="auto"/>
                <w:kern w:val="0"/>
                <w:sz w:val="24"/>
                <w:szCs w:val="22"/>
                <w:highlight w:val="none"/>
                <w:lang w:val="zh-CN" w:eastAsia="zh-CN" w:bidi="ar-SA"/>
              </w:rPr>
              <w:t>每次保养完成后依照系统自带的检测流程进行系统检测，生成PDF文件附于保养报告中交给客户存档。</w:t>
            </w:r>
          </w:p>
        </w:tc>
      </w:tr>
    </w:tbl>
    <w:p w14:paraId="4F80F9AA">
      <w:pPr>
        <w:spacing w:after="0"/>
        <w:rPr>
          <w:rFonts w:hint="eastAsia" w:ascii="仿宋" w:hAnsi="仿宋" w:eastAsia="仿宋" w:cs="仿宋"/>
          <w:b/>
          <w:highlight w:val="none"/>
        </w:rPr>
      </w:pPr>
      <w:r>
        <w:rPr>
          <w:rFonts w:hint="eastAsia" w:ascii="仿宋" w:hAnsi="仿宋" w:eastAsia="仿宋" w:cs="仿宋"/>
          <w:b/>
          <w:highlight w:val="none"/>
        </w:rPr>
        <w:t>特别说明：</w:t>
      </w:r>
      <w:r>
        <w:rPr>
          <w:rFonts w:hint="eastAsia" w:ascii="仿宋" w:hAnsi="仿宋" w:eastAsia="仿宋" w:cs="仿宋"/>
          <w:b/>
          <w:highlight w:val="none"/>
          <w:lang w:val="zh-CN"/>
        </w:rPr>
        <w:t>标注</w:t>
      </w:r>
      <w:r>
        <w:rPr>
          <w:rFonts w:hint="eastAsia" w:ascii="仿宋" w:hAnsi="仿宋" w:eastAsia="仿宋" w:cs="仿宋"/>
          <w:b/>
          <w:highlight w:val="none"/>
        </w:rPr>
        <w:t>“★</w:t>
      </w:r>
      <w:r>
        <w:rPr>
          <w:rFonts w:hint="eastAsia" w:ascii="仿宋" w:hAnsi="仿宋" w:eastAsia="仿宋" w:cs="仿宋"/>
          <w:b/>
          <w:highlight w:val="none"/>
          <w:lang w:val="en-US" w:eastAsia="zh-CN"/>
        </w:rPr>
        <w:t>▲</w:t>
      </w:r>
      <w:r>
        <w:rPr>
          <w:rFonts w:hint="eastAsia" w:ascii="仿宋" w:hAnsi="仿宋" w:eastAsia="仿宋" w:cs="仿宋"/>
          <w:b/>
          <w:highlight w:val="none"/>
        </w:rPr>
        <w:t>”系指</w:t>
      </w:r>
      <w:bookmarkStart w:id="38" w:name="OLE_LINK1"/>
      <w:r>
        <w:rPr>
          <w:rFonts w:hint="eastAsia" w:ascii="仿宋" w:hAnsi="仿宋" w:eastAsia="仿宋" w:cs="仿宋"/>
          <w:b/>
          <w:highlight w:val="none"/>
        </w:rPr>
        <w:t>实质性要求条款</w:t>
      </w:r>
      <w:bookmarkEnd w:id="38"/>
      <w:r>
        <w:rPr>
          <w:rFonts w:hint="eastAsia" w:ascii="仿宋" w:hAnsi="仿宋" w:eastAsia="仿宋" w:cs="仿宋"/>
          <w:b/>
          <w:highlight w:val="none"/>
        </w:rPr>
        <w:t>，提供充分证明材料。</w:t>
      </w:r>
    </w:p>
    <w:p w14:paraId="1CDEE9CB">
      <w:pPr>
        <w:spacing w:after="0"/>
        <w:rPr>
          <w:rFonts w:hint="eastAsia" w:ascii="仿宋" w:hAnsi="仿宋" w:eastAsia="仿宋" w:cs="仿宋"/>
          <w:sz w:val="24"/>
          <w:highlight w:val="none"/>
          <w:lang w:val="en-US"/>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en-US"/>
        </w:rPr>
        <w:t>考核：</w:t>
      </w:r>
      <w:r>
        <w:rPr>
          <w:rFonts w:hint="eastAsia" w:ascii="仿宋" w:hAnsi="仿宋" w:eastAsia="仿宋" w:cs="仿宋"/>
          <w:sz w:val="24"/>
          <w:highlight w:val="none"/>
        </w:rPr>
        <w:t>采购人应对中标方提供的</w:t>
      </w:r>
      <w:r>
        <w:rPr>
          <w:rFonts w:hint="eastAsia" w:ascii="仿宋" w:hAnsi="仿宋" w:eastAsia="仿宋" w:cs="仿宋"/>
          <w:sz w:val="24"/>
          <w:highlight w:val="none"/>
          <w:lang w:val="en-US"/>
        </w:rPr>
        <w:t>维保</w:t>
      </w:r>
      <w:r>
        <w:rPr>
          <w:rFonts w:hint="eastAsia" w:ascii="仿宋" w:hAnsi="仿宋" w:eastAsia="仿宋" w:cs="仿宋"/>
          <w:sz w:val="24"/>
          <w:highlight w:val="none"/>
        </w:rPr>
        <w:t>服务质量，服度态度进行全面考核，考核合格方可支付服务费用，考核标准参照附件：《绍兴市</w:t>
      </w:r>
      <w:r>
        <w:rPr>
          <w:rFonts w:hint="eastAsia" w:ascii="仿宋" w:hAnsi="仿宋" w:eastAsia="仿宋" w:cs="仿宋"/>
          <w:sz w:val="24"/>
          <w:highlight w:val="none"/>
          <w:lang w:eastAsia="zh-CN"/>
        </w:rPr>
        <w:t>中</w:t>
      </w:r>
      <w:r>
        <w:rPr>
          <w:rFonts w:hint="eastAsia" w:ascii="仿宋" w:hAnsi="仿宋" w:eastAsia="仿宋" w:cs="仿宋"/>
          <w:sz w:val="24"/>
          <w:highlight w:val="none"/>
        </w:rPr>
        <w:t>医院</w:t>
      </w:r>
      <w:r>
        <w:rPr>
          <w:rFonts w:hint="eastAsia" w:ascii="仿宋" w:hAnsi="仿宋" w:eastAsia="仿宋" w:cs="仿宋"/>
          <w:sz w:val="24"/>
          <w:highlight w:val="none"/>
          <w:lang w:val="en-US"/>
        </w:rPr>
        <w:t>医疗设备维保</w:t>
      </w:r>
      <w:r>
        <w:rPr>
          <w:rFonts w:hint="eastAsia" w:ascii="仿宋" w:hAnsi="仿宋" w:eastAsia="仿宋" w:cs="仿宋"/>
          <w:sz w:val="24"/>
          <w:highlight w:val="none"/>
        </w:rPr>
        <w:t>服务考核管理办法》。</w:t>
      </w:r>
    </w:p>
    <w:p w14:paraId="2C3E42BC">
      <w:pPr>
        <w:spacing w:after="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付款方式：合同</w:t>
      </w:r>
      <w:r>
        <w:rPr>
          <w:rFonts w:hint="eastAsia" w:ascii="仿宋" w:hAnsi="仿宋" w:eastAsia="仿宋" w:cs="仿宋"/>
          <w:sz w:val="24"/>
          <w:highlight w:val="none"/>
          <w:lang w:val="en-US" w:eastAsia="zh-CN"/>
        </w:rPr>
        <w:t>签订后</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60天</w:t>
      </w:r>
      <w:r>
        <w:rPr>
          <w:rFonts w:hint="eastAsia" w:ascii="仿宋" w:hAnsi="仿宋" w:eastAsia="仿宋" w:cs="仿宋"/>
          <w:sz w:val="24"/>
          <w:highlight w:val="none"/>
          <w:lang w:eastAsia="zh-CN"/>
        </w:rPr>
        <w:t>支付本年度保修费用的</w:t>
      </w:r>
      <w:r>
        <w:rPr>
          <w:rFonts w:hint="eastAsia" w:ascii="仿宋" w:hAnsi="仿宋" w:eastAsia="仿宋" w:cs="仿宋"/>
          <w:sz w:val="24"/>
          <w:highlight w:val="none"/>
          <w:lang w:val="en-US" w:eastAsia="zh-CN"/>
        </w:rPr>
        <w:t>50%，本年度保修服务结束后，根据医院的考核结果支付剩余</w:t>
      </w:r>
      <w:r>
        <w:rPr>
          <w:rFonts w:hint="eastAsia" w:ascii="仿宋" w:hAnsi="仿宋" w:eastAsia="仿宋" w:cs="仿宋"/>
          <w:sz w:val="24"/>
          <w:highlight w:val="none"/>
          <w:lang w:eastAsia="zh-CN"/>
        </w:rPr>
        <w:t>保修费用的</w:t>
      </w:r>
      <w:r>
        <w:rPr>
          <w:rFonts w:hint="eastAsia" w:ascii="仿宋" w:hAnsi="仿宋" w:eastAsia="仿宋" w:cs="仿宋"/>
          <w:sz w:val="24"/>
          <w:highlight w:val="none"/>
          <w:lang w:val="en-US" w:eastAsia="zh-CN"/>
        </w:rPr>
        <w:t>50%</w:t>
      </w:r>
      <w:r>
        <w:rPr>
          <w:rFonts w:hint="eastAsia" w:ascii="仿宋" w:hAnsi="仿宋" w:eastAsia="仿宋" w:cs="仿宋"/>
          <w:sz w:val="24"/>
          <w:highlight w:val="none"/>
          <w:lang w:eastAsia="zh-CN"/>
        </w:rPr>
        <w:t>。</w:t>
      </w:r>
    </w:p>
    <w:p w14:paraId="4F1394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highlight w:val="none"/>
        </w:rPr>
      </w:pPr>
    </w:p>
    <w:p w14:paraId="41ACDDDC">
      <w:pPr>
        <w:spacing w:after="0"/>
        <w:rPr>
          <w:rFonts w:hint="eastAsia" w:ascii="仿宋" w:hAnsi="仿宋" w:eastAsia="仿宋" w:cs="仿宋"/>
          <w:sz w:val="24"/>
          <w:szCs w:val="24"/>
          <w:highlight w:val="none"/>
        </w:rPr>
      </w:pPr>
    </w:p>
    <w:p w14:paraId="37851DEE">
      <w:pPr>
        <w:spacing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lang w:val="zh-CN"/>
        </w:rPr>
        <w:br w:type="page"/>
      </w:r>
      <w:r>
        <w:rPr>
          <w:rFonts w:hint="eastAsia" w:ascii="仿宋" w:hAnsi="仿宋" w:eastAsia="仿宋" w:cs="仿宋"/>
          <w:b/>
          <w:bCs/>
          <w:kern w:val="2"/>
          <w:sz w:val="24"/>
          <w:szCs w:val="24"/>
          <w:highlight w:val="none"/>
        </w:rPr>
        <w:t>绍兴市中医院  医疗设备维保服务考核管理办法</w:t>
      </w:r>
    </w:p>
    <w:p w14:paraId="658B87F9">
      <w:pPr>
        <w:pStyle w:val="33"/>
        <w:ind w:firstLine="480" w:firstLineChars="200"/>
        <w:rPr>
          <w:rFonts w:hint="eastAsia" w:ascii="仿宋" w:hAnsi="仿宋" w:eastAsia="仿宋" w:cs="仿宋"/>
          <w:sz w:val="24"/>
          <w:szCs w:val="24"/>
          <w:highlight w:val="none"/>
        </w:rPr>
      </w:pPr>
    </w:p>
    <w:p w14:paraId="39304031">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为加强管理，提升维保服务质量，确保维保服务规范化运作，保障临床工作的顺利开展，特制定如下考核细则： </w:t>
      </w:r>
    </w:p>
    <w:p w14:paraId="681567A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医疗设备维保服务工作，由绍兴市中医院设备科负责监管，考核小组负责日常管理，各涉及科室配合、协助监管。</w:t>
      </w:r>
    </w:p>
    <w:p w14:paraId="76F3D695">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考核小组：设备科成立维保服务考核小组，设备科长任组长，小组成员由全体工程师担任，考核小组负责日常监管和年度考核。</w:t>
      </w:r>
    </w:p>
    <w:p w14:paraId="628DBFDE">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考核采用百分制，对服务质量和满意度进行年度考核，设备处考核小组打分，详见附表。</w:t>
      </w:r>
    </w:p>
    <w:p w14:paraId="24278C18">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考核内容详见《绍兴市中医院</w:t>
      </w:r>
      <w:r>
        <w:rPr>
          <w:rFonts w:hint="eastAsia" w:ascii="仿宋" w:hAnsi="仿宋" w:eastAsia="仿宋" w:cs="仿宋"/>
          <w:sz w:val="24"/>
          <w:szCs w:val="24"/>
          <w:highlight w:val="none"/>
          <w:lang w:val="zh-CN"/>
        </w:rPr>
        <w:t>医疗设备</w:t>
      </w:r>
      <w:r>
        <w:rPr>
          <w:rFonts w:hint="eastAsia" w:ascii="仿宋" w:hAnsi="仿宋" w:eastAsia="仿宋" w:cs="仿宋"/>
          <w:sz w:val="24"/>
          <w:szCs w:val="24"/>
          <w:highlight w:val="none"/>
        </w:rPr>
        <w:t>维保服务考核表》，本考核事宜解释权为设备科。</w:t>
      </w:r>
    </w:p>
    <w:p w14:paraId="2305D57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其他分项考核（除考核表规定内容外）：</w:t>
      </w:r>
    </w:p>
    <w:p w14:paraId="4C764D12">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1)维保服务公司在服务过程中未按标准执行而引起临床科室或病人投诉的，经调查情况属实的，每发生1起扣除1000元；</w:t>
      </w:r>
    </w:p>
    <w:p w14:paraId="56C4A2A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2)维保服务公司在服务过程未按标准执行而引起医疗纠纷及事故的，每发生1起扣除3000元，并承担相应赔偿责任；</w:t>
      </w:r>
    </w:p>
    <w:p w14:paraId="3F1BC397">
      <w:pPr>
        <w:pStyle w:val="33"/>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kern w:val="2"/>
          <w:sz w:val="24"/>
          <w:szCs w:val="24"/>
          <w:highlight w:val="none"/>
        </w:rPr>
      </w:pPr>
      <w:r>
        <w:rPr>
          <w:rFonts w:hint="eastAsia" w:ascii="仿宋" w:hAnsi="仿宋" w:eastAsia="仿宋" w:cs="仿宋"/>
          <w:b/>
          <w:bCs/>
          <w:sz w:val="24"/>
          <w:szCs w:val="24"/>
          <w:highlight w:val="none"/>
        </w:rPr>
        <w:br w:type="page"/>
      </w:r>
      <w:r>
        <w:rPr>
          <w:rFonts w:hint="eastAsia" w:ascii="仿宋" w:hAnsi="仿宋" w:eastAsia="仿宋" w:cs="仿宋"/>
          <w:b/>
          <w:bCs/>
          <w:kern w:val="2"/>
          <w:sz w:val="24"/>
          <w:szCs w:val="24"/>
          <w:highlight w:val="none"/>
        </w:rPr>
        <w:t xml:space="preserve">绍兴市中医院  </w:t>
      </w:r>
      <w:r>
        <w:rPr>
          <w:rFonts w:hint="eastAsia" w:ascii="仿宋" w:hAnsi="仿宋" w:eastAsia="仿宋" w:cs="仿宋"/>
          <w:b/>
          <w:bCs/>
          <w:kern w:val="2"/>
          <w:sz w:val="24"/>
          <w:szCs w:val="24"/>
          <w:highlight w:val="none"/>
          <w:lang w:val="zh-CN"/>
        </w:rPr>
        <w:t>医疗设备</w:t>
      </w:r>
      <w:r>
        <w:rPr>
          <w:rFonts w:hint="eastAsia" w:ascii="仿宋" w:hAnsi="仿宋" w:eastAsia="仿宋" w:cs="仿宋"/>
          <w:b/>
          <w:bCs/>
          <w:kern w:val="2"/>
          <w:sz w:val="24"/>
          <w:szCs w:val="24"/>
          <w:highlight w:val="none"/>
        </w:rPr>
        <w:t>维保服务考核表</w:t>
      </w:r>
    </w:p>
    <w:p w14:paraId="196A91F1">
      <w:pPr>
        <w:widowControl w:val="0"/>
        <w:spacing w:after="0" w:line="240" w:lineRule="auto"/>
        <w:jc w:val="both"/>
        <w:rPr>
          <w:rFonts w:hint="eastAsia" w:ascii="仿宋" w:hAnsi="仿宋" w:eastAsia="仿宋" w:cs="仿宋"/>
          <w:kern w:val="2"/>
          <w:sz w:val="24"/>
          <w:szCs w:val="24"/>
          <w:highlight w:val="none"/>
        </w:rPr>
      </w:pPr>
    </w:p>
    <w:p w14:paraId="2A6430A1">
      <w:pPr>
        <w:widowControl w:val="0"/>
        <w:spacing w:after="0" w:line="240" w:lineRule="auto"/>
        <w:jc w:val="both"/>
        <w:rPr>
          <w:rFonts w:hint="eastAsia" w:ascii="仿宋" w:hAnsi="仿宋" w:eastAsia="仿宋" w:cs="仿宋"/>
          <w:kern w:val="2"/>
          <w:sz w:val="24"/>
          <w:szCs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定期维护（PM等）服务完成率</w:t>
            </w:r>
          </w:p>
          <w:p w14:paraId="3117F11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rPr>
              <w:t>改进意见及建议：</w:t>
            </w:r>
          </w:p>
        </w:tc>
      </w:tr>
    </w:tbl>
    <w:p w14:paraId="40C94109">
      <w:pPr>
        <w:widowControl w:val="0"/>
        <w:spacing w:after="0" w:line="240" w:lineRule="auto"/>
        <w:rPr>
          <w:rFonts w:hint="eastAsia" w:ascii="仿宋" w:hAnsi="仿宋" w:eastAsia="仿宋" w:cs="仿宋"/>
          <w:kern w:val="2"/>
          <w:sz w:val="24"/>
          <w:szCs w:val="24"/>
          <w:highlight w:val="none"/>
        </w:rPr>
      </w:pPr>
    </w:p>
    <w:p w14:paraId="3546BF8D">
      <w:pPr>
        <w:widowControl w:val="0"/>
        <w:spacing w:after="0" w:line="240" w:lineRule="auto"/>
        <w:rPr>
          <w:rFonts w:hint="eastAsia" w:ascii="仿宋" w:hAnsi="仿宋" w:eastAsia="仿宋" w:cs="仿宋"/>
          <w:kern w:val="2"/>
          <w:sz w:val="24"/>
          <w:szCs w:val="24"/>
          <w:highlight w:val="none"/>
        </w:rPr>
      </w:pPr>
    </w:p>
    <w:p w14:paraId="22EB666C">
      <w:pPr>
        <w:widowControl w:val="0"/>
        <w:spacing w:after="0" w:line="240" w:lineRule="auto"/>
        <w:rPr>
          <w:rFonts w:hint="eastAsia" w:ascii="仿宋" w:hAnsi="仿宋" w:eastAsia="仿宋" w:cs="仿宋"/>
          <w:kern w:val="2"/>
          <w:sz w:val="24"/>
          <w:szCs w:val="24"/>
          <w:highlight w:val="none"/>
        </w:rPr>
      </w:pPr>
    </w:p>
    <w:p w14:paraId="34B26218">
      <w:pPr>
        <w:widowControl w:val="0"/>
        <w:spacing w:after="0" w:line="240" w:lineRule="auto"/>
        <w:rPr>
          <w:rFonts w:hint="eastAsia" w:ascii="仿宋" w:hAnsi="仿宋" w:eastAsia="仿宋" w:cs="仿宋"/>
          <w:kern w:val="2"/>
          <w:sz w:val="24"/>
          <w:szCs w:val="24"/>
          <w:highlight w:val="none"/>
          <w:u w:val="single"/>
        </w:rPr>
      </w:pPr>
      <w:r>
        <w:rPr>
          <w:rFonts w:hint="eastAsia" w:ascii="仿宋" w:hAnsi="仿宋" w:eastAsia="仿宋" w:cs="仿宋"/>
          <w:kern w:val="2"/>
          <w:sz w:val="24"/>
          <w:szCs w:val="24"/>
          <w:highlight w:val="none"/>
        </w:rPr>
        <w:t>考评组员：</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p>
    <w:p w14:paraId="64C9B238">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 xml:space="preserve">  </w:t>
      </w:r>
    </w:p>
    <w:p w14:paraId="1FACA9EB">
      <w:pPr>
        <w:widowControl w:val="0"/>
        <w:spacing w:after="0" w:line="240" w:lineRule="auto"/>
        <w:rPr>
          <w:rFonts w:hint="eastAsia" w:ascii="仿宋" w:hAnsi="仿宋" w:eastAsia="仿宋" w:cs="仿宋"/>
          <w:kern w:val="2"/>
          <w:sz w:val="24"/>
          <w:szCs w:val="24"/>
          <w:highlight w:val="none"/>
        </w:rPr>
      </w:pPr>
    </w:p>
    <w:p w14:paraId="1837C34C">
      <w:pPr>
        <w:widowControl w:val="0"/>
        <w:spacing w:after="0" w:line="240" w:lineRule="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审核人：</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日期：</w:t>
      </w:r>
      <w:r>
        <w:rPr>
          <w:rFonts w:hint="eastAsia" w:ascii="仿宋" w:hAnsi="仿宋" w:eastAsia="仿宋" w:cs="仿宋"/>
          <w:kern w:val="2"/>
          <w:sz w:val="24"/>
          <w:szCs w:val="24"/>
          <w:highlight w:val="none"/>
          <w:u w:val="single"/>
        </w:rPr>
        <w:t xml:space="preserve">           </w:t>
      </w:r>
      <w:r>
        <w:rPr>
          <w:rFonts w:hint="eastAsia" w:ascii="仿宋" w:hAnsi="仿宋" w:eastAsia="仿宋" w:cs="仿宋"/>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79"/>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3"/>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15367"/>
      <w:bookmarkStart w:id="40" w:name="_Toc19273"/>
      <w:bookmarkStart w:id="41" w:name="_Toc20421"/>
      <w:bookmarkStart w:id="42" w:name="_Toc22967"/>
      <w:bookmarkStart w:id="43" w:name="_Toc28855"/>
      <w:r>
        <w:rPr>
          <w:rFonts w:hint="eastAsia" w:ascii="仿宋" w:hAnsi="仿宋" w:eastAsia="仿宋" w:cs="仿宋"/>
          <w:b/>
          <w:color w:val="auto"/>
          <w:sz w:val="24"/>
          <w:highlight w:val="none"/>
        </w:rPr>
        <w:t>1.1 合同组成部分</w:t>
      </w:r>
      <w:bookmarkEnd w:id="39"/>
      <w:bookmarkEnd w:id="40"/>
      <w:bookmarkEnd w:id="41"/>
      <w:bookmarkEnd w:id="42"/>
      <w:bookmarkEnd w:id="43"/>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6311"/>
      <w:bookmarkStart w:id="45" w:name="_Toc2918"/>
      <w:bookmarkStart w:id="46" w:name="_Toc22185"/>
      <w:bookmarkStart w:id="47" w:name="_Toc6773"/>
      <w:bookmarkStart w:id="48" w:name="_Toc18585"/>
      <w:r>
        <w:rPr>
          <w:rFonts w:hint="eastAsia" w:ascii="仿宋" w:hAnsi="仿宋" w:eastAsia="仿宋" w:cs="仿宋"/>
          <w:b/>
          <w:color w:val="auto"/>
          <w:sz w:val="24"/>
          <w:highlight w:val="none"/>
        </w:rPr>
        <w:t>1.2 标的</w:t>
      </w:r>
      <w:bookmarkEnd w:id="44"/>
      <w:bookmarkEnd w:id="45"/>
      <w:bookmarkEnd w:id="46"/>
      <w:bookmarkEnd w:id="47"/>
      <w:bookmarkEnd w:id="48"/>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1386"/>
      <w:bookmarkStart w:id="50" w:name="_Toc13918"/>
      <w:bookmarkStart w:id="51" w:name="_Toc21124"/>
      <w:bookmarkStart w:id="52" w:name="_Toc4929"/>
      <w:bookmarkStart w:id="53"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30506"/>
      <w:bookmarkStart w:id="55" w:name="_Toc30158"/>
      <w:bookmarkStart w:id="56" w:name="_Toc14993"/>
      <w:bookmarkStart w:id="57" w:name="_Toc26916"/>
      <w:bookmarkStart w:id="58"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10340"/>
      <w:bookmarkStart w:id="60" w:name="_Toc1814"/>
      <w:bookmarkStart w:id="61" w:name="_Toc22618"/>
      <w:bookmarkStart w:id="62" w:name="_Toc4760"/>
      <w:bookmarkStart w:id="63" w:name="_Toc8772"/>
      <w:bookmarkStart w:id="64" w:name="_Toc31421"/>
      <w:bookmarkStart w:id="65" w:name="_Toc3625"/>
      <w:bookmarkStart w:id="66" w:name="_Toc11108"/>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8586"/>
      <w:bookmarkStart w:id="68" w:name="_Toc2375"/>
      <w:bookmarkStart w:id="69" w:name="_Toc24662"/>
      <w:bookmarkStart w:id="70" w:name="_Toc5698"/>
      <w:bookmarkStart w:id="71" w:name="_Toc3079"/>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9497"/>
      <w:bookmarkStart w:id="73" w:name="_Toc26807"/>
      <w:bookmarkStart w:id="74" w:name="_Toc30329"/>
      <w:bookmarkStart w:id="75" w:name="_Toc18683"/>
      <w:bookmarkStart w:id="76"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16021"/>
      <w:bookmarkStart w:id="78" w:name="_Toc28375"/>
      <w:bookmarkStart w:id="79" w:name="_Toc15583"/>
      <w:r>
        <w:rPr>
          <w:rFonts w:hint="eastAsia" w:ascii="仿宋" w:hAnsi="仿宋" w:eastAsia="仿宋" w:cs="仿宋"/>
          <w:b/>
          <w:color w:val="auto"/>
          <w:sz w:val="24"/>
          <w:highlight w:val="none"/>
        </w:rPr>
        <w:t>1.9合同争议的解决</w:t>
      </w:r>
      <w:bookmarkEnd w:id="77"/>
      <w:bookmarkEnd w:id="78"/>
      <w:bookmarkEnd w:id="79"/>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7245"/>
      <w:bookmarkStart w:id="81" w:name="_Toc15322"/>
      <w:bookmarkStart w:id="82" w:name="_Toc11173"/>
      <w:r>
        <w:rPr>
          <w:rFonts w:hint="eastAsia" w:ascii="仿宋" w:hAnsi="仿宋" w:eastAsia="仿宋" w:cs="仿宋"/>
          <w:b/>
          <w:color w:val="auto"/>
          <w:sz w:val="24"/>
          <w:highlight w:val="none"/>
        </w:rPr>
        <w:t>2.0 合同生效</w:t>
      </w:r>
      <w:bookmarkEnd w:id="80"/>
      <w:bookmarkEnd w:id="81"/>
      <w:bookmarkEnd w:id="82"/>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3" w:name="_Toc31297"/>
      <w:bookmarkStart w:id="84" w:name="_Toc19680"/>
      <w:bookmarkStart w:id="85" w:name="_Toc14021"/>
      <w:bookmarkStart w:id="86" w:name="_Toc25079"/>
      <w:bookmarkStart w:id="87" w:name="_Toc5228"/>
      <w:r>
        <w:rPr>
          <w:rFonts w:hint="eastAsia" w:ascii="仿宋" w:hAnsi="仿宋" w:eastAsia="仿宋" w:cs="仿宋"/>
          <w:b/>
          <w:color w:val="auto"/>
          <w:sz w:val="24"/>
          <w:highlight w:val="none"/>
        </w:rPr>
        <w:t>2.1 定义</w:t>
      </w:r>
      <w:bookmarkEnd w:id="83"/>
      <w:bookmarkEnd w:id="84"/>
      <w:bookmarkEnd w:id="85"/>
      <w:bookmarkEnd w:id="86"/>
      <w:bookmarkEnd w:id="87"/>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8" w:name="_Toc16752"/>
      <w:bookmarkStart w:id="89" w:name="_Toc23289"/>
      <w:bookmarkStart w:id="90" w:name="_Toc31402"/>
      <w:bookmarkStart w:id="91" w:name="_Toc3769"/>
      <w:bookmarkStart w:id="92" w:name="_Toc19539"/>
      <w:r>
        <w:rPr>
          <w:rFonts w:hint="eastAsia" w:ascii="仿宋" w:hAnsi="仿宋" w:eastAsia="仿宋" w:cs="仿宋"/>
          <w:b/>
          <w:color w:val="auto"/>
          <w:sz w:val="24"/>
          <w:highlight w:val="none"/>
        </w:rPr>
        <w:t>2.2 技术规范</w:t>
      </w:r>
      <w:bookmarkEnd w:id="88"/>
      <w:bookmarkEnd w:id="89"/>
      <w:bookmarkEnd w:id="90"/>
      <w:bookmarkEnd w:id="91"/>
      <w:bookmarkEnd w:id="92"/>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3" w:name="_Toc13673"/>
      <w:bookmarkStart w:id="94" w:name="_Toc12412"/>
      <w:bookmarkStart w:id="95" w:name="_Toc9161"/>
      <w:bookmarkStart w:id="96" w:name="_Toc4133"/>
      <w:bookmarkStart w:id="97" w:name="_Toc27945"/>
      <w:r>
        <w:rPr>
          <w:rFonts w:hint="eastAsia" w:ascii="仿宋" w:hAnsi="仿宋" w:eastAsia="仿宋" w:cs="仿宋"/>
          <w:b/>
          <w:color w:val="auto"/>
          <w:sz w:val="24"/>
          <w:highlight w:val="none"/>
        </w:rPr>
        <w:t>2.3 知识产权</w:t>
      </w:r>
      <w:bookmarkEnd w:id="93"/>
      <w:bookmarkEnd w:id="94"/>
      <w:bookmarkEnd w:id="95"/>
      <w:bookmarkEnd w:id="96"/>
      <w:bookmarkEnd w:id="97"/>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8" w:name="_Toc26555"/>
      <w:bookmarkStart w:id="99" w:name="_Toc32670"/>
      <w:bookmarkStart w:id="100" w:name="_Toc22011"/>
      <w:bookmarkStart w:id="101" w:name="_Toc15447"/>
      <w:bookmarkStart w:id="102" w:name="_Toc31233"/>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3" w:name="_Toc18990"/>
      <w:bookmarkStart w:id="104" w:name="_Toc13154"/>
      <w:bookmarkStart w:id="105" w:name="_Toc30507"/>
      <w:bookmarkStart w:id="106" w:name="_Toc13467"/>
      <w:bookmarkStart w:id="107" w:name="_Toc16163"/>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1" w:name="_Toc23368"/>
      <w:bookmarkStart w:id="112" w:name="_Toc21830"/>
      <w:bookmarkStart w:id="113" w:name="_Toc10663"/>
      <w:bookmarkStart w:id="114" w:name="_Toc42"/>
      <w:bookmarkStart w:id="115" w:name="_Toc26689"/>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6" w:name="_Toc14371"/>
      <w:bookmarkStart w:id="117" w:name="_Toc4720"/>
      <w:bookmarkStart w:id="118" w:name="_Toc32494"/>
      <w:bookmarkStart w:id="119" w:name="_Toc26633"/>
      <w:bookmarkStart w:id="120" w:name="_Toc25571"/>
      <w:r>
        <w:rPr>
          <w:rFonts w:hint="eastAsia" w:ascii="仿宋" w:hAnsi="仿宋" w:eastAsia="仿宋" w:cs="仿宋"/>
          <w:b/>
          <w:color w:val="auto"/>
          <w:sz w:val="24"/>
          <w:highlight w:val="none"/>
        </w:rPr>
        <w:t>2.11 不可抗力</w:t>
      </w:r>
      <w:bookmarkEnd w:id="116"/>
      <w:bookmarkEnd w:id="117"/>
      <w:bookmarkEnd w:id="118"/>
      <w:bookmarkEnd w:id="119"/>
      <w:bookmarkEnd w:id="120"/>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1" w:name="_Toc25783"/>
      <w:bookmarkStart w:id="122" w:name="_Toc14115"/>
      <w:bookmarkStart w:id="123" w:name="_Toc3638"/>
      <w:bookmarkStart w:id="124" w:name="_Toc24465"/>
      <w:bookmarkStart w:id="125" w:name="_Toc23854"/>
      <w:r>
        <w:rPr>
          <w:rFonts w:hint="eastAsia" w:ascii="仿宋" w:hAnsi="仿宋" w:eastAsia="仿宋" w:cs="仿宋"/>
          <w:b/>
          <w:color w:val="auto"/>
          <w:sz w:val="24"/>
          <w:highlight w:val="none"/>
        </w:rPr>
        <w:t>2.12 税费</w:t>
      </w:r>
      <w:bookmarkEnd w:id="121"/>
      <w:bookmarkEnd w:id="122"/>
      <w:bookmarkEnd w:id="123"/>
      <w:bookmarkEnd w:id="124"/>
      <w:bookmarkEnd w:id="125"/>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6" w:name="_Toc26883"/>
      <w:bookmarkStart w:id="127" w:name="_Toc14814"/>
      <w:bookmarkStart w:id="128" w:name="_Toc25525"/>
      <w:bookmarkStart w:id="129" w:name="_Toc7315"/>
      <w:bookmarkStart w:id="130" w:name="_Toc30105"/>
      <w:r>
        <w:rPr>
          <w:rFonts w:hint="eastAsia" w:ascii="仿宋" w:hAnsi="仿宋" w:eastAsia="仿宋" w:cs="仿宋"/>
          <w:b/>
          <w:color w:val="auto"/>
          <w:sz w:val="24"/>
          <w:highlight w:val="none"/>
        </w:rPr>
        <w:t>2.13 乙方破产</w:t>
      </w:r>
      <w:bookmarkEnd w:id="126"/>
      <w:bookmarkEnd w:id="127"/>
      <w:bookmarkEnd w:id="128"/>
      <w:bookmarkEnd w:id="129"/>
      <w:bookmarkEnd w:id="130"/>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1" w:name="_Toc1123"/>
      <w:bookmarkStart w:id="132" w:name="_Toc23323"/>
      <w:bookmarkStart w:id="133" w:name="_Toc2016"/>
      <w:r>
        <w:rPr>
          <w:rFonts w:hint="eastAsia" w:ascii="仿宋" w:hAnsi="仿宋" w:eastAsia="仿宋" w:cs="仿宋"/>
          <w:b/>
          <w:color w:val="auto"/>
          <w:sz w:val="24"/>
          <w:highlight w:val="none"/>
        </w:rPr>
        <w:t>2.14 合同中止、终止</w:t>
      </w:r>
      <w:bookmarkEnd w:id="131"/>
      <w:bookmarkEnd w:id="132"/>
      <w:bookmarkEnd w:id="133"/>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4" w:name="_Toc14525"/>
      <w:bookmarkStart w:id="135" w:name="_Toc17363"/>
      <w:bookmarkStart w:id="136" w:name="_Toc1969"/>
      <w:r>
        <w:rPr>
          <w:rFonts w:hint="eastAsia" w:ascii="仿宋" w:hAnsi="仿宋" w:eastAsia="仿宋" w:cs="仿宋"/>
          <w:b/>
          <w:color w:val="auto"/>
          <w:sz w:val="24"/>
          <w:highlight w:val="none"/>
        </w:rPr>
        <w:t>2.15 检验和验收</w:t>
      </w:r>
      <w:bookmarkEnd w:id="134"/>
      <w:bookmarkEnd w:id="135"/>
      <w:bookmarkEnd w:id="136"/>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7" w:name="_Toc2308"/>
      <w:bookmarkStart w:id="138" w:name="_Toc9808"/>
      <w:bookmarkStart w:id="139" w:name="_Toc12666"/>
      <w:bookmarkStart w:id="140" w:name="_Toc31892"/>
      <w:bookmarkStart w:id="141" w:name="_Toc25198"/>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1E0194DF">
      <w:pPr>
        <w:spacing w:line="560" w:lineRule="exact"/>
        <w:ind w:firstLine="480" w:firstLineChars="200"/>
        <w:rPr>
          <w:rFonts w:hint="eastAsia" w:ascii="仿宋" w:hAnsi="仿宋" w:eastAsia="仿宋" w:cs="仿宋"/>
          <w:color w:val="auto"/>
          <w:sz w:val="24"/>
          <w:highlight w:val="none"/>
        </w:rPr>
      </w:pPr>
      <w:bookmarkStart w:id="142" w:name="_Toc27674"/>
      <w:bookmarkStart w:id="143"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9262493">
      <w:pPr>
        <w:spacing w:line="560" w:lineRule="exact"/>
        <w:ind w:firstLine="482" w:firstLineChars="200"/>
        <w:outlineLvl w:val="0"/>
        <w:rPr>
          <w:rFonts w:hint="eastAsia" w:ascii="仿宋" w:hAnsi="仿宋" w:eastAsia="仿宋" w:cs="仿宋"/>
          <w:b/>
          <w:color w:val="auto"/>
          <w:sz w:val="24"/>
          <w:highlight w:val="none"/>
        </w:rPr>
      </w:pPr>
      <w:bookmarkStart w:id="144" w:name="_Toc28906"/>
      <w:bookmarkStart w:id="145" w:name="_Toc5063"/>
      <w:bookmarkStart w:id="146" w:name="_Toc20808"/>
      <w:bookmarkStart w:id="147" w:name="_Toc12254"/>
      <w:bookmarkStart w:id="148" w:name="_Toc27644"/>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9" w:name="_Toc4355"/>
      <w:bookmarkStart w:id="150" w:name="_Toc18540"/>
      <w:bookmarkStart w:id="151" w:name="_Toc30599"/>
      <w:r>
        <w:rPr>
          <w:rFonts w:hint="eastAsia" w:ascii="仿宋" w:hAnsi="仿宋" w:eastAsia="仿宋" w:cs="仿宋"/>
          <w:b/>
          <w:color w:val="auto"/>
          <w:sz w:val="24"/>
          <w:highlight w:val="none"/>
        </w:rPr>
        <w:t>2.18 计量单位</w:t>
      </w:r>
      <w:bookmarkEnd w:id="149"/>
      <w:bookmarkEnd w:id="150"/>
      <w:bookmarkEnd w:id="151"/>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2" w:name="_Toc12773"/>
      <w:bookmarkStart w:id="153" w:name="_Toc487900373"/>
      <w:bookmarkStart w:id="154" w:name="_Toc259093692"/>
      <w:bookmarkStart w:id="155" w:name="_Toc10330"/>
      <w:bookmarkStart w:id="156" w:name="_Toc18567"/>
      <w:bookmarkStart w:id="157" w:name="_Toc27970126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1"/>
        <w:gridCol w:w="6267"/>
        <w:gridCol w:w="702"/>
      </w:tblGrid>
      <w:tr w14:paraId="75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19" w:type="dxa"/>
            <w:noWrap w:val="0"/>
            <w:vAlign w:val="center"/>
          </w:tcPr>
          <w:p w14:paraId="33271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671" w:type="dxa"/>
            <w:noWrap w:val="0"/>
            <w:vAlign w:val="center"/>
          </w:tcPr>
          <w:p w14:paraId="5DF2C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267" w:type="dxa"/>
            <w:noWrap w:val="0"/>
            <w:vAlign w:val="center"/>
          </w:tcPr>
          <w:p w14:paraId="472E363F">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702" w:type="dxa"/>
            <w:noWrap w:val="0"/>
            <w:vAlign w:val="center"/>
          </w:tcPr>
          <w:p w14:paraId="74168B9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1BBD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C3D87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671" w:type="dxa"/>
            <w:noWrap w:val="0"/>
            <w:vAlign w:val="center"/>
          </w:tcPr>
          <w:p w14:paraId="50BC57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主要技术参数响应性</w:t>
            </w:r>
          </w:p>
        </w:tc>
        <w:tc>
          <w:tcPr>
            <w:tcW w:w="6267" w:type="dxa"/>
            <w:noWrap w:val="0"/>
            <w:vAlign w:val="center"/>
          </w:tcPr>
          <w:p w14:paraId="79A188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1.满足招标文件要求的得38分，打“▲”号的指标为主要功能、配置，如出现负偏离每项扣4分；其他一般性指标每有一项负偏离的扣2分，扣完为止。</w:t>
            </w:r>
          </w:p>
          <w:p w14:paraId="30C5C14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b/>
                <w:bCs/>
                <w:sz w:val="21"/>
                <w:szCs w:val="21"/>
                <w:highlight w:val="none"/>
                <w:lang w:val="en-US" w:eastAsia="zh-CN"/>
              </w:rPr>
              <w:t>2．若负偏离达到5个及以上的，且经评标小组认定为实质性不响应招标文件要求的，做无效投标处理。</w:t>
            </w:r>
          </w:p>
        </w:tc>
        <w:tc>
          <w:tcPr>
            <w:tcW w:w="702" w:type="dxa"/>
            <w:noWrap w:val="0"/>
            <w:vAlign w:val="center"/>
          </w:tcPr>
          <w:p w14:paraId="28515E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38</w:t>
            </w:r>
          </w:p>
        </w:tc>
      </w:tr>
      <w:tr w14:paraId="5EA4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9" w:type="dxa"/>
            <w:noWrap w:val="0"/>
            <w:vAlign w:val="center"/>
          </w:tcPr>
          <w:p w14:paraId="03242A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671" w:type="dxa"/>
            <w:noWrap w:val="0"/>
            <w:vAlign w:val="center"/>
          </w:tcPr>
          <w:p w14:paraId="470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厂家授权</w:t>
            </w:r>
          </w:p>
        </w:tc>
        <w:tc>
          <w:tcPr>
            <w:tcW w:w="6267" w:type="dxa"/>
            <w:noWrap w:val="0"/>
            <w:vAlign w:val="center"/>
          </w:tcPr>
          <w:p w14:paraId="4A6BCDF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能提供厂家授权资质的得5分，提供厂家授权资质经销商授权的得2分，否则得0分。</w:t>
            </w:r>
          </w:p>
        </w:tc>
        <w:tc>
          <w:tcPr>
            <w:tcW w:w="702" w:type="dxa"/>
            <w:noWrap w:val="0"/>
            <w:vAlign w:val="center"/>
          </w:tcPr>
          <w:p w14:paraId="7A416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r w14:paraId="4E1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2C66C2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671" w:type="dxa"/>
            <w:noWrap w:val="0"/>
            <w:vAlign w:val="center"/>
          </w:tcPr>
          <w:p w14:paraId="43E481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企业实力</w:t>
            </w:r>
          </w:p>
        </w:tc>
        <w:tc>
          <w:tcPr>
            <w:tcW w:w="6267" w:type="dxa"/>
            <w:noWrap w:val="0"/>
            <w:vAlign w:val="center"/>
          </w:tcPr>
          <w:p w14:paraId="36BD51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根据投标单位供货能力、信誉度、服务承诺、响应承诺等情况，由专家酌情打分（</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61EDE6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w:t>
            </w:r>
          </w:p>
        </w:tc>
      </w:tr>
      <w:tr w14:paraId="093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05364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671" w:type="dxa"/>
            <w:noWrap w:val="0"/>
            <w:vAlign w:val="center"/>
          </w:tcPr>
          <w:p w14:paraId="62BE9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保修、保养服务方案</w:t>
            </w:r>
          </w:p>
        </w:tc>
        <w:tc>
          <w:tcPr>
            <w:tcW w:w="6267" w:type="dxa"/>
            <w:noWrap w:val="0"/>
            <w:vAlign w:val="center"/>
          </w:tcPr>
          <w:p w14:paraId="738D890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sz w:val="21"/>
                <w:szCs w:val="21"/>
                <w:highlight w:val="none"/>
              </w:rPr>
              <w:t>本项分值设置为</w:t>
            </w:r>
            <w:r>
              <w:rPr>
                <w:rFonts w:hint="eastAsia" w:ascii="仿宋" w:hAnsi="仿宋" w:eastAsia="仿宋" w:cs="仿宋"/>
                <w:sz w:val="21"/>
                <w:szCs w:val="21"/>
                <w:highlight w:val="none"/>
                <w:lang w:val="en-US" w:eastAsia="zh-CN"/>
              </w:rPr>
              <w:t>10，9，8,7,6，</w:t>
            </w:r>
            <w:r>
              <w:rPr>
                <w:rFonts w:hint="eastAsia" w:ascii="仿宋" w:hAnsi="仿宋" w:eastAsia="仿宋" w:cs="仿宋"/>
                <w:sz w:val="21"/>
                <w:szCs w:val="21"/>
                <w:highlight w:val="none"/>
              </w:rPr>
              <w:t>5,4,3,2,1,0分</w:t>
            </w:r>
            <w:r>
              <w:rPr>
                <w:rFonts w:hint="eastAsia" w:ascii="仿宋" w:hAnsi="仿宋" w:eastAsia="仿宋" w:cs="仿宋"/>
                <w:sz w:val="21"/>
                <w:szCs w:val="21"/>
                <w:highlight w:val="none"/>
                <w:lang w:val="en-US" w:eastAsia="zh-CN"/>
              </w:rPr>
              <w:t>）。</w:t>
            </w:r>
          </w:p>
        </w:tc>
        <w:tc>
          <w:tcPr>
            <w:tcW w:w="702" w:type="dxa"/>
            <w:noWrap w:val="0"/>
            <w:vAlign w:val="center"/>
          </w:tcPr>
          <w:p w14:paraId="0413CF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r>
      <w:tr w14:paraId="5574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134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671" w:type="dxa"/>
            <w:noWrap w:val="0"/>
            <w:vAlign w:val="center"/>
          </w:tcPr>
          <w:p w14:paraId="2346D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投标人业绩</w:t>
            </w:r>
          </w:p>
        </w:tc>
        <w:tc>
          <w:tcPr>
            <w:tcW w:w="6267" w:type="dxa"/>
            <w:noWrap w:val="0"/>
            <w:vAlign w:val="center"/>
          </w:tcPr>
          <w:p w14:paraId="2CD908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投标人提供自2022年1月1日至今（以合同签订时间为准）承接过的同类产品维保合同，每有一份合同得1分，最高得2分，需提合同复印件加盖投标人公章，未提供不得分。</w:t>
            </w:r>
          </w:p>
        </w:tc>
        <w:tc>
          <w:tcPr>
            <w:tcW w:w="702" w:type="dxa"/>
            <w:noWrap w:val="0"/>
            <w:vAlign w:val="center"/>
          </w:tcPr>
          <w:p w14:paraId="7D953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r>
      <w:tr w14:paraId="04CD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restart"/>
            <w:noWrap w:val="0"/>
            <w:vAlign w:val="center"/>
          </w:tcPr>
          <w:p w14:paraId="4DD053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671" w:type="dxa"/>
            <w:vMerge w:val="restart"/>
            <w:noWrap w:val="0"/>
            <w:vAlign w:val="center"/>
          </w:tcPr>
          <w:p w14:paraId="6FE915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售后服务</w:t>
            </w:r>
          </w:p>
          <w:p w14:paraId="7658F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45475D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维修技术力量：技术支持工程师≥1人,每增加1人得1分，最多得2分；专职维修工程师≥2人,每增加1人得1分，最多得3分。上述人员须提供最近的社保缴纳证明资料加盖投标人公章。</w:t>
            </w:r>
          </w:p>
        </w:tc>
        <w:tc>
          <w:tcPr>
            <w:tcW w:w="702" w:type="dxa"/>
            <w:noWrap w:val="0"/>
            <w:vAlign w:val="center"/>
          </w:tcPr>
          <w:p w14:paraId="2FE6B73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73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4EF4CD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2F5E16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E58980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根据投标人提出的针对本项目的维修响应速度服务承诺给分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本项分值设置为3,2,1,0分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w:t>
            </w:r>
          </w:p>
        </w:tc>
        <w:tc>
          <w:tcPr>
            <w:tcW w:w="702" w:type="dxa"/>
            <w:noWrap w:val="0"/>
            <w:vAlign w:val="center"/>
          </w:tcPr>
          <w:p w14:paraId="59837EB3">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3</w:t>
            </w:r>
          </w:p>
        </w:tc>
      </w:tr>
      <w:tr w14:paraId="1388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63E1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1671" w:type="dxa"/>
            <w:vMerge w:val="continue"/>
            <w:noWrap w:val="0"/>
            <w:vAlign w:val="center"/>
          </w:tcPr>
          <w:p w14:paraId="19C883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rPr>
            </w:pPr>
          </w:p>
        </w:tc>
        <w:tc>
          <w:tcPr>
            <w:tcW w:w="6267" w:type="dxa"/>
            <w:noWrap w:val="0"/>
            <w:vAlign w:val="center"/>
          </w:tcPr>
          <w:p w14:paraId="2C6F388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投标人在采购人当地有备货仓库（须提供相关证明材料）得4分，投标人承诺在中标后设立备货仓库得2分，没有或未提供相关证明材料不得分。</w:t>
            </w:r>
          </w:p>
        </w:tc>
        <w:tc>
          <w:tcPr>
            <w:tcW w:w="702" w:type="dxa"/>
            <w:noWrap w:val="0"/>
            <w:vAlign w:val="center"/>
          </w:tcPr>
          <w:p w14:paraId="10108BD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128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9" w:type="dxa"/>
            <w:noWrap w:val="0"/>
            <w:vAlign w:val="center"/>
          </w:tcPr>
          <w:p w14:paraId="231FB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671" w:type="dxa"/>
            <w:noWrap w:val="0"/>
            <w:vAlign w:val="center"/>
          </w:tcPr>
          <w:p w14:paraId="2F3569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其他优惠承诺</w:t>
            </w:r>
          </w:p>
        </w:tc>
        <w:tc>
          <w:tcPr>
            <w:tcW w:w="6267" w:type="dxa"/>
            <w:noWrap w:val="0"/>
            <w:vAlign w:val="center"/>
          </w:tcPr>
          <w:p w14:paraId="2E63054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投标人根据自身的能力，提供各种服务承诺（</w:t>
            </w:r>
            <w:r>
              <w:rPr>
                <w:rFonts w:hint="eastAsia" w:ascii="仿宋" w:hAnsi="仿宋" w:eastAsia="仿宋" w:cs="仿宋"/>
                <w:sz w:val="21"/>
                <w:szCs w:val="21"/>
                <w:highlight w:val="none"/>
              </w:rPr>
              <w:t>本项分值设置为5,4,3,2,1,0分</w:t>
            </w:r>
            <w:r>
              <w:rPr>
                <w:rFonts w:hint="eastAsia" w:ascii="仿宋" w:hAnsi="仿宋" w:eastAsia="仿宋" w:cs="仿宋"/>
                <w:sz w:val="21"/>
                <w:szCs w:val="21"/>
                <w:highlight w:val="none"/>
                <w:lang w:val="en-US" w:eastAsia="zh-CN"/>
              </w:rPr>
              <w:t>）。</w:t>
            </w:r>
          </w:p>
        </w:tc>
        <w:tc>
          <w:tcPr>
            <w:tcW w:w="702" w:type="dxa"/>
            <w:noWrap w:val="0"/>
            <w:vAlign w:val="center"/>
          </w:tcPr>
          <w:p w14:paraId="629A3C8B">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20B4811A">
      <w:pPr>
        <w:pStyle w:val="25"/>
        <w:snapToGrid w:val="0"/>
        <w:spacing w:line="360" w:lineRule="auto"/>
        <w:ind w:firstLine="0" w:firstLineChars="0"/>
        <w:rPr>
          <w:rFonts w:hint="eastAsia" w:ascii="仿宋" w:hAnsi="仿宋" w:eastAsia="仿宋" w:cs="仿宋"/>
          <w:color w:val="auto"/>
          <w:highlight w:val="none"/>
        </w:rPr>
      </w:pPr>
    </w:p>
    <w:p w14:paraId="65A88FCA">
      <w:pPr>
        <w:pStyle w:val="25"/>
        <w:snapToGrid w:val="0"/>
        <w:spacing w:line="360" w:lineRule="auto"/>
        <w:ind w:firstLine="0" w:firstLineChars="0"/>
        <w:rPr>
          <w:rFonts w:hint="eastAsia" w:ascii="仿宋" w:hAnsi="仿宋" w:eastAsia="仿宋" w:cs="仿宋"/>
          <w:color w:val="auto"/>
          <w:highlight w:val="none"/>
        </w:rPr>
      </w:pPr>
    </w:p>
    <w:p w14:paraId="1120B026">
      <w:pPr>
        <w:pStyle w:val="25"/>
        <w:snapToGrid w:val="0"/>
        <w:spacing w:line="360" w:lineRule="auto"/>
        <w:ind w:firstLine="0" w:firstLineChars="0"/>
        <w:rPr>
          <w:rFonts w:hint="eastAsia" w:ascii="仿宋" w:hAnsi="仿宋" w:eastAsia="仿宋" w:cs="仿宋"/>
          <w:color w:val="auto"/>
          <w:highlight w:val="none"/>
        </w:rPr>
      </w:pPr>
    </w:p>
    <w:p w14:paraId="05847512">
      <w:pPr>
        <w:pStyle w:val="25"/>
        <w:snapToGrid w:val="0"/>
        <w:spacing w:line="360" w:lineRule="auto"/>
        <w:ind w:firstLine="0" w:firstLineChars="0"/>
        <w:rPr>
          <w:rFonts w:hint="eastAsia" w:ascii="仿宋" w:hAnsi="仿宋" w:eastAsia="仿宋" w:cs="仿宋"/>
          <w:color w:val="auto"/>
          <w:highlight w:val="none"/>
        </w:rPr>
      </w:pPr>
    </w:p>
    <w:p w14:paraId="20101300">
      <w:pPr>
        <w:pStyle w:val="25"/>
        <w:snapToGrid w:val="0"/>
        <w:spacing w:line="360" w:lineRule="auto"/>
        <w:ind w:firstLine="0" w:firstLineChars="0"/>
        <w:rPr>
          <w:rFonts w:hint="eastAsia" w:ascii="仿宋" w:hAnsi="仿宋" w:eastAsia="仿宋" w:cs="仿宋"/>
          <w:color w:val="auto"/>
          <w:highlight w:val="none"/>
        </w:rPr>
      </w:pPr>
    </w:p>
    <w:p w14:paraId="427D6200">
      <w:pPr>
        <w:pStyle w:val="25"/>
        <w:snapToGrid w:val="0"/>
        <w:spacing w:line="360" w:lineRule="auto"/>
        <w:ind w:firstLine="0" w:firstLineChars="0"/>
        <w:rPr>
          <w:rFonts w:hint="eastAsia" w:ascii="仿宋" w:hAnsi="仿宋" w:eastAsia="仿宋" w:cs="仿宋"/>
          <w:color w:val="auto"/>
          <w:highlight w:val="none"/>
        </w:rPr>
      </w:pPr>
    </w:p>
    <w:p w14:paraId="763D844A">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3"/>
      <w:bookmarkStart w:id="163" w:name="OLE_LINK14"/>
      <w:r>
        <w:rPr>
          <w:rFonts w:hint="eastAsia" w:ascii="仿宋" w:hAnsi="仿宋" w:eastAsia="仿宋" w:cs="仿宋"/>
          <w:b/>
          <w:color w:val="auto"/>
          <w:spacing w:val="6"/>
          <w:sz w:val="32"/>
          <w:szCs w:val="32"/>
          <w:highlight w:val="none"/>
        </w:rPr>
        <w:t>残疾人福利性单位声明函</w:t>
      </w:r>
    </w:p>
    <w:bookmarkEnd w:id="162"/>
    <w:bookmarkEnd w:id="163"/>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3"/>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3"/>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3"/>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2"/>
      </w:rPr>
    </w:pPr>
    <w:r>
      <w:fldChar w:fldCharType="begin"/>
    </w:r>
    <w:r>
      <w:rPr>
        <w:rStyle w:val="72"/>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2"/>
      </w:rPr>
    </w:pPr>
    <w:r>
      <w:fldChar w:fldCharType="begin"/>
    </w:r>
    <w:r>
      <w:rPr>
        <w:rStyle w:val="72"/>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131845147"/>
    <w:bookmarkStart w:id="165" w:name="_Toc164085800"/>
    <w:bookmarkStart w:id="166" w:name="_Toc36110187"/>
    <w:bookmarkStart w:id="167" w:name="_Toc91899912"/>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B2D5F0C"/>
    <w:rsid w:val="0B496B4C"/>
    <w:rsid w:val="0EC75C6E"/>
    <w:rsid w:val="0F096B8F"/>
    <w:rsid w:val="0F63063F"/>
    <w:rsid w:val="158F6E5B"/>
    <w:rsid w:val="15DD7CB4"/>
    <w:rsid w:val="17E6386F"/>
    <w:rsid w:val="18E60774"/>
    <w:rsid w:val="19EF674B"/>
    <w:rsid w:val="1AAD475A"/>
    <w:rsid w:val="1D2F1C3B"/>
    <w:rsid w:val="2335523F"/>
    <w:rsid w:val="26D112CD"/>
    <w:rsid w:val="29BC44BA"/>
    <w:rsid w:val="2A170BF9"/>
    <w:rsid w:val="2CE61358"/>
    <w:rsid w:val="2EDB5A4F"/>
    <w:rsid w:val="30CD01D9"/>
    <w:rsid w:val="38872063"/>
    <w:rsid w:val="3BAF4E2E"/>
    <w:rsid w:val="3F5E1222"/>
    <w:rsid w:val="40037E78"/>
    <w:rsid w:val="427E60E8"/>
    <w:rsid w:val="453F5652"/>
    <w:rsid w:val="490735E2"/>
    <w:rsid w:val="49770E51"/>
    <w:rsid w:val="4ACF7AD1"/>
    <w:rsid w:val="4CB0248B"/>
    <w:rsid w:val="4EDB1136"/>
    <w:rsid w:val="4F4B3D85"/>
    <w:rsid w:val="505F7017"/>
    <w:rsid w:val="5C322266"/>
    <w:rsid w:val="5F561B6F"/>
    <w:rsid w:val="5F57E5CA"/>
    <w:rsid w:val="620B296D"/>
    <w:rsid w:val="65AA6490"/>
    <w:rsid w:val="669C35D3"/>
    <w:rsid w:val="6BD4147B"/>
    <w:rsid w:val="6F300D9A"/>
    <w:rsid w:val="6FC37AD4"/>
    <w:rsid w:val="70CC50B4"/>
    <w:rsid w:val="71855149"/>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26888</Words>
  <Characters>28763</Characters>
  <Paragraphs>1943</Paragraphs>
  <TotalTime>34</TotalTime>
  <ScaleCrop>false</ScaleCrop>
  <LinksUpToDate>false</LinksUpToDate>
  <CharactersWithSpaces>31766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2025-06-26T08:45:13Z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eyJoZGlkIjoiZGE2Mjg2YTZkZTMyMTYwY2M1OTQ5YzJlN2MyYmRjOGEiLCJ1c2VySWQiOiI1MjEyMDQwMTEifQ==</vt:lpwstr>
  </property>
</Properties>
</file>