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3455">
      <w:pPr>
        <w:spacing w:line="360" w:lineRule="auto"/>
        <w:jc w:val="center"/>
        <w:rPr>
          <w:rFonts w:ascii="宋体" w:hAnsi="宋体" w:cs="宋体"/>
          <w:b/>
          <w:color w:val="auto"/>
          <w:sz w:val="24"/>
          <w:highlight w:val="none"/>
        </w:rPr>
      </w:pPr>
    </w:p>
    <w:p w14:paraId="2FB3130A">
      <w:pPr>
        <w:adjustRightInd/>
        <w:spacing w:line="360" w:lineRule="auto"/>
        <w:jc w:val="center"/>
        <w:rPr>
          <w:rFonts w:ascii="宋体" w:hAnsi="宋体" w:cs="宋体"/>
          <w:b/>
          <w:color w:val="auto"/>
          <w:sz w:val="48"/>
          <w:szCs w:val="48"/>
          <w:highlight w:val="none"/>
        </w:rPr>
      </w:pPr>
    </w:p>
    <w:p w14:paraId="5B1715D5">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杭州市钱塘区临江新城实验</w:t>
      </w:r>
      <w:bookmarkStart w:id="1200" w:name="_GoBack"/>
      <w:bookmarkEnd w:id="1200"/>
      <w:r>
        <w:rPr>
          <w:rFonts w:hint="eastAsia" w:ascii="宋体" w:hAnsi="宋体" w:cs="宋体"/>
          <w:color w:val="auto"/>
          <w:sz w:val="48"/>
          <w:szCs w:val="48"/>
          <w:highlight w:val="none"/>
          <w:lang w:eastAsia="zh-CN"/>
        </w:rPr>
        <w:t>学校运动场地改造工程</w:t>
      </w:r>
    </w:p>
    <w:p w14:paraId="26D414E6">
      <w:pPr>
        <w:adjustRightInd/>
        <w:spacing w:line="360" w:lineRule="auto"/>
        <w:ind w:firstLine="480" w:firstLineChars="100"/>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554FD9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B9C319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QTCG-CS-2025-034</w:t>
      </w:r>
    </w:p>
    <w:p w14:paraId="23F16EA7">
      <w:pPr>
        <w:adjustRightInd/>
        <w:spacing w:line="360" w:lineRule="auto"/>
        <w:rPr>
          <w:rFonts w:ascii="宋体" w:hAnsi="宋体" w:cs="宋体"/>
          <w:color w:val="auto"/>
          <w:sz w:val="28"/>
          <w:szCs w:val="20"/>
          <w:highlight w:val="none"/>
        </w:rPr>
      </w:pPr>
    </w:p>
    <w:p w14:paraId="66072267">
      <w:pPr>
        <w:spacing w:line="360" w:lineRule="auto"/>
        <w:jc w:val="center"/>
        <w:rPr>
          <w:rFonts w:hint="eastAsia" w:ascii="宋体" w:hAnsi="宋体" w:cs="宋体"/>
          <w:b/>
          <w:color w:val="auto"/>
          <w:sz w:val="44"/>
          <w:szCs w:val="44"/>
          <w:highlight w:val="none"/>
        </w:rPr>
      </w:pPr>
    </w:p>
    <w:p w14:paraId="356941BB">
      <w:pPr>
        <w:spacing w:line="360" w:lineRule="auto"/>
        <w:jc w:val="center"/>
        <w:rPr>
          <w:rFonts w:hint="eastAsia" w:ascii="宋体" w:hAnsi="宋体" w:cs="宋体"/>
          <w:b/>
          <w:color w:val="auto"/>
          <w:sz w:val="44"/>
          <w:szCs w:val="44"/>
          <w:highlight w:val="none"/>
        </w:rPr>
      </w:pPr>
    </w:p>
    <w:p w14:paraId="0B7F0FB7">
      <w:pPr>
        <w:spacing w:line="360" w:lineRule="auto"/>
        <w:jc w:val="center"/>
        <w:rPr>
          <w:rFonts w:ascii="宋体" w:hAnsi="宋体" w:cs="宋体"/>
          <w:b/>
          <w:color w:val="auto"/>
          <w:sz w:val="44"/>
          <w:szCs w:val="44"/>
          <w:highlight w:val="none"/>
        </w:rPr>
      </w:pPr>
    </w:p>
    <w:p w14:paraId="72B69023">
      <w:pPr>
        <w:spacing w:line="360" w:lineRule="auto"/>
        <w:jc w:val="center"/>
        <w:rPr>
          <w:rFonts w:ascii="宋体" w:hAnsi="宋体" w:cs="宋体"/>
          <w:b/>
          <w:color w:val="auto"/>
          <w:sz w:val="44"/>
          <w:szCs w:val="44"/>
          <w:highlight w:val="none"/>
        </w:rPr>
      </w:pPr>
    </w:p>
    <w:p w14:paraId="79AA475E">
      <w:pPr>
        <w:spacing w:line="360" w:lineRule="auto"/>
        <w:jc w:val="center"/>
        <w:rPr>
          <w:rFonts w:ascii="宋体" w:hAnsi="宋体" w:cs="宋体"/>
          <w:color w:val="auto"/>
          <w:sz w:val="24"/>
          <w:highlight w:val="none"/>
        </w:rPr>
      </w:pPr>
    </w:p>
    <w:p w14:paraId="0FD7BBEF">
      <w:pPr>
        <w:spacing w:line="360" w:lineRule="auto"/>
        <w:rPr>
          <w:rFonts w:ascii="宋体" w:hAnsi="宋体" w:cs="宋体"/>
          <w:color w:val="auto"/>
          <w:sz w:val="32"/>
          <w:szCs w:val="32"/>
          <w:highlight w:val="none"/>
        </w:rPr>
      </w:pPr>
    </w:p>
    <w:p w14:paraId="62221D5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杭州市钱塘区临江新城实验学校</w:t>
      </w:r>
    </w:p>
    <w:p w14:paraId="1142C106">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eastAsia="zh-CN"/>
        </w:rPr>
        <w:t>浙江省房地产管理咨询有限公司</w:t>
      </w:r>
    </w:p>
    <w:p w14:paraId="19342F4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376D9B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BC76ECC">
      <w:pPr>
        <w:spacing w:line="360" w:lineRule="auto"/>
        <w:jc w:val="center"/>
        <w:rPr>
          <w:rFonts w:ascii="宋体" w:hAnsi="宋体" w:cs="宋体"/>
          <w:color w:val="auto"/>
          <w:sz w:val="24"/>
          <w:highlight w:val="none"/>
        </w:rPr>
      </w:pPr>
    </w:p>
    <w:p w14:paraId="06A4E9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10BDECE">
      <w:pPr>
        <w:spacing w:line="360" w:lineRule="auto"/>
        <w:rPr>
          <w:rFonts w:ascii="宋体" w:hAnsi="宋体" w:cs="宋体"/>
          <w:color w:val="auto"/>
          <w:sz w:val="32"/>
          <w:szCs w:val="32"/>
          <w:highlight w:val="none"/>
        </w:rPr>
      </w:pPr>
    </w:p>
    <w:p w14:paraId="03B674D7">
      <w:pPr>
        <w:spacing w:line="360" w:lineRule="auto"/>
        <w:rPr>
          <w:rFonts w:ascii="宋体" w:hAnsi="宋体" w:cs="宋体"/>
          <w:color w:val="auto"/>
          <w:sz w:val="32"/>
          <w:szCs w:val="32"/>
          <w:highlight w:val="none"/>
        </w:rPr>
      </w:pPr>
    </w:p>
    <w:p w14:paraId="22E788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E940D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003E5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372D9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40561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D7D0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A8C3C7F">
      <w:pPr>
        <w:spacing w:line="360" w:lineRule="auto"/>
        <w:ind w:firstLine="1280" w:firstLineChars="400"/>
        <w:rPr>
          <w:rFonts w:ascii="宋体" w:hAnsi="宋体" w:cs="宋体"/>
          <w:color w:val="auto"/>
          <w:sz w:val="32"/>
          <w:szCs w:val="32"/>
          <w:highlight w:val="none"/>
        </w:rPr>
      </w:pPr>
    </w:p>
    <w:p w14:paraId="212A95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49C515">
      <w:pPr>
        <w:spacing w:line="360" w:lineRule="auto"/>
        <w:ind w:firstLine="549" w:firstLineChars="229"/>
        <w:rPr>
          <w:rFonts w:ascii="宋体" w:hAnsi="宋体" w:cs="宋体"/>
          <w:color w:val="auto"/>
          <w:sz w:val="24"/>
          <w:highlight w:val="none"/>
        </w:rPr>
      </w:pPr>
    </w:p>
    <w:p w14:paraId="0DA3E59C">
      <w:pPr>
        <w:spacing w:line="360" w:lineRule="auto"/>
        <w:ind w:firstLine="549" w:firstLineChars="229"/>
        <w:rPr>
          <w:rFonts w:ascii="宋体" w:hAnsi="宋体" w:cs="宋体"/>
          <w:color w:val="auto"/>
          <w:sz w:val="24"/>
          <w:highlight w:val="none"/>
        </w:rPr>
      </w:pPr>
    </w:p>
    <w:p w14:paraId="6922B43C">
      <w:pPr>
        <w:spacing w:line="360" w:lineRule="auto"/>
        <w:ind w:firstLine="549" w:firstLineChars="229"/>
        <w:rPr>
          <w:rFonts w:ascii="宋体" w:hAnsi="宋体" w:cs="宋体"/>
          <w:color w:val="auto"/>
          <w:sz w:val="24"/>
          <w:highlight w:val="none"/>
        </w:rPr>
      </w:pPr>
    </w:p>
    <w:p w14:paraId="3B4BB079">
      <w:pPr>
        <w:spacing w:line="360" w:lineRule="auto"/>
        <w:ind w:firstLine="549" w:firstLineChars="229"/>
        <w:rPr>
          <w:rFonts w:ascii="宋体" w:hAnsi="宋体" w:cs="宋体"/>
          <w:color w:val="auto"/>
          <w:sz w:val="24"/>
          <w:highlight w:val="none"/>
        </w:rPr>
      </w:pPr>
    </w:p>
    <w:p w14:paraId="4CC9D5EE">
      <w:pPr>
        <w:spacing w:line="360" w:lineRule="auto"/>
        <w:ind w:firstLine="549" w:firstLineChars="229"/>
        <w:rPr>
          <w:rFonts w:ascii="宋体" w:hAnsi="宋体" w:cs="宋体"/>
          <w:color w:val="auto"/>
          <w:sz w:val="24"/>
          <w:highlight w:val="none"/>
        </w:rPr>
      </w:pPr>
    </w:p>
    <w:p w14:paraId="2236107C">
      <w:pPr>
        <w:spacing w:line="360" w:lineRule="auto"/>
        <w:ind w:firstLine="549" w:firstLineChars="229"/>
        <w:rPr>
          <w:rFonts w:ascii="宋体" w:hAnsi="宋体" w:cs="宋体"/>
          <w:color w:val="auto"/>
          <w:sz w:val="24"/>
          <w:highlight w:val="none"/>
        </w:rPr>
      </w:pPr>
    </w:p>
    <w:p w14:paraId="6BA7D33C">
      <w:pPr>
        <w:spacing w:line="360" w:lineRule="auto"/>
        <w:ind w:firstLine="549" w:firstLineChars="229"/>
        <w:rPr>
          <w:rFonts w:ascii="宋体" w:hAnsi="宋体" w:cs="宋体"/>
          <w:color w:val="auto"/>
          <w:sz w:val="24"/>
          <w:highlight w:val="none"/>
        </w:rPr>
      </w:pPr>
    </w:p>
    <w:p w14:paraId="23D64CA2">
      <w:pPr>
        <w:spacing w:line="360" w:lineRule="auto"/>
        <w:ind w:firstLine="549" w:firstLineChars="229"/>
        <w:rPr>
          <w:rFonts w:ascii="宋体" w:hAnsi="宋体" w:cs="宋体"/>
          <w:color w:val="auto"/>
          <w:sz w:val="24"/>
          <w:highlight w:val="none"/>
        </w:rPr>
      </w:pPr>
    </w:p>
    <w:p w14:paraId="5AE64D0D">
      <w:pPr>
        <w:spacing w:line="360" w:lineRule="auto"/>
        <w:ind w:firstLine="549" w:firstLineChars="229"/>
        <w:rPr>
          <w:rFonts w:ascii="宋体" w:hAnsi="宋体" w:cs="宋体"/>
          <w:color w:val="auto"/>
          <w:sz w:val="24"/>
          <w:highlight w:val="none"/>
        </w:rPr>
      </w:pPr>
    </w:p>
    <w:p w14:paraId="4470A3AC">
      <w:pPr>
        <w:spacing w:line="360" w:lineRule="auto"/>
        <w:ind w:firstLine="549" w:firstLineChars="229"/>
        <w:rPr>
          <w:rFonts w:ascii="宋体" w:hAnsi="宋体" w:cs="宋体"/>
          <w:color w:val="auto"/>
          <w:sz w:val="24"/>
          <w:highlight w:val="none"/>
        </w:rPr>
      </w:pPr>
    </w:p>
    <w:p w14:paraId="481018EB">
      <w:pPr>
        <w:spacing w:line="360" w:lineRule="auto"/>
        <w:ind w:firstLine="549" w:firstLineChars="229"/>
        <w:rPr>
          <w:rFonts w:ascii="宋体" w:hAnsi="宋体" w:cs="宋体"/>
          <w:color w:val="auto"/>
          <w:sz w:val="24"/>
          <w:highlight w:val="none"/>
        </w:rPr>
      </w:pPr>
    </w:p>
    <w:p w14:paraId="70589CF8">
      <w:pPr>
        <w:spacing w:line="360" w:lineRule="auto"/>
        <w:ind w:firstLine="549" w:firstLineChars="229"/>
        <w:rPr>
          <w:rFonts w:ascii="宋体" w:hAnsi="宋体" w:cs="宋体"/>
          <w:color w:val="auto"/>
          <w:sz w:val="24"/>
          <w:highlight w:val="none"/>
        </w:rPr>
      </w:pPr>
    </w:p>
    <w:p w14:paraId="603A0FEC">
      <w:pPr>
        <w:spacing w:line="360" w:lineRule="auto"/>
        <w:rPr>
          <w:rFonts w:ascii="宋体" w:hAnsi="宋体" w:cs="宋体"/>
          <w:color w:val="auto"/>
          <w:sz w:val="24"/>
          <w:highlight w:val="none"/>
        </w:rPr>
      </w:pPr>
    </w:p>
    <w:p w14:paraId="2F0A11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DFE0D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4A5C4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杭州市钱塘区临江新城实验学校运动场地改造工程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392456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BA5E56">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QTCG-CS-2025-034</w:t>
      </w:r>
      <w:r>
        <w:rPr>
          <w:rFonts w:hint="eastAsia" w:ascii="宋体" w:hAnsi="宋体" w:cs="宋体"/>
          <w:color w:val="auto"/>
          <w:sz w:val="24"/>
          <w:highlight w:val="none"/>
          <w:lang w:val="en-US" w:eastAsia="zh-CN"/>
        </w:rPr>
        <w:t xml:space="preserve">  </w:t>
      </w:r>
    </w:p>
    <w:p w14:paraId="6750DF5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杭州市钱塘区临江新城实验学校运动场地改造工程</w:t>
      </w:r>
    </w:p>
    <w:p w14:paraId="302E108A">
      <w:pPr>
        <w:snapToGrid w:val="0"/>
        <w:spacing w:line="360" w:lineRule="auto"/>
        <w:ind w:firstLine="482" w:firstLineChars="200"/>
        <w:rPr>
          <w:rFonts w:hint="default" w:ascii="仿宋" w:hAnsi="仿宋" w:eastAsia="仿宋" w:cs="仿宋"/>
          <w:b/>
          <w:bCs/>
          <w:i w:val="0"/>
          <w:iCs w:val="0"/>
          <w:color w:val="auto"/>
          <w:kern w:val="2"/>
          <w:sz w:val="24"/>
          <w:szCs w:val="24"/>
          <w:highlight w:val="none"/>
          <w:u w:val="none"/>
          <w:lang w:val="en-US" w:eastAsia="zh-CN" w:bidi="ar"/>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1100000</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lang w:val="en-US" w:eastAsia="zh-CN"/>
        </w:rPr>
        <w:t>1089354</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p w14:paraId="023A5CBD">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904164</w:t>
      </w:r>
      <w:r>
        <w:rPr>
          <w:rFonts w:hint="eastAsia" w:ascii="宋体" w:hAnsi="宋体" w:cs="宋体"/>
          <w:b/>
          <w:color w:val="auto"/>
          <w:sz w:val="24"/>
          <w:highlight w:val="none"/>
          <w:lang w:val="en-US" w:eastAsia="zh-CN"/>
        </w:rPr>
        <w:t xml:space="preserve">  </w:t>
      </w:r>
    </w:p>
    <w:p w14:paraId="26749AD4">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bCs w:val="0"/>
          <w:snapToGrid/>
          <w:color w:val="auto"/>
          <w:kern w:val="2"/>
          <w:sz w:val="24"/>
          <w:szCs w:val="24"/>
          <w:highlight w:val="none"/>
          <w:lang w:eastAsia="zh-CN"/>
        </w:rPr>
        <w:t>杭州市钱塘区临江新城实验学校运动场地改造工程（政府采购工程）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杭州市钱塘区临江新城实验学校运动场地改造工程</w:t>
      </w:r>
      <w:r>
        <w:rPr>
          <w:rFonts w:hint="eastAsia" w:hAnsi="宋体" w:cs="宋体"/>
          <w:bCs/>
          <w:snapToGrid/>
          <w:color w:val="auto"/>
          <w:kern w:val="2"/>
          <w:sz w:val="24"/>
          <w:szCs w:val="24"/>
          <w:highlight w:val="none"/>
        </w:rPr>
        <w:t>的竞争性磋商文件、工程量清单及施工图范围内的所有内容。详见采购文件第三部分采购需求。</w:t>
      </w:r>
    </w:p>
    <w:p w14:paraId="2EBA4CD1">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szCs w:val="24"/>
          <w:highlight w:val="none"/>
          <w:lang w:val="en-US" w:eastAsia="zh-CN"/>
        </w:rPr>
        <w:t>30日历天</w:t>
      </w:r>
      <w:r>
        <w:rPr>
          <w:rFonts w:hint="eastAsia" w:ascii="宋体" w:hAnsi="宋体" w:cs="宋体"/>
          <w:color w:val="auto"/>
          <w:sz w:val="24"/>
          <w:szCs w:val="24"/>
          <w:highlight w:val="none"/>
          <w:lang w:val="en-US" w:eastAsia="zh-CN"/>
        </w:rPr>
        <w:t>（满足整体工程进度需要）</w:t>
      </w:r>
      <w:r>
        <w:rPr>
          <w:rFonts w:hint="eastAsia" w:hAnsi="宋体" w:cs="宋体"/>
          <w:bCs/>
          <w:snapToGrid/>
          <w:color w:val="auto"/>
          <w:kern w:val="2"/>
          <w:sz w:val="24"/>
          <w:szCs w:val="24"/>
          <w:highlight w:val="none"/>
        </w:rPr>
        <w:t>。</w:t>
      </w:r>
    </w:p>
    <w:p w14:paraId="44DC73BC">
      <w:pPr>
        <w:pStyle w:val="16"/>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，不接受联合体理由：</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rPr>
        <w:t>。</w:t>
      </w:r>
    </w:p>
    <w:p w14:paraId="57749E05">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6E85B8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7DC9D0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AB110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以联合体形式参与的，提供联合协议(供应商不以联合体形式参与的，则不需要提供) ；</w:t>
      </w:r>
    </w:p>
    <w:p w14:paraId="079A2D9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EC21D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15BEAF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FAC3D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F8AA3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5E91D6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5BECDAE">
      <w:pPr>
        <w:tabs>
          <w:tab w:val="left" w:pos="840"/>
        </w:tabs>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如果供应商本身提供所有标的均由中小企业承建，视同符合</w:t>
      </w:r>
      <w:r>
        <w:rPr>
          <w:rFonts w:hint="eastAsia" w:ascii="宋体" w:hAnsi="宋体" w:eastAsia="宋体" w:cs="宋体"/>
          <w:color w:val="auto"/>
          <w:sz w:val="24"/>
          <w:highlight w:val="none"/>
        </w:rPr>
        <w:t>了资格条件，无需再向中小企业分包，无需提供分包意向协议；</w:t>
      </w:r>
    </w:p>
    <w:p w14:paraId="34EDC144">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sdt>
        <w:sdtPr>
          <w:rPr>
            <w:rFonts w:hint="eastAsia" w:ascii="宋体" w:hAnsi="宋体" w:cs="宋体"/>
            <w:color w:val="auto"/>
            <w:kern w:val="0"/>
            <w:sz w:val="24"/>
            <w:highlight w:val="none"/>
          </w:rPr>
          <w:id w:val="14746950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579880A8">
      <w:pPr>
        <w:tabs>
          <w:tab w:val="left" w:pos="840"/>
        </w:tabs>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5.单位负责人为同一人或者存在直接控股、管理</w:t>
      </w:r>
      <w:r>
        <w:rPr>
          <w:rFonts w:hint="eastAsia" w:ascii="宋体" w:hAnsi="宋体" w:cs="宋体"/>
          <w:color w:val="auto"/>
          <w:sz w:val="24"/>
          <w:highlight w:val="none"/>
        </w:rPr>
        <w:t>关系的不同供应商，不得参加同一合同项下的政府采购活动；为采购项目提供整体设计、规范编制或者项目管理、监理、检测等服务后不得再参加该采购项目的其他采购活动。</w:t>
      </w:r>
    </w:p>
    <w:p w14:paraId="242E661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43E7A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5199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19704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70AD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351CA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6EFF7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5B75A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E7CF5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220B2A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5EDC79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958A1A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04BF0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8CEF6A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4BE9F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DC32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BAAC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BEE2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354710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39E16B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EF2CC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1620A669">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99C19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CDBC8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杭州市钱塘区临江新城实验学校</w:t>
      </w:r>
      <w:r>
        <w:rPr>
          <w:rFonts w:hint="eastAsia" w:ascii="宋体" w:hAnsi="宋体" w:cs="宋体"/>
          <w:color w:val="auto"/>
          <w:sz w:val="24"/>
          <w:highlight w:val="none"/>
        </w:rPr>
        <w:t xml:space="preserve"> </w:t>
      </w:r>
    </w:p>
    <w:p w14:paraId="5C1213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杭州市钱塘区临江街道纬六路881号</w:t>
      </w:r>
      <w:r>
        <w:rPr>
          <w:rFonts w:hint="eastAsia" w:ascii="宋体" w:hAnsi="宋体" w:cs="宋体"/>
          <w:color w:val="auto"/>
          <w:sz w:val="24"/>
          <w:highlight w:val="none"/>
        </w:rPr>
        <w:t xml:space="preserve">    </w:t>
      </w:r>
    </w:p>
    <w:p w14:paraId="065CF6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7EB501F5">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：王国建</w:t>
      </w:r>
      <w:r>
        <w:rPr>
          <w:rFonts w:hint="eastAsia" w:ascii="宋体" w:hAnsi="宋体" w:cs="宋体"/>
          <w:color w:val="auto"/>
          <w:sz w:val="24"/>
          <w:highlight w:val="none"/>
          <w:lang w:val="en-US" w:eastAsia="zh-CN"/>
        </w:rPr>
        <w:t xml:space="preserve">  </w:t>
      </w:r>
    </w:p>
    <w:p w14:paraId="7800F4E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：13157140302  </w:t>
      </w:r>
    </w:p>
    <w:p w14:paraId="3015FC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质疑联系人：陈锋</w:t>
      </w:r>
      <w:r>
        <w:rPr>
          <w:rFonts w:hint="eastAsia" w:ascii="宋体" w:hAnsi="宋体" w:cs="宋体"/>
          <w:color w:val="auto"/>
          <w:sz w:val="24"/>
          <w:highlight w:val="none"/>
          <w:lang w:val="en-US" w:eastAsia="zh-CN"/>
        </w:rPr>
        <w:t xml:space="preserve"> </w:t>
      </w:r>
    </w:p>
    <w:p w14:paraId="74D613DF">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质疑联系方式：13588797072</w:t>
      </w:r>
      <w:r>
        <w:rPr>
          <w:rFonts w:hint="eastAsia" w:ascii="宋体" w:hAnsi="宋体" w:cs="宋体"/>
          <w:color w:val="auto"/>
          <w:sz w:val="24"/>
          <w:highlight w:val="none"/>
          <w:lang w:val="en-US" w:eastAsia="zh-CN"/>
        </w:rPr>
        <w:t xml:space="preserve">  </w:t>
      </w:r>
    </w:p>
    <w:p w14:paraId="0FACF2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5E58E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浙江省房地产管理咨询有限公司</w:t>
      </w:r>
    </w:p>
    <w:p w14:paraId="1E5082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址：杭州市拱墅区绍兴路538号三立时代广场1206室 </w:t>
      </w:r>
    </w:p>
    <w:p w14:paraId="7AB7DE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真：0571-88477702          </w:t>
      </w:r>
    </w:p>
    <w:p w14:paraId="3AF585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项目联系人（询问）：伍红仙         </w:t>
      </w:r>
    </w:p>
    <w:p w14:paraId="3E2483F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项目联系方式（询问）：13357106093/18868089351</w:t>
      </w:r>
    </w:p>
    <w:p w14:paraId="1187E7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赵红梅</w:t>
      </w:r>
      <w:r>
        <w:rPr>
          <w:rFonts w:hint="eastAsia" w:ascii="宋体" w:hAnsi="宋体" w:cs="宋体"/>
          <w:color w:val="auto"/>
          <w:sz w:val="24"/>
          <w:highlight w:val="none"/>
        </w:rPr>
        <w:t xml:space="preserve">           </w:t>
      </w:r>
    </w:p>
    <w:p w14:paraId="15B0BEC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w:t>
      </w:r>
      <w:r>
        <w:rPr>
          <w:rFonts w:hint="eastAsia" w:ascii="宋体" w:hAnsi="宋体" w:eastAsia="宋体" w:cs="宋体"/>
          <w:color w:val="auto"/>
          <w:sz w:val="24"/>
          <w:highlight w:val="none"/>
        </w:rPr>
        <w:t>式：13757196173</w:t>
      </w:r>
    </w:p>
    <w:p w14:paraId="090DAE9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 同级政府采购监督管理</w:t>
      </w:r>
      <w:r>
        <w:rPr>
          <w:rFonts w:hint="eastAsia" w:ascii="宋体" w:hAnsi="宋体" w:cs="宋体"/>
          <w:color w:val="auto"/>
          <w:sz w:val="24"/>
          <w:highlight w:val="none"/>
        </w:rPr>
        <w:t xml:space="preserve">部门            </w:t>
      </w:r>
    </w:p>
    <w:p w14:paraId="097324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称：杭州市钱塘区财政局、浙江省政府采购行政裁决服务中心（杭州） </w:t>
      </w:r>
    </w:p>
    <w:p w14:paraId="050F5A5A">
      <w:pPr>
        <w:adjustRightInd/>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地    址： 杭州市上城区清泰街549号城建综合大楼11楼（快递仅限ems或顺丰）</w:t>
      </w:r>
    </w:p>
    <w:p w14:paraId="2BDB2A42">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联系人 ：匡老师</w:t>
      </w:r>
    </w:p>
    <w:p w14:paraId="55F60AD8">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监督投诉电话：0571-87807798 </w:t>
      </w:r>
    </w:p>
    <w:p w14:paraId="55BCC894">
      <w:pPr>
        <w:spacing w:line="360" w:lineRule="auto"/>
        <w:ind w:firstLine="480" w:firstLineChars="200"/>
        <w:rPr>
          <w:rFonts w:ascii="宋体" w:hAnsi="宋体" w:cs="宋体"/>
          <w:color w:val="auto"/>
          <w:sz w:val="24"/>
          <w:highlight w:val="none"/>
        </w:rPr>
      </w:pPr>
    </w:p>
    <w:p w14:paraId="5EADB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D05F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0CD7F78">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05EB8361">
      <w:pPr>
        <w:pStyle w:val="36"/>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37AF7F9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0F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63808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CDB2F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01275A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BD0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2042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5F2EAF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F738220">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4BD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7882F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Merge w:val="restart"/>
            <w:vAlign w:val="center"/>
          </w:tcPr>
          <w:p w14:paraId="399623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F366235">
            <w:pPr>
              <w:pStyle w:val="4"/>
              <w:rPr>
                <w:rFonts w:ascii="宋体" w:hAnsi="宋体" w:eastAsia="宋体" w:cs="宋体"/>
                <w:color w:val="auto"/>
                <w:highlight w:val="none"/>
                <w:lang w:val="en-US"/>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杭州市钱塘区临江新城实验学校运动场地改造工程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rPr>
              <w:t>行业；</w:t>
            </w:r>
          </w:p>
        </w:tc>
      </w:tr>
      <w:tr w14:paraId="2D2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0C6667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6C5A0DC6">
            <w:pPr>
              <w:snapToGrid w:val="0"/>
              <w:spacing w:line="360" w:lineRule="auto"/>
              <w:jc w:val="center"/>
              <w:rPr>
                <w:rFonts w:hint="eastAsia" w:ascii="宋体" w:hAnsi="宋体" w:cs="宋体"/>
                <w:b/>
                <w:color w:val="auto"/>
                <w:sz w:val="24"/>
                <w:highlight w:val="none"/>
              </w:rPr>
            </w:pPr>
          </w:p>
        </w:tc>
        <w:tc>
          <w:tcPr>
            <w:tcW w:w="6927" w:type="dxa"/>
            <w:vAlign w:val="center"/>
          </w:tcPr>
          <w:p w14:paraId="28688D84">
            <w:pPr>
              <w:pStyle w:val="4"/>
              <w:ind w:left="0" w:leftChars="0" w:firstLine="482"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关于印发中小企业划型标准规定的通知》（工信部联企业〔2011〕300号）第四条第（三）项规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81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E2AEBCA">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0E920D23">
            <w:pPr>
              <w:snapToGrid w:val="0"/>
              <w:spacing w:line="360" w:lineRule="auto"/>
              <w:jc w:val="center"/>
              <w:rPr>
                <w:rFonts w:hint="eastAsia" w:ascii="宋体" w:hAnsi="宋体" w:cs="宋体"/>
                <w:b/>
                <w:color w:val="auto"/>
                <w:sz w:val="24"/>
                <w:highlight w:val="none"/>
              </w:rPr>
            </w:pPr>
          </w:p>
        </w:tc>
        <w:tc>
          <w:tcPr>
            <w:tcW w:w="6927" w:type="dxa"/>
            <w:vAlign w:val="center"/>
          </w:tcPr>
          <w:p w14:paraId="516FEECE">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杭州市钱塘区临江新城实验学校运动场地改造工程</w:t>
            </w:r>
            <w:r>
              <w:rPr>
                <w:rFonts w:hint="eastAsia" w:ascii="宋体" w:hAnsi="宋体" w:eastAsia="宋体" w:cs="宋体"/>
                <w:color w:val="auto"/>
                <w:kern w:val="0"/>
                <w:sz w:val="24"/>
                <w:highlight w:val="none"/>
              </w:rPr>
              <w:t>，所属行业为</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p>
          <w:p w14:paraId="3548522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（2）从业人员、营业收入、资产总额填报上一年度数据，无上一年度数据的新成立企业可不填报；</w:t>
            </w:r>
          </w:p>
          <w:p w14:paraId="514D5479">
            <w:pPr>
              <w:pStyle w:val="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填写时应明确是</w:t>
            </w:r>
            <w:r>
              <w:rPr>
                <w:rFonts w:hint="eastAsia" w:ascii="宋体" w:hAnsi="宋体" w:eastAsia="宋体" w:cs="宋体"/>
                <w:b/>
                <w:bCs/>
                <w:color w:val="auto"/>
                <w:kern w:val="0"/>
                <w:sz w:val="24"/>
                <w:highlight w:val="none"/>
                <w:u w:val="single"/>
                <w:lang w:val="en-US" w:eastAsia="zh-CN"/>
              </w:rPr>
              <w:t>中型或</w:t>
            </w:r>
            <w:r>
              <w:rPr>
                <w:rFonts w:hint="eastAsia" w:ascii="宋体" w:hAnsi="宋体" w:eastAsia="宋体" w:cs="宋体"/>
                <w:b/>
                <w:bCs/>
                <w:color w:val="auto"/>
                <w:kern w:val="0"/>
                <w:sz w:val="24"/>
                <w:highlight w:val="none"/>
                <w:u w:val="single"/>
              </w:rPr>
              <w:t>小型或微型</w:t>
            </w:r>
            <w:r>
              <w:rPr>
                <w:rFonts w:hint="eastAsia" w:ascii="宋体" w:hAnsi="宋体" w:eastAsia="宋体" w:cs="宋体"/>
                <w:color w:val="auto"/>
                <w:kern w:val="0"/>
                <w:sz w:val="24"/>
                <w:highlight w:val="none"/>
              </w:rPr>
              <w:t>。</w:t>
            </w:r>
          </w:p>
        </w:tc>
      </w:tr>
      <w:tr w14:paraId="3EF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3F8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0FDDDD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6A8573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763AD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99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CCB9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A1CDD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7BBD54D">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703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9939"/>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施工劳务 </w:t>
            </w:r>
            <w:r>
              <w:rPr>
                <w:rFonts w:hint="eastAsia" w:ascii="宋体" w:hAnsi="宋体" w:eastAsia="宋体" w:cs="宋体"/>
                <w:color w:val="auto"/>
                <w:sz w:val="24"/>
                <w:highlight w:val="none"/>
              </w:rPr>
              <w:t>工作分包。</w:t>
            </w:r>
          </w:p>
          <w:p w14:paraId="6DDF226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9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910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中型企业向小微企业、小微企业向小微企业合理分包</w:t>
            </w:r>
            <w:r>
              <w:rPr>
                <w:rFonts w:hint="eastAsia" w:ascii="宋体" w:hAnsi="宋体" w:eastAsia="宋体" w:cs="宋体"/>
                <w:color w:val="auto"/>
                <w:sz w:val="24"/>
                <w:highlight w:val="none"/>
              </w:rPr>
              <w:t>。</w:t>
            </w:r>
          </w:p>
          <w:p w14:paraId="0D4BB5A6">
            <w:pPr>
              <w:spacing w:line="360" w:lineRule="auto"/>
              <w:rPr>
                <w:rFonts w:ascii="宋体" w:hAnsi="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39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81385"/>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p>
        </w:tc>
      </w:tr>
      <w:tr w14:paraId="1079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4B55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4B041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FD26204">
            <w:pPr>
              <w:pStyle w:val="2"/>
              <w:spacing w:line="360" w:lineRule="auto"/>
              <w:ind w:firstLine="0" w:firstLineChars="0"/>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709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9DB6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0387D2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44C4A2F">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1B5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1647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3E14E5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903D3F0">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FE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D59CE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23513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3218D8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310CA2D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38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9021FA1">
            <w:pPr>
              <w:snapToGrid w:val="0"/>
              <w:spacing w:line="360" w:lineRule="auto"/>
              <w:jc w:val="center"/>
              <w:rPr>
                <w:rFonts w:ascii="宋体" w:hAnsi="宋体" w:cs="宋体"/>
                <w:color w:val="auto"/>
                <w:sz w:val="24"/>
                <w:highlight w:val="none"/>
              </w:rPr>
            </w:pPr>
          </w:p>
        </w:tc>
        <w:tc>
          <w:tcPr>
            <w:tcW w:w="2093" w:type="dxa"/>
            <w:vMerge w:val="continue"/>
            <w:vAlign w:val="center"/>
          </w:tcPr>
          <w:p w14:paraId="08474655">
            <w:pPr>
              <w:snapToGrid w:val="0"/>
              <w:spacing w:line="360" w:lineRule="auto"/>
              <w:jc w:val="center"/>
              <w:rPr>
                <w:rFonts w:ascii="宋体" w:hAnsi="宋体" w:cs="宋体"/>
                <w:b/>
                <w:color w:val="auto"/>
                <w:sz w:val="24"/>
                <w:highlight w:val="none"/>
              </w:rPr>
            </w:pPr>
          </w:p>
        </w:tc>
        <w:tc>
          <w:tcPr>
            <w:tcW w:w="6927" w:type="dxa"/>
            <w:vAlign w:val="center"/>
          </w:tcPr>
          <w:p w14:paraId="195BA83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2C1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B602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CC20B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9A57085">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0C629D6">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70666"/>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15112272">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56800F8D">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58DE2E0C">
            <w:pPr>
              <w:pStyle w:val="2"/>
              <w:keepNext w:val="0"/>
              <w:keepLines w:val="0"/>
              <w:pageBreakBefore w:val="0"/>
              <w:kinsoku/>
              <w:wordWrap/>
              <w:overflowPunct/>
              <w:topLinePunct w:val="0"/>
              <w:bidi w:val="0"/>
              <w:adjustRightInd w:val="0"/>
              <w:spacing w:line="360" w:lineRule="auto"/>
              <w:textAlignment w:val="auto"/>
            </w:pPr>
            <w:r>
              <w:rPr>
                <w:rFonts w:hint="eastAsia" w:ascii="宋体" w:hAnsi="宋体" w:eastAsia="宋体" w:cs="宋体"/>
                <w:kern w:val="0"/>
                <w:sz w:val="24"/>
                <w:szCs w:val="24"/>
                <w:lang w:val="en-US" w:eastAsia="zh-CN" w:bidi="ar-SA"/>
              </w:rPr>
              <w:t>☑无</w:t>
            </w:r>
          </w:p>
        </w:tc>
      </w:tr>
      <w:tr w14:paraId="221A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79F0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5C68A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494E0A2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426CA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79CAEF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1D471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9B0E34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763D03">
            <w:pPr>
              <w:spacing w:line="360" w:lineRule="auto"/>
              <w:ind w:firstLine="241" w:firstLineChars="100"/>
              <w:rPr>
                <w:color w:val="auto"/>
                <w:highlight w:val="none"/>
              </w:rPr>
            </w:pPr>
            <w:r>
              <w:rPr>
                <w:rFonts w:hint="eastAsia" w:ascii="宋体" w:hAnsi="宋体" w:cs="宋体"/>
                <w:b/>
                <w:color w:val="auto"/>
                <w:kern w:val="0"/>
                <w:sz w:val="24"/>
                <w:highlight w:val="none"/>
              </w:rPr>
              <w:t>供</w:t>
            </w:r>
            <w:r>
              <w:rPr>
                <w:rFonts w:hint="eastAsia" w:ascii="宋体" w:hAnsi="宋体" w:eastAsia="宋体" w:cs="宋体"/>
                <w:b/>
                <w:color w:val="auto"/>
                <w:kern w:val="0"/>
                <w:sz w:val="24"/>
                <w:highlight w:val="none"/>
              </w:rPr>
              <w:t>应商对根据修正原则修正后的报价不确认的。</w:t>
            </w:r>
          </w:p>
        </w:tc>
      </w:tr>
      <w:tr w14:paraId="25B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6FAD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14:paraId="3C6264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D7B32C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49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B82C749">
            <w:pPr>
              <w:spacing w:line="360" w:lineRule="auto"/>
              <w:ind w:firstLine="420" w:firstLineChars="200"/>
              <w:jc w:val="center"/>
              <w:rPr>
                <w:rFonts w:ascii="宋体" w:hAnsi="宋体" w:cs="宋体"/>
                <w:color w:val="auto"/>
                <w:highlight w:val="none"/>
              </w:rPr>
            </w:pPr>
          </w:p>
        </w:tc>
        <w:tc>
          <w:tcPr>
            <w:tcW w:w="2093" w:type="dxa"/>
            <w:vMerge w:val="continue"/>
            <w:vAlign w:val="center"/>
          </w:tcPr>
          <w:p w14:paraId="49BBEC12">
            <w:pPr>
              <w:snapToGrid w:val="0"/>
              <w:spacing w:line="360" w:lineRule="auto"/>
              <w:jc w:val="center"/>
              <w:rPr>
                <w:rFonts w:ascii="宋体" w:hAnsi="宋体" w:cs="宋体"/>
                <w:color w:val="auto"/>
                <w:highlight w:val="none"/>
              </w:rPr>
            </w:pPr>
          </w:p>
        </w:tc>
        <w:tc>
          <w:tcPr>
            <w:tcW w:w="6927" w:type="dxa"/>
            <w:vAlign w:val="center"/>
          </w:tcPr>
          <w:p w14:paraId="605045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D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82B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04FB9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691E8D8">
            <w:pPr>
              <w:pStyle w:val="36"/>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杭州市拱墅区绍兴路538号三立时代广场A座1206室</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val="en-US" w:eastAsia="zh-CN"/>
              </w:rPr>
              <w:t>伍红仙 13357106093</w:t>
            </w:r>
            <w:r>
              <w:rPr>
                <w:rFonts w:hint="eastAsia" w:hAnsi="宋体" w:cs="宋体"/>
                <w:color w:val="auto"/>
                <w:sz w:val="24"/>
                <w:szCs w:val="24"/>
                <w:highlight w:val="none"/>
              </w:rPr>
              <w:t>。</w:t>
            </w:r>
          </w:p>
          <w:p w14:paraId="3BA4B809">
            <w:pPr>
              <w:pStyle w:val="36"/>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14:paraId="1236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1A3A8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57BF20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1D345C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10DB8B18">
            <w:pPr>
              <w:spacing w:line="360" w:lineRule="auto"/>
              <w:rPr>
                <w:rFonts w:ascii="宋体" w:hAnsi="宋体" w:cs="宋体"/>
                <w:snapToGrid w:val="0"/>
                <w:color w:val="auto"/>
                <w:kern w:val="28"/>
                <w:sz w:val="24"/>
                <w:highlight w:val="none"/>
              </w:rPr>
            </w:pPr>
            <w:sdt>
              <w:sdtPr>
                <w:rPr>
                  <w:rFonts w:hint="eastAsia" w:ascii="宋体" w:hAnsi="宋体" w:eastAsia="宋体" w:cs="宋体"/>
                  <w:color w:val="auto"/>
                  <w:sz w:val="24"/>
                  <w:szCs w:val="24"/>
                  <w:highlight w:val="none"/>
                </w:rPr>
                <w:id w:val="147464949"/>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14:paraId="10C5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61299EC">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573E429F">
            <w:pPr>
              <w:snapToGrid w:val="0"/>
              <w:spacing w:line="360" w:lineRule="auto"/>
              <w:jc w:val="center"/>
              <w:rPr>
                <w:rFonts w:hint="eastAsia" w:ascii="宋体" w:hAnsi="宋体" w:cs="宋体"/>
                <w:b/>
                <w:color w:val="auto"/>
                <w:sz w:val="24"/>
                <w:highlight w:val="none"/>
              </w:rPr>
            </w:pPr>
          </w:p>
        </w:tc>
        <w:tc>
          <w:tcPr>
            <w:tcW w:w="6927" w:type="dxa"/>
            <w:vAlign w:val="center"/>
          </w:tcPr>
          <w:p w14:paraId="257E1D7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5CCE83C8">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p w14:paraId="72D1FA5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tc>
      </w:tr>
      <w:tr w14:paraId="023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BA704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093" w:type="dxa"/>
            <w:vAlign w:val="center"/>
          </w:tcPr>
          <w:p w14:paraId="2B9B0D2E">
            <w:pPr>
              <w:snapToGrid w:val="0"/>
              <w:spacing w:line="360" w:lineRule="auto"/>
              <w:jc w:val="center"/>
              <w:rPr>
                <w:rFonts w:hint="eastAsia" w:ascii="宋体" w:hAnsi="宋体" w:cs="宋体"/>
                <w:snapToGrid w:val="0"/>
                <w:color w:val="auto"/>
                <w:kern w:val="28"/>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7CB2576">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lang w:val="en" w:eastAsia="zh-CN"/>
              </w:rPr>
              <w:t>。</w:t>
            </w:r>
          </w:p>
        </w:tc>
      </w:tr>
      <w:tr w14:paraId="6FF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A13CD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Align w:val="center"/>
          </w:tcPr>
          <w:p w14:paraId="1F63466C">
            <w:pPr>
              <w:spacing w:line="360" w:lineRule="auto"/>
              <w:jc w:val="center"/>
              <w:rPr>
                <w:rFonts w:hint="eastAsia" w:ascii="宋体" w:hAnsi="宋体" w:cs="宋体"/>
                <w:b/>
                <w:color w:val="auto"/>
                <w:sz w:val="24"/>
                <w:highlight w:val="none"/>
              </w:rPr>
            </w:pPr>
            <w:r>
              <w:rPr>
                <w:rFonts w:hint="eastAsia" w:ascii="宋体" w:hAnsi="宋体" w:cs="宋体"/>
                <w:snapToGrid w:val="0"/>
                <w:color w:val="auto"/>
                <w:kern w:val="28"/>
                <w:sz w:val="24"/>
                <w:highlight w:val="none"/>
              </w:rPr>
              <w:t>采购代理服务费</w:t>
            </w:r>
          </w:p>
        </w:tc>
        <w:tc>
          <w:tcPr>
            <w:tcW w:w="6927" w:type="dxa"/>
            <w:vAlign w:val="center"/>
          </w:tcPr>
          <w:p w14:paraId="78C0E68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14:paraId="4A86F3B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1、代理服务费收费：依据2002【1980】号文</w:t>
            </w:r>
            <w:r>
              <w:rPr>
                <w:rFonts w:hint="eastAsia" w:ascii="宋体" w:hAnsi="宋体" w:cs="宋体"/>
                <w:snapToGrid w:val="0"/>
                <w:color w:val="auto"/>
                <w:kern w:val="28"/>
                <w:sz w:val="24"/>
                <w:highlight w:val="none"/>
                <w:lang w:val="en-US" w:eastAsia="zh-CN"/>
              </w:rPr>
              <w:t>工程类</w:t>
            </w:r>
            <w:r>
              <w:rPr>
                <w:rFonts w:hint="eastAsia" w:ascii="宋体" w:hAnsi="宋体" w:cs="宋体"/>
                <w:snapToGrid w:val="0"/>
                <w:color w:val="auto"/>
                <w:kern w:val="28"/>
                <w:sz w:val="24"/>
                <w:highlight w:val="none"/>
              </w:rPr>
              <w:t>。</w:t>
            </w:r>
          </w:p>
          <w:p w14:paraId="419F044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14:paraId="7571E7C1">
            <w:pPr>
              <w:spacing w:line="360" w:lineRule="auto"/>
              <w:ind w:firstLine="480" w:firstLineChars="200"/>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（1）收 款 人：</w:t>
            </w:r>
            <w:r>
              <w:rPr>
                <w:rFonts w:hint="eastAsia" w:ascii="宋体" w:hAnsi="宋体" w:cs="宋体"/>
                <w:snapToGrid w:val="0"/>
                <w:color w:val="auto"/>
                <w:kern w:val="28"/>
                <w:sz w:val="24"/>
                <w:highlight w:val="none"/>
                <w:lang w:eastAsia="zh-CN"/>
              </w:rPr>
              <w:t>浙江省房地产管理咨询有限公司</w:t>
            </w:r>
          </w:p>
          <w:p w14:paraId="7CB92B2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（2）开户银行：</w:t>
            </w:r>
            <w:r>
              <w:rPr>
                <w:rFonts w:hint="eastAsia" w:ascii="宋体" w:hAnsi="宋体" w:eastAsia="宋体" w:cs="宋体"/>
                <w:snapToGrid w:val="0"/>
                <w:color w:val="auto"/>
                <w:kern w:val="28"/>
                <w:sz w:val="24"/>
                <w:highlight w:val="none"/>
              </w:rPr>
              <w:t>杭州银行保俶支行</w:t>
            </w:r>
          </w:p>
          <w:p w14:paraId="3406EB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napToGrid w:val="0"/>
                <w:color w:val="auto"/>
                <w:kern w:val="28"/>
                <w:sz w:val="24"/>
                <w:highlight w:val="none"/>
              </w:rPr>
              <w:t>（3）账    号：</w:t>
            </w:r>
            <w:r>
              <w:rPr>
                <w:rFonts w:hint="eastAsia" w:ascii="宋体" w:hAnsi="宋体" w:eastAsia="宋体" w:cs="宋体"/>
                <w:snapToGrid w:val="0"/>
                <w:color w:val="auto"/>
                <w:kern w:val="28"/>
                <w:sz w:val="24"/>
                <w:highlight w:val="none"/>
              </w:rPr>
              <w:t>7750 8100 1506 02</w:t>
            </w:r>
          </w:p>
        </w:tc>
      </w:tr>
      <w:bookmarkEnd w:id="10"/>
    </w:tbl>
    <w:p w14:paraId="2190684A">
      <w:pPr>
        <w:widowControl/>
        <w:adjustRightInd/>
        <w:snapToGrid/>
        <w:spacing w:line="240" w:lineRule="auto"/>
        <w:jc w:val="left"/>
        <w:outlineLvl w:val="9"/>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7963A5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DE16AA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1F73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F2261E8">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9AC0C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FE04C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14:paraId="3173B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44AF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1225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D0B4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8A67D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6AE260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3981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82FE5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455C7A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0FA0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纳入政府采购管理的修缮、装修类项目采购建材的，采购人应将绿色建筑和绿色建材性能、指标等作为实质性条件纳入采购文件和合同。</w:t>
      </w:r>
    </w:p>
    <w:p w14:paraId="1B4AD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4E35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F35B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5B5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0ED19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745F0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3267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8D7D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A9A2E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w:t>
      </w:r>
      <w:r>
        <w:rPr>
          <w:rFonts w:hint="eastAsia" w:ascii="宋体" w:hAnsi="宋体" w:eastAsia="宋体" w:cs="宋体"/>
          <w:color w:val="auto"/>
          <w:sz w:val="24"/>
          <w:highlight w:val="none"/>
        </w:rPr>
        <w:t>件的，视同为小型、微型企业。</w:t>
      </w:r>
    </w:p>
    <w:p w14:paraId="3C17AC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DD5E0E0">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3.3.7中小企业</w:t>
      </w:r>
      <w:r>
        <w:rPr>
          <w:rFonts w:hint="eastAsia" w:ascii="宋体" w:hAnsi="宋体" w:cs="宋体"/>
          <w:color w:val="auto"/>
          <w:sz w:val="24"/>
          <w:highlight w:val="none"/>
        </w:rPr>
        <w:t>享受扶持政策获得政府采购合同的，小微企业不得将合同分包给大中型企业，中型企业不得将合同分包给大型企业。</w:t>
      </w:r>
    </w:p>
    <w:p w14:paraId="579CF0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ECEF680">
      <w:pPr>
        <w:snapToGrid w:val="0"/>
        <w:spacing w:line="360" w:lineRule="auto"/>
        <w:ind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0792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C70DE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14:paraId="1344FDE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3D75D0E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3A5B1A1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B11EF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6203ED29">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55A003EC">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7559FAC">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14:paraId="38179DE4">
      <w:pPr>
        <w:pStyle w:val="36"/>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w:t>
      </w:r>
    </w:p>
    <w:p w14:paraId="2E235983">
      <w:pPr>
        <w:pStyle w:val="3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281F2D9C">
      <w:pPr>
        <w:pStyle w:val="36"/>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0F049E08">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14:paraId="5E53B315">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14:paraId="3FD3F6C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14:paraId="7FCB0EFF">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14:paraId="0B2A640E">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14:paraId="0E3A710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4057DA5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69556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081612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14:paraId="23DBDB8B">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1CF0EF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6AE98F0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358FECF0">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06BD58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9DE319">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61FE711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036FDEF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F96DB9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14:paraId="73A20C3A">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0BA0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475285B">
      <w:pPr>
        <w:pStyle w:val="133"/>
        <w:snapToGrid w:val="0"/>
        <w:spacing w:before="0"/>
        <w:ind w:firstLine="360"/>
        <w:rPr>
          <w:rFonts w:ascii="宋体" w:hAnsi="宋体" w:cs="宋体"/>
          <w:color w:val="auto"/>
          <w:sz w:val="18"/>
          <w:szCs w:val="18"/>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1CC141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AD515E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5F267C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68A8F1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5EA029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635EC47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BFB790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B4F400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0914A7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55D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67317C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CBC259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14:paraId="1D3C45A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77460DA">
      <w:pPr>
        <w:pStyle w:val="24"/>
        <w:rPr>
          <w:rFonts w:hAnsi="宋体" w:cs="宋体"/>
          <w:color w:val="auto"/>
          <w:sz w:val="18"/>
          <w:szCs w:val="18"/>
          <w:highlight w:val="none"/>
          <w:lang w:val="en-US"/>
        </w:rPr>
      </w:pPr>
    </w:p>
    <w:p w14:paraId="469C628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9CBC46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16CE3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69114E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0B57305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5A83792">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E5F96DA">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70DE51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869B68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EAD49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72CBE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D0B9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B10A0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6A9E5E2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729039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tbl>
      <w:tblPr>
        <w:tblStyle w:val="63"/>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4FF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EF4EBC">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3D8C6B6D">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37EE39B3">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6275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9615FB6">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2C9F708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14:paraId="336AF0EC">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6DA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36" w:type="dxa"/>
            <w:tcBorders>
              <w:top w:val="single" w:color="auto" w:sz="4" w:space="0"/>
              <w:left w:val="single" w:color="auto" w:sz="4" w:space="0"/>
              <w:bottom w:val="single" w:color="auto" w:sz="4" w:space="0"/>
              <w:right w:val="single" w:color="auto" w:sz="4" w:space="0"/>
            </w:tcBorders>
            <w:vAlign w:val="center"/>
          </w:tcPr>
          <w:p w14:paraId="6FEEE262">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689A7EA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3557E986">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31C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8EF9B3">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3F7E5491">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lang w:eastAsia="zh-CN"/>
              </w:rPr>
              <w:t>供应商应为中小微企业</w:t>
            </w:r>
            <w:r>
              <w:rPr>
                <w:rFonts w:hint="eastAsia" w:ascii="宋体" w:hAnsi="宋体" w:cs="宋体"/>
                <w:color w:val="auto"/>
                <w:sz w:val="24"/>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4492890">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bl>
    <w:p w14:paraId="3F1F244F">
      <w:pPr>
        <w:pStyle w:val="26"/>
        <w:rPr>
          <w:color w:val="auto"/>
          <w:highlight w:val="none"/>
        </w:rPr>
      </w:pPr>
    </w:p>
    <w:p w14:paraId="587296B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400D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22228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3873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2EE93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E42B1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0D968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79C3B75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F343C9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09C4A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95BE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2A904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4ECA0339">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50F692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151F1F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6819C2D4">
      <w:pPr>
        <w:pStyle w:val="133"/>
        <w:snapToGrid w:val="0"/>
        <w:spacing w:before="0"/>
        <w:ind w:firstLine="720" w:firstLineChars="300"/>
        <w:outlineLvl w:val="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投标人可事先在公开官网查询、核对相关证书和报告内容，确保投标（响应）文件资料准确无误。投标人应对投标文件中材料的真实性、合法性负责。</w:t>
      </w:r>
    </w:p>
    <w:p w14:paraId="65EF03D3">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26A35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618B6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979F6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E569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2F1DAD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ECB891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F8AFE1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0C57DD8">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046FB5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2B79AF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FCCC372">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5BCA77F8">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271E320">
      <w:pPr>
        <w:pStyle w:val="36"/>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14:paraId="0A487417">
      <w:pPr>
        <w:pStyle w:val="36"/>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szCs w:val="24"/>
          <w:highlight w:val="none"/>
          <w:lang w:val="en-US" w:eastAsia="zh-CN"/>
        </w:rPr>
        <w:t>U盘或</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A856078">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696F476F">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545EB9A2">
      <w:pPr>
        <w:pStyle w:val="36"/>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4210153">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1088100">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A084D3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BE44D3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7ED1095">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6A734DD">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5E85D456">
      <w:pPr>
        <w:pStyle w:val="133"/>
        <w:spacing w:before="0"/>
        <w:ind w:firstLine="643"/>
        <w:rPr>
          <w:rFonts w:ascii="宋体" w:hAnsi="宋体" w:cs="宋体"/>
          <w:b/>
          <w:color w:val="auto"/>
          <w:sz w:val="32"/>
          <w:highlight w:val="none"/>
        </w:rPr>
      </w:pPr>
    </w:p>
    <w:p w14:paraId="5DC179C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4D5A922">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882C25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14:paraId="2F8FFB54">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19AF44C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DA06953">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磋商小组依据法律法规和采购文件的规定，对供应商的资格进行审查。</w:t>
      </w:r>
    </w:p>
    <w:p w14:paraId="662F998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D9FFA5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330D2B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770970A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9D231C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26CA75E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675B6C">
      <w:pPr>
        <w:pStyle w:val="133"/>
        <w:spacing w:before="0"/>
        <w:ind w:firstLine="0" w:firstLineChars="0"/>
        <w:rPr>
          <w:rFonts w:ascii="宋体" w:hAnsi="宋体" w:cs="宋体"/>
          <w:color w:val="auto"/>
          <w:kern w:val="0"/>
          <w:szCs w:val="24"/>
          <w:highlight w:val="none"/>
        </w:rPr>
      </w:pPr>
    </w:p>
    <w:p w14:paraId="25DB7BA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D782459">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88DDC06">
      <w:pPr>
        <w:spacing w:line="360" w:lineRule="auto"/>
        <w:rPr>
          <w:rFonts w:ascii="宋体" w:hAnsi="宋体" w:cs="宋体"/>
          <w:b/>
          <w:color w:val="auto"/>
          <w:sz w:val="24"/>
          <w:highlight w:val="none"/>
        </w:rPr>
      </w:pPr>
    </w:p>
    <w:p w14:paraId="0797C2D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0E3F852">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75073E19">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AEE850C">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017E28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个工作日内，采购机构通过电子交易平台向成交供应商发出成交通知书，同时编制发布采购结果公告。采购机构也可以以纸质形式进行成交通知。</w:t>
      </w:r>
    </w:p>
    <w:p w14:paraId="69413D0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96DC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D23C4F7">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352E6DCC">
      <w:pPr>
        <w:snapToGrid w:val="0"/>
        <w:spacing w:line="360" w:lineRule="auto"/>
        <w:ind w:left="120" w:leftChars="57" w:firstLine="482" w:firstLineChars="150"/>
        <w:jc w:val="center"/>
        <w:rPr>
          <w:rFonts w:ascii="宋体" w:hAnsi="宋体" w:cs="宋体"/>
          <w:b/>
          <w:color w:val="auto"/>
          <w:sz w:val="32"/>
          <w:highlight w:val="none"/>
        </w:rPr>
      </w:pPr>
    </w:p>
    <w:p w14:paraId="007AEA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CF4B9F7">
      <w:pPr>
        <w:pStyle w:val="27"/>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CBA163">
      <w:pPr>
        <w:pStyle w:val="27"/>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5149584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十日内，按照采购文件确定的事项签订政府采购合同，并在签订之日起</w:t>
      </w:r>
      <w:r>
        <w:rPr>
          <w:rFonts w:hint="eastAsia" w:ascii="宋体" w:hAnsi="宋体" w:cs="宋体"/>
          <w:color w:val="auto"/>
          <w:kern w:val="0"/>
          <w:sz w:val="24"/>
          <w:highlight w:val="none"/>
          <w:lang w:eastAsia="zh-CN"/>
        </w:rPr>
        <w:t>当天</w:t>
      </w:r>
      <w:r>
        <w:rPr>
          <w:rFonts w:hint="eastAsia" w:ascii="宋体" w:hAnsi="宋体" w:cs="宋体"/>
          <w:color w:val="auto"/>
          <w:kern w:val="0"/>
          <w:sz w:val="24"/>
          <w:highlight w:val="none"/>
        </w:rPr>
        <w:t>将政府采购合同在浙江政府采购网上公告。鼓励有条件的采购人视情缩减采购合同签订时限，提高采购效率，杜绝“冷、硬、横、推”等不当行为。除不可抗力等特殊情况外，原则上应当在成交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日内，与成交供应商按照采购文件确定的事项签订政府采购合同。</w:t>
      </w:r>
    </w:p>
    <w:p w14:paraId="06FAEB2D">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445B60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43E01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46C855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411F6E24">
      <w:pPr>
        <w:pStyle w:val="27"/>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68FEBC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2F27255F">
      <w:pPr>
        <w:snapToGrid w:val="0"/>
        <w:spacing w:line="360" w:lineRule="auto"/>
        <w:ind w:firstLine="480" w:firstLineChars="200"/>
        <w:rPr>
          <w:rFonts w:ascii="宋体" w:hAnsi="宋体" w:cs="宋体"/>
          <w:b/>
          <w:color w:val="auto"/>
          <w:sz w:val="32"/>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AD8C1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303A472">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3316E2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9F175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1857E4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35A93F1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48BA7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3B9DBF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53D80C">
      <w:pPr>
        <w:tabs>
          <w:tab w:val="left" w:pos="0"/>
        </w:tabs>
        <w:spacing w:line="360" w:lineRule="auto"/>
        <w:ind w:firstLine="480"/>
        <w:rPr>
          <w:rFonts w:ascii="宋体" w:hAnsi="宋体" w:cs="宋体"/>
          <w:color w:val="auto"/>
          <w:sz w:val="24"/>
          <w:highlight w:val="none"/>
        </w:rPr>
      </w:pPr>
    </w:p>
    <w:p w14:paraId="66494D9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A24268D">
      <w:pPr>
        <w:pStyle w:val="27"/>
        <w:spacing w:line="360" w:lineRule="auto"/>
        <w:ind w:firstLine="0" w:firstLineChars="0"/>
        <w:rPr>
          <w:rFonts w:cs="宋体"/>
          <w:b/>
          <w:color w:val="auto"/>
          <w:highlight w:val="none"/>
        </w:rPr>
      </w:pPr>
      <w:r>
        <w:rPr>
          <w:rFonts w:hint="eastAsia" w:cs="宋体"/>
          <w:b/>
          <w:color w:val="auto"/>
          <w:highlight w:val="none"/>
        </w:rPr>
        <w:t>29.验收</w:t>
      </w:r>
    </w:p>
    <w:p w14:paraId="74C915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63B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14:paraId="45B6CB6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787E6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0C8A9F2">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30295"/>
      <w:bookmarkEnd w:id="19"/>
      <w:bookmarkStart w:id="20" w:name="_Hlt75236011"/>
      <w:bookmarkEnd w:id="20"/>
      <w:bookmarkStart w:id="21" w:name="_Hlt68403820"/>
      <w:bookmarkEnd w:id="21"/>
      <w:bookmarkStart w:id="22" w:name="_Hlt74729768"/>
      <w:bookmarkEnd w:id="22"/>
      <w:bookmarkStart w:id="23" w:name="_Hlt74714665"/>
      <w:bookmarkEnd w:id="23"/>
      <w:bookmarkStart w:id="24" w:name="_Hlt75236290"/>
      <w:bookmarkEnd w:id="24"/>
      <w:bookmarkStart w:id="25" w:name="_Hlt74707468"/>
      <w:bookmarkEnd w:id="25"/>
      <w:bookmarkStart w:id="26" w:name="_Hlt68073093"/>
      <w:bookmarkEnd w:id="26"/>
      <w:bookmarkStart w:id="27" w:name="_Hlt68072998"/>
      <w:bookmarkEnd w:id="27"/>
      <w:bookmarkStart w:id="28" w:name="_Hlt75236101"/>
      <w:bookmarkEnd w:id="28"/>
      <w:bookmarkStart w:id="29" w:name="_Hlt68057669"/>
      <w:bookmarkEnd w:id="29"/>
      <w:bookmarkStart w:id="30" w:name="_Hlt68072990"/>
      <w:bookmarkEnd w:id="30"/>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22AFE26">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p>
    <w:bookmarkEnd w:id="13"/>
    <w:bookmarkEnd w:id="14"/>
    <w:p w14:paraId="2AD3DAB5">
      <w:pPr>
        <w:pStyle w:val="36"/>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22E455C1">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1FBBCA6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本项目预算审核价为</w:t>
      </w:r>
      <w:r>
        <w:rPr>
          <w:rFonts w:hint="eastAsia" w:ascii="宋体" w:hAnsi="宋体" w:cs="宋体"/>
          <w:b/>
          <w:color w:val="auto"/>
          <w:sz w:val="24"/>
          <w:highlight w:val="none"/>
          <w:lang w:val="en-US" w:eastAsia="zh-CN"/>
        </w:rPr>
        <w:t>108.9354</w:t>
      </w:r>
      <w:r>
        <w:rPr>
          <w:rFonts w:hint="eastAsia" w:ascii="宋体" w:hAnsi="宋体" w:cs="宋体"/>
          <w:color w:val="auto"/>
          <w:sz w:val="24"/>
          <w:highlight w:val="none"/>
          <w:lang w:eastAsia="zh-CN"/>
        </w:rPr>
        <w:t>万元，最终确定本项目最高限价（预算金额）为</w:t>
      </w:r>
      <w:r>
        <w:rPr>
          <w:rFonts w:hint="eastAsia" w:ascii="宋体" w:hAnsi="宋体" w:cs="宋体"/>
          <w:b/>
          <w:color w:val="auto"/>
          <w:sz w:val="24"/>
          <w:highlight w:val="none"/>
          <w:lang w:val="en-US" w:eastAsia="zh-CN"/>
        </w:rPr>
        <w:t>90.4164</w:t>
      </w:r>
      <w:r>
        <w:rPr>
          <w:rFonts w:hint="eastAsia" w:ascii="宋体" w:hAnsi="宋体" w:cs="宋体"/>
          <w:color w:val="auto"/>
          <w:sz w:val="24"/>
          <w:highlight w:val="none"/>
          <w:lang w:val="en-US" w:eastAsia="zh-CN"/>
        </w:rPr>
        <w:t>万元。</w:t>
      </w:r>
    </w:p>
    <w:p w14:paraId="5BF957A1">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791CCAF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1106B2E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sz w:val="24"/>
          <w:highlight w:val="none"/>
        </w:rPr>
        <w:t>。</w:t>
      </w:r>
    </w:p>
    <w:p w14:paraId="361A56A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3143F342">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目前施工现场已具备项目施工条件。</w:t>
      </w:r>
    </w:p>
    <w:p w14:paraId="0F0D9E8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1CB909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工程承包范围为磋商文件、磋商记录、施工图纸</w:t>
      </w:r>
      <w:r>
        <w:rPr>
          <w:rFonts w:hint="eastAsia" w:ascii="宋体" w:hAnsi="宋体" w:cs="宋体"/>
          <w:color w:val="auto"/>
          <w:sz w:val="24"/>
          <w:highlight w:val="none"/>
          <w:lang w:val="en-US" w:eastAsia="zh-CN"/>
        </w:rPr>
        <w:t>和工程量清单</w:t>
      </w:r>
      <w:r>
        <w:rPr>
          <w:rFonts w:hint="eastAsia" w:ascii="宋体" w:hAnsi="宋体" w:cs="宋体"/>
          <w:color w:val="auto"/>
          <w:sz w:val="24"/>
          <w:highlight w:val="none"/>
        </w:rPr>
        <w:t>中包含的所有内容。</w:t>
      </w:r>
    </w:p>
    <w:p w14:paraId="39A99594">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36DBC6A9">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现行工程质量验收规范以及合同规定的验收评定标准。</w:t>
      </w:r>
    </w:p>
    <w:p w14:paraId="5B351052">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79950B2A">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3C6599ED">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w:t>
      </w:r>
    </w:p>
    <w:p w14:paraId="533AA543">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1CF0CBA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13216B2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53EB0F60">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w:t>
      </w:r>
    </w:p>
    <w:p w14:paraId="0C6FD05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w:t>
      </w:r>
    </w:p>
    <w:p w14:paraId="2D8C181E">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5BBD62CD">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在施工期间，成交供应商应注意保护好采购人周边现有成品，如有损坏，须无条件修复。</w:t>
      </w:r>
    </w:p>
    <w:p w14:paraId="545575C2">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w:t>
      </w:r>
      <w:r>
        <w:rPr>
          <w:rFonts w:hint="eastAsia" w:ascii="宋体" w:hAnsi="宋体" w:cs="宋体"/>
          <w:color w:val="auto"/>
          <w:sz w:val="24"/>
          <w:highlight w:val="none"/>
          <w:lang w:val="en-US" w:eastAsia="zh-CN"/>
        </w:rPr>
        <w:t>场地外</w:t>
      </w:r>
      <w:r>
        <w:rPr>
          <w:rFonts w:hint="eastAsia" w:ascii="宋体" w:hAnsi="宋体" w:cs="宋体"/>
          <w:color w:val="auto"/>
          <w:sz w:val="24"/>
          <w:highlight w:val="none"/>
        </w:rPr>
        <w:t>，清理产生的拆除费、搬运费、交通运输费等各项费用均由供应商自行考虑并计入响应总价且一次性包干</w:t>
      </w:r>
      <w:r>
        <w:rPr>
          <w:rFonts w:hint="eastAsia" w:ascii="宋体" w:hAnsi="宋体" w:cs="宋体"/>
          <w:color w:val="auto"/>
          <w:sz w:val="24"/>
          <w:highlight w:val="none"/>
          <w:lang w:eastAsia="zh-CN"/>
        </w:rPr>
        <w:t>。</w:t>
      </w:r>
    </w:p>
    <w:p w14:paraId="665E20EA">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完工后，成交供应商需对施工现场进行全面的清洁工作。</w:t>
      </w:r>
    </w:p>
    <w:p w14:paraId="53596E92">
      <w:pPr>
        <w:pStyle w:val="972"/>
        <w:spacing w:line="360" w:lineRule="auto"/>
        <w:ind w:left="210" w:firstLine="240" w:firstLineChars="1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管理要求</w:t>
      </w:r>
    </w:p>
    <w:p w14:paraId="4C68E1E9">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管理原则：</w:t>
      </w:r>
    </w:p>
    <w:p w14:paraId="07EF99D2">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实施过程中，如发现成交供应商</w:t>
      </w:r>
      <w:r>
        <w:rPr>
          <w:rFonts w:hint="eastAsia" w:ascii="宋体" w:hAnsi="宋体" w:cs="宋体"/>
          <w:color w:val="auto"/>
          <w:sz w:val="24"/>
          <w:highlight w:val="none"/>
          <w:lang w:val="en-US" w:eastAsia="zh-CN"/>
        </w:rPr>
        <w:t>有转包行为的</w:t>
      </w:r>
      <w:r>
        <w:rPr>
          <w:rFonts w:hint="eastAsia" w:ascii="宋体" w:hAnsi="宋体" w:cs="宋体"/>
          <w:color w:val="auto"/>
          <w:sz w:val="24"/>
          <w:highlight w:val="none"/>
        </w:rPr>
        <w:t>，采购人可立即终止合同。成交供应商应承担由此引起的一切经济责任和法律责任。</w:t>
      </w:r>
    </w:p>
    <w:p w14:paraId="108F5DF0">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②成交供应商须严格按照</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w:t>
      </w:r>
      <w:r>
        <w:rPr>
          <w:rFonts w:hint="eastAsia" w:ascii="宋体" w:hAnsi="宋体" w:cs="宋体"/>
          <w:color w:val="auto"/>
          <w:sz w:val="24"/>
          <w:highlight w:val="none"/>
          <w:lang w:val="en-US" w:eastAsia="zh-CN"/>
        </w:rPr>
        <w:t>案</w:t>
      </w:r>
      <w:r>
        <w:rPr>
          <w:rFonts w:hint="eastAsia" w:ascii="宋体" w:hAnsi="宋体" w:cs="宋体"/>
          <w:color w:val="auto"/>
          <w:sz w:val="24"/>
          <w:highlight w:val="none"/>
        </w:rPr>
        <w:t>组织实施，并无条件接受采购人的管理。</w:t>
      </w:r>
    </w:p>
    <w:p w14:paraId="1F7DAC3D">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③成交供应商在响应文件中确定的工程项目经理及项目管理班子人员，未经采购人同意，不得调换和撤离</w:t>
      </w:r>
      <w:r>
        <w:rPr>
          <w:rFonts w:hint="eastAsia" w:ascii="宋体" w:hAnsi="宋体" w:cs="宋体"/>
          <w:color w:val="auto"/>
          <w:sz w:val="24"/>
          <w:highlight w:val="none"/>
          <w:lang w:eastAsia="zh-CN"/>
        </w:rPr>
        <w:t>。</w:t>
      </w: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确定的成交人的项目管理班子成员，不得兼任其他</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职务。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进展，否则，采购人有权单方面终止合同，并对由此造成的采购人损失，予以追究赔偿。</w:t>
      </w:r>
    </w:p>
    <w:p w14:paraId="15767FD7">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7B0BECC0">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①项目经理：本项目拟派项目经理应具有类似施工经验以及相关专业技术职称；</w:t>
      </w:r>
    </w:p>
    <w:p w14:paraId="2C49B337">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技术负责人：本项目拟派技术负责人</w:t>
      </w:r>
      <w:r>
        <w:rPr>
          <w:rFonts w:hint="eastAsia" w:ascii="宋体" w:hAnsi="宋体" w:cs="宋体"/>
          <w:color w:val="auto"/>
          <w:sz w:val="24"/>
          <w:highlight w:val="none"/>
        </w:rPr>
        <w:t>应具有类似工程施工经验以及相关专业技术职称；</w:t>
      </w:r>
    </w:p>
    <w:p w14:paraId="7D353273">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14:paraId="381AE34B">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管理其他要求</w:t>
      </w:r>
    </w:p>
    <w:p w14:paraId="553248DD">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w:t>
      </w:r>
      <w:r>
        <w:rPr>
          <w:rFonts w:hint="eastAsia" w:ascii="宋体" w:hAnsi="宋体" w:cs="宋体"/>
          <w:color w:val="auto"/>
          <w:sz w:val="24"/>
          <w:highlight w:val="none"/>
          <w:lang w:eastAsia="zh-CN"/>
        </w:rPr>
        <w:t>管理</w:t>
      </w:r>
      <w:r>
        <w:rPr>
          <w:rFonts w:hint="eastAsia" w:ascii="宋体" w:hAnsi="宋体" w:cs="宋体"/>
          <w:color w:val="auto"/>
          <w:sz w:val="24"/>
          <w:highlight w:val="none"/>
        </w:rPr>
        <w:t>。</w:t>
      </w:r>
    </w:p>
    <w:p w14:paraId="27D7219E">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74DAA137">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 xml:space="preserve">主要材料（设备）要求  </w:t>
      </w:r>
    </w:p>
    <w:p w14:paraId="12C6E595">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塑胶等所有材料要求一次性进场，由招标人或监理公司现场验收并录像留档，未一次性进场的视为违约，处20%违约金。</w:t>
      </w:r>
    </w:p>
    <w:p w14:paraId="13E1C8F0">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塑胶跑道施工工艺及验收程序等需严格按《浙江省教育厅、浙江省环境保护厅、浙江省住房和城乡建设厅、浙江省质量技术监督局关于进一步加强学校合成材料运动场地建设和管理工作的通知》（浙教计【2016】98号）和《教育部办公厅关于加强中小学合成材料面层运动场地建设管理的通知》教体艺厅函【2018】72号文要求执行，相关费用在报价时综合考虑，不再另行计取。</w:t>
      </w:r>
    </w:p>
    <w:p w14:paraId="542559A4">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工程在所有材料一次性进场时，由采购人随机抽样进行检测，检测单位由采购人选择，涉及的原材料和成品检测费用已经包含在综合单价中，由承包人承担。若检测不合格，由此产生的一切损失由承包人负责，工期造成延误的处30%违约金。</w:t>
      </w:r>
    </w:p>
    <w:p w14:paraId="794E6096">
      <w:pPr>
        <w:pStyle w:val="972"/>
        <w:numPr>
          <w:ilvl w:val="0"/>
          <w:numId w:val="5"/>
        </w:numPr>
        <w:snapToGrid w:val="0"/>
        <w:spacing w:line="360" w:lineRule="auto"/>
        <w:ind w:left="0" w:firstLine="420" w:firstLine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运动场地在施工前、施工中和施工后，由采购人随机抽样进行委托第三方检测部门进行全程跟踪检测，检测单位由采购人选择，涉及的检测费用已经包含在综合单价中，由承包人承担。</w:t>
      </w:r>
    </w:p>
    <w:p w14:paraId="36D1230D">
      <w:pPr>
        <w:pStyle w:val="972"/>
        <w:numPr>
          <w:ilvl w:val="0"/>
          <w:numId w:val="5"/>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本项目涉及的所有材料设备，必须经监理公司确认后</w:t>
      </w:r>
      <w:r>
        <w:rPr>
          <w:rFonts w:hint="eastAsia" w:ascii="宋体" w:hAnsi="宋体" w:cs="宋体"/>
          <w:color w:val="auto"/>
          <w:sz w:val="24"/>
          <w:highlight w:val="none"/>
          <w:lang w:val="en-US" w:eastAsia="zh-CN"/>
        </w:rPr>
        <w:t>方可进场施工</w:t>
      </w:r>
      <w:r>
        <w:rPr>
          <w:rFonts w:hint="eastAsia" w:ascii="宋体" w:hAnsi="宋体" w:cs="宋体"/>
          <w:color w:val="auto"/>
          <w:sz w:val="24"/>
          <w:highlight w:val="none"/>
        </w:rPr>
        <w:t>。</w:t>
      </w:r>
    </w:p>
    <w:p w14:paraId="3EC04308">
      <w:pPr>
        <w:pStyle w:val="972"/>
        <w:numPr>
          <w:ilvl w:val="0"/>
          <w:numId w:val="5"/>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w:t>
      </w:r>
      <w:r>
        <w:rPr>
          <w:rFonts w:hint="eastAsia" w:ascii="宋体" w:hAnsi="宋体" w:cs="宋体"/>
          <w:color w:val="auto"/>
          <w:sz w:val="24"/>
          <w:highlight w:val="none"/>
          <w:lang w:val="en-US" w:eastAsia="zh-CN"/>
        </w:rPr>
        <w:t>不合格</w:t>
      </w:r>
      <w:r>
        <w:rPr>
          <w:rFonts w:hint="eastAsia" w:ascii="宋体" w:hAnsi="宋体" w:cs="宋体"/>
          <w:color w:val="auto"/>
          <w:sz w:val="24"/>
          <w:highlight w:val="none"/>
        </w:rPr>
        <w:t>的产品不得在工程上使用。</w:t>
      </w:r>
    </w:p>
    <w:p w14:paraId="620956A0">
      <w:pPr>
        <w:pStyle w:val="972"/>
        <w:numPr>
          <w:ilvl w:val="0"/>
          <w:numId w:val="5"/>
        </w:numPr>
        <w:snapToGrid w:val="0"/>
        <w:spacing w:line="360" w:lineRule="auto"/>
        <w:ind w:left="0" w:firstLine="420" w:firstLineChars="0"/>
        <w:jc w:val="left"/>
        <w:rPr>
          <w:rFonts w:hint="eastAsia" w:ascii="宋体" w:hAnsi="宋体" w:cs="宋体"/>
          <w:color w:val="auto"/>
          <w:sz w:val="24"/>
          <w:highlight w:val="none"/>
        </w:rPr>
      </w:pPr>
      <w:r>
        <w:rPr>
          <w:rFonts w:hint="eastAsia" w:ascii="宋体" w:hAnsi="宋体" w:cs="宋体"/>
          <w:color w:val="auto"/>
          <w:sz w:val="24"/>
          <w:highlight w:val="none"/>
          <w:lang w:eastAsia="zh-CN"/>
        </w:rPr>
        <w:t>工程施工规范（如有最新标准按最新标准执行）：</w:t>
      </w:r>
    </w:p>
    <w:p w14:paraId="3DAF289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.《体育场馆公共安全通用要求》GB 22185-2008;</w:t>
      </w:r>
    </w:p>
    <w:p w14:paraId="259B3F32">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.《体育场馆照明设计及检测标准》JGJ153-2016;</w:t>
      </w:r>
    </w:p>
    <w:p w14:paraId="58332D52">
      <w:pPr>
        <w:pStyle w:val="972"/>
        <w:numPr>
          <w:ilvl w:val="0"/>
          <w:numId w:val="0"/>
        </w:numPr>
        <w:snapToGrid w:val="0"/>
        <w:spacing w:line="360" w:lineRule="auto"/>
        <w:ind w:left="420" w:left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3.《体育场地与设施(一)》08J933-1；</w:t>
      </w:r>
    </w:p>
    <w:p w14:paraId="7ABFD246">
      <w:pPr>
        <w:pStyle w:val="972"/>
        <w:numPr>
          <w:ilvl w:val="0"/>
          <w:numId w:val="0"/>
        </w:numPr>
        <w:snapToGrid w:val="0"/>
        <w:spacing w:line="360" w:lineRule="auto"/>
        <w:ind w:left="420" w:left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4.国际田径联合会《田径场地设施标准手册》及现行田径竞赛规则以及足、排球运动等竞赛规则；</w:t>
      </w:r>
    </w:p>
    <w:p w14:paraId="6A7F2D9D">
      <w:pPr>
        <w:pStyle w:val="972"/>
        <w:numPr>
          <w:ilvl w:val="0"/>
          <w:numId w:val="0"/>
        </w:numPr>
        <w:snapToGrid w:val="0"/>
        <w:spacing w:line="360" w:lineRule="auto"/>
        <w:ind w:left="420" w:left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5.《体育建筑设计规范》JGJ31-2003；</w:t>
      </w:r>
    </w:p>
    <w:p w14:paraId="778B0826">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.《建筑设计防火规范》GB 50016-2014(2018年颁布);</w:t>
      </w:r>
    </w:p>
    <w:p w14:paraId="0B87EA5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.《合成材料运动场地标准》CB/T14833-2020;</w:t>
      </w:r>
    </w:p>
    <w:p w14:paraId="69F40EF8">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.《体育场地使用要求及验收方法第六部分》GB/T22517.6-2020;</w:t>
      </w:r>
    </w:p>
    <w:p w14:paraId="2A644B6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《中小学合成材料面层运动场地》GB/36246-2018</w:t>
      </w:r>
      <w:r>
        <w:rPr>
          <w:rFonts w:hint="eastAsia" w:ascii="宋体" w:hAnsi="宋体" w:cs="宋体"/>
          <w:color w:val="auto"/>
          <w:sz w:val="24"/>
          <w:highlight w:val="none"/>
          <w:lang w:eastAsia="zh-CN"/>
        </w:rPr>
        <w:t>；</w:t>
      </w:r>
    </w:p>
    <w:p w14:paraId="2BBF2DFC">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《体育用人造草》GB/T20394-2018;</w:t>
      </w:r>
    </w:p>
    <w:p w14:paraId="621C912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《浙江省教育厅、浙江省环境保护厅、浙江省住房和城乡建设厅、浙江省质量技术监督局关于进一步加强学校合成材料运动场地建设和管理工作的通知》（浙教计【2016】98号）</w:t>
      </w:r>
      <w:r>
        <w:rPr>
          <w:rFonts w:hint="eastAsia" w:ascii="宋体" w:hAnsi="宋体" w:cs="宋体"/>
          <w:color w:val="auto"/>
          <w:sz w:val="24"/>
          <w:highlight w:val="none"/>
          <w:lang w:eastAsia="zh-CN"/>
        </w:rPr>
        <w:t>；</w:t>
      </w:r>
    </w:p>
    <w:p w14:paraId="699B06EC">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《教育部办公厅关于加强中小学合成材料面层运动场地建设管理的通知》教体艺厅函【2018】72号文</w:t>
      </w:r>
      <w:r>
        <w:rPr>
          <w:rFonts w:hint="eastAsia" w:ascii="宋体" w:hAnsi="宋体" w:cs="宋体"/>
          <w:color w:val="auto"/>
          <w:sz w:val="24"/>
          <w:highlight w:val="none"/>
          <w:lang w:eastAsia="zh-CN"/>
        </w:rPr>
        <w:t>；</w:t>
      </w:r>
    </w:p>
    <w:p w14:paraId="065B4F28">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国家及浙江省颁布的相关法律、法规、政策</w:t>
      </w:r>
      <w:r>
        <w:rPr>
          <w:rFonts w:hint="eastAsia" w:ascii="宋体" w:hAnsi="宋体" w:cs="宋体"/>
          <w:color w:val="auto"/>
          <w:sz w:val="24"/>
          <w:highlight w:val="none"/>
          <w:lang w:eastAsia="zh-CN"/>
        </w:rPr>
        <w:t>。</w:t>
      </w:r>
    </w:p>
    <w:p w14:paraId="1E5267B7">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49668009">
      <w:pPr>
        <w:spacing w:line="360" w:lineRule="auto"/>
        <w:ind w:left="210" w:leftChars="100" w:firstLine="241" w:firstLineChars="100"/>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rPr>
        <w:t>1.工期要求：</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lang w:eastAsia="zh-CN"/>
        </w:rPr>
        <w:t>日历天</w:t>
      </w:r>
    </w:p>
    <w:p w14:paraId="5111070A">
      <w:pPr>
        <w:spacing w:line="360" w:lineRule="auto"/>
        <w:ind w:left="210" w:leftChars="100"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杭州市钱塘区临江新城实验学校</w:t>
      </w:r>
    </w:p>
    <w:p w14:paraId="0583B565">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3.付款条件：</w:t>
      </w:r>
    </w:p>
    <w:p w14:paraId="2074A46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签订后，中标人支付合同价的1%作为履约保证金（接受保函）。同时，中标人先向采购人支付合同价(不含暂列金)的50%作为预付款保函（应当以支票、汇票、本票或者金融机构、担保机构出具的保函等非现金形式提交。鼓励和支持供应商以银行、保险公司出具的保函形式提供），待采购人收到预付款保函后，采购人向中标人支付合同价(不含暂列金)的50%作为工程预付款，竣工验收合格后支付该工程实际完成工程量的70%，并退还中标人履约保证金；工程结算</w:t>
      </w:r>
      <w:r>
        <w:rPr>
          <w:rFonts w:hint="eastAsia" w:ascii="宋体" w:hAnsi="宋体" w:cs="宋体"/>
          <w:color w:val="auto"/>
          <w:sz w:val="24"/>
          <w:highlight w:val="none"/>
          <w:lang w:val="en-US" w:eastAsia="zh-CN"/>
        </w:rPr>
        <w:t>审核</w:t>
      </w:r>
      <w:r>
        <w:rPr>
          <w:rFonts w:hint="eastAsia" w:ascii="宋体" w:hAnsi="宋体" w:cs="宋体"/>
          <w:color w:val="auto"/>
          <w:sz w:val="24"/>
          <w:highlight w:val="none"/>
        </w:rPr>
        <w:t>完成后支付至审定价的100%。同时，中标人需缴纳合同价的1.5%（接受保函）作为工程质量保证金 (质保期满后经评价合格退还)。</w:t>
      </w:r>
    </w:p>
    <w:p w14:paraId="244D64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.工程售后服务要求</w:t>
      </w:r>
    </w:p>
    <w:p w14:paraId="3E3467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本项目验收合格后不少于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在质量保修期内，按照有关法律、法规、规章的管理规定和双方约定，承担本工程质量保修责任。</w:t>
      </w:r>
    </w:p>
    <w:p w14:paraId="5D9B0F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（2）在保修期内，成交供应商对有缺陷的部位必须无偿地给予修理与更换，并承担一切由此引起的对采购人或第三者的直接损失，除非该缺陷是不可抗</w:t>
      </w:r>
      <w:r>
        <w:rPr>
          <w:rFonts w:hint="eastAsia" w:ascii="宋体" w:hAnsi="宋体" w:cs="宋体"/>
          <w:color w:val="auto"/>
          <w:sz w:val="24"/>
          <w:highlight w:val="none"/>
          <w:lang w:val="en-US" w:eastAsia="zh-CN"/>
        </w:rPr>
        <w:t>力因素</w:t>
      </w:r>
      <w:r>
        <w:rPr>
          <w:rFonts w:hint="eastAsia" w:ascii="宋体" w:hAnsi="宋体" w:cs="宋体"/>
          <w:color w:val="auto"/>
          <w:sz w:val="24"/>
          <w:highlight w:val="none"/>
        </w:rPr>
        <w:t>造成的损坏。</w:t>
      </w:r>
    </w:p>
    <w:p w14:paraId="0E1F8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3D6466F">
      <w:pPr>
        <w:spacing w:line="360" w:lineRule="auto"/>
        <w:ind w:left="210" w:leftChars="100" w:firstLine="240" w:firstLineChars="1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6.本项目不允许中标后转包。</w:t>
      </w:r>
    </w:p>
    <w:p w14:paraId="4F0FAA0C">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14:paraId="683B18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14:paraId="18598C0B">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w:t>
      </w:r>
      <w:r>
        <w:rPr>
          <w:rFonts w:hint="eastAsia" w:ascii="宋体" w:hAnsi="宋体" w:cs="宋体"/>
          <w:color w:val="auto"/>
          <w:sz w:val="24"/>
          <w:highlight w:val="none"/>
          <w:lang w:val="en-US" w:eastAsia="zh-CN"/>
        </w:rPr>
        <w:t>在项目开工前办理建筑工程一切险、第三者责任险方可进场开工，与之</w:t>
      </w:r>
      <w:r>
        <w:rPr>
          <w:rFonts w:hint="eastAsia" w:ascii="宋体" w:hAnsi="宋体" w:cs="宋体"/>
          <w:color w:val="auto"/>
          <w:sz w:val="24"/>
          <w:highlight w:val="none"/>
        </w:rPr>
        <w:t>相关费用计算在磋商报价中。</w:t>
      </w:r>
    </w:p>
    <w:p w14:paraId="7C897DE2">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、其他要求</w:t>
      </w:r>
    </w:p>
    <w:p w14:paraId="1F3F5B8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1BA62788">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40EA7822">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en-US" w:eastAsia="zh-CN"/>
        </w:rPr>
        <w:t>本项目为全天全封闭施工需配备封闭围挡、执勤保安、引导标牌等措施请各供应商综合考虑计入报价内</w:t>
      </w:r>
      <w:r>
        <w:rPr>
          <w:rFonts w:hint="eastAsia" w:ascii="宋体" w:hAnsi="宋体" w:cs="宋体"/>
          <w:color w:val="auto"/>
          <w:kern w:val="0"/>
          <w:sz w:val="24"/>
          <w:highlight w:val="none"/>
        </w:rPr>
        <w:t>。</w:t>
      </w:r>
    </w:p>
    <w:p w14:paraId="25817587">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01DC24E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0DA27681">
      <w:pPr>
        <w:pStyle w:val="972"/>
        <w:numPr>
          <w:ilvl w:val="0"/>
          <w:numId w:val="6"/>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077F593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14:paraId="48A07F5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506E2CA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特点、难点的分析，并根据本项目的特点、难点提出有针对性的施工方案与措施；</w:t>
      </w:r>
    </w:p>
    <w:p w14:paraId="1034D345">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6E27AAC3">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供应商应当有全面、合理、针对本项目的施工方法，主要施工方法应当具有明确的针对性和可操作性，对施工的各道程序应当明确、到位；</w:t>
      </w:r>
    </w:p>
    <w:p w14:paraId="25D2E9D9">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供应商应具有针对本项目的具体安全、环保、消防等的保证措施，控制措施应当完善、到位；</w:t>
      </w:r>
    </w:p>
    <w:p w14:paraId="04D1FEE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14:paraId="3C9552F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14:paraId="7BEBCC8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性</w:t>
      </w:r>
      <w:r>
        <w:rPr>
          <w:rFonts w:hint="eastAsia" w:ascii="宋体" w:hAnsi="宋体" w:cs="宋体"/>
          <w:color w:val="auto"/>
          <w:sz w:val="24"/>
          <w:highlight w:val="none"/>
        </w:rPr>
        <w:t>施工计划，施工计划应当包含施工的各个环节；</w:t>
      </w:r>
    </w:p>
    <w:p w14:paraId="76593685">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r>
        <w:rPr>
          <w:rFonts w:hint="eastAsia" w:ascii="宋体" w:hAnsi="宋体" w:cs="宋体"/>
          <w:color w:val="auto"/>
          <w:sz w:val="24"/>
          <w:highlight w:val="none"/>
          <w:lang w:eastAsia="zh-CN"/>
        </w:rPr>
        <w:t>。</w:t>
      </w:r>
    </w:p>
    <w:p w14:paraId="60C45ADD">
      <w:pPr>
        <w:pStyle w:val="82"/>
        <w:pageBreakBefore w:val="0"/>
        <w:kinsoku/>
        <w:wordWrap/>
        <w:overflowPunct/>
        <w:topLinePunct w:val="0"/>
        <w:autoSpaceDE/>
        <w:autoSpaceDN/>
        <w:bidi w:val="0"/>
        <w:spacing w:line="360" w:lineRule="auto"/>
        <w:ind w:left="0" w:leftChars="0" w:right="0" w:rightChars="0" w:firstLine="422"/>
        <w:textAlignment w:val="auto"/>
        <w:rPr>
          <w:rFonts w:hint="eastAsia" w:ascii="宋体" w:hAnsi="宋体"/>
          <w:color w:val="auto"/>
          <w:sz w:val="24"/>
          <w:szCs w:val="24"/>
          <w:highlight w:val="none"/>
        </w:rPr>
      </w:pPr>
    </w:p>
    <w:p w14:paraId="2748306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C1C99C7">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2099"/>
      <w:bookmarkEnd w:id="32"/>
      <w:bookmarkStart w:id="33" w:name="_Toc184313251"/>
      <w:bookmarkEnd w:id="33"/>
      <w:bookmarkStart w:id="34" w:name="_Toc184308043"/>
      <w:bookmarkEnd w:id="34"/>
      <w:bookmarkStart w:id="35" w:name="_Toc184314465"/>
      <w:bookmarkEnd w:id="35"/>
      <w:bookmarkStart w:id="36" w:name="_Toc184308101"/>
      <w:bookmarkEnd w:id="36"/>
      <w:bookmarkStart w:id="37" w:name="_Toc184308085"/>
      <w:bookmarkEnd w:id="37"/>
      <w:bookmarkStart w:id="38" w:name="_Toc184310303"/>
      <w:bookmarkEnd w:id="38"/>
      <w:bookmarkStart w:id="39" w:name="_Toc184314472"/>
      <w:bookmarkEnd w:id="39"/>
      <w:bookmarkStart w:id="40" w:name="_Toc184313261"/>
      <w:bookmarkEnd w:id="40"/>
      <w:bookmarkStart w:id="41" w:name="_Toc184313272"/>
      <w:bookmarkEnd w:id="41"/>
      <w:bookmarkStart w:id="42" w:name="_Toc184312090"/>
      <w:bookmarkEnd w:id="42"/>
      <w:bookmarkStart w:id="43" w:name="_Toc184314456"/>
      <w:bookmarkEnd w:id="43"/>
      <w:bookmarkStart w:id="44" w:name="_Toc184308059"/>
      <w:bookmarkEnd w:id="44"/>
      <w:bookmarkStart w:id="45" w:name="_Toc184314434"/>
      <w:bookmarkEnd w:id="45"/>
      <w:bookmarkStart w:id="46" w:name="_Toc184308107"/>
      <w:bookmarkEnd w:id="46"/>
      <w:bookmarkStart w:id="47" w:name="_Toc184310305"/>
      <w:bookmarkEnd w:id="47"/>
      <w:bookmarkStart w:id="48" w:name="_Toc184308039"/>
      <w:bookmarkEnd w:id="48"/>
      <w:bookmarkStart w:id="49" w:name="_Toc184312103"/>
      <w:bookmarkEnd w:id="49"/>
      <w:bookmarkStart w:id="50" w:name="_Toc184313270"/>
      <w:bookmarkEnd w:id="50"/>
      <w:bookmarkStart w:id="51" w:name="_Toc184308098"/>
      <w:bookmarkEnd w:id="51"/>
      <w:bookmarkStart w:id="52" w:name="_Toc184312114"/>
      <w:bookmarkEnd w:id="52"/>
      <w:bookmarkStart w:id="53" w:name="_Toc184313238"/>
      <w:bookmarkEnd w:id="53"/>
      <w:bookmarkStart w:id="54" w:name="_Toc184313310"/>
      <w:bookmarkEnd w:id="54"/>
      <w:bookmarkStart w:id="55" w:name="_Toc184312088"/>
      <w:bookmarkEnd w:id="55"/>
      <w:bookmarkStart w:id="56" w:name="_Toc184312116"/>
      <w:bookmarkEnd w:id="56"/>
      <w:bookmarkStart w:id="57" w:name="_Toc184308094"/>
      <w:bookmarkEnd w:id="57"/>
      <w:bookmarkStart w:id="58" w:name="_Toc184313242"/>
      <w:bookmarkEnd w:id="58"/>
      <w:bookmarkStart w:id="59" w:name="_Toc184310320"/>
      <w:bookmarkEnd w:id="59"/>
      <w:bookmarkStart w:id="60" w:name="_Toc184310282"/>
      <w:bookmarkEnd w:id="60"/>
      <w:bookmarkStart w:id="61" w:name="_Toc184312107"/>
      <w:bookmarkEnd w:id="61"/>
      <w:bookmarkStart w:id="62" w:name="_Toc184312072"/>
      <w:bookmarkEnd w:id="62"/>
      <w:bookmarkStart w:id="63" w:name="_Toc184313250"/>
      <w:bookmarkEnd w:id="63"/>
      <w:bookmarkStart w:id="64" w:name="_Toc184310341"/>
      <w:bookmarkEnd w:id="64"/>
      <w:bookmarkStart w:id="65" w:name="_Toc184314453"/>
      <w:bookmarkEnd w:id="65"/>
      <w:bookmarkStart w:id="66" w:name="_Toc184308058"/>
      <w:bookmarkEnd w:id="66"/>
      <w:bookmarkStart w:id="67" w:name="_Toc184312124"/>
      <w:bookmarkEnd w:id="67"/>
      <w:bookmarkStart w:id="68" w:name="_Toc184310306"/>
      <w:bookmarkEnd w:id="68"/>
      <w:bookmarkStart w:id="69" w:name="_Toc184312089"/>
      <w:bookmarkEnd w:id="69"/>
      <w:bookmarkStart w:id="70" w:name="_Toc184313239"/>
      <w:bookmarkEnd w:id="70"/>
      <w:bookmarkStart w:id="71" w:name="_Toc184314441"/>
      <w:bookmarkEnd w:id="71"/>
      <w:bookmarkStart w:id="72" w:name="_Toc184314468"/>
      <w:bookmarkEnd w:id="72"/>
      <w:bookmarkStart w:id="73" w:name="_Toc184310322"/>
      <w:bookmarkEnd w:id="73"/>
      <w:bookmarkStart w:id="74" w:name="_Toc184308089"/>
      <w:bookmarkEnd w:id="74"/>
      <w:bookmarkStart w:id="75" w:name="_Toc184312078"/>
      <w:bookmarkEnd w:id="75"/>
      <w:bookmarkStart w:id="76" w:name="_Toc184308090"/>
      <w:bookmarkEnd w:id="76"/>
      <w:bookmarkStart w:id="77" w:name="_Toc184313284"/>
      <w:bookmarkEnd w:id="77"/>
      <w:bookmarkStart w:id="78" w:name="_Toc184313265"/>
      <w:bookmarkEnd w:id="78"/>
      <w:bookmarkStart w:id="79" w:name="_Toc184308105"/>
      <w:bookmarkEnd w:id="79"/>
      <w:bookmarkStart w:id="80" w:name="_Toc184308103"/>
      <w:bookmarkEnd w:id="80"/>
      <w:bookmarkStart w:id="81" w:name="_Toc184312135"/>
      <w:bookmarkEnd w:id="81"/>
      <w:bookmarkStart w:id="82" w:name="_Toc184314436"/>
      <w:bookmarkEnd w:id="82"/>
      <w:bookmarkStart w:id="83" w:name="_Toc184308077"/>
      <w:bookmarkEnd w:id="83"/>
      <w:bookmarkStart w:id="84" w:name="_Toc184310278"/>
      <w:bookmarkEnd w:id="84"/>
      <w:bookmarkStart w:id="85" w:name="_Toc184310281"/>
      <w:bookmarkEnd w:id="85"/>
      <w:bookmarkStart w:id="86" w:name="_Toc184314418"/>
      <w:bookmarkEnd w:id="86"/>
      <w:bookmarkStart w:id="87" w:name="_Toc184310313"/>
      <w:bookmarkEnd w:id="87"/>
      <w:bookmarkStart w:id="88" w:name="_Toc184312071"/>
      <w:bookmarkEnd w:id="88"/>
      <w:bookmarkStart w:id="89" w:name="_Toc184313266"/>
      <w:bookmarkEnd w:id="89"/>
      <w:bookmarkStart w:id="90" w:name="_Toc184314470"/>
      <w:bookmarkEnd w:id="90"/>
      <w:bookmarkStart w:id="91" w:name="_Toc184308087"/>
      <w:bookmarkEnd w:id="91"/>
      <w:bookmarkStart w:id="92" w:name="_Toc184308072"/>
      <w:bookmarkEnd w:id="92"/>
      <w:bookmarkStart w:id="93" w:name="_Toc184308044"/>
      <w:bookmarkEnd w:id="93"/>
      <w:bookmarkStart w:id="94" w:name="_Toc184308049"/>
      <w:bookmarkEnd w:id="94"/>
      <w:bookmarkStart w:id="95" w:name="_Toc184312096"/>
      <w:bookmarkEnd w:id="95"/>
      <w:bookmarkStart w:id="96" w:name="_Toc184314477"/>
      <w:bookmarkEnd w:id="96"/>
      <w:bookmarkStart w:id="97" w:name="_Toc184313253"/>
      <w:bookmarkEnd w:id="97"/>
      <w:bookmarkStart w:id="98" w:name="_Toc184314411"/>
      <w:bookmarkEnd w:id="98"/>
      <w:bookmarkStart w:id="99" w:name="_Toc184310307"/>
      <w:bookmarkEnd w:id="99"/>
      <w:bookmarkStart w:id="100" w:name="_Toc184314449"/>
      <w:bookmarkEnd w:id="100"/>
      <w:bookmarkStart w:id="101" w:name="_Toc184313288"/>
      <w:bookmarkEnd w:id="101"/>
      <w:bookmarkStart w:id="102" w:name="_Toc184310280"/>
      <w:bookmarkEnd w:id="102"/>
      <w:bookmarkStart w:id="103" w:name="_Toc184308038"/>
      <w:bookmarkEnd w:id="103"/>
      <w:bookmarkStart w:id="104" w:name="_Toc184310344"/>
      <w:bookmarkEnd w:id="104"/>
      <w:bookmarkStart w:id="105" w:name="_Toc184312121"/>
      <w:bookmarkEnd w:id="105"/>
      <w:bookmarkStart w:id="106" w:name="_Toc184310327"/>
      <w:bookmarkEnd w:id="106"/>
      <w:bookmarkStart w:id="107" w:name="_Toc184314459"/>
      <w:bookmarkEnd w:id="107"/>
      <w:bookmarkStart w:id="108" w:name="_Toc184313306"/>
      <w:bookmarkEnd w:id="108"/>
      <w:bookmarkStart w:id="109" w:name="_Toc184313290"/>
      <w:bookmarkEnd w:id="109"/>
      <w:bookmarkStart w:id="110" w:name="_Toc184308052"/>
      <w:bookmarkEnd w:id="110"/>
      <w:bookmarkStart w:id="111" w:name="_Toc184308083"/>
      <w:bookmarkEnd w:id="111"/>
      <w:bookmarkStart w:id="112" w:name="_Toc184310311"/>
      <w:bookmarkEnd w:id="112"/>
      <w:bookmarkStart w:id="113" w:name="_Toc184312133"/>
      <w:bookmarkEnd w:id="113"/>
      <w:bookmarkStart w:id="114" w:name="_Toc184313244"/>
      <w:bookmarkEnd w:id="114"/>
      <w:bookmarkStart w:id="115" w:name="_Toc184312115"/>
      <w:bookmarkEnd w:id="115"/>
      <w:bookmarkStart w:id="116" w:name="_Toc184312077"/>
      <w:bookmarkEnd w:id="116"/>
      <w:bookmarkStart w:id="117" w:name="_Toc184308081"/>
      <w:bookmarkEnd w:id="117"/>
      <w:bookmarkStart w:id="118" w:name="_Toc184314431"/>
      <w:bookmarkEnd w:id="118"/>
      <w:bookmarkStart w:id="119" w:name="_Toc184313248"/>
      <w:bookmarkEnd w:id="119"/>
      <w:bookmarkStart w:id="120" w:name="_Toc184308045"/>
      <w:bookmarkEnd w:id="120"/>
      <w:bookmarkStart w:id="121" w:name="_Toc184312130"/>
      <w:bookmarkEnd w:id="121"/>
      <w:bookmarkStart w:id="122" w:name="_Toc184310300"/>
      <w:bookmarkEnd w:id="122"/>
      <w:bookmarkStart w:id="123" w:name="_Toc184308079"/>
      <w:bookmarkEnd w:id="123"/>
      <w:bookmarkStart w:id="124" w:name="_Toc184308042"/>
      <w:bookmarkEnd w:id="124"/>
      <w:bookmarkStart w:id="125" w:name="_Toc184312074"/>
      <w:bookmarkEnd w:id="125"/>
      <w:bookmarkStart w:id="126" w:name="_Toc184308065"/>
      <w:bookmarkEnd w:id="126"/>
      <w:bookmarkStart w:id="127" w:name="_Toc184313307"/>
      <w:bookmarkEnd w:id="127"/>
      <w:bookmarkStart w:id="128" w:name="_Toc184312132"/>
      <w:bookmarkEnd w:id="128"/>
      <w:bookmarkStart w:id="129" w:name="_Toc184313258"/>
      <w:bookmarkEnd w:id="129"/>
      <w:bookmarkStart w:id="130" w:name="_Toc184310330"/>
      <w:bookmarkEnd w:id="130"/>
      <w:bookmarkStart w:id="131" w:name="_Toc184313273"/>
      <w:bookmarkEnd w:id="131"/>
      <w:bookmarkStart w:id="132" w:name="_Toc184308093"/>
      <w:bookmarkEnd w:id="132"/>
      <w:bookmarkStart w:id="133" w:name="_Toc184313274"/>
      <w:bookmarkEnd w:id="133"/>
      <w:bookmarkStart w:id="134" w:name="_Toc184310285"/>
      <w:bookmarkEnd w:id="134"/>
      <w:bookmarkStart w:id="135" w:name="_Toc184308068"/>
      <w:bookmarkEnd w:id="135"/>
      <w:bookmarkStart w:id="136" w:name="_Toc184308040"/>
      <w:bookmarkEnd w:id="136"/>
      <w:bookmarkStart w:id="137" w:name="_Toc184313282"/>
      <w:bookmarkEnd w:id="137"/>
      <w:bookmarkStart w:id="138" w:name="_Toc184312125"/>
      <w:bookmarkEnd w:id="138"/>
      <w:bookmarkStart w:id="139" w:name="_Toc184310291"/>
      <w:bookmarkEnd w:id="139"/>
      <w:bookmarkStart w:id="140" w:name="_Toc184312118"/>
      <w:bookmarkEnd w:id="140"/>
      <w:bookmarkStart w:id="141" w:name="_Toc184314445"/>
      <w:bookmarkEnd w:id="141"/>
      <w:bookmarkStart w:id="142" w:name="_Toc184310274"/>
      <w:bookmarkEnd w:id="142"/>
      <w:bookmarkStart w:id="143" w:name="_Toc184313268"/>
      <w:bookmarkEnd w:id="143"/>
      <w:bookmarkStart w:id="144" w:name="_Toc184308099"/>
      <w:bookmarkEnd w:id="144"/>
      <w:bookmarkStart w:id="145" w:name="_Toc184310272"/>
      <w:bookmarkEnd w:id="145"/>
      <w:bookmarkStart w:id="146" w:name="_Toc184310275"/>
      <w:bookmarkEnd w:id="146"/>
      <w:bookmarkStart w:id="147" w:name="_Toc184308056"/>
      <w:bookmarkEnd w:id="147"/>
      <w:bookmarkStart w:id="148" w:name="_Toc184312085"/>
      <w:bookmarkEnd w:id="148"/>
      <w:bookmarkStart w:id="149" w:name="_Toc184312110"/>
      <w:bookmarkEnd w:id="149"/>
      <w:bookmarkStart w:id="150" w:name="_Toc184310288"/>
      <w:bookmarkEnd w:id="150"/>
      <w:bookmarkStart w:id="151" w:name="_Toc184312079"/>
      <w:bookmarkEnd w:id="151"/>
      <w:bookmarkStart w:id="152" w:name="_Toc184313254"/>
      <w:bookmarkEnd w:id="152"/>
      <w:bookmarkStart w:id="153" w:name="_Toc184314433"/>
      <w:bookmarkEnd w:id="153"/>
      <w:bookmarkStart w:id="154" w:name="_Toc184312075"/>
      <w:bookmarkEnd w:id="154"/>
      <w:bookmarkStart w:id="155" w:name="_Toc184310310"/>
      <w:bookmarkEnd w:id="155"/>
      <w:bookmarkStart w:id="156" w:name="_Toc184312084"/>
      <w:bookmarkEnd w:id="156"/>
      <w:bookmarkStart w:id="157" w:name="_Toc184314452"/>
      <w:bookmarkEnd w:id="157"/>
      <w:bookmarkStart w:id="158" w:name="_Toc184312098"/>
      <w:bookmarkEnd w:id="158"/>
      <w:bookmarkStart w:id="159" w:name="_Toc184312108"/>
      <w:bookmarkEnd w:id="159"/>
      <w:bookmarkStart w:id="160" w:name="_Toc184314422"/>
      <w:bookmarkEnd w:id="160"/>
      <w:bookmarkStart w:id="161" w:name="_Toc184313297"/>
      <w:bookmarkEnd w:id="161"/>
      <w:bookmarkStart w:id="162" w:name="_Toc184308069"/>
      <w:bookmarkEnd w:id="162"/>
      <w:bookmarkStart w:id="163" w:name="_Toc184313276"/>
      <w:bookmarkEnd w:id="163"/>
      <w:bookmarkStart w:id="164" w:name="_Toc184310315"/>
      <w:bookmarkEnd w:id="164"/>
      <w:bookmarkStart w:id="165" w:name="_Toc184314430"/>
      <w:bookmarkEnd w:id="165"/>
      <w:bookmarkStart w:id="166" w:name="_Toc184310304"/>
      <w:bookmarkEnd w:id="166"/>
      <w:bookmarkStart w:id="167" w:name="_Toc184312102"/>
      <w:bookmarkEnd w:id="167"/>
      <w:bookmarkStart w:id="168" w:name="_Toc184312082"/>
      <w:bookmarkEnd w:id="168"/>
      <w:bookmarkStart w:id="169" w:name="_Toc184314458"/>
      <w:bookmarkEnd w:id="169"/>
      <w:bookmarkStart w:id="170" w:name="_Toc184314424"/>
      <w:bookmarkEnd w:id="170"/>
      <w:bookmarkStart w:id="171" w:name="_Toc184310277"/>
      <w:bookmarkEnd w:id="171"/>
      <w:bookmarkStart w:id="172" w:name="_Toc184310340"/>
      <w:bookmarkEnd w:id="172"/>
      <w:bookmarkStart w:id="173" w:name="_Toc184308070"/>
      <w:bookmarkEnd w:id="173"/>
      <w:bookmarkStart w:id="174" w:name="_Toc184310343"/>
      <w:bookmarkEnd w:id="174"/>
      <w:bookmarkStart w:id="175" w:name="_Toc184314482"/>
      <w:bookmarkEnd w:id="175"/>
      <w:bookmarkStart w:id="176" w:name="_Toc184314451"/>
      <w:bookmarkEnd w:id="176"/>
      <w:bookmarkStart w:id="177" w:name="_Toc184310297"/>
      <w:bookmarkEnd w:id="177"/>
      <w:bookmarkStart w:id="178" w:name="_Toc184313304"/>
      <w:bookmarkEnd w:id="178"/>
      <w:bookmarkStart w:id="179" w:name="_Toc184313256"/>
      <w:bookmarkEnd w:id="179"/>
      <w:bookmarkStart w:id="180" w:name="_Toc184313291"/>
      <w:bookmarkEnd w:id="180"/>
      <w:bookmarkStart w:id="181" w:name="_Toc184308096"/>
      <w:bookmarkEnd w:id="181"/>
      <w:bookmarkStart w:id="182" w:name="_Toc184308051"/>
      <w:bookmarkEnd w:id="182"/>
      <w:bookmarkStart w:id="183" w:name="_Toc184313240"/>
      <w:bookmarkEnd w:id="183"/>
      <w:bookmarkStart w:id="184" w:name="_Toc184313309"/>
      <w:bookmarkEnd w:id="184"/>
      <w:bookmarkStart w:id="185" w:name="_Toc184308053"/>
      <w:bookmarkEnd w:id="185"/>
      <w:bookmarkStart w:id="186" w:name="_Toc184313280"/>
      <w:bookmarkEnd w:id="186"/>
      <w:bookmarkStart w:id="187" w:name="_Toc184313296"/>
      <w:bookmarkEnd w:id="187"/>
      <w:bookmarkStart w:id="188" w:name="_Toc184313281"/>
      <w:bookmarkEnd w:id="188"/>
      <w:bookmarkStart w:id="189" w:name="_Toc184312092"/>
      <w:bookmarkEnd w:id="189"/>
      <w:bookmarkStart w:id="190" w:name="_Toc184312117"/>
      <w:bookmarkEnd w:id="190"/>
      <w:bookmarkStart w:id="191" w:name="_Toc184313283"/>
      <w:bookmarkEnd w:id="191"/>
      <w:bookmarkStart w:id="192" w:name="_Toc184308075"/>
      <w:bookmarkEnd w:id="192"/>
      <w:bookmarkStart w:id="193" w:name="_Toc184308080"/>
      <w:bookmarkEnd w:id="193"/>
      <w:bookmarkStart w:id="194" w:name="_Toc184314446"/>
      <w:bookmarkEnd w:id="194"/>
      <w:bookmarkStart w:id="195" w:name="_Toc184313303"/>
      <w:bookmarkEnd w:id="195"/>
      <w:bookmarkStart w:id="196" w:name="_Toc184312106"/>
      <w:bookmarkEnd w:id="196"/>
      <w:bookmarkStart w:id="197" w:name="_Toc184314467"/>
      <w:bookmarkEnd w:id="197"/>
      <w:bookmarkStart w:id="198" w:name="_Toc184314461"/>
      <w:bookmarkEnd w:id="198"/>
      <w:bookmarkStart w:id="199" w:name="_Toc184314428"/>
      <w:bookmarkEnd w:id="199"/>
      <w:bookmarkStart w:id="200" w:name="_Toc184313241"/>
      <w:bookmarkEnd w:id="200"/>
      <w:bookmarkStart w:id="201" w:name="_Toc184310332"/>
      <w:bookmarkEnd w:id="201"/>
      <w:bookmarkStart w:id="202" w:name="_Toc184314473"/>
      <w:bookmarkEnd w:id="202"/>
      <w:bookmarkStart w:id="203" w:name="_Toc184308104"/>
      <w:bookmarkEnd w:id="203"/>
      <w:bookmarkStart w:id="204" w:name="_Toc184313285"/>
      <w:bookmarkEnd w:id="204"/>
      <w:bookmarkStart w:id="205" w:name="_Toc184310283"/>
      <w:bookmarkEnd w:id="205"/>
      <w:bookmarkStart w:id="206" w:name="_Toc184313287"/>
      <w:bookmarkEnd w:id="206"/>
      <w:bookmarkStart w:id="207" w:name="_Toc184310328"/>
      <w:bookmarkEnd w:id="207"/>
      <w:bookmarkStart w:id="208" w:name="_Toc184310287"/>
      <w:bookmarkEnd w:id="208"/>
      <w:bookmarkStart w:id="209" w:name="_Toc184308071"/>
      <w:bookmarkEnd w:id="209"/>
      <w:bookmarkStart w:id="210" w:name="_Toc184310289"/>
      <w:bookmarkEnd w:id="210"/>
      <w:bookmarkStart w:id="211" w:name="_Toc184314426"/>
      <w:bookmarkEnd w:id="211"/>
      <w:bookmarkStart w:id="212" w:name="_Toc184312136"/>
      <w:bookmarkEnd w:id="212"/>
      <w:bookmarkStart w:id="213" w:name="_Toc184313257"/>
      <w:bookmarkEnd w:id="213"/>
      <w:bookmarkStart w:id="214" w:name="_Toc184310284"/>
      <w:bookmarkEnd w:id="214"/>
      <w:bookmarkStart w:id="215" w:name="_Toc184312067"/>
      <w:bookmarkEnd w:id="215"/>
      <w:bookmarkStart w:id="216" w:name="_Toc184314480"/>
      <w:bookmarkEnd w:id="216"/>
      <w:bookmarkStart w:id="217" w:name="_Toc184314442"/>
      <w:bookmarkEnd w:id="217"/>
      <w:bookmarkStart w:id="218" w:name="_Toc184310292"/>
      <w:bookmarkEnd w:id="218"/>
      <w:bookmarkStart w:id="219" w:name="_Toc184313247"/>
      <w:bookmarkEnd w:id="219"/>
      <w:bookmarkStart w:id="220" w:name="_Toc184310323"/>
      <w:bookmarkEnd w:id="220"/>
      <w:bookmarkStart w:id="221" w:name="_Toc184308061"/>
      <w:bookmarkEnd w:id="221"/>
      <w:bookmarkStart w:id="222" w:name="_Toc184312104"/>
      <w:bookmarkEnd w:id="222"/>
      <w:bookmarkStart w:id="223" w:name="_Toc184313255"/>
      <w:bookmarkEnd w:id="223"/>
      <w:bookmarkStart w:id="224" w:name="_Toc184313246"/>
      <w:bookmarkEnd w:id="224"/>
      <w:bookmarkStart w:id="225" w:name="_Toc184312113"/>
      <w:bookmarkEnd w:id="225"/>
      <w:bookmarkStart w:id="226" w:name="_Toc184310334"/>
      <w:bookmarkEnd w:id="226"/>
      <w:bookmarkStart w:id="227" w:name="_Toc184314423"/>
      <w:bookmarkEnd w:id="227"/>
      <w:bookmarkStart w:id="228" w:name="_Toc184308102"/>
      <w:bookmarkEnd w:id="228"/>
      <w:bookmarkStart w:id="229" w:name="_Toc184312083"/>
      <w:bookmarkEnd w:id="229"/>
      <w:bookmarkStart w:id="230" w:name="_Toc184312126"/>
      <w:bookmarkEnd w:id="230"/>
      <w:bookmarkStart w:id="231" w:name="_Toc184314440"/>
      <w:bookmarkEnd w:id="231"/>
      <w:bookmarkStart w:id="232" w:name="_Toc184314444"/>
      <w:bookmarkEnd w:id="232"/>
      <w:bookmarkStart w:id="233" w:name="_Toc184314466"/>
      <w:bookmarkEnd w:id="233"/>
      <w:bookmarkStart w:id="234" w:name="_Toc184313295"/>
      <w:bookmarkEnd w:id="234"/>
      <w:bookmarkStart w:id="235" w:name="_Toc184313299"/>
      <w:bookmarkEnd w:id="235"/>
      <w:bookmarkStart w:id="236" w:name="_Toc184314462"/>
      <w:bookmarkEnd w:id="236"/>
      <w:bookmarkStart w:id="237" w:name="_Toc184310336"/>
      <w:bookmarkEnd w:id="237"/>
      <w:bookmarkStart w:id="238" w:name="_Toc184308050"/>
      <w:bookmarkEnd w:id="238"/>
      <w:bookmarkStart w:id="239" w:name="_Toc184314429"/>
      <w:bookmarkEnd w:id="239"/>
      <w:bookmarkStart w:id="240" w:name="_Toc184314417"/>
      <w:bookmarkEnd w:id="240"/>
      <w:bookmarkStart w:id="241" w:name="_Toc184314410"/>
      <w:bookmarkEnd w:id="241"/>
      <w:bookmarkStart w:id="242" w:name="_Toc184314413"/>
      <w:bookmarkEnd w:id="242"/>
      <w:bookmarkStart w:id="243" w:name="_Toc184310276"/>
      <w:bookmarkEnd w:id="243"/>
      <w:bookmarkStart w:id="244" w:name="_Toc184310308"/>
      <w:bookmarkEnd w:id="244"/>
      <w:bookmarkStart w:id="245" w:name="_Toc184312139"/>
      <w:bookmarkEnd w:id="245"/>
      <w:bookmarkStart w:id="246" w:name="_Toc184313264"/>
      <w:bookmarkEnd w:id="246"/>
      <w:bookmarkStart w:id="247" w:name="_Toc184308060"/>
      <w:bookmarkEnd w:id="247"/>
      <w:bookmarkStart w:id="248" w:name="_Toc184314435"/>
      <w:bookmarkEnd w:id="248"/>
      <w:bookmarkStart w:id="249" w:name="_Toc184308084"/>
      <w:bookmarkEnd w:id="249"/>
      <w:bookmarkStart w:id="250" w:name="_Toc184313269"/>
      <w:bookmarkEnd w:id="250"/>
      <w:bookmarkStart w:id="251" w:name="_Toc184310293"/>
      <w:bookmarkEnd w:id="251"/>
      <w:bookmarkStart w:id="252" w:name="_Toc184313279"/>
      <w:bookmarkEnd w:id="252"/>
      <w:bookmarkStart w:id="253" w:name="_Toc184313260"/>
      <w:bookmarkEnd w:id="253"/>
      <w:bookmarkStart w:id="254" w:name="_Toc184308092"/>
      <w:bookmarkEnd w:id="254"/>
      <w:bookmarkStart w:id="255" w:name="_Toc184308106"/>
      <w:bookmarkEnd w:id="255"/>
      <w:bookmarkStart w:id="256" w:name="_Toc184310286"/>
      <w:bookmarkEnd w:id="256"/>
      <w:bookmarkStart w:id="257" w:name="_Toc184314476"/>
      <w:bookmarkEnd w:id="257"/>
      <w:bookmarkStart w:id="258" w:name="_Toc184314455"/>
      <w:bookmarkEnd w:id="258"/>
      <w:bookmarkStart w:id="259" w:name="_Toc184314479"/>
      <w:bookmarkEnd w:id="259"/>
      <w:bookmarkStart w:id="260" w:name="_Toc184312100"/>
      <w:bookmarkEnd w:id="260"/>
      <w:bookmarkStart w:id="261" w:name="_Toc184308062"/>
      <w:bookmarkEnd w:id="261"/>
      <w:bookmarkStart w:id="262" w:name="_Toc184314416"/>
      <w:bookmarkEnd w:id="262"/>
      <w:bookmarkStart w:id="263" w:name="_Toc184313271"/>
      <w:bookmarkEnd w:id="263"/>
      <w:bookmarkStart w:id="264" w:name="_Toc184310301"/>
      <w:bookmarkEnd w:id="264"/>
      <w:bookmarkStart w:id="265" w:name="_Toc184314439"/>
      <w:bookmarkEnd w:id="265"/>
      <w:bookmarkStart w:id="266" w:name="_Toc184313243"/>
      <w:bookmarkEnd w:id="266"/>
      <w:bookmarkStart w:id="267" w:name="_Toc184310326"/>
      <w:bookmarkEnd w:id="267"/>
      <w:bookmarkStart w:id="268" w:name="_Toc184313293"/>
      <w:bookmarkEnd w:id="268"/>
      <w:bookmarkStart w:id="269" w:name="_Toc184310331"/>
      <w:bookmarkEnd w:id="269"/>
      <w:bookmarkStart w:id="270" w:name="_Toc184310333"/>
      <w:bookmarkEnd w:id="270"/>
      <w:bookmarkStart w:id="271" w:name="_Toc184314438"/>
      <w:bookmarkEnd w:id="271"/>
      <w:bookmarkStart w:id="272" w:name="_Toc184313301"/>
      <w:bookmarkEnd w:id="272"/>
      <w:bookmarkStart w:id="273" w:name="_Toc184314471"/>
      <w:bookmarkEnd w:id="273"/>
      <w:bookmarkStart w:id="274" w:name="_Toc184312134"/>
      <w:bookmarkEnd w:id="274"/>
      <w:bookmarkStart w:id="275" w:name="_Toc184312094"/>
      <w:bookmarkEnd w:id="275"/>
      <w:bookmarkStart w:id="276" w:name="_Toc184314469"/>
      <w:bookmarkEnd w:id="276"/>
      <w:bookmarkStart w:id="277" w:name="_Toc184314427"/>
      <w:bookmarkEnd w:id="277"/>
      <w:bookmarkStart w:id="278" w:name="_Toc184313302"/>
      <w:bookmarkEnd w:id="278"/>
      <w:bookmarkStart w:id="279" w:name="_Toc184310338"/>
      <w:bookmarkEnd w:id="279"/>
      <w:bookmarkStart w:id="280" w:name="_Toc184308041"/>
      <w:bookmarkEnd w:id="280"/>
      <w:bookmarkStart w:id="281" w:name="_Toc184310318"/>
      <w:bookmarkEnd w:id="281"/>
      <w:bookmarkStart w:id="282" w:name="_Toc184310337"/>
      <w:bookmarkEnd w:id="282"/>
      <w:bookmarkStart w:id="283" w:name="_Toc184310302"/>
      <w:bookmarkEnd w:id="283"/>
      <w:bookmarkStart w:id="284" w:name="_Toc184312093"/>
      <w:bookmarkEnd w:id="284"/>
      <w:bookmarkStart w:id="285" w:name="_Toc184308074"/>
      <w:bookmarkEnd w:id="285"/>
      <w:bookmarkStart w:id="286" w:name="_Toc184312111"/>
      <w:bookmarkEnd w:id="286"/>
      <w:bookmarkStart w:id="287" w:name="_Toc184313278"/>
      <w:bookmarkEnd w:id="287"/>
      <w:bookmarkStart w:id="288" w:name="_Toc184312138"/>
      <w:bookmarkEnd w:id="288"/>
      <w:bookmarkStart w:id="289" w:name="_Toc184308076"/>
      <w:bookmarkEnd w:id="289"/>
      <w:bookmarkStart w:id="290" w:name="_Toc184312073"/>
      <w:bookmarkEnd w:id="290"/>
      <w:bookmarkStart w:id="291" w:name="_Toc184308078"/>
      <w:bookmarkEnd w:id="291"/>
      <w:bookmarkStart w:id="292" w:name="_Toc184308047"/>
      <w:bookmarkEnd w:id="292"/>
      <w:bookmarkStart w:id="293" w:name="_Toc184313262"/>
      <w:bookmarkEnd w:id="293"/>
      <w:bookmarkStart w:id="294" w:name="_Toc184313289"/>
      <w:bookmarkEnd w:id="294"/>
      <w:bookmarkStart w:id="295" w:name="_Toc184310279"/>
      <w:bookmarkEnd w:id="295"/>
      <w:bookmarkStart w:id="296" w:name="_Toc184310317"/>
      <w:bookmarkEnd w:id="296"/>
      <w:bookmarkStart w:id="297" w:name="_Toc184314448"/>
      <w:bookmarkEnd w:id="297"/>
      <w:bookmarkStart w:id="298" w:name="_Toc184310316"/>
      <w:bookmarkEnd w:id="298"/>
      <w:bookmarkStart w:id="299" w:name="_Toc184312123"/>
      <w:bookmarkEnd w:id="299"/>
      <w:bookmarkStart w:id="300" w:name="_Toc184313259"/>
      <w:bookmarkEnd w:id="300"/>
      <w:bookmarkStart w:id="301" w:name="_Toc184313294"/>
      <w:bookmarkEnd w:id="301"/>
      <w:bookmarkStart w:id="302" w:name="_Toc184314463"/>
      <w:bookmarkEnd w:id="302"/>
      <w:bookmarkStart w:id="303" w:name="_Toc184312128"/>
      <w:bookmarkEnd w:id="303"/>
      <w:bookmarkStart w:id="304" w:name="_Toc184310312"/>
      <w:bookmarkEnd w:id="304"/>
      <w:bookmarkStart w:id="305" w:name="_Toc184310295"/>
      <w:bookmarkEnd w:id="305"/>
      <w:bookmarkStart w:id="306" w:name="_Toc184313300"/>
      <w:bookmarkEnd w:id="306"/>
      <w:bookmarkStart w:id="307" w:name="_Toc184313249"/>
      <w:bookmarkEnd w:id="307"/>
      <w:bookmarkStart w:id="308" w:name="_Toc184312070"/>
      <w:bookmarkEnd w:id="308"/>
      <w:bookmarkStart w:id="309" w:name="_Toc184313292"/>
      <w:bookmarkEnd w:id="309"/>
      <w:bookmarkStart w:id="310" w:name="_Toc184310329"/>
      <w:bookmarkEnd w:id="310"/>
      <w:bookmarkStart w:id="311" w:name="_Toc184314457"/>
      <w:bookmarkEnd w:id="311"/>
      <w:bookmarkStart w:id="312" w:name="_Toc184313277"/>
      <w:bookmarkEnd w:id="312"/>
      <w:bookmarkStart w:id="313" w:name="_Toc184312122"/>
      <w:bookmarkEnd w:id="313"/>
      <w:bookmarkStart w:id="314" w:name="_Toc184310299"/>
      <w:bookmarkEnd w:id="314"/>
      <w:bookmarkStart w:id="315" w:name="_Toc184308082"/>
      <w:bookmarkEnd w:id="315"/>
      <w:bookmarkStart w:id="316" w:name="_Toc184313263"/>
      <w:bookmarkEnd w:id="316"/>
      <w:bookmarkStart w:id="317" w:name="_Toc184308057"/>
      <w:bookmarkEnd w:id="317"/>
      <w:bookmarkStart w:id="318" w:name="_Toc184312131"/>
      <w:bookmarkEnd w:id="318"/>
      <w:bookmarkStart w:id="319" w:name="_Toc184312095"/>
      <w:bookmarkEnd w:id="319"/>
      <w:bookmarkStart w:id="320" w:name="_Toc184310335"/>
      <w:bookmarkEnd w:id="320"/>
      <w:bookmarkStart w:id="321" w:name="_Toc184314460"/>
      <w:bookmarkEnd w:id="321"/>
      <w:bookmarkStart w:id="322" w:name="_Toc184312105"/>
      <w:bookmarkEnd w:id="322"/>
      <w:bookmarkStart w:id="323" w:name="_Toc184310342"/>
      <w:bookmarkEnd w:id="323"/>
      <w:bookmarkStart w:id="324" w:name="_Toc184314478"/>
      <w:bookmarkEnd w:id="324"/>
      <w:bookmarkStart w:id="325" w:name="_Toc184314415"/>
      <w:bookmarkEnd w:id="325"/>
      <w:bookmarkStart w:id="326" w:name="_Toc184310321"/>
      <w:bookmarkEnd w:id="326"/>
      <w:bookmarkStart w:id="327" w:name="_Toc184310273"/>
      <w:bookmarkEnd w:id="327"/>
      <w:bookmarkStart w:id="328" w:name="_Toc184314464"/>
      <w:bookmarkEnd w:id="328"/>
      <w:bookmarkStart w:id="329" w:name="_Toc184313286"/>
      <w:bookmarkEnd w:id="329"/>
      <w:bookmarkStart w:id="330" w:name="_Toc184308091"/>
      <w:bookmarkEnd w:id="330"/>
      <w:bookmarkStart w:id="331" w:name="_Toc184312080"/>
      <w:bookmarkEnd w:id="331"/>
      <w:bookmarkStart w:id="332" w:name="_Toc184308063"/>
      <w:bookmarkEnd w:id="332"/>
      <w:bookmarkStart w:id="333" w:name="_Toc184308088"/>
      <w:bookmarkEnd w:id="333"/>
      <w:bookmarkStart w:id="334" w:name="_Toc184310294"/>
      <w:bookmarkEnd w:id="334"/>
      <w:bookmarkStart w:id="335" w:name="_Toc184308097"/>
      <w:bookmarkEnd w:id="335"/>
      <w:bookmarkStart w:id="336" w:name="_Toc184314414"/>
      <w:bookmarkEnd w:id="336"/>
      <w:bookmarkStart w:id="337" w:name="_Toc184313308"/>
      <w:bookmarkEnd w:id="337"/>
      <w:bookmarkStart w:id="338" w:name="_Toc184310324"/>
      <w:bookmarkEnd w:id="338"/>
      <w:bookmarkStart w:id="339" w:name="_Toc184313252"/>
      <w:bookmarkEnd w:id="339"/>
      <w:bookmarkStart w:id="340" w:name="_Toc184310339"/>
      <w:bookmarkEnd w:id="340"/>
      <w:bookmarkStart w:id="341" w:name="_Toc184312086"/>
      <w:bookmarkEnd w:id="341"/>
      <w:bookmarkStart w:id="342" w:name="_Toc184312091"/>
      <w:bookmarkEnd w:id="342"/>
      <w:bookmarkStart w:id="343" w:name="_Toc184314412"/>
      <w:bookmarkEnd w:id="343"/>
      <w:bookmarkStart w:id="344" w:name="_Toc184312120"/>
      <w:bookmarkEnd w:id="344"/>
      <w:bookmarkStart w:id="345" w:name="_Toc184314450"/>
      <w:bookmarkEnd w:id="345"/>
      <w:bookmarkStart w:id="346" w:name="_Toc184314474"/>
      <w:bookmarkEnd w:id="346"/>
      <w:bookmarkStart w:id="347" w:name="_Toc184313275"/>
      <w:bookmarkEnd w:id="347"/>
      <w:bookmarkStart w:id="348" w:name="_Toc184314447"/>
      <w:bookmarkEnd w:id="348"/>
      <w:bookmarkStart w:id="349" w:name="_Toc184314443"/>
      <w:bookmarkEnd w:id="349"/>
      <w:bookmarkStart w:id="350" w:name="_Toc184308036"/>
      <w:bookmarkEnd w:id="350"/>
      <w:bookmarkStart w:id="351" w:name="_Toc184312137"/>
      <w:bookmarkEnd w:id="351"/>
      <w:bookmarkStart w:id="352" w:name="_Toc184312127"/>
      <w:bookmarkEnd w:id="352"/>
      <w:bookmarkStart w:id="353" w:name="_Toc184312076"/>
      <w:bookmarkEnd w:id="353"/>
      <w:bookmarkStart w:id="354" w:name="_Toc184314475"/>
      <w:bookmarkEnd w:id="354"/>
      <w:bookmarkStart w:id="355" w:name="_Toc184310298"/>
      <w:bookmarkEnd w:id="355"/>
      <w:bookmarkStart w:id="356" w:name="_Toc184314421"/>
      <w:bookmarkEnd w:id="356"/>
      <w:bookmarkStart w:id="357" w:name="_Toc184308100"/>
      <w:bookmarkEnd w:id="357"/>
      <w:bookmarkStart w:id="358" w:name="_Toc184308064"/>
      <w:bookmarkEnd w:id="358"/>
      <w:bookmarkStart w:id="359" w:name="_Toc184310325"/>
      <w:bookmarkEnd w:id="359"/>
      <w:bookmarkStart w:id="360" w:name="_Toc184312068"/>
      <w:bookmarkEnd w:id="360"/>
      <w:bookmarkStart w:id="361" w:name="_Toc184308046"/>
      <w:bookmarkEnd w:id="361"/>
      <w:bookmarkStart w:id="362" w:name="_Toc184308048"/>
      <w:bookmarkEnd w:id="362"/>
      <w:bookmarkStart w:id="363" w:name="_Toc184313267"/>
      <w:bookmarkEnd w:id="363"/>
      <w:bookmarkStart w:id="364" w:name="_Toc184313298"/>
      <w:bookmarkEnd w:id="364"/>
      <w:bookmarkStart w:id="365" w:name="_Toc184312081"/>
      <w:bookmarkEnd w:id="365"/>
      <w:bookmarkStart w:id="366" w:name="_Toc184313245"/>
      <w:bookmarkEnd w:id="366"/>
      <w:bookmarkStart w:id="367" w:name="_Toc184310319"/>
      <w:bookmarkEnd w:id="367"/>
      <w:bookmarkStart w:id="368" w:name="_Toc184308054"/>
      <w:bookmarkEnd w:id="368"/>
      <w:bookmarkStart w:id="369" w:name="_Toc184313305"/>
      <w:bookmarkEnd w:id="369"/>
      <w:bookmarkStart w:id="370" w:name="_Toc184312097"/>
      <w:bookmarkEnd w:id="370"/>
      <w:bookmarkStart w:id="371" w:name="_Toc184310296"/>
      <w:bookmarkEnd w:id="371"/>
      <w:bookmarkStart w:id="372" w:name="_Toc184308066"/>
      <w:bookmarkEnd w:id="372"/>
      <w:bookmarkStart w:id="373" w:name="_Toc184310290"/>
      <w:bookmarkEnd w:id="373"/>
      <w:bookmarkStart w:id="374" w:name="_Toc184312101"/>
      <w:bookmarkEnd w:id="374"/>
      <w:bookmarkStart w:id="375" w:name="_Toc184312069"/>
      <w:bookmarkEnd w:id="375"/>
      <w:bookmarkStart w:id="376" w:name="_Toc184314437"/>
      <w:bookmarkEnd w:id="376"/>
      <w:bookmarkStart w:id="377" w:name="_Toc184308055"/>
      <w:bookmarkEnd w:id="377"/>
      <w:bookmarkStart w:id="378" w:name="_Toc184312119"/>
      <w:bookmarkEnd w:id="378"/>
      <w:bookmarkStart w:id="379" w:name="_Toc184308086"/>
      <w:bookmarkEnd w:id="379"/>
      <w:bookmarkStart w:id="380" w:name="_Toc184308108"/>
      <w:bookmarkEnd w:id="380"/>
      <w:bookmarkStart w:id="381" w:name="_Toc184314425"/>
      <w:bookmarkEnd w:id="381"/>
      <w:bookmarkStart w:id="382" w:name="_Toc184314420"/>
      <w:bookmarkEnd w:id="382"/>
      <w:bookmarkStart w:id="383" w:name="_Toc184314432"/>
      <w:bookmarkEnd w:id="383"/>
      <w:bookmarkStart w:id="384" w:name="_Toc184308037"/>
      <w:bookmarkEnd w:id="384"/>
      <w:bookmarkStart w:id="385" w:name="_Toc184314454"/>
      <w:bookmarkEnd w:id="385"/>
      <w:bookmarkStart w:id="386" w:name="_Toc184312109"/>
      <w:bookmarkEnd w:id="386"/>
      <w:bookmarkStart w:id="387" w:name="_Toc184308095"/>
      <w:bookmarkEnd w:id="387"/>
      <w:bookmarkStart w:id="388" w:name="_Toc184312129"/>
      <w:bookmarkEnd w:id="388"/>
      <w:bookmarkStart w:id="389" w:name="_Toc184308073"/>
      <w:bookmarkEnd w:id="389"/>
      <w:bookmarkStart w:id="390" w:name="_Toc184308067"/>
      <w:bookmarkEnd w:id="390"/>
      <w:bookmarkStart w:id="391" w:name="_Toc184310314"/>
      <w:bookmarkEnd w:id="391"/>
      <w:bookmarkStart w:id="392" w:name="_Toc184312087"/>
      <w:bookmarkEnd w:id="392"/>
      <w:bookmarkStart w:id="393" w:name="_Toc184312112"/>
      <w:bookmarkEnd w:id="393"/>
      <w:bookmarkStart w:id="394" w:name="_Toc184310309"/>
      <w:bookmarkEnd w:id="394"/>
      <w:bookmarkStart w:id="395" w:name="_Toc184314419"/>
      <w:bookmarkEnd w:id="395"/>
      <w:bookmarkStart w:id="396" w:name="_Toc184314481"/>
      <w:bookmarkEnd w:id="396"/>
      <w:r>
        <w:rPr>
          <w:rFonts w:hint="eastAsia" w:ascii="宋体" w:hAnsi="宋体" w:cs="宋体"/>
          <w:b/>
          <w:color w:val="auto"/>
          <w:sz w:val="36"/>
          <w:szCs w:val="20"/>
          <w:highlight w:val="none"/>
        </w:rPr>
        <w:t xml:space="preserve"> 评审办法</w:t>
      </w:r>
    </w:p>
    <w:p w14:paraId="7B5E2C5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pPr w:leftFromText="180" w:rightFromText="180" w:vertAnchor="text" w:horzAnchor="page" w:tblpX="1031" w:tblpY="126"/>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34"/>
        <w:gridCol w:w="67"/>
        <w:gridCol w:w="5446"/>
        <w:gridCol w:w="1118"/>
        <w:gridCol w:w="1440"/>
      </w:tblGrid>
      <w:tr w14:paraId="2518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1" w:type="dxa"/>
            <w:vAlign w:val="center"/>
          </w:tcPr>
          <w:p w14:paraId="68864B07">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序号</w:t>
            </w:r>
          </w:p>
        </w:tc>
        <w:tc>
          <w:tcPr>
            <w:tcW w:w="6947" w:type="dxa"/>
            <w:gridSpan w:val="3"/>
            <w:vAlign w:val="center"/>
          </w:tcPr>
          <w:p w14:paraId="1A79D660">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评标标准</w:t>
            </w:r>
          </w:p>
        </w:tc>
        <w:tc>
          <w:tcPr>
            <w:tcW w:w="1118" w:type="dxa"/>
            <w:vAlign w:val="center"/>
          </w:tcPr>
          <w:p w14:paraId="76C21FD2">
            <w:pPr>
              <w:spacing w:line="360" w:lineRule="auto"/>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权重</w:t>
            </w:r>
          </w:p>
        </w:tc>
        <w:tc>
          <w:tcPr>
            <w:tcW w:w="1440" w:type="dxa"/>
          </w:tcPr>
          <w:p w14:paraId="55CF44C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目录</w:t>
            </w:r>
          </w:p>
        </w:tc>
      </w:tr>
      <w:tr w14:paraId="0739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1" w:type="dxa"/>
            <w:vAlign w:val="center"/>
          </w:tcPr>
          <w:p w14:paraId="53DD94D6">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6947" w:type="dxa"/>
            <w:gridSpan w:val="3"/>
            <w:vAlign w:val="center"/>
          </w:tcPr>
          <w:p w14:paraId="6004D128">
            <w:pPr>
              <w:spacing w:line="360" w:lineRule="auto"/>
              <w:jc w:val="left"/>
              <w:outlineLvl w:val="0"/>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投标人具有质量管理认证体系,具有环境管理认证体系，具有职业健康资格认证体系，有一项得1分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满分3分，没有则不得分。（投标文件中提供认证证书</w:t>
            </w:r>
            <w:r>
              <w:rPr>
                <w:rFonts w:hint="eastAsia" w:ascii="宋体" w:hAnsi="宋体" w:cs="宋体"/>
                <w:color w:val="auto"/>
                <w:kern w:val="0"/>
                <w:sz w:val="24"/>
                <w:szCs w:val="24"/>
                <w:highlight w:val="none"/>
                <w:lang w:eastAsia="zh-CN" w:bidi="ar"/>
              </w:rPr>
              <w:t>扫描</w:t>
            </w:r>
            <w:r>
              <w:rPr>
                <w:rFonts w:hint="eastAsia" w:ascii="宋体" w:hAnsi="宋体" w:eastAsia="宋体" w:cs="宋体"/>
                <w:color w:val="auto"/>
                <w:kern w:val="0"/>
                <w:sz w:val="24"/>
                <w:szCs w:val="24"/>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未提供或未查询为有效状态的不得分</w:t>
            </w:r>
            <w:r>
              <w:rPr>
                <w:rFonts w:hint="eastAsia" w:ascii="宋体" w:hAnsi="宋体" w:eastAsia="宋体" w:cs="宋体"/>
                <w:color w:val="auto"/>
                <w:kern w:val="0"/>
                <w:sz w:val="24"/>
                <w:szCs w:val="24"/>
                <w:highlight w:val="none"/>
                <w:lang w:bidi="ar"/>
              </w:rPr>
              <w:t>。</w:t>
            </w:r>
          </w:p>
        </w:tc>
        <w:tc>
          <w:tcPr>
            <w:tcW w:w="1118" w:type="dxa"/>
            <w:vAlign w:val="center"/>
          </w:tcPr>
          <w:p w14:paraId="135957D7">
            <w:pPr>
              <w:spacing w:line="360" w:lineRule="auto"/>
              <w:jc w:val="center"/>
              <w:outlineLvl w:val="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72A920CF">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4FA69116">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认证体系</w:t>
            </w:r>
          </w:p>
        </w:tc>
      </w:tr>
      <w:tr w14:paraId="05F1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61" w:type="dxa"/>
            <w:vAlign w:val="center"/>
          </w:tcPr>
          <w:p w14:paraId="536EA7AE">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6947" w:type="dxa"/>
            <w:gridSpan w:val="3"/>
            <w:vAlign w:val="center"/>
          </w:tcPr>
          <w:p w14:paraId="0329635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投标人自20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年0</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月以来（以</w:t>
            </w:r>
            <w:r>
              <w:rPr>
                <w:rFonts w:hint="eastAsia" w:ascii="宋体" w:hAnsi="宋体" w:cs="宋体"/>
                <w:color w:val="auto"/>
                <w:kern w:val="0"/>
                <w:sz w:val="24"/>
                <w:szCs w:val="24"/>
                <w:highlight w:val="none"/>
                <w:lang w:val="en-US" w:eastAsia="zh-CN" w:bidi="ar"/>
              </w:rPr>
              <w:t>竣工验收</w:t>
            </w:r>
            <w:r>
              <w:rPr>
                <w:rFonts w:hint="eastAsia" w:ascii="宋体" w:hAnsi="宋体" w:cs="宋体"/>
                <w:color w:val="auto"/>
                <w:kern w:val="0"/>
                <w:sz w:val="24"/>
                <w:szCs w:val="24"/>
                <w:highlight w:val="none"/>
                <w:lang w:bidi="ar"/>
              </w:rPr>
              <w:t>日期为准）承建过类似业绩，每提供一项业绩证明材料得</w:t>
            </w:r>
            <w:r>
              <w:rPr>
                <w:rFonts w:hint="eastAsia" w:ascii="宋体" w:hAnsi="宋体" w:cs="宋体"/>
                <w:color w:val="auto"/>
                <w:kern w:val="0"/>
                <w:sz w:val="24"/>
                <w:szCs w:val="24"/>
                <w:highlight w:val="none"/>
                <w:lang w:val="en-US" w:eastAsia="zh-CN" w:bidi="ar"/>
              </w:rPr>
              <w:t>0.3</w:t>
            </w:r>
            <w:r>
              <w:rPr>
                <w:rFonts w:hint="eastAsia" w:ascii="宋体" w:hAnsi="宋体" w:cs="宋体"/>
                <w:color w:val="auto"/>
                <w:kern w:val="0"/>
                <w:sz w:val="24"/>
                <w:szCs w:val="24"/>
                <w:highlight w:val="none"/>
                <w:lang w:bidi="ar"/>
              </w:rPr>
              <w:t>分，本项最高得</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分。</w:t>
            </w:r>
          </w:p>
          <w:p w14:paraId="7681BAEC">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合同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竣工验收证书或报告</w:t>
            </w:r>
            <w:r>
              <w:rPr>
                <w:rFonts w:hint="eastAsia" w:ascii="宋体" w:hAnsi="宋体" w:cs="宋体"/>
                <w:color w:val="auto"/>
                <w:kern w:val="0"/>
                <w:sz w:val="24"/>
                <w:szCs w:val="24"/>
                <w:highlight w:val="none"/>
                <w:lang w:bidi="ar"/>
              </w:rPr>
              <w:t>的扫描件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签字、盖章及日期内容须完整</w:t>
            </w:r>
            <w:r>
              <w:rPr>
                <w:rFonts w:hint="eastAsia" w:ascii="宋体" w:hAnsi="宋体" w:cs="宋体"/>
                <w:color w:val="auto"/>
                <w:kern w:val="0"/>
                <w:sz w:val="24"/>
                <w:szCs w:val="24"/>
                <w:highlight w:val="none"/>
                <w:lang w:val="en-US" w:eastAsia="zh-CN" w:bidi="ar"/>
              </w:rPr>
              <w:t>。未</w:t>
            </w:r>
            <w:r>
              <w:rPr>
                <w:rFonts w:hint="eastAsia" w:ascii="宋体" w:hAnsi="宋体" w:cs="宋体"/>
                <w:color w:val="auto"/>
                <w:kern w:val="0"/>
                <w:sz w:val="24"/>
                <w:szCs w:val="24"/>
                <w:highlight w:val="none"/>
                <w:lang w:bidi="ar"/>
              </w:rPr>
              <w:t>按要求提供完整证明材料的，不予得分】</w:t>
            </w:r>
          </w:p>
        </w:tc>
        <w:tc>
          <w:tcPr>
            <w:tcW w:w="1118" w:type="dxa"/>
            <w:vAlign w:val="center"/>
          </w:tcPr>
          <w:p w14:paraId="0542FF53">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1.5    （客观）</w:t>
            </w:r>
          </w:p>
        </w:tc>
        <w:tc>
          <w:tcPr>
            <w:tcW w:w="1440" w:type="dxa"/>
            <w:vAlign w:val="center"/>
          </w:tcPr>
          <w:p w14:paraId="77709C88">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企业</w:t>
            </w:r>
            <w:r>
              <w:rPr>
                <w:rFonts w:hint="eastAsia" w:ascii="宋体" w:hAnsi="宋体" w:cs="宋体"/>
                <w:color w:val="auto"/>
                <w:kern w:val="0"/>
                <w:sz w:val="24"/>
                <w:szCs w:val="24"/>
                <w:highlight w:val="none"/>
                <w:lang w:bidi="ar"/>
              </w:rPr>
              <w:t>业绩</w:t>
            </w:r>
          </w:p>
        </w:tc>
      </w:tr>
      <w:tr w14:paraId="6231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61" w:type="dxa"/>
            <w:vAlign w:val="center"/>
          </w:tcPr>
          <w:p w14:paraId="75F3EAF5">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6947" w:type="dxa"/>
            <w:gridSpan w:val="3"/>
            <w:vAlign w:val="center"/>
          </w:tcPr>
          <w:p w14:paraId="2E9FDBBE">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拟派项目负责人具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的得5分。</w:t>
            </w:r>
          </w:p>
          <w:p w14:paraId="40B3BA59">
            <w:pPr>
              <w:pStyle w:val="46"/>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0698E9B9">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049D471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restart"/>
            <w:vAlign w:val="center"/>
          </w:tcPr>
          <w:p w14:paraId="424F497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项目组人员配置</w:t>
            </w:r>
          </w:p>
        </w:tc>
      </w:tr>
      <w:tr w14:paraId="6605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61" w:type="dxa"/>
            <w:vAlign w:val="center"/>
          </w:tcPr>
          <w:p w14:paraId="4C16850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4</w:t>
            </w:r>
          </w:p>
        </w:tc>
        <w:tc>
          <w:tcPr>
            <w:tcW w:w="6947" w:type="dxa"/>
            <w:gridSpan w:val="3"/>
            <w:vAlign w:val="center"/>
          </w:tcPr>
          <w:p w14:paraId="3AD897A8">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w:t>
            </w:r>
            <w:r>
              <w:rPr>
                <w:rFonts w:hint="eastAsia" w:ascii="宋体" w:hAnsi="宋体" w:cs="宋体"/>
                <w:color w:val="auto"/>
                <w:kern w:val="0"/>
                <w:sz w:val="24"/>
                <w:szCs w:val="24"/>
                <w:highlight w:val="none"/>
                <w:lang w:val="en-US" w:eastAsia="zh-CN" w:bidi="ar"/>
              </w:rPr>
              <w:t>技术</w:t>
            </w:r>
            <w:r>
              <w:rPr>
                <w:rFonts w:hint="eastAsia" w:ascii="宋体" w:hAnsi="宋体" w:cs="宋体"/>
                <w:color w:val="auto"/>
                <w:kern w:val="0"/>
                <w:sz w:val="24"/>
                <w:szCs w:val="24"/>
                <w:highlight w:val="none"/>
                <w:lang w:bidi="ar"/>
              </w:rPr>
              <w:t>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的得5分。</w:t>
            </w:r>
          </w:p>
          <w:p w14:paraId="700E0EF2">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096C1033">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43839B5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2F517DD9">
            <w:pPr>
              <w:snapToGrid w:val="0"/>
              <w:spacing w:line="360" w:lineRule="auto"/>
              <w:jc w:val="center"/>
              <w:rPr>
                <w:rFonts w:ascii="宋体" w:hAnsi="宋体" w:cs="宋体"/>
                <w:color w:val="auto"/>
                <w:kern w:val="0"/>
                <w:sz w:val="24"/>
                <w:szCs w:val="24"/>
                <w:highlight w:val="none"/>
                <w:lang w:bidi="ar"/>
              </w:rPr>
            </w:pPr>
          </w:p>
        </w:tc>
      </w:tr>
      <w:tr w14:paraId="026F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1" w:type="dxa"/>
            <w:vAlign w:val="center"/>
          </w:tcPr>
          <w:p w14:paraId="12945FC1">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6947" w:type="dxa"/>
            <w:gridSpan w:val="3"/>
            <w:vAlign w:val="center"/>
          </w:tcPr>
          <w:p w14:paraId="7A7E5D67">
            <w:pPr>
              <w:widowControl/>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拟投入本项目的专职安全员具有施工企业全生产管理人员安全生产考核合格证书（三类人员C证）得</w:t>
            </w: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bidi="ar"/>
              </w:rPr>
              <w:t>分；</w:t>
            </w:r>
          </w:p>
          <w:p w14:paraId="3DCC04B4">
            <w:pPr>
              <w:widowControl/>
              <w:spacing w:line="360" w:lineRule="auto"/>
              <w:jc w:val="left"/>
              <w:rPr>
                <w:rFonts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【提供有效</w:t>
            </w:r>
            <w:r>
              <w:rPr>
                <w:rFonts w:hint="eastAsia" w:ascii="宋体" w:hAnsi="宋体" w:cs="宋体"/>
                <w:color w:val="auto"/>
                <w:kern w:val="0"/>
                <w:sz w:val="24"/>
                <w:szCs w:val="24"/>
                <w:highlight w:val="none"/>
                <w:lang w:bidi="ar"/>
              </w:rPr>
              <w:t>安全生产考核合格证书（三类人员C证）</w:t>
            </w:r>
            <w:r>
              <w:rPr>
                <w:rFonts w:hint="eastAsia" w:ascii="宋体" w:hAnsi="宋体" w:eastAsia="宋体" w:cs="宋体"/>
                <w:color w:val="auto"/>
                <w:kern w:val="0"/>
                <w:sz w:val="24"/>
                <w:szCs w:val="24"/>
                <w:highlight w:val="none"/>
                <w:lang w:val="en-US" w:eastAsia="zh-CN" w:bidi="ar"/>
              </w:rPr>
              <w:t>扫描件</w:t>
            </w:r>
            <w:r>
              <w:rPr>
                <w:rFonts w:hint="eastAsia" w:ascii="宋体" w:hAnsi="宋体" w:eastAsia="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7F05FF2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w:t>
            </w:r>
          </w:p>
          <w:p w14:paraId="7B70F23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452A8BA0">
            <w:pPr>
              <w:snapToGrid w:val="0"/>
              <w:spacing w:line="360" w:lineRule="auto"/>
              <w:jc w:val="center"/>
              <w:rPr>
                <w:rFonts w:ascii="宋体" w:hAnsi="宋体" w:cs="宋体"/>
                <w:color w:val="auto"/>
                <w:kern w:val="0"/>
                <w:sz w:val="24"/>
                <w:szCs w:val="24"/>
                <w:highlight w:val="none"/>
                <w:lang w:bidi="ar"/>
              </w:rPr>
            </w:pPr>
          </w:p>
        </w:tc>
      </w:tr>
      <w:tr w14:paraId="424D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1" w:type="dxa"/>
            <w:vMerge w:val="restart"/>
            <w:vAlign w:val="center"/>
          </w:tcPr>
          <w:p w14:paraId="11FD4A54">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1501" w:type="dxa"/>
            <w:gridSpan w:val="2"/>
            <w:vMerge w:val="restart"/>
            <w:vAlign w:val="center"/>
          </w:tcPr>
          <w:p w14:paraId="4731298F">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施工方案总体情况评价</w:t>
            </w:r>
          </w:p>
        </w:tc>
        <w:tc>
          <w:tcPr>
            <w:tcW w:w="5446" w:type="dxa"/>
            <w:vAlign w:val="center"/>
          </w:tcPr>
          <w:p w14:paraId="0C3F796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方案内容全面、合理、条理清晰，涵盖本次工程实施有关的内容，且具有针对性得5分，方案内容</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全面合理得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分，方案内容基本合理，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满足采购需求得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分，方案内容有提及得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1118" w:type="dxa"/>
            <w:vAlign w:val="center"/>
          </w:tcPr>
          <w:p w14:paraId="7A77A40E">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0C03314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4106D1F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w:t>
            </w:r>
          </w:p>
        </w:tc>
      </w:tr>
      <w:tr w14:paraId="010C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1" w:type="dxa"/>
            <w:vMerge w:val="continue"/>
            <w:vAlign w:val="center"/>
          </w:tcPr>
          <w:p w14:paraId="670C4232">
            <w:pPr>
              <w:spacing w:line="360" w:lineRule="auto"/>
              <w:jc w:val="center"/>
              <w:rPr>
                <w:rFonts w:ascii="宋体" w:hAnsi="宋体" w:cs="宋体"/>
                <w:color w:val="auto"/>
                <w:kern w:val="0"/>
                <w:sz w:val="24"/>
                <w:szCs w:val="24"/>
                <w:highlight w:val="none"/>
                <w:lang w:bidi="ar"/>
              </w:rPr>
            </w:pPr>
          </w:p>
        </w:tc>
        <w:tc>
          <w:tcPr>
            <w:tcW w:w="1501" w:type="dxa"/>
            <w:gridSpan w:val="2"/>
            <w:vMerge w:val="continue"/>
            <w:vAlign w:val="center"/>
          </w:tcPr>
          <w:p w14:paraId="4F932DD5">
            <w:pPr>
              <w:spacing w:line="360" w:lineRule="auto"/>
              <w:jc w:val="left"/>
              <w:rPr>
                <w:rFonts w:ascii="宋体" w:hAnsi="宋体" w:cs="宋体"/>
                <w:color w:val="auto"/>
                <w:kern w:val="0"/>
                <w:sz w:val="24"/>
                <w:szCs w:val="24"/>
                <w:highlight w:val="none"/>
                <w:lang w:bidi="ar"/>
              </w:rPr>
            </w:pPr>
          </w:p>
        </w:tc>
        <w:tc>
          <w:tcPr>
            <w:tcW w:w="5446" w:type="dxa"/>
            <w:vAlign w:val="center"/>
          </w:tcPr>
          <w:p w14:paraId="6F6C6BB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针对本项目施工环境需要采取的专门的施工技术内容科学合理，针对性强的得5分；措施内容基本合理，针对性较强得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。内容缺失严重不得分。</w:t>
            </w:r>
          </w:p>
        </w:tc>
        <w:tc>
          <w:tcPr>
            <w:tcW w:w="1118" w:type="dxa"/>
            <w:vAlign w:val="center"/>
          </w:tcPr>
          <w:p w14:paraId="0F62C39C">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50E39AA4">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520830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施工技术</w:t>
            </w:r>
          </w:p>
        </w:tc>
      </w:tr>
      <w:tr w14:paraId="068A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1" w:type="dxa"/>
            <w:vMerge w:val="continue"/>
            <w:vAlign w:val="center"/>
          </w:tcPr>
          <w:p w14:paraId="5B3F060B">
            <w:pPr>
              <w:spacing w:line="360" w:lineRule="auto"/>
              <w:jc w:val="center"/>
              <w:rPr>
                <w:rFonts w:ascii="宋体" w:hAnsi="宋体" w:cs="宋体"/>
                <w:color w:val="auto"/>
                <w:kern w:val="0"/>
                <w:sz w:val="24"/>
                <w:szCs w:val="24"/>
                <w:highlight w:val="none"/>
                <w:lang w:bidi="ar"/>
              </w:rPr>
            </w:pPr>
          </w:p>
        </w:tc>
        <w:tc>
          <w:tcPr>
            <w:tcW w:w="1501" w:type="dxa"/>
            <w:gridSpan w:val="2"/>
            <w:vMerge w:val="continue"/>
            <w:vAlign w:val="center"/>
          </w:tcPr>
          <w:p w14:paraId="037FE2F6">
            <w:pPr>
              <w:spacing w:line="360" w:lineRule="auto"/>
              <w:jc w:val="left"/>
              <w:rPr>
                <w:rFonts w:ascii="宋体" w:hAnsi="宋体" w:cs="宋体"/>
                <w:color w:val="auto"/>
                <w:kern w:val="0"/>
                <w:sz w:val="24"/>
                <w:szCs w:val="24"/>
                <w:highlight w:val="none"/>
                <w:lang w:bidi="ar"/>
              </w:rPr>
            </w:pPr>
          </w:p>
        </w:tc>
        <w:tc>
          <w:tcPr>
            <w:tcW w:w="5446" w:type="dxa"/>
            <w:vAlign w:val="center"/>
          </w:tcPr>
          <w:p w14:paraId="5C578E5D">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分。内容缺失严重不得分。</w:t>
            </w:r>
          </w:p>
        </w:tc>
        <w:tc>
          <w:tcPr>
            <w:tcW w:w="1118" w:type="dxa"/>
            <w:vAlign w:val="center"/>
          </w:tcPr>
          <w:p w14:paraId="6811332C">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73795EAC">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4EA7DC2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w:t>
            </w:r>
          </w:p>
        </w:tc>
      </w:tr>
      <w:tr w14:paraId="1FA0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5AD21D96">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7</w:t>
            </w:r>
          </w:p>
        </w:tc>
        <w:tc>
          <w:tcPr>
            <w:tcW w:w="6947" w:type="dxa"/>
            <w:gridSpan w:val="3"/>
            <w:vAlign w:val="center"/>
          </w:tcPr>
          <w:p w14:paraId="449FD44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投标人针对本项目施工重点难点分析到位，针对性强的得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分，施工重点难度内容分析</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分，施工重点难度内容分析基本合理得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w:t>
            </w:r>
            <w:r>
              <w:rPr>
                <w:rFonts w:hint="eastAsia" w:ascii="宋体" w:hAnsi="宋体" w:cs="宋体"/>
                <w:color w:val="auto"/>
                <w:kern w:val="0"/>
                <w:sz w:val="24"/>
                <w:szCs w:val="24"/>
                <w:highlight w:val="none"/>
                <w:lang w:bidi="ar"/>
              </w:rPr>
              <w:t>内容一般有提及得1分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内容缺失严重不得分。</w:t>
            </w:r>
          </w:p>
        </w:tc>
        <w:tc>
          <w:tcPr>
            <w:tcW w:w="1118" w:type="dxa"/>
            <w:vAlign w:val="center"/>
          </w:tcPr>
          <w:p w14:paraId="112D5B0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21F0C91">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5FC1D">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施工重点难点分析</w:t>
            </w:r>
          </w:p>
        </w:tc>
      </w:tr>
      <w:tr w14:paraId="25A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6E80BF9F">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8</w:t>
            </w:r>
          </w:p>
        </w:tc>
        <w:tc>
          <w:tcPr>
            <w:tcW w:w="6947" w:type="dxa"/>
            <w:gridSpan w:val="3"/>
            <w:vAlign w:val="center"/>
          </w:tcPr>
          <w:p w14:paraId="41FC4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2AE1C209">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287FED68">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2B7CCAB">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w:t>
            </w:r>
          </w:p>
        </w:tc>
      </w:tr>
      <w:tr w14:paraId="7100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1" w:type="dxa"/>
            <w:vMerge w:val="restart"/>
            <w:vAlign w:val="center"/>
          </w:tcPr>
          <w:p w14:paraId="1A4AB4A8">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9</w:t>
            </w:r>
          </w:p>
        </w:tc>
        <w:tc>
          <w:tcPr>
            <w:tcW w:w="1434" w:type="dxa"/>
            <w:vMerge w:val="restart"/>
            <w:vAlign w:val="center"/>
          </w:tcPr>
          <w:p w14:paraId="19F52F0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5513" w:type="dxa"/>
            <w:gridSpan w:val="2"/>
            <w:vAlign w:val="center"/>
          </w:tcPr>
          <w:p w14:paraId="37BBDEA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施工方案内容科学合理，主要分部施工方法符合项目实际针对性强得4分，方案内容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合理得3分，方案内容基本合理，</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满足采购需求得2分，方案内容有提及得1分。严重缺失不得分。</w:t>
            </w:r>
          </w:p>
        </w:tc>
        <w:tc>
          <w:tcPr>
            <w:tcW w:w="1118" w:type="dxa"/>
            <w:vAlign w:val="center"/>
          </w:tcPr>
          <w:p w14:paraId="57636AF1">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5F7D505A">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327C7B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r>
      <w:tr w14:paraId="404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1" w:type="dxa"/>
            <w:vMerge w:val="continue"/>
            <w:vAlign w:val="center"/>
          </w:tcPr>
          <w:p w14:paraId="55690D68">
            <w:pPr>
              <w:spacing w:line="360" w:lineRule="auto"/>
              <w:jc w:val="center"/>
              <w:rPr>
                <w:rFonts w:ascii="宋体" w:hAnsi="宋体" w:cs="宋体"/>
                <w:color w:val="auto"/>
                <w:kern w:val="0"/>
                <w:sz w:val="24"/>
                <w:szCs w:val="24"/>
                <w:highlight w:val="none"/>
                <w:lang w:bidi="ar"/>
              </w:rPr>
            </w:pPr>
          </w:p>
        </w:tc>
        <w:tc>
          <w:tcPr>
            <w:tcW w:w="1434" w:type="dxa"/>
            <w:vMerge w:val="continue"/>
            <w:vAlign w:val="center"/>
          </w:tcPr>
          <w:p w14:paraId="1C5FF04F">
            <w:pPr>
              <w:spacing w:line="360" w:lineRule="auto"/>
              <w:jc w:val="left"/>
              <w:rPr>
                <w:rFonts w:ascii="宋体" w:hAnsi="宋体" w:cs="宋体"/>
                <w:color w:val="auto"/>
                <w:kern w:val="0"/>
                <w:sz w:val="24"/>
                <w:szCs w:val="24"/>
                <w:highlight w:val="none"/>
                <w:lang w:bidi="ar"/>
              </w:rPr>
            </w:pPr>
          </w:p>
        </w:tc>
        <w:tc>
          <w:tcPr>
            <w:tcW w:w="5513" w:type="dxa"/>
            <w:gridSpan w:val="2"/>
            <w:vAlign w:val="center"/>
          </w:tcPr>
          <w:p w14:paraId="424EB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6DBCAF92">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7CB03CB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F2535C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w:t>
            </w:r>
          </w:p>
        </w:tc>
      </w:tr>
      <w:tr w14:paraId="322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422C8E46">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6947" w:type="dxa"/>
            <w:gridSpan w:val="3"/>
            <w:vAlign w:val="center"/>
          </w:tcPr>
          <w:p w14:paraId="6F2F38F9">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施工质量目标明确，质量控制措施科学、合理，且有技术支撑的得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分，质量措施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分，质量措施基本合理得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质量措施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6647932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11EC6AEF">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2AE5ED1">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质量控制措施</w:t>
            </w:r>
          </w:p>
        </w:tc>
      </w:tr>
      <w:tr w14:paraId="0BEF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1EAF3CC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6947" w:type="dxa"/>
            <w:gridSpan w:val="3"/>
            <w:vAlign w:val="center"/>
          </w:tcPr>
          <w:p w14:paraId="509448E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安全、环保、消防等的保证措施科学、合理、到位的得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515332F8">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5F755AB">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2B26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w:t>
            </w:r>
          </w:p>
        </w:tc>
      </w:tr>
      <w:tr w14:paraId="0442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16A5309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6947" w:type="dxa"/>
            <w:gridSpan w:val="3"/>
            <w:vAlign w:val="center"/>
          </w:tcPr>
          <w:p w14:paraId="73D16B1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施工机具和检验仪器的投入</w:t>
            </w:r>
            <w:r>
              <w:rPr>
                <w:rFonts w:hint="eastAsia" w:ascii="宋体" w:hAnsi="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bidi="ar"/>
              </w:rPr>
              <w:t>工程</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实施的需要，且与项目相适应针对性强得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分，施工机具和检验仪器的投入满足工程实施需求且针对性</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分，施工机具和检验仪器的投入基本满足工程实施需求得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1A0344AD">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4117F243">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BB2182A">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w:t>
            </w:r>
          </w:p>
        </w:tc>
      </w:tr>
      <w:tr w14:paraId="60F9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6C982D13">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6947" w:type="dxa"/>
            <w:gridSpan w:val="3"/>
            <w:vAlign w:val="center"/>
          </w:tcPr>
          <w:p w14:paraId="6CB3CFDB">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具有详细的</w:t>
            </w: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计划且计划周密，质量控制</w:t>
            </w:r>
            <w:r>
              <w:rPr>
                <w:rFonts w:hint="eastAsia" w:ascii="宋体" w:hAnsi="宋体" w:cs="宋体"/>
                <w:color w:val="auto"/>
                <w:kern w:val="0"/>
                <w:sz w:val="24"/>
                <w:szCs w:val="24"/>
                <w:highlight w:val="none"/>
                <w:lang w:eastAsia="zh-CN" w:bidi="ar"/>
              </w:rPr>
              <w:t>合理</w:t>
            </w:r>
            <w:r>
              <w:rPr>
                <w:rFonts w:hint="eastAsia" w:ascii="宋体" w:hAnsi="宋体" w:cs="宋体"/>
                <w:color w:val="auto"/>
                <w:kern w:val="0"/>
                <w:sz w:val="24"/>
                <w:szCs w:val="24"/>
                <w:highlight w:val="none"/>
                <w:lang w:bidi="ar"/>
              </w:rPr>
              <w:t>，时间安排合理，满足施工需要，合理得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较合理得</w:t>
            </w:r>
            <w:r>
              <w:rPr>
                <w:rFonts w:hint="eastAsia" w:ascii="宋体" w:hAnsi="宋体" w:cs="宋体"/>
                <w:color w:val="auto"/>
                <w:kern w:val="0"/>
                <w:sz w:val="24"/>
                <w:szCs w:val="24"/>
                <w:highlight w:val="none"/>
                <w:lang w:val="en-US" w:eastAsia="zh-CN" w:bidi="ar"/>
              </w:rPr>
              <w:t>4分，</w:t>
            </w:r>
            <w:r>
              <w:rPr>
                <w:rFonts w:hint="eastAsia" w:ascii="宋体" w:hAnsi="宋体" w:cs="宋体"/>
                <w:color w:val="auto"/>
                <w:kern w:val="0"/>
                <w:sz w:val="24"/>
                <w:szCs w:val="24"/>
                <w:highlight w:val="none"/>
                <w:lang w:eastAsia="zh-CN" w:bidi="ar"/>
              </w:rPr>
              <w:t>基本满足要求得</w:t>
            </w:r>
            <w:r>
              <w:rPr>
                <w:rFonts w:hint="eastAsia" w:ascii="宋体" w:hAnsi="宋体" w:cs="宋体"/>
                <w:color w:val="auto"/>
                <w:kern w:val="0"/>
                <w:sz w:val="24"/>
                <w:szCs w:val="24"/>
                <w:highlight w:val="none"/>
                <w:lang w:val="en-US" w:eastAsia="zh-CN" w:bidi="ar"/>
              </w:rPr>
              <w:t>3分，</w:t>
            </w:r>
            <w:r>
              <w:rPr>
                <w:rFonts w:hint="eastAsia" w:ascii="宋体" w:hAnsi="宋体" w:cs="宋体"/>
                <w:color w:val="auto"/>
                <w:kern w:val="0"/>
                <w:sz w:val="24"/>
                <w:szCs w:val="24"/>
                <w:highlight w:val="none"/>
                <w:lang w:bidi="ar"/>
              </w:rPr>
              <w:t>较差的得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分，未提供材料设备进场计划及施工计划的不得分。</w:t>
            </w:r>
          </w:p>
        </w:tc>
        <w:tc>
          <w:tcPr>
            <w:tcW w:w="1118" w:type="dxa"/>
            <w:vAlign w:val="center"/>
          </w:tcPr>
          <w:p w14:paraId="62564ED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    （主观）</w:t>
            </w:r>
          </w:p>
        </w:tc>
        <w:tc>
          <w:tcPr>
            <w:tcW w:w="1440" w:type="dxa"/>
            <w:vAlign w:val="center"/>
          </w:tcPr>
          <w:p w14:paraId="5F42E4C7">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w:t>
            </w:r>
          </w:p>
        </w:tc>
      </w:tr>
      <w:tr w14:paraId="0512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4C79B5C5">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6947" w:type="dxa"/>
            <w:gridSpan w:val="3"/>
            <w:vAlign w:val="center"/>
          </w:tcPr>
          <w:p w14:paraId="05C5CB23">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拟选用的塑胶面层材料符合GB36246-2018《中小学合成材料面层运动场地》标准，提供国家认可的第三方检测单位出具的合格检测报告，检测项目必须包含耐人工气候老化性能、气味等级、有害物质限量、有害物质释放量，检测结果全部为合格得5分。</w:t>
            </w:r>
          </w:p>
        </w:tc>
        <w:tc>
          <w:tcPr>
            <w:tcW w:w="1118" w:type="dxa"/>
            <w:vAlign w:val="center"/>
          </w:tcPr>
          <w:p w14:paraId="47FD7B4C">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365E9AB0">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39CCDAA3">
            <w:pPr>
              <w:snapToGrid w:val="0"/>
              <w:spacing w:line="360" w:lineRule="auto"/>
              <w:jc w:val="center"/>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塑胶面层材料检测报告</w:t>
            </w:r>
          </w:p>
        </w:tc>
      </w:tr>
      <w:tr w14:paraId="249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1" w:type="dxa"/>
            <w:vAlign w:val="center"/>
          </w:tcPr>
          <w:p w14:paraId="41AECF7A">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6947" w:type="dxa"/>
            <w:gridSpan w:val="3"/>
          </w:tcPr>
          <w:p w14:paraId="5BD1EA7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有效投标报价的最低价作为评标基准价，其最低报价为满分；按［投标报价得分=（评标基准价/投标最后报价）*30］的计算公式计算。</w:t>
            </w:r>
          </w:p>
          <w:p w14:paraId="639099B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评标过程中，不得去掉报价中的最高报价和最低报价。</w:t>
            </w:r>
          </w:p>
          <w:p w14:paraId="3091F31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因落实政府采购政策需要进行价格调整的，以调整后的价格计算评标基准价和投标报价。</w:t>
            </w:r>
          </w:p>
        </w:tc>
        <w:tc>
          <w:tcPr>
            <w:tcW w:w="1118" w:type="dxa"/>
            <w:vAlign w:val="center"/>
          </w:tcPr>
          <w:p w14:paraId="67A8EC1A">
            <w:pPr>
              <w:spacing w:line="360" w:lineRule="auto"/>
              <w:ind w:firstLine="120" w:firstLineChars="50"/>
              <w:jc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30</w:t>
            </w:r>
          </w:p>
        </w:tc>
        <w:tc>
          <w:tcPr>
            <w:tcW w:w="1440" w:type="dxa"/>
            <w:vAlign w:val="center"/>
          </w:tcPr>
          <w:p w14:paraId="0F5567C9">
            <w:pPr>
              <w:snapToGrid w:val="0"/>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p>
        </w:tc>
      </w:tr>
    </w:tbl>
    <w:p w14:paraId="5756B4C5">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14:paraId="1725CD46">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bCs/>
          <w:color w:val="FF0000"/>
          <w:sz w:val="24"/>
          <w:szCs w:val="24"/>
          <w:highlight w:val="none"/>
        </w:rPr>
        <w:t>特别说明：</w:t>
      </w:r>
      <w:r>
        <w:rPr>
          <w:rFonts w:hint="eastAsia" w:ascii="宋体" w:hAnsi="宋体" w:cs="宋体"/>
          <w:b/>
          <w:bCs/>
          <w:color w:val="FF0000"/>
          <w:sz w:val="24"/>
          <w:szCs w:val="24"/>
          <w:highlight w:val="none"/>
          <w:lang w:val="en-US" w:eastAsia="zh-CN"/>
        </w:rPr>
        <w:t>依据</w:t>
      </w:r>
      <w:r>
        <w:rPr>
          <w:rFonts w:hint="eastAsia" w:ascii="宋体" w:hAnsi="宋体" w:cs="宋体"/>
          <w:b/>
          <w:bCs/>
          <w:color w:val="FF0000"/>
          <w:sz w:val="24"/>
          <w:szCs w:val="24"/>
          <w:highlight w:val="none"/>
        </w:rPr>
        <w:t>浙江省财政厅关于进一步规范政府采购秩序促进公平竞争的通知（浙财采监〔2025]2号）</w:t>
      </w:r>
      <w:r>
        <w:rPr>
          <w:rFonts w:hint="eastAsia" w:ascii="宋体" w:hAnsi="宋体" w:cs="宋体"/>
          <w:b/>
          <w:bCs/>
          <w:color w:val="FF0000"/>
          <w:sz w:val="24"/>
          <w:szCs w:val="24"/>
          <w:highlight w:val="none"/>
          <w:lang w:val="en-US" w:eastAsia="zh-CN"/>
        </w:rPr>
        <w:t>要求，</w:t>
      </w:r>
      <w:r>
        <w:rPr>
          <w:rFonts w:hint="eastAsia" w:ascii="宋体" w:hAnsi="宋体" w:cs="宋体"/>
          <w:b/>
          <w:bCs/>
          <w:color w:val="FF0000"/>
          <w:sz w:val="24"/>
          <w:szCs w:val="24"/>
          <w:highlight w:val="none"/>
        </w:rPr>
        <w:t>在</w:t>
      </w:r>
      <w:r>
        <w:rPr>
          <w:rFonts w:hint="eastAsia" w:ascii="宋体" w:hAnsi="宋体" w:cs="宋体"/>
          <w:b/>
          <w:bCs/>
          <w:color w:val="FF0000"/>
          <w:sz w:val="24"/>
          <w:szCs w:val="24"/>
          <w:highlight w:val="none"/>
          <w:lang w:val="en-US" w:eastAsia="zh-CN"/>
        </w:rPr>
        <w:t>本项目</w:t>
      </w:r>
      <w:r>
        <w:rPr>
          <w:rFonts w:hint="eastAsia" w:ascii="宋体" w:hAnsi="宋体" w:cs="宋体"/>
          <w:b/>
          <w:bCs/>
          <w:color w:val="FF0000"/>
          <w:sz w:val="24"/>
          <w:szCs w:val="24"/>
          <w:highlight w:val="none"/>
        </w:rPr>
        <w:t>评审结束后、合同签订前，中标(成交)供应商需提供投标(响应)文件中涉及客观分评审内容的检测报告、认证证书等</w:t>
      </w:r>
      <w:r>
        <w:rPr>
          <w:rFonts w:hint="eastAsia" w:ascii="宋体" w:hAnsi="宋体" w:cs="宋体"/>
          <w:b/>
          <w:bCs/>
          <w:color w:val="FF0000"/>
          <w:sz w:val="24"/>
          <w:szCs w:val="24"/>
          <w:highlight w:val="none"/>
          <w:lang w:val="en-US" w:eastAsia="zh-CN"/>
        </w:rPr>
        <w:t>所有</w:t>
      </w:r>
      <w:r>
        <w:rPr>
          <w:rFonts w:hint="eastAsia" w:ascii="宋体" w:hAnsi="宋体" w:cs="宋体"/>
          <w:b/>
          <w:bCs/>
          <w:color w:val="FF0000"/>
          <w:sz w:val="24"/>
          <w:szCs w:val="24"/>
          <w:highlight w:val="none"/>
        </w:rPr>
        <w:t>资料</w:t>
      </w:r>
      <w:r>
        <w:rPr>
          <w:rFonts w:hint="eastAsia" w:ascii="宋体" w:hAnsi="宋体" w:cs="宋体"/>
          <w:b/>
          <w:bCs/>
          <w:color w:val="FF0000"/>
          <w:sz w:val="24"/>
          <w:szCs w:val="24"/>
          <w:highlight w:val="none"/>
          <w:lang w:val="en-US" w:eastAsia="zh-CN"/>
        </w:rPr>
        <w:t>的原件</w:t>
      </w:r>
      <w:r>
        <w:rPr>
          <w:rFonts w:hint="eastAsia" w:ascii="宋体" w:hAnsi="宋体" w:cs="宋体"/>
          <w:b/>
          <w:bCs/>
          <w:color w:val="FF0000"/>
          <w:sz w:val="24"/>
          <w:szCs w:val="24"/>
          <w:highlight w:val="none"/>
        </w:rPr>
        <w:t>给采购人进行核查；提供的资料若有虚假，一经查实，报告本级财政部门</w:t>
      </w:r>
      <w:r>
        <w:rPr>
          <w:rFonts w:hint="eastAsia" w:ascii="宋体" w:hAnsi="宋体" w:cs="宋体"/>
          <w:b/>
          <w:bCs/>
          <w:color w:val="FF0000"/>
          <w:sz w:val="24"/>
          <w:szCs w:val="24"/>
          <w:highlight w:val="none"/>
          <w:lang w:val="en-US" w:eastAsia="zh-CN"/>
        </w:rPr>
        <w:t>处理</w:t>
      </w:r>
      <w:r>
        <w:rPr>
          <w:rFonts w:hint="eastAsia" w:ascii="宋体" w:hAnsi="宋体" w:cs="宋体"/>
          <w:b/>
          <w:bCs/>
          <w:color w:val="FF0000"/>
          <w:sz w:val="24"/>
          <w:szCs w:val="24"/>
          <w:highlight w:val="none"/>
          <w:lang w:eastAsia="zh-CN"/>
        </w:rPr>
        <w:t>。</w:t>
      </w:r>
      <w:r>
        <w:rPr>
          <w:rFonts w:hint="eastAsia" w:ascii="宋体" w:hAnsi="宋体" w:cs="宋体"/>
          <w:color w:val="auto"/>
          <w:sz w:val="24"/>
          <w:szCs w:val="24"/>
          <w:highlight w:val="none"/>
        </w:rPr>
        <w:t> </w:t>
      </w:r>
    </w:p>
    <w:p w14:paraId="2B3FC30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一、评审方法</w:t>
      </w:r>
    </w:p>
    <w:p w14:paraId="542AB6E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AB34DC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178803F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40AD4E1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1BDC65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36A5EA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312380A">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逐家磋商一次为一个轮次，磋商轮次根据实际情况进行（本项目磋商轮次为二轮报价即为最终报价）。</w:t>
      </w:r>
    </w:p>
    <w:p w14:paraId="40757EE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DC4C5B1">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5703AA7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7B8BD6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E42C20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F1DFD23">
      <w:pPr>
        <w:pStyle w:val="133"/>
        <w:spacing w:before="0"/>
        <w:ind w:firstLine="480"/>
        <w:rPr>
          <w:rFonts w:asciiTheme="minorEastAsia" w:hAnsiTheme="minorEastAsia" w:eastAsiaTheme="minorEastAsia"/>
          <w:color w:val="auto"/>
          <w:szCs w:val="24"/>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已提交响应文件的供应商，在提交最后报价之前，可以根据磋商情况退出磋商</w:t>
      </w:r>
      <w:r>
        <w:rPr>
          <w:rFonts w:hint="eastAsia" w:ascii="宋体" w:hAnsi="宋体" w:cs="宋体"/>
          <w:color w:val="auto"/>
          <w:kern w:val="0"/>
          <w:sz w:val="24"/>
          <w:highlight w:val="none"/>
          <w:lang w:eastAsia="zh-CN"/>
        </w:rPr>
        <w:t>。</w:t>
      </w:r>
      <w:r>
        <w:rPr>
          <w:rFonts w:hint="eastAsia" w:asciiTheme="minorEastAsia" w:hAnsiTheme="minorEastAsia" w:eastAsiaTheme="minorEastAsia"/>
          <w:color w:val="auto"/>
          <w:szCs w:val="24"/>
        </w:rPr>
        <w:t>如供应商未按磋商小组的要求在规定的时间内提交最后报价的，视为退出磋商。</w:t>
      </w:r>
    </w:p>
    <w:p w14:paraId="7D0F95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CC3C98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CB98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D01D7E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175EBBF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B09448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DC749C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182C3FF6">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CD7E17E">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14:paraId="3CF8AB35">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87C0B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1C3AA86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23F01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55B3D87">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3</w:t>
      </w:r>
      <w:r>
        <w:rPr>
          <w:rFonts w:hint="eastAsia" w:ascii="宋体" w:hAnsi="宋体" w:cs="宋体"/>
          <w:kern w:val="0"/>
          <w:sz w:val="24"/>
          <w:lang w:val="en" w:eastAsia="zh-CN"/>
        </w:rPr>
        <w:t>。</w:t>
      </w:r>
    </w:p>
    <w:p w14:paraId="4C1B7BD6">
      <w:pPr>
        <w:spacing w:line="360" w:lineRule="auto"/>
        <w:ind w:firstLine="472" w:firstLineChars="196"/>
        <w:rPr>
          <w:color w:val="auto"/>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89919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046BBA22">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8F62A1">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395C198E">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103A715A">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4.2.2响应文件未按照采购文件要求签署、盖章的；</w:t>
      </w:r>
    </w:p>
    <w:p w14:paraId="381EF8D7">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2A7C6776">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4.2.4响应文件含有采购人不能接受的附加条件的；</w:t>
      </w:r>
    </w:p>
    <w:p w14:paraId="7EC54914">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00529850">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4.2.6响应文件出现不是唯一的、有选择性最后报价的;</w:t>
      </w:r>
    </w:p>
    <w:p w14:paraId="4E5ECDCC">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0EF2D36E">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4.2.8报价明显低于其他通过符合性审查供应商的报价，有可能影响产品质量或者不能诚信履约的，未能按要求提供书面说明或者提交相关证明材料证明其报价合理性的;</w:t>
      </w:r>
    </w:p>
    <w:p w14:paraId="61B818C0">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4.2.9供应商对根据修正原则修正后的报价不确认的；</w:t>
      </w:r>
    </w:p>
    <w:p w14:paraId="266AC3BF">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4.2.10供应商提供虚假材料响应的；</w:t>
      </w:r>
    </w:p>
    <w:p w14:paraId="3231CCC0">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795F5FEF">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BABD146">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4.2.13供应商仅提交备份响应文件，未在电子交易平台传输递交响应文件的，响应文件无效；</w:t>
      </w:r>
    </w:p>
    <w:p w14:paraId="35A611CD">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4.2.14 响应文件不满足采购文件的其它实质性要求的；</w:t>
      </w:r>
    </w:p>
    <w:p w14:paraId="1438B5CB">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67963B23">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1065E">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4F16862">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3DA287B">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34EF4B96">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D103527">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7CAFF84">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9735825">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D1A061D">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E04E374">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006756F">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F02E2DB">
      <w:pPr>
        <w:pStyle w:val="27"/>
        <w:snapToGrid w:val="0"/>
        <w:spacing w:line="360" w:lineRule="auto"/>
        <w:ind w:firstLine="0" w:firstLineChars="0"/>
        <w:rPr>
          <w:rFonts w:cs="宋体"/>
          <w:color w:val="auto"/>
          <w:highlight w:val="none"/>
        </w:rPr>
        <w:sectPr>
          <w:pgSz w:w="11907" w:h="16840"/>
          <w:pgMar w:top="1327" w:right="1080" w:bottom="1327" w:left="1080" w:header="851" w:footer="851" w:gutter="0"/>
          <w:cols w:space="720" w:num="1"/>
        </w:sectPr>
      </w:pPr>
    </w:p>
    <w:bookmarkEnd w:id="31"/>
    <w:p w14:paraId="3E52484A">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1618095A">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6B4CC88D">
      <w:pPr>
        <w:keepNext/>
        <w:keepLines/>
        <w:numPr>
          <w:ilvl w:val="1"/>
          <w:numId w:val="0"/>
        </w:numPr>
        <w:snapToGrid w:val="0"/>
        <w:spacing w:line="360" w:lineRule="auto"/>
        <w:jc w:val="center"/>
        <w:rPr>
          <w:rFonts w:hint="eastAsia" w:ascii="仿宋" w:hAnsi="仿宋" w:eastAsia="仿宋" w:cs="仿宋"/>
          <w:snapToGrid w:val="0"/>
          <w:color w:val="auto"/>
          <w:kern w:val="44"/>
          <w:sz w:val="24"/>
          <w:szCs w:val="20"/>
          <w:highlight w:val="none"/>
        </w:rPr>
      </w:pPr>
    </w:p>
    <w:p w14:paraId="71304BDA">
      <w:pPr>
        <w:snapToGrid w:val="0"/>
        <w:spacing w:line="4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2E8E6C98">
      <w:pPr>
        <w:spacing w:before="240"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发 包 人（全称）：</w:t>
      </w:r>
      <w:r>
        <w:rPr>
          <w:rFonts w:hint="eastAsia" w:ascii="仿宋" w:hAnsi="仿宋" w:eastAsia="仿宋" w:cs="仿宋"/>
          <w:iCs/>
          <w:color w:val="auto"/>
          <w:szCs w:val="21"/>
          <w:highlight w:val="none"/>
          <w:u w:val="single"/>
          <w:lang w:eastAsia="zh-CN"/>
        </w:rPr>
        <w:t>杭州市钱塘区临江新城实验学校</w:t>
      </w:r>
    </w:p>
    <w:p w14:paraId="64543E65">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承 包 人（全称）：</w:t>
      </w:r>
    </w:p>
    <w:p w14:paraId="2F2E14E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根据《中华人民共和国</w:t>
      </w:r>
      <w:r>
        <w:rPr>
          <w:rFonts w:hint="eastAsia" w:ascii="仿宋" w:hAnsi="仿宋" w:eastAsia="仿宋" w:cs="仿宋"/>
          <w:iCs/>
          <w:color w:val="auto"/>
          <w:szCs w:val="21"/>
          <w:highlight w:val="none"/>
          <w:lang w:val="en-US" w:eastAsia="zh-Hans"/>
        </w:rPr>
        <w:t>民法典</w:t>
      </w:r>
      <w:r>
        <w:rPr>
          <w:rFonts w:hint="eastAsia" w:ascii="仿宋" w:hAnsi="仿宋" w:eastAsia="仿宋" w:cs="仿宋"/>
          <w:iCs/>
          <w:color w:val="auto"/>
          <w:szCs w:val="21"/>
          <w:highlight w:val="none"/>
        </w:rPr>
        <w:t>》、《中华人民共和国建筑法》及有关法律规定，遵循平等、自愿、公平和诚实信用的原则，双方就</w:t>
      </w:r>
      <w:r>
        <w:rPr>
          <w:rFonts w:hint="eastAsia" w:ascii="仿宋" w:hAnsi="仿宋" w:eastAsia="仿宋" w:cs="仿宋"/>
          <w:iCs/>
          <w:color w:val="auto"/>
          <w:szCs w:val="21"/>
          <w:highlight w:val="none"/>
          <w:u w:val="single"/>
          <w:lang w:eastAsia="zh-CN"/>
        </w:rPr>
        <w:t>杭州市钱塘区临江新城实验学校运动场地改造工程</w:t>
      </w:r>
      <w:r>
        <w:rPr>
          <w:rFonts w:hint="eastAsia" w:ascii="仿宋" w:hAnsi="仿宋" w:eastAsia="仿宋" w:cs="仿宋"/>
          <w:iCs/>
          <w:color w:val="auto"/>
          <w:szCs w:val="21"/>
          <w:highlight w:val="none"/>
        </w:rPr>
        <w:t>施工及有关事项协商一致，共同达成如下协议：</w:t>
      </w:r>
    </w:p>
    <w:p w14:paraId="51B1D2E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一、工程概况</w:t>
      </w:r>
    </w:p>
    <w:p w14:paraId="41505819">
      <w:pPr>
        <w:spacing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1.工程名称：</w:t>
      </w:r>
      <w:r>
        <w:rPr>
          <w:rFonts w:hint="eastAsia" w:ascii="仿宋" w:hAnsi="仿宋" w:eastAsia="仿宋" w:cs="仿宋"/>
          <w:iCs/>
          <w:color w:val="auto"/>
          <w:szCs w:val="21"/>
          <w:highlight w:val="none"/>
          <w:u w:val="single"/>
          <w:lang w:eastAsia="zh-CN"/>
        </w:rPr>
        <w:t>杭州市钱塘区临江新城实验学校运动场地改造工程</w:t>
      </w:r>
    </w:p>
    <w:p w14:paraId="6057B76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2.工程地点：</w:t>
      </w:r>
      <w:r>
        <w:rPr>
          <w:rFonts w:hint="eastAsia" w:ascii="仿宋" w:hAnsi="仿宋" w:eastAsia="仿宋" w:cs="仿宋"/>
          <w:iCs/>
          <w:color w:val="auto"/>
          <w:szCs w:val="21"/>
          <w:highlight w:val="none"/>
          <w:u w:val="single"/>
          <w:lang w:val="en-US" w:eastAsia="zh-CN"/>
        </w:rPr>
        <w:t>杭州市钱塘区</w:t>
      </w:r>
      <w:r>
        <w:rPr>
          <w:rFonts w:hint="eastAsia" w:ascii="仿宋" w:hAnsi="仿宋" w:eastAsia="仿宋" w:cs="仿宋"/>
          <w:iCs/>
          <w:color w:val="auto"/>
          <w:szCs w:val="21"/>
          <w:highlight w:val="none"/>
          <w:u w:val="single"/>
          <w:lang w:eastAsia="zh-CN"/>
        </w:rPr>
        <w:t xml:space="preserve">。 </w:t>
      </w:r>
    </w:p>
    <w:p w14:paraId="4372609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3.工程立项批准文号：</w:t>
      </w:r>
      <w:r>
        <w:rPr>
          <w:rFonts w:hint="eastAsia" w:ascii="仿宋" w:hAnsi="仿宋" w:eastAsia="仿宋" w:cs="仿宋"/>
          <w:iCs/>
          <w:color w:val="auto"/>
          <w:szCs w:val="21"/>
          <w:highlight w:val="none"/>
          <w:u w:val="single"/>
          <w:lang w:val="en-US" w:eastAsia="zh-CN"/>
        </w:rPr>
        <w:t xml:space="preserve">      </w:t>
      </w:r>
      <w:r>
        <w:rPr>
          <w:rFonts w:hint="eastAsia" w:ascii="仿宋" w:hAnsi="仿宋" w:eastAsia="仿宋" w:cs="仿宋"/>
          <w:iCs/>
          <w:color w:val="auto"/>
          <w:szCs w:val="21"/>
          <w:highlight w:val="none"/>
        </w:rPr>
        <w:t>。</w:t>
      </w:r>
    </w:p>
    <w:p w14:paraId="04FC8AE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4.资金来源： </w:t>
      </w:r>
      <w:r>
        <w:rPr>
          <w:rFonts w:hint="eastAsia" w:ascii="仿宋" w:hAnsi="仿宋" w:eastAsia="仿宋" w:cs="仿宋"/>
          <w:iCs/>
          <w:color w:val="auto"/>
          <w:szCs w:val="21"/>
          <w:highlight w:val="none"/>
          <w:u w:val="single"/>
        </w:rPr>
        <w:t xml:space="preserve">财政资金 </w:t>
      </w:r>
    </w:p>
    <w:p w14:paraId="377B5FD7">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5.工程内容：</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iCs/>
          <w:color w:val="auto"/>
          <w:szCs w:val="21"/>
          <w:highlight w:val="none"/>
          <w:u w:val="single"/>
        </w:rPr>
        <w:t>。</w:t>
      </w:r>
    </w:p>
    <w:p w14:paraId="3DD933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iCs/>
          <w:color w:val="auto"/>
          <w:szCs w:val="21"/>
          <w:highlight w:val="none"/>
        </w:rPr>
        <w:t>6.工程承包范围：</w:t>
      </w:r>
      <w:r>
        <w:rPr>
          <w:rFonts w:hint="eastAsia" w:ascii="仿宋" w:hAnsi="仿宋" w:eastAsia="仿宋" w:cs="仿宋"/>
          <w:iCs/>
          <w:color w:val="auto"/>
          <w:szCs w:val="21"/>
          <w:highlight w:val="none"/>
          <w:lang w:val="en-US" w:eastAsia="zh-Hans"/>
        </w:rPr>
        <w:t>本项目</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color w:val="auto"/>
          <w:szCs w:val="21"/>
          <w:highlight w:val="none"/>
        </w:rPr>
        <w:t>。</w:t>
      </w:r>
    </w:p>
    <w:p w14:paraId="0C5CDE1B">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二、合同工期</w:t>
      </w:r>
    </w:p>
    <w:p w14:paraId="06E2FEC8">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计划开工日期：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日，具体开工时间以甲方签发的开工报告时间为准。 </w:t>
      </w:r>
    </w:p>
    <w:p w14:paraId="60CBC36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计划竣工日期：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日。</w:t>
      </w:r>
    </w:p>
    <w:p w14:paraId="6E9DBD5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工期总日历天数：</w:t>
      </w:r>
      <w:r>
        <w:rPr>
          <w:rFonts w:hint="eastAsia" w:ascii="仿宋" w:hAnsi="仿宋" w:eastAsia="仿宋" w:cs="仿宋"/>
          <w:iCs/>
          <w:color w:val="auto"/>
          <w:szCs w:val="21"/>
          <w:highlight w:val="none"/>
          <w:u w:val="single"/>
          <w:lang w:val="en-US" w:eastAsia="zh-CN"/>
        </w:rPr>
        <w:t>30</w:t>
      </w:r>
      <w:r>
        <w:rPr>
          <w:rFonts w:hint="eastAsia" w:ascii="仿宋" w:hAnsi="仿宋" w:eastAsia="仿宋" w:cs="仿宋"/>
          <w:iCs/>
          <w:color w:val="auto"/>
          <w:szCs w:val="21"/>
          <w:highlight w:val="none"/>
        </w:rPr>
        <w:t>日历天。</w:t>
      </w:r>
      <w:r>
        <w:rPr>
          <w:rFonts w:hint="eastAsia" w:ascii="仿宋" w:hAnsi="仿宋" w:eastAsia="仿宋" w:cs="仿宋"/>
          <w:iCs/>
          <w:color w:val="auto"/>
          <w:szCs w:val="21"/>
          <w:highlight w:val="none"/>
        </w:rPr>
        <w:t>工期总日历天数与根据前述计划开竣工日期计算的工期天数不一致的，以工期总日历天数为准。</w:t>
      </w:r>
    </w:p>
    <w:p w14:paraId="012F8B4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三、质量标准</w:t>
      </w:r>
    </w:p>
    <w:p w14:paraId="13426966">
      <w:pPr>
        <w:spacing w:line="360" w:lineRule="auto"/>
        <w:ind w:firstLine="420" w:firstLineChars="200"/>
        <w:rPr>
          <w:rStyle w:val="378"/>
          <w:rFonts w:hint="eastAsia" w:ascii="仿宋" w:hAnsi="仿宋" w:eastAsia="仿宋" w:cs="仿宋"/>
          <w:color w:val="auto"/>
          <w:szCs w:val="21"/>
          <w:highlight w:val="none"/>
        </w:rPr>
      </w:pPr>
      <w:r>
        <w:rPr>
          <w:rFonts w:hint="eastAsia" w:ascii="仿宋" w:hAnsi="仿宋" w:eastAsia="仿宋" w:cs="仿宋"/>
          <w:iCs/>
          <w:color w:val="auto"/>
          <w:szCs w:val="21"/>
          <w:highlight w:val="none"/>
        </w:rPr>
        <w:t>符合工程竣工验收时国家施行的建设工程质量验收规范的合格标准。</w:t>
      </w:r>
    </w:p>
    <w:p w14:paraId="7CA80C42">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四、签约合同价与合同价格形式</w:t>
      </w:r>
      <w:r>
        <w:rPr>
          <w:rFonts w:hint="eastAsia" w:ascii="仿宋" w:hAnsi="仿宋" w:eastAsia="仿宋" w:cs="仿宋"/>
          <w:iCs/>
          <w:color w:val="auto"/>
          <w:szCs w:val="21"/>
          <w:highlight w:val="none"/>
        </w:rPr>
        <w:tab/>
      </w:r>
    </w:p>
    <w:p w14:paraId="07754A4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603E7677">
      <w:pPr>
        <w:snapToGrid w:val="0"/>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人民币（大写）(¥元)；(其中：不含税金额：￥元，增值税额：￥元（增值税税率：%）)。</w:t>
      </w:r>
    </w:p>
    <w:p w14:paraId="6636CAF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14:paraId="67EBC27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4B79CF21">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1342239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5B166DE3">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4060C30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5591EC08">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034C0D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346148CC">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31DB59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lang w:val="en-US" w:eastAsia="zh-Hans"/>
        </w:rPr>
        <w:t>固定</w:t>
      </w:r>
      <w:r>
        <w:rPr>
          <w:rFonts w:hint="eastAsia" w:ascii="仿宋" w:hAnsi="仿宋" w:eastAsia="仿宋" w:cs="仿宋"/>
          <w:color w:val="auto"/>
          <w:szCs w:val="21"/>
          <w:highlight w:val="none"/>
          <w:u w:val="single"/>
        </w:rPr>
        <w:t xml:space="preserve">单价合同   </w:t>
      </w:r>
      <w:r>
        <w:rPr>
          <w:rFonts w:hint="eastAsia" w:ascii="仿宋" w:hAnsi="仿宋" w:eastAsia="仿宋" w:cs="仿宋"/>
          <w:color w:val="auto"/>
          <w:szCs w:val="21"/>
          <w:highlight w:val="none"/>
        </w:rPr>
        <w:t>。</w:t>
      </w:r>
    </w:p>
    <w:p w14:paraId="27281D5F">
      <w:pPr>
        <w:keepNext/>
        <w:keepLines/>
        <w:snapToGrid w:val="0"/>
        <w:spacing w:line="360" w:lineRule="auto"/>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五、项目经理</w:t>
      </w:r>
    </w:p>
    <w:p w14:paraId="77F5A3A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承包人项目经理：。</w:t>
      </w:r>
    </w:p>
    <w:p w14:paraId="052C7559">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六、合同文件构成</w:t>
      </w:r>
    </w:p>
    <w:p w14:paraId="7541BC35">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本协议书与下列文件一起构成合同文件：</w:t>
      </w:r>
    </w:p>
    <w:p w14:paraId="6BA1575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（1）中标通知书（如果有）；</w:t>
      </w:r>
    </w:p>
    <w:p w14:paraId="5B214BC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（2）投标函及其附录（如果有）； </w:t>
      </w:r>
    </w:p>
    <w:p w14:paraId="1FE5D24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（3）本合同的专用合同条款及其附件；</w:t>
      </w:r>
    </w:p>
    <w:p w14:paraId="08A6F23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（4）本合同的通用合同条款；</w:t>
      </w:r>
    </w:p>
    <w:p w14:paraId="09C8C65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（5）技术标准和要求；</w:t>
      </w:r>
    </w:p>
    <w:p w14:paraId="7E72557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（6）图纸；</w:t>
      </w:r>
    </w:p>
    <w:p w14:paraId="18EB273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（7）已标价工程量清单或预算书；</w:t>
      </w:r>
    </w:p>
    <w:p w14:paraId="2C152734">
      <w:pPr>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（8）其他合同文件</w:t>
      </w:r>
      <w:r>
        <w:rPr>
          <w:rFonts w:hint="eastAsia" w:ascii="仿宋" w:hAnsi="仿宋" w:eastAsia="仿宋" w:cs="仿宋"/>
          <w:color w:val="auto"/>
          <w:szCs w:val="21"/>
          <w:highlight w:val="none"/>
          <w:lang w:eastAsia="zh-CN"/>
        </w:rPr>
        <w:t>；</w:t>
      </w:r>
    </w:p>
    <w:p w14:paraId="35998F8B">
      <w:pPr>
        <w:snapToGrid w:val="0"/>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9）补充协议。</w:t>
      </w:r>
    </w:p>
    <w:p w14:paraId="6389AEA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516892E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AD16016">
      <w:pPr>
        <w:keepNext/>
        <w:keepLines/>
        <w:snapToGrid w:val="0"/>
        <w:spacing w:line="360" w:lineRule="auto"/>
        <w:outlineLvl w:val="3"/>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七、承诺</w:t>
      </w:r>
    </w:p>
    <w:p w14:paraId="3E4C1FBD">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1.发包人承诺按照法律规定履行项目审批手续、筹集工程建设资金并按照合同约定的期限和方式支付合同价款。</w:t>
      </w:r>
    </w:p>
    <w:p w14:paraId="76FEC50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4CD1799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3.发包人和承包人通过招投标形式签订合同的，双方理解并承诺不再就同一工程另行签订与合同实质性内容相背离的协议。</w:t>
      </w:r>
    </w:p>
    <w:p w14:paraId="7FC2E04D">
      <w:pPr>
        <w:snapToGrid w:val="0"/>
        <w:spacing w:line="360" w:lineRule="auto"/>
        <w:outlineLvl w:val="0"/>
        <w:rPr>
          <w:rFonts w:hint="eastAsia" w:ascii="仿宋" w:hAnsi="仿宋" w:eastAsia="仿宋" w:cs="仿宋"/>
          <w:bCs/>
          <w:color w:val="auto"/>
          <w:szCs w:val="21"/>
          <w:highlight w:val="none"/>
        </w:rPr>
      </w:pPr>
      <w:bookmarkStart w:id="399" w:name="_Toc21303"/>
      <w:bookmarkStart w:id="400" w:name="_Toc25836"/>
      <w:r>
        <w:rPr>
          <w:rFonts w:hint="eastAsia" w:ascii="仿宋" w:hAnsi="仿宋" w:eastAsia="仿宋" w:cs="仿宋"/>
          <w:bCs/>
          <w:color w:val="auto"/>
          <w:szCs w:val="21"/>
          <w:highlight w:val="none"/>
        </w:rPr>
        <w:t>八、词语含义</w:t>
      </w:r>
      <w:bookmarkEnd w:id="399"/>
      <w:bookmarkEnd w:id="400"/>
    </w:p>
    <w:p w14:paraId="715892A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本协议书中词语含义与第二部分通用合同条款中赋予的含义相同。</w:t>
      </w:r>
    </w:p>
    <w:p w14:paraId="4D4F80E2">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九、签订时间</w:t>
      </w:r>
    </w:p>
    <w:p w14:paraId="6C118969">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本合同于</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日签订。</w:t>
      </w:r>
    </w:p>
    <w:p w14:paraId="3B78F057">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十、签订地点</w:t>
      </w:r>
    </w:p>
    <w:p w14:paraId="2A129AE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本合同在</w:t>
      </w:r>
      <w:r>
        <w:rPr>
          <w:rFonts w:hint="eastAsia" w:ascii="仿宋" w:hAnsi="仿宋" w:eastAsia="仿宋" w:cs="仿宋"/>
          <w:bCs/>
          <w:color w:val="auto"/>
          <w:szCs w:val="21"/>
          <w:highlight w:val="none"/>
          <w:u w:val="single"/>
        </w:rPr>
        <w:t xml:space="preserve"> 浙江省杭州市</w:t>
      </w:r>
      <w:r>
        <w:rPr>
          <w:rFonts w:hint="eastAsia" w:ascii="仿宋" w:hAnsi="仿宋" w:eastAsia="仿宋" w:cs="仿宋"/>
          <w:bCs/>
          <w:color w:val="auto"/>
          <w:szCs w:val="21"/>
          <w:highlight w:val="none"/>
          <w:u w:val="single"/>
          <w:lang w:val="en-US" w:eastAsia="zh-Hans"/>
        </w:rPr>
        <w:t>钱塘区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签订。</w:t>
      </w:r>
    </w:p>
    <w:p w14:paraId="0C4062E1">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十一、补充协议</w:t>
      </w:r>
    </w:p>
    <w:p w14:paraId="7E131680">
      <w:pP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合同未尽事宜，合同当事人另行签订补充协议，补充协议是合同的组成部分。</w:t>
      </w:r>
    </w:p>
    <w:p w14:paraId="735AA52E">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十二、合同生效</w:t>
      </w:r>
    </w:p>
    <w:p w14:paraId="7A4F762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本合同自</w:t>
      </w:r>
      <w:r>
        <w:rPr>
          <w:rFonts w:hint="eastAsia" w:ascii="仿宋" w:hAnsi="仿宋" w:eastAsia="仿宋" w:cs="仿宋"/>
          <w:bCs/>
          <w:color w:val="auto"/>
          <w:szCs w:val="21"/>
          <w:highlight w:val="none"/>
          <w:u w:val="single"/>
        </w:rPr>
        <w:t>双方法定</w:t>
      </w:r>
      <w:r>
        <w:rPr>
          <w:rFonts w:hint="eastAsia" w:ascii="仿宋" w:hAnsi="仿宋" w:eastAsia="仿宋" w:cs="仿宋"/>
          <w:color w:val="auto"/>
          <w:szCs w:val="21"/>
          <w:highlight w:val="none"/>
          <w:u w:val="single"/>
        </w:rPr>
        <w:t>代表人或其委托代理人签字并经双方盖章</w:t>
      </w:r>
      <w:r>
        <w:rPr>
          <w:rFonts w:hint="eastAsia" w:ascii="仿宋" w:hAnsi="仿宋" w:eastAsia="仿宋" w:cs="仿宋"/>
          <w:color w:val="auto"/>
          <w:szCs w:val="21"/>
          <w:highlight w:val="none"/>
          <w:u w:val="single"/>
          <w:lang w:eastAsia="zh-CN"/>
        </w:rPr>
        <w:t>后</w:t>
      </w:r>
      <w:r>
        <w:rPr>
          <w:rFonts w:hint="eastAsia" w:ascii="仿宋" w:hAnsi="仿宋" w:eastAsia="仿宋" w:cs="仿宋"/>
          <w:bCs/>
          <w:color w:val="auto"/>
          <w:szCs w:val="21"/>
          <w:highlight w:val="none"/>
        </w:rPr>
        <w:t>生效。</w:t>
      </w:r>
    </w:p>
    <w:p w14:paraId="1A1A4518">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十三、合同份数</w:t>
      </w:r>
    </w:p>
    <w:p w14:paraId="34902AA7">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本合同一式</w:t>
      </w:r>
      <w:r>
        <w:rPr>
          <w:rFonts w:hint="eastAsia" w:ascii="仿宋" w:hAnsi="仿宋" w:eastAsia="仿宋" w:cs="仿宋"/>
          <w:bCs/>
          <w:color w:val="auto"/>
          <w:szCs w:val="21"/>
          <w:highlight w:val="none"/>
          <w:u w:val="single"/>
        </w:rPr>
        <w:t xml:space="preserve">  十二  </w:t>
      </w:r>
      <w:r>
        <w:rPr>
          <w:rFonts w:hint="eastAsia" w:ascii="仿宋" w:hAnsi="仿宋" w:eastAsia="仿宋" w:cs="仿宋"/>
          <w:bCs/>
          <w:color w:val="auto"/>
          <w:szCs w:val="21"/>
          <w:highlight w:val="none"/>
        </w:rPr>
        <w:t>份，均具有同等法律效力，发包人执</w:t>
      </w:r>
      <w:r>
        <w:rPr>
          <w:rFonts w:hint="eastAsia" w:ascii="仿宋" w:hAnsi="仿宋" w:eastAsia="仿宋" w:cs="仿宋"/>
          <w:bCs/>
          <w:color w:val="auto"/>
          <w:szCs w:val="21"/>
          <w:highlight w:val="none"/>
          <w:u w:val="single"/>
        </w:rPr>
        <w:t xml:space="preserve"> 八  </w:t>
      </w:r>
      <w:r>
        <w:rPr>
          <w:rFonts w:hint="eastAsia" w:ascii="仿宋" w:hAnsi="仿宋" w:eastAsia="仿宋" w:cs="仿宋"/>
          <w:bCs/>
          <w:color w:val="auto"/>
          <w:szCs w:val="21"/>
          <w:highlight w:val="none"/>
        </w:rPr>
        <w:t>份，承包人执</w:t>
      </w:r>
      <w:r>
        <w:rPr>
          <w:rFonts w:hint="eastAsia" w:ascii="仿宋" w:hAnsi="仿宋" w:eastAsia="仿宋" w:cs="仿宋"/>
          <w:bCs/>
          <w:color w:val="auto"/>
          <w:szCs w:val="21"/>
          <w:highlight w:val="none"/>
          <w:u w:val="single"/>
        </w:rPr>
        <w:t xml:space="preserve">  四 </w:t>
      </w:r>
      <w:r>
        <w:rPr>
          <w:rFonts w:hint="eastAsia" w:ascii="仿宋" w:hAnsi="仿宋" w:eastAsia="仿宋" w:cs="仿宋"/>
          <w:bCs/>
          <w:color w:val="auto"/>
          <w:szCs w:val="21"/>
          <w:highlight w:val="none"/>
        </w:rPr>
        <w:t>份。</w:t>
      </w:r>
    </w:p>
    <w:p w14:paraId="69A1560A">
      <w:pPr>
        <w:pStyle w:val="24"/>
        <w:numPr>
          <w:ilvl w:val="0"/>
          <w:numId w:val="7"/>
        </w:numPr>
        <w:rPr>
          <w:rFonts w:hint="eastAsia" w:ascii="仿宋" w:hAnsi="仿宋" w:eastAsia="仿宋" w:cs="仿宋"/>
          <w:bCs/>
          <w:color w:val="auto"/>
          <w:szCs w:val="21"/>
          <w:highlight w:val="none"/>
          <w:lang w:val="en-US" w:eastAsia="zh-Hans"/>
        </w:rPr>
      </w:pPr>
      <w:r>
        <w:rPr>
          <w:rFonts w:hint="eastAsia" w:ascii="仿宋" w:hAnsi="仿宋" w:eastAsia="仿宋" w:cs="仿宋"/>
          <w:bCs/>
          <w:color w:val="auto"/>
          <w:szCs w:val="21"/>
          <w:highlight w:val="none"/>
          <w:lang w:val="en-US" w:eastAsia="zh-Hans"/>
        </w:rPr>
        <w:t>其他</w:t>
      </w:r>
    </w:p>
    <w:p w14:paraId="6A6C4470">
      <w:pPr>
        <w:numPr>
          <w:ilvl w:val="0"/>
          <w:numId w:val="0"/>
        </w:numPr>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Hans"/>
        </w:rPr>
        <w:t xml:space="preserve">     </w:t>
      </w:r>
      <w:r>
        <w:rPr>
          <w:rFonts w:hint="eastAsia" w:ascii="仿宋_GB2312" w:hAnsi="仿宋_GB2312" w:eastAsia="仿宋_GB2312" w:cs="仿宋_GB2312"/>
          <w:color w:val="auto"/>
          <w:highlight w:val="none"/>
          <w:lang w:val="en-US" w:eastAsia="zh-Hans"/>
        </w:rPr>
        <w:t>本合同中约定的地址</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电话等为各方之间的联系方式</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一方相关信息发生变更的</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应及时书面通知对方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否则</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按照合同约定的方式等发出的文书等，在发出之日起即视为送达给对方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因此造成的损失</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由违约方自行承担</w:t>
      </w:r>
      <w:r>
        <w:rPr>
          <w:rFonts w:hint="eastAsia" w:ascii="仿宋_GB2312" w:hAnsi="仿宋_GB2312" w:eastAsia="仿宋_GB2312" w:cs="仿宋_GB2312"/>
          <w:color w:val="auto"/>
          <w:highlight w:val="none"/>
          <w:lang w:eastAsia="zh-Hans"/>
        </w:rPr>
        <w:t>。</w:t>
      </w:r>
    </w:p>
    <w:p w14:paraId="07933676">
      <w:pPr>
        <w:pStyle w:val="259"/>
        <w:ind w:left="6000" w:firstLine="420"/>
        <w:rPr>
          <w:rFonts w:hint="eastAsia" w:ascii="仿宋" w:hAnsi="仿宋" w:eastAsia="仿宋" w:cs="仿宋"/>
          <w:color w:val="auto"/>
          <w:sz w:val="21"/>
          <w:szCs w:val="21"/>
          <w:highlight w:val="none"/>
        </w:rPr>
      </w:pPr>
    </w:p>
    <w:p w14:paraId="5CE89D2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发包人：  (公章)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承包人：  (公章)</w:t>
      </w:r>
    </w:p>
    <w:p w14:paraId="2295E32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法定代表人或其委托代理人：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法定代表人或其委托代理人：</w:t>
      </w:r>
    </w:p>
    <w:p w14:paraId="286D54BC">
      <w:pPr>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（签字）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（签字）</w:t>
      </w:r>
    </w:p>
    <w:p w14:paraId="5A85D439">
      <w:pPr>
        <w:tabs>
          <w:tab w:val="left" w:pos="441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组织机构代码：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组织机构代码：</w:t>
      </w:r>
    </w:p>
    <w:p w14:paraId="1363CA51">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  址：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地  址：</w:t>
      </w:r>
    </w:p>
    <w:p w14:paraId="39549DC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邮政编码：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邮政编码：</w:t>
      </w:r>
    </w:p>
    <w:p w14:paraId="4BE24C3C">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w:t>
      </w:r>
    </w:p>
    <w:p w14:paraId="6ED75F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委托代理人：</w:t>
      </w:r>
    </w:p>
    <w:p w14:paraId="46F7FE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  话：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电  话：</w:t>
      </w:r>
    </w:p>
    <w:p w14:paraId="6B8EB5FE">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电子信箱：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电子信箱：</w:t>
      </w:r>
    </w:p>
    <w:p w14:paraId="3DBD8889">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开户银行：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开户银行：</w:t>
      </w:r>
    </w:p>
    <w:p w14:paraId="304EA7D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账  号：</w:t>
      </w:r>
    </w:p>
    <w:p w14:paraId="5B52F21C">
      <w:pPr>
        <w:widowControl/>
        <w:spacing w:after="100" w:line="259" w:lineRule="auto"/>
        <w:rPr>
          <w:rFonts w:hint="eastAsia" w:ascii="仿宋" w:hAnsi="仿宋" w:eastAsia="仿宋" w:cs="仿宋"/>
          <w:color w:val="auto"/>
          <w:szCs w:val="21"/>
          <w:highlight w:val="none"/>
        </w:rPr>
      </w:pPr>
    </w:p>
    <w:p w14:paraId="4FD11477">
      <w:pPr>
        <w:pageBreakBefore/>
        <w:spacing w:before="260" w:after="260"/>
        <w:jc w:val="center"/>
        <w:rPr>
          <w:rFonts w:hint="eastAsia" w:ascii="仿宋" w:hAnsi="仿宋" w:eastAsia="仿宋" w:cs="仿宋"/>
          <w:b/>
          <w:bCs/>
          <w:color w:val="auto"/>
          <w:szCs w:val="21"/>
          <w:highlight w:val="none"/>
        </w:rPr>
      </w:pPr>
      <w:bookmarkStart w:id="401" w:name="_Toc1071"/>
      <w:bookmarkStart w:id="402" w:name="_Toc2044"/>
      <w:bookmarkStart w:id="403" w:name="_Toc14566"/>
      <w:bookmarkStart w:id="404" w:name="_Toc25991"/>
      <w:bookmarkStart w:id="405" w:name="_Toc1373"/>
      <w:r>
        <w:rPr>
          <w:rFonts w:hint="eastAsia" w:ascii="仿宋" w:hAnsi="仿宋" w:eastAsia="仿宋" w:cs="仿宋"/>
          <w:b/>
          <w:bCs/>
          <w:color w:val="auto"/>
          <w:szCs w:val="21"/>
          <w:highlight w:val="none"/>
        </w:rPr>
        <w:t>第二部分  通用条款（略)</w:t>
      </w:r>
    </w:p>
    <w:p w14:paraId="49BCD3CF">
      <w:pPr>
        <w:keepNext/>
        <w:keepLines/>
        <w:spacing w:before="260" w:after="260"/>
        <w:jc w:val="center"/>
        <w:rPr>
          <w:rFonts w:hint="eastAsia" w:ascii="仿宋" w:hAnsi="仿宋" w:eastAsia="仿宋" w:cs="仿宋"/>
          <w:b/>
          <w:bCs/>
          <w:color w:val="auto"/>
          <w:szCs w:val="21"/>
          <w:highlight w:val="none"/>
        </w:rPr>
      </w:pPr>
    </w:p>
    <w:p w14:paraId="0E8BE02C">
      <w:pPr>
        <w:keepNext/>
        <w:keepLines/>
        <w:spacing w:before="260" w:after="260"/>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通用条款按照住房城乡建设部、国家工商行政管理局制定的《建设工程施工合同（示范文本）》（GF-2017-0201）。</w:t>
      </w:r>
    </w:p>
    <w:p w14:paraId="250E6131">
      <w:pPr>
        <w:rPr>
          <w:rFonts w:hint="eastAsia" w:ascii="仿宋" w:hAnsi="仿宋" w:eastAsia="仿宋" w:cs="仿宋"/>
          <w:color w:val="auto"/>
          <w:szCs w:val="21"/>
          <w:highlight w:val="none"/>
        </w:rPr>
      </w:pPr>
    </w:p>
    <w:bookmarkEnd w:id="401"/>
    <w:bookmarkEnd w:id="402"/>
    <w:bookmarkEnd w:id="403"/>
    <w:bookmarkEnd w:id="404"/>
    <w:bookmarkEnd w:id="405"/>
    <w:p w14:paraId="138E46BC">
      <w:pPr>
        <w:keepNext/>
        <w:keepLines/>
        <w:spacing w:before="260" w:after="260"/>
        <w:jc w:val="center"/>
        <w:outlineLvl w:val="2"/>
        <w:rPr>
          <w:rFonts w:hint="eastAsia" w:ascii="仿宋" w:hAnsi="仿宋" w:eastAsia="仿宋" w:cs="仿宋"/>
          <w:b/>
          <w:bCs/>
          <w:color w:val="auto"/>
          <w:sz w:val="32"/>
          <w:szCs w:val="32"/>
          <w:highlight w:val="none"/>
        </w:rPr>
      </w:pPr>
      <w:bookmarkStart w:id="406" w:name="_Toc23872"/>
      <w:bookmarkStart w:id="407" w:name="_Toc1852"/>
      <w:r>
        <w:rPr>
          <w:rFonts w:hint="eastAsia" w:ascii="仿宋" w:hAnsi="仿宋" w:eastAsia="仿宋" w:cs="仿宋"/>
          <w:b/>
          <w:bCs/>
          <w:color w:val="auto"/>
          <w:sz w:val="32"/>
          <w:szCs w:val="32"/>
          <w:highlight w:val="none"/>
        </w:rPr>
        <w:t>第三部分 专用合同条款</w:t>
      </w:r>
      <w:bookmarkEnd w:id="406"/>
      <w:bookmarkEnd w:id="407"/>
    </w:p>
    <w:p w14:paraId="5CAC3797">
      <w:pPr>
        <w:keepNext/>
        <w:keepLines/>
        <w:adjustRightInd/>
        <w:spacing w:line="400" w:lineRule="exact"/>
        <w:outlineLvl w:val="3"/>
        <w:rPr>
          <w:rFonts w:hint="eastAsia" w:ascii="仿宋" w:hAnsi="仿宋" w:eastAsia="仿宋" w:cs="仿宋"/>
          <w:bCs/>
          <w:color w:val="auto"/>
          <w:szCs w:val="21"/>
          <w:highlight w:val="none"/>
        </w:rPr>
      </w:pPr>
      <w:bookmarkStart w:id="408" w:name="_Toc351203633"/>
      <w:r>
        <w:rPr>
          <w:rFonts w:hint="eastAsia" w:ascii="仿宋" w:hAnsi="仿宋" w:eastAsia="仿宋" w:cs="仿宋"/>
          <w:bCs/>
          <w:color w:val="auto"/>
          <w:szCs w:val="21"/>
          <w:highlight w:val="none"/>
        </w:rPr>
        <w:t>1</w:t>
      </w:r>
      <w:bookmarkStart w:id="409" w:name="_Toc292559361"/>
      <w:bookmarkStart w:id="410" w:name="_Toc296944495"/>
      <w:bookmarkStart w:id="411" w:name="_Toc296891196"/>
      <w:bookmarkStart w:id="412" w:name="_Toc296503156"/>
      <w:bookmarkStart w:id="413" w:name="_Toc296347155"/>
      <w:bookmarkStart w:id="414" w:name="_Toc296890984"/>
      <w:bookmarkStart w:id="415" w:name="_Toc297048342"/>
      <w:bookmarkStart w:id="416" w:name="_Toc292559866"/>
      <w:bookmarkStart w:id="417" w:name="_Toc297120456"/>
      <w:bookmarkStart w:id="418" w:name="_Toc296346657"/>
      <w:r>
        <w:rPr>
          <w:rFonts w:hint="eastAsia" w:ascii="仿宋" w:hAnsi="仿宋" w:eastAsia="仿宋" w:cs="仿宋"/>
          <w:bCs/>
          <w:color w:val="auto"/>
          <w:szCs w:val="21"/>
          <w:highlight w:val="none"/>
        </w:rPr>
        <w:t>. 一般约定</w:t>
      </w:r>
      <w:bookmarkEnd w:id="408"/>
    </w:p>
    <w:bookmarkEnd w:id="409"/>
    <w:bookmarkEnd w:id="410"/>
    <w:bookmarkEnd w:id="411"/>
    <w:bookmarkEnd w:id="412"/>
    <w:bookmarkEnd w:id="413"/>
    <w:bookmarkEnd w:id="414"/>
    <w:bookmarkEnd w:id="415"/>
    <w:bookmarkEnd w:id="416"/>
    <w:bookmarkEnd w:id="417"/>
    <w:bookmarkEnd w:id="418"/>
    <w:p w14:paraId="1290531E">
      <w:pPr>
        <w:adjustRightInd/>
        <w:spacing w:line="400" w:lineRule="exact"/>
        <w:ind w:firstLine="420" w:firstLineChars="200"/>
        <w:outlineLvl w:val="0"/>
        <w:rPr>
          <w:rFonts w:hint="eastAsia" w:ascii="仿宋" w:hAnsi="仿宋" w:eastAsia="仿宋" w:cs="仿宋"/>
          <w:color w:val="auto"/>
          <w:szCs w:val="21"/>
          <w:highlight w:val="none"/>
        </w:rPr>
      </w:pPr>
      <w:bookmarkStart w:id="419" w:name="_Toc25744"/>
      <w:bookmarkStart w:id="420" w:name="_Toc8994"/>
      <w:bookmarkStart w:id="421" w:name="_Toc32240"/>
      <w:bookmarkStart w:id="422" w:name="_Toc8862"/>
      <w:bookmarkStart w:id="423" w:name="_Toc506"/>
      <w:bookmarkStart w:id="424" w:name="_Toc32354"/>
      <w:r>
        <w:rPr>
          <w:rFonts w:hint="eastAsia" w:ascii="仿宋" w:hAnsi="仿宋" w:eastAsia="仿宋" w:cs="仿宋"/>
          <w:color w:val="auto"/>
          <w:szCs w:val="21"/>
          <w:highlight w:val="none"/>
        </w:rPr>
        <w:t>1.1 词语定义</w:t>
      </w:r>
      <w:bookmarkEnd w:id="419"/>
      <w:bookmarkEnd w:id="420"/>
      <w:bookmarkEnd w:id="421"/>
      <w:bookmarkEnd w:id="422"/>
      <w:bookmarkEnd w:id="423"/>
      <w:bookmarkEnd w:id="424"/>
    </w:p>
    <w:p w14:paraId="60F4B1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1.1.1合同</w:t>
      </w:r>
    </w:p>
    <w:p w14:paraId="7EAFA7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1.1.1.10其他合同文件包括：</w:t>
      </w:r>
      <w:r>
        <w:rPr>
          <w:rFonts w:hint="eastAsia" w:ascii="仿宋" w:hAnsi="仿宋" w:eastAsia="仿宋" w:cs="仿宋"/>
          <w:color w:val="auto"/>
          <w:szCs w:val="21"/>
          <w:highlight w:val="none"/>
          <w:u w:val="single"/>
        </w:rPr>
        <w:t>施工组织设计：施工组织</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"http://baike.baidu.com/view/14417.htm"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设计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是用来指导</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"http://baike.baidu.com/view/1094820.htm"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施工项目</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全过程各项活动的技术、经济和组织的综合性文件  </w:t>
      </w:r>
      <w:r>
        <w:rPr>
          <w:rFonts w:hint="eastAsia" w:ascii="仿宋" w:hAnsi="仿宋" w:eastAsia="仿宋" w:cs="仿宋"/>
          <w:color w:val="auto"/>
          <w:szCs w:val="21"/>
          <w:highlight w:val="none"/>
        </w:rPr>
        <w:t>。</w:t>
      </w:r>
    </w:p>
    <w:p w14:paraId="685BDF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合同当事人及其他相关方</w:t>
      </w:r>
    </w:p>
    <w:p w14:paraId="1BF163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1.1.2.4监理人：</w:t>
      </w:r>
    </w:p>
    <w:p w14:paraId="3C715A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30EEF42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2EDF01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BE5D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DE897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6036C1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1.1.2.5 设计人：</w:t>
      </w:r>
    </w:p>
    <w:p w14:paraId="59BC84E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51249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06FAE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8B2F6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47844C1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018D7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工程和设备</w:t>
      </w:r>
    </w:p>
    <w:p w14:paraId="237018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1.1.3.7 作为施工现场组成部分的其他场所包括：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4B084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1.1.3.9 永久占地包括：</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235A3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1.1.3.10 临时占地包括：</w:t>
      </w:r>
      <w:r>
        <w:rPr>
          <w:rFonts w:hint="eastAsia" w:ascii="仿宋" w:hAnsi="仿宋" w:eastAsia="仿宋" w:cs="仿宋"/>
          <w:color w:val="auto"/>
          <w:szCs w:val="21"/>
          <w:highlight w:val="none"/>
          <w:u w:val="single"/>
        </w:rPr>
        <w:t xml:space="preserve">  由承包人自行解决，费用承包人自行承担 </w:t>
      </w:r>
      <w:r>
        <w:rPr>
          <w:rFonts w:hint="eastAsia" w:ascii="仿宋" w:hAnsi="仿宋" w:eastAsia="仿宋" w:cs="仿宋"/>
          <w:color w:val="auto"/>
          <w:szCs w:val="21"/>
          <w:highlight w:val="none"/>
        </w:rPr>
        <w:t>。</w:t>
      </w:r>
    </w:p>
    <w:p w14:paraId="40107D8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1.3法律 </w:t>
      </w:r>
    </w:p>
    <w:p w14:paraId="533DB8F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适用于合同的其他规范性文件：</w:t>
      </w:r>
      <w:r>
        <w:rPr>
          <w:rFonts w:hint="eastAsia" w:ascii="仿宋" w:hAnsi="仿宋" w:eastAsia="仿宋" w:cs="仿宋"/>
          <w:color w:val="auto"/>
          <w:szCs w:val="21"/>
          <w:highlight w:val="none"/>
          <w:u w:val="single"/>
        </w:rPr>
        <w:t xml:space="preserve">适用于本合同文件的法律为《中华人民共和国民法典》《建设工程质量管理条例》及其国家和工程所在地的适用于工程的包括但不限于法律、法规、规定、通知、决定、指导意见等各种规范性文件，部分规范性文件为： </w:t>
      </w:r>
      <w:r>
        <w:rPr>
          <w:rFonts w:hint="eastAsia" w:ascii="仿宋" w:hAnsi="仿宋" w:eastAsia="仿宋" w:cs="仿宋"/>
          <w:color w:val="auto"/>
          <w:szCs w:val="21"/>
          <w:highlight w:val="none"/>
        </w:rPr>
        <w:t>。</w:t>
      </w:r>
    </w:p>
    <w:p w14:paraId="3DC42849">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（1）《关于印发《杭州市建设工程工程量清单计价实施细则》（2018年修订）的通知》（杭建市发〔2018〕578号）</w:t>
      </w:r>
    </w:p>
    <w:p w14:paraId="04C71C81">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(2)《关于进一步加强杭州市建设工程市场要素价格动态管理的指导意见》（杭建市发〔2018〕579号 ）</w:t>
      </w:r>
    </w:p>
    <w:p w14:paraId="3D2AE3EE">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（3）《关于进一步加强建筑施工领域企业安全生产工作的实施意见》的通知 （杭建工发〔2011〕130号）</w:t>
      </w:r>
    </w:p>
    <w:p w14:paraId="6E38EC63">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（4）《关于进一步加强建设工程安全质量物联网管理应用平台建设的通知》（杭建工发【2012】426号）</w:t>
      </w:r>
    </w:p>
    <w:p w14:paraId="03F0C90A">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（5）《关于进一步加强预拌砂浆使用管理的通知》（杭建工发〔2017〕496号）</w:t>
      </w:r>
    </w:p>
    <w:p w14:paraId="2031680C">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（6）《关于落实建筑工棚安装空调事宜的通知》（杭建工发【2011】237号）</w:t>
      </w:r>
    </w:p>
    <w:p w14:paraId="4ADC097F">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 xml:space="preserve">（7）新工艺、新技术的约定：/ </w:t>
      </w:r>
    </w:p>
    <w:p w14:paraId="34008865">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（8）其他：国家现行的法律法规及浙江省、杭州市相关的法律法规、钱塘区及建设单位的适用于工程的相关文件，包括在合同期内不时更新后的文件。</w:t>
      </w:r>
    </w:p>
    <w:p w14:paraId="30331A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标准和规范</w:t>
      </w:r>
    </w:p>
    <w:p w14:paraId="4B5EB4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1.4.1适用于工程的标准规范包括：</w:t>
      </w:r>
      <w:r>
        <w:rPr>
          <w:rFonts w:hint="eastAsia" w:ascii="仿宋" w:hAnsi="仿宋" w:eastAsia="仿宋" w:cs="仿宋"/>
          <w:color w:val="auto"/>
          <w:szCs w:val="21"/>
          <w:highlight w:val="none"/>
          <w:u w:val="single"/>
        </w:rPr>
        <w:t>现行的国家、浙江省、杭州市及工程所在地（区）的有关标准规范、质量评定标准和竣工验收规范</w:t>
      </w:r>
      <w:r>
        <w:rPr>
          <w:rFonts w:hint="eastAsia" w:ascii="仿宋" w:hAnsi="仿宋" w:eastAsia="仿宋" w:cs="仿宋"/>
          <w:color w:val="auto"/>
          <w:szCs w:val="21"/>
          <w:highlight w:val="none"/>
        </w:rPr>
        <w:t>。</w:t>
      </w:r>
    </w:p>
    <w:p w14:paraId="3C6AC3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5ABB3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发包人提供国外标准、规范的份数：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F1ACB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DB19FE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1.4.3发包人对工程的技术标准和功能要求的特殊要求：</w:t>
      </w:r>
    </w:p>
    <w:p w14:paraId="42CF8C6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国家或行业如有新的技术标准和功能要求，则要求遵守新的技术标准和要求  </w:t>
      </w:r>
      <w:r>
        <w:rPr>
          <w:rFonts w:hint="eastAsia" w:ascii="仿宋" w:hAnsi="仿宋" w:eastAsia="仿宋" w:cs="仿宋"/>
          <w:color w:val="auto"/>
          <w:szCs w:val="21"/>
          <w:highlight w:val="none"/>
        </w:rPr>
        <w:t>。</w:t>
      </w:r>
    </w:p>
    <w:p w14:paraId="4601DD99">
      <w:pPr>
        <w:adjustRightInd/>
        <w:spacing w:line="400" w:lineRule="exact"/>
        <w:ind w:firstLine="420" w:firstLineChars="200"/>
        <w:outlineLvl w:val="0"/>
        <w:rPr>
          <w:rFonts w:hint="eastAsia" w:ascii="仿宋" w:hAnsi="仿宋" w:eastAsia="仿宋" w:cs="仿宋"/>
          <w:color w:val="auto"/>
          <w:szCs w:val="21"/>
          <w:highlight w:val="none"/>
        </w:rPr>
      </w:pPr>
      <w:bookmarkStart w:id="425" w:name="_Toc24499"/>
      <w:bookmarkStart w:id="426" w:name="_Toc11242"/>
      <w:bookmarkStart w:id="427" w:name="_Toc21239"/>
      <w:bookmarkStart w:id="428" w:name="_Toc8012"/>
      <w:bookmarkStart w:id="429" w:name="_Toc6062"/>
      <w:bookmarkStart w:id="430" w:name="_Toc14848"/>
      <w:r>
        <w:rPr>
          <w:rFonts w:hint="eastAsia" w:ascii="仿宋" w:hAnsi="仿宋" w:eastAsia="仿宋" w:cs="仿宋"/>
          <w:color w:val="auto"/>
          <w:szCs w:val="21"/>
          <w:highlight w:val="none"/>
        </w:rPr>
        <w:t>1.5 合同文件的优先顺序</w:t>
      </w:r>
      <w:bookmarkEnd w:id="425"/>
      <w:bookmarkEnd w:id="426"/>
      <w:bookmarkEnd w:id="427"/>
      <w:bookmarkEnd w:id="428"/>
      <w:bookmarkEnd w:id="429"/>
      <w:bookmarkEnd w:id="430"/>
    </w:p>
    <w:p w14:paraId="08E45C9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合同文件组成及优先顺序（序号之前的优先于序号在后的）为：</w:t>
      </w:r>
    </w:p>
    <w:p w14:paraId="26E8C6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（1）合同协议书及补充协议；</w:t>
      </w:r>
    </w:p>
    <w:p w14:paraId="41E5B2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（2）中标通知书（或项目发承包基本情况表）；</w:t>
      </w:r>
    </w:p>
    <w:p w14:paraId="265D9074">
      <w:pPr>
        <w:adjustRightInd/>
        <w:spacing w:line="400" w:lineRule="exact"/>
        <w:ind w:firstLine="420" w:firstLineChars="200"/>
        <w:rPr>
          <w:rFonts w:hint="default"/>
          <w:color w:val="auto"/>
          <w:highlight w:val="none"/>
        </w:rPr>
      </w:pPr>
      <w:r>
        <w:rPr>
          <w:rFonts w:hint="eastAsia" w:ascii="仿宋" w:hAnsi="仿宋" w:eastAsia="仿宋" w:cs="仿宋"/>
          <w:color w:val="auto"/>
          <w:szCs w:val="21"/>
          <w:highlight w:val="none"/>
          <w:u w:val="single"/>
        </w:rPr>
        <w:t>（3）投标文件</w:t>
      </w:r>
      <w:r>
        <w:rPr>
          <w:rFonts w:hint="default" w:ascii="仿宋" w:hAnsi="仿宋" w:eastAsia="仿宋" w:cs="仿宋"/>
          <w:color w:val="auto"/>
          <w:szCs w:val="21"/>
          <w:highlight w:val="none"/>
          <w:u w:val="single"/>
        </w:rPr>
        <w:t>；</w:t>
      </w:r>
    </w:p>
    <w:p w14:paraId="3CF8EF9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（4）本合同的专用合同条款及其附件；</w:t>
      </w:r>
    </w:p>
    <w:p w14:paraId="5B31EAB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（5）本合同的通用合同条款；</w:t>
      </w:r>
    </w:p>
    <w:p w14:paraId="5F5D91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（6）技术标准和要求；</w:t>
      </w:r>
    </w:p>
    <w:p w14:paraId="5701B3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（7）施工图纸（含会审纪要、设计变更等）；</w:t>
      </w:r>
    </w:p>
    <w:p w14:paraId="5FAA9FE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（8）已标价工程量清单或预算书；</w:t>
      </w:r>
    </w:p>
    <w:p w14:paraId="48E7E1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（9）其他合同文件：</w:t>
      </w:r>
    </w:p>
    <w:p w14:paraId="7B8A593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①施工组织设计；</w:t>
      </w:r>
    </w:p>
    <w:p w14:paraId="534A8F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②其他：招标文件；</w:t>
      </w:r>
    </w:p>
    <w:p w14:paraId="75437878">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合同当事人就上述合同文件在合同订立及履行过程中所作出的补充和修改，应以最新签署的为准，且在解释时有最优先的顺序。</w:t>
      </w:r>
      <w:r>
        <w:rPr>
          <w:rFonts w:hint="eastAsia" w:ascii="仿宋" w:hAnsi="仿宋" w:eastAsia="仿宋" w:cs="仿宋"/>
          <w:color w:val="auto"/>
          <w:szCs w:val="21"/>
          <w:highlight w:val="none"/>
          <w:u w:val="single"/>
          <w:lang w:val="en-US" w:eastAsia="zh-Hans"/>
        </w:rPr>
        <w:t>但不得与招标文件中的实质性内容相背离</w:t>
      </w:r>
      <w:r>
        <w:rPr>
          <w:rFonts w:hint="default" w:ascii="仿宋" w:hAnsi="仿宋" w:eastAsia="仿宋" w:cs="仿宋"/>
          <w:color w:val="auto"/>
          <w:szCs w:val="21"/>
          <w:highlight w:val="none"/>
          <w:u w:val="single"/>
          <w:lang w:eastAsia="zh-Hans"/>
        </w:rPr>
        <w:t>。</w:t>
      </w:r>
    </w:p>
    <w:p w14:paraId="601F3108">
      <w:pPr>
        <w:adjustRightInd/>
        <w:spacing w:line="400" w:lineRule="exact"/>
        <w:ind w:firstLine="420" w:firstLineChars="200"/>
        <w:outlineLvl w:val="0"/>
        <w:rPr>
          <w:rFonts w:hint="eastAsia" w:ascii="仿宋" w:hAnsi="仿宋" w:eastAsia="仿宋" w:cs="仿宋"/>
          <w:color w:val="auto"/>
          <w:szCs w:val="21"/>
          <w:highlight w:val="none"/>
        </w:rPr>
      </w:pPr>
      <w:bookmarkStart w:id="431" w:name="_Toc2890"/>
      <w:bookmarkStart w:id="432" w:name="_Toc12132"/>
      <w:bookmarkStart w:id="433" w:name="_Toc9230"/>
      <w:bookmarkStart w:id="434" w:name="_Toc15225"/>
      <w:bookmarkStart w:id="435" w:name="_Toc12400"/>
      <w:bookmarkStart w:id="436" w:name="_Toc17574"/>
      <w:r>
        <w:rPr>
          <w:rFonts w:hint="eastAsia" w:ascii="仿宋" w:hAnsi="仿宋" w:eastAsia="仿宋" w:cs="仿宋"/>
          <w:color w:val="auto"/>
          <w:szCs w:val="21"/>
          <w:highlight w:val="none"/>
        </w:rPr>
        <w:t>1.6 图纸和承包人文件</w:t>
      </w:r>
      <w:bookmarkEnd w:id="431"/>
      <w:bookmarkEnd w:id="432"/>
      <w:bookmarkEnd w:id="433"/>
      <w:bookmarkEnd w:id="434"/>
      <w:bookmarkEnd w:id="435"/>
      <w:bookmarkEnd w:id="436"/>
      <w:r>
        <w:rPr>
          <w:rFonts w:hint="eastAsia" w:ascii="仿宋" w:hAnsi="仿宋" w:eastAsia="仿宋" w:cs="仿宋"/>
          <w:color w:val="auto"/>
          <w:szCs w:val="21"/>
          <w:highlight w:val="none"/>
        </w:rPr>
        <w:tab/>
      </w:r>
    </w:p>
    <w:p w14:paraId="2E2071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图纸的提供</w:t>
      </w:r>
    </w:p>
    <w:p w14:paraId="06484C1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发包人向承包人提供图纸的期限：</w:t>
      </w:r>
      <w:r>
        <w:rPr>
          <w:rFonts w:hint="eastAsia" w:ascii="仿宋" w:hAnsi="仿宋" w:eastAsia="仿宋" w:cs="仿宋"/>
          <w:color w:val="auto"/>
          <w:szCs w:val="21"/>
          <w:highlight w:val="none"/>
          <w:u w:val="single"/>
        </w:rPr>
        <w:t>开工前</w:t>
      </w:r>
      <w:r>
        <w:rPr>
          <w:rFonts w:hint="eastAsia" w:ascii="仿宋" w:hAnsi="仿宋" w:eastAsia="仿宋" w:cs="仿宋"/>
          <w:color w:val="auto"/>
          <w:szCs w:val="21"/>
          <w:highlight w:val="none"/>
        </w:rPr>
        <w:t>；</w:t>
      </w:r>
    </w:p>
    <w:p w14:paraId="010F9ED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发包人向承包人提供图纸的数量：</w:t>
      </w:r>
      <w:r>
        <w:rPr>
          <w:rFonts w:hint="eastAsia" w:ascii="仿宋" w:hAnsi="仿宋" w:eastAsia="仿宋" w:cs="仿宋"/>
          <w:color w:val="auto"/>
          <w:szCs w:val="21"/>
          <w:highlight w:val="none"/>
          <w:u w:val="single"/>
        </w:rPr>
        <w:t>三套</w:t>
      </w:r>
      <w:r>
        <w:rPr>
          <w:rFonts w:hint="eastAsia" w:ascii="仿宋" w:hAnsi="仿宋" w:eastAsia="仿宋" w:cs="仿宋"/>
          <w:color w:val="auto"/>
          <w:szCs w:val="21"/>
          <w:highlight w:val="none"/>
        </w:rPr>
        <w:t>；</w:t>
      </w:r>
    </w:p>
    <w:p w14:paraId="79FF159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发包人向承包人提供图纸的内容：</w:t>
      </w:r>
      <w:r>
        <w:rPr>
          <w:rFonts w:hint="eastAsia" w:ascii="仿宋" w:hAnsi="仿宋" w:eastAsia="仿宋" w:cs="仿宋"/>
          <w:color w:val="auto"/>
          <w:szCs w:val="21"/>
          <w:highlight w:val="none"/>
          <w:u w:val="single"/>
        </w:rPr>
        <w:t>全套施工图纸、设计联系单等</w:t>
      </w:r>
      <w:r>
        <w:rPr>
          <w:rFonts w:hint="eastAsia" w:ascii="仿宋" w:hAnsi="仿宋" w:eastAsia="仿宋" w:cs="仿宋"/>
          <w:color w:val="auto"/>
          <w:szCs w:val="21"/>
          <w:highlight w:val="none"/>
        </w:rPr>
        <w:t>。承包人未经发包人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许可</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不得泄露，并不能用于本合同项目以外的工程。</w:t>
      </w:r>
    </w:p>
    <w:p w14:paraId="5A893F8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1.6.4 承包人文件</w:t>
      </w:r>
    </w:p>
    <w:p w14:paraId="75F7B1C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需要由承包人提供的文件，包括：</w:t>
      </w:r>
      <w:r>
        <w:rPr>
          <w:rFonts w:hint="eastAsia" w:ascii="仿宋" w:hAnsi="仿宋" w:eastAsia="仿宋" w:cs="仿宋"/>
          <w:color w:val="auto"/>
          <w:szCs w:val="21"/>
          <w:highlight w:val="none"/>
          <w:u w:val="single"/>
        </w:rPr>
        <w:t xml:space="preserve">与工程施工有关的一切必要文件，包括但不仅限于施工组织设计、施工进度计划及发包人要求提供的各类文件、规范 </w:t>
      </w:r>
      <w:r>
        <w:rPr>
          <w:rFonts w:hint="eastAsia" w:ascii="仿宋" w:hAnsi="仿宋" w:eastAsia="仿宋" w:cs="仿宋"/>
          <w:color w:val="auto"/>
          <w:szCs w:val="21"/>
          <w:highlight w:val="none"/>
        </w:rPr>
        <w:t>；</w:t>
      </w:r>
    </w:p>
    <w:p w14:paraId="3B6B7F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承包人提供的文件的期限为：</w:t>
      </w:r>
      <w:r>
        <w:rPr>
          <w:rFonts w:hint="eastAsia" w:ascii="仿宋" w:hAnsi="仿宋" w:eastAsia="仿宋" w:cs="仿宋"/>
          <w:color w:val="auto"/>
          <w:szCs w:val="21"/>
          <w:highlight w:val="none"/>
          <w:u w:val="single"/>
        </w:rPr>
        <w:t>合同签署后7天内</w:t>
      </w:r>
      <w:r>
        <w:rPr>
          <w:rFonts w:hint="eastAsia" w:ascii="仿宋" w:hAnsi="仿宋" w:eastAsia="仿宋" w:cs="仿宋"/>
          <w:color w:val="auto"/>
          <w:szCs w:val="21"/>
          <w:highlight w:val="none"/>
        </w:rPr>
        <w:t>；</w:t>
      </w:r>
    </w:p>
    <w:p w14:paraId="1D7E3E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承包人提供的文件的数量为：</w:t>
      </w:r>
      <w:r>
        <w:rPr>
          <w:rFonts w:hint="eastAsia" w:ascii="仿宋" w:hAnsi="仿宋" w:eastAsia="仿宋" w:cs="仿宋"/>
          <w:color w:val="auto"/>
          <w:szCs w:val="21"/>
          <w:highlight w:val="none"/>
          <w:u w:val="single"/>
        </w:rPr>
        <w:t>一式叁份</w:t>
      </w:r>
      <w:r>
        <w:rPr>
          <w:rFonts w:hint="eastAsia" w:ascii="仿宋" w:hAnsi="仿宋" w:eastAsia="仿宋" w:cs="仿宋"/>
          <w:color w:val="auto"/>
          <w:szCs w:val="21"/>
          <w:highlight w:val="none"/>
        </w:rPr>
        <w:t>；</w:t>
      </w:r>
    </w:p>
    <w:p w14:paraId="667848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承包人提供的文件的形式为：</w:t>
      </w:r>
      <w:r>
        <w:rPr>
          <w:rFonts w:hint="eastAsia" w:ascii="仿宋" w:hAnsi="仿宋" w:eastAsia="仿宋" w:cs="仿宋"/>
          <w:color w:val="auto"/>
          <w:szCs w:val="21"/>
          <w:highlight w:val="none"/>
          <w:u w:val="single"/>
        </w:rPr>
        <w:t>盖单位公章的纸制文本及电子光盘</w:t>
      </w:r>
      <w:r>
        <w:rPr>
          <w:rFonts w:hint="eastAsia" w:ascii="仿宋" w:hAnsi="仿宋" w:eastAsia="仿宋" w:cs="仿宋"/>
          <w:color w:val="auto"/>
          <w:szCs w:val="21"/>
          <w:highlight w:val="none"/>
        </w:rPr>
        <w:t>；</w:t>
      </w:r>
    </w:p>
    <w:p w14:paraId="0A4A54E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发包人审批承包人文件的期限：</w:t>
      </w:r>
      <w:r>
        <w:rPr>
          <w:rFonts w:hint="eastAsia" w:ascii="仿宋" w:hAnsi="仿宋" w:eastAsia="仿宋" w:cs="仿宋"/>
          <w:color w:val="auto"/>
          <w:szCs w:val="21"/>
          <w:highlight w:val="none"/>
          <w:u w:val="single"/>
        </w:rPr>
        <w:t>收到承包人文件后14天内</w:t>
      </w:r>
      <w:r>
        <w:rPr>
          <w:rFonts w:hint="eastAsia" w:ascii="仿宋" w:hAnsi="仿宋" w:eastAsia="仿宋" w:cs="仿宋"/>
          <w:color w:val="auto"/>
          <w:szCs w:val="21"/>
          <w:highlight w:val="none"/>
        </w:rPr>
        <w:t>。</w:t>
      </w:r>
    </w:p>
    <w:p w14:paraId="61973C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1.6.5 现场图纸准备</w:t>
      </w:r>
    </w:p>
    <w:p w14:paraId="7BA282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关于现场图纸准备的约定：</w:t>
      </w:r>
      <w:r>
        <w:rPr>
          <w:rFonts w:hint="eastAsia" w:ascii="仿宋" w:hAnsi="仿宋" w:eastAsia="仿宋" w:cs="仿宋"/>
          <w:color w:val="auto"/>
          <w:szCs w:val="21"/>
          <w:highlight w:val="none"/>
          <w:u w:val="single"/>
        </w:rPr>
        <w:t>承包人应在施工现场另外保存一套完整的图纸和承包人文件，供发包人、监理人及有关人员进行工程检查时使用</w:t>
      </w:r>
      <w:r>
        <w:rPr>
          <w:rFonts w:hint="eastAsia" w:ascii="仿宋" w:hAnsi="仿宋" w:eastAsia="仿宋" w:cs="仿宋"/>
          <w:color w:val="auto"/>
          <w:szCs w:val="21"/>
          <w:highlight w:val="none"/>
        </w:rPr>
        <w:t>。</w:t>
      </w:r>
    </w:p>
    <w:p w14:paraId="2894E562">
      <w:pPr>
        <w:adjustRightInd/>
        <w:spacing w:line="400" w:lineRule="exact"/>
        <w:ind w:firstLine="420" w:firstLineChars="200"/>
        <w:outlineLvl w:val="0"/>
        <w:rPr>
          <w:rFonts w:hint="eastAsia" w:ascii="仿宋" w:hAnsi="仿宋" w:eastAsia="仿宋" w:cs="仿宋"/>
          <w:color w:val="auto"/>
          <w:szCs w:val="21"/>
          <w:highlight w:val="none"/>
        </w:rPr>
      </w:pPr>
      <w:bookmarkStart w:id="437" w:name="_Toc11801"/>
      <w:bookmarkStart w:id="438" w:name="_Toc29844"/>
      <w:bookmarkStart w:id="439" w:name="_Toc23445"/>
      <w:bookmarkStart w:id="440" w:name="_Toc18983"/>
      <w:bookmarkStart w:id="441" w:name="_Toc27250"/>
      <w:bookmarkStart w:id="442" w:name="_Toc15589"/>
      <w:r>
        <w:rPr>
          <w:rFonts w:hint="eastAsia" w:ascii="仿宋" w:hAnsi="仿宋" w:eastAsia="仿宋" w:cs="仿宋"/>
          <w:color w:val="auto"/>
          <w:szCs w:val="21"/>
          <w:highlight w:val="none"/>
        </w:rPr>
        <w:t>1.7 联络</w:t>
      </w:r>
      <w:bookmarkEnd w:id="437"/>
      <w:bookmarkEnd w:id="438"/>
      <w:bookmarkEnd w:id="439"/>
      <w:bookmarkEnd w:id="440"/>
      <w:bookmarkEnd w:id="441"/>
      <w:bookmarkEnd w:id="442"/>
    </w:p>
    <w:p w14:paraId="4AE328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1.7.1发包人和承包人应当在</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天内将与合同有关的通知、批准、证明、证书、指示、指令、要求、请求、同意、意见、确定和决定等书面函件送达对方当事人。</w:t>
      </w:r>
    </w:p>
    <w:p w14:paraId="1F0145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 发包人接收文件的地点：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A770D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发包人指定的接收人为：</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01D1A18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承包人接收文件的地点：</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1A8037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承包人指定的接收人为：</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231EF7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5F8943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监理人指定的接收人为：</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F80A53E">
      <w:pPr>
        <w:adjustRightInd/>
        <w:spacing w:line="400" w:lineRule="exact"/>
        <w:ind w:firstLine="420" w:firstLineChars="200"/>
        <w:outlineLvl w:val="0"/>
        <w:rPr>
          <w:rFonts w:hint="eastAsia" w:ascii="仿宋" w:hAnsi="仿宋" w:eastAsia="仿宋" w:cs="仿宋"/>
          <w:color w:val="auto"/>
          <w:szCs w:val="21"/>
          <w:highlight w:val="none"/>
        </w:rPr>
      </w:pPr>
      <w:bookmarkStart w:id="443" w:name="_Toc27894"/>
      <w:bookmarkStart w:id="444" w:name="_Toc28537"/>
      <w:bookmarkStart w:id="445" w:name="_Toc21968"/>
      <w:bookmarkStart w:id="446" w:name="_Toc9812"/>
      <w:bookmarkStart w:id="447" w:name="_Toc22177"/>
      <w:r>
        <w:rPr>
          <w:rFonts w:hint="eastAsia" w:ascii="仿宋" w:hAnsi="仿宋" w:eastAsia="仿宋" w:cs="仿宋"/>
          <w:color w:val="auto"/>
          <w:szCs w:val="21"/>
          <w:highlight w:val="none"/>
        </w:rPr>
        <w:t>1.10 交通运输</w:t>
      </w:r>
      <w:bookmarkEnd w:id="443"/>
      <w:bookmarkEnd w:id="444"/>
      <w:bookmarkEnd w:id="445"/>
      <w:bookmarkEnd w:id="446"/>
      <w:bookmarkEnd w:id="447"/>
    </w:p>
    <w:p w14:paraId="053DDEA3">
      <w:pPr>
        <w:adjustRightInd/>
        <w:spacing w:line="400" w:lineRule="exact"/>
        <w:ind w:firstLine="420" w:firstLineChars="200"/>
        <w:outlineLvl w:val="0"/>
        <w:rPr>
          <w:rFonts w:hint="eastAsia" w:ascii="仿宋" w:hAnsi="仿宋" w:eastAsia="仿宋" w:cs="仿宋"/>
          <w:color w:val="auto"/>
          <w:szCs w:val="21"/>
          <w:highlight w:val="none"/>
        </w:rPr>
      </w:pPr>
      <w:bookmarkStart w:id="448" w:name="_Toc14115"/>
      <w:bookmarkStart w:id="449" w:name="_Toc12880"/>
      <w:bookmarkStart w:id="450" w:name="_Toc26516"/>
      <w:bookmarkStart w:id="451" w:name="_Toc19724"/>
      <w:bookmarkStart w:id="452" w:name="_Toc1357"/>
      <w:bookmarkStart w:id="453" w:name="_Toc11125"/>
      <w:r>
        <w:rPr>
          <w:rFonts w:hint="eastAsia" w:ascii="仿宋" w:hAnsi="仿宋" w:eastAsia="仿宋" w:cs="仿宋"/>
          <w:color w:val="auto"/>
          <w:szCs w:val="21"/>
          <w:highlight w:val="none"/>
        </w:rPr>
        <w:t>1</w:t>
      </w:r>
      <w:bookmarkStart w:id="454" w:name="_Toc303539100"/>
      <w:bookmarkStart w:id="455" w:name="_Toc304295521"/>
      <w:bookmarkStart w:id="456" w:name="_Toc312677986"/>
      <w:bookmarkStart w:id="457" w:name="_Toc318581155"/>
      <w:bookmarkStart w:id="458" w:name="_Toc300934943"/>
      <w:r>
        <w:rPr>
          <w:rFonts w:hint="eastAsia" w:ascii="仿宋" w:hAnsi="仿宋" w:eastAsia="仿宋" w:cs="仿宋"/>
          <w:color w:val="auto"/>
          <w:szCs w:val="21"/>
          <w:highlight w:val="none"/>
        </w:rPr>
        <w:t>.10.1 出入现场的权利</w:t>
      </w:r>
      <w:bookmarkEnd w:id="448"/>
      <w:bookmarkEnd w:id="449"/>
      <w:bookmarkEnd w:id="450"/>
      <w:bookmarkEnd w:id="451"/>
      <w:bookmarkEnd w:id="452"/>
      <w:bookmarkEnd w:id="453"/>
    </w:p>
    <w:p w14:paraId="4FD259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关于出入现场的权利的约定：</w:t>
      </w:r>
      <w:r>
        <w:rPr>
          <w:rFonts w:hint="eastAsia" w:ascii="仿宋" w:hAnsi="仿宋" w:eastAsia="仿宋" w:cs="仿宋"/>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Pr>
          <w:rFonts w:hint="eastAsia" w:ascii="仿宋" w:hAnsi="仿宋" w:eastAsia="仿宋" w:cs="仿宋"/>
          <w:color w:val="auto"/>
          <w:szCs w:val="21"/>
          <w:highlight w:val="none"/>
        </w:rPr>
        <w:t>。</w:t>
      </w:r>
    </w:p>
    <w:bookmarkEnd w:id="454"/>
    <w:bookmarkEnd w:id="455"/>
    <w:bookmarkEnd w:id="456"/>
    <w:bookmarkEnd w:id="457"/>
    <w:bookmarkEnd w:id="458"/>
    <w:p w14:paraId="08F579C1">
      <w:pPr>
        <w:adjustRightInd/>
        <w:spacing w:line="400" w:lineRule="exact"/>
        <w:ind w:firstLine="420" w:firstLineChars="200"/>
        <w:outlineLvl w:val="0"/>
        <w:rPr>
          <w:rFonts w:hint="eastAsia" w:ascii="仿宋" w:hAnsi="仿宋" w:eastAsia="仿宋" w:cs="仿宋"/>
          <w:color w:val="auto"/>
          <w:szCs w:val="21"/>
          <w:highlight w:val="none"/>
        </w:rPr>
      </w:pPr>
      <w:bookmarkStart w:id="459" w:name="_Toc12053"/>
      <w:bookmarkStart w:id="460" w:name="_Toc5563"/>
      <w:bookmarkStart w:id="461" w:name="_Toc19291"/>
      <w:bookmarkStart w:id="462" w:name="_Toc3509"/>
      <w:bookmarkStart w:id="463" w:name="_Toc32641"/>
      <w:bookmarkStart w:id="464" w:name="_Toc10120"/>
      <w:r>
        <w:rPr>
          <w:rFonts w:hint="eastAsia" w:ascii="仿宋" w:hAnsi="仿宋" w:eastAsia="仿宋" w:cs="仿宋"/>
          <w:color w:val="auto"/>
          <w:szCs w:val="21"/>
          <w:highlight w:val="none"/>
        </w:rPr>
        <w:t>1</w:t>
      </w:r>
      <w:bookmarkStart w:id="465" w:name="_Toc303539101"/>
      <w:bookmarkStart w:id="466" w:name="_Toc312677987"/>
      <w:bookmarkStart w:id="467" w:name="_Toc318581156"/>
      <w:bookmarkStart w:id="468" w:name="_Toc300934944"/>
      <w:bookmarkStart w:id="469" w:name="_Toc304295522"/>
      <w:r>
        <w:rPr>
          <w:rFonts w:hint="eastAsia" w:ascii="仿宋" w:hAnsi="仿宋" w:eastAsia="仿宋" w:cs="仿宋"/>
          <w:color w:val="auto"/>
          <w:szCs w:val="21"/>
          <w:highlight w:val="none"/>
        </w:rPr>
        <w:t>.10.3 场内交通</w:t>
      </w:r>
      <w:bookmarkEnd w:id="459"/>
      <w:bookmarkEnd w:id="460"/>
      <w:bookmarkEnd w:id="461"/>
      <w:bookmarkEnd w:id="462"/>
      <w:bookmarkEnd w:id="463"/>
      <w:bookmarkEnd w:id="464"/>
    </w:p>
    <w:p w14:paraId="53BE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关于场外交通和场内交通的边界的约定：</w:t>
      </w:r>
      <w:r>
        <w:rPr>
          <w:rFonts w:hint="eastAsia" w:ascii="仿宋" w:hAnsi="仿宋" w:eastAsia="仿宋" w:cs="仿宋"/>
          <w:color w:val="auto"/>
          <w:szCs w:val="21"/>
          <w:highlight w:val="none"/>
          <w:u w:val="single"/>
        </w:rPr>
        <w:t>以本工程覆盖范围和区域为准</w:t>
      </w:r>
      <w:r>
        <w:rPr>
          <w:rFonts w:hint="eastAsia" w:ascii="仿宋" w:hAnsi="仿宋" w:eastAsia="仿宋" w:cs="仿宋"/>
          <w:color w:val="auto"/>
          <w:szCs w:val="21"/>
          <w:highlight w:val="none"/>
        </w:rPr>
        <w:t>。</w:t>
      </w:r>
    </w:p>
    <w:p w14:paraId="643AD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关于发包人向承包人免费提供满足工程施工需要的场内道路和交通设施的约定：</w:t>
      </w:r>
      <w:r>
        <w:rPr>
          <w:rFonts w:hint="eastAsia" w:ascii="仿宋" w:hAnsi="仿宋" w:eastAsia="仿宋" w:cs="仿宋"/>
          <w:color w:val="auto"/>
          <w:szCs w:val="21"/>
          <w:highlight w:val="none"/>
          <w:u w:val="single"/>
        </w:rPr>
        <w:t>承包人在投标前已自行踏勘确定并且无异议，严格组织交通，自行跟交通部门沟通协调，并承担相应费用</w:t>
      </w:r>
      <w:r>
        <w:rPr>
          <w:rFonts w:hint="eastAsia" w:ascii="仿宋" w:hAnsi="仿宋" w:eastAsia="仿宋" w:cs="仿宋"/>
          <w:color w:val="auto"/>
          <w:szCs w:val="21"/>
          <w:highlight w:val="none"/>
        </w:rPr>
        <w:t>。</w:t>
      </w:r>
      <w:bookmarkEnd w:id="465"/>
      <w:bookmarkEnd w:id="466"/>
      <w:bookmarkEnd w:id="467"/>
      <w:bookmarkEnd w:id="468"/>
      <w:bookmarkEnd w:id="469"/>
      <w:bookmarkStart w:id="470" w:name="_Toc318581157"/>
    </w:p>
    <w:p w14:paraId="50F8A9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1.10.4超大件和超重件的运输</w:t>
      </w:r>
    </w:p>
    <w:p w14:paraId="2FE260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运输超大件或超重件所需的道路和桥梁临时加固改造费用和其他有关费用由</w:t>
      </w:r>
      <w:r>
        <w:rPr>
          <w:rFonts w:hint="eastAsia" w:ascii="仿宋" w:hAnsi="仿宋" w:eastAsia="仿宋" w:cs="仿宋"/>
          <w:color w:val="auto"/>
          <w:szCs w:val="21"/>
          <w:highlight w:val="none"/>
          <w:u w:val="single"/>
        </w:rPr>
        <w:t xml:space="preserve">  承包方  </w:t>
      </w:r>
      <w:r>
        <w:rPr>
          <w:rFonts w:hint="eastAsia" w:ascii="仿宋" w:hAnsi="仿宋" w:eastAsia="仿宋" w:cs="仿宋"/>
          <w:color w:val="auto"/>
          <w:szCs w:val="21"/>
          <w:highlight w:val="none"/>
        </w:rPr>
        <w:t>承担。</w:t>
      </w:r>
    </w:p>
    <w:bookmarkEnd w:id="470"/>
    <w:p w14:paraId="1FD05F49">
      <w:pPr>
        <w:adjustRightInd/>
        <w:spacing w:line="400" w:lineRule="exact"/>
        <w:ind w:firstLine="420" w:firstLineChars="200"/>
        <w:outlineLvl w:val="0"/>
        <w:rPr>
          <w:rFonts w:hint="eastAsia" w:ascii="仿宋" w:hAnsi="仿宋" w:eastAsia="仿宋" w:cs="仿宋"/>
          <w:color w:val="auto"/>
          <w:szCs w:val="21"/>
          <w:highlight w:val="none"/>
        </w:rPr>
      </w:pPr>
      <w:bookmarkStart w:id="471" w:name="_Toc10508"/>
      <w:bookmarkStart w:id="472" w:name="_Toc12609"/>
      <w:bookmarkStart w:id="473" w:name="_Toc13086"/>
      <w:bookmarkStart w:id="474" w:name="_Toc30240"/>
      <w:bookmarkStart w:id="475" w:name="_Toc20663"/>
      <w:bookmarkStart w:id="476" w:name="_Toc6135"/>
      <w:r>
        <w:rPr>
          <w:rFonts w:hint="eastAsia" w:ascii="仿宋" w:hAnsi="仿宋" w:eastAsia="仿宋" w:cs="仿宋"/>
          <w:color w:val="auto"/>
          <w:szCs w:val="21"/>
          <w:highlight w:val="none"/>
        </w:rPr>
        <w:t>1.11 知识产权</w:t>
      </w:r>
      <w:bookmarkEnd w:id="471"/>
      <w:bookmarkEnd w:id="472"/>
      <w:bookmarkEnd w:id="473"/>
      <w:bookmarkEnd w:id="474"/>
      <w:bookmarkEnd w:id="475"/>
      <w:bookmarkEnd w:id="476"/>
    </w:p>
    <w:p w14:paraId="3FBDF0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Cs w:val="21"/>
          <w:highlight w:val="none"/>
          <w:u w:val="single"/>
        </w:rPr>
        <w:t>归发包人</w:t>
      </w:r>
      <w:r>
        <w:rPr>
          <w:rFonts w:hint="eastAsia" w:ascii="仿宋" w:hAnsi="仿宋" w:eastAsia="仿宋" w:cs="仿宋"/>
          <w:color w:val="auto"/>
          <w:szCs w:val="21"/>
          <w:highlight w:val="none"/>
        </w:rPr>
        <w:t>。</w:t>
      </w:r>
    </w:p>
    <w:p w14:paraId="0E76805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关于发包人提供的上述文件的使用限制的要求</w:t>
      </w:r>
      <w:r>
        <w:rPr>
          <w:rFonts w:hint="eastAsia" w:ascii="仿宋" w:hAnsi="仿宋" w:eastAsia="仿宋" w:cs="仿宋"/>
          <w:color w:val="auto"/>
          <w:szCs w:val="21"/>
          <w:highlight w:val="none"/>
          <w:u w:val="single"/>
          <w:lang w:eastAsia="zh-Hans"/>
        </w:rPr>
        <w:t>： 未经发包人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lang w:eastAsia="zh-Hans"/>
        </w:rPr>
        <w:t>同意，不得用于</w:t>
      </w:r>
      <w:r>
        <w:rPr>
          <w:rFonts w:hint="eastAsia" w:ascii="仿宋" w:hAnsi="仿宋" w:eastAsia="仿宋" w:cs="仿宋"/>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r>
        <w:rPr>
          <w:rFonts w:hint="eastAsia" w:ascii="仿宋" w:hAnsi="仿宋" w:eastAsia="仿宋" w:cs="仿宋"/>
          <w:color w:val="auto"/>
          <w:szCs w:val="21"/>
          <w:highlight w:val="none"/>
          <w:u w:val="single"/>
          <w:lang w:eastAsia="zh-Hans"/>
        </w:rPr>
        <w:t>。</w:t>
      </w:r>
    </w:p>
    <w:p w14:paraId="6636E2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 关于承包人为实施工程所编制文件的著作权的归属：</w:t>
      </w:r>
      <w:r>
        <w:rPr>
          <w:rFonts w:hint="eastAsia" w:ascii="仿宋" w:hAnsi="仿宋" w:eastAsia="仿宋" w:cs="仿宋"/>
          <w:color w:val="auto"/>
          <w:szCs w:val="21"/>
          <w:highlight w:val="none"/>
          <w:u w:val="single"/>
        </w:rPr>
        <w:t xml:space="preserve"> 归发包人</w:t>
      </w:r>
      <w:r>
        <w:rPr>
          <w:rFonts w:hint="eastAsia" w:ascii="仿宋" w:hAnsi="仿宋" w:eastAsia="仿宋" w:cs="仿宋"/>
          <w:color w:val="auto"/>
          <w:szCs w:val="21"/>
          <w:highlight w:val="none"/>
        </w:rPr>
        <w:t>。</w:t>
      </w:r>
    </w:p>
    <w:p w14:paraId="446FF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关于承包人提供的上述文件的使用限制的要求：</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仅</w:t>
      </w:r>
      <w:r>
        <w:rPr>
          <w:rFonts w:hint="eastAsia" w:ascii="仿宋" w:hAnsi="仿宋" w:eastAsia="仿宋" w:cs="仿宋"/>
          <w:color w:val="auto"/>
          <w:szCs w:val="21"/>
          <w:highlight w:val="none"/>
          <w:u w:val="single"/>
        </w:rPr>
        <w:t xml:space="preserve">用于本工程 </w:t>
      </w:r>
      <w:r>
        <w:rPr>
          <w:rFonts w:hint="eastAsia" w:ascii="仿宋" w:hAnsi="仿宋" w:eastAsia="仿宋" w:cs="仿宋"/>
          <w:color w:val="auto"/>
          <w:szCs w:val="21"/>
          <w:highlight w:val="none"/>
        </w:rPr>
        <w:t>。</w:t>
      </w:r>
    </w:p>
    <w:p w14:paraId="5A055DBF">
      <w:pPr>
        <w:adjustRightInd/>
        <w:spacing w:line="400" w:lineRule="exact"/>
        <w:ind w:firstLine="420" w:firstLineChars="200"/>
        <w:outlineLvl w:val="0"/>
        <w:rPr>
          <w:rFonts w:hint="eastAsia" w:ascii="仿宋" w:hAnsi="仿宋" w:eastAsia="仿宋" w:cs="仿宋"/>
          <w:color w:val="auto"/>
          <w:szCs w:val="21"/>
          <w:highlight w:val="none"/>
          <w:u w:val="single"/>
        </w:rPr>
      </w:pPr>
      <w:bookmarkStart w:id="477" w:name="_Toc20939"/>
      <w:bookmarkStart w:id="478" w:name="_Toc19984"/>
      <w:bookmarkStart w:id="479" w:name="_Toc14008"/>
      <w:bookmarkStart w:id="480" w:name="_Toc2022"/>
      <w:bookmarkStart w:id="481" w:name="_Toc3928"/>
      <w:bookmarkStart w:id="482" w:name="_Toc27901"/>
      <w:r>
        <w:rPr>
          <w:rFonts w:hint="eastAsia" w:ascii="仿宋" w:hAnsi="仿宋" w:eastAsia="仿宋" w:cs="仿宋"/>
          <w:color w:val="auto"/>
          <w:szCs w:val="21"/>
          <w:highlight w:val="none"/>
        </w:rPr>
        <w:t>1.11.4 承包人在施工过程中所采用的专利、专有技术、技术秘密的使用费的承担方式：</w:t>
      </w:r>
      <w:r>
        <w:rPr>
          <w:rFonts w:hint="eastAsia" w:ascii="仿宋" w:hAnsi="仿宋" w:eastAsia="仿宋" w:cs="仿宋"/>
          <w:color w:val="auto"/>
          <w:szCs w:val="21"/>
          <w:highlight w:val="none"/>
          <w:u w:val="single"/>
        </w:rPr>
        <w:t xml:space="preserve">（除发包人指明外）承包人在施工过程中所采用的专利、专有技术、技术秘密的使用费包含在合同价款内，同时承包人需保证不会侵犯任何其他第三人的权利 </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否则</w:t>
      </w:r>
      <w:r>
        <w:rPr>
          <w:rFonts w:hint="eastAsia" w:ascii="仿宋" w:hAnsi="仿宋" w:eastAsia="仿宋" w:cs="仿宋"/>
          <w:color w:val="auto"/>
          <w:szCs w:val="21"/>
          <w:highlight w:val="none"/>
          <w:u w:val="single"/>
          <w:lang w:eastAsia="zh-Hans"/>
        </w:rPr>
        <w:t>，</w:t>
      </w:r>
      <w:r>
        <w:rPr>
          <w:rFonts w:hint="eastAsia" w:ascii="仿宋" w:hAnsi="仿宋" w:eastAsia="仿宋" w:cs="仿宋"/>
          <w:bCs w:val="0"/>
          <w:color w:val="auto"/>
          <w:sz w:val="21"/>
          <w:szCs w:val="21"/>
          <w:highlight w:val="none"/>
          <w:u w:val="single"/>
          <w:lang w:val="en-US" w:eastAsia="zh-CN"/>
        </w:rPr>
        <w:t>承包人</w:t>
      </w:r>
      <w:r>
        <w:rPr>
          <w:rFonts w:hint="eastAsia" w:ascii="仿宋" w:hAnsi="仿宋" w:eastAsia="仿宋" w:cs="仿宋"/>
          <w:bCs w:val="0"/>
          <w:color w:val="auto"/>
          <w:sz w:val="21"/>
          <w:szCs w:val="21"/>
          <w:highlight w:val="none"/>
          <w:u w:val="single"/>
        </w:rPr>
        <w:t>应负责消除</w:t>
      </w:r>
      <w:r>
        <w:rPr>
          <w:rFonts w:hint="eastAsia" w:ascii="仿宋" w:hAnsi="仿宋" w:eastAsia="仿宋" w:cs="仿宋"/>
          <w:bCs w:val="0"/>
          <w:color w:val="auto"/>
          <w:sz w:val="21"/>
          <w:szCs w:val="21"/>
          <w:highlight w:val="none"/>
          <w:u w:val="single"/>
          <w:lang w:val="en-US" w:eastAsia="zh-CN"/>
        </w:rPr>
        <w:t>影响及所</w:t>
      </w:r>
      <w:r>
        <w:rPr>
          <w:rFonts w:hint="eastAsia" w:ascii="仿宋" w:hAnsi="仿宋" w:eastAsia="仿宋" w:cs="仿宋"/>
          <w:bCs w:val="0"/>
          <w:color w:val="auto"/>
          <w:sz w:val="21"/>
          <w:szCs w:val="21"/>
          <w:highlight w:val="none"/>
          <w:u w:val="single"/>
          <w:lang w:val="en-US" w:eastAsia="zh-Hans"/>
        </w:rPr>
        <w:t>采用</w:t>
      </w:r>
      <w:r>
        <w:rPr>
          <w:rFonts w:hint="eastAsia" w:ascii="仿宋" w:hAnsi="仿宋" w:eastAsia="仿宋" w:cs="仿宋"/>
          <w:bCs w:val="0"/>
          <w:color w:val="auto"/>
          <w:sz w:val="21"/>
          <w:szCs w:val="21"/>
          <w:highlight w:val="none"/>
          <w:u w:val="single"/>
          <w:lang w:val="en-US" w:eastAsia="zh-CN"/>
        </w:rPr>
        <w:t>的</w:t>
      </w:r>
      <w:r>
        <w:rPr>
          <w:rFonts w:hint="eastAsia" w:ascii="仿宋" w:hAnsi="仿宋" w:eastAsia="仿宋" w:cs="仿宋"/>
          <w:color w:val="auto"/>
          <w:szCs w:val="21"/>
          <w:highlight w:val="none"/>
          <w:u w:val="single"/>
        </w:rPr>
        <w:t>专利、专有技术、技术秘密</w:t>
      </w:r>
      <w:r>
        <w:rPr>
          <w:rFonts w:hint="eastAsia" w:ascii="仿宋" w:hAnsi="仿宋" w:eastAsia="仿宋" w:cs="仿宋"/>
          <w:bCs w:val="0"/>
          <w:color w:val="auto"/>
          <w:sz w:val="21"/>
          <w:szCs w:val="21"/>
          <w:highlight w:val="none"/>
          <w:u w:val="single"/>
          <w:lang w:val="en-US" w:eastAsia="zh-CN"/>
        </w:rPr>
        <w:t>或其任何一部分上</w:t>
      </w:r>
      <w:r>
        <w:rPr>
          <w:rFonts w:hint="eastAsia" w:ascii="仿宋" w:hAnsi="仿宋" w:eastAsia="仿宋" w:cs="仿宋"/>
          <w:bCs w:val="0"/>
          <w:color w:val="auto"/>
          <w:spacing w:val="0"/>
          <w:sz w:val="21"/>
          <w:szCs w:val="21"/>
          <w:highlight w:val="none"/>
          <w:u w:val="single"/>
        </w:rPr>
        <w:t>所存在的全部法律障碍，</w:t>
      </w:r>
      <w:r>
        <w:rPr>
          <w:rFonts w:hint="eastAsia" w:ascii="仿宋" w:hAnsi="仿宋" w:eastAsia="仿宋" w:cs="仿宋"/>
          <w:bCs w:val="0"/>
          <w:color w:val="auto"/>
          <w:spacing w:val="0"/>
          <w:sz w:val="21"/>
          <w:szCs w:val="21"/>
          <w:highlight w:val="none"/>
          <w:u w:val="single"/>
          <w:lang w:val="en-US" w:eastAsia="zh-CN"/>
        </w:rPr>
        <w:t>并对由此引起的纠纷和罚款等负责</w:t>
      </w:r>
      <w:r>
        <w:rPr>
          <w:rFonts w:hint="default" w:ascii="仿宋" w:hAnsi="仿宋" w:eastAsia="仿宋" w:cs="仿宋"/>
          <w:bCs w:val="0"/>
          <w:color w:val="auto"/>
          <w:spacing w:val="0"/>
          <w:sz w:val="21"/>
          <w:szCs w:val="21"/>
          <w:highlight w:val="none"/>
          <w:u w:val="single"/>
          <w:lang w:eastAsia="zh-CN"/>
        </w:rPr>
        <w:t>，</w:t>
      </w:r>
      <w:r>
        <w:rPr>
          <w:rFonts w:hint="eastAsia" w:ascii="仿宋" w:hAnsi="仿宋" w:eastAsia="仿宋" w:cs="仿宋"/>
          <w:bCs w:val="0"/>
          <w:color w:val="auto"/>
          <w:spacing w:val="0"/>
          <w:sz w:val="21"/>
          <w:szCs w:val="21"/>
          <w:highlight w:val="none"/>
          <w:u w:val="single"/>
          <w:lang w:val="en-US" w:eastAsia="zh-Hans"/>
        </w:rPr>
        <w:t>同时</w:t>
      </w:r>
      <w:r>
        <w:rPr>
          <w:rFonts w:hint="eastAsia" w:ascii="仿宋" w:hAnsi="仿宋" w:eastAsia="仿宋" w:cs="仿宋"/>
          <w:color w:val="auto"/>
          <w:szCs w:val="21"/>
          <w:highlight w:val="none"/>
          <w:u w:val="single"/>
          <w:lang w:val="en-US" w:eastAsia="zh-Hans"/>
        </w:rPr>
        <w:t>需承担因此给发包人造成的全部损失</w:t>
      </w:r>
      <w:r>
        <w:rPr>
          <w:rFonts w:hint="eastAsia" w:ascii="仿宋" w:hAnsi="仿宋" w:eastAsia="仿宋" w:cs="仿宋"/>
          <w:color w:val="auto"/>
          <w:szCs w:val="21"/>
          <w:highlight w:val="none"/>
          <w:u w:val="single"/>
        </w:rPr>
        <w:t xml:space="preserve"> 。</w:t>
      </w:r>
      <w:bookmarkEnd w:id="477"/>
      <w:bookmarkEnd w:id="478"/>
      <w:bookmarkEnd w:id="479"/>
      <w:bookmarkEnd w:id="480"/>
      <w:bookmarkEnd w:id="481"/>
      <w:bookmarkEnd w:id="482"/>
    </w:p>
    <w:p w14:paraId="1D0F0F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1.13工程量清单错误的修正</w:t>
      </w:r>
    </w:p>
    <w:p w14:paraId="7F0DAF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出现工程量清单错误时，是否调整合同价格：</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9D1F0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允许调整合同价格的工程量偏差范围：</w:t>
      </w:r>
      <w:r>
        <w:rPr>
          <w:rFonts w:hint="eastAsia" w:ascii="仿宋" w:hAnsi="仿宋" w:eastAsia="仿宋" w:cs="仿宋"/>
          <w:color w:val="auto"/>
          <w:szCs w:val="21"/>
          <w:highlight w:val="none"/>
          <w:u w:val="single"/>
        </w:rPr>
        <w:t xml:space="preserve">（1） 固定单价合同的工程量在结算时按实结算，调整的原则参照10.4变更估价。（2）调整合同价格的修正时间：在竣工结算时审核后调整 </w:t>
      </w:r>
      <w:r>
        <w:rPr>
          <w:rFonts w:hint="eastAsia" w:ascii="仿宋" w:hAnsi="仿宋" w:eastAsia="仿宋" w:cs="仿宋"/>
          <w:color w:val="auto"/>
          <w:szCs w:val="21"/>
          <w:highlight w:val="none"/>
        </w:rPr>
        <w:t>。</w:t>
      </w:r>
    </w:p>
    <w:p w14:paraId="335D79C8">
      <w:pPr>
        <w:keepNext/>
        <w:keepLines/>
        <w:adjustRightInd/>
        <w:spacing w:line="400" w:lineRule="exact"/>
        <w:outlineLvl w:val="3"/>
        <w:rPr>
          <w:rFonts w:hint="eastAsia" w:ascii="仿宋" w:hAnsi="仿宋" w:eastAsia="仿宋" w:cs="仿宋"/>
          <w:bCs/>
          <w:color w:val="auto"/>
          <w:szCs w:val="21"/>
          <w:highlight w:val="none"/>
        </w:rPr>
      </w:pPr>
      <w:bookmarkStart w:id="483" w:name="_Toc351203634"/>
      <w:r>
        <w:rPr>
          <w:rFonts w:hint="eastAsia" w:ascii="仿宋" w:hAnsi="仿宋" w:eastAsia="仿宋" w:cs="仿宋"/>
          <w:bCs/>
          <w:color w:val="auto"/>
          <w:szCs w:val="21"/>
          <w:highlight w:val="none"/>
        </w:rPr>
        <w:t>2</w:t>
      </w:r>
      <w:bookmarkStart w:id="484" w:name="_Toc296944496"/>
      <w:bookmarkStart w:id="485" w:name="_Toc296346658"/>
      <w:bookmarkStart w:id="486" w:name="_Toc296891197"/>
      <w:bookmarkStart w:id="487" w:name="_Toc292559362"/>
      <w:bookmarkStart w:id="488" w:name="_Toc296503157"/>
      <w:bookmarkStart w:id="489" w:name="_Toc292559867"/>
      <w:bookmarkStart w:id="490" w:name="_Toc296347156"/>
      <w:bookmarkStart w:id="491" w:name="_Toc296890985"/>
      <w:bookmarkStart w:id="492" w:name="_Toc297048343"/>
      <w:bookmarkStart w:id="493" w:name="_Toc297120457"/>
      <w:r>
        <w:rPr>
          <w:rFonts w:hint="eastAsia" w:ascii="仿宋" w:hAnsi="仿宋" w:eastAsia="仿宋" w:cs="仿宋"/>
          <w:bCs/>
          <w:color w:val="auto"/>
          <w:szCs w:val="21"/>
          <w:highlight w:val="none"/>
        </w:rPr>
        <w:t>. 发包人</w:t>
      </w:r>
      <w:bookmarkEnd w:id="483"/>
    </w:p>
    <w:bookmarkEnd w:id="484"/>
    <w:bookmarkEnd w:id="485"/>
    <w:bookmarkEnd w:id="486"/>
    <w:bookmarkEnd w:id="487"/>
    <w:bookmarkEnd w:id="488"/>
    <w:bookmarkEnd w:id="489"/>
    <w:bookmarkEnd w:id="490"/>
    <w:bookmarkEnd w:id="491"/>
    <w:bookmarkEnd w:id="492"/>
    <w:bookmarkEnd w:id="493"/>
    <w:p w14:paraId="5C67C775">
      <w:pPr>
        <w:adjustRightInd/>
        <w:spacing w:line="400" w:lineRule="exact"/>
        <w:ind w:firstLine="420" w:firstLineChars="200"/>
        <w:outlineLvl w:val="0"/>
        <w:rPr>
          <w:rFonts w:hint="eastAsia" w:ascii="仿宋" w:hAnsi="仿宋" w:eastAsia="仿宋" w:cs="仿宋"/>
          <w:color w:val="auto"/>
          <w:szCs w:val="21"/>
          <w:highlight w:val="none"/>
        </w:rPr>
      </w:pPr>
      <w:bookmarkStart w:id="494" w:name="_Toc28237"/>
      <w:bookmarkStart w:id="495" w:name="_Toc2698"/>
      <w:bookmarkStart w:id="496" w:name="_Toc2439"/>
      <w:bookmarkStart w:id="497" w:name="_Toc18299"/>
      <w:bookmarkStart w:id="498" w:name="_Toc12738"/>
      <w:bookmarkStart w:id="499" w:name="_Toc2298"/>
      <w:r>
        <w:rPr>
          <w:rFonts w:hint="eastAsia" w:ascii="仿宋" w:hAnsi="仿宋" w:eastAsia="仿宋" w:cs="仿宋"/>
          <w:color w:val="auto"/>
          <w:szCs w:val="21"/>
          <w:highlight w:val="none"/>
        </w:rPr>
        <w:t>2.2 发包人代表</w:t>
      </w:r>
      <w:bookmarkEnd w:id="494"/>
      <w:bookmarkEnd w:id="495"/>
      <w:bookmarkEnd w:id="496"/>
      <w:bookmarkEnd w:id="497"/>
      <w:bookmarkEnd w:id="498"/>
      <w:bookmarkEnd w:id="499"/>
    </w:p>
    <w:p w14:paraId="4513DF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发包人代表：</w:t>
      </w:r>
    </w:p>
    <w:p w14:paraId="068D9A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04AA9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71935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7C4C9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72DE76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4F9840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66CCFAC">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发包人对发包人代表的授权范围如下：</w:t>
      </w:r>
      <w:r>
        <w:rPr>
          <w:rFonts w:hint="eastAsia" w:ascii="仿宋" w:hAnsi="仿宋" w:eastAsia="仿宋" w:cs="仿宋"/>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p>
    <w:p w14:paraId="5F114FC8">
      <w:pPr>
        <w:adjustRightInd/>
        <w:spacing w:line="400" w:lineRule="exact"/>
        <w:ind w:firstLine="420" w:firstLineChars="200"/>
        <w:outlineLvl w:val="0"/>
        <w:rPr>
          <w:rFonts w:hint="eastAsia" w:ascii="仿宋" w:hAnsi="仿宋" w:eastAsia="仿宋" w:cs="仿宋"/>
          <w:color w:val="auto"/>
          <w:szCs w:val="21"/>
          <w:highlight w:val="none"/>
        </w:rPr>
      </w:pPr>
      <w:bookmarkStart w:id="500" w:name="_Toc13428"/>
      <w:bookmarkStart w:id="501" w:name="_Toc22156"/>
      <w:bookmarkStart w:id="502" w:name="_Toc32311"/>
      <w:bookmarkStart w:id="503" w:name="_Toc23588"/>
      <w:bookmarkStart w:id="504" w:name="_Toc10089"/>
      <w:bookmarkStart w:id="505" w:name="_Toc12804"/>
      <w:r>
        <w:rPr>
          <w:rFonts w:hint="eastAsia" w:ascii="仿宋" w:hAnsi="仿宋" w:eastAsia="仿宋" w:cs="仿宋"/>
          <w:color w:val="auto"/>
          <w:szCs w:val="21"/>
          <w:highlight w:val="none"/>
        </w:rPr>
        <w:t>2.4 施工现场、施工条件和基础资料的提供</w:t>
      </w:r>
      <w:bookmarkEnd w:id="500"/>
      <w:bookmarkEnd w:id="501"/>
      <w:bookmarkEnd w:id="502"/>
      <w:bookmarkEnd w:id="503"/>
      <w:bookmarkEnd w:id="504"/>
      <w:bookmarkEnd w:id="505"/>
    </w:p>
    <w:p w14:paraId="18904F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 提供施工现场</w:t>
      </w:r>
    </w:p>
    <w:p w14:paraId="4D3AF2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关于发包人移交施工现场的期限要求：</w:t>
      </w:r>
      <w:r>
        <w:rPr>
          <w:rFonts w:hint="eastAsia" w:ascii="仿宋" w:hAnsi="仿宋" w:eastAsia="仿宋" w:cs="仿宋"/>
          <w:color w:val="auto"/>
          <w:szCs w:val="21"/>
          <w:highlight w:val="none"/>
          <w:u w:val="single"/>
        </w:rPr>
        <w:t xml:space="preserve">开工前7天移交  </w:t>
      </w:r>
      <w:r>
        <w:rPr>
          <w:rFonts w:hint="eastAsia" w:ascii="仿宋" w:hAnsi="仿宋" w:eastAsia="仿宋" w:cs="仿宋"/>
          <w:color w:val="auto"/>
          <w:szCs w:val="21"/>
          <w:highlight w:val="none"/>
        </w:rPr>
        <w:t>。</w:t>
      </w:r>
    </w:p>
    <w:p w14:paraId="150F228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 提供施工条件</w:t>
      </w:r>
    </w:p>
    <w:p w14:paraId="567D153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关于发包人应负责提供施工所需要的条件，包括：</w:t>
      </w:r>
      <w:r>
        <w:rPr>
          <w:rFonts w:hint="eastAsia" w:ascii="仿宋" w:hAnsi="仿宋" w:eastAsia="仿宋" w:cs="仿宋"/>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仿宋" w:hAnsi="仿宋" w:eastAsia="仿宋" w:cs="仿宋"/>
          <w:color w:val="auto"/>
          <w:szCs w:val="21"/>
          <w:highlight w:val="none"/>
        </w:rPr>
        <w:t>。</w:t>
      </w:r>
    </w:p>
    <w:p w14:paraId="52287BE4">
      <w:pPr>
        <w:adjustRightInd/>
        <w:spacing w:line="400" w:lineRule="exact"/>
        <w:ind w:firstLine="420" w:firstLineChars="200"/>
        <w:outlineLvl w:val="0"/>
        <w:rPr>
          <w:rFonts w:hint="eastAsia" w:ascii="仿宋" w:hAnsi="仿宋" w:eastAsia="仿宋" w:cs="仿宋"/>
          <w:color w:val="auto"/>
          <w:szCs w:val="21"/>
          <w:highlight w:val="none"/>
        </w:rPr>
      </w:pPr>
      <w:bookmarkStart w:id="506" w:name="_Toc21675"/>
      <w:bookmarkStart w:id="507" w:name="_Toc3066"/>
      <w:bookmarkStart w:id="508" w:name="_Toc13044"/>
      <w:bookmarkStart w:id="509" w:name="_Toc8543"/>
      <w:bookmarkStart w:id="510" w:name="_Toc25543"/>
      <w:bookmarkStart w:id="511" w:name="_Toc2162"/>
      <w:r>
        <w:rPr>
          <w:rFonts w:hint="eastAsia" w:ascii="仿宋" w:hAnsi="仿宋" w:eastAsia="仿宋" w:cs="仿宋"/>
          <w:color w:val="auto"/>
          <w:szCs w:val="21"/>
          <w:highlight w:val="none"/>
        </w:rPr>
        <w:t>2.5 资金来源证明及支付担保</w:t>
      </w:r>
      <w:bookmarkEnd w:id="506"/>
      <w:bookmarkEnd w:id="507"/>
      <w:bookmarkEnd w:id="508"/>
      <w:bookmarkEnd w:id="509"/>
      <w:bookmarkEnd w:id="510"/>
      <w:bookmarkEnd w:id="511"/>
    </w:p>
    <w:p w14:paraId="5184C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发包人提供资金来源证明的期限要求：</w:t>
      </w:r>
      <w:r>
        <w:rPr>
          <w:rFonts w:hint="eastAsia" w:ascii="仿宋" w:hAnsi="仿宋" w:eastAsia="仿宋" w:cs="仿宋"/>
          <w:color w:val="auto"/>
          <w:szCs w:val="21"/>
          <w:highlight w:val="none"/>
          <w:u w:val="single"/>
        </w:rPr>
        <w:t></w:t>
      </w:r>
      <w:bookmarkStart w:id="512" w:name="_Hlk33896154"/>
      <w:r>
        <w:rPr>
          <w:rFonts w:hint="eastAsia" w:ascii="仿宋" w:hAnsi="仿宋" w:eastAsia="仿宋" w:cs="仿宋"/>
          <w:color w:val="auto"/>
          <w:szCs w:val="21"/>
          <w:highlight w:val="none"/>
          <w:u w:val="single"/>
        </w:rPr>
        <w:t>发包人不提供资金证明，无提供资金证明的期限要求</w:t>
      </w:r>
      <w:bookmarkEnd w:id="512"/>
      <w:r>
        <w:rPr>
          <w:rFonts w:hint="eastAsia" w:ascii="仿宋" w:hAnsi="仿宋" w:eastAsia="仿宋" w:cs="仿宋"/>
          <w:color w:val="auto"/>
          <w:szCs w:val="21"/>
          <w:highlight w:val="none"/>
        </w:rPr>
        <w:t>。</w:t>
      </w:r>
    </w:p>
    <w:p w14:paraId="014822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发包人是否提供支付担保：</w:t>
      </w:r>
      <w:bookmarkStart w:id="513" w:name="_Hlk33896161"/>
      <w:r>
        <w:rPr>
          <w:rFonts w:hint="eastAsia" w:ascii="仿宋" w:hAnsi="仿宋" w:eastAsia="仿宋" w:cs="仿宋"/>
          <w:color w:val="auto"/>
          <w:szCs w:val="21"/>
          <w:highlight w:val="none"/>
          <w:u w:val="single"/>
        </w:rPr>
        <w:t>是</w:t>
      </w:r>
      <w:bookmarkEnd w:id="513"/>
      <w:r>
        <w:rPr>
          <w:rFonts w:hint="eastAsia" w:ascii="仿宋" w:hAnsi="仿宋" w:eastAsia="仿宋" w:cs="仿宋"/>
          <w:color w:val="auto"/>
          <w:szCs w:val="21"/>
          <w:highlight w:val="none"/>
        </w:rPr>
        <w:t>。</w:t>
      </w:r>
    </w:p>
    <w:p w14:paraId="2494FC0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发包人提供支付担保的形式：</w:t>
      </w:r>
      <w:r>
        <w:rPr>
          <w:rFonts w:hint="eastAsia" w:ascii="仿宋" w:hAnsi="仿宋" w:eastAsia="仿宋" w:cs="仿宋"/>
          <w:color w:val="auto"/>
          <w:szCs w:val="21"/>
          <w:highlight w:val="none"/>
          <w:u w:val="single"/>
        </w:rPr>
        <w:t></w:t>
      </w:r>
      <w:bookmarkStart w:id="514" w:name="_Hlk33896168"/>
      <w:r>
        <w:rPr>
          <w:rFonts w:hint="eastAsia" w:ascii="仿宋" w:hAnsi="仿宋" w:eastAsia="仿宋" w:cs="仿宋"/>
          <w:color w:val="auto"/>
          <w:szCs w:val="21"/>
          <w:highlight w:val="none"/>
          <w:u w:val="single"/>
        </w:rPr>
        <w:t>现金、支票、汇票、转账、银行保函或者保险公司保函</w:t>
      </w:r>
      <w:bookmarkEnd w:id="514"/>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14:paraId="46E75E30">
      <w:pPr>
        <w:keepNext/>
        <w:keepLines/>
        <w:adjustRightInd/>
        <w:spacing w:line="400" w:lineRule="exact"/>
        <w:outlineLvl w:val="3"/>
        <w:rPr>
          <w:rFonts w:hint="eastAsia" w:ascii="仿宋" w:hAnsi="仿宋" w:eastAsia="仿宋" w:cs="仿宋"/>
          <w:bCs/>
          <w:color w:val="auto"/>
          <w:szCs w:val="21"/>
          <w:highlight w:val="none"/>
        </w:rPr>
      </w:pPr>
      <w:bookmarkStart w:id="515" w:name="_Toc351203635"/>
      <w:r>
        <w:rPr>
          <w:rFonts w:hint="eastAsia" w:ascii="仿宋" w:hAnsi="仿宋" w:eastAsia="仿宋" w:cs="仿宋"/>
          <w:bCs/>
          <w:color w:val="auto"/>
          <w:szCs w:val="21"/>
          <w:highlight w:val="none"/>
        </w:rPr>
        <w:t>3</w:t>
      </w:r>
      <w:bookmarkStart w:id="516" w:name="_Toc296944497"/>
      <w:bookmarkStart w:id="517" w:name="_Toc296891198"/>
      <w:bookmarkStart w:id="518" w:name="_Toc297048344"/>
      <w:bookmarkStart w:id="519" w:name="_Toc296347157"/>
      <w:bookmarkStart w:id="520" w:name="_Toc292559868"/>
      <w:bookmarkStart w:id="521" w:name="_Toc297120458"/>
      <w:bookmarkStart w:id="522" w:name="_Toc292559363"/>
      <w:bookmarkStart w:id="523" w:name="_Toc296503158"/>
      <w:bookmarkStart w:id="524" w:name="_Toc296346659"/>
      <w:bookmarkStart w:id="525" w:name="_Toc296890986"/>
      <w:r>
        <w:rPr>
          <w:rFonts w:hint="eastAsia" w:ascii="仿宋" w:hAnsi="仿宋" w:eastAsia="仿宋" w:cs="仿宋"/>
          <w:bCs/>
          <w:color w:val="auto"/>
          <w:szCs w:val="21"/>
          <w:highlight w:val="none"/>
        </w:rPr>
        <w:t>. 承包人</w:t>
      </w:r>
      <w:bookmarkEnd w:id="515"/>
    </w:p>
    <w:bookmarkEnd w:id="516"/>
    <w:bookmarkEnd w:id="517"/>
    <w:bookmarkEnd w:id="518"/>
    <w:bookmarkEnd w:id="519"/>
    <w:bookmarkEnd w:id="520"/>
    <w:bookmarkEnd w:id="521"/>
    <w:bookmarkEnd w:id="522"/>
    <w:bookmarkEnd w:id="523"/>
    <w:bookmarkEnd w:id="524"/>
    <w:bookmarkEnd w:id="525"/>
    <w:p w14:paraId="01CE3EB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承包人的一般义务</w:t>
      </w:r>
    </w:p>
    <w:p w14:paraId="1F82C6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（9）承包人提交的竣工资料的内容：</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仿宋" w:hAnsi="仿宋" w:eastAsia="仿宋" w:cs="仿宋"/>
          <w:color w:val="auto"/>
          <w:szCs w:val="21"/>
          <w:highlight w:val="none"/>
        </w:rPr>
        <w:t>。</w:t>
      </w:r>
    </w:p>
    <w:p w14:paraId="05490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承包人需要提交的竣工资料套数：</w:t>
      </w:r>
      <w:r>
        <w:rPr>
          <w:rFonts w:hint="eastAsia" w:ascii="仿宋" w:hAnsi="仿宋" w:eastAsia="仿宋" w:cs="仿宋"/>
          <w:color w:val="auto"/>
          <w:szCs w:val="21"/>
          <w:highlight w:val="none"/>
          <w:u w:val="single"/>
        </w:rPr>
        <w:t xml:space="preserve"> 8 套竣工图、8 套竣工资料和电子版竣工图及资料光盘一张 </w:t>
      </w:r>
      <w:r>
        <w:rPr>
          <w:rFonts w:hint="eastAsia" w:ascii="仿宋" w:hAnsi="仿宋" w:eastAsia="仿宋" w:cs="仿宋"/>
          <w:color w:val="auto"/>
          <w:szCs w:val="21"/>
          <w:highlight w:val="none"/>
        </w:rPr>
        <w:t>。</w:t>
      </w:r>
    </w:p>
    <w:p w14:paraId="683F0FF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承包人提交的竣工资料的费用承担：</w:t>
      </w:r>
      <w:r>
        <w:rPr>
          <w:rFonts w:hint="eastAsia" w:ascii="仿宋" w:hAnsi="仿宋" w:eastAsia="仿宋" w:cs="仿宋"/>
          <w:color w:val="auto"/>
          <w:szCs w:val="21"/>
          <w:highlight w:val="none"/>
          <w:u w:val="single"/>
        </w:rPr>
        <w:t xml:space="preserve">  承包人自行承担   </w:t>
      </w:r>
      <w:r>
        <w:rPr>
          <w:rFonts w:hint="eastAsia" w:ascii="仿宋" w:hAnsi="仿宋" w:eastAsia="仿宋" w:cs="仿宋"/>
          <w:color w:val="auto"/>
          <w:szCs w:val="21"/>
          <w:highlight w:val="none"/>
        </w:rPr>
        <w:t>。</w:t>
      </w:r>
    </w:p>
    <w:p w14:paraId="56BD37F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承包人提交的竣工资料移交时间：</w:t>
      </w:r>
      <w:r>
        <w:rPr>
          <w:rFonts w:hint="eastAsia" w:ascii="仿宋" w:hAnsi="仿宋" w:eastAsia="仿宋" w:cs="仿宋"/>
          <w:color w:val="auto"/>
          <w:szCs w:val="21"/>
          <w:highlight w:val="none"/>
          <w:u w:val="single"/>
        </w:rPr>
        <w:t xml:space="preserve">  竣工验收合格后28天内    </w:t>
      </w:r>
      <w:r>
        <w:rPr>
          <w:rFonts w:hint="eastAsia" w:ascii="仿宋" w:hAnsi="仿宋" w:eastAsia="仿宋" w:cs="仿宋"/>
          <w:color w:val="auto"/>
          <w:szCs w:val="21"/>
          <w:highlight w:val="none"/>
        </w:rPr>
        <w:t>。</w:t>
      </w:r>
    </w:p>
    <w:p w14:paraId="5703F4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承包人提交的竣工资料形式要求：</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仿宋" w:hAnsi="仿宋" w:eastAsia="仿宋" w:cs="仿宋"/>
          <w:color w:val="auto"/>
          <w:szCs w:val="21"/>
          <w:highlight w:val="none"/>
        </w:rPr>
        <w:t>。</w:t>
      </w:r>
    </w:p>
    <w:p w14:paraId="38D529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（10）承包人应履行的其他义务：按约定时间和要求，完成以下工作（费用列入投标总价）：</w:t>
      </w:r>
    </w:p>
    <w:p w14:paraId="7D6125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189127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667C3A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c、向发包人提供的办公和生活房屋及设施的要求：</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59F42FC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4C2762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e、已完工程成品保护的特殊要求及费用承担：工程未经竣工验收合格、交付发包人</w:t>
      </w:r>
      <w:r>
        <w:rPr>
          <w:rFonts w:hint="eastAsia" w:ascii="仿宋" w:hAnsi="仿宋" w:eastAsia="仿宋" w:cs="仿宋"/>
          <w:color w:val="auto"/>
          <w:szCs w:val="21"/>
          <w:highlight w:val="none"/>
          <w:lang w:val="en-US" w:eastAsia="zh-Hans"/>
        </w:rPr>
        <w:t>使用</w:t>
      </w:r>
      <w:r>
        <w:rPr>
          <w:rFonts w:hint="eastAsia" w:ascii="仿宋" w:hAnsi="仿宋" w:eastAsia="仿宋" w:cs="仿宋"/>
          <w:color w:val="auto"/>
          <w:szCs w:val="21"/>
          <w:highlight w:val="non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6CFE84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721A55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5D162C78">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h、按期支付工人工资的要求：承包人应当</w:t>
      </w:r>
      <w:r>
        <w:rPr>
          <w:rFonts w:hint="eastAsia" w:ascii="仿宋" w:hAnsi="仿宋" w:eastAsia="仿宋" w:cs="仿宋"/>
          <w:color w:val="auto"/>
          <w:szCs w:val="21"/>
          <w:highlight w:val="none"/>
          <w:lang w:val="en-US" w:eastAsia="zh-Hans"/>
        </w:rPr>
        <w:t>与全体施工人员签署劳动合同</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rPr>
        <w:t>按照国家法律法规的要求每月按期足额向其全体施工工人发放工资，</w:t>
      </w:r>
      <w:r>
        <w:rPr>
          <w:rFonts w:hint="eastAsia" w:ascii="仿宋" w:hAnsi="仿宋" w:eastAsia="仿宋" w:cs="仿宋"/>
          <w:color w:val="auto"/>
          <w:sz w:val="21"/>
          <w:szCs w:val="21"/>
          <w:highlight w:val="none"/>
        </w:rPr>
        <w:t>否则发包人有权暂扣工程款直到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付清民工工资为止</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rPr>
        <w:t>并根据上级主管部门的相关规定进行处罚</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Hans"/>
        </w:rPr>
        <w:t>承包应当</w:t>
      </w:r>
      <w:r>
        <w:rPr>
          <w:rFonts w:hint="eastAsia" w:ascii="仿宋" w:hAnsi="仿宋" w:eastAsia="仿宋" w:cs="仿宋"/>
          <w:color w:val="auto"/>
          <w:szCs w:val="21"/>
          <w:highlight w:val="none"/>
        </w:rPr>
        <w:t>为</w:t>
      </w:r>
      <w:r>
        <w:rPr>
          <w:rFonts w:hint="eastAsia" w:ascii="仿宋" w:hAnsi="仿宋" w:eastAsia="仿宋" w:cs="仿宋"/>
          <w:color w:val="auto"/>
          <w:szCs w:val="21"/>
          <w:highlight w:val="none"/>
          <w:lang w:val="en-US" w:eastAsia="zh-Hans"/>
        </w:rPr>
        <w:t>全体施工人员</w:t>
      </w:r>
      <w:r>
        <w:rPr>
          <w:rFonts w:hint="eastAsia" w:ascii="仿宋" w:hAnsi="仿宋" w:eastAsia="仿宋" w:cs="仿宋"/>
          <w:color w:val="auto"/>
          <w:szCs w:val="21"/>
          <w:highlight w:val="non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仿宋" w:hAnsi="仿宋" w:eastAsia="仿宋" w:cs="仿宋"/>
          <w:color w:val="auto"/>
          <w:szCs w:val="21"/>
          <w:highlight w:val="none"/>
          <w:lang w:val="en-US" w:eastAsia="zh-Hans"/>
        </w:rPr>
        <w:t>作为赔偿金</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施工人员发生劳动纠纷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工伤事故等</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均由承包人自行承担全部责任</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与发包人无关</w:t>
      </w:r>
      <w:r>
        <w:rPr>
          <w:rFonts w:hint="default" w:ascii="仿宋" w:hAnsi="仿宋" w:eastAsia="仿宋" w:cs="仿宋"/>
          <w:color w:val="auto"/>
          <w:szCs w:val="21"/>
          <w:highlight w:val="none"/>
          <w:lang w:eastAsia="zh-Hans"/>
        </w:rPr>
        <w:t>。</w:t>
      </w:r>
    </w:p>
    <w:p w14:paraId="3EF1997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i、双方约定承包人应做的其他工作：</w:t>
      </w:r>
    </w:p>
    <w:p w14:paraId="4BCB16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4D9BD5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②承包人在施工区域及现场办公区域、临时生活区域内做好各项安全保卫工作。</w:t>
      </w:r>
    </w:p>
    <w:p w14:paraId="2261B695">
      <w:pPr>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GB3 \* MERGEFORMAT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③</w:t>
      </w:r>
      <w:r>
        <w:rPr>
          <w:rFonts w:hint="eastAsia" w:ascii="仿宋" w:hAnsi="仿宋" w:eastAsia="仿宋" w:cs="仿宋"/>
          <w:color w:val="auto"/>
          <w:szCs w:val="21"/>
          <w:highlight w:val="none"/>
        </w:rPr>
        <w:fldChar w:fldCharType="end"/>
      </w:r>
      <w:r>
        <w:rPr>
          <w:rFonts w:hint="eastAsia" w:ascii="仿宋" w:hAnsi="仿宋" w:eastAsia="仿宋" w:cs="仿宋"/>
          <w:color w:val="auto"/>
          <w:sz w:val="21"/>
          <w:szCs w:val="21"/>
          <w:highlight w:val="non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自行办理解决。承担渣土运输的企业必须是具备资质且信誉良好的专业运输企业。</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施工中因违反本市有关规定，引起政府职能部门罚款和停工整改，其发生的费用与损失由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w:t>
      </w:r>
    </w:p>
    <w:p w14:paraId="3EE6390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4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④</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警告并责令整改，二次发现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应立即整改并向发包人支付壹万元人民币的违约金，三次或以上被发现或被上级部门通报批评或被新闻媒体曝光者，</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按每次人民币伍万元向发包人支付违约金。</w:t>
      </w:r>
    </w:p>
    <w:p w14:paraId="6761B3C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5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⑤</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59354C3E">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6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⑥</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Hans"/>
        </w:rPr>
        <w:t>施工期间由于</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原因造成施工方案的更改，所增加的工程费用及工期一概不予调整，属施工技术组织措施失误造成的费用及延误工期均由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承担。</w:t>
      </w:r>
    </w:p>
    <w:p w14:paraId="0276893C">
      <w:pPr>
        <w:spacing w:line="400" w:lineRule="exact"/>
        <w:ind w:firstLine="420"/>
        <w:rPr>
          <w:rFonts w:hint="default"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7 \* GB3 \* MERGEFORMAT </w:instrText>
      </w:r>
      <w:r>
        <w:rPr>
          <w:rFonts w:hint="eastAsia" w:ascii="仿宋" w:hAnsi="仿宋" w:eastAsia="仿宋" w:cs="仿宋"/>
          <w:color w:val="auto"/>
          <w:sz w:val="21"/>
          <w:szCs w:val="21"/>
          <w:highlight w:val="none"/>
          <w:lang w:val="en-US" w:eastAsia="zh-Hans"/>
        </w:rPr>
        <w:fldChar w:fldCharType="separate"/>
      </w:r>
      <w:r>
        <w:rPr>
          <w:rFonts w:hint="eastAsia" w:ascii="仿宋" w:hAnsi="仿宋" w:eastAsia="仿宋" w:cs="仿宋"/>
          <w:color w:val="auto"/>
          <w:szCs w:val="21"/>
          <w:highlight w:val="none"/>
        </w:rPr>
        <w:t>⑦</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收到设计单位下发的设计联系单后，需在一周内向监理单位上报施工联系单，若</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未在规定时间内上报施工联系单，则此联系单产生的相关费用由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自行承担，结算时不作调整。</w:t>
      </w:r>
    </w:p>
    <w:p w14:paraId="0636AE4A">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8 \* GB3 \* MERGEFORMAT </w:instrText>
      </w:r>
      <w:r>
        <w:rPr>
          <w:rFonts w:hint="eastAsia" w:ascii="仿宋" w:hAnsi="仿宋" w:eastAsia="仿宋" w:cs="仿宋"/>
          <w:color w:val="auto"/>
          <w:sz w:val="21"/>
          <w:szCs w:val="21"/>
          <w:highlight w:val="none"/>
          <w:lang w:val="en-US" w:eastAsia="zh-Hans"/>
        </w:rPr>
        <w:fldChar w:fldCharType="separate"/>
      </w:r>
      <w:r>
        <w:rPr>
          <w:color w:val="auto"/>
          <w:highlight w:val="none"/>
        </w:rPr>
        <w:t>⑧</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20058FAF">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Cs w:val="21"/>
          <w:highlight w:val="none"/>
          <w:lang w:eastAsia="zh-Hans"/>
        </w:rPr>
        <w:fldChar w:fldCharType="begin"/>
      </w:r>
      <w:r>
        <w:rPr>
          <w:rFonts w:hint="eastAsia" w:ascii="仿宋" w:hAnsi="仿宋" w:eastAsia="仿宋" w:cs="仿宋"/>
          <w:color w:val="auto"/>
          <w:szCs w:val="21"/>
          <w:highlight w:val="none"/>
          <w:lang w:eastAsia="zh-Hans"/>
        </w:rPr>
        <w:instrText xml:space="preserve"> = 9 \* GB3 \* MERGEFORMAT </w:instrText>
      </w:r>
      <w:r>
        <w:rPr>
          <w:rFonts w:hint="eastAsia" w:ascii="仿宋" w:hAnsi="仿宋" w:eastAsia="仿宋" w:cs="仿宋"/>
          <w:color w:val="auto"/>
          <w:szCs w:val="21"/>
          <w:highlight w:val="none"/>
          <w:lang w:eastAsia="zh-Hans"/>
        </w:rPr>
        <w:fldChar w:fldCharType="separate"/>
      </w:r>
      <w:r>
        <w:rPr>
          <w:rFonts w:hint="eastAsia" w:ascii="仿宋" w:hAnsi="仿宋" w:eastAsia="仿宋" w:cs="仿宋"/>
          <w:color w:val="auto"/>
          <w:szCs w:val="21"/>
          <w:highlight w:val="none"/>
          <w:lang w:eastAsia="zh-Hans"/>
        </w:rPr>
        <w:t>⑨</w:t>
      </w:r>
      <w:r>
        <w:rPr>
          <w:rFonts w:hint="eastAsia" w:ascii="仿宋" w:hAnsi="仿宋" w:eastAsia="仿宋" w:cs="仿宋"/>
          <w:color w:val="auto"/>
          <w:szCs w:val="21"/>
          <w:highlight w:val="none"/>
          <w:lang w:eastAsia="zh-Hans"/>
        </w:rPr>
        <w:fldChar w:fldCharType="end"/>
      </w:r>
      <w:r>
        <w:rPr>
          <w:rFonts w:hint="eastAsia" w:ascii="仿宋" w:hAnsi="仿宋" w:eastAsia="仿宋" w:cs="仿宋"/>
          <w:color w:val="auto"/>
          <w:sz w:val="21"/>
          <w:szCs w:val="21"/>
          <w:highlight w:val="none"/>
          <w:lang w:val="en-US" w:eastAsia="zh-Hans"/>
        </w:rPr>
        <w:t>招标文件及其他相关文件规定的承包人应当履行的义务</w:t>
      </w:r>
      <w:r>
        <w:rPr>
          <w:rFonts w:hint="eastAsia" w:ascii="仿宋" w:hAnsi="仿宋" w:eastAsia="仿宋" w:cs="仿宋"/>
          <w:color w:val="auto"/>
          <w:sz w:val="21"/>
          <w:szCs w:val="21"/>
          <w:highlight w:val="none"/>
          <w:lang w:eastAsia="zh-Hans"/>
        </w:rPr>
        <w:t>。</w:t>
      </w:r>
    </w:p>
    <w:p w14:paraId="7F46D64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项目经理</w:t>
      </w:r>
    </w:p>
    <w:p w14:paraId="0D15C2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 项目经理：</w:t>
      </w:r>
    </w:p>
    <w:p w14:paraId="6E2E04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E229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E3A7E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建造师执业资格等级：</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01AA488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建造师注册证书号：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F4068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建造师执业印章号：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81DC40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01CE9A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ED0C6A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E1993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651F27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承包人对项目经理的授权范围如下：</w:t>
      </w:r>
      <w:r>
        <w:rPr>
          <w:rFonts w:hint="eastAsia" w:ascii="仿宋" w:hAnsi="仿宋" w:eastAsia="仿宋" w:cs="仿宋"/>
          <w:color w:val="auto"/>
          <w:szCs w:val="21"/>
          <w:highlight w:val="none"/>
          <w:u w:val="single"/>
        </w:rPr>
        <w:t xml:space="preserve">全面负责该项目的实施，全权代表承包人履行本合同，其所有行为均得到承包人的充分授权而由承包人承认 </w:t>
      </w:r>
      <w:r>
        <w:rPr>
          <w:rFonts w:hint="eastAsia" w:ascii="仿宋" w:hAnsi="仿宋" w:eastAsia="仿宋" w:cs="仿宋"/>
          <w:color w:val="auto"/>
          <w:szCs w:val="21"/>
          <w:highlight w:val="none"/>
        </w:rPr>
        <w:t>。</w:t>
      </w:r>
    </w:p>
    <w:p w14:paraId="2835655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关于项目经理每月在施工现场的时间要求：</w:t>
      </w:r>
      <w:r>
        <w:rPr>
          <w:rFonts w:hint="eastAsia" w:ascii="仿宋" w:hAnsi="仿宋" w:eastAsia="仿宋" w:cs="仿宋"/>
          <w:color w:val="auto"/>
          <w:szCs w:val="21"/>
          <w:highlight w:val="none"/>
          <w:u w:val="single"/>
        </w:rPr>
        <w:t>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w:t>
      </w:r>
    </w:p>
    <w:p w14:paraId="702548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46766AA4">
      <w:pPr>
        <w:pStyle w:val="46"/>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01D30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承包人未提交劳动合同，以及没有为项目经理缴纳社会保险证明的违约责任：</w:t>
      </w:r>
      <w:r>
        <w:rPr>
          <w:rFonts w:hint="eastAsia" w:ascii="仿宋" w:hAnsi="仿宋" w:eastAsia="仿宋" w:cs="仿宋"/>
          <w:color w:val="auto"/>
          <w:szCs w:val="21"/>
          <w:highlight w:val="none"/>
          <w:u w:val="single"/>
        </w:rPr>
        <w:t xml:space="preserve">  由承包人自行承担相关责任，且发包人有权要求更换项目经理，并通报有关建设行政主管部门进行处罚</w:t>
      </w:r>
      <w:r>
        <w:rPr>
          <w:rFonts w:hint="eastAsia" w:ascii="仿宋" w:hAnsi="仿宋" w:eastAsia="仿宋" w:cs="仿宋"/>
          <w:color w:val="auto"/>
          <w:szCs w:val="21"/>
          <w:highlight w:val="none"/>
        </w:rPr>
        <w:t>。</w:t>
      </w:r>
    </w:p>
    <w:p w14:paraId="721B4B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经理未经批准，擅自离开施工现场的违约责任：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p>
    <w:p w14:paraId="1559A76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3.2.3 承包人擅自更换项目经理的违约责任：</w:t>
      </w:r>
    </w:p>
    <w:p w14:paraId="5D62356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（1）承包人确需更换项目经理的，继任项目经理注册执业资格、管理经验的约定：</w:t>
      </w:r>
      <w:r>
        <w:rPr>
          <w:rFonts w:hint="eastAsia" w:ascii="仿宋" w:hAnsi="仿宋" w:eastAsia="仿宋" w:cs="仿宋"/>
          <w:color w:val="auto"/>
          <w:szCs w:val="21"/>
          <w:highlight w:val="none"/>
          <w:u w:val="single"/>
        </w:rPr>
        <w:t>继任项目经理注册执业资格、管理经验不得低于前任项目经理，并经发包人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w:t>
      </w:r>
      <w:r>
        <w:rPr>
          <w:rFonts w:hint="eastAsia" w:ascii="仿宋" w:hAnsi="仿宋" w:eastAsia="仿宋" w:cs="仿宋"/>
          <w:color w:val="auto"/>
          <w:szCs w:val="21"/>
          <w:highlight w:val="none"/>
        </w:rPr>
        <w:t>。</w:t>
      </w:r>
    </w:p>
    <w:p w14:paraId="295208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（2）承包人擅自更换项目经理的违约责任：</w:t>
      </w:r>
      <w:r>
        <w:rPr>
          <w:rFonts w:hint="eastAsia" w:ascii="仿宋" w:hAnsi="仿宋" w:eastAsia="仿宋" w:cs="仿宋"/>
          <w:color w:val="auto"/>
          <w:szCs w:val="21"/>
          <w:highlight w:val="none"/>
          <w:u w:val="single"/>
        </w:rPr>
        <w:t>承包人在施工期间不准擅自更换项目经理。承包人擅自更换项目经理的将被视为承包人违约，处以合同价的2%（每起上限</w:t>
      </w:r>
      <w:r>
        <w:rPr>
          <w:rFonts w:hint="eastAsia" w:ascii="仿宋" w:hAnsi="仿宋" w:eastAsia="仿宋" w:cs="仿宋"/>
          <w:color w:val="auto"/>
          <w:szCs w:val="21"/>
          <w:highlight w:val="none"/>
          <w:u w:val="single"/>
          <w:lang w:val="en-US" w:eastAsia="zh-CN"/>
        </w:rPr>
        <w:t>50</w:t>
      </w:r>
      <w:r>
        <w:rPr>
          <w:rFonts w:hint="eastAsia" w:ascii="仿宋" w:hAnsi="仿宋" w:eastAsia="仿宋" w:cs="仿宋"/>
          <w:color w:val="auto"/>
          <w:szCs w:val="21"/>
          <w:highlight w:val="none"/>
          <w:u w:val="single"/>
        </w:rPr>
        <w:t>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4BFC8F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szCs w:val="21"/>
          <w:highlight w:val="none"/>
          <w:u w:val="single"/>
        </w:rPr>
        <w:t xml:space="preserve"> 若原项目经理不能按约定到岗履职</w:t>
      </w:r>
      <w:r>
        <w:rPr>
          <w:rFonts w:hint="eastAsia" w:ascii="仿宋" w:hAnsi="仿宋" w:eastAsia="仿宋" w:cs="仿宋"/>
          <w:color w:val="auto"/>
          <w:szCs w:val="21"/>
          <w:highlight w:val="none"/>
          <w:u w:val="single"/>
          <w:lang w:eastAsia="zh-CN"/>
        </w:rPr>
        <w:t>、</w:t>
      </w:r>
      <w:r>
        <w:rPr>
          <w:rFonts w:hint="eastAsia" w:ascii="仿宋" w:hAnsi="仿宋" w:eastAsia="仿宋" w:cs="仿宋"/>
          <w:b w:val="0"/>
          <w:color w:val="auto"/>
          <w:sz w:val="21"/>
          <w:szCs w:val="21"/>
          <w:highlight w:val="none"/>
          <w:u w:val="single"/>
        </w:rPr>
        <w:t>贻误工期</w:t>
      </w:r>
      <w:r>
        <w:rPr>
          <w:rFonts w:hint="eastAsia" w:ascii="仿宋" w:hAnsi="仿宋" w:eastAsia="仿宋" w:cs="仿宋"/>
          <w:b w:val="0"/>
          <w:color w:val="auto"/>
          <w:sz w:val="21"/>
          <w:szCs w:val="21"/>
          <w:highlight w:val="none"/>
          <w:u w:val="single"/>
          <w:lang w:eastAsia="zh-CN"/>
        </w:rPr>
        <w:t>、</w:t>
      </w:r>
      <w:r>
        <w:rPr>
          <w:rFonts w:hint="eastAsia" w:ascii="仿宋" w:hAnsi="仿宋" w:eastAsia="仿宋" w:cs="仿宋"/>
          <w:b w:val="0"/>
          <w:color w:val="auto"/>
          <w:sz w:val="21"/>
          <w:szCs w:val="21"/>
          <w:highlight w:val="none"/>
          <w:u w:val="single"/>
        </w:rPr>
        <w:t>造成严重的安全事故和工程质量事故、违法乱纪</w:t>
      </w:r>
      <w:r>
        <w:rPr>
          <w:rFonts w:hint="eastAsia" w:ascii="仿宋" w:hAnsi="仿宋" w:eastAsia="仿宋" w:cs="仿宋"/>
          <w:color w:val="auto"/>
          <w:szCs w:val="21"/>
          <w:highlight w:val="none"/>
          <w:u w:val="single"/>
        </w:rPr>
        <w:t>的或能力不能满足工作需要的，发包人书面通知承包人进行更换项目经理，承包人在</w:t>
      </w:r>
      <w:r>
        <w:rPr>
          <w:rFonts w:hint="eastAsia" w:ascii="仿宋" w:hAnsi="仿宋" w:eastAsia="仿宋" w:cs="仿宋"/>
          <w:color w:val="auto"/>
          <w:szCs w:val="21"/>
          <w:highlight w:val="none"/>
          <w:u w:val="single"/>
          <w:lang w:eastAsia="zh-CN"/>
        </w:rPr>
        <w:t>一</w:t>
      </w:r>
      <w:r>
        <w:rPr>
          <w:rFonts w:hint="eastAsia" w:ascii="仿宋" w:hAnsi="仿宋" w:eastAsia="仿宋" w:cs="仿宋"/>
          <w:color w:val="auto"/>
          <w:szCs w:val="21"/>
          <w:highlight w:val="none"/>
          <w:u w:val="single"/>
        </w:rPr>
        <w:t>个星期内未更换项目经理的，处以合同价的1.5%（不低于5万元）的违约金，情节严重的发包人有权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10D01C20">
      <w:pPr>
        <w:pStyle w:val="27"/>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rPr>
        <w:t>3</w:t>
      </w:r>
      <w:r>
        <w:rPr>
          <w:rFonts w:hint="eastAsia" w:ascii="仿宋" w:hAnsi="仿宋" w:eastAsia="仿宋" w:cs="仿宋"/>
          <w:color w:val="auto"/>
          <w:sz w:val="21"/>
          <w:szCs w:val="21"/>
          <w:highlight w:val="none"/>
          <w:u w:val="single"/>
          <w:lang w:val="en-US" w:eastAsia="zh-CN"/>
        </w:rPr>
        <w:t>.2.5</w:t>
      </w:r>
      <w:r>
        <w:rPr>
          <w:rFonts w:hint="eastAsia" w:ascii="仿宋" w:hAnsi="仿宋" w:eastAsia="仿宋" w:cs="仿宋"/>
          <w:color w:val="auto"/>
          <w:sz w:val="21"/>
          <w:szCs w:val="21"/>
          <w:highlight w:val="none"/>
          <w:u w:val="single"/>
        </w:rPr>
        <w:t>进场项目班子应是</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企业内的，挂靠</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换，</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应在一个工作周内作出更换，并报发包人批准，不得拒绝和拖延</w:t>
      </w:r>
      <w:r>
        <w:rPr>
          <w:rFonts w:hint="eastAsia" w:ascii="仿宋" w:hAnsi="仿宋" w:eastAsia="仿宋" w:cs="仿宋"/>
          <w:color w:val="auto"/>
          <w:sz w:val="21"/>
          <w:szCs w:val="21"/>
          <w:highlight w:val="none"/>
          <w:u w:val="single"/>
          <w:lang w:val="en-US" w:eastAsia="zh-CN"/>
        </w:rPr>
        <w:t>.</w:t>
      </w:r>
    </w:p>
    <w:p w14:paraId="080FAA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承包人人员</w:t>
      </w:r>
    </w:p>
    <w:p w14:paraId="7D2AE4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3.3.1 承包人提交项目管理机构及施工现场管理人员安排报告的期限：</w:t>
      </w:r>
      <w:r>
        <w:rPr>
          <w:rFonts w:hint="eastAsia" w:ascii="仿宋" w:hAnsi="仿宋" w:eastAsia="仿宋" w:cs="仿宋"/>
          <w:color w:val="auto"/>
          <w:szCs w:val="21"/>
          <w:highlight w:val="none"/>
          <w:u w:val="single"/>
        </w:rPr>
        <w:t xml:space="preserve"> 承包人承诺的项目经理及项目部其他管理人员必须按投标承诺名单及时到位。若因特殊情况或实际需要必须调换的，承包人必须事先向发包人提供以下材料并取得发包人的书面批准以后，才能派替换的人员进场：</w:t>
      </w:r>
    </w:p>
    <w:p w14:paraId="5D2187D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a、书面请示报告；</w:t>
      </w:r>
    </w:p>
    <w:p w14:paraId="5DCE7DA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b、替换人的技术职称证书、岗位证书、身份证（验证原件，提供复印件）及其工作经历与业绩等有关证明材料。</w:t>
      </w:r>
    </w:p>
    <w:p w14:paraId="478BB4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3DAA40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0万元）。</w:t>
      </w:r>
    </w:p>
    <w:p w14:paraId="575A437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承包人无正当理由拒绝撤换主要施工管理人员的违约责任：</w:t>
      </w:r>
      <w:r>
        <w:rPr>
          <w:rFonts w:hint="eastAsia" w:ascii="仿宋" w:hAnsi="仿宋" w:eastAsia="仿宋" w:cs="仿宋"/>
          <w:color w:val="auto"/>
          <w:szCs w:val="21"/>
          <w:highlight w:val="none"/>
          <w:u w:val="single"/>
        </w:rPr>
        <w:t xml:space="preserve">  技术负责人处20000元/人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次的违约金，其他管理人员处5000元/人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w:t>
      </w:r>
      <w:r>
        <w:rPr>
          <w:rFonts w:hint="eastAsia" w:ascii="仿宋" w:hAnsi="仿宋" w:eastAsia="仿宋" w:cs="仿宋"/>
          <w:color w:val="auto"/>
          <w:szCs w:val="21"/>
          <w:highlight w:val="none"/>
        </w:rPr>
        <w:t>。</w:t>
      </w:r>
    </w:p>
    <w:p w14:paraId="2FF61B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3.3.4 承包人主要施工管理人员离开施工现场的批准要求：报监理人和发包人书面批准。</w:t>
      </w:r>
    </w:p>
    <w:p w14:paraId="72FA66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3.3.5承包人擅自更换主要施工管理人员的违约责任：在施工期间不准更换，特殊情况要求更换的，须经发包人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同意备案</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且处违约金分别为合同额的0.5%（不高于10万元）（技术负责人）、合同额的0.2%（不高于5万元）（其他人员）；承包人擅自更换技术负责人、其他人员的</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将被视为承包人违约，额外处以违约金分别为合同额的0.5%（不高于20万元）（技术负责人）、合同额的0.2%（不高于10万元）（其他人员），情节严重的发包人有权</w:t>
      </w:r>
      <w:r>
        <w:rPr>
          <w:rFonts w:hint="eastAsia" w:ascii="仿宋" w:hAnsi="仿宋" w:eastAsia="仿宋" w:cs="仿宋"/>
          <w:color w:val="auto"/>
          <w:szCs w:val="21"/>
          <w:highlight w:val="none"/>
          <w:lang w:val="en-US" w:eastAsia="zh-Hans"/>
        </w:rPr>
        <w:t>立即单方</w:t>
      </w:r>
      <w:r>
        <w:rPr>
          <w:rFonts w:hint="eastAsia" w:ascii="仿宋" w:hAnsi="仿宋" w:eastAsia="仿宋" w:cs="仿宋"/>
          <w:color w:val="auto"/>
          <w:szCs w:val="21"/>
          <w:highlight w:val="none"/>
        </w:rPr>
        <w:t>解除合同。</w:t>
      </w:r>
    </w:p>
    <w:p w14:paraId="4EA2AF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26" w:name="_Toc296503159"/>
      <w:bookmarkStart w:id="527" w:name="_Toc297048345"/>
      <w:bookmarkStart w:id="528" w:name="_Toc292559364"/>
      <w:bookmarkStart w:id="529" w:name="_Toc297216151"/>
      <w:bookmarkStart w:id="530" w:name="_Toc296346660"/>
      <w:bookmarkStart w:id="531" w:name="_Toc292559869"/>
      <w:bookmarkStart w:id="532" w:name="_Toc297120459"/>
      <w:bookmarkStart w:id="533" w:name="_Toc296944498"/>
      <w:bookmarkStart w:id="534" w:name="_Toc303539102"/>
      <w:bookmarkStart w:id="535" w:name="_Toc304295523"/>
      <w:bookmarkStart w:id="536" w:name="_Toc297123492"/>
      <w:bookmarkStart w:id="537" w:name="_Toc312677988"/>
      <w:bookmarkStart w:id="538" w:name="_Toc296890987"/>
      <w:bookmarkStart w:id="539" w:name="_Toc296891199"/>
      <w:bookmarkStart w:id="540" w:name="_Toc300934945"/>
      <w:bookmarkStart w:id="541" w:name="_Toc296347158"/>
      <w:r>
        <w:rPr>
          <w:rFonts w:hint="eastAsia" w:ascii="仿宋" w:hAnsi="仿宋" w:eastAsia="仿宋" w:cs="仿宋"/>
          <w:color w:val="auto"/>
          <w:szCs w:val="21"/>
          <w:highlight w:val="none"/>
        </w:rPr>
        <w:t>.5 分包</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17D07AD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42" w:name="_Toc296891200"/>
      <w:bookmarkStart w:id="543" w:name="_Toc300934946"/>
      <w:bookmarkStart w:id="544" w:name="_Toc297048346"/>
      <w:bookmarkStart w:id="545" w:name="_Toc292559870"/>
      <w:bookmarkStart w:id="546" w:name="_Toc296503160"/>
      <w:bookmarkStart w:id="547" w:name="_Toc292559365"/>
      <w:bookmarkStart w:id="548" w:name="_Toc303539103"/>
      <w:bookmarkStart w:id="549" w:name="_Toc296346661"/>
      <w:bookmarkStart w:id="550" w:name="_Toc296347159"/>
      <w:bookmarkStart w:id="551" w:name="_Toc297123493"/>
      <w:bookmarkStart w:id="552" w:name="_Toc297120460"/>
      <w:bookmarkStart w:id="553" w:name="_Toc296944499"/>
      <w:bookmarkStart w:id="554" w:name="_Toc296890988"/>
      <w:bookmarkStart w:id="555" w:name="_Toc304295524"/>
      <w:bookmarkStart w:id="556" w:name="_Toc297216152"/>
      <w:bookmarkStart w:id="557" w:name="_Toc318581158"/>
      <w:bookmarkStart w:id="558" w:name="_Toc312677989"/>
      <w:r>
        <w:rPr>
          <w:rFonts w:hint="eastAsia" w:ascii="仿宋" w:hAnsi="仿宋" w:eastAsia="仿宋" w:cs="仿宋"/>
          <w:color w:val="auto"/>
          <w:szCs w:val="21"/>
          <w:highlight w:val="none"/>
        </w:rPr>
        <w:t>.5.1 分包的一般约定</w:t>
      </w:r>
    </w:p>
    <w:p w14:paraId="324D79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禁止分包的工程包括：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2C99C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主体结构、关键性工作的范围：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Start w:id="559" w:name="_Toc296503161"/>
      <w:bookmarkStart w:id="560" w:name="_Toc297123494"/>
      <w:bookmarkStart w:id="561" w:name="_Toc296890989"/>
      <w:bookmarkStart w:id="562" w:name="_Toc303539104"/>
      <w:bookmarkStart w:id="563" w:name="_Toc297120461"/>
      <w:bookmarkStart w:id="564" w:name="_Toc297216153"/>
      <w:bookmarkStart w:id="565" w:name="_Toc296944500"/>
      <w:bookmarkStart w:id="566" w:name="_Toc297048347"/>
      <w:bookmarkStart w:id="567" w:name="_Toc296346662"/>
      <w:bookmarkStart w:id="568" w:name="_Toc300934947"/>
      <w:bookmarkStart w:id="569" w:name="_Toc304295525"/>
      <w:bookmarkStart w:id="570" w:name="_Toc296347160"/>
      <w:bookmarkStart w:id="571" w:name="_Toc296891201"/>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14:paraId="6E997ACB">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w:t>
      </w:r>
      <w:bookmarkStart w:id="572" w:name="_Toc312677990"/>
      <w:bookmarkStart w:id="573" w:name="_Toc318581159"/>
      <w:r>
        <w:rPr>
          <w:rFonts w:hint="eastAsia" w:ascii="仿宋" w:hAnsi="仿宋" w:eastAsia="仿宋" w:cs="仿宋"/>
          <w:color w:val="auto"/>
          <w:szCs w:val="21"/>
          <w:highlight w:val="none"/>
        </w:rPr>
        <w:t>.5.2分包的确定</w:t>
      </w:r>
    </w:p>
    <w:p w14:paraId="1B6AFA1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允许分包的专业工程包括：</w:t>
      </w:r>
      <w:r>
        <w:rPr>
          <w:rFonts w:hint="eastAsia" w:ascii="仿宋" w:hAnsi="仿宋" w:eastAsia="仿宋" w:cs="仿宋"/>
          <w:color w:val="auto"/>
          <w:szCs w:val="21"/>
          <w:highlight w:val="none"/>
          <w:u w:val="single"/>
        </w:rPr>
        <w:t xml:space="preserve">无   </w:t>
      </w:r>
      <w:r>
        <w:rPr>
          <w:rFonts w:hint="eastAsia" w:ascii="仿宋" w:hAnsi="仿宋" w:eastAsia="仿宋" w:cs="仿宋"/>
          <w:color w:val="auto"/>
          <w:szCs w:val="21"/>
          <w:highlight w:val="none"/>
        </w:rPr>
        <w:t>。</w:t>
      </w:r>
    </w:p>
    <w:p w14:paraId="25B3DF4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其他关于分包的约定：</w:t>
      </w:r>
      <w:r>
        <w:rPr>
          <w:rFonts w:hint="eastAsia" w:ascii="仿宋" w:hAnsi="仿宋" w:eastAsia="仿宋" w:cs="仿宋"/>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仿宋" w:hAnsi="仿宋" w:eastAsia="仿宋" w:cs="仿宋"/>
          <w:color w:val="auto"/>
          <w:szCs w:val="21"/>
          <w:highlight w:val="none"/>
          <w:u w:val="single"/>
          <w:lang w:val="en-US" w:eastAsia="zh-Hans"/>
        </w:rPr>
        <w:t>或未经发包人书面同意分包</w:t>
      </w:r>
      <w:r>
        <w:rPr>
          <w:rFonts w:hint="eastAsia" w:ascii="仿宋" w:hAnsi="仿宋" w:eastAsia="仿宋" w:cs="仿宋"/>
          <w:color w:val="auto"/>
          <w:szCs w:val="21"/>
          <w:highlight w:val="none"/>
          <w:u w:val="single"/>
        </w:rPr>
        <w:t>，如发生转包的或非法分包的，发包人将上报建设行政主管部门依法处置并扣缴其履约担保，</w:t>
      </w:r>
      <w:r>
        <w:rPr>
          <w:rFonts w:hint="eastAsia" w:ascii="仿宋" w:hAnsi="仿宋" w:eastAsia="仿宋" w:cs="仿宋"/>
          <w:color w:val="auto"/>
          <w:szCs w:val="21"/>
          <w:highlight w:val="none"/>
          <w:u w:val="single"/>
          <w:lang w:val="en-US" w:eastAsia="zh-Hans"/>
        </w:rPr>
        <w:t>发包人有权立即单方面解除合同</w:t>
      </w:r>
      <w:r>
        <w:rPr>
          <w:rFonts w:hint="eastAsia"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由此引起的一切损失由承包人承担</w:t>
      </w:r>
      <w:r>
        <w:rPr>
          <w:rFonts w:hint="eastAsia" w:ascii="仿宋" w:hAnsi="仿宋" w:eastAsia="仿宋" w:cs="仿宋"/>
          <w:color w:val="auto"/>
          <w:szCs w:val="21"/>
          <w:highlight w:val="none"/>
          <w:u w:val="single"/>
        </w:rPr>
        <w:t>。在合同执行过程中，若发现存在下列情况的视作转包或非法分包：</w:t>
      </w:r>
    </w:p>
    <w:p w14:paraId="3EBD9694">
      <w:pPr>
        <w:adjustRightInd/>
        <w:spacing w:line="400" w:lineRule="exact"/>
        <w:ind w:firstLine="420" w:firstLineChars="200"/>
        <w:rPr>
          <w:rFonts w:hint="eastAsia" w:ascii="仿宋" w:hAnsi="仿宋" w:eastAsia="仿宋" w:cs="仿宋"/>
          <w:color w:val="auto"/>
          <w:szCs w:val="21"/>
          <w:highlight w:val="none"/>
          <w:u w:val="single"/>
        </w:rPr>
      </w:pPr>
      <w:bookmarkStart w:id="574" w:name="_Toc384726607"/>
      <w:bookmarkStart w:id="575" w:name="_Toc384745511"/>
      <w:r>
        <w:rPr>
          <w:rFonts w:hint="eastAsia" w:ascii="仿宋" w:hAnsi="仿宋" w:eastAsia="仿宋" w:cs="仿宋"/>
          <w:color w:val="auto"/>
          <w:szCs w:val="21"/>
          <w:highlight w:val="none"/>
          <w:u w:val="single"/>
        </w:rPr>
        <w:t>1）承包人不履行合同约定的工期，成本、质量，安全生产等责任和义务，将其承包的全部建设工程转给他人承包的。</w:t>
      </w:r>
      <w:bookmarkEnd w:id="574"/>
      <w:bookmarkEnd w:id="575"/>
    </w:p>
    <w:p w14:paraId="3163E24D">
      <w:pPr>
        <w:adjustRightInd/>
        <w:spacing w:line="400" w:lineRule="exact"/>
        <w:ind w:firstLine="420" w:firstLineChars="200"/>
        <w:rPr>
          <w:rFonts w:hint="eastAsia" w:ascii="仿宋" w:hAnsi="仿宋" w:eastAsia="仿宋" w:cs="仿宋"/>
          <w:color w:val="auto"/>
          <w:szCs w:val="21"/>
          <w:highlight w:val="none"/>
          <w:u w:val="single"/>
        </w:rPr>
      </w:pPr>
      <w:bookmarkStart w:id="576" w:name="_Toc384726608"/>
      <w:bookmarkStart w:id="577" w:name="_Toc384745512"/>
      <w:r>
        <w:rPr>
          <w:rFonts w:hint="eastAsia" w:ascii="仿宋" w:hAnsi="仿宋" w:eastAsia="仿宋" w:cs="仿宋"/>
          <w:color w:val="auto"/>
          <w:szCs w:val="21"/>
          <w:highlight w:val="none"/>
          <w:u w:val="single"/>
        </w:rPr>
        <w:t>2）承包人将其承包的全部建设工程肢解后，以分包名义转给他人承包的。</w:t>
      </w:r>
      <w:bookmarkEnd w:id="576"/>
      <w:bookmarkEnd w:id="577"/>
    </w:p>
    <w:p w14:paraId="460444DA">
      <w:pPr>
        <w:adjustRightInd/>
        <w:spacing w:line="400" w:lineRule="exact"/>
        <w:ind w:firstLine="420" w:firstLineChars="200"/>
        <w:rPr>
          <w:rFonts w:hint="eastAsia" w:ascii="仿宋" w:hAnsi="仿宋" w:eastAsia="仿宋" w:cs="仿宋"/>
          <w:color w:val="auto"/>
          <w:szCs w:val="21"/>
          <w:highlight w:val="none"/>
          <w:u w:val="single"/>
        </w:rPr>
      </w:pPr>
      <w:bookmarkStart w:id="578" w:name="_Toc384745513"/>
      <w:bookmarkStart w:id="579" w:name="_Toc384726609"/>
      <w:r>
        <w:rPr>
          <w:rFonts w:hint="eastAsia" w:ascii="仿宋" w:hAnsi="仿宋" w:eastAsia="仿宋" w:cs="仿宋"/>
          <w:color w:val="auto"/>
          <w:szCs w:val="21"/>
          <w:highlight w:val="none"/>
          <w:u w:val="single"/>
        </w:rPr>
        <w:t>3）承包人将主体结构工程转给他人承包的。</w:t>
      </w:r>
      <w:bookmarkEnd w:id="578"/>
      <w:bookmarkEnd w:id="579"/>
    </w:p>
    <w:p w14:paraId="3496F448">
      <w:pPr>
        <w:adjustRightInd/>
        <w:spacing w:line="400" w:lineRule="exact"/>
        <w:ind w:firstLine="420" w:firstLineChars="200"/>
        <w:rPr>
          <w:rFonts w:hint="eastAsia" w:ascii="仿宋" w:hAnsi="仿宋" w:eastAsia="仿宋" w:cs="仿宋"/>
          <w:color w:val="auto"/>
          <w:szCs w:val="21"/>
          <w:highlight w:val="none"/>
          <w:u w:val="single"/>
        </w:rPr>
      </w:pPr>
      <w:bookmarkStart w:id="580" w:name="_Toc384745514"/>
      <w:bookmarkStart w:id="581" w:name="_Toc384726610"/>
      <w:r>
        <w:rPr>
          <w:rFonts w:hint="eastAsia" w:ascii="仿宋" w:hAnsi="仿宋" w:eastAsia="仿宋" w:cs="仿宋"/>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80"/>
      <w:bookmarkEnd w:id="581"/>
    </w:p>
    <w:p w14:paraId="4E1142DF">
      <w:pPr>
        <w:adjustRightInd/>
        <w:spacing w:line="400" w:lineRule="exact"/>
        <w:ind w:firstLine="420" w:firstLineChars="200"/>
        <w:rPr>
          <w:rFonts w:hint="eastAsia" w:ascii="仿宋" w:hAnsi="仿宋" w:eastAsia="仿宋" w:cs="仿宋"/>
          <w:color w:val="auto"/>
          <w:szCs w:val="21"/>
          <w:highlight w:val="none"/>
          <w:u w:val="single"/>
        </w:rPr>
      </w:pPr>
      <w:bookmarkStart w:id="582" w:name="_Toc384726611"/>
      <w:bookmarkStart w:id="583" w:name="_Toc384745515"/>
      <w:r>
        <w:rPr>
          <w:rFonts w:hint="eastAsia" w:ascii="仿宋" w:hAnsi="仿宋" w:eastAsia="仿宋" w:cs="仿宋"/>
          <w:color w:val="auto"/>
          <w:szCs w:val="21"/>
          <w:highlight w:val="none"/>
          <w:u w:val="single"/>
        </w:rPr>
        <w:t>5）施工现场的项目经理及主要管理人员与合同约定的项目经理及主要管理人员不符。</w:t>
      </w:r>
      <w:bookmarkEnd w:id="582"/>
      <w:bookmarkEnd w:id="583"/>
    </w:p>
    <w:p w14:paraId="0CDE048D">
      <w:pPr>
        <w:adjustRightInd/>
        <w:spacing w:line="400" w:lineRule="exact"/>
        <w:ind w:firstLine="420" w:firstLineChars="200"/>
        <w:rPr>
          <w:rFonts w:hint="eastAsia" w:ascii="仿宋" w:hAnsi="仿宋" w:eastAsia="仿宋" w:cs="仿宋"/>
          <w:color w:val="auto"/>
          <w:szCs w:val="21"/>
          <w:highlight w:val="none"/>
          <w:u w:val="single"/>
        </w:rPr>
      </w:pPr>
      <w:bookmarkStart w:id="584" w:name="_Toc384745516"/>
      <w:bookmarkStart w:id="585" w:name="_Toc384726612"/>
      <w:r>
        <w:rPr>
          <w:rFonts w:hint="eastAsia" w:ascii="仿宋" w:hAnsi="仿宋" w:eastAsia="仿宋" w:cs="仿宋"/>
          <w:color w:val="auto"/>
          <w:szCs w:val="21"/>
          <w:highlight w:val="none"/>
          <w:u w:val="single"/>
        </w:rPr>
        <w:t>6）实行工程总承包或施工总承包的工程，总承包人和总承包人范围内的分包工程，发包人为两个独立发包单位。</w:t>
      </w:r>
      <w:bookmarkEnd w:id="584"/>
      <w:bookmarkEnd w:id="585"/>
    </w:p>
    <w:p w14:paraId="1C257F3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7）承包人将工程分包给不具备相应资质条件的单位 。</w:t>
      </w:r>
    </w:p>
    <w:p w14:paraId="2B15AB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3.5.4 分包合同价款</w:t>
      </w:r>
    </w:p>
    <w:p w14:paraId="3F690D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关于分包合同价款支付的约定：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572"/>
    <w:bookmarkEnd w:id="573"/>
    <w:p w14:paraId="5BE774A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 工程照管与成品、半成品保护</w:t>
      </w:r>
    </w:p>
    <w:p w14:paraId="3851E8B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承包人负责照管工程及工程相关的材料、工程设备的起始时间：</w:t>
      </w:r>
    </w:p>
    <w:p w14:paraId="6BF47CF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（1）开工日后，施工场地由承包人负责保管并负担保管费用。</w:t>
      </w:r>
    </w:p>
    <w:p w14:paraId="470F64A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（2）施工期间，承包人实施的在建工程，承包人采购的物资、使用的设备，以及发包人采购但已经交付给承包人的物资、设备，由承包人负责保管并负担保管费用。</w:t>
      </w:r>
    </w:p>
    <w:p w14:paraId="4207349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（3）竣工日后到</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的工程移交日前，竣工工程（包括附属设备、设施），由承包人负责保管并负担保管费用。</w:t>
      </w:r>
    </w:p>
    <w:p w14:paraId="2CD9EF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91432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仿宋" w:hAnsi="仿宋" w:eastAsia="仿宋" w:cs="仿宋"/>
          <w:color w:val="auto"/>
          <w:szCs w:val="21"/>
          <w:highlight w:val="none"/>
          <w:u w:val="single"/>
          <w:lang w:val="en-US" w:eastAsia="zh-Hans"/>
        </w:rPr>
        <w:t>需承担工期延期的违约责任</w:t>
      </w:r>
      <w:r>
        <w:rPr>
          <w:rFonts w:hint="eastAsia" w:ascii="仿宋" w:hAnsi="仿宋" w:eastAsia="仿宋" w:cs="仿宋"/>
          <w:color w:val="auto"/>
          <w:szCs w:val="21"/>
          <w:highlight w:val="none"/>
          <w:u w:val="single"/>
        </w:rPr>
        <w:t>。</w:t>
      </w:r>
    </w:p>
    <w:p w14:paraId="67D939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 履约担保</w:t>
      </w:r>
    </w:p>
    <w:p w14:paraId="20D3BC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承包人是否提供履约担保：</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70ABF3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承包人提供履约担保的形式、金额及期限的：</w:t>
      </w:r>
      <w:r>
        <w:rPr>
          <w:rFonts w:hint="eastAsia" w:ascii="仿宋" w:hAnsi="仿宋" w:eastAsia="仿宋" w:cs="仿宋"/>
          <w:color w:val="auto"/>
          <w:szCs w:val="21"/>
          <w:highlight w:val="none"/>
          <w:u w:val="single"/>
        </w:rPr>
        <w:t>本工程要求承包人提供的履约担保金额为合同总价的</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%（采用支票、汇票、转帐、银行保函、保险机构保证保险保单或融资担保公司保函等）；</w:t>
      </w:r>
      <w:bookmarkStart w:id="586" w:name="OLE_LINK26"/>
      <w:r>
        <w:rPr>
          <w:rFonts w:hint="eastAsia" w:ascii="仿宋" w:hAnsi="仿宋" w:eastAsia="仿宋" w:cs="仿宋"/>
          <w:color w:val="auto"/>
          <w:szCs w:val="21"/>
          <w:highlight w:val="none"/>
          <w:u w:val="single"/>
        </w:rPr>
        <w:t>在合同签订后</w:t>
      </w:r>
      <w:r>
        <w:rPr>
          <w:rFonts w:hint="eastAsia" w:ascii="仿宋" w:hAnsi="仿宋" w:eastAsia="仿宋" w:cs="仿宋"/>
          <w:color w:val="auto"/>
          <w:szCs w:val="21"/>
          <w:highlight w:val="none"/>
          <w:u w:val="single"/>
          <w:lang w:val="en-US" w:eastAsia="zh-CN"/>
        </w:rPr>
        <w:t>5个工作日</w:t>
      </w:r>
      <w:r>
        <w:rPr>
          <w:rFonts w:hint="eastAsia" w:ascii="仿宋" w:hAnsi="仿宋" w:eastAsia="仿宋" w:cs="仿宋"/>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6"/>
      <w:r>
        <w:rPr>
          <w:rFonts w:hint="eastAsia" w:ascii="仿宋" w:hAnsi="仿宋" w:eastAsia="仿宋" w:cs="仿宋"/>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w:t>
      </w:r>
    </w:p>
    <w:p w14:paraId="7A22484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银行保函从签订本合同至竣工验收合格后90天内有效。</w:t>
      </w:r>
    </w:p>
    <w:p w14:paraId="34EC0B8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履约担保的退还：</w:t>
      </w:r>
      <w:r>
        <w:rPr>
          <w:rFonts w:hint="eastAsia" w:ascii="仿宋" w:hAnsi="仿宋" w:eastAsia="仿宋" w:cs="仿宋"/>
          <w:color w:val="auto"/>
          <w:szCs w:val="21"/>
          <w:highlight w:val="none"/>
          <w:u w:val="single"/>
        </w:rPr>
        <w:t>承包人完成全部合同约定内容，合同履约期间无违约行为，一次性竣工验收合格的，则在工程竣工验收合格后10日内，发包人退还履约担保。</w:t>
      </w:r>
    </w:p>
    <w:p w14:paraId="61F647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505D83C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3.8 </w:t>
      </w:r>
    </w:p>
    <w:p w14:paraId="2EAC4BC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3.8.1  联合体所承担的连带责任持续有效而无需再行作出书面约定，唯有不承担连带责任之特殊情形，须另行作出书面约定。</w:t>
      </w:r>
    </w:p>
    <w:p w14:paraId="5F6AF09E">
      <w:pPr>
        <w:keepNext/>
        <w:keepLines/>
        <w:adjustRightInd/>
        <w:spacing w:line="400" w:lineRule="exact"/>
        <w:outlineLvl w:val="3"/>
        <w:rPr>
          <w:rFonts w:hint="eastAsia" w:ascii="仿宋" w:hAnsi="仿宋" w:eastAsia="仿宋" w:cs="仿宋"/>
          <w:bCs/>
          <w:color w:val="auto"/>
          <w:szCs w:val="21"/>
          <w:highlight w:val="none"/>
        </w:rPr>
      </w:pPr>
      <w:bookmarkStart w:id="587" w:name="_Toc351203636"/>
      <w:r>
        <w:rPr>
          <w:rFonts w:hint="eastAsia" w:ascii="仿宋" w:hAnsi="仿宋" w:eastAsia="仿宋" w:cs="仿宋"/>
          <w:bCs/>
          <w:color w:val="auto"/>
          <w:szCs w:val="21"/>
          <w:highlight w:val="none"/>
        </w:rPr>
        <w:t>4</w:t>
      </w:r>
      <w:bookmarkStart w:id="588" w:name="_Toc267251413"/>
      <w:bookmarkStart w:id="589" w:name="_Toc297048348"/>
      <w:bookmarkStart w:id="590" w:name="_Toc292559366"/>
      <w:bookmarkStart w:id="591" w:name="_Toc292559871"/>
      <w:bookmarkStart w:id="592" w:name="_Toc297120462"/>
      <w:bookmarkStart w:id="593" w:name="_Toc296503162"/>
      <w:bookmarkStart w:id="594" w:name="_Toc296890990"/>
      <w:bookmarkStart w:id="595" w:name="_Toc296347161"/>
      <w:bookmarkStart w:id="596" w:name="_Toc296944501"/>
      <w:bookmarkStart w:id="597" w:name="_Toc296891202"/>
      <w:bookmarkStart w:id="598" w:name="_Toc296346663"/>
      <w:r>
        <w:rPr>
          <w:rFonts w:hint="eastAsia" w:ascii="仿宋" w:hAnsi="仿宋" w:eastAsia="仿宋" w:cs="仿宋"/>
          <w:bCs/>
          <w:color w:val="auto"/>
          <w:szCs w:val="21"/>
          <w:highlight w:val="none"/>
        </w:rPr>
        <w:t>. 监</w:t>
      </w:r>
      <w:bookmarkEnd w:id="588"/>
      <w:bookmarkEnd w:id="589"/>
      <w:bookmarkEnd w:id="590"/>
      <w:bookmarkEnd w:id="591"/>
      <w:bookmarkEnd w:id="592"/>
      <w:bookmarkEnd w:id="593"/>
      <w:bookmarkEnd w:id="594"/>
      <w:bookmarkEnd w:id="595"/>
      <w:bookmarkEnd w:id="596"/>
      <w:bookmarkEnd w:id="597"/>
      <w:bookmarkEnd w:id="598"/>
      <w:r>
        <w:rPr>
          <w:rFonts w:hint="eastAsia" w:ascii="仿宋" w:hAnsi="仿宋" w:eastAsia="仿宋" w:cs="仿宋"/>
          <w:bCs/>
          <w:color w:val="auto"/>
          <w:szCs w:val="21"/>
          <w:highlight w:val="none"/>
        </w:rPr>
        <w:t>理人</w:t>
      </w:r>
      <w:bookmarkEnd w:id="587"/>
    </w:p>
    <w:p w14:paraId="391CA8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4.1监理人的一般规定</w:t>
      </w:r>
    </w:p>
    <w:p w14:paraId="65BC90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关于监理人的监理内容：</w:t>
      </w:r>
      <w:r>
        <w:rPr>
          <w:rFonts w:hint="eastAsia" w:ascii="仿宋" w:hAnsi="仿宋" w:eastAsia="仿宋" w:cs="仿宋"/>
          <w:color w:val="auto"/>
          <w:szCs w:val="21"/>
          <w:highlight w:val="none"/>
          <w:u w:val="single"/>
        </w:rPr>
        <w:t xml:space="preserve">  见本工程的委托监理合同    </w:t>
      </w:r>
      <w:r>
        <w:rPr>
          <w:rFonts w:hint="eastAsia" w:ascii="仿宋" w:hAnsi="仿宋" w:eastAsia="仿宋" w:cs="仿宋"/>
          <w:color w:val="auto"/>
          <w:szCs w:val="21"/>
          <w:highlight w:val="none"/>
        </w:rPr>
        <w:t>。</w:t>
      </w:r>
    </w:p>
    <w:p w14:paraId="2564E6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关于监理人的监理权限：</w:t>
      </w:r>
      <w:r>
        <w:rPr>
          <w:rFonts w:hint="eastAsia" w:ascii="仿宋" w:hAnsi="仿宋" w:eastAsia="仿宋" w:cs="仿宋"/>
          <w:color w:val="auto"/>
          <w:szCs w:val="21"/>
          <w:highlight w:val="none"/>
          <w:u w:val="single"/>
        </w:rPr>
        <w:t xml:space="preserve">  根据监理合同、施工承包合同和法律法规规定的事项代表发包人进行工程前期协调、施工现场协调、工程监理   </w:t>
      </w:r>
      <w:r>
        <w:rPr>
          <w:rFonts w:hint="eastAsia" w:ascii="仿宋" w:hAnsi="仿宋" w:eastAsia="仿宋" w:cs="仿宋"/>
          <w:color w:val="auto"/>
          <w:szCs w:val="21"/>
          <w:highlight w:val="none"/>
        </w:rPr>
        <w:t xml:space="preserve">。 </w:t>
      </w:r>
    </w:p>
    <w:p w14:paraId="555000B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关于监理人在施工现场的办公场所、生活场所的提供和费用承担的约定：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DB9F5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监理人员</w:t>
      </w:r>
    </w:p>
    <w:p w14:paraId="19C442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总监理工程师：</w:t>
      </w:r>
    </w:p>
    <w:p w14:paraId="188CED6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4325D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总监理工程师 </w:t>
      </w:r>
      <w:r>
        <w:rPr>
          <w:rFonts w:hint="eastAsia" w:ascii="仿宋" w:hAnsi="仿宋" w:eastAsia="仿宋" w:cs="仿宋"/>
          <w:color w:val="auto"/>
          <w:szCs w:val="21"/>
          <w:highlight w:val="none"/>
        </w:rPr>
        <w:t>；</w:t>
      </w:r>
    </w:p>
    <w:p w14:paraId="794F5A2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监理工程师执业资格证书号：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0003A7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32F4C2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FDBF9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E3BFB3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关于监理人的其他约定：</w:t>
      </w:r>
      <w:r>
        <w:rPr>
          <w:rFonts w:hint="eastAsia" w:ascii="仿宋" w:hAnsi="仿宋" w:eastAsia="仿宋" w:cs="仿宋"/>
          <w:color w:val="auto"/>
          <w:szCs w:val="21"/>
          <w:highlight w:val="none"/>
          <w:u w:val="single"/>
        </w:rPr>
        <w:t>需要取得发包人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仿宋" w:hAnsi="仿宋" w:eastAsia="仿宋" w:cs="仿宋"/>
          <w:color w:val="auto"/>
          <w:szCs w:val="21"/>
          <w:highlight w:val="none"/>
        </w:rPr>
        <w:t>。</w:t>
      </w:r>
    </w:p>
    <w:p w14:paraId="521B50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商定或确定</w:t>
      </w:r>
    </w:p>
    <w:p w14:paraId="62396F67">
      <w:pPr>
        <w:adjustRightInd/>
        <w:spacing w:line="400" w:lineRule="exact"/>
        <w:ind w:firstLine="420" w:firstLineChars="200"/>
        <w:rPr>
          <w:rFonts w:hint="eastAsia" w:ascii="仿宋" w:hAnsi="仿宋" w:eastAsia="仿宋" w:cs="仿宋"/>
          <w:color w:val="auto"/>
          <w:szCs w:val="21"/>
          <w:highlight w:val="none"/>
        </w:rPr>
      </w:pPr>
      <w:bookmarkStart w:id="599" w:name="_Toc267251418"/>
      <w:r>
        <w:rPr>
          <w:rFonts w:hint="eastAsia" w:ascii="仿宋" w:hAnsi="仿宋" w:eastAsia="仿宋" w:cs="仿宋"/>
          <w:color w:val="auto"/>
          <w:szCs w:val="21"/>
          <w:highlight w:val="none"/>
        </w:rPr>
        <w:t>在发包人和承包人不能通过协商达成一致意见时，发包人授权监理人对以下事项进行确定：</w:t>
      </w:r>
    </w:p>
    <w:p w14:paraId="5BE302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DE814B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6F93EFB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C536020">
      <w:pPr>
        <w:keepNext/>
        <w:keepLines/>
        <w:adjustRightInd/>
        <w:spacing w:line="400" w:lineRule="exact"/>
        <w:outlineLvl w:val="3"/>
        <w:rPr>
          <w:rFonts w:hint="eastAsia" w:ascii="仿宋" w:hAnsi="仿宋" w:eastAsia="仿宋" w:cs="仿宋"/>
          <w:bCs/>
          <w:color w:val="auto"/>
          <w:szCs w:val="21"/>
          <w:highlight w:val="none"/>
        </w:rPr>
      </w:pPr>
      <w:bookmarkStart w:id="600" w:name="_Toc351203637"/>
      <w:r>
        <w:rPr>
          <w:rFonts w:hint="eastAsia" w:ascii="仿宋" w:hAnsi="仿宋" w:eastAsia="仿宋" w:cs="仿宋"/>
          <w:bCs/>
          <w:color w:val="auto"/>
          <w:szCs w:val="21"/>
          <w:highlight w:val="none"/>
        </w:rPr>
        <w:t>5</w:t>
      </w:r>
      <w:bookmarkEnd w:id="599"/>
      <w:bookmarkStart w:id="601" w:name="_Toc297120463"/>
      <w:bookmarkStart w:id="602" w:name="_Toc296503163"/>
      <w:bookmarkStart w:id="603" w:name="_Toc296944502"/>
      <w:bookmarkStart w:id="604" w:name="_Toc296890991"/>
      <w:bookmarkStart w:id="605" w:name="_Toc296891203"/>
      <w:bookmarkStart w:id="606" w:name="_Toc292559872"/>
      <w:bookmarkStart w:id="607" w:name="_Toc296346664"/>
      <w:bookmarkStart w:id="608" w:name="_Toc296347162"/>
      <w:bookmarkStart w:id="609" w:name="_Toc297048349"/>
      <w:bookmarkStart w:id="610" w:name="_Toc292559367"/>
      <w:r>
        <w:rPr>
          <w:rFonts w:hint="eastAsia" w:ascii="仿宋" w:hAnsi="仿宋" w:eastAsia="仿宋" w:cs="仿宋"/>
          <w:bCs/>
          <w:color w:val="auto"/>
          <w:szCs w:val="21"/>
          <w:highlight w:val="none"/>
        </w:rPr>
        <w:t>. 工程质量</w:t>
      </w:r>
      <w:bookmarkEnd w:id="600"/>
    </w:p>
    <w:p w14:paraId="473B60FD">
      <w:pPr>
        <w:adjustRightInd/>
        <w:spacing w:line="400" w:lineRule="exact"/>
        <w:ind w:firstLine="420" w:firstLineChars="200"/>
        <w:outlineLvl w:val="0"/>
        <w:rPr>
          <w:rFonts w:hint="eastAsia" w:ascii="仿宋" w:hAnsi="仿宋" w:eastAsia="仿宋" w:cs="仿宋"/>
          <w:color w:val="auto"/>
          <w:szCs w:val="21"/>
          <w:highlight w:val="none"/>
        </w:rPr>
      </w:pPr>
      <w:bookmarkStart w:id="611" w:name="_Toc29387"/>
      <w:bookmarkStart w:id="612" w:name="_Toc30439"/>
      <w:bookmarkStart w:id="613" w:name="_Toc4026"/>
      <w:bookmarkStart w:id="614" w:name="_Toc15287"/>
      <w:bookmarkStart w:id="615" w:name="_Toc4020"/>
      <w:bookmarkStart w:id="616" w:name="_Toc23350"/>
      <w:r>
        <w:rPr>
          <w:rFonts w:hint="eastAsia" w:ascii="仿宋" w:hAnsi="仿宋" w:eastAsia="仿宋" w:cs="仿宋"/>
          <w:color w:val="auto"/>
          <w:szCs w:val="21"/>
          <w:highlight w:val="none"/>
        </w:rPr>
        <w:t>5.1 质量要求</w:t>
      </w:r>
      <w:bookmarkEnd w:id="611"/>
      <w:bookmarkEnd w:id="612"/>
      <w:bookmarkEnd w:id="613"/>
      <w:bookmarkEnd w:id="614"/>
      <w:bookmarkEnd w:id="615"/>
      <w:bookmarkEnd w:id="616"/>
    </w:p>
    <w:p w14:paraId="31467ABB">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bookmarkStart w:id="617" w:name="_Toc304295527"/>
      <w:bookmarkStart w:id="618" w:name="_Toc297216155"/>
      <w:bookmarkStart w:id="619" w:name="_Toc297123496"/>
      <w:bookmarkStart w:id="620" w:name="_Toc303539106"/>
      <w:bookmarkStart w:id="621" w:name="_Toc312677997"/>
      <w:bookmarkStart w:id="622" w:name="_Toc300934949"/>
      <w:bookmarkStart w:id="623" w:name="_Toc318581164"/>
      <w:r>
        <w:rPr>
          <w:rFonts w:hint="eastAsia" w:ascii="仿宋" w:hAnsi="仿宋" w:eastAsia="仿宋" w:cs="仿宋"/>
          <w:color w:val="auto"/>
          <w:szCs w:val="21"/>
          <w:highlight w:val="none"/>
        </w:rPr>
        <w:t>.1.1 特殊质量标准和要求：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051FAF6">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关于工程奖项的约定：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54D5B9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5.1.2 因发包人原因造成工程质量未达到合同约定标准的，由发包人承担由此增加的费用和（或）延误的工期，但不包括承包人的利润损失。</w:t>
      </w:r>
    </w:p>
    <w:p w14:paraId="51BEFD27">
      <w:pPr>
        <w:adjustRightInd/>
        <w:spacing w:line="400" w:lineRule="exact"/>
        <w:ind w:firstLine="420" w:firstLineChars="200"/>
        <w:outlineLvl w:val="0"/>
        <w:rPr>
          <w:rFonts w:hint="eastAsia" w:ascii="仿宋" w:hAnsi="仿宋" w:eastAsia="仿宋" w:cs="仿宋"/>
          <w:color w:val="auto"/>
          <w:szCs w:val="21"/>
          <w:highlight w:val="none"/>
        </w:rPr>
      </w:pPr>
      <w:bookmarkStart w:id="624" w:name="_Toc20752"/>
      <w:bookmarkStart w:id="625" w:name="_Toc4135"/>
      <w:bookmarkStart w:id="626" w:name="_Toc113"/>
      <w:bookmarkStart w:id="627" w:name="_Toc29586"/>
      <w:bookmarkStart w:id="628" w:name="_Toc23574"/>
      <w:bookmarkStart w:id="629" w:name="_Toc29840"/>
      <w:r>
        <w:rPr>
          <w:rFonts w:hint="eastAsia" w:ascii="仿宋" w:hAnsi="仿宋" w:eastAsia="仿宋" w:cs="仿宋"/>
          <w:color w:val="auto"/>
          <w:szCs w:val="21"/>
          <w:highlight w:val="none"/>
        </w:rPr>
        <w:t>5.3 隐蔽工程检查</w:t>
      </w:r>
      <w:bookmarkEnd w:id="624"/>
      <w:bookmarkEnd w:id="625"/>
      <w:bookmarkEnd w:id="626"/>
      <w:bookmarkEnd w:id="627"/>
      <w:bookmarkEnd w:id="628"/>
      <w:bookmarkEnd w:id="629"/>
    </w:p>
    <w:p w14:paraId="38ED360F">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5.3.2承包人提前通知监理人隐蔽工程检查的期限的约定：</w:t>
      </w:r>
      <w:r>
        <w:rPr>
          <w:rFonts w:hint="eastAsia" w:ascii="仿宋" w:hAnsi="仿宋" w:eastAsia="仿宋" w:cs="仿宋"/>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仿宋" w:hAnsi="仿宋" w:eastAsia="仿宋" w:cs="仿宋"/>
          <w:color w:val="auto"/>
          <w:szCs w:val="21"/>
          <w:highlight w:val="none"/>
          <w:u w:val="single"/>
          <w:lang w:eastAsia="zh-CN"/>
        </w:rPr>
        <w:t>发包人</w:t>
      </w:r>
      <w:r>
        <w:rPr>
          <w:rFonts w:hint="eastAsia" w:ascii="仿宋" w:hAnsi="仿宋" w:eastAsia="仿宋" w:cs="仿宋"/>
          <w:color w:val="auto"/>
          <w:szCs w:val="21"/>
          <w:highlight w:val="none"/>
          <w:u w:val="single"/>
        </w:rPr>
        <w:t>相关工程管理制度，若有费用产生由承包方承担，发包人有权视情节轻重对承包方按制度处以违约金</w:t>
      </w:r>
      <w:r>
        <w:rPr>
          <w:rFonts w:hint="eastAsia" w:ascii="仿宋" w:hAnsi="仿宋" w:eastAsia="仿宋" w:cs="仿宋"/>
          <w:color w:val="auto"/>
          <w:szCs w:val="21"/>
          <w:highlight w:val="none"/>
        </w:rPr>
        <w:t>。</w:t>
      </w:r>
    </w:p>
    <w:p w14:paraId="0F25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监理人不能按时进行检查时，应提前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6BE5F3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596B8499">
      <w:pPr>
        <w:keepNext/>
        <w:keepLines/>
        <w:adjustRightInd/>
        <w:spacing w:line="400" w:lineRule="exact"/>
        <w:outlineLvl w:val="3"/>
        <w:rPr>
          <w:rFonts w:hint="eastAsia" w:ascii="仿宋" w:hAnsi="仿宋" w:eastAsia="仿宋" w:cs="仿宋"/>
          <w:bCs/>
          <w:color w:val="auto"/>
          <w:szCs w:val="21"/>
          <w:highlight w:val="none"/>
        </w:rPr>
      </w:pPr>
      <w:bookmarkStart w:id="630" w:name="_Toc351203638"/>
      <w:r>
        <w:rPr>
          <w:rFonts w:hint="eastAsia" w:ascii="仿宋" w:hAnsi="仿宋" w:eastAsia="仿宋" w:cs="仿宋"/>
          <w:bCs/>
          <w:color w:val="auto"/>
          <w:szCs w:val="21"/>
          <w:highlight w:val="none"/>
        </w:rPr>
        <w:t>6. 安全文明施工与环境保护</w:t>
      </w:r>
      <w:bookmarkEnd w:id="630"/>
    </w:p>
    <w:p w14:paraId="2BEBE2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6.1安全文明施工</w:t>
      </w:r>
    </w:p>
    <w:p w14:paraId="27D574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项目安全生产的达标目标及相应事项的约定：</w:t>
      </w:r>
      <w:r>
        <w:rPr>
          <w:rFonts w:hint="eastAsia" w:ascii="仿宋" w:hAnsi="仿宋" w:eastAsia="仿宋" w:cs="仿宋"/>
          <w:color w:val="auto"/>
          <w:szCs w:val="21"/>
          <w:highlight w:val="none"/>
          <w:u w:val="single"/>
        </w:rPr>
        <w:t>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w:t>
      </w:r>
    </w:p>
    <w:p w14:paraId="4B4E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6.1.4 关于治安保卫的特别约定：</w:t>
      </w:r>
      <w:r>
        <w:rPr>
          <w:rFonts w:hint="eastAsia" w:ascii="仿宋" w:hAnsi="仿宋" w:eastAsia="仿宋" w:cs="仿宋"/>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仿宋" w:hAnsi="仿宋" w:eastAsia="仿宋" w:cs="仿宋"/>
          <w:color w:val="auto"/>
          <w:szCs w:val="21"/>
          <w:highlight w:val="none"/>
        </w:rPr>
        <w:t>。</w:t>
      </w:r>
    </w:p>
    <w:p w14:paraId="6B41DF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关于编制施工场地治安管理计划的约定：</w:t>
      </w:r>
      <w:r>
        <w:rPr>
          <w:rFonts w:hint="eastAsia" w:ascii="仿宋" w:hAnsi="仿宋" w:eastAsia="仿宋" w:cs="仿宋"/>
          <w:color w:val="auto"/>
          <w:szCs w:val="21"/>
          <w:highlight w:val="none"/>
          <w:u w:val="single"/>
        </w:rPr>
        <w:t xml:space="preserve">   由承包人负责 </w:t>
      </w:r>
      <w:r>
        <w:rPr>
          <w:rFonts w:hint="eastAsia" w:ascii="仿宋" w:hAnsi="仿宋" w:eastAsia="仿宋" w:cs="仿宋"/>
          <w:color w:val="auto"/>
          <w:szCs w:val="21"/>
          <w:highlight w:val="none"/>
        </w:rPr>
        <w:t>。</w:t>
      </w:r>
    </w:p>
    <w:p w14:paraId="05FFA1A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6.1.5 文明施工</w:t>
      </w:r>
    </w:p>
    <w:p w14:paraId="0C2791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合同当事人对文明施工的要求：</w:t>
      </w:r>
    </w:p>
    <w:p w14:paraId="4F21FB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（1）遵守地方政府和有关部门对施工场地交通、环卫、安全和施工噪音等管理规定，并办理相关审批手续。</w:t>
      </w:r>
    </w:p>
    <w:p w14:paraId="0E5131F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（2）承包人应采取有效措施尽量减小尘土和噪音污染，需要进行夜间作业时应经有关部门批准。</w:t>
      </w:r>
    </w:p>
    <w:p w14:paraId="200E2C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41D6D1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（4）上述手续办理费用约定如下：由承包人自行承担，在结算时不予调整</w:t>
      </w:r>
      <w:r>
        <w:rPr>
          <w:rFonts w:hint="eastAsia" w:ascii="仿宋" w:hAnsi="仿宋" w:eastAsia="仿宋" w:cs="仿宋"/>
          <w:color w:val="auto"/>
          <w:szCs w:val="21"/>
          <w:highlight w:val="none"/>
        </w:rPr>
        <w:t xml:space="preserve">。  </w:t>
      </w:r>
    </w:p>
    <w:p w14:paraId="6F6659B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6.1.6 关于安全文明施工费支付比例和支付期限的约定：</w:t>
      </w:r>
      <w:r>
        <w:rPr>
          <w:rFonts w:hint="eastAsia" w:ascii="仿宋" w:hAnsi="仿宋" w:eastAsia="仿宋" w:cs="仿宋"/>
          <w:color w:val="auto"/>
          <w:szCs w:val="21"/>
          <w:highlight w:val="none"/>
          <w:u w:val="single"/>
        </w:rPr>
        <w:t>按以下第（ 1 ）种方式约定：</w:t>
      </w:r>
    </w:p>
    <w:p w14:paraId="19A432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（1）发包人应在开工后28天内预付安全文明施工费总额的60%，剩余部分支付按以下第（①）种方式约定 </w:t>
      </w:r>
      <w:r>
        <w:rPr>
          <w:rFonts w:hint="eastAsia" w:ascii="仿宋" w:hAnsi="仿宋" w:eastAsia="仿宋" w:cs="仿宋"/>
          <w:color w:val="auto"/>
          <w:szCs w:val="21"/>
          <w:highlight w:val="none"/>
        </w:rPr>
        <w:t>：</w:t>
      </w:r>
    </w:p>
    <w:p w14:paraId="45EB266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①  视相关措施的落实情况与进度款同期支付             </w:t>
      </w:r>
      <w:r>
        <w:rPr>
          <w:rFonts w:hint="eastAsia" w:ascii="仿宋" w:hAnsi="仿宋" w:eastAsia="仿宋" w:cs="仿宋"/>
          <w:color w:val="auto"/>
          <w:szCs w:val="21"/>
          <w:highlight w:val="none"/>
        </w:rPr>
        <w:t xml:space="preserve"> 。</w:t>
      </w:r>
    </w:p>
    <w:p w14:paraId="3138AA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②  其他：                                           </w:t>
      </w:r>
      <w:r>
        <w:rPr>
          <w:rFonts w:hint="eastAsia" w:ascii="仿宋" w:hAnsi="仿宋" w:eastAsia="仿宋" w:cs="仿宋"/>
          <w:color w:val="auto"/>
          <w:szCs w:val="21"/>
          <w:highlight w:val="none"/>
        </w:rPr>
        <w:t xml:space="preserve"> 。</w:t>
      </w:r>
    </w:p>
    <w:p w14:paraId="0E8086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             </w:t>
      </w:r>
      <w:r>
        <w:rPr>
          <w:rFonts w:hint="eastAsia" w:ascii="仿宋" w:hAnsi="仿宋" w:eastAsia="仿宋" w:cs="仿宋"/>
          <w:color w:val="auto"/>
          <w:szCs w:val="21"/>
          <w:highlight w:val="none"/>
        </w:rPr>
        <w:t>。</w:t>
      </w:r>
    </w:p>
    <w:bookmarkEnd w:id="617"/>
    <w:bookmarkEnd w:id="618"/>
    <w:bookmarkEnd w:id="619"/>
    <w:bookmarkEnd w:id="620"/>
    <w:bookmarkEnd w:id="621"/>
    <w:bookmarkEnd w:id="622"/>
    <w:bookmarkEnd w:id="623"/>
    <w:p w14:paraId="773ED24A">
      <w:pPr>
        <w:keepNext/>
        <w:keepLines/>
        <w:adjustRightInd/>
        <w:spacing w:line="400" w:lineRule="exact"/>
        <w:outlineLvl w:val="3"/>
        <w:rPr>
          <w:rFonts w:hint="eastAsia" w:ascii="仿宋" w:hAnsi="仿宋" w:eastAsia="仿宋" w:cs="仿宋"/>
          <w:bCs/>
          <w:color w:val="auto"/>
          <w:szCs w:val="21"/>
          <w:highlight w:val="none"/>
        </w:rPr>
      </w:pPr>
      <w:bookmarkStart w:id="631" w:name="_Toc351203639"/>
      <w:r>
        <w:rPr>
          <w:rFonts w:hint="eastAsia" w:ascii="仿宋" w:hAnsi="仿宋" w:eastAsia="仿宋" w:cs="仿宋"/>
          <w:bCs/>
          <w:color w:val="auto"/>
          <w:szCs w:val="21"/>
          <w:highlight w:val="none"/>
        </w:rPr>
        <w:t>7. 工期和进度</w:t>
      </w:r>
      <w:bookmarkEnd w:id="631"/>
    </w:p>
    <w:p w14:paraId="7DC1837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施工组织设计</w:t>
      </w:r>
    </w:p>
    <w:p w14:paraId="72B57027">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7.1.1 合同当事人约定的施工组织设计应包括的其他内容：</w:t>
      </w:r>
    </w:p>
    <w:p w14:paraId="44CB2E8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按《通用合同条款》执行      </w:t>
      </w:r>
      <w:r>
        <w:rPr>
          <w:rFonts w:hint="eastAsia" w:ascii="仿宋" w:hAnsi="仿宋" w:eastAsia="仿宋" w:cs="仿宋"/>
          <w:color w:val="auto"/>
          <w:szCs w:val="21"/>
          <w:highlight w:val="none"/>
        </w:rPr>
        <w:t>。</w:t>
      </w:r>
    </w:p>
    <w:p w14:paraId="6F3597C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施工组织设计的提交和修改</w:t>
      </w:r>
    </w:p>
    <w:p w14:paraId="3125652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承包人提交详细施工组织设计的期限的约定：</w:t>
      </w:r>
      <w:r>
        <w:rPr>
          <w:rFonts w:hint="eastAsia" w:ascii="仿宋" w:hAnsi="仿宋" w:eastAsia="仿宋" w:cs="仿宋"/>
          <w:color w:val="auto"/>
          <w:szCs w:val="21"/>
          <w:highlight w:val="none"/>
          <w:u w:val="single"/>
        </w:rPr>
        <w:t xml:space="preserve">  合同签订后（7）天内提供详细施工组织设计（施工方案）和进度计划 </w:t>
      </w:r>
      <w:r>
        <w:rPr>
          <w:rFonts w:hint="eastAsia" w:ascii="仿宋" w:hAnsi="仿宋" w:eastAsia="仿宋" w:cs="仿宋"/>
          <w:color w:val="auto"/>
          <w:szCs w:val="21"/>
          <w:highlight w:val="none"/>
        </w:rPr>
        <w:t>。</w:t>
      </w:r>
    </w:p>
    <w:p w14:paraId="7B0F4D2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发包人和监理人在收到详细的施工组织设计后确认或提出修改意见的期限：</w:t>
      </w:r>
      <w:r>
        <w:rPr>
          <w:rFonts w:hint="eastAsia" w:ascii="仿宋" w:hAnsi="仿宋" w:eastAsia="仿宋" w:cs="仿宋"/>
          <w:color w:val="auto"/>
          <w:szCs w:val="21"/>
          <w:highlight w:val="none"/>
          <w:u w:val="single"/>
        </w:rPr>
        <w:t xml:space="preserve">  收到该计划后的14天内审查同意或提出修改意见。发包人提出修改意见的，承包人应按照发包人提出的修改意见实施</w:t>
      </w:r>
      <w:r>
        <w:rPr>
          <w:rFonts w:hint="eastAsia" w:ascii="仿宋" w:hAnsi="仿宋" w:eastAsia="仿宋" w:cs="仿宋"/>
          <w:color w:val="auto"/>
          <w:szCs w:val="21"/>
          <w:highlight w:val="none"/>
        </w:rPr>
        <w:t>。</w:t>
      </w:r>
    </w:p>
    <w:p w14:paraId="02E96B7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2" w:name="_Toc297123514"/>
      <w:bookmarkStart w:id="633" w:name="_Toc303539123"/>
      <w:bookmarkStart w:id="634" w:name="_Toc300934966"/>
      <w:bookmarkStart w:id="635" w:name="_Toc312677479"/>
      <w:bookmarkStart w:id="636" w:name="_Toc297216173"/>
      <w:bookmarkStart w:id="637" w:name="_Toc312678005"/>
      <w:bookmarkStart w:id="638" w:name="_Toc304295541"/>
      <w:r>
        <w:rPr>
          <w:rFonts w:hint="eastAsia" w:ascii="仿宋" w:hAnsi="仿宋" w:eastAsia="仿宋" w:cs="仿宋"/>
          <w:color w:val="auto"/>
          <w:szCs w:val="21"/>
          <w:highlight w:val="none"/>
        </w:rPr>
        <w:t>.2 施工进度计划</w:t>
      </w:r>
    </w:p>
    <w:p w14:paraId="62CFE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施工进度计划的修订</w:t>
      </w:r>
    </w:p>
    <w:p w14:paraId="6F35CB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发包人和监理人在收到修订的施工进度计划后确认或提出修改意见的期限：</w:t>
      </w:r>
      <w:r>
        <w:rPr>
          <w:rFonts w:hint="eastAsia" w:ascii="仿宋" w:hAnsi="仿宋" w:eastAsia="仿宋" w:cs="仿宋"/>
          <w:color w:val="auto"/>
          <w:szCs w:val="21"/>
          <w:highlight w:val="none"/>
          <w:u w:val="single"/>
        </w:rPr>
        <w:t xml:space="preserve">  14天内   </w:t>
      </w:r>
      <w:r>
        <w:rPr>
          <w:rFonts w:hint="eastAsia" w:ascii="仿宋" w:hAnsi="仿宋" w:eastAsia="仿宋" w:cs="仿宋"/>
          <w:color w:val="auto"/>
          <w:szCs w:val="21"/>
          <w:highlight w:val="none"/>
        </w:rPr>
        <w:t>。</w:t>
      </w:r>
    </w:p>
    <w:p w14:paraId="16F383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开工</w:t>
      </w:r>
    </w:p>
    <w:p w14:paraId="080598D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 开工准备</w:t>
      </w:r>
    </w:p>
    <w:p w14:paraId="034C2B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关于承包人提交工程开工报审表的期限：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仿宋" w:hAnsi="仿宋" w:eastAsia="仿宋" w:cs="仿宋"/>
          <w:color w:val="auto"/>
          <w:szCs w:val="21"/>
          <w:highlight w:val="none"/>
        </w:rPr>
        <w:t>。</w:t>
      </w:r>
    </w:p>
    <w:p w14:paraId="2D7EBE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关于发包人应完成的其他开工准备工作及期限：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w:t>
      </w:r>
    </w:p>
    <w:p w14:paraId="16E15B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关于承包人应完成的其他开工准备工作及期限：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仿宋" w:hAnsi="仿宋" w:eastAsia="仿宋" w:cs="仿宋"/>
          <w:color w:val="auto"/>
          <w:szCs w:val="21"/>
          <w:highlight w:val="none"/>
        </w:rPr>
        <w:t>。</w:t>
      </w:r>
    </w:p>
    <w:p w14:paraId="700F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7.3.2开工通知</w:t>
      </w:r>
    </w:p>
    <w:p w14:paraId="1A411F2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因发包人原因造成监理人未能在计划开工日期之日起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天内发出开工通知的，承包人有权提出价格调整要求，或者解除合同。</w:t>
      </w:r>
    </w:p>
    <w:bookmarkEnd w:id="632"/>
    <w:bookmarkEnd w:id="633"/>
    <w:bookmarkEnd w:id="634"/>
    <w:bookmarkEnd w:id="635"/>
    <w:bookmarkEnd w:id="636"/>
    <w:bookmarkEnd w:id="637"/>
    <w:bookmarkEnd w:id="638"/>
    <w:p w14:paraId="0EA00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 测量放线</w:t>
      </w:r>
    </w:p>
    <w:p w14:paraId="16D101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7.4.1发包人通过监理人向承包人提供测量基准点、基准线和水准点及其书面资料的期限：</w:t>
      </w:r>
      <w:r>
        <w:rPr>
          <w:rFonts w:hint="eastAsia" w:ascii="仿宋" w:hAnsi="仿宋" w:eastAsia="仿宋" w:cs="仿宋"/>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仿宋" w:hAnsi="仿宋" w:eastAsia="仿宋" w:cs="仿宋"/>
          <w:color w:val="auto"/>
          <w:szCs w:val="21"/>
          <w:highlight w:val="none"/>
        </w:rPr>
        <w:t>。</w:t>
      </w:r>
    </w:p>
    <w:p w14:paraId="17F11D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9" w:name="_Toc312677484"/>
      <w:bookmarkStart w:id="640" w:name="_Toc304295546"/>
      <w:bookmarkStart w:id="641" w:name="_Toc303539125"/>
      <w:bookmarkStart w:id="642" w:name="_Toc297123516"/>
      <w:bookmarkStart w:id="643" w:name="_Toc300934968"/>
      <w:bookmarkStart w:id="644" w:name="_Toc312678010"/>
      <w:bookmarkStart w:id="645" w:name="_Toc297216175"/>
      <w:r>
        <w:rPr>
          <w:rFonts w:hint="eastAsia" w:ascii="仿宋" w:hAnsi="仿宋" w:eastAsia="仿宋" w:cs="仿宋"/>
          <w:color w:val="auto"/>
          <w:szCs w:val="21"/>
          <w:highlight w:val="none"/>
        </w:rPr>
        <w:t>.5 工期延误</w:t>
      </w:r>
    </w:p>
    <w:bookmarkEnd w:id="639"/>
    <w:bookmarkEnd w:id="640"/>
    <w:bookmarkEnd w:id="641"/>
    <w:bookmarkEnd w:id="642"/>
    <w:bookmarkEnd w:id="643"/>
    <w:bookmarkEnd w:id="644"/>
    <w:bookmarkEnd w:id="645"/>
    <w:p w14:paraId="25987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7.5.1 因发包人原因导致工期延误</w:t>
      </w:r>
    </w:p>
    <w:p w14:paraId="6299DB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（7）因发包人原因导致工期延误的其他情形：</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2051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6" w:name="_Toc312678012"/>
      <w:bookmarkStart w:id="647" w:name="_Toc312677486"/>
      <w:bookmarkStart w:id="648" w:name="_Toc318581169"/>
      <w:bookmarkStart w:id="649" w:name="_Toc297216177"/>
      <w:bookmarkStart w:id="650" w:name="_Toc297123518"/>
      <w:bookmarkStart w:id="651" w:name="_Toc304295548"/>
      <w:bookmarkStart w:id="652" w:name="_Toc300934970"/>
      <w:bookmarkStart w:id="653" w:name="_Toc303539127"/>
      <w:r>
        <w:rPr>
          <w:rFonts w:hint="eastAsia" w:ascii="仿宋" w:hAnsi="仿宋" w:eastAsia="仿宋" w:cs="仿宋"/>
          <w:color w:val="auto"/>
          <w:szCs w:val="21"/>
          <w:highlight w:val="none"/>
        </w:rPr>
        <w:t>.5.2 因承包人原因导致工期延误</w:t>
      </w:r>
      <w:bookmarkEnd w:id="646"/>
      <w:bookmarkEnd w:id="647"/>
      <w:bookmarkEnd w:id="648"/>
    </w:p>
    <w:p w14:paraId="271253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bookmarkStart w:id="654" w:name="_Toc312678013"/>
      <w:bookmarkStart w:id="655" w:name="_Toc312677487"/>
      <w:bookmarkStart w:id="656" w:name="_Toc318581170"/>
      <w:r>
        <w:rPr>
          <w:rFonts w:hint="eastAsia" w:ascii="仿宋" w:hAnsi="仿宋" w:eastAsia="仿宋" w:cs="仿宋"/>
          <w:color w:val="auto"/>
          <w:szCs w:val="21"/>
          <w:highlight w:val="none"/>
        </w:rPr>
        <w:t>承包人原因造成工期延误，逾期竣工违约金的计算方法为：</w:t>
      </w:r>
      <w:bookmarkEnd w:id="649"/>
      <w:bookmarkEnd w:id="650"/>
      <w:bookmarkEnd w:id="651"/>
      <w:bookmarkEnd w:id="652"/>
      <w:bookmarkEnd w:id="653"/>
      <w:bookmarkEnd w:id="654"/>
      <w:bookmarkEnd w:id="655"/>
      <w:r>
        <w:rPr>
          <w:rFonts w:hint="eastAsia" w:ascii="仿宋" w:hAnsi="仿宋" w:eastAsia="仿宋" w:cs="仿宋"/>
          <w:color w:val="auto"/>
          <w:szCs w:val="21"/>
          <w:highlight w:val="none"/>
          <w:u w:val="single"/>
        </w:rPr>
        <w:t>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w:t>
      </w:r>
      <w:bookmarkEnd w:id="656"/>
    </w:p>
    <w:p w14:paraId="5D9172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因承包人原因造成工期延误，逾</w:t>
      </w:r>
      <w:bookmarkStart w:id="657" w:name="_Toc312678014"/>
      <w:bookmarkStart w:id="658" w:name="_Toc318581171"/>
      <w:r>
        <w:rPr>
          <w:rFonts w:hint="eastAsia" w:ascii="仿宋" w:hAnsi="仿宋" w:eastAsia="仿宋" w:cs="仿宋"/>
          <w:color w:val="auto"/>
          <w:szCs w:val="21"/>
          <w:highlight w:val="none"/>
        </w:rPr>
        <w:t>期竣工违约金的上限：</w:t>
      </w:r>
      <w:r>
        <w:rPr>
          <w:rFonts w:hint="eastAsia" w:ascii="仿宋" w:hAnsi="仿宋" w:eastAsia="仿宋" w:cs="仿宋"/>
          <w:color w:val="auto"/>
          <w:szCs w:val="21"/>
          <w:highlight w:val="none"/>
          <w:u w:val="single"/>
        </w:rPr>
        <w:t xml:space="preserve"> 不超过工程合同款</w:t>
      </w:r>
      <w:r>
        <w:rPr>
          <w:rFonts w:hint="eastAsia" w:ascii="仿宋" w:hAnsi="仿宋" w:eastAsia="仿宋" w:cs="仿宋"/>
          <w:color w:val="auto"/>
          <w:szCs w:val="21"/>
          <w:highlight w:val="none"/>
          <w:u w:val="single"/>
          <w:lang w:val="en-US" w:eastAsia="zh-Hans"/>
        </w:rPr>
        <w:t>的</w:t>
      </w:r>
      <w:r>
        <w:rPr>
          <w:rFonts w:hint="default" w:ascii="仿宋" w:hAnsi="仿宋" w:eastAsia="仿宋" w:cs="仿宋"/>
          <w:color w:val="auto"/>
          <w:szCs w:val="21"/>
          <w:highlight w:val="none"/>
          <w:u w:val="single"/>
          <w:lang w:eastAsia="zh-Hans"/>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0BD88D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7.5.3工程延期的审批:</w:t>
      </w:r>
    </w:p>
    <w:p w14:paraId="3E662D5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7.5.3.1</w:t>
      </w:r>
      <w:r>
        <w:rPr>
          <w:rFonts w:hint="eastAsia" w:ascii="仿宋" w:hAnsi="仿宋" w:eastAsia="仿宋" w:cs="仿宋"/>
          <w:bCs/>
          <w:color w:val="auto"/>
          <w:szCs w:val="21"/>
          <w:highlight w:val="none"/>
          <w:u w:val="single"/>
        </w:rPr>
        <w:t xml:space="preserve"> 必须是非承包人自身的原因造成的工期延误，发包人才可以考虑是否受理承包人的延期申请。与承包人建立合同关系的供应商等主体造成的原因，仍然属于承包人原因而不考虑同意承包人的任何延期申请。</w:t>
      </w:r>
    </w:p>
    <w:p w14:paraId="7E729D0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7.5.3.2</w:t>
      </w:r>
      <w:r>
        <w:rPr>
          <w:rFonts w:hint="eastAsia" w:ascii="仿宋" w:hAnsi="仿宋" w:eastAsia="仿宋" w:cs="仿宋"/>
          <w:bCs/>
          <w:color w:val="auto"/>
          <w:szCs w:val="21"/>
          <w:highlight w:val="none"/>
          <w:u w:val="single"/>
        </w:rPr>
        <w:t xml:space="preserve"> 若只是局部工程受到影响，承包人应采取措施并合理安排施工方案予以弥补，而不能影响工程的总工期。</w:t>
      </w:r>
    </w:p>
    <w:p w14:paraId="7DA9AC57">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7.5.3.3</w:t>
      </w:r>
      <w:r>
        <w:rPr>
          <w:rFonts w:hint="eastAsia" w:ascii="仿宋" w:hAnsi="仿宋" w:eastAsia="仿宋" w:cs="仿宋"/>
          <w:bCs/>
          <w:color w:val="auto"/>
          <w:szCs w:val="21"/>
          <w:highlight w:val="none"/>
          <w:u w:val="single"/>
        </w:rPr>
        <w:t xml:space="preserve"> 双方约定本工程属于但不限于下列情况者，工期不予顺延：</w:t>
      </w:r>
    </w:p>
    <w:p w14:paraId="224C620C">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（1）因承包人违反规范或因工程质量不合格而进行返工、重建、修建的施工工期；</w:t>
      </w:r>
    </w:p>
    <w:p w14:paraId="16096D2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14:paraId="3525E7F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（3）承包人没有组织和协调好各相关施工队伍进行施工而造成工期延误，由承包人承担责任；</w:t>
      </w:r>
    </w:p>
    <w:p w14:paraId="103556C2">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（4）承包人未按设计要求施工，发包人要求返工的工期不得顺延；</w:t>
      </w:r>
    </w:p>
    <w:p w14:paraId="709434D5">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（5）工程实施期间或完工后接受有关部门检查发现存在质量问题，需作整改，其整改费用和延误工期均由承包人自行承担，并负责经济赔偿；</w:t>
      </w:r>
    </w:p>
    <w:p w14:paraId="0861D38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（6）延期工程项目如果不在工程施工进度网络计划的关键线路上，即使是重要工序发包人也不考虑延长工程总工期。</w:t>
      </w:r>
    </w:p>
    <w:p w14:paraId="064BE11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7.5.4如承包人需要变更关键线路，应以发包人书面批复为准。</w:t>
      </w:r>
    </w:p>
    <w:bookmarkEnd w:id="657"/>
    <w:bookmarkEnd w:id="658"/>
    <w:p w14:paraId="079D6B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59" w:name="_Toc300934971"/>
      <w:bookmarkStart w:id="660" w:name="_Toc304295549"/>
      <w:bookmarkStart w:id="661" w:name="_Toc297123519"/>
      <w:bookmarkStart w:id="662" w:name="_Toc303539128"/>
      <w:bookmarkStart w:id="663" w:name="_Toc297216178"/>
      <w:bookmarkStart w:id="664" w:name="_Toc312678015"/>
      <w:r>
        <w:rPr>
          <w:rFonts w:hint="eastAsia" w:ascii="仿宋" w:hAnsi="仿宋" w:eastAsia="仿宋" w:cs="仿宋"/>
          <w:color w:val="auto"/>
          <w:szCs w:val="21"/>
          <w:highlight w:val="none"/>
        </w:rPr>
        <w:t>.6 不</w:t>
      </w:r>
      <w:bookmarkEnd w:id="659"/>
      <w:bookmarkEnd w:id="660"/>
      <w:bookmarkEnd w:id="661"/>
      <w:bookmarkEnd w:id="662"/>
      <w:bookmarkEnd w:id="663"/>
      <w:bookmarkEnd w:id="664"/>
      <w:r>
        <w:rPr>
          <w:rFonts w:hint="eastAsia" w:ascii="仿宋" w:hAnsi="仿宋" w:eastAsia="仿宋" w:cs="仿宋"/>
          <w:color w:val="auto"/>
          <w:szCs w:val="21"/>
          <w:highlight w:val="none"/>
        </w:rPr>
        <w:t>利物质条件</w:t>
      </w:r>
      <w:bookmarkStart w:id="665" w:name="_Toc318581172"/>
      <w:bookmarkStart w:id="666" w:name="_Toc300934972"/>
      <w:bookmarkStart w:id="667" w:name="_Toc297123520"/>
      <w:bookmarkStart w:id="668" w:name="_Toc303539129"/>
      <w:bookmarkStart w:id="669" w:name="_Toc297216179"/>
      <w:bookmarkStart w:id="670" w:name="_Toc312678016"/>
      <w:bookmarkStart w:id="671" w:name="_Toc304295550"/>
    </w:p>
    <w:p w14:paraId="7F6655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不利物质条件的其他情形和有关约定：</w:t>
      </w:r>
    </w:p>
    <w:p w14:paraId="37EF556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（1）施工场地周围地下管线；</w:t>
      </w:r>
    </w:p>
    <w:p w14:paraId="5D4FDF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（2）地下障碍物和污染物；</w:t>
      </w:r>
    </w:p>
    <w:p w14:paraId="00EE82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（3）邻近建筑物、构筑物的保护要求；</w:t>
      </w:r>
    </w:p>
    <w:bookmarkEnd w:id="665"/>
    <w:bookmarkEnd w:id="666"/>
    <w:bookmarkEnd w:id="667"/>
    <w:bookmarkEnd w:id="668"/>
    <w:bookmarkEnd w:id="669"/>
    <w:bookmarkEnd w:id="670"/>
    <w:bookmarkEnd w:id="671"/>
    <w:p w14:paraId="0B6B182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72" w:name="_Toc303539130"/>
      <w:bookmarkStart w:id="673" w:name="_Toc312678017"/>
      <w:bookmarkStart w:id="674" w:name="_Toc304295551"/>
      <w:bookmarkStart w:id="675" w:name="_Toc300934973"/>
      <w:bookmarkStart w:id="676" w:name="_Toc297216180"/>
      <w:bookmarkStart w:id="677" w:name="_Toc297123521"/>
      <w:r>
        <w:rPr>
          <w:rFonts w:hint="eastAsia" w:ascii="仿宋" w:hAnsi="仿宋" w:eastAsia="仿宋" w:cs="仿宋"/>
          <w:color w:val="auto"/>
          <w:szCs w:val="21"/>
          <w:highlight w:val="none"/>
        </w:rPr>
        <w:t>.7异常恶劣的气候条件</w:t>
      </w:r>
    </w:p>
    <w:bookmarkEnd w:id="672"/>
    <w:bookmarkEnd w:id="673"/>
    <w:bookmarkEnd w:id="674"/>
    <w:bookmarkEnd w:id="675"/>
    <w:bookmarkEnd w:id="676"/>
    <w:bookmarkEnd w:id="677"/>
    <w:p w14:paraId="27361E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发包人和承包人同意以下情形视为异常恶劣的气候条件：</w:t>
      </w:r>
      <w:r>
        <w:rPr>
          <w:rFonts w:hint="eastAsia" w:ascii="仿宋" w:hAnsi="仿宋" w:eastAsia="仿宋" w:cs="仿宋"/>
          <w:color w:val="auto"/>
          <w:szCs w:val="21"/>
          <w:highlight w:val="none"/>
          <w:u w:val="single"/>
        </w:rPr>
        <w:t xml:space="preserve">  /  </w:t>
      </w:r>
    </w:p>
    <w:p w14:paraId="7E190998">
      <w:pPr>
        <w:adjustRightInd/>
        <w:spacing w:line="400" w:lineRule="exact"/>
        <w:ind w:firstLine="420" w:firstLineChars="200"/>
        <w:outlineLvl w:val="0"/>
        <w:rPr>
          <w:rFonts w:hint="eastAsia" w:ascii="仿宋" w:hAnsi="仿宋" w:eastAsia="仿宋" w:cs="仿宋"/>
          <w:color w:val="auto"/>
          <w:szCs w:val="21"/>
          <w:highlight w:val="none"/>
        </w:rPr>
      </w:pPr>
      <w:bookmarkStart w:id="678" w:name="_Toc19780"/>
      <w:bookmarkStart w:id="679" w:name="_Toc8513"/>
      <w:bookmarkStart w:id="680" w:name="_Toc20500"/>
      <w:bookmarkStart w:id="681" w:name="_Toc27338"/>
      <w:bookmarkStart w:id="682" w:name="_Toc31872"/>
      <w:bookmarkStart w:id="683" w:name="_Toc2424"/>
      <w:r>
        <w:rPr>
          <w:rFonts w:hint="eastAsia" w:ascii="仿宋" w:hAnsi="仿宋" w:eastAsia="仿宋" w:cs="仿宋"/>
          <w:color w:val="auto"/>
          <w:szCs w:val="21"/>
          <w:highlight w:val="none"/>
        </w:rPr>
        <w:t>7.9 提前竣工的奖励</w:t>
      </w:r>
      <w:bookmarkEnd w:id="678"/>
      <w:bookmarkEnd w:id="679"/>
      <w:bookmarkEnd w:id="680"/>
      <w:bookmarkEnd w:id="681"/>
      <w:bookmarkEnd w:id="682"/>
      <w:bookmarkEnd w:id="683"/>
    </w:p>
    <w:p w14:paraId="1B4CBB1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7.9.2提前竣工的奖励：</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536A1527">
      <w:pPr>
        <w:keepNext/>
        <w:keepLines/>
        <w:adjustRightInd/>
        <w:spacing w:line="400" w:lineRule="exact"/>
        <w:outlineLvl w:val="3"/>
        <w:rPr>
          <w:rFonts w:hint="eastAsia" w:ascii="仿宋" w:hAnsi="仿宋" w:eastAsia="仿宋" w:cs="仿宋"/>
          <w:bCs/>
          <w:color w:val="auto"/>
          <w:szCs w:val="21"/>
          <w:highlight w:val="none"/>
        </w:rPr>
      </w:pPr>
      <w:bookmarkStart w:id="684" w:name="_Toc351203640"/>
      <w:r>
        <w:rPr>
          <w:rFonts w:hint="eastAsia" w:ascii="仿宋" w:hAnsi="仿宋" w:eastAsia="仿宋" w:cs="仿宋"/>
          <w:bCs/>
          <w:color w:val="auto"/>
          <w:szCs w:val="21"/>
          <w:highlight w:val="none"/>
        </w:rPr>
        <w:t>8. 材料与设备</w:t>
      </w:r>
      <w:bookmarkEnd w:id="684"/>
    </w:p>
    <w:bookmarkEnd w:id="601"/>
    <w:bookmarkEnd w:id="602"/>
    <w:bookmarkEnd w:id="603"/>
    <w:bookmarkEnd w:id="604"/>
    <w:bookmarkEnd w:id="605"/>
    <w:bookmarkEnd w:id="606"/>
    <w:bookmarkEnd w:id="607"/>
    <w:bookmarkEnd w:id="608"/>
    <w:bookmarkEnd w:id="609"/>
    <w:bookmarkEnd w:id="610"/>
    <w:p w14:paraId="305E1F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685" w:name="_Toc312677493"/>
      <w:bookmarkStart w:id="686" w:name="_Toc296503167"/>
      <w:bookmarkStart w:id="687" w:name="_Toc296346668"/>
      <w:bookmarkStart w:id="688" w:name="_Toc296891207"/>
      <w:bookmarkStart w:id="689" w:name="_Toc296944506"/>
      <w:bookmarkStart w:id="690" w:name="_Toc280868654"/>
      <w:bookmarkStart w:id="691" w:name="_Toc297048353"/>
      <w:bookmarkStart w:id="692" w:name="_Toc297120467"/>
      <w:bookmarkStart w:id="693" w:name="_Toc296890995"/>
      <w:bookmarkStart w:id="694" w:name="_Toc300934979"/>
      <w:bookmarkStart w:id="695" w:name="_Toc297123527"/>
      <w:bookmarkStart w:id="696" w:name="_Toc296347166"/>
      <w:bookmarkStart w:id="697" w:name="_Toc292559372"/>
      <w:bookmarkStart w:id="698" w:name="_Toc292559877"/>
      <w:bookmarkStart w:id="699" w:name="_Toc312678019"/>
      <w:bookmarkStart w:id="700" w:name="_Toc304295556"/>
      <w:bookmarkStart w:id="701" w:name="_Toc297216186"/>
      <w:bookmarkStart w:id="702" w:name="_Toc303539136"/>
      <w:bookmarkStart w:id="703" w:name="_Toc280868656"/>
      <w:bookmarkStart w:id="704" w:name="_Toc280868655"/>
      <w:bookmarkStart w:id="705" w:name="_Toc267251424"/>
      <w:r>
        <w:rPr>
          <w:rFonts w:hint="eastAsia" w:ascii="仿宋" w:hAnsi="仿宋" w:eastAsia="仿宋" w:cs="仿宋"/>
          <w:color w:val="auto"/>
          <w:szCs w:val="21"/>
          <w:highlight w:val="none"/>
        </w:rPr>
        <w:t>.4材料与工程设备的保管与使用</w:t>
      </w:r>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14:paraId="1B060AA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706" w:name="_Toc292559373"/>
      <w:bookmarkStart w:id="707" w:name="_Toc292559878"/>
      <w:bookmarkStart w:id="708" w:name="_Toc297120468"/>
      <w:bookmarkStart w:id="709" w:name="_Toc312678020"/>
      <w:bookmarkStart w:id="710" w:name="_Toc304295557"/>
      <w:bookmarkStart w:id="711" w:name="_Toc296890996"/>
      <w:bookmarkStart w:id="712" w:name="_Toc296503168"/>
      <w:bookmarkStart w:id="713" w:name="_Toc296944507"/>
      <w:bookmarkStart w:id="714" w:name="_Toc318581173"/>
      <w:bookmarkStart w:id="715" w:name="_Toc300934980"/>
      <w:bookmarkStart w:id="716" w:name="_Toc303539137"/>
      <w:bookmarkStart w:id="717" w:name="_Toc312677494"/>
      <w:bookmarkStart w:id="718" w:name="_Toc297123528"/>
      <w:bookmarkStart w:id="719" w:name="_Toc296891208"/>
      <w:bookmarkStart w:id="720" w:name="_Toc296346669"/>
      <w:bookmarkStart w:id="721" w:name="_Toc297216187"/>
      <w:bookmarkStart w:id="722" w:name="_Toc296347167"/>
      <w:bookmarkStart w:id="723" w:name="_Toc297048354"/>
      <w:r>
        <w:rPr>
          <w:rFonts w:hint="eastAsia" w:ascii="仿宋" w:hAnsi="仿宋" w:eastAsia="仿宋" w:cs="仿宋"/>
          <w:color w:val="auto"/>
          <w:szCs w:val="21"/>
          <w:highlight w:val="none"/>
        </w:rPr>
        <w:t>.4.1发包人供应的材料设备的保管费用的承担：</w:t>
      </w:r>
      <w:r>
        <w:rPr>
          <w:rFonts w:hint="eastAsia" w:ascii="仿宋" w:hAnsi="仿宋" w:eastAsia="仿宋" w:cs="仿宋"/>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仿宋" w:hAnsi="仿宋" w:eastAsia="仿宋" w:cs="仿宋"/>
          <w:color w:val="auto"/>
          <w:szCs w:val="21"/>
          <w:highlight w:val="none"/>
        </w:rPr>
        <w:t>。</w:t>
      </w:r>
      <w:bookmarkEnd w:id="706"/>
      <w:bookmarkEnd w:id="707"/>
    </w:p>
    <w:p w14:paraId="39F5470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发包人供应材料设备的结算方法：</w:t>
      </w:r>
      <w:r>
        <w:rPr>
          <w:rFonts w:hint="eastAsia" w:ascii="仿宋" w:hAnsi="仿宋" w:eastAsia="仿宋" w:cs="仿宋"/>
          <w:color w:val="auto"/>
          <w:szCs w:val="21"/>
          <w:highlight w:val="none"/>
          <w:u w:val="single"/>
        </w:rPr>
        <w:t>按发包人实际采购价和核定承包人领用量在支付工程进度款时扣除</w:t>
      </w:r>
      <w:r>
        <w:rPr>
          <w:rFonts w:hint="eastAsia" w:ascii="仿宋" w:hAnsi="仿宋" w:eastAsia="仿宋" w:cs="仿宋"/>
          <w:color w:val="auto"/>
          <w:szCs w:val="21"/>
          <w:highlight w:val="none"/>
        </w:rPr>
        <w:t>。</w:t>
      </w:r>
    </w:p>
    <w:p w14:paraId="71232916">
      <w:pPr>
        <w:adjustRightInd/>
        <w:spacing w:line="400" w:lineRule="exact"/>
        <w:ind w:firstLine="420" w:firstLineChars="200"/>
        <w:outlineLvl w:val="0"/>
        <w:rPr>
          <w:rFonts w:hint="eastAsia" w:ascii="仿宋" w:hAnsi="仿宋" w:eastAsia="仿宋" w:cs="仿宋"/>
          <w:color w:val="auto"/>
          <w:szCs w:val="21"/>
          <w:highlight w:val="none"/>
        </w:rPr>
      </w:pPr>
      <w:bookmarkStart w:id="724" w:name="_Toc1742"/>
      <w:bookmarkStart w:id="725" w:name="_Toc26492"/>
      <w:bookmarkStart w:id="726" w:name="_Toc18241"/>
      <w:bookmarkStart w:id="727" w:name="_Toc9896"/>
      <w:bookmarkStart w:id="728" w:name="_Toc15717"/>
      <w:bookmarkStart w:id="729" w:name="_Toc16897"/>
      <w:r>
        <w:rPr>
          <w:rFonts w:hint="eastAsia" w:ascii="仿宋" w:hAnsi="仿宋" w:eastAsia="仿宋" w:cs="仿宋"/>
          <w:color w:val="auto"/>
          <w:szCs w:val="21"/>
          <w:highlight w:val="none"/>
        </w:rPr>
        <w:t>8.6 样品</w:t>
      </w:r>
      <w:bookmarkEnd w:id="724"/>
      <w:bookmarkEnd w:id="725"/>
      <w:bookmarkEnd w:id="726"/>
      <w:bookmarkEnd w:id="727"/>
      <w:bookmarkEnd w:id="728"/>
      <w:bookmarkEnd w:id="729"/>
    </w:p>
    <w:p w14:paraId="308C768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样品的报送与封存</w:t>
      </w:r>
    </w:p>
    <w:p w14:paraId="2F3337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需要承包人报送样品的材料或工程设备，样品的种类、名称、规格、数量要求：</w:t>
      </w:r>
      <w:r>
        <w:rPr>
          <w:rFonts w:hint="eastAsia" w:ascii="仿宋" w:hAnsi="仿宋" w:eastAsia="仿宋" w:cs="仿宋"/>
          <w:color w:val="auto"/>
          <w:szCs w:val="21"/>
          <w:highlight w:val="none"/>
          <w:u w:val="single"/>
        </w:rPr>
        <w:t>除另有约定外，承包人负责完成本工程施工除甲供材料之外的所需的全部材料、设备采购、验收、运输和保管（包括甲供材料、设备的验收、保管）</w:t>
      </w:r>
      <w:r>
        <w:rPr>
          <w:rFonts w:hint="eastAsia" w:ascii="仿宋" w:hAnsi="仿宋" w:eastAsia="仿宋" w:cs="仿宋"/>
          <w:color w:val="auto"/>
          <w:szCs w:val="21"/>
          <w:highlight w:val="none"/>
        </w:rPr>
        <w:t>。</w:t>
      </w:r>
    </w:p>
    <w:p w14:paraId="13869664">
      <w:pPr>
        <w:adjustRightInd/>
        <w:spacing w:line="400" w:lineRule="exact"/>
        <w:ind w:firstLine="420" w:firstLineChars="200"/>
        <w:outlineLvl w:val="0"/>
        <w:rPr>
          <w:rFonts w:hint="eastAsia" w:ascii="仿宋" w:hAnsi="仿宋" w:eastAsia="仿宋" w:cs="仿宋"/>
          <w:color w:val="auto"/>
          <w:szCs w:val="21"/>
          <w:highlight w:val="none"/>
        </w:rPr>
      </w:pPr>
      <w:bookmarkStart w:id="730" w:name="_Toc13868"/>
      <w:bookmarkStart w:id="731" w:name="_Toc9251"/>
      <w:bookmarkStart w:id="732" w:name="_Toc22514"/>
      <w:bookmarkStart w:id="733" w:name="_Toc27408"/>
      <w:bookmarkStart w:id="734" w:name="_Toc4843"/>
      <w:bookmarkStart w:id="735" w:name="_Toc32690"/>
      <w:r>
        <w:rPr>
          <w:rFonts w:hint="eastAsia" w:ascii="仿宋" w:hAnsi="仿宋" w:eastAsia="仿宋" w:cs="仿宋"/>
          <w:color w:val="auto"/>
          <w:szCs w:val="21"/>
          <w:highlight w:val="none"/>
        </w:rPr>
        <w:t>8.8 施工设备和临时设施</w:t>
      </w:r>
      <w:bookmarkEnd w:id="730"/>
      <w:bookmarkEnd w:id="731"/>
      <w:bookmarkEnd w:id="732"/>
      <w:bookmarkEnd w:id="733"/>
      <w:bookmarkEnd w:id="734"/>
      <w:bookmarkEnd w:id="735"/>
    </w:p>
    <w:p w14:paraId="23F060D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8.8.1 承包人提供的施工设备和临时设施</w:t>
      </w:r>
    </w:p>
    <w:p w14:paraId="7748479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关于修建临时设施费用承担的约定：</w:t>
      </w:r>
      <w:r>
        <w:rPr>
          <w:rFonts w:hint="eastAsia" w:ascii="仿宋" w:hAnsi="仿宋" w:eastAsia="仿宋" w:cs="仿宋"/>
          <w:color w:val="auto"/>
          <w:szCs w:val="21"/>
          <w:highlight w:val="none"/>
          <w:u w:val="single"/>
        </w:rPr>
        <w:t xml:space="preserve"> 由承包人承担  </w:t>
      </w:r>
      <w:r>
        <w:rPr>
          <w:rFonts w:hint="eastAsia" w:ascii="仿宋" w:hAnsi="仿宋" w:eastAsia="仿宋" w:cs="仿宋"/>
          <w:color w:val="auto"/>
          <w:szCs w:val="21"/>
          <w:highlight w:val="none"/>
        </w:rPr>
        <w:t>。</w:t>
      </w:r>
    </w:p>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674B2C0E">
      <w:pPr>
        <w:keepNext/>
        <w:keepLines/>
        <w:adjustRightInd/>
        <w:spacing w:line="360" w:lineRule="auto"/>
        <w:outlineLvl w:val="3"/>
        <w:rPr>
          <w:rFonts w:hint="eastAsia" w:ascii="仿宋" w:hAnsi="仿宋" w:eastAsia="仿宋" w:cs="仿宋"/>
          <w:bCs/>
          <w:color w:val="auto"/>
          <w:szCs w:val="21"/>
          <w:highlight w:val="none"/>
        </w:rPr>
      </w:pPr>
      <w:bookmarkStart w:id="736" w:name="_Toc351203641"/>
      <w:r>
        <w:rPr>
          <w:rFonts w:hint="eastAsia" w:ascii="仿宋" w:hAnsi="仿宋" w:eastAsia="仿宋" w:cs="仿宋"/>
          <w:bCs/>
          <w:color w:val="auto"/>
          <w:szCs w:val="21"/>
          <w:highlight w:val="none"/>
        </w:rPr>
        <w:t>9</w:t>
      </w:r>
      <w:bookmarkEnd w:id="703"/>
      <w:bookmarkEnd w:id="704"/>
      <w:bookmarkEnd w:id="705"/>
      <w:bookmarkStart w:id="737" w:name="_Toc297216192"/>
      <w:bookmarkStart w:id="738" w:name="_Toc312678021"/>
      <w:bookmarkStart w:id="739" w:name="_Toc312677495"/>
      <w:bookmarkStart w:id="740" w:name="_Toc304295559"/>
      <w:bookmarkStart w:id="741" w:name="_Toc297123533"/>
      <w:bookmarkStart w:id="742" w:name="_Toc303539139"/>
      <w:bookmarkStart w:id="743" w:name="_Toc300934982"/>
      <w:bookmarkStart w:id="744" w:name="_Toc296346674"/>
      <w:bookmarkStart w:id="745" w:name="_Toc297048359"/>
      <w:bookmarkStart w:id="746" w:name="_Toc267251428"/>
      <w:bookmarkStart w:id="747" w:name="_Toc297120473"/>
      <w:bookmarkStart w:id="748" w:name="_Toc296891213"/>
      <w:bookmarkStart w:id="749" w:name="_Toc296891001"/>
      <w:bookmarkStart w:id="750" w:name="_Toc267251427"/>
      <w:bookmarkStart w:id="751" w:name="_Toc296347172"/>
      <w:bookmarkStart w:id="752" w:name="_Toc296503173"/>
      <w:bookmarkStart w:id="753" w:name="_Toc296944512"/>
      <w:bookmarkStart w:id="754" w:name="_Toc292559378"/>
      <w:bookmarkStart w:id="755" w:name="_Toc292559883"/>
      <w:r>
        <w:rPr>
          <w:rFonts w:hint="eastAsia" w:ascii="仿宋" w:hAnsi="仿宋" w:eastAsia="仿宋" w:cs="仿宋"/>
          <w:bCs/>
          <w:color w:val="auto"/>
          <w:szCs w:val="21"/>
          <w:highlight w:val="none"/>
        </w:rPr>
        <w:t>. 试验与检验</w:t>
      </w:r>
      <w:bookmarkEnd w:id="736"/>
    </w:p>
    <w:bookmarkEnd w:id="737"/>
    <w:bookmarkEnd w:id="738"/>
    <w:bookmarkEnd w:id="739"/>
    <w:bookmarkEnd w:id="740"/>
    <w:bookmarkEnd w:id="741"/>
    <w:bookmarkEnd w:id="742"/>
    <w:bookmarkEnd w:id="743"/>
    <w:p w14:paraId="5AD3B32A">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56" w:name="_Toc300934983"/>
      <w:bookmarkStart w:id="757" w:name="_Toc312678022"/>
      <w:bookmarkStart w:id="758" w:name="_Toc303539140"/>
      <w:bookmarkStart w:id="759" w:name="_Toc312677496"/>
      <w:bookmarkStart w:id="760" w:name="_Toc297216193"/>
      <w:bookmarkStart w:id="761" w:name="_Toc297123534"/>
      <w:bookmarkStart w:id="762" w:name="_Toc304295560"/>
      <w:r>
        <w:rPr>
          <w:rFonts w:hint="eastAsia" w:ascii="仿宋" w:hAnsi="仿宋" w:eastAsia="仿宋" w:cs="仿宋"/>
          <w:color w:val="auto"/>
          <w:szCs w:val="21"/>
          <w:highlight w:val="none"/>
        </w:rPr>
        <w:t>.1试验设备与试验人员</w:t>
      </w:r>
    </w:p>
    <w:bookmarkEnd w:id="756"/>
    <w:bookmarkEnd w:id="757"/>
    <w:bookmarkEnd w:id="758"/>
    <w:bookmarkEnd w:id="759"/>
    <w:bookmarkEnd w:id="760"/>
    <w:bookmarkEnd w:id="761"/>
    <w:bookmarkEnd w:id="762"/>
    <w:p w14:paraId="497D40F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63" w:name="_Toc297123535"/>
      <w:bookmarkStart w:id="764" w:name="_Toc297216194"/>
      <w:bookmarkStart w:id="765" w:name="_Toc312677497"/>
      <w:bookmarkStart w:id="766" w:name="_Toc300934984"/>
      <w:bookmarkStart w:id="767" w:name="_Toc312678023"/>
      <w:bookmarkStart w:id="768" w:name="_Toc303539141"/>
      <w:bookmarkStart w:id="769" w:name="_Toc304295561"/>
      <w:bookmarkStart w:id="770" w:name="_Toc318581174"/>
      <w:r>
        <w:rPr>
          <w:rFonts w:hint="eastAsia" w:ascii="仿宋" w:hAnsi="仿宋" w:eastAsia="仿宋" w:cs="仿宋"/>
          <w:color w:val="auto"/>
          <w:szCs w:val="21"/>
          <w:highlight w:val="none"/>
        </w:rPr>
        <w:t>.1.2 试验设备</w:t>
      </w:r>
    </w:p>
    <w:p w14:paraId="25075126">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施工现场需要配置的试验场所：</w:t>
      </w:r>
      <w:bookmarkEnd w:id="763"/>
      <w:bookmarkEnd w:id="764"/>
      <w:bookmarkEnd w:id="765"/>
      <w:bookmarkEnd w:id="766"/>
      <w:bookmarkEnd w:id="767"/>
      <w:bookmarkEnd w:id="768"/>
      <w:bookmarkEnd w:id="769"/>
      <w:bookmarkStart w:id="771" w:name="_Toc304295562"/>
      <w:bookmarkStart w:id="772" w:name="_Toc312678024"/>
      <w:bookmarkStart w:id="773" w:name="_Toc297123536"/>
      <w:bookmarkStart w:id="774" w:name="_Toc312677498"/>
      <w:bookmarkStart w:id="775" w:name="_Toc300934985"/>
      <w:bookmarkStart w:id="776" w:name="_Toc297216195"/>
      <w:bookmarkStart w:id="777" w:name="_Toc303539142"/>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14:paraId="1B21AF38">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施工现场需要配备的试验设备：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2A9507F">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施工现场需要具备的其他试验条件：</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6971F3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材料、工程设备和工程的试验和检验</w:t>
      </w:r>
    </w:p>
    <w:p w14:paraId="0FF35B4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试验、检测单位资质条件约定：</w:t>
      </w:r>
      <w:r>
        <w:rPr>
          <w:rFonts w:hint="eastAsia" w:ascii="仿宋" w:hAnsi="仿宋" w:eastAsia="仿宋" w:cs="仿宋"/>
          <w:color w:val="auto"/>
          <w:szCs w:val="21"/>
          <w:highlight w:val="none"/>
          <w:u w:val="single"/>
        </w:rPr>
        <w:t>按有关规定；</w:t>
      </w:r>
    </w:p>
    <w:p w14:paraId="4B2B22C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试验、检测单位选择约定：</w:t>
      </w:r>
      <w:r>
        <w:rPr>
          <w:rFonts w:hint="eastAsia" w:ascii="仿宋" w:hAnsi="仿宋" w:eastAsia="仿宋" w:cs="仿宋"/>
          <w:color w:val="auto"/>
          <w:szCs w:val="21"/>
          <w:highlight w:val="none"/>
          <w:u w:val="single"/>
        </w:rPr>
        <w:t>按有关规定；</w:t>
      </w:r>
    </w:p>
    <w:p w14:paraId="244464EB">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试验、检测费用约定：</w:t>
      </w:r>
      <w:r>
        <w:rPr>
          <w:rFonts w:hint="eastAsia" w:ascii="仿宋" w:hAnsi="仿宋" w:eastAsia="仿宋" w:cs="仿宋"/>
          <w:color w:val="auto"/>
          <w:szCs w:val="21"/>
          <w:highlight w:val="none"/>
          <w:u w:val="single"/>
        </w:rPr>
        <w:t>本工程所需所有检测试验项目，所需费用由承包人承担。由于建设单位要求额外的检测试验，由建设单位支付费用，施工单位应无条件配合。由于质量问题所引起的复测，如复测结果质量合格，复测费用由建设单位支付</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如不合格，则由施工单位支付。</w:t>
      </w:r>
    </w:p>
    <w:p w14:paraId="78788B1B">
      <w:pPr>
        <w:adjustRightInd/>
        <w:spacing w:line="400" w:lineRule="exact"/>
        <w:ind w:firstLine="420" w:firstLineChars="200"/>
        <w:outlineLvl w:val="0"/>
        <w:rPr>
          <w:rFonts w:hint="eastAsia" w:ascii="仿宋" w:hAnsi="仿宋" w:eastAsia="仿宋" w:cs="仿宋"/>
          <w:color w:val="auto"/>
          <w:szCs w:val="21"/>
          <w:highlight w:val="none"/>
        </w:rPr>
      </w:pPr>
      <w:bookmarkStart w:id="778" w:name="_Toc22320"/>
      <w:bookmarkStart w:id="779" w:name="_Toc18684"/>
      <w:bookmarkStart w:id="780" w:name="_Toc32061"/>
      <w:bookmarkStart w:id="781" w:name="_Toc9472"/>
      <w:bookmarkStart w:id="782" w:name="_Toc8402"/>
      <w:bookmarkStart w:id="783" w:name="_Toc11066"/>
      <w:r>
        <w:rPr>
          <w:rFonts w:hint="eastAsia" w:ascii="仿宋" w:hAnsi="仿宋" w:eastAsia="仿宋" w:cs="仿宋"/>
          <w:color w:val="auto"/>
          <w:szCs w:val="21"/>
          <w:highlight w:val="none"/>
        </w:rPr>
        <w:t>9.4 现场工艺试验</w:t>
      </w:r>
      <w:bookmarkEnd w:id="778"/>
      <w:bookmarkEnd w:id="779"/>
      <w:bookmarkEnd w:id="780"/>
      <w:bookmarkEnd w:id="781"/>
      <w:bookmarkEnd w:id="782"/>
      <w:bookmarkEnd w:id="783"/>
    </w:p>
    <w:p w14:paraId="53276EA2">
      <w:pPr>
        <w:adjustRightInd/>
        <w:spacing w:line="400" w:lineRule="exact"/>
        <w:ind w:firstLine="420" w:firstLineChars="200"/>
        <w:outlineLvl w:val="0"/>
        <w:rPr>
          <w:rFonts w:hint="eastAsia" w:ascii="仿宋" w:hAnsi="仿宋" w:eastAsia="仿宋" w:cs="仿宋"/>
          <w:color w:val="auto"/>
          <w:szCs w:val="21"/>
          <w:highlight w:val="none"/>
        </w:rPr>
      </w:pPr>
      <w:bookmarkStart w:id="784" w:name="_Toc19192"/>
      <w:bookmarkStart w:id="785" w:name="_Toc4246"/>
      <w:bookmarkStart w:id="786" w:name="_Toc8425"/>
      <w:bookmarkStart w:id="787" w:name="_Toc19892"/>
      <w:bookmarkStart w:id="788" w:name="_Toc23413"/>
      <w:bookmarkStart w:id="789" w:name="_Toc1747"/>
      <w:r>
        <w:rPr>
          <w:rFonts w:hint="eastAsia" w:ascii="仿宋" w:hAnsi="仿宋" w:eastAsia="仿宋" w:cs="仿宋"/>
          <w:color w:val="auto"/>
          <w:szCs w:val="21"/>
          <w:highlight w:val="none"/>
        </w:rPr>
        <w:t>现场工艺试验的有关约定：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784"/>
      <w:bookmarkEnd w:id="785"/>
      <w:bookmarkEnd w:id="786"/>
      <w:bookmarkEnd w:id="787"/>
      <w:bookmarkEnd w:id="788"/>
      <w:bookmarkEnd w:id="789"/>
    </w:p>
    <w:bookmarkEnd w:id="770"/>
    <w:bookmarkEnd w:id="771"/>
    <w:bookmarkEnd w:id="772"/>
    <w:bookmarkEnd w:id="773"/>
    <w:bookmarkEnd w:id="774"/>
    <w:bookmarkEnd w:id="775"/>
    <w:bookmarkEnd w:id="776"/>
    <w:bookmarkEnd w:id="777"/>
    <w:p w14:paraId="41CCDB68">
      <w:pPr>
        <w:keepNext/>
        <w:keepLines/>
        <w:adjustRightInd/>
        <w:spacing w:line="400" w:lineRule="exact"/>
        <w:outlineLvl w:val="3"/>
        <w:rPr>
          <w:rFonts w:hint="eastAsia" w:ascii="仿宋" w:hAnsi="仿宋" w:eastAsia="仿宋" w:cs="仿宋"/>
          <w:bCs/>
          <w:color w:val="auto"/>
          <w:szCs w:val="21"/>
          <w:highlight w:val="none"/>
        </w:rPr>
      </w:pPr>
      <w:bookmarkStart w:id="790" w:name="_Toc351203642"/>
      <w:r>
        <w:rPr>
          <w:rFonts w:hint="eastAsia" w:ascii="仿宋" w:hAnsi="仿宋" w:eastAsia="仿宋" w:cs="仿宋"/>
          <w:bCs/>
          <w:color w:val="auto"/>
          <w:szCs w:val="21"/>
          <w:highlight w:val="none"/>
        </w:rPr>
        <w:t>1</w:t>
      </w:r>
      <w:bookmarkEnd w:id="744"/>
      <w:bookmarkEnd w:id="745"/>
      <w:bookmarkEnd w:id="746"/>
      <w:bookmarkEnd w:id="747"/>
      <w:bookmarkEnd w:id="748"/>
      <w:bookmarkEnd w:id="749"/>
      <w:bookmarkEnd w:id="750"/>
      <w:bookmarkEnd w:id="751"/>
      <w:bookmarkEnd w:id="752"/>
      <w:bookmarkEnd w:id="753"/>
      <w:bookmarkEnd w:id="754"/>
      <w:bookmarkEnd w:id="755"/>
      <w:bookmarkStart w:id="791" w:name="_Toc297120493"/>
      <w:bookmarkStart w:id="792" w:name="_Toc296503193"/>
      <w:bookmarkStart w:id="793" w:name="_Toc304295566"/>
      <w:bookmarkStart w:id="794" w:name="_Toc297048379"/>
      <w:bookmarkStart w:id="795" w:name="_Toc292559398"/>
      <w:bookmarkStart w:id="796" w:name="_Toc303539146"/>
      <w:bookmarkStart w:id="797" w:name="_Toc296347192"/>
      <w:bookmarkStart w:id="798" w:name="_Toc297216199"/>
      <w:bookmarkStart w:id="799" w:name="_Toc292559903"/>
      <w:bookmarkStart w:id="800" w:name="_Toc296891021"/>
      <w:bookmarkStart w:id="801" w:name="_Toc296944532"/>
      <w:bookmarkStart w:id="802" w:name="_Toc296891233"/>
      <w:bookmarkStart w:id="803" w:name="_Toc300934989"/>
      <w:bookmarkStart w:id="804" w:name="_Toc297123540"/>
      <w:bookmarkStart w:id="805" w:name="_Toc296346694"/>
      <w:bookmarkStart w:id="806" w:name="_Toc312678025"/>
      <w:bookmarkStart w:id="807" w:name="_Toc312677499"/>
      <w:bookmarkStart w:id="808" w:name="_Toc267251439"/>
      <w:bookmarkStart w:id="809" w:name="_Toc267251440"/>
      <w:bookmarkStart w:id="810" w:name="_Toc267251433"/>
      <w:bookmarkStart w:id="811" w:name="_Toc267251437"/>
      <w:bookmarkStart w:id="812" w:name="_Toc267251435"/>
      <w:bookmarkStart w:id="813" w:name="_Toc267251441"/>
      <w:r>
        <w:rPr>
          <w:rFonts w:hint="eastAsia" w:ascii="仿宋" w:hAnsi="仿宋" w:eastAsia="仿宋" w:cs="仿宋"/>
          <w:bCs/>
          <w:color w:val="auto"/>
          <w:szCs w:val="21"/>
          <w:highlight w:val="none"/>
        </w:rPr>
        <w:t>0. 变更</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bookmarkEnd w:id="806"/>
    <w:bookmarkEnd w:id="807"/>
    <w:p w14:paraId="2B488FC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814" w:name="_Toc292559399"/>
      <w:bookmarkStart w:id="815" w:name="_Toc304295567"/>
      <w:bookmarkStart w:id="816" w:name="_Toc296944533"/>
      <w:bookmarkStart w:id="817" w:name="_Toc296891022"/>
      <w:bookmarkStart w:id="818" w:name="_Toc312677500"/>
      <w:bookmarkStart w:id="819" w:name="_Toc296347193"/>
      <w:bookmarkStart w:id="820" w:name="_Toc303539147"/>
      <w:bookmarkStart w:id="821" w:name="_Toc297216200"/>
      <w:bookmarkStart w:id="822" w:name="_Toc297123541"/>
      <w:bookmarkStart w:id="823" w:name="_Toc297048380"/>
      <w:bookmarkStart w:id="824" w:name="_Toc296503194"/>
      <w:bookmarkStart w:id="825" w:name="_Toc312678026"/>
      <w:bookmarkStart w:id="826" w:name="_Toc300934990"/>
      <w:bookmarkStart w:id="827" w:name="_Toc296346695"/>
      <w:bookmarkStart w:id="828" w:name="_Toc297120494"/>
      <w:bookmarkStart w:id="829" w:name="_Toc296891234"/>
      <w:bookmarkStart w:id="830" w:name="_Toc292559904"/>
      <w:r>
        <w:rPr>
          <w:rFonts w:hint="eastAsia" w:ascii="仿宋" w:hAnsi="仿宋" w:eastAsia="仿宋" w:cs="仿宋"/>
          <w:color w:val="auto"/>
          <w:szCs w:val="21"/>
          <w:highlight w:val="none"/>
        </w:rPr>
        <w:t>0.1变更的范围</w:t>
      </w:r>
    </w:p>
    <w:p w14:paraId="45C145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关于变更的范围的约定：</w:t>
      </w:r>
      <w:r>
        <w:rPr>
          <w:rFonts w:hint="eastAsia" w:ascii="仿宋" w:hAnsi="仿宋" w:eastAsia="仿宋" w:cs="仿宋"/>
          <w:color w:val="auto"/>
          <w:szCs w:val="21"/>
          <w:highlight w:val="none"/>
          <w:u w:val="single"/>
        </w:rPr>
        <w:t xml:space="preserve">按照建设单位及上级管理部门的变更管理办法中的相关规定  </w:t>
      </w:r>
      <w:r>
        <w:rPr>
          <w:rFonts w:hint="eastAsia" w:ascii="仿宋" w:hAnsi="仿宋" w:eastAsia="仿宋" w:cs="仿宋"/>
          <w:color w:val="auto"/>
          <w:szCs w:val="21"/>
          <w:highlight w:val="none"/>
        </w:rPr>
        <w:t>。</w:t>
      </w:r>
    </w:p>
    <w:p w14:paraId="613103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2EEEF1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10.1.3施工中承包人不得对原工程设计进行变更。因承包人擅自变更设计发生的费用和由此导致发包人的直接损失，由承包人承担，</w:t>
      </w:r>
      <w:r>
        <w:rPr>
          <w:rFonts w:hint="eastAsia" w:ascii="仿宋" w:hAnsi="仿宋" w:eastAsia="仿宋" w:cs="仿宋"/>
          <w:color w:val="auto"/>
          <w:szCs w:val="21"/>
          <w:highlight w:val="none"/>
          <w:u w:val="single"/>
          <w:lang w:val="en-US" w:eastAsia="zh-Hans"/>
        </w:rPr>
        <w:t>承包人应无条件返工</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rPr>
        <w:t>延误的工期不予顺延。</w:t>
      </w:r>
    </w:p>
    <w:p w14:paraId="71525E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10.1.4承包人在施工中提出的合理化建议涉及到对设计图纸或施工组织设计的更改及对材料、设备的换用，须经发包人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同意。未经同意擅自更改或换用时，承包人承担由此发生的费用，并赔偿发包人的有关损失，延误的工期不予顺延。</w:t>
      </w:r>
    </w:p>
    <w:p w14:paraId="469411D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2FD21C6E">
      <w:pPr>
        <w:adjustRightInd/>
        <w:spacing w:line="400" w:lineRule="exact"/>
        <w:ind w:firstLine="420" w:firstLineChars="200"/>
        <w:outlineLvl w:val="0"/>
        <w:rPr>
          <w:rFonts w:hint="eastAsia" w:ascii="仿宋" w:hAnsi="仿宋" w:eastAsia="仿宋" w:cs="仿宋"/>
          <w:color w:val="auto"/>
          <w:szCs w:val="21"/>
          <w:highlight w:val="none"/>
        </w:rPr>
      </w:pPr>
      <w:bookmarkStart w:id="831" w:name="_Toc19048"/>
      <w:bookmarkStart w:id="832" w:name="_Toc20596"/>
      <w:bookmarkStart w:id="833" w:name="_Toc9300"/>
      <w:bookmarkStart w:id="834" w:name="_Toc789"/>
      <w:bookmarkStart w:id="835" w:name="_Toc32184"/>
      <w:bookmarkStart w:id="836" w:name="_Toc353"/>
      <w:r>
        <w:rPr>
          <w:rFonts w:hint="eastAsia" w:ascii="仿宋" w:hAnsi="仿宋" w:eastAsia="仿宋" w:cs="仿宋"/>
          <w:color w:val="auto"/>
          <w:szCs w:val="21"/>
          <w:highlight w:val="none"/>
        </w:rPr>
        <w:t>10.4 变更估价</w:t>
      </w:r>
      <w:bookmarkEnd w:id="831"/>
      <w:bookmarkEnd w:id="832"/>
      <w:bookmarkEnd w:id="833"/>
      <w:bookmarkEnd w:id="834"/>
      <w:bookmarkEnd w:id="835"/>
      <w:bookmarkEnd w:id="836"/>
    </w:p>
    <w:p w14:paraId="070725C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10.4.1 变更估价原则</w:t>
      </w:r>
    </w:p>
    <w:p w14:paraId="3F24C8C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关于变更估价的约定:</w:t>
      </w:r>
      <w:r>
        <w:rPr>
          <w:rFonts w:hint="eastAsia" w:ascii="仿宋" w:hAnsi="仿宋" w:eastAsia="仿宋" w:cs="仿宋"/>
          <w:color w:val="auto"/>
          <w:szCs w:val="21"/>
          <w:highlight w:val="none"/>
          <w:u w:val="single"/>
        </w:rPr>
        <w:t>（1）已标价工程量清单或预算书有相同项目的，按照相同项目单价确定。</w:t>
      </w:r>
    </w:p>
    <w:p w14:paraId="58ABB3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（2）已标价工程量清单或预算书中无相同项目，但有类似项目的，参照类似项目的单价确定。</w:t>
      </w:r>
    </w:p>
    <w:p w14:paraId="2BBF3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①清单项目某一特征或工程内容变化，不影响其他特征及工程内容价格的，其他特征组合标准不变，仅调整发生变化的组合子目价格。</w:t>
      </w:r>
    </w:p>
    <w:p w14:paraId="72E1AB2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2763B70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（3）已标价工程量清单或预算书中无相同项目及类似项目单价的，其单价的确定，按以下约定：</w:t>
      </w:r>
    </w:p>
    <w:p w14:paraId="498BF4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7ADEC4F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5AAB1F8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③费率：按采用的相应定额取费标准（中值），税金、农民工工伤保险按投标口径执行；</w:t>
      </w:r>
    </w:p>
    <w:p w14:paraId="2FA4A73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76DDE81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⑤当零星工程发生签证人工、机械台班数量，人工和机械台班单价有投标价的执行投标价，无投标价的执行相应定额并按投标口径同比例优惠。</w:t>
      </w:r>
    </w:p>
    <w:p w14:paraId="2F1E72A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0BC4126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0C23B6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凡合价金额占合同总价2%及以上的分部分项清单项目，</w:t>
      </w:r>
    </w:p>
    <w:p w14:paraId="6099756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①当Q1&gt;1.15Q0时:       S=1.15Q0×P0+（Q1-1.15 Q0）×P1</w:t>
      </w:r>
    </w:p>
    <w:p w14:paraId="1D8AE02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②当Q1&lt;0.85Q0时:       S=Q1×P1</w:t>
      </w:r>
    </w:p>
    <w:p w14:paraId="3D64DB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凡合价金额占合同总价不到2%的分部分项清单项目，</w:t>
      </w:r>
    </w:p>
    <w:p w14:paraId="259AAB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③当Q1&gt;1.25Q0时:       S=1.25Q0×P0+（Q1-1.25 Q0）×P1</w:t>
      </w:r>
    </w:p>
    <w:p w14:paraId="101729E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④当Q1&lt;0.75Q0时:       S=Q1×P1</w:t>
      </w:r>
    </w:p>
    <w:p w14:paraId="7D3EDA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式中 S——调整后某一分部分项工程费结算价；</w:t>
      </w:r>
    </w:p>
    <w:p w14:paraId="1C10644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Q1——最终完成的工程量；</w:t>
      </w:r>
    </w:p>
    <w:p w14:paraId="7180CB7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Q0——招标工程量清单中列出的工程量；</w:t>
      </w:r>
    </w:p>
    <w:p w14:paraId="5C466A0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P0——承包人在已标价工程量清单中填报的综合单价</w:t>
      </w:r>
    </w:p>
    <w:p w14:paraId="3E3E39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43CE77B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（5）工程变更管理暂按《杭州钱塘新区政府投资项目工程变更管理办法（试行）》（钱塘管办发[2019]42号）执行；</w:t>
      </w:r>
    </w:p>
    <w:p w14:paraId="68D629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备注：相关文件有不一致之处按发包人及钱塘新区财政要求为准；</w:t>
      </w:r>
    </w:p>
    <w:p w14:paraId="6EACD1BE">
      <w:pPr>
        <w:pStyle w:val="46"/>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（6）最高限价400万元以下的小额工程项目招标控制价为预算审核价。</w:t>
      </w:r>
    </w:p>
    <w:p w14:paraId="2E36D5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Start w:id="837" w:name="_Toc297123544"/>
      <w:bookmarkStart w:id="838" w:name="_Toc297120497"/>
      <w:bookmarkStart w:id="839" w:name="_Toc292559402"/>
      <w:bookmarkStart w:id="840" w:name="_Toc296944536"/>
      <w:bookmarkStart w:id="841" w:name="_Toc296503197"/>
      <w:bookmarkStart w:id="842" w:name="_Toc300934993"/>
      <w:bookmarkStart w:id="843" w:name="_Toc292559907"/>
      <w:bookmarkStart w:id="844" w:name="_Toc296346698"/>
      <w:bookmarkStart w:id="845" w:name="_Toc296347196"/>
      <w:bookmarkStart w:id="846" w:name="_Toc296891237"/>
      <w:bookmarkStart w:id="847" w:name="_Toc297048383"/>
      <w:bookmarkStart w:id="848" w:name="_Toc297216203"/>
      <w:bookmarkStart w:id="849" w:name="_Toc296891025"/>
      <w:bookmarkStart w:id="850" w:name="_Toc303539150"/>
      <w:bookmarkStart w:id="851" w:name="_Toc304295570"/>
      <w:bookmarkStart w:id="852" w:name="_Toc312677503"/>
      <w:bookmarkStart w:id="853" w:name="_Toc312678029"/>
      <w:r>
        <w:rPr>
          <w:rFonts w:hint="eastAsia" w:ascii="仿宋" w:hAnsi="仿宋" w:eastAsia="仿宋" w:cs="仿宋"/>
          <w:color w:val="auto"/>
          <w:szCs w:val="21"/>
          <w:highlight w:val="none"/>
        </w:rPr>
        <w:t>0.5承</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Start w:id="854" w:name="_Toc296503203"/>
      <w:bookmarkStart w:id="855" w:name="_Toc292559913"/>
      <w:bookmarkStart w:id="856" w:name="_Toc300934994"/>
      <w:bookmarkStart w:id="857" w:name="_Toc296891031"/>
      <w:bookmarkStart w:id="858" w:name="_Toc297048389"/>
      <w:bookmarkStart w:id="859" w:name="_Toc296346704"/>
      <w:bookmarkStart w:id="860" w:name="_Toc297123545"/>
      <w:bookmarkStart w:id="861" w:name="_Toc303539151"/>
      <w:bookmarkStart w:id="862" w:name="_Toc296347202"/>
      <w:bookmarkStart w:id="863" w:name="_Toc296891243"/>
      <w:bookmarkStart w:id="864" w:name="_Toc292559408"/>
      <w:bookmarkStart w:id="865" w:name="_Toc296944542"/>
      <w:bookmarkStart w:id="866" w:name="_Toc297120503"/>
      <w:bookmarkStart w:id="867" w:name="_Toc297216204"/>
      <w:r>
        <w:rPr>
          <w:rFonts w:hint="eastAsia" w:ascii="仿宋" w:hAnsi="仿宋" w:eastAsia="仿宋" w:cs="仿宋"/>
          <w:color w:val="auto"/>
          <w:szCs w:val="21"/>
          <w:highlight w:val="none"/>
        </w:rPr>
        <w:t>包人的合理化建议</w:t>
      </w:r>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1C698E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监理人审查承包人合理化建议的期限：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40A9D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82A7C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w:t>
      </w:r>
      <w:bookmarkStart w:id="868" w:name="_Toc312678030"/>
      <w:bookmarkStart w:id="869" w:name="_Toc297120504"/>
      <w:bookmarkStart w:id="870" w:name="_Toc318581175"/>
      <w:bookmarkStart w:id="871" w:name="_Toc297123546"/>
      <w:bookmarkStart w:id="872" w:name="_Toc296944543"/>
      <w:bookmarkStart w:id="873" w:name="_Toc296891244"/>
      <w:bookmarkStart w:id="874" w:name="_Toc300934995"/>
      <w:bookmarkStart w:id="875" w:name="_Toc292559914"/>
      <w:bookmarkStart w:id="876" w:name="_Toc292559409"/>
      <w:bookmarkStart w:id="877" w:name="_Toc296347203"/>
      <w:bookmarkStart w:id="878" w:name="_Toc296346705"/>
      <w:bookmarkStart w:id="879" w:name="_Toc297216205"/>
      <w:bookmarkStart w:id="880" w:name="_Toc296891032"/>
      <w:bookmarkStart w:id="881" w:name="_Toc303539152"/>
      <w:bookmarkStart w:id="882" w:name="_Toc312677504"/>
      <w:bookmarkStart w:id="883" w:name="_Toc297048390"/>
      <w:bookmarkStart w:id="884" w:name="_Toc304295571"/>
      <w:bookmarkStart w:id="885" w:name="_Toc296503204"/>
      <w:r>
        <w:rPr>
          <w:rFonts w:hint="eastAsia" w:ascii="仿宋" w:hAnsi="仿宋" w:eastAsia="仿宋" w:cs="仿宋"/>
          <w:color w:val="auto"/>
          <w:szCs w:val="21"/>
          <w:highlight w:val="none"/>
        </w:rPr>
        <w:t>包人提出的合理化建议降低了合同价格或者提高了工程经济效益的奖励的方法和金额为：</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5BC03989">
      <w:pPr>
        <w:adjustRightInd/>
        <w:spacing w:line="400" w:lineRule="exact"/>
        <w:ind w:firstLine="420" w:firstLineChars="200"/>
        <w:outlineLvl w:val="0"/>
        <w:rPr>
          <w:rFonts w:hint="eastAsia" w:ascii="仿宋" w:hAnsi="仿宋" w:eastAsia="仿宋" w:cs="仿宋"/>
          <w:color w:val="auto"/>
          <w:szCs w:val="21"/>
          <w:highlight w:val="none"/>
        </w:rPr>
      </w:pPr>
      <w:bookmarkStart w:id="886" w:name="_Toc7636"/>
      <w:bookmarkStart w:id="887" w:name="_Toc12094"/>
      <w:bookmarkStart w:id="888" w:name="_Toc21345"/>
      <w:bookmarkStart w:id="889" w:name="_Toc10600"/>
      <w:bookmarkStart w:id="890" w:name="_Toc28127"/>
      <w:bookmarkStart w:id="891" w:name="_Toc11085"/>
      <w:r>
        <w:rPr>
          <w:rFonts w:hint="eastAsia" w:ascii="仿宋" w:hAnsi="仿宋" w:eastAsia="仿宋" w:cs="仿宋"/>
          <w:color w:val="auto"/>
          <w:szCs w:val="21"/>
          <w:highlight w:val="none"/>
        </w:rPr>
        <w:t>1</w:t>
      </w:r>
      <w:bookmarkStart w:id="892" w:name="_Toc297120499"/>
      <w:bookmarkStart w:id="893" w:name="_Toc296347198"/>
      <w:bookmarkStart w:id="894" w:name="_Toc296891239"/>
      <w:bookmarkStart w:id="895" w:name="_Toc297123548"/>
      <w:bookmarkStart w:id="896" w:name="_Toc300934997"/>
      <w:bookmarkStart w:id="897" w:name="_Toc304295574"/>
      <w:bookmarkStart w:id="898" w:name="_Toc292559909"/>
      <w:bookmarkStart w:id="899" w:name="_Toc303539154"/>
      <w:bookmarkStart w:id="900" w:name="_Toc297216207"/>
      <w:bookmarkStart w:id="901" w:name="_Toc297048385"/>
      <w:bookmarkStart w:id="902" w:name="_Toc312678033"/>
      <w:bookmarkStart w:id="903" w:name="_Toc292559404"/>
      <w:bookmarkStart w:id="904" w:name="_Toc312677507"/>
      <w:bookmarkStart w:id="905" w:name="_Toc296503199"/>
      <w:bookmarkStart w:id="906" w:name="_Toc296891027"/>
      <w:bookmarkStart w:id="907" w:name="_Toc296944538"/>
      <w:bookmarkStart w:id="908" w:name="_Toc296346700"/>
      <w:r>
        <w:rPr>
          <w:rFonts w:hint="eastAsia" w:ascii="仿宋" w:hAnsi="仿宋" w:eastAsia="仿宋" w:cs="仿宋"/>
          <w:color w:val="auto"/>
          <w:szCs w:val="21"/>
          <w:highlight w:val="none"/>
        </w:rPr>
        <w:t>0.7 暂估价</w:t>
      </w:r>
      <w:bookmarkEnd w:id="886"/>
      <w:bookmarkEnd w:id="887"/>
      <w:bookmarkEnd w:id="888"/>
      <w:bookmarkEnd w:id="889"/>
      <w:bookmarkEnd w:id="890"/>
      <w:bookmarkEnd w:id="891"/>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14:paraId="1FD70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w:t>
      </w:r>
      <w:bookmarkStart w:id="909" w:name="_Toc312678034"/>
      <w:bookmarkStart w:id="910" w:name="_Toc312677508"/>
      <w:bookmarkStart w:id="911" w:name="_Toc318581176"/>
      <w:r>
        <w:rPr>
          <w:rFonts w:hint="eastAsia" w:ascii="仿宋" w:hAnsi="仿宋" w:eastAsia="仿宋" w:cs="仿宋"/>
          <w:color w:val="auto"/>
          <w:szCs w:val="21"/>
          <w:highlight w:val="none"/>
        </w:rPr>
        <w:t>估价材料和工程设备的明细详见附件：《暂估价一览表》。</w:t>
      </w:r>
    </w:p>
    <w:bookmarkEnd w:id="909"/>
    <w:bookmarkEnd w:id="910"/>
    <w:bookmarkEnd w:id="911"/>
    <w:p w14:paraId="6382B8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912" w:name="_Toc312677509"/>
      <w:bookmarkStart w:id="913" w:name="_Toc318581177"/>
      <w:bookmarkStart w:id="914" w:name="_Toc312678035"/>
      <w:r>
        <w:rPr>
          <w:rFonts w:hint="eastAsia" w:ascii="仿宋" w:hAnsi="仿宋" w:eastAsia="仿宋" w:cs="仿宋"/>
          <w:color w:val="auto"/>
          <w:szCs w:val="21"/>
          <w:highlight w:val="none"/>
        </w:rPr>
        <w:t>0.7.1 依法必须招标的暂估价项目</w:t>
      </w:r>
    </w:p>
    <w:bookmarkEnd w:id="912"/>
    <w:bookmarkEnd w:id="913"/>
    <w:bookmarkEnd w:id="914"/>
    <w:p w14:paraId="5BC87BA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14:paraId="22D01F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10.7.2 不属于依法必须招标的暂估价项目</w:t>
      </w:r>
    </w:p>
    <w:p w14:paraId="763B17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对于不属于依法必须招标的暂估价项目的确认和批准采取第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种方式确定。</w:t>
      </w:r>
    </w:p>
    <w:p w14:paraId="157C1C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第3种方式：承包人直接实施的暂估价项目</w:t>
      </w:r>
    </w:p>
    <w:p w14:paraId="6E8927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承包人直接实施的暂估价项目的约定：</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E9B08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 暂列金额</w:t>
      </w:r>
    </w:p>
    <w:p w14:paraId="673C99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合同当事人关于暂列金额使用的约定：</w:t>
      </w:r>
      <w:r>
        <w:rPr>
          <w:rFonts w:hint="eastAsia" w:ascii="仿宋" w:hAnsi="仿宋" w:eastAsia="仿宋" w:cs="仿宋"/>
          <w:color w:val="auto"/>
          <w:szCs w:val="21"/>
          <w:highlight w:val="none"/>
          <w:u w:val="single"/>
        </w:rPr>
        <w:t xml:space="preserve">  暂列金额作为不可预见费，实际发生时按实结算，不发生时不予支付   </w:t>
      </w:r>
      <w:r>
        <w:rPr>
          <w:rFonts w:hint="eastAsia" w:ascii="仿宋" w:hAnsi="仿宋" w:eastAsia="仿宋" w:cs="仿宋"/>
          <w:color w:val="auto"/>
          <w:szCs w:val="21"/>
          <w:highlight w:val="none"/>
        </w:rPr>
        <w:t>。</w:t>
      </w:r>
    </w:p>
    <w:p w14:paraId="028A96BA">
      <w:pPr>
        <w:keepNext/>
        <w:keepLines/>
        <w:adjustRightInd/>
        <w:spacing w:line="400" w:lineRule="exact"/>
        <w:outlineLvl w:val="3"/>
        <w:rPr>
          <w:rFonts w:hint="eastAsia" w:ascii="仿宋" w:hAnsi="仿宋" w:eastAsia="仿宋" w:cs="仿宋"/>
          <w:bCs/>
          <w:color w:val="auto"/>
          <w:szCs w:val="21"/>
          <w:highlight w:val="none"/>
        </w:rPr>
      </w:pPr>
      <w:bookmarkStart w:id="915" w:name="_Toc351203643"/>
      <w:r>
        <w:rPr>
          <w:rFonts w:hint="eastAsia" w:ascii="仿宋" w:hAnsi="仿宋" w:eastAsia="仿宋" w:cs="仿宋"/>
          <w:bCs/>
          <w:color w:val="auto"/>
          <w:szCs w:val="21"/>
          <w:highlight w:val="none"/>
        </w:rPr>
        <w:t>11. 价格调整</w:t>
      </w:r>
      <w:bookmarkEnd w:id="915"/>
    </w:p>
    <w:p w14:paraId="40AFDE73">
      <w:pPr>
        <w:adjustRightInd/>
        <w:spacing w:line="400" w:lineRule="exact"/>
        <w:ind w:firstLine="420" w:firstLineChars="200"/>
        <w:rPr>
          <w:rFonts w:hint="eastAsia" w:ascii="仿宋" w:hAnsi="仿宋" w:eastAsia="仿宋" w:cs="仿宋"/>
          <w:color w:val="auto"/>
          <w:szCs w:val="21"/>
          <w:highlight w:val="none"/>
        </w:rPr>
      </w:pPr>
      <w:bookmarkStart w:id="916" w:name="_Toc297123550"/>
      <w:bookmarkStart w:id="917" w:name="_Toc296891241"/>
      <w:bookmarkStart w:id="918" w:name="_Toc312678039"/>
      <w:bookmarkStart w:id="919" w:name="_Toc296503201"/>
      <w:bookmarkStart w:id="920" w:name="_Toc296891029"/>
      <w:bookmarkStart w:id="921" w:name="_Toc304295577"/>
      <w:bookmarkStart w:id="922" w:name="_Toc303539157"/>
      <w:bookmarkStart w:id="923" w:name="_Toc297120501"/>
      <w:bookmarkStart w:id="924" w:name="_Toc297048387"/>
      <w:bookmarkStart w:id="925" w:name="_Toc292559911"/>
      <w:bookmarkStart w:id="926" w:name="_Toc296944540"/>
      <w:bookmarkStart w:id="927" w:name="_Toc296347200"/>
      <w:bookmarkStart w:id="928" w:name="_Toc300935000"/>
      <w:bookmarkStart w:id="929" w:name="_Toc296346702"/>
      <w:bookmarkStart w:id="930" w:name="_Toc292559406"/>
      <w:bookmarkStart w:id="931" w:name="_Toc297216209"/>
      <w:r>
        <w:rPr>
          <w:rFonts w:hint="eastAsia" w:ascii="仿宋" w:hAnsi="仿宋" w:eastAsia="仿宋" w:cs="仿宋"/>
          <w:color w:val="auto"/>
          <w:szCs w:val="21"/>
          <w:highlight w:val="none"/>
        </w:rPr>
        <w:t>11.1 市场价格波动引起的调整</w:t>
      </w:r>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28C679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市场价格波动是否调整合同价格的约定：</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36645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因市场价格波动调整合同价格，采用以下第</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种方式对合同价格进行调整：</w:t>
      </w:r>
    </w:p>
    <w:p w14:paraId="150A94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第1种方式：采用价格指数进行价格调整。</w:t>
      </w:r>
    </w:p>
    <w:p w14:paraId="2C9A645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关于各可调因子、定值和变值权重，以及基本价格指数及其来源的约定：  ； </w:t>
      </w:r>
    </w:p>
    <w:p w14:paraId="2DD68D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第2种方式：采用造价信息进行价格调整。</w:t>
      </w:r>
    </w:p>
    <w:p w14:paraId="72EDF2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（2）关于基准价格的约定：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8D128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%时，或材料单价跌幅以已标价工程量清单或预算书中载明材料单价为基础超过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19A11AD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%时，材料单价涨幅以已标价工程量清单或预算书中载明材料单价为基础超过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378299A6">
      <w:pPr>
        <w:adjustRightInd/>
        <w:spacing w:line="400" w:lineRule="exact"/>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bookmarkEnd w:id="808"/>
    <w:bookmarkEnd w:id="809"/>
    <w:bookmarkEnd w:id="810"/>
    <w:bookmarkEnd w:id="811"/>
    <w:bookmarkEnd w:id="812"/>
    <w:bookmarkEnd w:id="813"/>
    <w:p w14:paraId="6847571B">
      <w:pPr>
        <w:adjustRightInd/>
        <w:spacing w:line="360" w:lineRule="auto"/>
        <w:ind w:firstLine="420" w:firstLineChars="200"/>
        <w:rPr>
          <w:rFonts w:hint="eastAsia" w:ascii="仿宋" w:hAnsi="仿宋" w:eastAsia="仿宋" w:cs="仿宋"/>
          <w:color w:val="auto"/>
          <w:szCs w:val="21"/>
          <w:highlight w:val="none"/>
          <w:u w:val="single"/>
        </w:rPr>
      </w:pPr>
      <w:bookmarkStart w:id="932" w:name="_Toc292559410"/>
      <w:bookmarkStart w:id="933" w:name="_Toc297120505"/>
      <w:bookmarkStart w:id="934" w:name="_Toc292559915"/>
      <w:bookmarkStart w:id="935" w:name="_Toc296503205"/>
      <w:bookmarkStart w:id="936" w:name="_Toc296891033"/>
      <w:bookmarkStart w:id="937" w:name="_Toc296346706"/>
      <w:bookmarkStart w:id="938" w:name="_Toc296347204"/>
      <w:bookmarkStart w:id="939" w:name="_Toc296891245"/>
      <w:bookmarkStart w:id="940" w:name="_Toc297048391"/>
      <w:bookmarkStart w:id="941" w:name="_Toc296944544"/>
      <w:bookmarkStart w:id="942" w:name="_Toc351203644"/>
      <w:bookmarkStart w:id="943" w:name="_Toc304295579"/>
      <w:bookmarkStart w:id="944" w:name="_Toc312678040"/>
      <w:bookmarkStart w:id="945" w:name="_Toc297123552"/>
      <w:bookmarkStart w:id="946" w:name="_Toc300935002"/>
      <w:bookmarkStart w:id="947" w:name="_Toc303539159"/>
      <w:bookmarkStart w:id="948" w:name="_Toc297216211"/>
      <w:r>
        <w:rPr>
          <w:rFonts w:hint="eastAsia" w:ascii="仿宋" w:hAnsi="仿宋" w:eastAsia="仿宋" w:cs="仿宋"/>
          <w:color w:val="auto"/>
          <w:szCs w:val="21"/>
          <w:highlight w:val="none"/>
        </w:rPr>
        <w:t>第3种方式：其他价格调整方式：</w:t>
      </w:r>
      <w:r>
        <w:rPr>
          <w:rFonts w:hint="eastAsia" w:ascii="仿宋" w:hAnsi="仿宋" w:eastAsia="仿宋" w:cs="仿宋"/>
          <w:color w:val="auto"/>
          <w:szCs w:val="21"/>
          <w:highlight w:val="none"/>
          <w:u w:val="single"/>
        </w:rPr>
        <w:t xml:space="preserve"> 政府投资工程因市场价格波动引起的调整按以下第（ 一 ）种方式约定执行：</w:t>
      </w:r>
    </w:p>
    <w:p w14:paraId="05F7A80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（一）按《关于进一步加强杭州市建设工程市场要素价格动态管理的指导意见》（杭建市发[2018]579号）执行  ；</w:t>
      </w:r>
    </w:p>
    <w:p w14:paraId="40C4C46D">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约定市场要素价格调整方式及价差计算方法：</w:t>
      </w:r>
    </w:p>
    <w:p w14:paraId="034B42A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1、材料价款动态调整结算方式约定：采用竣工后一次性结算调价。</w:t>
      </w:r>
    </w:p>
    <w:p w14:paraId="0CA3B5A3">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45BBDC3E">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3、非承包人原因引起的延期，经发包人、监理单位审批同意顺延后，经批准的顺延工期可计入合同工期，未经审批同意，不得延长合同工期。</w:t>
      </w:r>
    </w:p>
    <w:p w14:paraId="3A53404F">
      <w:pPr>
        <w:adjustRightInd/>
        <w:spacing w:line="360" w:lineRule="auto"/>
        <w:rPr>
          <w:rFonts w:hint="default"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4、施工单位办理工程结算时必须向审核部门提供预算软件导出的带有计价软件格式的电子结算文件</w:t>
      </w:r>
      <w:r>
        <w:rPr>
          <w:rFonts w:hint="default" w:ascii="仿宋" w:hAnsi="仿宋" w:eastAsia="仿宋" w:cs="仿宋"/>
          <w:color w:val="auto"/>
          <w:szCs w:val="21"/>
          <w:highlight w:val="none"/>
          <w:u w:val="single"/>
        </w:rPr>
        <w:t>。</w:t>
      </w:r>
    </w:p>
    <w:p w14:paraId="2FDF3E80">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5、若杭州市、钱塘区有新的调价文件</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按新的调价文件执行。</w:t>
      </w:r>
    </w:p>
    <w:p w14:paraId="52B2EE0B">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6、允许市场要素价格调整的材料为：钢筋、水泥、商品砼、黄砂、碎石、沥青砼、水泥稳定碎石、预拌砂浆、砌块、电线电缆、钢管（安装工程使用）、钢结构用钢。</w:t>
      </w:r>
    </w:p>
    <w:p w14:paraId="5CE95F4C">
      <w:pPr>
        <w:keepNext/>
        <w:keepLines/>
        <w:adjustRightInd/>
        <w:spacing w:line="400" w:lineRule="exact"/>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12. </w:t>
      </w:r>
      <w:bookmarkEnd w:id="932"/>
      <w:bookmarkEnd w:id="933"/>
      <w:bookmarkEnd w:id="934"/>
      <w:bookmarkEnd w:id="935"/>
      <w:bookmarkEnd w:id="936"/>
      <w:bookmarkEnd w:id="937"/>
      <w:bookmarkEnd w:id="938"/>
      <w:bookmarkEnd w:id="939"/>
      <w:bookmarkEnd w:id="940"/>
      <w:bookmarkEnd w:id="941"/>
      <w:r>
        <w:rPr>
          <w:rFonts w:hint="eastAsia" w:ascii="仿宋" w:hAnsi="仿宋" w:eastAsia="仿宋" w:cs="仿宋"/>
          <w:bCs/>
          <w:color w:val="auto"/>
          <w:szCs w:val="21"/>
          <w:highlight w:val="none"/>
        </w:rPr>
        <w:t>合同价格、计量与支付</w:t>
      </w:r>
      <w:bookmarkEnd w:id="942"/>
    </w:p>
    <w:bookmarkEnd w:id="943"/>
    <w:bookmarkEnd w:id="944"/>
    <w:bookmarkEnd w:id="945"/>
    <w:bookmarkEnd w:id="946"/>
    <w:bookmarkEnd w:id="947"/>
    <w:bookmarkEnd w:id="948"/>
    <w:p w14:paraId="630254B1">
      <w:pPr>
        <w:adjustRightInd/>
        <w:spacing w:line="400" w:lineRule="exact"/>
        <w:ind w:firstLine="420" w:firstLineChars="200"/>
        <w:rPr>
          <w:rFonts w:hint="eastAsia" w:ascii="仿宋" w:hAnsi="仿宋" w:eastAsia="仿宋" w:cs="仿宋"/>
          <w:color w:val="auto"/>
          <w:szCs w:val="21"/>
          <w:highlight w:val="none"/>
        </w:rPr>
      </w:pPr>
      <w:bookmarkStart w:id="949" w:name="_Toc292559411"/>
      <w:bookmarkStart w:id="950" w:name="_Toc292559916"/>
      <w:bookmarkStart w:id="951" w:name="_Toc267251461"/>
      <w:bookmarkStart w:id="952" w:name="_Toc296891034"/>
      <w:bookmarkStart w:id="953" w:name="_Toc296346707"/>
      <w:bookmarkStart w:id="954" w:name="_Toc297048392"/>
      <w:bookmarkStart w:id="955" w:name="_Toc296347205"/>
      <w:bookmarkStart w:id="956" w:name="_Toc296503206"/>
      <w:bookmarkStart w:id="957" w:name="_Toc296891246"/>
      <w:bookmarkStart w:id="958" w:name="_Toc297120506"/>
      <w:bookmarkStart w:id="959" w:name="_Toc296944545"/>
      <w:bookmarkStart w:id="960" w:name="_Toc297123553"/>
      <w:bookmarkStart w:id="961" w:name="_Toc300935003"/>
      <w:bookmarkStart w:id="962" w:name="_Toc297216212"/>
      <w:bookmarkStart w:id="963" w:name="_Toc303539160"/>
      <w:bookmarkStart w:id="964" w:name="_Toc304295580"/>
      <w:bookmarkStart w:id="965" w:name="_Toc312678041"/>
      <w:r>
        <w:rPr>
          <w:rFonts w:hint="eastAsia" w:ascii="仿宋" w:hAnsi="仿宋" w:eastAsia="仿宋" w:cs="仿宋"/>
          <w:color w:val="auto"/>
          <w:szCs w:val="21"/>
          <w:highlight w:val="none"/>
        </w:rPr>
        <w:t>12.1 合</w:t>
      </w:r>
      <w:bookmarkEnd w:id="949"/>
      <w:bookmarkEnd w:id="950"/>
      <w:bookmarkEnd w:id="951"/>
      <w:r>
        <w:rPr>
          <w:rFonts w:hint="eastAsia" w:ascii="仿宋" w:hAnsi="仿宋" w:eastAsia="仿宋" w:cs="仿宋"/>
          <w:color w:val="auto"/>
          <w:szCs w:val="21"/>
          <w:highlight w:val="none"/>
        </w:rPr>
        <w:t>同价</w:t>
      </w:r>
      <w:bookmarkEnd w:id="952"/>
      <w:bookmarkEnd w:id="953"/>
      <w:bookmarkEnd w:id="954"/>
      <w:bookmarkEnd w:id="955"/>
      <w:bookmarkEnd w:id="956"/>
      <w:bookmarkEnd w:id="957"/>
      <w:bookmarkEnd w:id="958"/>
      <w:bookmarkEnd w:id="959"/>
      <w:r>
        <w:rPr>
          <w:rFonts w:hint="eastAsia" w:ascii="仿宋" w:hAnsi="仿宋" w:eastAsia="仿宋" w:cs="仿宋"/>
          <w:color w:val="auto"/>
          <w:szCs w:val="21"/>
          <w:highlight w:val="none"/>
        </w:rPr>
        <w:t>格形式</w:t>
      </w:r>
    </w:p>
    <w:bookmarkEnd w:id="960"/>
    <w:bookmarkEnd w:id="961"/>
    <w:bookmarkEnd w:id="962"/>
    <w:bookmarkEnd w:id="963"/>
    <w:bookmarkEnd w:id="964"/>
    <w:bookmarkEnd w:id="965"/>
    <w:p w14:paraId="02D38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w:t>
      </w:r>
    </w:p>
    <w:p w14:paraId="535981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综合单价包含的风险范围：</w:t>
      </w:r>
    </w:p>
    <w:p w14:paraId="330087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（1）应由承包人承担的工、料、机在投标编制期或预算书编制期与合同实施期间所发生的市场价格波动。 </w:t>
      </w:r>
    </w:p>
    <w:p w14:paraId="5E20C0B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w:t>
      </w:r>
    </w:p>
    <w:p w14:paraId="4117D2E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a、国家规定允许调整外的工日、材料（设备）、机械台班价格的上涨；</w:t>
      </w:r>
    </w:p>
    <w:p w14:paraId="320712A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b、在工程施工中应能预计的费用；</w:t>
      </w:r>
    </w:p>
    <w:p w14:paraId="0B6FF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c、所有招标文件或工程量清单明示要求报价的内容而承包人未予报价的；</w:t>
      </w:r>
    </w:p>
    <w:p w14:paraId="16C2C02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d、承包人对工程现场环境以及发包人提供的招标文件、图纸等资料作出错误的推论、理解而导致的报价失误；</w:t>
      </w:r>
    </w:p>
    <w:p w14:paraId="63BB955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78665B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f、按图集或规范施工的，单价必须满足规范和图集要求，单价不得调整；</w:t>
      </w:r>
    </w:p>
    <w:p w14:paraId="01AC5BB0">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g、工程量项目特征描述中未描述或描述不全，但又是完成该清单项目中必须有的工作内容，均应包括在报价内；</w:t>
      </w:r>
    </w:p>
    <w:p w14:paraId="4189B93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h、因施工场地窄小、场内施工不便等需要增加的各种费用；</w:t>
      </w:r>
    </w:p>
    <w:p w14:paraId="3AB988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i、在工程施工中有经验的承包人应能预计的其它费用。</w:t>
      </w:r>
    </w:p>
    <w:p w14:paraId="2A45D8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工程实施中属于招标文件和本合同约定需要投标报价和合同包干风险范围内应考虑的费用，虽经发包人现场签证认可，在工程结算时可认定该签证无效。</w:t>
      </w:r>
    </w:p>
    <w:p w14:paraId="4ADCD8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以上风险范围之内的费用承包人已预估并计入投标总价，不再另行计取   </w:t>
      </w:r>
      <w:r>
        <w:rPr>
          <w:rFonts w:hint="eastAsia" w:ascii="仿宋" w:hAnsi="仿宋" w:eastAsia="仿宋" w:cs="仿宋"/>
          <w:color w:val="auto"/>
          <w:szCs w:val="21"/>
          <w:highlight w:val="none"/>
        </w:rPr>
        <w:t>。</w:t>
      </w:r>
    </w:p>
    <w:p w14:paraId="6D1BE0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p>
    <w:p w14:paraId="41A3ABD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（1）市场价格波动引起的调整按本合同11.1第3种方式的约定计算 </w:t>
      </w:r>
      <w:r>
        <w:rPr>
          <w:rFonts w:hint="eastAsia" w:ascii="仿宋" w:hAnsi="仿宋" w:eastAsia="仿宋" w:cs="仿宋"/>
          <w:color w:val="auto"/>
          <w:szCs w:val="21"/>
          <w:highlight w:val="none"/>
        </w:rPr>
        <w:t>。</w:t>
      </w:r>
    </w:p>
    <w:p w14:paraId="1F6DB326">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w:t>
      </w:r>
      <w:r>
        <w:rPr>
          <w:rFonts w:hint="eastAsia" w:ascii="仿宋" w:hAnsi="仿宋" w:eastAsia="仿宋" w:cs="仿宋"/>
          <w:color w:val="auto"/>
          <w:szCs w:val="21"/>
          <w:highlight w:val="none"/>
        </w:rPr>
        <w:t>。</w:t>
      </w:r>
    </w:p>
    <w:p w14:paraId="433665A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w:t>
      </w:r>
    </w:p>
    <w:p w14:paraId="2B2484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总价包含的风险范围：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5884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0A5CAC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2B0093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AB5A254">
      <w:pPr>
        <w:adjustRightInd/>
        <w:spacing w:line="400" w:lineRule="exact"/>
        <w:ind w:firstLine="420" w:firstLineChars="200"/>
        <w:rPr>
          <w:rFonts w:hint="eastAsia" w:ascii="仿宋" w:hAnsi="仿宋" w:eastAsia="仿宋" w:cs="仿宋"/>
          <w:color w:val="auto"/>
          <w:szCs w:val="21"/>
          <w:highlight w:val="none"/>
        </w:rPr>
      </w:pPr>
      <w:bookmarkStart w:id="966" w:name="_Toc297123554"/>
      <w:bookmarkStart w:id="967" w:name="_Toc304295581"/>
      <w:bookmarkStart w:id="968" w:name="_Toc312678042"/>
      <w:bookmarkStart w:id="969" w:name="_Toc303539161"/>
      <w:bookmarkStart w:id="970" w:name="_Toc297216213"/>
      <w:bookmarkStart w:id="971" w:name="_Toc300935004"/>
      <w:bookmarkStart w:id="972" w:name="_Toc292559412"/>
      <w:bookmarkStart w:id="973" w:name="_Toc296891247"/>
      <w:bookmarkStart w:id="974" w:name="_Toc296503207"/>
      <w:bookmarkStart w:id="975" w:name="_Toc297120507"/>
      <w:bookmarkStart w:id="976" w:name="_Toc296891035"/>
      <w:bookmarkStart w:id="977" w:name="_Toc296346708"/>
      <w:bookmarkStart w:id="978" w:name="_Toc296944546"/>
      <w:bookmarkStart w:id="979" w:name="_Toc292559917"/>
      <w:bookmarkStart w:id="980" w:name="_Toc296347206"/>
      <w:bookmarkStart w:id="981" w:name="_Toc297048393"/>
      <w:r>
        <w:rPr>
          <w:rFonts w:hint="eastAsia" w:ascii="仿宋" w:hAnsi="仿宋" w:eastAsia="仿宋" w:cs="仿宋"/>
          <w:color w:val="auto"/>
          <w:szCs w:val="21"/>
          <w:highlight w:val="none"/>
        </w:rPr>
        <w:t>12.2 预付款</w:t>
      </w:r>
    </w:p>
    <w:bookmarkEnd w:id="966"/>
    <w:bookmarkEnd w:id="967"/>
    <w:bookmarkEnd w:id="968"/>
    <w:bookmarkEnd w:id="969"/>
    <w:bookmarkEnd w:id="970"/>
    <w:bookmarkEnd w:id="971"/>
    <w:p w14:paraId="4855F75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12.2.1 预付款的支付</w:t>
      </w:r>
    </w:p>
    <w:p w14:paraId="3EA2C4B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预付款支付比例或金额：</w:t>
      </w:r>
      <w:r>
        <w:rPr>
          <w:rFonts w:hint="eastAsia" w:ascii="仿宋" w:hAnsi="仿宋" w:eastAsia="仿宋" w:cs="仿宋"/>
          <w:color w:val="auto"/>
          <w:szCs w:val="21"/>
          <w:highlight w:val="none"/>
          <w:u w:val="single"/>
        </w:rPr>
        <w:t xml:space="preserve">  工资性工程预付款为合同价的1%；工程预付款为合同价(不含暂列金)的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rPr>
        <w:t>。</w:t>
      </w:r>
    </w:p>
    <w:p w14:paraId="5A6F2B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预付款支付期限：</w:t>
      </w:r>
      <w:r>
        <w:rPr>
          <w:rFonts w:hint="eastAsia" w:ascii="仿宋" w:hAnsi="仿宋" w:eastAsia="仿宋" w:cs="仿宋"/>
          <w:color w:val="auto"/>
          <w:szCs w:val="21"/>
          <w:highlight w:val="none"/>
          <w:u w:val="single"/>
        </w:rPr>
        <w:t>中标人向采购人支付合同价(不含暂列金)的50%作为预付款保函（应当以支票、汇票、本票或者金融机构、担保机构出具的保函等非现金形式提交。鼓励和支持供应商以银行、保险公司出具的保函形式提供），待采购人收到预付款保函后，采购人向中标人支付合同价(不含暂列金)的50%作为工程预付款</w:t>
      </w:r>
      <w:r>
        <w:rPr>
          <w:rFonts w:hint="eastAsia" w:ascii="仿宋" w:hAnsi="仿宋" w:eastAsia="仿宋" w:cs="仿宋"/>
          <w:color w:val="auto"/>
          <w:szCs w:val="21"/>
          <w:highlight w:val="none"/>
        </w:rPr>
        <w:t>。</w:t>
      </w:r>
    </w:p>
    <w:p w14:paraId="18812350">
      <w:pP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预付款扣回的方式：工程预付款在第一期进度款中扣回，如第一期进度款不足，则在第二期进度款中继续。</w:t>
      </w:r>
    </w:p>
    <w:p w14:paraId="5A0EF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预付款担保</w:t>
      </w:r>
    </w:p>
    <w:bookmarkEnd w:id="972"/>
    <w:bookmarkEnd w:id="973"/>
    <w:bookmarkEnd w:id="974"/>
    <w:bookmarkEnd w:id="975"/>
    <w:bookmarkEnd w:id="976"/>
    <w:bookmarkEnd w:id="977"/>
    <w:bookmarkEnd w:id="978"/>
    <w:bookmarkEnd w:id="979"/>
    <w:bookmarkEnd w:id="980"/>
    <w:bookmarkEnd w:id="981"/>
    <w:p w14:paraId="57CF931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承包人提交预付款担保的期限：</w:t>
      </w:r>
      <w:r>
        <w:rPr>
          <w:rFonts w:hint="eastAsia" w:ascii="仿宋" w:hAnsi="仿宋" w:eastAsia="仿宋" w:cs="仿宋"/>
          <w:color w:val="auto"/>
          <w:szCs w:val="21"/>
          <w:highlight w:val="none"/>
          <w:u w:val="single"/>
        </w:rPr>
        <w:t>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w:t>
      </w:r>
      <w:r>
        <w:rPr>
          <w:rFonts w:hint="eastAsia" w:ascii="仿宋" w:hAnsi="仿宋" w:eastAsia="仿宋" w:cs="仿宋"/>
          <w:color w:val="auto"/>
          <w:szCs w:val="21"/>
          <w:highlight w:val="none"/>
        </w:rPr>
        <w:t xml:space="preserve">。 </w:t>
      </w:r>
    </w:p>
    <w:p w14:paraId="33AAC7B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预付款担保的形式为：</w:t>
      </w:r>
      <w:r>
        <w:rPr>
          <w:rFonts w:hint="eastAsia" w:ascii="仿宋" w:hAnsi="仿宋" w:eastAsia="仿宋" w:cs="仿宋"/>
          <w:color w:val="auto"/>
          <w:szCs w:val="21"/>
          <w:highlight w:val="none"/>
          <w:u w:val="single"/>
        </w:rPr>
        <w:t>银行、保险公司等金融机构出具的预付款保函。预付款担保的金额：合同金额的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仿宋"/>
          <w:color w:val="auto"/>
          <w:szCs w:val="21"/>
          <w:highlight w:val="none"/>
        </w:rPr>
        <w:t>。</w:t>
      </w:r>
    </w:p>
    <w:p w14:paraId="0F3CD3E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 计量</w:t>
      </w:r>
    </w:p>
    <w:p w14:paraId="33F4F17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 计量原则</w:t>
      </w:r>
    </w:p>
    <w:p w14:paraId="6490C35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工程量计算规则：</w:t>
      </w:r>
    </w:p>
    <w:p w14:paraId="058D254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（1）实行工程量清单计价的工程项目，其工程量的计算规则应按国家标准工程量计算规范及省级行业主管部门颁布的补充规定执行。</w:t>
      </w:r>
    </w:p>
    <w:p w14:paraId="13D6A3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（2）不实行工程量清单计价的工程项目，工程量的计算规则应按省、市行业主管部门颁布的各专业工程定额的工程量计算规则执行。</w:t>
      </w:r>
    </w:p>
    <w:p w14:paraId="473C45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 计量周期</w:t>
      </w:r>
    </w:p>
    <w:p w14:paraId="30FA2DB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关于计量周期的约定：</w:t>
      </w:r>
      <w:r>
        <w:rPr>
          <w:rFonts w:hint="eastAsia" w:ascii="仿宋" w:hAnsi="仿宋" w:eastAsia="仿宋" w:cs="仿宋"/>
          <w:color w:val="auto"/>
          <w:szCs w:val="21"/>
          <w:highlight w:val="none"/>
          <w:u w:val="single"/>
        </w:rPr>
        <w:t xml:space="preserve">按月计量 </w:t>
      </w:r>
      <w:r>
        <w:rPr>
          <w:rFonts w:hint="eastAsia" w:ascii="仿宋" w:hAnsi="仿宋" w:eastAsia="仿宋" w:cs="仿宋"/>
          <w:color w:val="auto"/>
          <w:szCs w:val="21"/>
          <w:highlight w:val="none"/>
        </w:rPr>
        <w:t>。</w:t>
      </w:r>
    </w:p>
    <w:p w14:paraId="411DC62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12.3.3 单价合同的计量</w:t>
      </w:r>
    </w:p>
    <w:p w14:paraId="293921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关于单价合同计量的约定：</w:t>
      </w:r>
      <w:r>
        <w:rPr>
          <w:rFonts w:hint="eastAsia" w:ascii="仿宋" w:hAnsi="仿宋" w:eastAsia="仿宋" w:cs="仿宋"/>
          <w:color w:val="auto"/>
          <w:szCs w:val="21"/>
          <w:highlight w:val="none"/>
          <w:u w:val="single"/>
        </w:rPr>
        <w:t>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w:t>
      </w:r>
      <w:r>
        <w:rPr>
          <w:rFonts w:hint="eastAsia" w:ascii="仿宋" w:hAnsi="仿宋" w:eastAsia="仿宋" w:cs="仿宋"/>
          <w:color w:val="auto"/>
          <w:szCs w:val="21"/>
          <w:highlight w:val="none"/>
        </w:rPr>
        <w:t>。</w:t>
      </w:r>
    </w:p>
    <w:p w14:paraId="6CDD1C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12.3.4 总价合同的计量</w:t>
      </w:r>
    </w:p>
    <w:p w14:paraId="1C2F33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关于总价合同计量的约定：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45DC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12.3.5总价合同采用支付分解表计量支付的，是否适用第12.3.4 项〔总价合同的计量〕约定进行计量：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0855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12.3.6 其他价格形式合同的计量</w:t>
      </w:r>
    </w:p>
    <w:p w14:paraId="2ABB7FBF">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其他价格形式的计量方式和程序：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10592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 工程进度款支付</w:t>
      </w:r>
    </w:p>
    <w:p w14:paraId="1CA81770">
      <w:pPr>
        <w:adjustRightInd/>
        <w:spacing w:line="400" w:lineRule="exact"/>
        <w:ind w:firstLine="420" w:firstLineChars="200"/>
        <w:rPr>
          <w:rFonts w:hint="eastAsia" w:ascii="仿宋" w:hAnsi="仿宋" w:eastAsia="仿宋" w:cs="仿宋"/>
          <w:color w:val="auto"/>
          <w:szCs w:val="21"/>
          <w:highlight w:val="none"/>
        </w:rPr>
      </w:pPr>
      <w:bookmarkStart w:id="982" w:name="_Toc292559416"/>
      <w:bookmarkStart w:id="983" w:name="_Toc296891039"/>
      <w:bookmarkStart w:id="984" w:name="_Toc296346712"/>
      <w:bookmarkStart w:id="985" w:name="_Toc297120511"/>
      <w:bookmarkStart w:id="986" w:name="_Toc292559921"/>
      <w:bookmarkStart w:id="987" w:name="_Toc297123556"/>
      <w:bookmarkStart w:id="988" w:name="_Toc297216215"/>
      <w:bookmarkStart w:id="989" w:name="_Toc300935006"/>
      <w:bookmarkStart w:id="990" w:name="_Toc296891251"/>
      <w:bookmarkStart w:id="991" w:name="_Toc296347210"/>
      <w:bookmarkStart w:id="992" w:name="_Toc297048397"/>
      <w:bookmarkStart w:id="993" w:name="_Toc296944550"/>
      <w:bookmarkStart w:id="994" w:name="_Toc303539163"/>
      <w:bookmarkStart w:id="995" w:name="_Toc296503211"/>
      <w:r>
        <w:rPr>
          <w:rFonts w:hint="eastAsia" w:ascii="仿宋" w:hAnsi="仿宋" w:eastAsia="仿宋" w:cs="仿宋"/>
          <w:color w:val="auto"/>
          <w:szCs w:val="21"/>
          <w:highlight w:val="none"/>
        </w:rPr>
        <w:t>12.4.1 付款周期</w:t>
      </w:r>
    </w:p>
    <w:p w14:paraId="1D58B35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关于付款周期的约定：</w:t>
      </w:r>
    </w:p>
    <w:p w14:paraId="66DD31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合同价款内的工程款支付：合同签订后，中标人支付合同价的1%作为履约保证金（接受保函）。同时，中标人先向采购人支付合同价(不含暂列金)的50%作为预付款保函（应当以支票、汇票、本票或者金融机构、担保机构出具的保函等非现金形式提交。鼓励和支持供应商以银行、保险公司出具的保函形式提供），待采购人收到预付款保函后，采购人向中标人支付合同价(不含暂列金)的50%作为工程预付款，竣工验收合格后支付该工程实际完成工程量的70%，并退还中标人履约保证金；工程结算审核完成后支付至审定价的100%。同时，中标人需缴纳合同价的1.5%（接受保函）作为工程质量保证金 (质保期满后经评价合格退还)。</w:t>
      </w:r>
    </w:p>
    <w:p w14:paraId="7C1B55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460B27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c、在承包人领取工程款时，应提供与工程款同等数额的工程款发票，否则，发包人有权拒绝支付工程款。</w:t>
      </w:r>
    </w:p>
    <w:p w14:paraId="4FA435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证书的修改：发包人可通过任何一次进度款支付证书对其所签发过的任何原有的进度款支付证书进行任何修改或更改。</w:t>
      </w:r>
    </w:p>
    <w:p w14:paraId="0AB8C16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d、本工程发票开具须按发包人或相关部门要求开具。</w:t>
      </w:r>
    </w:p>
    <w:p w14:paraId="57B3A0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p>
    <w:p w14:paraId="5BD4A4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f、每次合同款项支付之前需</w:t>
      </w:r>
      <w:r>
        <w:rPr>
          <w:rFonts w:hint="eastAsia" w:ascii="仿宋" w:hAnsi="仿宋" w:eastAsia="仿宋" w:cs="仿宋"/>
          <w:color w:val="auto"/>
          <w:szCs w:val="21"/>
          <w:highlight w:val="none"/>
          <w:u w:val="single"/>
        </w:rPr>
        <w:t>提供</w:t>
      </w:r>
      <w:r>
        <w:rPr>
          <w:rFonts w:hint="eastAsia" w:ascii="仿宋" w:hAnsi="仿宋" w:eastAsia="仿宋" w:cs="仿宋"/>
          <w:color w:val="auto"/>
          <w:szCs w:val="21"/>
          <w:highlight w:val="none"/>
        </w:rPr>
        <w:t>完税证明。</w:t>
      </w:r>
    </w:p>
    <w:p w14:paraId="0B73F7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12.4.2 进度付款申请单的编制</w:t>
      </w:r>
    </w:p>
    <w:p w14:paraId="6560427C">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 xml:space="preserve">   按发包人要求编制   </w:t>
      </w:r>
      <w:r>
        <w:rPr>
          <w:rFonts w:hint="eastAsia" w:ascii="仿宋" w:hAnsi="仿宋" w:eastAsia="仿宋" w:cs="仿宋"/>
          <w:color w:val="auto"/>
          <w:szCs w:val="21"/>
          <w:highlight w:val="none"/>
        </w:rPr>
        <w:t>。</w:t>
      </w:r>
    </w:p>
    <w:p w14:paraId="5A679C8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Pr>
          <w:rFonts w:hint="eastAsia" w:ascii="仿宋" w:hAnsi="仿宋" w:eastAsia="仿宋" w:cs="仿宋"/>
          <w:color w:val="auto"/>
          <w:szCs w:val="21"/>
          <w:highlight w:val="none"/>
        </w:rPr>
        <w:t>2.4.3 进度付款申请单的提交</w:t>
      </w:r>
    </w:p>
    <w:p w14:paraId="7D168DD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（1）单价合同进度付款申请单提交的约定：</w:t>
      </w:r>
      <w:r>
        <w:rPr>
          <w:rFonts w:hint="eastAsia" w:ascii="仿宋" w:hAnsi="仿宋" w:eastAsia="仿宋" w:cs="仿宋"/>
          <w:color w:val="auto"/>
          <w:szCs w:val="21"/>
          <w:highlight w:val="none"/>
          <w:u w:val="single"/>
        </w:rPr>
        <w:t xml:space="preserve"> 提交工程量经监理、发包人审核后提交</w:t>
      </w:r>
      <w:r>
        <w:rPr>
          <w:rFonts w:hint="eastAsia" w:ascii="仿宋" w:hAnsi="仿宋" w:eastAsia="仿宋" w:cs="仿宋"/>
          <w:color w:val="auto"/>
          <w:szCs w:val="21"/>
          <w:highlight w:val="none"/>
        </w:rPr>
        <w:t>。</w:t>
      </w:r>
    </w:p>
    <w:p w14:paraId="50EFCF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876F64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（3）其他价格形式合同进度付款申请单提交的约定：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92C022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12.4.4 进度款审核和支付</w:t>
      </w:r>
    </w:p>
    <w:p w14:paraId="1F42F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（1）监理人审查并报送发包人的期限：</w:t>
      </w:r>
      <w:r>
        <w:rPr>
          <w:rFonts w:hint="eastAsia" w:ascii="仿宋" w:hAnsi="仿宋" w:eastAsia="仿宋" w:cs="仿宋"/>
          <w:color w:val="auto"/>
          <w:szCs w:val="21"/>
          <w:highlight w:val="none"/>
          <w:u w:val="single"/>
        </w:rPr>
        <w:t>收到申请之日起7天内</w:t>
      </w:r>
      <w:r>
        <w:rPr>
          <w:rFonts w:hint="eastAsia" w:ascii="仿宋" w:hAnsi="仿宋" w:eastAsia="仿宋" w:cs="仿宋"/>
          <w:color w:val="auto"/>
          <w:szCs w:val="21"/>
          <w:highlight w:val="none"/>
        </w:rPr>
        <w:t>。</w:t>
      </w:r>
    </w:p>
    <w:p w14:paraId="5FF44D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发包人完成审批并签发进度款支付证书的期限：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0CA5FC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（2）发包人支付进度款的期限：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1EE9F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发包人逾期支付进度款的违约金的计算方式：</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0B0BF8B5">
      <w:pPr>
        <w:adjustRightInd/>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12.4.6 支付分解表的编制</w:t>
      </w:r>
    </w:p>
    <w:p w14:paraId="6CEB9656">
      <w:pPr>
        <w:adjustRightInd/>
        <w:spacing w:line="400" w:lineRule="exact"/>
        <w:ind w:left="4200" w:hanging="4200" w:hanging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2、总价合同支付分解表的编制与审批：</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292D517A">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3、单价合同的总价项目支付分解表的编制与审批：</w:t>
      </w:r>
      <w:r>
        <w:rPr>
          <w:rFonts w:hint="eastAsia" w:ascii="仿宋" w:hAnsi="仿宋" w:eastAsia="仿宋" w:cs="仿宋"/>
          <w:color w:val="auto"/>
          <w:szCs w:val="21"/>
          <w:highlight w:val="none"/>
          <w:u w:val="single"/>
        </w:rPr>
        <w:t xml:space="preserve"> 按发包人要求   </w:t>
      </w:r>
      <w:r>
        <w:rPr>
          <w:rFonts w:hint="eastAsia" w:ascii="仿宋" w:hAnsi="仿宋" w:eastAsia="仿宋" w:cs="仿宋"/>
          <w:color w:val="auto"/>
          <w:szCs w:val="21"/>
          <w:highlight w:val="none"/>
        </w:rPr>
        <w:t>。</w:t>
      </w:r>
    </w:p>
    <w:p w14:paraId="326F4B89">
      <w:pPr>
        <w:keepNext/>
        <w:keepLines/>
        <w:adjustRightInd/>
        <w:spacing w:line="400" w:lineRule="exact"/>
        <w:outlineLvl w:val="3"/>
        <w:rPr>
          <w:rFonts w:hint="eastAsia" w:ascii="仿宋" w:hAnsi="仿宋" w:eastAsia="仿宋" w:cs="仿宋"/>
          <w:bCs/>
          <w:color w:val="auto"/>
          <w:szCs w:val="21"/>
          <w:highlight w:val="none"/>
        </w:rPr>
      </w:pPr>
      <w:bookmarkStart w:id="996" w:name="_Toc351203645"/>
      <w:bookmarkStart w:id="997" w:name="_Toc292559929"/>
      <w:bookmarkStart w:id="998" w:name="_Toc297123564"/>
      <w:bookmarkStart w:id="999" w:name="_Toc296503219"/>
      <w:bookmarkStart w:id="1000" w:name="_Toc300935015"/>
      <w:bookmarkStart w:id="1001" w:name="_Toc296347218"/>
      <w:bookmarkStart w:id="1002" w:name="_Toc303539172"/>
      <w:bookmarkStart w:id="1003" w:name="_Toc296346720"/>
      <w:bookmarkStart w:id="1004" w:name="_Toc292559424"/>
      <w:bookmarkStart w:id="1005" w:name="_Toc297120519"/>
      <w:bookmarkStart w:id="1006" w:name="_Toc297048405"/>
      <w:bookmarkStart w:id="1007" w:name="_Toc297216223"/>
      <w:bookmarkStart w:id="1008" w:name="_Toc304295593"/>
      <w:bookmarkStart w:id="1009" w:name="_Toc296944558"/>
      <w:bookmarkStart w:id="1010" w:name="_Toc312678053"/>
      <w:bookmarkStart w:id="1011" w:name="_Toc296891047"/>
      <w:bookmarkStart w:id="1012" w:name="_Toc296891259"/>
      <w:r>
        <w:rPr>
          <w:rFonts w:hint="eastAsia" w:ascii="仿宋" w:hAnsi="仿宋" w:eastAsia="仿宋" w:cs="仿宋"/>
          <w:bCs/>
          <w:color w:val="auto"/>
          <w:szCs w:val="21"/>
          <w:highlight w:val="none"/>
        </w:rPr>
        <w:t>13. 验收和工程试车</w:t>
      </w:r>
      <w:bookmarkEnd w:id="996"/>
    </w:p>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14:paraId="10AD4F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分部分项工程验收</w:t>
      </w:r>
    </w:p>
    <w:p w14:paraId="6344ED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13.1.2监理人不能按时进行验收时，应提前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52A650A6">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653E0F97">
      <w:pPr>
        <w:adjustRightInd/>
        <w:spacing w:line="400" w:lineRule="exact"/>
        <w:ind w:firstLine="420" w:firstLineChars="200"/>
        <w:rPr>
          <w:rFonts w:hint="eastAsia" w:ascii="仿宋" w:hAnsi="仿宋" w:eastAsia="仿宋" w:cs="仿宋"/>
          <w:color w:val="auto"/>
          <w:szCs w:val="21"/>
          <w:highlight w:val="none"/>
        </w:rPr>
      </w:pPr>
      <w:bookmarkStart w:id="1013" w:name="_Toc296347222"/>
      <w:bookmarkStart w:id="1014" w:name="_Toc297120523"/>
      <w:bookmarkStart w:id="1015" w:name="_Toc296891263"/>
      <w:bookmarkStart w:id="1016" w:name="_Toc297123565"/>
      <w:bookmarkStart w:id="1017" w:name="_Toc296346724"/>
      <w:bookmarkStart w:id="1018" w:name="_Toc297216224"/>
      <w:bookmarkStart w:id="1019" w:name="_Toc312678056"/>
      <w:bookmarkStart w:id="1020" w:name="_Toc296891051"/>
      <w:bookmarkStart w:id="1021" w:name="_Toc296944562"/>
      <w:bookmarkStart w:id="1022" w:name="_Toc297048409"/>
      <w:bookmarkStart w:id="1023" w:name="_Toc292559933"/>
      <w:bookmarkStart w:id="1024" w:name="_Toc296503223"/>
      <w:bookmarkStart w:id="1025" w:name="_Toc292559428"/>
      <w:bookmarkStart w:id="1026" w:name="_Toc300935016"/>
      <w:bookmarkStart w:id="1027" w:name="_Toc303539173"/>
      <w:bookmarkStart w:id="1028" w:name="_Toc304295596"/>
      <w:bookmarkStart w:id="1029" w:name="_Toc267251472"/>
      <w:bookmarkStart w:id="1030" w:name="_Toc267251475"/>
      <w:bookmarkStart w:id="1031" w:name="_Toc267251476"/>
      <w:bookmarkStart w:id="1032" w:name="_Toc267251474"/>
      <w:bookmarkStart w:id="1033" w:name="_Toc267251471"/>
      <w:bookmarkStart w:id="1034" w:name="_Toc267251470"/>
      <w:bookmarkStart w:id="1035" w:name="_Toc267251473"/>
      <w:r>
        <w:rPr>
          <w:rFonts w:hint="eastAsia" w:ascii="仿宋" w:hAnsi="仿宋" w:eastAsia="仿宋" w:cs="仿宋"/>
          <w:color w:val="auto"/>
          <w:szCs w:val="21"/>
          <w:highlight w:val="none"/>
        </w:rPr>
        <w:t>13.2 竣工验收</w:t>
      </w:r>
    </w:p>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14:paraId="791B4840">
      <w:pPr>
        <w:adjustRightInd/>
        <w:spacing w:line="400" w:lineRule="exact"/>
        <w:ind w:firstLine="420" w:firstLineChars="200"/>
        <w:rPr>
          <w:rFonts w:hint="eastAsia" w:ascii="仿宋" w:hAnsi="仿宋" w:eastAsia="仿宋" w:cs="仿宋"/>
          <w:color w:val="auto"/>
          <w:szCs w:val="21"/>
          <w:highlight w:val="none"/>
        </w:rPr>
      </w:pPr>
      <w:bookmarkStart w:id="1036" w:name="_Toc280868704"/>
      <w:bookmarkStart w:id="1037" w:name="_Toc280868705"/>
      <w:bookmarkStart w:id="1038" w:name="_Toc280868706"/>
      <w:bookmarkStart w:id="1039" w:name="_Toc280868707"/>
      <w:bookmarkStart w:id="1040" w:name="_Toc280868708"/>
      <w:bookmarkStart w:id="1041" w:name="_Toc280868709"/>
      <w:r>
        <w:rPr>
          <w:rFonts w:hint="eastAsia" w:ascii="仿宋" w:hAnsi="仿宋" w:eastAsia="仿宋" w:cs="仿宋"/>
          <w:color w:val="auto"/>
          <w:szCs w:val="21"/>
          <w:highlight w:val="none"/>
        </w:rPr>
        <w:t>13.2.2竣工验收程序</w:t>
      </w:r>
    </w:p>
    <w:bookmarkEnd w:id="1036"/>
    <w:p w14:paraId="3068B7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关于竣工验收程序的约定：</w:t>
      </w:r>
    </w:p>
    <w:p w14:paraId="1A3F59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26CA1D2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1A61EC2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7C1382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00CA2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7927EA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发包人在《工程竣工验收报告》签署后三十天内没有提出鉴定意见、修改意见的，视为竣工工程已经验收通过。</w:t>
      </w:r>
    </w:p>
    <w:p w14:paraId="52DAE6E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5B7BB3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2926611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（7）合格工程的移交</w:t>
      </w:r>
    </w:p>
    <w:p w14:paraId="6324070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A83381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承包人应当向发包人实施工程移交的内容包括：</w:t>
      </w:r>
    </w:p>
    <w:p w14:paraId="43DAF6C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①承包人实施承包的全部工程；</w:t>
      </w:r>
    </w:p>
    <w:p w14:paraId="1E1E23A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②工程的全部附属设施、设备；</w:t>
      </w:r>
    </w:p>
    <w:p w14:paraId="2852E6E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24063C9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④其他属于承包人移交义务的工程、设施、设备、文件资料。</w:t>
      </w:r>
    </w:p>
    <w:p w14:paraId="07F3983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发包人不按照本项约定组织竣工验收、颁发工程接收证书的违约金的计算方法：</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bookmarkEnd w:id="1037"/>
    </w:p>
    <w:p w14:paraId="13F23C9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13.2.5移交、接收全部与部分工程</w:t>
      </w:r>
    </w:p>
    <w:bookmarkEnd w:id="1038"/>
    <w:p w14:paraId="3CEAE0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承包人向发包人移交工程的期限：</w:t>
      </w:r>
      <w:r>
        <w:rPr>
          <w:rFonts w:hint="eastAsia" w:ascii="仿宋" w:hAnsi="仿宋" w:eastAsia="仿宋" w:cs="仿宋"/>
          <w:color w:val="auto"/>
          <w:szCs w:val="21"/>
          <w:highlight w:val="none"/>
          <w:u w:val="single"/>
        </w:rPr>
        <w:t xml:space="preserve">   不得迟于验收合格日后十五天    </w:t>
      </w:r>
      <w:r>
        <w:rPr>
          <w:rFonts w:hint="eastAsia" w:ascii="仿宋" w:hAnsi="仿宋" w:eastAsia="仿宋" w:cs="仿宋"/>
          <w:color w:val="auto"/>
          <w:szCs w:val="21"/>
          <w:highlight w:val="none"/>
        </w:rPr>
        <w:t>。</w:t>
      </w:r>
    </w:p>
    <w:p w14:paraId="19A78E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发包人未按本合同约定接收全部或部分工程的，违约金的计算方法为：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1039"/>
    <w:p w14:paraId="012927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承包人未按时移交工程的，违约金的计算方法为：</w:t>
      </w:r>
      <w:r>
        <w:rPr>
          <w:rFonts w:hint="eastAsia" w:ascii="仿宋" w:hAnsi="仿宋" w:eastAsia="仿宋" w:cs="仿宋"/>
          <w:color w:val="auto"/>
          <w:szCs w:val="21"/>
          <w:highlight w:val="none"/>
          <w:u w:val="single"/>
        </w:rPr>
        <w:t xml:space="preserve"> 每延误一天，按签约合同价的万分之四向发包人支付违约金  </w:t>
      </w:r>
      <w:r>
        <w:rPr>
          <w:rFonts w:hint="eastAsia" w:ascii="仿宋" w:hAnsi="仿宋" w:eastAsia="仿宋" w:cs="仿宋"/>
          <w:color w:val="auto"/>
          <w:szCs w:val="21"/>
          <w:highlight w:val="none"/>
        </w:rPr>
        <w:t>。</w:t>
      </w:r>
    </w:p>
    <w:p w14:paraId="484397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工程试车</w:t>
      </w:r>
    </w:p>
    <w:bookmarkEnd w:id="1040"/>
    <w:p w14:paraId="491A70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 试车程序</w:t>
      </w:r>
    </w:p>
    <w:p w14:paraId="3F0921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工程试车内容：</w:t>
      </w:r>
      <w:r>
        <w:rPr>
          <w:rFonts w:hint="eastAsia" w:ascii="仿宋" w:hAnsi="仿宋" w:eastAsia="仿宋" w:cs="仿宋"/>
          <w:color w:val="auto"/>
          <w:szCs w:val="21"/>
          <w:highlight w:val="none"/>
          <w:u w:val="single"/>
        </w:rPr>
        <w:t xml:space="preserve">    按本合同《通用条款》约定   </w:t>
      </w:r>
      <w:r>
        <w:rPr>
          <w:rFonts w:hint="eastAsia" w:ascii="仿宋" w:hAnsi="仿宋" w:eastAsia="仿宋" w:cs="仿宋"/>
          <w:color w:val="auto"/>
          <w:szCs w:val="21"/>
          <w:highlight w:val="none"/>
        </w:rPr>
        <w:t>。</w:t>
      </w:r>
    </w:p>
    <w:p w14:paraId="7D5F106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（1）单机无负荷试车费用由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11D028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（2）无负荷联动试车费用由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3FDD51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13.3.3 投料试车</w:t>
      </w:r>
    </w:p>
    <w:p w14:paraId="5AE339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关于投料试车相关事项的约定：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D643697">
      <w:pPr>
        <w:adjustRightInd/>
        <w:spacing w:line="400" w:lineRule="exact"/>
        <w:ind w:firstLine="420" w:firstLineChars="200"/>
        <w:outlineLvl w:val="0"/>
        <w:rPr>
          <w:rFonts w:hint="eastAsia" w:ascii="仿宋" w:hAnsi="仿宋" w:eastAsia="仿宋" w:cs="仿宋"/>
          <w:color w:val="auto"/>
          <w:szCs w:val="21"/>
          <w:highlight w:val="none"/>
        </w:rPr>
      </w:pPr>
      <w:bookmarkStart w:id="1042" w:name="_Toc18523"/>
      <w:bookmarkStart w:id="1043" w:name="_Toc894"/>
      <w:bookmarkStart w:id="1044" w:name="_Toc14409"/>
      <w:bookmarkStart w:id="1045" w:name="_Toc5399"/>
      <w:bookmarkStart w:id="1046" w:name="_Toc23795"/>
      <w:bookmarkStart w:id="1047" w:name="_Toc24397"/>
      <w:r>
        <w:rPr>
          <w:rFonts w:hint="eastAsia" w:ascii="仿宋" w:hAnsi="仿宋" w:eastAsia="仿宋" w:cs="仿宋"/>
          <w:color w:val="auto"/>
          <w:szCs w:val="21"/>
          <w:highlight w:val="none"/>
        </w:rPr>
        <w:t>13.6 竣工退场</w:t>
      </w:r>
      <w:bookmarkEnd w:id="1042"/>
      <w:bookmarkEnd w:id="1043"/>
      <w:bookmarkEnd w:id="1044"/>
      <w:bookmarkEnd w:id="1045"/>
      <w:bookmarkEnd w:id="1046"/>
      <w:bookmarkEnd w:id="1047"/>
    </w:p>
    <w:p w14:paraId="7119C0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13.6.1 竣工退场</w:t>
      </w:r>
    </w:p>
    <w:p w14:paraId="2F7DE86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承包人完成竣工退场的期限：</w:t>
      </w:r>
      <w:r>
        <w:rPr>
          <w:rFonts w:hint="eastAsia" w:ascii="仿宋" w:hAnsi="仿宋" w:eastAsia="仿宋" w:cs="仿宋"/>
          <w:color w:val="auto"/>
          <w:szCs w:val="21"/>
          <w:highlight w:val="none"/>
          <w:u w:val="single"/>
        </w:rPr>
        <w:t xml:space="preserve">   竣工验收通过10天内    </w:t>
      </w:r>
      <w:r>
        <w:rPr>
          <w:rFonts w:hint="eastAsia" w:ascii="仿宋" w:hAnsi="仿宋" w:eastAsia="仿宋" w:cs="仿宋"/>
          <w:color w:val="auto"/>
          <w:szCs w:val="21"/>
          <w:highlight w:val="none"/>
        </w:rPr>
        <w:t>。</w:t>
      </w:r>
    </w:p>
    <w:p w14:paraId="2B30EA0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竣工退场其他要求：</w:t>
      </w:r>
      <w:r>
        <w:rPr>
          <w:rFonts w:hint="eastAsia" w:ascii="仿宋" w:hAnsi="仿宋" w:eastAsia="仿宋" w:cs="仿宋"/>
          <w:color w:val="auto"/>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ascii="仿宋" w:hAnsi="仿宋" w:eastAsia="仿宋" w:cs="仿宋"/>
          <w:color w:val="auto"/>
          <w:szCs w:val="21"/>
          <w:highlight w:val="none"/>
        </w:rPr>
        <w:t>。</w:t>
      </w:r>
    </w:p>
    <w:p w14:paraId="3FF0001A">
      <w:pPr>
        <w:keepNext/>
        <w:keepLines/>
        <w:adjustRightInd/>
        <w:spacing w:line="400" w:lineRule="exact"/>
        <w:outlineLvl w:val="3"/>
        <w:rPr>
          <w:rFonts w:hint="eastAsia" w:ascii="仿宋" w:hAnsi="仿宋" w:eastAsia="仿宋" w:cs="仿宋"/>
          <w:bCs/>
          <w:color w:val="auto"/>
          <w:szCs w:val="21"/>
          <w:highlight w:val="none"/>
        </w:rPr>
      </w:pPr>
      <w:bookmarkStart w:id="1048" w:name="_Toc351203646"/>
      <w:r>
        <w:rPr>
          <w:rFonts w:hint="eastAsia" w:ascii="仿宋" w:hAnsi="仿宋" w:eastAsia="仿宋" w:cs="仿宋"/>
          <w:bCs/>
          <w:color w:val="auto"/>
          <w:szCs w:val="21"/>
          <w:highlight w:val="none"/>
        </w:rPr>
        <w:t>14. 竣工结算</w:t>
      </w:r>
      <w:bookmarkEnd w:id="1048"/>
    </w:p>
    <w:p w14:paraId="4848CF5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竣工结算申请</w:t>
      </w:r>
    </w:p>
    <w:p w14:paraId="52D736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承包人提交竣工结算申请单的期限：</w:t>
      </w:r>
      <w:r>
        <w:rPr>
          <w:rFonts w:hint="eastAsia" w:ascii="仿宋" w:hAnsi="仿宋" w:eastAsia="仿宋" w:cs="仿宋"/>
          <w:color w:val="auto"/>
          <w:szCs w:val="21"/>
          <w:highlight w:val="none"/>
          <w:u w:val="single"/>
        </w:rPr>
        <w:t xml:space="preserve"> 竣工验收合格通过日后的三十天内  </w:t>
      </w:r>
      <w:r>
        <w:rPr>
          <w:rFonts w:hint="eastAsia" w:ascii="仿宋" w:hAnsi="仿宋" w:eastAsia="仿宋" w:cs="仿宋"/>
          <w:color w:val="auto"/>
          <w:szCs w:val="21"/>
          <w:highlight w:val="none"/>
        </w:rPr>
        <w:t>。</w:t>
      </w:r>
    </w:p>
    <w:p w14:paraId="0602A261">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w:t>
      </w:r>
      <w:r>
        <w:rPr>
          <w:rFonts w:hint="eastAsia" w:ascii="仿宋" w:hAnsi="仿宋" w:eastAsia="仿宋" w:cs="仿宋"/>
          <w:color w:val="auto"/>
          <w:szCs w:val="21"/>
          <w:highlight w:val="none"/>
          <w:u w:val="single"/>
          <w:lang w:eastAsia="zh-CN"/>
        </w:rPr>
        <w:t>。</w:t>
      </w:r>
    </w:p>
    <w:p w14:paraId="62FD335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发包人自有效收到之日，选择按照如下方式完成对承包人提交的竣工结算报告及完整、有效的结算资料的审计：</w:t>
      </w:r>
    </w:p>
    <w:p w14:paraId="1C1FBDC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（1）该工程为政府性投资项目，发包人根据国家造价管理的有关规定以及</w:t>
      </w:r>
      <w:bookmarkStart w:id="1049" w:name="_Hlk59719221"/>
      <w:bookmarkStart w:id="1050" w:name="_Hlk59719067"/>
      <w:r>
        <w:rPr>
          <w:rFonts w:hint="eastAsia" w:ascii="仿宋" w:hAnsi="仿宋" w:eastAsia="仿宋" w:cs="仿宋"/>
          <w:color w:val="auto"/>
          <w:szCs w:val="21"/>
          <w:highlight w:val="none"/>
          <w:u w:val="single"/>
        </w:rPr>
        <w:t>委托审定</w:t>
      </w:r>
      <w:r>
        <w:rPr>
          <w:rFonts w:hint="eastAsia" w:ascii="仿宋" w:hAnsi="仿宋" w:eastAsia="仿宋" w:cs="仿宋"/>
          <w:i/>
          <w:iCs/>
          <w:color w:val="auto"/>
          <w:szCs w:val="21"/>
          <w:highlight w:val="none"/>
          <w:u w:val="single"/>
        </w:rPr>
        <w:t>（发包人审定或委托审定）</w:t>
      </w:r>
      <w:r>
        <w:rPr>
          <w:rFonts w:hint="eastAsia" w:ascii="仿宋" w:hAnsi="仿宋" w:eastAsia="仿宋" w:cs="仿宋"/>
          <w:color w:val="auto"/>
          <w:szCs w:val="21"/>
          <w:highlight w:val="none"/>
          <w:u w:val="single"/>
        </w:rPr>
        <w:t>的</w:t>
      </w:r>
      <w:bookmarkEnd w:id="1049"/>
      <w:r>
        <w:rPr>
          <w:rFonts w:hint="eastAsia" w:ascii="仿宋" w:hAnsi="仿宋" w:eastAsia="仿宋" w:cs="仿宋"/>
          <w:color w:val="auto"/>
          <w:szCs w:val="21"/>
          <w:highlight w:val="none"/>
          <w:u w:val="single"/>
        </w:rPr>
        <w:t>工程结算价</w:t>
      </w:r>
      <w:bookmarkEnd w:id="1050"/>
      <w:r>
        <w:rPr>
          <w:rFonts w:hint="eastAsia" w:ascii="仿宋" w:hAnsi="仿宋" w:eastAsia="仿宋" w:cs="仿宋"/>
          <w:color w:val="auto"/>
          <w:szCs w:val="21"/>
          <w:highlight w:val="none"/>
          <w:u w:val="single"/>
        </w:rPr>
        <w:t>为准，与承包人办理最终价款结算手续。</w:t>
      </w:r>
    </w:p>
    <w:p w14:paraId="34BA54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（2）若审计部门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05517E9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（3）发包人向承包人提交审核报告（审计报告）后30日内，承包人未提出异议的或异议不符合合同约定和文件规定的，视为承包人认可该审核报告（审计报告），发包人按审核报告支付结算款。</w:t>
      </w:r>
    </w:p>
    <w:p w14:paraId="5E5EC2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（4）在竣工结算价款最终</w:t>
      </w:r>
      <w:bookmarkStart w:id="1051" w:name="_Hlk59718295"/>
      <w:r>
        <w:rPr>
          <w:rFonts w:hint="eastAsia" w:ascii="仿宋" w:hAnsi="仿宋" w:eastAsia="仿宋" w:cs="仿宋"/>
          <w:color w:val="auto"/>
          <w:szCs w:val="21"/>
          <w:highlight w:val="none"/>
          <w:u w:val="single"/>
        </w:rPr>
        <w:t>由</w:t>
      </w:r>
      <w:bookmarkEnd w:id="1051"/>
      <w:r>
        <w:rPr>
          <w:rFonts w:hint="eastAsia" w:ascii="仿宋" w:hAnsi="仿宋" w:eastAsia="仿宋" w:cs="仿宋"/>
          <w:color w:val="auto"/>
          <w:szCs w:val="21"/>
          <w:highlight w:val="none"/>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14:paraId="066541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竣工结算申请单应包括的内容：</w:t>
      </w:r>
      <w:r>
        <w:rPr>
          <w:rFonts w:hint="eastAsia" w:ascii="仿宋" w:hAnsi="仿宋" w:eastAsia="仿宋" w:cs="仿宋"/>
          <w:color w:val="auto"/>
          <w:szCs w:val="21"/>
          <w:highlight w:val="none"/>
          <w:u w:val="single"/>
        </w:rPr>
        <w:t xml:space="preserve">   按通用条款      </w:t>
      </w:r>
      <w:r>
        <w:rPr>
          <w:rFonts w:hint="eastAsia" w:ascii="仿宋" w:hAnsi="仿宋" w:eastAsia="仿宋" w:cs="仿宋"/>
          <w:color w:val="auto"/>
          <w:szCs w:val="21"/>
          <w:highlight w:val="none"/>
        </w:rPr>
        <w:t>。</w:t>
      </w:r>
    </w:p>
    <w:p w14:paraId="2752FCE5">
      <w:pPr>
        <w:adjustRightInd/>
        <w:spacing w:line="400" w:lineRule="exact"/>
        <w:ind w:firstLine="420" w:firstLineChars="200"/>
        <w:outlineLvl w:val="0"/>
        <w:rPr>
          <w:rFonts w:hint="eastAsia" w:ascii="仿宋" w:hAnsi="仿宋" w:eastAsia="仿宋" w:cs="仿宋"/>
          <w:color w:val="auto"/>
          <w:szCs w:val="21"/>
          <w:highlight w:val="none"/>
        </w:rPr>
      </w:pPr>
      <w:bookmarkStart w:id="1052" w:name="_Toc27610"/>
      <w:bookmarkStart w:id="1053" w:name="_Toc17429"/>
      <w:bookmarkStart w:id="1054" w:name="_Toc31055"/>
      <w:bookmarkStart w:id="1055" w:name="_Toc2587"/>
      <w:bookmarkStart w:id="1056" w:name="_Toc12011"/>
      <w:bookmarkStart w:id="1057" w:name="_Toc11186"/>
      <w:r>
        <w:rPr>
          <w:rFonts w:hint="eastAsia" w:ascii="仿宋" w:hAnsi="仿宋" w:eastAsia="仿宋" w:cs="仿宋"/>
          <w:color w:val="auto"/>
          <w:szCs w:val="21"/>
          <w:highlight w:val="none"/>
        </w:rPr>
        <w:t>14.2 竣工结算审核</w:t>
      </w:r>
      <w:bookmarkEnd w:id="1052"/>
      <w:bookmarkEnd w:id="1053"/>
      <w:bookmarkEnd w:id="1054"/>
      <w:bookmarkEnd w:id="1055"/>
      <w:bookmarkEnd w:id="1056"/>
      <w:bookmarkEnd w:id="1057"/>
    </w:p>
    <w:p w14:paraId="5F92A7D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发包人审批竣工付款申请单的期限：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368002C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发包人完成竣工付款的期限：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67BC3A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关于竣工付款证书异议部分复核的方式和程序：</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p w14:paraId="23371F5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14.2.1本工程为政府性投资项目，发包人根据国家造价管理的有关规定以及财政部门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 xml:space="preserve">审定的工程造价为唯一的确定依据，责任由承包人自负。 </w:t>
      </w:r>
    </w:p>
    <w:p w14:paraId="5DC630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7846DAF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14.2.3承包人必须保证施工过程所提出的签证内容是合法的、真实的，并不由于发包人和监理工程师的确认而免除承包人的责任。</w:t>
      </w:r>
    </w:p>
    <w:p w14:paraId="4159327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7E0EDE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68855BD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14.2.6工程竣工结算总造价应控制在政府有关部门已批复的概算内，否则不予支付。</w:t>
      </w:r>
    </w:p>
    <w:p w14:paraId="014562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14.2.7承包人提交竣工结算资料时必须提供预算软件导出的带有计价软件格式的电子结算文件。</w:t>
      </w:r>
    </w:p>
    <w:p w14:paraId="2B49EDE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 最终结清</w:t>
      </w:r>
    </w:p>
    <w:p w14:paraId="6B384E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14.4.1 最终结清申请单</w:t>
      </w:r>
    </w:p>
    <w:p w14:paraId="29CF2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承包人提交最终结清申请单的份数：</w:t>
      </w:r>
      <w:r>
        <w:rPr>
          <w:rFonts w:hint="eastAsia" w:ascii="仿宋" w:hAnsi="仿宋" w:eastAsia="仿宋" w:cs="仿宋"/>
          <w:color w:val="auto"/>
          <w:szCs w:val="21"/>
          <w:highlight w:val="none"/>
          <w:u w:val="single"/>
        </w:rPr>
        <w:t xml:space="preserve">  按发包人要求提供   </w:t>
      </w:r>
      <w:r>
        <w:rPr>
          <w:rFonts w:hint="eastAsia" w:ascii="仿宋" w:hAnsi="仿宋" w:eastAsia="仿宋" w:cs="仿宋"/>
          <w:color w:val="auto"/>
          <w:szCs w:val="21"/>
          <w:highlight w:val="none"/>
        </w:rPr>
        <w:t>。</w:t>
      </w:r>
    </w:p>
    <w:p w14:paraId="52463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承包人提交最终结算申请单的期限：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 xml:space="preserve">。 </w:t>
      </w:r>
    </w:p>
    <w:p w14:paraId="2EDF06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14.4.2 最终结清证书和支付</w:t>
      </w:r>
    </w:p>
    <w:p w14:paraId="74E94DE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（1）发包人完成最终结清申请单的审批并颁发最终结清证书的期限：</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14:paraId="68F118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（2）发包人完成支付的期限：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bookmarkEnd w:id="1029"/>
    <w:bookmarkEnd w:id="1030"/>
    <w:bookmarkEnd w:id="1031"/>
    <w:bookmarkEnd w:id="1032"/>
    <w:bookmarkEnd w:id="1033"/>
    <w:bookmarkEnd w:id="1034"/>
    <w:bookmarkEnd w:id="1035"/>
    <w:bookmarkEnd w:id="1041"/>
    <w:p w14:paraId="68FD4F03">
      <w:pPr>
        <w:keepNext/>
        <w:keepLines/>
        <w:adjustRightInd/>
        <w:spacing w:line="400" w:lineRule="exact"/>
        <w:outlineLvl w:val="3"/>
        <w:rPr>
          <w:rFonts w:hint="eastAsia" w:ascii="仿宋" w:hAnsi="仿宋" w:eastAsia="仿宋" w:cs="仿宋"/>
          <w:bCs/>
          <w:color w:val="auto"/>
          <w:szCs w:val="21"/>
          <w:highlight w:val="none"/>
        </w:rPr>
      </w:pPr>
      <w:bookmarkStart w:id="1058" w:name="_Toc351203647"/>
      <w:bookmarkStart w:id="1059" w:name="_Toc267251483"/>
      <w:bookmarkStart w:id="1060" w:name="_Toc267251484"/>
      <w:bookmarkStart w:id="1061" w:name="_Toc267251482"/>
      <w:bookmarkStart w:id="1062" w:name="_Toc267251485"/>
      <w:bookmarkStart w:id="1063" w:name="_Toc267251489"/>
      <w:bookmarkStart w:id="1064" w:name="_Toc267251490"/>
      <w:bookmarkStart w:id="1065" w:name="_Toc267251488"/>
      <w:bookmarkStart w:id="1066" w:name="_Toc267251486"/>
      <w:bookmarkStart w:id="1067" w:name="_Toc267251503"/>
      <w:bookmarkStart w:id="1068" w:name="_Toc267251495"/>
      <w:bookmarkStart w:id="1069" w:name="_Toc267251494"/>
      <w:bookmarkStart w:id="1070" w:name="_Toc267251502"/>
      <w:bookmarkStart w:id="1071" w:name="_Toc267251493"/>
      <w:bookmarkStart w:id="1072" w:name="_Toc267251501"/>
      <w:bookmarkStart w:id="1073" w:name="_Toc267251497"/>
      <w:bookmarkStart w:id="1074" w:name="_Toc267251496"/>
      <w:bookmarkStart w:id="1075" w:name="_Toc267251499"/>
      <w:bookmarkStart w:id="1076" w:name="_Toc267251492"/>
      <w:bookmarkStart w:id="1077" w:name="_Toc267251498"/>
      <w:bookmarkStart w:id="1078" w:name="_Toc267251491"/>
      <w:bookmarkStart w:id="1079" w:name="_Toc267251506"/>
      <w:bookmarkStart w:id="1080" w:name="_Toc267251504"/>
      <w:bookmarkStart w:id="1081" w:name="_Toc267251507"/>
      <w:bookmarkStart w:id="1082" w:name="_Toc267251508"/>
      <w:bookmarkStart w:id="1083" w:name="_Toc267251514"/>
      <w:bookmarkStart w:id="1084" w:name="_Toc267251510"/>
      <w:bookmarkStart w:id="1085" w:name="_Toc267251513"/>
      <w:bookmarkStart w:id="1086" w:name="_Toc267251509"/>
      <w:bookmarkStart w:id="1087" w:name="_Toc267251511"/>
      <w:bookmarkStart w:id="1088" w:name="_Toc267251515"/>
      <w:r>
        <w:rPr>
          <w:rFonts w:hint="eastAsia" w:ascii="仿宋" w:hAnsi="仿宋" w:eastAsia="仿宋" w:cs="仿宋"/>
          <w:bCs/>
          <w:color w:val="auto"/>
          <w:szCs w:val="21"/>
          <w:highlight w:val="none"/>
        </w:rPr>
        <w:t>15. 缺陷责任期与保修</w:t>
      </w:r>
      <w:bookmarkEnd w:id="1058"/>
    </w:p>
    <w:p w14:paraId="5467FA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15.2缺陷责任期</w:t>
      </w:r>
      <w:bookmarkEnd w:id="1059"/>
    </w:p>
    <w:p w14:paraId="4AF002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缺陷责任期的具体期限：</w:t>
      </w:r>
      <w:r>
        <w:rPr>
          <w:rFonts w:hint="eastAsia" w:ascii="仿宋" w:hAnsi="仿宋" w:eastAsia="仿宋" w:cs="仿宋"/>
          <w:color w:val="auto"/>
          <w:szCs w:val="21"/>
          <w:highlight w:val="none"/>
          <w:u w:val="single"/>
        </w:rPr>
        <w:t>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工程质量保修书    </w:t>
      </w:r>
      <w:r>
        <w:rPr>
          <w:rFonts w:hint="eastAsia" w:ascii="仿宋" w:hAnsi="仿宋" w:eastAsia="仿宋" w:cs="仿宋"/>
          <w:color w:val="auto"/>
          <w:szCs w:val="21"/>
          <w:highlight w:val="none"/>
        </w:rPr>
        <w:t>。</w:t>
      </w:r>
    </w:p>
    <w:p w14:paraId="331438E5">
      <w:pPr>
        <w:adjustRightInd/>
        <w:spacing w:line="400" w:lineRule="exact"/>
        <w:ind w:firstLine="420" w:firstLineChars="200"/>
        <w:outlineLvl w:val="0"/>
        <w:rPr>
          <w:rFonts w:hint="eastAsia" w:ascii="仿宋" w:hAnsi="仿宋" w:eastAsia="仿宋" w:cs="仿宋"/>
          <w:color w:val="auto"/>
          <w:szCs w:val="21"/>
          <w:highlight w:val="none"/>
        </w:rPr>
      </w:pPr>
      <w:bookmarkStart w:id="1089" w:name="_Toc21231"/>
      <w:bookmarkStart w:id="1090" w:name="_Toc30279"/>
      <w:bookmarkStart w:id="1091" w:name="_Toc9467"/>
      <w:bookmarkStart w:id="1092" w:name="_Toc5231"/>
      <w:bookmarkStart w:id="1093" w:name="_Toc30453"/>
      <w:bookmarkStart w:id="1094" w:name="_Toc30991"/>
      <w:r>
        <w:rPr>
          <w:rFonts w:hint="eastAsia" w:ascii="仿宋" w:hAnsi="仿宋" w:eastAsia="仿宋" w:cs="仿宋"/>
          <w:color w:val="auto"/>
          <w:szCs w:val="21"/>
          <w:highlight w:val="none"/>
        </w:rPr>
        <w:t>15.3 质量保证金</w:t>
      </w:r>
      <w:bookmarkEnd w:id="1089"/>
      <w:bookmarkEnd w:id="1090"/>
      <w:bookmarkEnd w:id="1091"/>
      <w:bookmarkEnd w:id="1092"/>
      <w:bookmarkEnd w:id="1093"/>
      <w:bookmarkEnd w:id="1094"/>
    </w:p>
    <w:p w14:paraId="513BC77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关于是否扣留质量保证金的约定：</w:t>
      </w:r>
      <w:r>
        <w:rPr>
          <w:rFonts w:hint="eastAsia" w:ascii="仿宋" w:hAnsi="仿宋" w:eastAsia="仿宋" w:cs="仿宋"/>
          <w:color w:val="auto"/>
          <w:szCs w:val="21"/>
          <w:highlight w:val="none"/>
          <w:u w:val="single"/>
          <w:lang w:eastAsia="zh-CN"/>
        </w:rPr>
        <w:t>不扣留，</w:t>
      </w:r>
      <w:r>
        <w:rPr>
          <w:rFonts w:hint="eastAsia" w:ascii="仿宋" w:hAnsi="仿宋" w:eastAsia="仿宋" w:cs="仿宋"/>
          <w:color w:val="auto"/>
          <w:szCs w:val="21"/>
          <w:highlight w:val="none"/>
          <w:u w:val="single"/>
        </w:rPr>
        <w:t>以银行保函的方式递交</w:t>
      </w:r>
      <w:r>
        <w:rPr>
          <w:rFonts w:hint="eastAsia" w:ascii="仿宋" w:hAnsi="仿宋" w:eastAsia="仿宋" w:cs="仿宋"/>
          <w:color w:val="auto"/>
          <w:szCs w:val="21"/>
          <w:highlight w:val="none"/>
          <w:u w:val="single"/>
          <w:lang w:val="en-US" w:eastAsia="zh-Hans"/>
        </w:rPr>
        <w:t>质量保证金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。在工程项目竣工前，承包人按专用合同条款第3.7条提供履约担保的，发包人不得同时预留工程质量保证金。</w:t>
      </w:r>
    </w:p>
    <w:p w14:paraId="48095DB4">
      <w:pPr>
        <w:adjustRightInd/>
        <w:spacing w:line="400" w:lineRule="exact"/>
        <w:ind w:firstLine="420" w:firstLineChars="200"/>
        <w:outlineLvl w:val="0"/>
        <w:rPr>
          <w:rFonts w:hint="eastAsia" w:ascii="仿宋" w:hAnsi="仿宋" w:eastAsia="仿宋" w:cs="仿宋"/>
          <w:color w:val="auto"/>
          <w:szCs w:val="21"/>
          <w:highlight w:val="none"/>
        </w:rPr>
      </w:pPr>
      <w:bookmarkStart w:id="1095" w:name="_Toc15137"/>
      <w:bookmarkStart w:id="1096" w:name="_Toc3756"/>
      <w:bookmarkStart w:id="1097" w:name="_Toc7204"/>
      <w:bookmarkStart w:id="1098" w:name="_Toc11788"/>
      <w:bookmarkStart w:id="1099" w:name="_Toc32079"/>
      <w:bookmarkStart w:id="1100" w:name="_Toc20470"/>
      <w:r>
        <w:rPr>
          <w:rFonts w:hint="eastAsia" w:ascii="仿宋" w:hAnsi="仿宋" w:eastAsia="仿宋" w:cs="仿宋"/>
          <w:color w:val="auto"/>
          <w:szCs w:val="21"/>
          <w:highlight w:val="none"/>
        </w:rPr>
        <w:t>15.3.1 承包人提供质量保证金的方式</w:t>
      </w:r>
      <w:bookmarkEnd w:id="1095"/>
      <w:bookmarkEnd w:id="1096"/>
      <w:bookmarkEnd w:id="1097"/>
      <w:bookmarkEnd w:id="1098"/>
      <w:bookmarkEnd w:id="1099"/>
      <w:bookmarkEnd w:id="1100"/>
    </w:p>
    <w:p w14:paraId="14E2650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质量保证金采用以下第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rPr>
        <w:t>种方式：</w:t>
      </w:r>
    </w:p>
    <w:p w14:paraId="0352985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（1）质量保证金保函，保证金额为：</w:t>
      </w:r>
      <w:r>
        <w:rPr>
          <w:rFonts w:hint="eastAsia" w:ascii="仿宋" w:hAnsi="仿宋" w:eastAsia="仿宋" w:cs="仿宋"/>
          <w:color w:val="auto"/>
          <w:szCs w:val="21"/>
          <w:highlight w:val="none"/>
          <w:u w:val="single"/>
          <w:lang w:val="en-US" w:eastAsia="zh-CN"/>
        </w:rPr>
        <w:t>合同</w:t>
      </w:r>
      <w:r>
        <w:rPr>
          <w:rFonts w:hint="eastAsia" w:ascii="仿宋" w:hAnsi="仿宋" w:eastAsia="仿宋" w:cs="仿宋"/>
          <w:color w:val="auto"/>
          <w:szCs w:val="21"/>
          <w:highlight w:val="none"/>
          <w:u w:val="single"/>
        </w:rPr>
        <w:t xml:space="preserve">价的1.5%作为工程质量保证金（以银行保函的方式递交） </w:t>
      </w:r>
      <w:r>
        <w:rPr>
          <w:rFonts w:hint="eastAsia" w:ascii="仿宋" w:hAnsi="仿宋" w:eastAsia="仿宋" w:cs="仿宋"/>
          <w:color w:val="auto"/>
          <w:szCs w:val="21"/>
          <w:highlight w:val="none"/>
        </w:rPr>
        <w:t xml:space="preserve">； </w:t>
      </w:r>
    </w:p>
    <w:p w14:paraId="198FD01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%的工程款；</w:t>
      </w:r>
    </w:p>
    <w:p w14:paraId="690C006D">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CF24654">
      <w:pPr>
        <w:adjustRightInd/>
        <w:spacing w:line="400" w:lineRule="exact"/>
        <w:ind w:firstLine="420" w:firstLineChars="200"/>
        <w:outlineLvl w:val="0"/>
        <w:rPr>
          <w:rFonts w:hint="eastAsia" w:ascii="仿宋" w:hAnsi="仿宋" w:eastAsia="仿宋" w:cs="仿宋"/>
          <w:color w:val="auto"/>
          <w:szCs w:val="21"/>
          <w:highlight w:val="none"/>
        </w:rPr>
      </w:pPr>
      <w:bookmarkStart w:id="1101" w:name="_Toc29761"/>
      <w:bookmarkStart w:id="1102" w:name="_Toc16932"/>
      <w:bookmarkStart w:id="1103" w:name="_Toc26314"/>
      <w:bookmarkStart w:id="1104" w:name="_Toc754"/>
      <w:bookmarkStart w:id="1105" w:name="_Toc11622"/>
      <w:bookmarkStart w:id="1106" w:name="_Toc7298"/>
      <w:r>
        <w:rPr>
          <w:rFonts w:hint="eastAsia" w:ascii="仿宋" w:hAnsi="仿宋" w:eastAsia="仿宋" w:cs="仿宋"/>
          <w:color w:val="auto"/>
          <w:szCs w:val="21"/>
          <w:highlight w:val="none"/>
        </w:rPr>
        <w:t>15.3.2 质量保证金的扣留</w:t>
      </w:r>
      <w:bookmarkEnd w:id="1101"/>
      <w:bookmarkEnd w:id="1102"/>
      <w:bookmarkEnd w:id="1103"/>
      <w:bookmarkEnd w:id="1104"/>
      <w:bookmarkEnd w:id="1105"/>
      <w:bookmarkEnd w:id="1106"/>
    </w:p>
    <w:p w14:paraId="31C402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质量保证金的扣留采取以下第</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种方式：</w:t>
      </w:r>
    </w:p>
    <w:p w14:paraId="109BC4E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（1）在支付工程进度款时逐次扣留，在此情形下，质量保证金的计算基数不包括预付款的支付、扣回以及价格调整的金额；</w:t>
      </w:r>
    </w:p>
    <w:p w14:paraId="70E69D8D">
      <w:pPr>
        <w:spacing w:line="400" w:lineRule="exact"/>
        <w:ind w:firstLine="420" w:firstLineChars="200"/>
        <w:outlineLvl w:val="0"/>
        <w:rPr>
          <w:rFonts w:hint="eastAsia" w:ascii="仿宋" w:hAnsi="仿宋" w:eastAsia="仿宋" w:cs="仿宋"/>
          <w:color w:val="auto"/>
          <w:szCs w:val="21"/>
          <w:highlight w:val="none"/>
        </w:rPr>
      </w:pPr>
      <w:bookmarkStart w:id="1107" w:name="_Toc92"/>
      <w:bookmarkStart w:id="1108" w:name="_Toc20963"/>
      <w:bookmarkStart w:id="1109" w:name="_Toc27361"/>
      <w:bookmarkStart w:id="1110" w:name="_Toc10978"/>
      <w:bookmarkStart w:id="1111" w:name="_Toc24375"/>
      <w:bookmarkStart w:id="1112" w:name="_Toc2746"/>
      <w:r>
        <w:rPr>
          <w:rFonts w:hint="eastAsia" w:ascii="仿宋" w:hAnsi="仿宋" w:eastAsia="仿宋" w:cs="仿宋"/>
          <w:color w:val="auto"/>
          <w:szCs w:val="21"/>
          <w:highlight w:val="none"/>
        </w:rPr>
        <w:t>（2）工程竣工结算时一次性扣留质量保证金；</w:t>
      </w:r>
      <w:bookmarkEnd w:id="1107"/>
      <w:bookmarkEnd w:id="1108"/>
      <w:bookmarkEnd w:id="1109"/>
      <w:bookmarkEnd w:id="1110"/>
      <w:bookmarkEnd w:id="1111"/>
      <w:bookmarkEnd w:id="1112"/>
    </w:p>
    <w:p w14:paraId="4D8DF67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（3）其他扣留方式: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491F2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关于质量保证金的补充约定：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EB6F1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工程质量保修金的退还：</w:t>
      </w:r>
    </w:p>
    <w:p w14:paraId="2168B6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①工程质量保修金，在工程缺陷期满后无息返还。</w:t>
      </w:r>
    </w:p>
    <w:p w14:paraId="2FDB2B9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移交后，如发包人或者本工程有关的使用人发现存在因承包人原因引起的质量问题的，有权要求承包人及时维修，并赔偿给发包人带来的各种直接、间接经济损失。承包人不及时维修的，发包人有权扣除该保修金用于维修以及支付发包人的维修管理费用（按维修费用的15%计算），并在事后要求承包人补足缺额。</w:t>
      </w:r>
    </w:p>
    <w:p w14:paraId="34FC7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③工程移交后，如发包人或者本工程有关的使用人发现存在承包人范围内的重大质量问题的，有权扣除承包人的全部保修金，要求承包人及时维修，并赔偿给发包人带来的各种直接、间接经济损失。</w:t>
      </w:r>
    </w:p>
    <w:p w14:paraId="551C44A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在国家规定的保修期外,如本工程出现质量问题系由承包人偷工减料或使用不合格原材料、成品、半成品（不包括甲供材料）引起的，发包人有权无限期追溯，承包人应承担由此造成的一切损失。</w:t>
      </w:r>
    </w:p>
    <w:bookmarkEnd w:id="1060"/>
    <w:bookmarkEnd w:id="1061"/>
    <w:p w14:paraId="201A28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15.4保修</w:t>
      </w:r>
    </w:p>
    <w:bookmarkEnd w:id="1062"/>
    <w:p w14:paraId="14FEA71A">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15.4.1 保修责任</w:t>
      </w:r>
    </w:p>
    <w:p w14:paraId="26FCF6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工程保修期为：</w:t>
      </w:r>
      <w:r>
        <w:rPr>
          <w:rFonts w:hint="eastAsia" w:ascii="仿宋" w:hAnsi="仿宋" w:eastAsia="仿宋" w:cs="仿宋"/>
          <w:color w:val="auto"/>
          <w:szCs w:val="21"/>
          <w:highlight w:val="none"/>
          <w:u w:val="single"/>
        </w:rPr>
        <w:t xml:space="preserve">    详见工程质量保修书（附件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E059900">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15.4.3 修复通知</w:t>
      </w:r>
    </w:p>
    <w:p w14:paraId="787A94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承包人收到保修通知并到达工程现场的合理时间：</w:t>
      </w:r>
      <w:r>
        <w:rPr>
          <w:rFonts w:hint="eastAsia" w:ascii="仿宋" w:hAnsi="仿宋" w:eastAsia="仿宋" w:cs="仿宋"/>
          <w:color w:val="auto"/>
          <w:szCs w:val="21"/>
          <w:highlight w:val="none"/>
          <w:u w:val="single"/>
        </w:rPr>
        <w:t xml:space="preserve">  按质量保修书执行</w:t>
      </w:r>
      <w:r>
        <w:rPr>
          <w:rFonts w:hint="eastAsia" w:ascii="仿宋" w:hAnsi="仿宋" w:eastAsia="仿宋" w:cs="仿宋"/>
          <w:color w:val="auto"/>
          <w:szCs w:val="21"/>
          <w:highlight w:val="none"/>
        </w:rPr>
        <w:t>。</w:t>
      </w:r>
    </w:p>
    <w:bookmarkEnd w:id="1063"/>
    <w:bookmarkEnd w:id="1064"/>
    <w:bookmarkEnd w:id="1065"/>
    <w:bookmarkEnd w:id="1066"/>
    <w:p w14:paraId="77317AD2">
      <w:pPr>
        <w:keepNext/>
        <w:keepLines/>
        <w:adjustRightInd/>
        <w:spacing w:line="400" w:lineRule="exact"/>
        <w:outlineLvl w:val="3"/>
        <w:rPr>
          <w:rFonts w:hint="eastAsia" w:ascii="仿宋" w:hAnsi="仿宋" w:eastAsia="仿宋" w:cs="仿宋"/>
          <w:bCs/>
          <w:color w:val="auto"/>
          <w:szCs w:val="21"/>
          <w:highlight w:val="none"/>
        </w:rPr>
      </w:pPr>
      <w:bookmarkStart w:id="1113" w:name="_Toc351203648"/>
      <w:bookmarkStart w:id="1114" w:name="_Toc280868717"/>
      <w:bookmarkStart w:id="1115" w:name="_Toc280868718"/>
      <w:r>
        <w:rPr>
          <w:rFonts w:hint="eastAsia" w:ascii="仿宋" w:hAnsi="仿宋" w:eastAsia="仿宋" w:cs="仿宋"/>
          <w:bCs/>
          <w:color w:val="auto"/>
          <w:szCs w:val="21"/>
          <w:highlight w:val="none"/>
        </w:rPr>
        <w:t>16. 违约</w:t>
      </w:r>
      <w:bookmarkEnd w:id="1113"/>
    </w:p>
    <w:p w14:paraId="6A7B6B6F">
      <w:pPr>
        <w:adjustRightInd/>
        <w:spacing w:line="400" w:lineRule="exact"/>
        <w:ind w:firstLine="420" w:firstLineChars="200"/>
        <w:outlineLvl w:val="0"/>
        <w:rPr>
          <w:rFonts w:hint="eastAsia" w:ascii="仿宋" w:hAnsi="仿宋" w:eastAsia="仿宋" w:cs="仿宋"/>
          <w:color w:val="auto"/>
          <w:szCs w:val="21"/>
          <w:highlight w:val="none"/>
        </w:rPr>
      </w:pPr>
      <w:bookmarkStart w:id="1116" w:name="_Toc5424"/>
      <w:bookmarkStart w:id="1117" w:name="_Toc4901"/>
      <w:bookmarkStart w:id="1118" w:name="_Toc24774"/>
      <w:bookmarkStart w:id="1119" w:name="_Toc29612"/>
      <w:bookmarkStart w:id="1120" w:name="_Toc20226"/>
      <w:bookmarkStart w:id="1121" w:name="_Toc18269"/>
      <w:r>
        <w:rPr>
          <w:rFonts w:hint="eastAsia" w:ascii="仿宋" w:hAnsi="仿宋" w:eastAsia="仿宋" w:cs="仿宋"/>
          <w:color w:val="auto"/>
          <w:szCs w:val="21"/>
          <w:highlight w:val="none"/>
        </w:rPr>
        <w:t>16.1 发包人违约</w:t>
      </w:r>
      <w:bookmarkEnd w:id="1116"/>
      <w:bookmarkEnd w:id="1117"/>
      <w:bookmarkEnd w:id="1118"/>
      <w:bookmarkEnd w:id="1119"/>
      <w:bookmarkEnd w:id="1120"/>
      <w:bookmarkEnd w:id="1121"/>
    </w:p>
    <w:p w14:paraId="16B653E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16.1.1发包人违约的情形</w:t>
      </w:r>
    </w:p>
    <w:p w14:paraId="7C27F1CA">
      <w:pPr>
        <w:adjustRightInd/>
        <w:spacing w:line="400" w:lineRule="exact"/>
        <w:ind w:left="1050" w:leftChars="20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发包人违约的其他情形：</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3A359A6">
      <w:pPr>
        <w:adjustRightInd/>
        <w:spacing w:line="400" w:lineRule="exact"/>
        <w:ind w:left="1050" w:hanging="1050" w:hanging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16.1.2 发包人违约的责任</w:t>
      </w:r>
    </w:p>
    <w:p w14:paraId="7FAE4F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发包人违约责任的承担方式和计算方法：</w:t>
      </w:r>
    </w:p>
    <w:p w14:paraId="7BAA5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（1）因发包人原因未能在计划开工日期前7天内下达开工通知的违约责任：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67BEB3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（2）因发包人原因未能按合同约定支付合同价款的违约责任：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3ACDC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（3）发包人违反第10.1款〔变更的范围〕第（2）项约定，自行实施被取消的工作或转由他人实施的违约责任：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413F9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6B582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（5）因发包人违反合同约定造成暂停施工的违约责任：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99A2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（6）发包人无正当理由没有在约定期限内发出复工指示，导致承包人无法复工的违约责任：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1190F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53240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16.1.3 因发包人违约解除合同</w:t>
      </w:r>
    </w:p>
    <w:p w14:paraId="478D6FE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承包人按16.1.1项〔发包人违约的情形〕约定暂停施工满</w:t>
      </w:r>
      <w:r>
        <w:rPr>
          <w:rFonts w:hint="eastAsia" w:ascii="仿宋" w:hAnsi="仿宋" w:eastAsia="仿宋" w:cs="仿宋"/>
          <w:color w:val="auto"/>
          <w:szCs w:val="21"/>
          <w:highlight w:val="none"/>
          <w:u w:val="single"/>
        </w:rPr>
        <w:t xml:space="preserve">  28  </w:t>
      </w:r>
      <w:r>
        <w:rPr>
          <w:rFonts w:hint="eastAsia" w:ascii="仿宋" w:hAnsi="仿宋" w:eastAsia="仿宋" w:cs="仿宋"/>
          <w:color w:val="auto"/>
          <w:szCs w:val="21"/>
          <w:highlight w:val="none"/>
        </w:rPr>
        <w:t>天后发包人仍不纠正其违约行为并致使合同目的不能实现的，承包人有权解除合同。</w:t>
      </w:r>
    </w:p>
    <w:p w14:paraId="723CEC73">
      <w:pPr>
        <w:adjustRightInd/>
        <w:spacing w:line="400" w:lineRule="exact"/>
        <w:ind w:firstLine="420" w:firstLineChars="200"/>
        <w:outlineLvl w:val="0"/>
        <w:rPr>
          <w:rFonts w:hint="eastAsia" w:ascii="仿宋" w:hAnsi="仿宋" w:eastAsia="仿宋" w:cs="仿宋"/>
          <w:color w:val="auto"/>
          <w:szCs w:val="21"/>
          <w:highlight w:val="none"/>
        </w:rPr>
      </w:pPr>
      <w:bookmarkStart w:id="1122" w:name="_Toc21495"/>
      <w:bookmarkStart w:id="1123" w:name="_Toc2679"/>
      <w:bookmarkStart w:id="1124" w:name="_Toc3527"/>
      <w:bookmarkStart w:id="1125" w:name="_Toc17026"/>
      <w:bookmarkStart w:id="1126" w:name="_Toc11360"/>
      <w:bookmarkStart w:id="1127" w:name="_Toc2763"/>
      <w:r>
        <w:rPr>
          <w:rFonts w:hint="eastAsia" w:ascii="仿宋" w:hAnsi="仿宋" w:eastAsia="仿宋" w:cs="仿宋"/>
          <w:color w:val="auto"/>
          <w:szCs w:val="21"/>
          <w:highlight w:val="none"/>
        </w:rPr>
        <w:t>16.2 承包人违约</w:t>
      </w:r>
      <w:bookmarkEnd w:id="1122"/>
      <w:bookmarkEnd w:id="1123"/>
      <w:bookmarkEnd w:id="1124"/>
      <w:bookmarkEnd w:id="1125"/>
      <w:bookmarkEnd w:id="1126"/>
      <w:bookmarkEnd w:id="1127"/>
    </w:p>
    <w:p w14:paraId="771BC56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16.2.1 承包人违约的情形</w:t>
      </w:r>
    </w:p>
    <w:p w14:paraId="336608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承包人违约的其他情形：</w:t>
      </w:r>
      <w:r>
        <w:rPr>
          <w:rFonts w:hint="eastAsia" w:ascii="仿宋" w:hAnsi="仿宋" w:eastAsia="仿宋" w:cs="仿宋"/>
          <w:color w:val="auto"/>
          <w:szCs w:val="21"/>
          <w:highlight w:val="none"/>
          <w:u w:val="single"/>
        </w:rPr>
        <w:t xml:space="preserve"> 除本合同通用条款外详见本合同专用条款16.2.2   </w:t>
      </w:r>
      <w:r>
        <w:rPr>
          <w:rFonts w:hint="eastAsia" w:ascii="仿宋" w:hAnsi="仿宋" w:eastAsia="仿宋" w:cs="仿宋"/>
          <w:color w:val="auto"/>
          <w:szCs w:val="21"/>
          <w:highlight w:val="none"/>
        </w:rPr>
        <w:t>。</w:t>
      </w:r>
    </w:p>
    <w:p w14:paraId="44F0CD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16.2.2承包人违约的责任</w:t>
      </w:r>
    </w:p>
    <w:p w14:paraId="706E87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承包人违约责任的承担方式和计算方法： 工期</w:t>
      </w:r>
      <w:r>
        <w:rPr>
          <w:rFonts w:hint="eastAsia" w:ascii="仿宋" w:hAnsi="仿宋" w:eastAsia="仿宋" w:cs="仿宋"/>
          <w:color w:val="auto"/>
          <w:szCs w:val="21"/>
          <w:highlight w:val="none"/>
          <w:u w:val="single"/>
        </w:rPr>
        <w:t>延期在一个月内的，每拖延一天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7D07FB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承包人违反合同约定进行转包或违法分包的，一经发现，发包人有权终止合同，承包人应支付签约合同价【10】%的违约金，由此所产生的一切后果及经济损失均由承包人承担。</w:t>
      </w:r>
    </w:p>
    <w:p w14:paraId="5422C21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因承包人原因造成工期延误，逾期竣工违约金的上限：  不超过工程签约合同的</w:t>
      </w:r>
      <w:r>
        <w:rPr>
          <w:rFonts w:hint="default" w:ascii="仿宋" w:hAnsi="仿宋" w:eastAsia="仿宋" w:cs="仿宋"/>
          <w:color w:val="auto"/>
          <w:szCs w:val="21"/>
          <w:highlight w:val="none"/>
          <w:u w:val="single"/>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CC8F3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16.2.3 因承包人违约解除合同</w:t>
      </w:r>
    </w:p>
    <w:p w14:paraId="45B40CB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关于承包人违约解除合同的特别约定：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BA2E33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A73F9A2">
      <w:pPr>
        <w:keepNext/>
        <w:keepLines/>
        <w:adjustRightInd/>
        <w:spacing w:line="400" w:lineRule="exact"/>
        <w:outlineLvl w:val="3"/>
        <w:rPr>
          <w:rFonts w:hint="eastAsia" w:ascii="仿宋" w:hAnsi="仿宋" w:eastAsia="仿宋" w:cs="仿宋"/>
          <w:bCs/>
          <w:color w:val="auto"/>
          <w:szCs w:val="21"/>
          <w:highlight w:val="none"/>
        </w:rPr>
      </w:pPr>
      <w:bookmarkStart w:id="1128" w:name="_Toc351203649"/>
      <w:r>
        <w:rPr>
          <w:rFonts w:hint="eastAsia" w:ascii="仿宋" w:hAnsi="仿宋" w:eastAsia="仿宋" w:cs="仿宋"/>
          <w:bCs/>
          <w:color w:val="auto"/>
          <w:szCs w:val="21"/>
          <w:highlight w:val="none"/>
        </w:rPr>
        <w:t>17. 不可抗力</w:t>
      </w:r>
      <w:bookmarkEnd w:id="1114"/>
      <w:bookmarkEnd w:id="1128"/>
    </w:p>
    <w:p w14:paraId="08925B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不可抗力的确认</w:t>
      </w:r>
    </w:p>
    <w:p w14:paraId="7251D5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除通用合同条款约定的不可抗力事件之外，视为不可抗力的其他情形： </w:t>
      </w:r>
      <w:r>
        <w:rPr>
          <w:rFonts w:hint="eastAsia" w:ascii="仿宋" w:hAnsi="仿宋" w:eastAsia="仿宋" w:cs="仿宋"/>
          <w:color w:val="auto"/>
          <w:szCs w:val="21"/>
          <w:highlight w:val="none"/>
          <w:u w:val="single"/>
        </w:rPr>
        <w:t>（1）超过三天的洪涝引起本工程施工现场及周边主要道路中断；</w:t>
      </w:r>
    </w:p>
    <w:p w14:paraId="5BBE70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（2）连续停水、停电超过48小时的；</w:t>
      </w:r>
    </w:p>
    <w:p w14:paraId="3FAB5D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（3）政府下令停止或限制施工的台风、热带风暴，或政府下令停止施工连续超过三天的台风、热带风暴；</w:t>
      </w:r>
    </w:p>
    <w:p w14:paraId="0CDF7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（4）由于高考、中考、政府部门有重大活动等原因，政府要求停止或限制施工的。</w:t>
      </w:r>
    </w:p>
    <w:p w14:paraId="4B116D6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指定分包人在不可抗力事件发生后14天内，就延误的工期以书面形式向总包人、工程师提出报告。</w:t>
      </w:r>
    </w:p>
    <w:p w14:paraId="6444B158">
      <w:pPr>
        <w:adjustRightInd/>
        <w:spacing w:line="400" w:lineRule="exact"/>
        <w:ind w:firstLine="420" w:firstLineChars="200"/>
        <w:outlineLvl w:val="0"/>
        <w:rPr>
          <w:rFonts w:hint="eastAsia" w:ascii="仿宋" w:hAnsi="仿宋" w:eastAsia="仿宋" w:cs="仿宋"/>
          <w:color w:val="auto"/>
          <w:szCs w:val="21"/>
          <w:highlight w:val="none"/>
        </w:rPr>
      </w:pPr>
      <w:bookmarkStart w:id="1129" w:name="_Toc18254"/>
      <w:bookmarkStart w:id="1130" w:name="_Toc6041"/>
      <w:bookmarkStart w:id="1131" w:name="_Toc7191"/>
      <w:bookmarkStart w:id="1132" w:name="_Toc13471"/>
      <w:bookmarkStart w:id="1133" w:name="_Toc17985"/>
      <w:bookmarkStart w:id="1134" w:name="_Toc12655"/>
      <w:r>
        <w:rPr>
          <w:rFonts w:hint="eastAsia" w:ascii="仿宋" w:hAnsi="仿宋" w:eastAsia="仿宋" w:cs="仿宋"/>
          <w:color w:val="auto"/>
          <w:szCs w:val="21"/>
          <w:highlight w:val="none"/>
        </w:rPr>
        <w:t>17.4 因不可抗力解除合同</w:t>
      </w:r>
      <w:bookmarkEnd w:id="1129"/>
      <w:bookmarkEnd w:id="1130"/>
      <w:bookmarkEnd w:id="1131"/>
      <w:bookmarkEnd w:id="1132"/>
      <w:bookmarkEnd w:id="1133"/>
      <w:bookmarkEnd w:id="1134"/>
    </w:p>
    <w:p w14:paraId="746B8A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合同解除后，发包人应在商定或确定发包人应支付款项后天内完成款项的支付。</w:t>
      </w:r>
    </w:p>
    <w:p w14:paraId="2D9D1DDC">
      <w:pPr>
        <w:keepNext/>
        <w:keepLines/>
        <w:adjustRightInd/>
        <w:spacing w:line="400" w:lineRule="exact"/>
        <w:outlineLvl w:val="3"/>
        <w:rPr>
          <w:rFonts w:hint="eastAsia" w:ascii="仿宋" w:hAnsi="仿宋" w:eastAsia="仿宋" w:cs="仿宋"/>
          <w:bCs/>
          <w:color w:val="auto"/>
          <w:szCs w:val="21"/>
          <w:highlight w:val="none"/>
        </w:rPr>
      </w:pPr>
      <w:bookmarkStart w:id="1135" w:name="_Toc351203650"/>
      <w:r>
        <w:rPr>
          <w:rFonts w:hint="eastAsia" w:ascii="仿宋" w:hAnsi="仿宋" w:eastAsia="仿宋" w:cs="仿宋"/>
          <w:bCs/>
          <w:color w:val="auto"/>
          <w:szCs w:val="21"/>
          <w:highlight w:val="none"/>
        </w:rPr>
        <w:t>18. 保险</w:t>
      </w:r>
      <w:bookmarkEnd w:id="1135"/>
    </w:p>
    <w:bookmarkEnd w:id="1115"/>
    <w:p w14:paraId="39F3E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 工程保险</w:t>
      </w:r>
    </w:p>
    <w:p w14:paraId="108754B4">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关于工程保险的特别约定：</w:t>
      </w:r>
      <w:r>
        <w:rPr>
          <w:rFonts w:hint="eastAsia" w:ascii="仿宋" w:hAnsi="仿宋" w:eastAsia="仿宋" w:cs="仿宋"/>
          <w:color w:val="auto"/>
          <w:szCs w:val="21"/>
          <w:highlight w:val="none"/>
          <w:u w:val="single"/>
        </w:rPr>
        <w:t xml:space="preserve"> 承包人投保内容：</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1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①</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工程保险（含建筑工程一切险、安装工程一切险）；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2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承包人应为其履行合同所雇佣的全部人员，缴纳工伤保险费，并要求其分包人也进行此项保险；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3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③</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承包人应在整个施工期间为其现场机构雇用的全部人员，投保人身意外伤害险，缴纳保险费，并要求其分包人也进行此项保险；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4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④</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发生纠纷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由承包人自行处理并承担全部法律责任</w:t>
      </w:r>
      <w:r>
        <w:rPr>
          <w:rFonts w:hint="default" w:ascii="仿宋" w:hAnsi="仿宋" w:eastAsia="仿宋" w:cs="仿宋"/>
          <w:color w:val="auto"/>
          <w:szCs w:val="21"/>
          <w:highlight w:val="none"/>
          <w:lang w:eastAsia="zh-Hans"/>
        </w:rPr>
        <w:t>。</w:t>
      </w:r>
    </w:p>
    <w:p w14:paraId="7F422DC0">
      <w:pPr>
        <w:adjustRightInd/>
        <w:spacing w:line="400" w:lineRule="exact"/>
        <w:ind w:firstLine="420" w:firstLineChars="200"/>
        <w:outlineLvl w:val="0"/>
        <w:rPr>
          <w:rFonts w:hint="eastAsia" w:ascii="仿宋" w:hAnsi="仿宋" w:eastAsia="仿宋" w:cs="仿宋"/>
          <w:color w:val="auto"/>
          <w:szCs w:val="21"/>
          <w:highlight w:val="none"/>
        </w:rPr>
      </w:pPr>
      <w:bookmarkStart w:id="1136" w:name="_Toc30980"/>
      <w:bookmarkStart w:id="1137" w:name="_Toc29077"/>
      <w:bookmarkStart w:id="1138" w:name="_Toc22388"/>
      <w:bookmarkStart w:id="1139" w:name="_Toc25210"/>
      <w:bookmarkStart w:id="1140" w:name="_Toc573"/>
      <w:bookmarkStart w:id="1141" w:name="_Toc6543"/>
      <w:r>
        <w:rPr>
          <w:rFonts w:hint="eastAsia" w:ascii="仿宋" w:hAnsi="仿宋" w:eastAsia="仿宋" w:cs="仿宋"/>
          <w:color w:val="auto"/>
          <w:szCs w:val="21"/>
          <w:highlight w:val="none"/>
        </w:rPr>
        <w:t>18.3 其他保险</w:t>
      </w:r>
      <w:bookmarkEnd w:id="1136"/>
      <w:bookmarkEnd w:id="1137"/>
      <w:bookmarkEnd w:id="1138"/>
      <w:bookmarkEnd w:id="1139"/>
      <w:bookmarkEnd w:id="1140"/>
      <w:bookmarkEnd w:id="1141"/>
    </w:p>
    <w:p w14:paraId="6E821ED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关于其他保险的约定：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7E35A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承包人是否应为其施工设备等办理财产保险：</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D8915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18.7 通知义务</w:t>
      </w:r>
    </w:p>
    <w:p w14:paraId="370D5D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关于变更保险合同时的通知义务的约定：</w:t>
      </w:r>
      <w:r>
        <w:rPr>
          <w:rFonts w:hint="eastAsia" w:ascii="仿宋" w:hAnsi="仿宋" w:eastAsia="仿宋" w:cs="仿宋"/>
          <w:color w:val="auto"/>
          <w:szCs w:val="21"/>
          <w:highlight w:val="none"/>
          <w:u w:val="single"/>
        </w:rPr>
        <w:t xml:space="preserve">  按本合同（通用条款）执行    </w:t>
      </w:r>
      <w:r>
        <w:rPr>
          <w:rFonts w:hint="eastAsia" w:ascii="仿宋" w:hAnsi="仿宋" w:eastAsia="仿宋" w:cs="仿宋"/>
          <w:color w:val="auto"/>
          <w:szCs w:val="21"/>
          <w:highlight w:val="none"/>
        </w:rPr>
        <w:t>。</w:t>
      </w:r>
    </w:p>
    <w:bookmarkEnd w:id="1067"/>
    <w:bookmarkEnd w:id="1068"/>
    <w:bookmarkEnd w:id="1069"/>
    <w:bookmarkEnd w:id="1070"/>
    <w:bookmarkEnd w:id="1071"/>
    <w:bookmarkEnd w:id="1072"/>
    <w:bookmarkEnd w:id="1073"/>
    <w:bookmarkEnd w:id="1074"/>
    <w:bookmarkEnd w:id="1075"/>
    <w:bookmarkEnd w:id="1076"/>
    <w:bookmarkEnd w:id="1077"/>
    <w:bookmarkEnd w:id="1078"/>
    <w:p w14:paraId="146D243F">
      <w:pPr>
        <w:keepNext/>
        <w:keepLines/>
        <w:adjustRightInd/>
        <w:spacing w:line="400" w:lineRule="exact"/>
        <w:outlineLvl w:val="3"/>
        <w:rPr>
          <w:rFonts w:hint="eastAsia" w:ascii="仿宋" w:hAnsi="仿宋" w:eastAsia="仿宋" w:cs="仿宋"/>
          <w:bCs/>
          <w:color w:val="auto"/>
          <w:szCs w:val="21"/>
          <w:highlight w:val="none"/>
        </w:rPr>
      </w:pPr>
      <w:bookmarkStart w:id="1142" w:name="_Toc351203651"/>
      <w:r>
        <w:rPr>
          <w:rFonts w:hint="eastAsia" w:ascii="仿宋" w:hAnsi="仿宋" w:eastAsia="仿宋" w:cs="仿宋"/>
          <w:bCs/>
          <w:color w:val="auto"/>
          <w:szCs w:val="21"/>
          <w:highlight w:val="none"/>
        </w:rPr>
        <w:t>20. 争议解决</w:t>
      </w:r>
      <w:bookmarkEnd w:id="1142"/>
    </w:p>
    <w:bookmarkEnd w:id="1079"/>
    <w:bookmarkEnd w:id="1080"/>
    <w:p w14:paraId="37B8ACD8">
      <w:pPr>
        <w:adjustRightInd/>
        <w:spacing w:line="400" w:lineRule="exact"/>
        <w:ind w:firstLine="420" w:firstLineChars="200"/>
        <w:outlineLvl w:val="0"/>
        <w:rPr>
          <w:rFonts w:hint="eastAsia" w:ascii="仿宋" w:hAnsi="仿宋" w:eastAsia="仿宋" w:cs="仿宋"/>
          <w:color w:val="auto"/>
          <w:szCs w:val="21"/>
          <w:highlight w:val="none"/>
        </w:rPr>
      </w:pPr>
      <w:bookmarkStart w:id="1143" w:name="_Toc11977"/>
      <w:bookmarkStart w:id="1144" w:name="_Toc13495"/>
      <w:bookmarkStart w:id="1145" w:name="_Toc32728"/>
      <w:bookmarkStart w:id="1146" w:name="_Toc20437"/>
      <w:bookmarkStart w:id="1147" w:name="_Toc26480"/>
      <w:bookmarkStart w:id="1148" w:name="_Toc9313"/>
      <w:r>
        <w:rPr>
          <w:rFonts w:hint="eastAsia" w:ascii="仿宋" w:hAnsi="仿宋" w:eastAsia="仿宋" w:cs="仿宋"/>
          <w:color w:val="auto"/>
          <w:szCs w:val="21"/>
          <w:highlight w:val="none"/>
        </w:rPr>
        <w:t>20.3 争</w:t>
      </w:r>
      <w:bookmarkEnd w:id="1081"/>
      <w:r>
        <w:rPr>
          <w:rFonts w:hint="eastAsia" w:ascii="仿宋" w:hAnsi="仿宋" w:eastAsia="仿宋" w:cs="仿宋"/>
          <w:color w:val="auto"/>
          <w:szCs w:val="21"/>
          <w:highlight w:val="none"/>
        </w:rPr>
        <w:t>议评审</w:t>
      </w:r>
      <w:bookmarkEnd w:id="1143"/>
      <w:bookmarkEnd w:id="1144"/>
      <w:bookmarkEnd w:id="1145"/>
      <w:bookmarkEnd w:id="1146"/>
      <w:bookmarkEnd w:id="1147"/>
      <w:bookmarkEnd w:id="1148"/>
    </w:p>
    <w:p w14:paraId="275EC529">
      <w:pPr>
        <w:adjustRightInd/>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合同当事人是否同意将工程争议提交争议评审小组决定：</w:t>
      </w:r>
      <w:r>
        <w:rPr>
          <w:rFonts w:hint="eastAsia" w:ascii="仿宋" w:hAnsi="仿宋" w:eastAsia="仿宋" w:cs="仿宋"/>
          <w:color w:val="auto"/>
          <w:szCs w:val="21"/>
          <w:highlight w:val="none"/>
          <w:u w:val="single"/>
        </w:rPr>
        <w:t>否</w:t>
      </w:r>
      <w:r>
        <w:rPr>
          <w:rFonts w:hint="eastAsia" w:ascii="仿宋" w:hAnsi="仿宋" w:eastAsia="仿宋" w:cs="仿宋"/>
          <w:color w:val="auto"/>
          <w:szCs w:val="21"/>
          <w:highlight w:val="none"/>
        </w:rPr>
        <w:t xml:space="preserve">。  </w:t>
      </w:r>
    </w:p>
    <w:p w14:paraId="031B7A49">
      <w:pPr>
        <w:adjustRightInd/>
        <w:spacing w:line="400" w:lineRule="exact"/>
        <w:ind w:firstLine="420" w:firstLineChars="200"/>
        <w:outlineLvl w:val="0"/>
        <w:rPr>
          <w:rFonts w:hint="eastAsia" w:ascii="仿宋" w:hAnsi="仿宋" w:eastAsia="仿宋" w:cs="仿宋"/>
          <w:color w:val="auto"/>
          <w:szCs w:val="21"/>
          <w:highlight w:val="none"/>
        </w:rPr>
      </w:pPr>
      <w:bookmarkStart w:id="1149" w:name="_Toc13753"/>
      <w:bookmarkStart w:id="1150" w:name="_Toc20525"/>
      <w:bookmarkStart w:id="1151" w:name="_Toc19421"/>
      <w:bookmarkStart w:id="1152" w:name="_Toc7776"/>
      <w:bookmarkStart w:id="1153" w:name="_Toc30750"/>
      <w:bookmarkStart w:id="1154" w:name="_Toc22693"/>
      <w:r>
        <w:rPr>
          <w:rFonts w:hint="eastAsia" w:ascii="仿宋" w:hAnsi="仿宋" w:eastAsia="仿宋" w:cs="仿宋"/>
          <w:color w:val="auto"/>
          <w:szCs w:val="21"/>
          <w:highlight w:val="none"/>
        </w:rPr>
        <w:t>20.3.1 争议评审小组的确定</w:t>
      </w:r>
      <w:bookmarkEnd w:id="1149"/>
      <w:bookmarkEnd w:id="1150"/>
      <w:bookmarkEnd w:id="1151"/>
      <w:bookmarkEnd w:id="1152"/>
      <w:bookmarkEnd w:id="1153"/>
      <w:bookmarkEnd w:id="1154"/>
    </w:p>
    <w:p w14:paraId="46359E5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争议评审小组成员的确定：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FDD4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选定争议评审员的期限：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D945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争议评审小组成员的报酬承担方式：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EA3309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F48F86E">
      <w:pPr>
        <w:spacing w:line="400" w:lineRule="exact"/>
        <w:ind w:firstLine="420" w:firstLineChars="200"/>
        <w:outlineLvl w:val="0"/>
        <w:rPr>
          <w:rFonts w:hint="eastAsia" w:ascii="仿宋" w:hAnsi="仿宋" w:eastAsia="仿宋" w:cs="仿宋"/>
          <w:color w:val="auto"/>
          <w:szCs w:val="21"/>
          <w:highlight w:val="none"/>
        </w:rPr>
      </w:pPr>
      <w:bookmarkStart w:id="1155" w:name="_Toc3737"/>
      <w:bookmarkStart w:id="1156" w:name="_Toc12666"/>
      <w:bookmarkStart w:id="1157" w:name="_Toc12133"/>
      <w:bookmarkStart w:id="1158" w:name="_Toc24100"/>
      <w:bookmarkStart w:id="1159" w:name="_Toc15185"/>
      <w:bookmarkStart w:id="1160" w:name="_Toc10018"/>
      <w:r>
        <w:rPr>
          <w:rFonts w:hint="eastAsia" w:ascii="仿宋" w:hAnsi="仿宋" w:eastAsia="仿宋" w:cs="仿宋"/>
          <w:color w:val="auto"/>
          <w:szCs w:val="21"/>
          <w:highlight w:val="none"/>
        </w:rPr>
        <w:t>20.3.2 争议评审小组的决定</w:t>
      </w:r>
      <w:bookmarkEnd w:id="1155"/>
      <w:bookmarkEnd w:id="1156"/>
      <w:bookmarkEnd w:id="1157"/>
      <w:bookmarkEnd w:id="1158"/>
      <w:bookmarkEnd w:id="1159"/>
      <w:bookmarkEnd w:id="1160"/>
    </w:p>
    <w:p w14:paraId="3BA80B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合同当事人关于本项的约定：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C4F25BC">
      <w:pPr>
        <w:adjustRightInd/>
        <w:spacing w:line="400" w:lineRule="exact"/>
        <w:ind w:firstLine="420" w:firstLineChars="200"/>
        <w:outlineLvl w:val="0"/>
        <w:rPr>
          <w:rFonts w:hint="eastAsia" w:ascii="仿宋" w:hAnsi="仿宋" w:eastAsia="仿宋" w:cs="仿宋"/>
          <w:color w:val="auto"/>
          <w:szCs w:val="21"/>
          <w:highlight w:val="none"/>
        </w:rPr>
      </w:pPr>
      <w:bookmarkStart w:id="1161" w:name="_Toc16653"/>
      <w:bookmarkStart w:id="1162" w:name="_Toc1571"/>
      <w:bookmarkStart w:id="1163" w:name="_Toc32105"/>
      <w:bookmarkStart w:id="1164" w:name="_Toc15348"/>
      <w:bookmarkStart w:id="1165" w:name="_Toc22889"/>
      <w:bookmarkStart w:id="1166" w:name="_Toc24098"/>
      <w:r>
        <w:rPr>
          <w:rFonts w:hint="eastAsia" w:ascii="仿宋" w:hAnsi="仿宋" w:eastAsia="仿宋" w:cs="仿宋"/>
          <w:color w:val="auto"/>
          <w:szCs w:val="21"/>
          <w:highlight w:val="none"/>
        </w:rPr>
        <w:t>20.4仲裁或诉讼</w:t>
      </w:r>
      <w:bookmarkEnd w:id="1082"/>
      <w:bookmarkEnd w:id="1161"/>
      <w:bookmarkEnd w:id="1162"/>
      <w:bookmarkEnd w:id="1163"/>
      <w:bookmarkEnd w:id="1164"/>
      <w:bookmarkEnd w:id="1165"/>
      <w:bookmarkEnd w:id="1166"/>
    </w:p>
    <w:p w14:paraId="50EFB9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因合同及合同有关事项发生的争议，按下列第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种方式解决：</w:t>
      </w:r>
    </w:p>
    <w:p w14:paraId="38367A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仲裁委员会申请仲裁；</w:t>
      </w:r>
    </w:p>
    <w:p w14:paraId="502643B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人民法院起诉。</w:t>
      </w:r>
      <w:bookmarkEnd w:id="1083"/>
      <w:bookmarkEnd w:id="1084"/>
      <w:bookmarkEnd w:id="1085"/>
      <w:bookmarkEnd w:id="1086"/>
      <w:bookmarkEnd w:id="1087"/>
      <w:bookmarkEnd w:id="1088"/>
    </w:p>
    <w:p w14:paraId="1BE000F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21．其他补充事项的约定</w:t>
      </w:r>
    </w:p>
    <w:p w14:paraId="78DF856A">
      <w:pPr>
        <w:pStyle w:val="46"/>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以下补充事项如与上述合同条款存在不一致的，则以本补充事项效力为高。</w:t>
      </w:r>
    </w:p>
    <w:p w14:paraId="14A448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482D98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75D5A0D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(1)如果数字表示的金额和用文字表示的金额不一致时，以文字表示的金额为准；</w:t>
      </w:r>
    </w:p>
    <w:p w14:paraId="3BD147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(2)当单价与数量的乘积与合价不一致时，以合价为准修改单价。</w:t>
      </w:r>
    </w:p>
    <w:p w14:paraId="1B13140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(3)合计累计金额与小计(合计)金额不一致的，以累计金额为准，并修改小计(合计)金额。</w:t>
      </w:r>
    </w:p>
    <w:p w14:paraId="31E7C9B3">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仿宋" w:hAnsi="仿宋" w:eastAsia="仿宋" w:cs="仿宋"/>
          <w:color w:val="auto"/>
          <w:szCs w:val="21"/>
          <w:highlight w:val="none"/>
          <w:u w:val="single"/>
          <w:lang w:eastAsia="zh-CN"/>
        </w:rPr>
        <w:t>。</w:t>
      </w:r>
    </w:p>
    <w:p w14:paraId="6CDF286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21.4承包人在本工程实施过程中不得以任何理由拒绝发包人要求的工程量的增加或减少及工作内容变更的指令。</w:t>
      </w:r>
    </w:p>
    <w:p w14:paraId="5871B5B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2404E3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21.6承包人在中标后不得随意提出材料品种和规格的变更，除非发包人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同意，均不得以采购困难等理由延误工期，否则发包人可自行组织采购，视为甲供材料，费用从承包人工程款中扣除。</w:t>
      </w:r>
    </w:p>
    <w:p w14:paraId="1B70FDD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21.7工程结算若有新的文件规定，按新文件规定</w:t>
      </w:r>
    </w:p>
    <w:p w14:paraId="431633E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仿宋" w:hAnsi="仿宋" w:eastAsia="仿宋" w:cs="仿宋"/>
          <w:color w:val="auto"/>
          <w:szCs w:val="21"/>
          <w:highlight w:val="none"/>
          <w:u w:val="single"/>
        </w:rPr>
        <w:t>，</w:t>
      </w:r>
      <w:r>
        <w:rPr>
          <w:rFonts w:hint="eastAsia" w:ascii="仿宋" w:hAnsi="仿宋" w:eastAsia="仿宋" w:cs="仿宋"/>
          <w:b w:val="0"/>
          <w:color w:val="auto"/>
          <w:sz w:val="21"/>
          <w:szCs w:val="21"/>
          <w:highlight w:val="none"/>
          <w:u w:val="single"/>
        </w:rPr>
        <w:t>若不办理，每发现一次处</w:t>
      </w:r>
      <w:r>
        <w:rPr>
          <w:rFonts w:hint="default" w:ascii="仿宋" w:hAnsi="仿宋" w:eastAsia="仿宋" w:cs="仿宋"/>
          <w:b w:val="0"/>
          <w:color w:val="auto"/>
          <w:sz w:val="21"/>
          <w:szCs w:val="21"/>
          <w:highlight w:val="none"/>
          <w:u w:val="single"/>
        </w:rPr>
        <w:t>【】</w:t>
      </w:r>
      <w:r>
        <w:rPr>
          <w:rFonts w:hint="eastAsia" w:ascii="仿宋" w:hAnsi="仿宋" w:eastAsia="仿宋" w:cs="仿宋"/>
          <w:b w:val="0"/>
          <w:color w:val="auto"/>
          <w:sz w:val="21"/>
          <w:szCs w:val="21"/>
          <w:highlight w:val="none"/>
          <w:u w:val="single"/>
        </w:rPr>
        <w:t>元违约金，并需立即整改到位。</w:t>
      </w:r>
      <w:r>
        <w:rPr>
          <w:rFonts w:hint="eastAsia" w:ascii="仿宋" w:hAnsi="仿宋" w:eastAsia="仿宋" w:cs="仿宋"/>
          <w:color w:val="auto"/>
          <w:szCs w:val="21"/>
          <w:highlight w:val="none"/>
          <w:u w:val="single"/>
        </w:rPr>
        <w:t>。</w:t>
      </w:r>
    </w:p>
    <w:p w14:paraId="134A5BC9">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21.9招标文件</w:t>
      </w:r>
      <w:r>
        <w:rPr>
          <w:rFonts w:hint="eastAsia" w:ascii="仿宋" w:hAnsi="仿宋" w:eastAsia="仿宋" w:cs="仿宋"/>
          <w:color w:val="auto"/>
          <w:szCs w:val="21"/>
          <w:highlight w:val="none"/>
          <w:u w:val="single"/>
          <w:lang w:val="en-US" w:eastAsia="zh-Hans"/>
        </w:rPr>
        <w:t>第三部分采购需求中</w:t>
      </w:r>
      <w:r>
        <w:rPr>
          <w:rFonts w:hint="eastAsia" w:ascii="仿宋" w:hAnsi="仿宋" w:eastAsia="仿宋" w:cs="仿宋"/>
          <w:color w:val="auto"/>
          <w:szCs w:val="21"/>
          <w:highlight w:val="none"/>
          <w:u w:val="single"/>
        </w:rPr>
        <w:t>“</w:t>
      </w:r>
      <w:r>
        <w:rPr>
          <w:rFonts w:hint="eastAsia" w:ascii="仿宋" w:hAnsi="仿宋" w:eastAsia="仿宋" w:cs="仿宋"/>
          <w:color w:val="auto"/>
          <w:sz w:val="21"/>
          <w:szCs w:val="21"/>
          <w:highlight w:val="none"/>
          <w:u w:val="single"/>
          <w:lang w:val="en-US" w:eastAsia="zh-Hans"/>
        </w:rPr>
        <w:t>四</w:t>
      </w:r>
      <w:r>
        <w:rPr>
          <w:rFonts w:hint="default" w:ascii="仿宋" w:hAnsi="仿宋" w:eastAsia="仿宋" w:cs="仿宋"/>
          <w:color w:val="auto"/>
          <w:sz w:val="21"/>
          <w:szCs w:val="21"/>
          <w:highlight w:val="none"/>
          <w:u w:val="single"/>
          <w:lang w:eastAsia="zh-Hans"/>
        </w:rPr>
        <w:t>、</w:t>
      </w:r>
      <w:r>
        <w:rPr>
          <w:rFonts w:hint="eastAsia" w:ascii="仿宋" w:hAnsi="仿宋" w:eastAsia="仿宋" w:cs="仿宋"/>
          <w:color w:val="auto"/>
          <w:sz w:val="21"/>
          <w:szCs w:val="21"/>
          <w:highlight w:val="none"/>
          <w:u w:val="single"/>
          <w:lang w:val="en-US" w:eastAsia="zh-Hans"/>
        </w:rPr>
        <w:t>其他</w:t>
      </w:r>
      <w:r>
        <w:rPr>
          <w:rFonts w:hint="eastAsia" w:ascii="仿宋" w:hAnsi="仿宋" w:eastAsia="仿宋" w:cs="仿宋"/>
          <w:color w:val="auto"/>
          <w:szCs w:val="21"/>
          <w:highlight w:val="none"/>
          <w:u w:val="single"/>
        </w:rPr>
        <w:t>” 的相关内容作为合同的补充条款，承包人在合同执行过程中必须遵守执行。</w:t>
      </w:r>
    </w:p>
    <w:p w14:paraId="1CCCDAF5">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21.10因发包人代付水电费产生的税率差额</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由承包人承担。</w:t>
      </w:r>
    </w:p>
    <w:p w14:paraId="2DE92F1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613127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21.12如有移交要求，工程款支付至合同范围内实际完成工程量的</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0%。</w:t>
      </w:r>
    </w:p>
    <w:p w14:paraId="26FE6A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46D2314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21.14</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1AFE84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5</w:t>
      </w:r>
      <w:r>
        <w:rPr>
          <w:rFonts w:hint="eastAsia" w:ascii="仿宋" w:hAnsi="仿宋" w:eastAsia="仿宋" w:cs="仿宋"/>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1AA6675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6</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仿宋" w:hAnsi="仿宋" w:eastAsia="仿宋" w:cs="仿宋"/>
          <w:color w:val="auto"/>
          <w:szCs w:val="21"/>
          <w:highlight w:val="none"/>
          <w:u w:val="single"/>
          <w:lang w:val="en-US" w:eastAsia="zh-CN"/>
        </w:rPr>
        <w:t>且承包人应当对由此产生的纠纷和全部损失负责。</w:t>
      </w:r>
    </w:p>
    <w:p w14:paraId="6EB06E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7</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1321DD8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8</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由施工单位原因导致实际进度滞后于要求计划进度时，造成工期延误情况，视作施工机构不履职违约，工期每拖延一天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w:t>
      </w:r>
    </w:p>
    <w:p w14:paraId="296E62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w:t>
      </w:r>
      <w:r>
        <w:rPr>
          <w:rFonts w:hint="default" w:ascii="仿宋" w:hAnsi="仿宋" w:eastAsia="仿宋" w:cs="仿宋"/>
          <w:color w:val="auto"/>
          <w:szCs w:val="21"/>
          <w:highlight w:val="none"/>
          <w:u w:val="single"/>
        </w:rPr>
        <w:t>19</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如中标单位发生在中标项目发生欠薪（包括分包欠薪）行为造成不良影响的，将上报上级主管部门纳入钱塘区黑名单。</w:t>
      </w:r>
    </w:p>
    <w:p w14:paraId="41420130">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21.2</w:t>
      </w:r>
      <w:r>
        <w:rPr>
          <w:rFonts w:hint="default"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本合同所涉及到的违约金等</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需在当期工程费支付前由承包人基本户缴纳。</w:t>
      </w:r>
      <w:r>
        <w:rPr>
          <w:rFonts w:hint="eastAsia" w:ascii="仿宋" w:hAnsi="仿宋" w:eastAsia="仿宋" w:cs="仿宋"/>
          <w:color w:val="auto"/>
          <w:szCs w:val="21"/>
          <w:highlight w:val="none"/>
          <w:u w:val="single"/>
          <w:lang w:val="en-US" w:eastAsia="zh-Hans"/>
        </w:rPr>
        <w:t>承包人逾期不缴纳或拒绝缴纳的</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发包人有权直接从当期工程费中扣除</w:t>
      </w:r>
      <w:r>
        <w:rPr>
          <w:rFonts w:hint="default" w:ascii="仿宋" w:hAnsi="仿宋" w:eastAsia="仿宋" w:cs="仿宋"/>
          <w:color w:val="auto"/>
          <w:szCs w:val="21"/>
          <w:highlight w:val="none"/>
          <w:u w:val="single"/>
          <w:lang w:eastAsia="zh-Hans"/>
        </w:rPr>
        <w:t>。</w:t>
      </w:r>
    </w:p>
    <w:p w14:paraId="5CCDA271">
      <w:pPr>
        <w:adjustRightInd/>
        <w:spacing w:line="400" w:lineRule="exact"/>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Cs w:val="21"/>
          <w:highlight w:val="none"/>
          <w:u w:val="single"/>
          <w:lang w:val="en-US" w:eastAsia="zh-CN"/>
        </w:rPr>
        <w:t>21.21</w:t>
      </w:r>
      <w:r>
        <w:rPr>
          <w:rFonts w:hint="eastAsia" w:ascii="仿宋" w:hAnsi="仿宋" w:eastAsia="仿宋" w:cs="仿宋"/>
          <w:color w:val="auto"/>
          <w:sz w:val="21"/>
          <w:szCs w:val="21"/>
          <w:highlight w:val="none"/>
          <w:u w:val="single"/>
          <w:lang w:val="en-US" w:eastAsia="zh-CN"/>
        </w:rPr>
        <w:t>在维护期内若出现防涂鸦抗粘贴涂层浮起掉落的现象，</w:t>
      </w:r>
      <w:r>
        <w:rPr>
          <w:rFonts w:hint="eastAsia" w:ascii="仿宋" w:hAnsi="仿宋" w:eastAsia="仿宋" w:cs="仿宋"/>
          <w:color w:val="auto"/>
          <w:sz w:val="21"/>
          <w:szCs w:val="21"/>
          <w:highlight w:val="none"/>
          <w:u w:val="single"/>
          <w:lang w:val="en-US" w:eastAsia="zh-Hans"/>
        </w:rPr>
        <w:t>承包人应</w:t>
      </w:r>
      <w:r>
        <w:rPr>
          <w:rFonts w:hint="eastAsia" w:ascii="仿宋" w:hAnsi="仿宋" w:eastAsia="仿宋" w:cs="仿宋"/>
          <w:color w:val="auto"/>
          <w:sz w:val="21"/>
          <w:szCs w:val="21"/>
          <w:highlight w:val="none"/>
          <w:u w:val="single"/>
          <w:lang w:val="en-US" w:eastAsia="zh-CN"/>
        </w:rPr>
        <w:t>无条件重新整改，直至</w:t>
      </w:r>
      <w:r>
        <w:rPr>
          <w:rFonts w:hint="eastAsia" w:ascii="仿宋" w:hAnsi="仿宋" w:eastAsia="仿宋" w:cs="仿宋"/>
          <w:color w:val="auto"/>
          <w:sz w:val="21"/>
          <w:szCs w:val="21"/>
          <w:highlight w:val="none"/>
          <w:u w:val="single"/>
          <w:lang w:val="en-US" w:eastAsia="zh-Hans"/>
        </w:rPr>
        <w:t>发包人</w:t>
      </w:r>
      <w:r>
        <w:rPr>
          <w:rFonts w:hint="eastAsia" w:ascii="仿宋" w:hAnsi="仿宋" w:eastAsia="仿宋" w:cs="仿宋"/>
          <w:color w:val="auto"/>
          <w:sz w:val="21"/>
          <w:szCs w:val="21"/>
          <w:highlight w:val="none"/>
          <w:u w:val="single"/>
          <w:lang w:val="en-US" w:eastAsia="zh-CN"/>
        </w:rPr>
        <w:t>满意为止。</w:t>
      </w:r>
    </w:p>
    <w:p w14:paraId="4D03C571">
      <w:pPr>
        <w:spacing w:line="360" w:lineRule="auto"/>
        <w:ind w:firstLine="420" w:firstLineChars="200"/>
        <w:rPr>
          <w:rFonts w:hint="default" w:eastAsia="仿宋"/>
          <w:color w:val="auto"/>
          <w:highlight w:val="none"/>
          <w:lang w:eastAsia="zh-Hans"/>
        </w:rPr>
      </w:pPr>
      <w:r>
        <w:rPr>
          <w:rFonts w:hint="default" w:ascii="仿宋" w:hAnsi="仿宋" w:eastAsia="仿宋" w:cs="仿宋"/>
          <w:color w:val="auto"/>
          <w:sz w:val="21"/>
          <w:szCs w:val="21"/>
          <w:highlight w:val="none"/>
          <w:u w:val="single"/>
          <w:lang w:eastAsia="zh-CN"/>
        </w:rPr>
        <w:t>21</w:t>
      </w:r>
      <w:r>
        <w:rPr>
          <w:rFonts w:hint="eastAsia" w:ascii="仿宋" w:hAnsi="仿宋" w:eastAsia="仿宋" w:cs="仿宋"/>
          <w:color w:val="auto"/>
          <w:sz w:val="21"/>
          <w:szCs w:val="21"/>
          <w:highlight w:val="none"/>
          <w:u w:val="single"/>
          <w:lang w:val="en-US" w:eastAsia="zh-Hans"/>
        </w:rPr>
        <w:t>.</w:t>
      </w:r>
      <w:r>
        <w:rPr>
          <w:rFonts w:hint="default" w:ascii="仿宋" w:hAnsi="仿宋" w:eastAsia="仿宋" w:cs="仿宋"/>
          <w:color w:val="auto"/>
          <w:sz w:val="21"/>
          <w:szCs w:val="21"/>
          <w:highlight w:val="none"/>
          <w:u w:val="single"/>
          <w:lang w:eastAsia="zh-Hans"/>
        </w:rPr>
        <w:t>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本合同签订后一个月内，发包人、</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及劳务分包单位三方需签订《建设项目工资款和其他工程款分账管理协议》</w:t>
      </w:r>
      <w:r>
        <w:rPr>
          <w:rFonts w:hint="default" w:ascii="仿宋" w:hAnsi="仿宋" w:eastAsia="仿宋" w:cs="仿宋"/>
          <w:color w:val="auto"/>
          <w:sz w:val="21"/>
          <w:szCs w:val="21"/>
          <w:highlight w:val="none"/>
          <w:u w:val="single"/>
        </w:rPr>
        <w:t>。</w:t>
      </w:r>
    </w:p>
    <w:p w14:paraId="4CA35ADC">
      <w:pPr>
        <w:adjustRightInd/>
        <w:ind w:firstLine="371" w:firstLineChars="177"/>
        <w:jc w:val="left"/>
        <w:rPr>
          <w:rFonts w:hint="eastAsia" w:ascii="仿宋" w:hAnsi="仿宋" w:eastAsia="仿宋" w:cs="仿宋"/>
          <w:snapToGrid w:val="0"/>
          <w:color w:val="auto"/>
          <w:kern w:val="0"/>
          <w:szCs w:val="21"/>
          <w:highlight w:val="none"/>
        </w:rPr>
      </w:pPr>
    </w:p>
    <w:p w14:paraId="5EF73DA8">
      <w:pPr>
        <w:spacing w:before="162"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rPr>
        <w:br w:type="page"/>
      </w:r>
      <w:r>
        <w:rPr>
          <w:rFonts w:hint="eastAsia" w:ascii="仿宋" w:hAnsi="仿宋" w:eastAsia="仿宋" w:cs="仿宋"/>
          <w:b/>
          <w:bCs/>
          <w:color w:val="auto"/>
          <w:sz w:val="24"/>
          <w:highlight w:val="none"/>
        </w:rPr>
        <w:t>附件1:</w:t>
      </w:r>
    </w:p>
    <w:p w14:paraId="066D26EE">
      <w:pPr>
        <w:adjustRightInd/>
        <w:spacing w:before="120" w:beforeLines="50" w:after="120" w:afterLines="50" w:line="288" w:lineRule="auto"/>
        <w:jc w:val="cente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工程质量保修书</w:t>
      </w:r>
    </w:p>
    <w:p w14:paraId="01B0AC4C">
      <w:pPr>
        <w:adjustRightInd/>
        <w:spacing w:line="288" w:lineRule="auto"/>
        <w:ind w:firstLine="420"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发包人（全称）：</w:t>
      </w:r>
      <w:r>
        <w:rPr>
          <w:rFonts w:hint="eastAsia" w:ascii="仿宋" w:hAnsi="仿宋" w:eastAsia="仿宋" w:cs="仿宋"/>
          <w:color w:val="auto"/>
          <w:szCs w:val="21"/>
          <w:highlight w:val="none"/>
          <w:u w:val="single"/>
          <w:lang w:eastAsia="zh-CN"/>
        </w:rPr>
        <w:t>杭州市钱塘区临江新城实验学校</w:t>
      </w:r>
    </w:p>
    <w:p w14:paraId="5CC9F3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承包人（全称）：</w:t>
      </w:r>
      <w:bookmarkStart w:id="1167" w:name="SOA_zyht_zlbxcbr"/>
      <w:bookmarkEnd w:id="1167"/>
    </w:p>
    <w:p w14:paraId="632A3026">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发包人和承包人根据《中华人民共和国建筑法》和《建设工程质量管理条例》，经协商一致就</w:t>
      </w:r>
      <w:bookmarkStart w:id="1168" w:name="SOA_zyht_gcqc"/>
      <w:bookmarkEnd w:id="1168"/>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eastAsia="zh-CN"/>
        </w:rPr>
        <w:t>杭州市钱塘区临江新城实验学校运动场地改造工程</w:t>
      </w:r>
      <w:r>
        <w:rPr>
          <w:rFonts w:hint="eastAsia" w:ascii="仿宋" w:hAnsi="仿宋" w:eastAsia="仿宋" w:cs="仿宋"/>
          <w:snapToGrid w:val="0"/>
          <w:color w:val="auto"/>
          <w:kern w:val="0"/>
          <w:szCs w:val="21"/>
          <w:highlight w:val="none"/>
        </w:rPr>
        <w:t>）签订工程质量保修书。</w:t>
      </w:r>
    </w:p>
    <w:p w14:paraId="022CC0CA">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一、工程质量保修范围和内容</w:t>
      </w:r>
    </w:p>
    <w:p w14:paraId="62B560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承包人在质量保修期内，按照有关法律规定和合同约定，承担工程质量保修责任。</w:t>
      </w:r>
    </w:p>
    <w:p w14:paraId="54374028">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7AB96D">
      <w:pPr>
        <w:adjustRightInd/>
        <w:spacing w:line="288" w:lineRule="auto"/>
        <w:ind w:firstLine="420" w:firstLineChars="200"/>
        <w:rPr>
          <w:rFonts w:hint="eastAsia" w:ascii="仿宋" w:hAnsi="仿宋" w:eastAsia="仿宋" w:cs="仿宋"/>
          <w:snapToGrid w:val="0"/>
          <w:color w:val="auto"/>
          <w:kern w:val="0"/>
          <w:szCs w:val="21"/>
          <w:highlight w:val="none"/>
        </w:rPr>
      </w:pPr>
      <w:bookmarkStart w:id="1169" w:name="SOA_zyht_gczlbxfw"/>
      <w:r>
        <w:rPr>
          <w:rFonts w:hint="eastAsia" w:ascii="仿宋" w:hAnsi="仿宋" w:eastAsia="仿宋" w:cs="仿宋"/>
          <w:snapToGrid w:val="0"/>
          <w:color w:val="auto"/>
          <w:kern w:val="0"/>
          <w:szCs w:val="21"/>
          <w:highlight w:val="none"/>
          <w:u w:val="single"/>
        </w:rPr>
        <w:t>双方约定对施工承包范围内的所有内容实行保修</w:t>
      </w:r>
      <w:bookmarkEnd w:id="1169"/>
      <w:r>
        <w:rPr>
          <w:rFonts w:hint="eastAsia" w:ascii="仿宋" w:hAnsi="仿宋" w:eastAsia="仿宋" w:cs="仿宋"/>
          <w:snapToGrid w:val="0"/>
          <w:color w:val="auto"/>
          <w:kern w:val="0"/>
          <w:szCs w:val="21"/>
          <w:highlight w:val="none"/>
        </w:rPr>
        <w:t>。</w:t>
      </w:r>
    </w:p>
    <w:p w14:paraId="36FF523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二、质量保修期</w:t>
      </w:r>
    </w:p>
    <w:p w14:paraId="1341EF5F">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根据《建设工程质量管理条例》及有关规定，工程的质量保修期如下：</w:t>
      </w:r>
    </w:p>
    <w:p w14:paraId="4E32C05E">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1．地基基础工程和主体结构工程为设计文件规定的工程合理使用年限；</w:t>
      </w:r>
    </w:p>
    <w:p w14:paraId="6917D81D">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2．屋面防水工程、有防水要求的卫生间、房间和外墙面的防渗为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p>
    <w:p w14:paraId="2A4F4C48">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3．装修工程为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6AA96B4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4．电气管线、给排水管道、设备安装工程为</w:t>
      </w:r>
      <w:bookmarkStart w:id="1170" w:name="SOA_zyht_azbxnx"/>
      <w:bookmarkEnd w:id="1170"/>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4EADD65C">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5．供热与供冷系统为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个采暖期、供冷期；</w:t>
      </w:r>
    </w:p>
    <w:p w14:paraId="4E64BC36">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6．住宅小区内的给排水设施、道路等配套工程为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年；</w:t>
      </w:r>
    </w:p>
    <w:p w14:paraId="03802EF7">
      <w:pPr>
        <w:adjustRightInd/>
        <w:spacing w:line="288" w:lineRule="auto"/>
        <w:ind w:firstLine="420" w:firstLineChars="20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7．其他项目保修期限约定如下：</w:t>
      </w:r>
      <w:r>
        <w:rPr>
          <w:rFonts w:hint="eastAsia" w:ascii="仿宋" w:hAnsi="仿宋" w:eastAsia="仿宋" w:cs="仿宋"/>
          <w:snapToGrid w:val="0"/>
          <w:color w:val="auto"/>
          <w:kern w:val="0"/>
          <w:szCs w:val="21"/>
          <w:highlight w:val="none"/>
          <w:u w:val="single"/>
          <w:lang w:val="en-US" w:eastAsia="zh-CN"/>
        </w:rPr>
        <w:t>本项目质保期为</w:t>
      </w:r>
      <w:r>
        <w:rPr>
          <w:rFonts w:hint="eastAsia" w:ascii="仿宋" w:hAnsi="仿宋" w:eastAsia="仿宋" w:cs="仿宋"/>
          <w:b/>
          <w:bCs/>
          <w:snapToGrid w:val="0"/>
          <w:color w:val="auto"/>
          <w:kern w:val="0"/>
          <w:szCs w:val="21"/>
          <w:highlight w:val="none"/>
          <w:u w:val="single"/>
          <w:lang w:val="en-US" w:eastAsia="zh-CN"/>
        </w:rPr>
        <w:t>2</w:t>
      </w:r>
      <w:r>
        <w:rPr>
          <w:rFonts w:hint="eastAsia" w:ascii="仿宋" w:hAnsi="仿宋" w:eastAsia="仿宋" w:cs="仿宋"/>
          <w:snapToGrid w:val="0"/>
          <w:color w:val="auto"/>
          <w:kern w:val="0"/>
          <w:szCs w:val="21"/>
          <w:highlight w:val="none"/>
          <w:u w:val="single"/>
          <w:lang w:val="en-US" w:eastAsia="zh-CN"/>
        </w:rPr>
        <w:t>年。</w:t>
      </w:r>
    </w:p>
    <w:p w14:paraId="21493ADC">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质量保修期自工程竣工验收合格之日起计算。</w:t>
      </w:r>
    </w:p>
    <w:p w14:paraId="163B849F">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三、缺陷责任期</w:t>
      </w:r>
    </w:p>
    <w:p w14:paraId="25B8AFCA">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工程缺陷责任期为</w:t>
      </w:r>
      <w:bookmarkStart w:id="1171" w:name="SOA_zyht_gcqxq"/>
      <w:r>
        <w:rPr>
          <w:rFonts w:hint="eastAsia" w:ascii="仿宋" w:hAnsi="仿宋" w:eastAsia="仿宋" w:cs="仿宋"/>
          <w:snapToGrid w:val="0"/>
          <w:color w:val="auto"/>
          <w:kern w:val="0"/>
          <w:szCs w:val="21"/>
          <w:highlight w:val="none"/>
          <w:u w:val="single"/>
        </w:rPr>
        <w:t>24</w:t>
      </w:r>
      <w:bookmarkEnd w:id="1171"/>
      <w:r>
        <w:rPr>
          <w:rFonts w:hint="eastAsia" w:ascii="仿宋" w:hAnsi="仿宋" w:eastAsia="仿宋" w:cs="仿宋"/>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0F3DFE1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缺陷责任期终止后，发包人应退还剩余的质量保证金。</w:t>
      </w:r>
    </w:p>
    <w:p w14:paraId="0F04E231">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四、质量保修责任</w:t>
      </w:r>
    </w:p>
    <w:p w14:paraId="06693129">
      <w:pPr>
        <w:adjustRightInd/>
        <w:spacing w:line="288"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1．属于保修范围、内容的项目，承包人应当在接到保修通知之日起7天内派人保修。承包人不在约定期限内派人保修的，发包人可以委托他人修理</w:t>
      </w:r>
      <w:r>
        <w:rPr>
          <w:rFonts w:hint="default"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Hans"/>
        </w:rPr>
        <w:t>因此产生的费用由承包人负担</w:t>
      </w:r>
      <w:r>
        <w:rPr>
          <w:rFonts w:hint="eastAsia" w:ascii="仿宋" w:hAnsi="仿宋" w:eastAsia="仿宋" w:cs="仿宋"/>
          <w:snapToGrid w:val="0"/>
          <w:color w:val="auto"/>
          <w:kern w:val="0"/>
          <w:szCs w:val="21"/>
          <w:highlight w:val="none"/>
        </w:rPr>
        <w:t>。</w:t>
      </w:r>
    </w:p>
    <w:p w14:paraId="0EDCCA41">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2．发生紧急事故需抢修的，承包人在接到事故通知后，应当立即到达事故现场抢修。</w:t>
      </w:r>
    </w:p>
    <w:p w14:paraId="4348DC6D">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87F667">
      <w:pPr>
        <w:adjustRightInd/>
        <w:spacing w:line="300" w:lineRule="auto"/>
        <w:ind w:left="420" w:leftChars="200" w:firstLine="105" w:firstLineChars="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4．质量保修完成后，由发包人组织验收。</w:t>
      </w:r>
    </w:p>
    <w:p w14:paraId="04D94FD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五、保修费用</w:t>
      </w:r>
    </w:p>
    <w:p w14:paraId="1501AD74">
      <w:pPr>
        <w:adjustRightInd/>
        <w:spacing w:line="300" w:lineRule="auto"/>
        <w:ind w:firstLine="48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保修费用由造成质量缺陷的责任方承担。</w:t>
      </w:r>
    </w:p>
    <w:p w14:paraId="67D07957">
      <w:pPr>
        <w:spacing w:line="400" w:lineRule="exact"/>
        <w:rPr>
          <w:rFonts w:hint="eastAsia" w:ascii="仿宋" w:hAnsi="仿宋" w:eastAsia="仿宋" w:cs="仿宋"/>
          <w:bCs/>
          <w:color w:val="auto"/>
          <w:szCs w:val="21"/>
          <w:highlight w:val="none"/>
        </w:rPr>
      </w:pPr>
      <w:r>
        <w:rPr>
          <w:rFonts w:hint="eastAsia" w:ascii="仿宋" w:hAnsi="仿宋" w:eastAsia="仿宋" w:cs="仿宋"/>
          <w:b/>
          <w:snapToGrid w:val="0"/>
          <w:color w:val="auto"/>
          <w:kern w:val="0"/>
          <w:szCs w:val="21"/>
          <w:highlight w:val="none"/>
        </w:rPr>
        <w:t>六</w:t>
      </w:r>
      <w:r>
        <w:rPr>
          <w:rFonts w:hint="eastAsia" w:ascii="仿宋" w:hAnsi="仿宋" w:eastAsia="仿宋" w:cs="仿宋"/>
          <w:snapToGrid w:val="0"/>
          <w:color w:val="auto"/>
          <w:kern w:val="0"/>
          <w:szCs w:val="21"/>
          <w:highlight w:val="none"/>
        </w:rPr>
        <w:t>、双方约定的其他工程质量保修事项</w:t>
      </w:r>
      <w:r>
        <w:rPr>
          <w:rFonts w:hint="eastAsia" w:ascii="仿宋" w:hAnsi="仿宋" w:eastAsia="仿宋" w:cs="仿宋"/>
          <w:snapToGrid w:val="0"/>
          <w:color w:val="auto"/>
          <w:kern w:val="0"/>
          <w:szCs w:val="21"/>
          <w:highlight w:val="none"/>
          <w:u w:val="single"/>
        </w:rPr>
        <w:t>：本工程约定的工程质量保修金为</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p>
    <w:p w14:paraId="342B91ED">
      <w:pPr>
        <w:adjustRightInd/>
        <w:spacing w:line="300" w:lineRule="auto"/>
        <w:ind w:firstLine="399" w:firstLineChars="19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工程质量保修书由发包人、承包人在工程竣工验收前共同签署，作为施工合同附件，其有效期限至保修期满。</w:t>
      </w:r>
    </w:p>
    <w:p w14:paraId="7AD48C6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发包人(公章)：</w:t>
      </w:r>
      <w:bookmarkStart w:id="1172" w:name="SOA_zyht_fbr"/>
      <w:bookmarkEnd w:id="1172"/>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single"/>
        </w:rPr>
        <w:t xml:space="preserve">    </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承包人(公章)：</w:t>
      </w:r>
      <w:r>
        <w:rPr>
          <w:rFonts w:hint="eastAsia" w:ascii="仿宋" w:hAnsi="仿宋" w:eastAsia="仿宋" w:cs="仿宋"/>
          <w:snapToGrid w:val="0"/>
          <w:color w:val="auto"/>
          <w:kern w:val="0"/>
          <w:szCs w:val="21"/>
          <w:highlight w:val="none"/>
          <w:u w:val="single"/>
        </w:rPr>
        <w:t></w:t>
      </w:r>
      <w:bookmarkStart w:id="1173" w:name="SOA_zyht_cbr"/>
      <w:bookmarkEnd w:id="1173"/>
    </w:p>
    <w:p w14:paraId="63CB6AA9">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bookmarkStart w:id="1174" w:name="SOA_zyht_fbrdz"/>
      <w:bookmarkEnd w:id="1174"/>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w:t>
      </w:r>
      <w:bookmarkStart w:id="1175" w:name="SOA_zyht_cbrdz"/>
      <w:bookmarkEnd w:id="1175"/>
      <w:r>
        <w:rPr>
          <w:rFonts w:hint="eastAsia" w:ascii="仿宋" w:hAnsi="仿宋" w:eastAsia="仿宋" w:cs="仿宋"/>
          <w:snapToGrid w:val="0"/>
          <w:color w:val="auto"/>
          <w:kern w:val="0"/>
          <w:szCs w:val="21"/>
          <w:highlight w:val="none"/>
          <w:u w:val="single"/>
        </w:rPr>
        <w:t></w:t>
      </w:r>
    </w:p>
    <w:p w14:paraId="73E232F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法定代表人(签字)：</w:t>
      </w:r>
      <w:bookmarkStart w:id="1176" w:name="SOA_zyht_fddbr1"/>
      <w:bookmarkEnd w:id="1176"/>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法定代表人(签字)：</w:t>
      </w:r>
      <w:bookmarkStart w:id="1177" w:name="SOA_zyht_fddbr2"/>
      <w:bookmarkEnd w:id="1177"/>
    </w:p>
    <w:p w14:paraId="7814011F">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委托代理人(签字)：</w:t>
      </w:r>
      <w:bookmarkStart w:id="1178" w:name="SOA_zyht_wtdlr1"/>
      <w:bookmarkEnd w:id="1178"/>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委托代理人(签字)：</w:t>
      </w:r>
      <w:bookmarkStart w:id="1179" w:name="SOA_zyht_wtdlr2"/>
      <w:bookmarkEnd w:id="1179"/>
    </w:p>
    <w:p w14:paraId="561ED818">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0" w:name="SOA_zyht_fbrdh1"/>
      <w:bookmarkEnd w:id="1180"/>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1" w:name="SOA_zyht_cbrdh"/>
      <w:bookmarkEnd w:id="1181"/>
      <w:r>
        <w:rPr>
          <w:rFonts w:hint="eastAsia" w:ascii="仿宋" w:hAnsi="仿宋" w:eastAsia="仿宋" w:cs="仿宋"/>
          <w:snapToGrid w:val="0"/>
          <w:color w:val="auto"/>
          <w:kern w:val="0"/>
          <w:szCs w:val="21"/>
          <w:highlight w:val="none"/>
          <w:u w:val="single"/>
        </w:rPr>
        <w:t xml:space="preserve"> </w:t>
      </w:r>
    </w:p>
    <w:p w14:paraId="0FC38C0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开户银行：</w:t>
      </w:r>
      <w:bookmarkStart w:id="1182" w:name="SOA_zyht_fbrkhyh"/>
      <w:bookmarkEnd w:id="1182"/>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开户银行：</w:t>
      </w:r>
      <w:bookmarkStart w:id="1183" w:name="SOA_zyht_cbrkhyh"/>
      <w:bookmarkEnd w:id="1183"/>
    </w:p>
    <w:p w14:paraId="4B943F6A">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4" w:name="SOA_zyht_fbrzh"/>
      <w:bookmarkEnd w:id="1184"/>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5" w:name="SOA_zyht_cbrzh"/>
      <w:bookmarkEnd w:id="1185"/>
    </w:p>
    <w:p w14:paraId="3A71472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邮政编码：</w:t>
      </w:r>
      <w:bookmarkStart w:id="1186" w:name="SOA_zyht_fbryb"/>
      <w:bookmarkEnd w:id="1186"/>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邮政编码：</w:t>
      </w:r>
      <w:r>
        <w:rPr>
          <w:rFonts w:hint="eastAsia" w:ascii="仿宋" w:hAnsi="仿宋" w:eastAsia="仿宋" w:cs="仿宋"/>
          <w:snapToGrid w:val="0"/>
          <w:color w:val="auto"/>
          <w:kern w:val="0"/>
          <w:szCs w:val="21"/>
          <w:highlight w:val="none"/>
          <w:u w:val="single"/>
        </w:rPr>
        <w:t></w:t>
      </w:r>
      <w:bookmarkStart w:id="1187" w:name="SOA_zyht_cbryb"/>
      <w:bookmarkEnd w:id="1187"/>
    </w:p>
    <w:p w14:paraId="16A54F5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FAE640C">
      <w:pPr>
        <w:rPr>
          <w:rFonts w:hint="eastAsia" w:asciiTheme="minorEastAsia" w:hAnsiTheme="minorEastAsia" w:eastAsiaTheme="minorEastAsia"/>
          <w:color w:val="auto"/>
          <w:szCs w:val="21"/>
          <w:highlight w:val="none"/>
        </w:rPr>
      </w:pPr>
    </w:p>
    <w:p w14:paraId="6BB24722">
      <w:pP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u w:val="single"/>
        </w:rPr>
      </w:pPr>
      <w:bookmarkStart w:id="1188" w:name="_Toc249091536"/>
      <w:bookmarkStart w:id="1189" w:name="_Toc534620509"/>
    </w:p>
    <w:bookmarkEnd w:id="1188"/>
    <w:bookmarkEnd w:id="1189"/>
    <w:p w14:paraId="2E4410FE">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32011F9">
      <w:pPr>
        <w:spacing w:line="360" w:lineRule="auto"/>
        <w:jc w:val="center"/>
        <w:outlineLvl w:val="0"/>
        <w:rPr>
          <w:rFonts w:ascii="宋体" w:hAnsi="宋体" w:cs="宋体"/>
          <w:b/>
          <w:color w:val="auto"/>
          <w:kern w:val="0"/>
          <w:sz w:val="36"/>
          <w:szCs w:val="36"/>
          <w:highlight w:val="none"/>
        </w:rPr>
      </w:pPr>
    </w:p>
    <w:p w14:paraId="629EEA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0FDFE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88F5E3">
      <w:pPr>
        <w:spacing w:line="360" w:lineRule="auto"/>
        <w:jc w:val="center"/>
        <w:outlineLvl w:val="0"/>
        <w:rPr>
          <w:rFonts w:ascii="宋体" w:hAnsi="宋体" w:cs="宋体"/>
          <w:b/>
          <w:color w:val="auto"/>
          <w:kern w:val="0"/>
          <w:sz w:val="36"/>
          <w:szCs w:val="36"/>
          <w:highlight w:val="none"/>
        </w:rPr>
      </w:pPr>
    </w:p>
    <w:p w14:paraId="023B85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5383C5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10B90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5DAE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786C09">
      <w:pPr>
        <w:spacing w:line="360" w:lineRule="auto"/>
        <w:ind w:firstLine="480" w:firstLineChars="200"/>
        <w:rPr>
          <w:rFonts w:ascii="宋体" w:hAnsi="宋体" w:cs="宋体"/>
          <w:color w:val="auto"/>
          <w:sz w:val="24"/>
          <w:highlight w:val="none"/>
        </w:rPr>
      </w:pPr>
    </w:p>
    <w:p w14:paraId="6A3DC7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9160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杭州市钱塘区临江新城实验学校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210CC1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QTCG-CS-2025-034</w:t>
      </w:r>
      <w:r>
        <w:rPr>
          <w:rFonts w:hint="eastAsia" w:ascii="宋体" w:hAnsi="宋体" w:cs="宋体"/>
          <w:color w:val="auto"/>
          <w:sz w:val="24"/>
          <w:highlight w:val="none"/>
        </w:rPr>
        <w:t>】政府采购活动，郑重承诺：</w:t>
      </w:r>
    </w:p>
    <w:p w14:paraId="1225D8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14EF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6C56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B371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6963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A4F9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A43C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397A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0847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714D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B273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23813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64E5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265B70">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0BE520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44029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[以联合体形式参与的，提供联合协议（附件5）；供应商不以联合体形式投参与的，则不需要提供]</w:t>
      </w:r>
    </w:p>
    <w:p w14:paraId="1E22B34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F707B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E9CB4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183BB7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822055">
      <w:pPr>
        <w:widowControl/>
        <w:spacing w:line="360" w:lineRule="auto"/>
        <w:ind w:firstLine="480"/>
        <w:jc w:val="left"/>
        <w:rPr>
          <w:rFonts w:hint="eastAsia" w:ascii="宋体" w:hAnsi="宋体" w:cs="宋体"/>
          <w:b/>
          <w:bCs/>
          <w:color w:val="auto"/>
          <w:kern w:val="0"/>
          <w:sz w:val="24"/>
          <w:highlight w:val="none"/>
        </w:rPr>
      </w:pPr>
    </w:p>
    <w:p w14:paraId="6E33D5C9">
      <w:pPr>
        <w:widowControl/>
        <w:spacing w:line="360" w:lineRule="auto"/>
        <w:ind w:firstLine="480"/>
        <w:jc w:val="left"/>
        <w:rPr>
          <w:rFonts w:ascii="宋体" w:hAnsi="宋体" w:cs="宋体"/>
          <w:color w:val="auto"/>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lang w:eastAsia="zh-CN"/>
        </w:rPr>
        <w:t>杭州市钱塘区临江新城实验学校运动场地改造工程</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建筑业</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行业；</w:t>
      </w:r>
    </w:p>
    <w:p w14:paraId="50C56209">
      <w:pPr>
        <w:widowControl/>
        <w:spacing w:line="360" w:lineRule="auto"/>
        <w:ind w:firstLine="472" w:firstLineChars="196"/>
        <w:jc w:val="left"/>
        <w:rPr>
          <w:rFonts w:hint="eastAsia" w:ascii="宋体" w:hAnsi="宋体" w:cs="宋体"/>
          <w:b/>
          <w:color w:val="auto"/>
          <w:sz w:val="24"/>
          <w:highlight w:val="none"/>
        </w:rPr>
      </w:pPr>
    </w:p>
    <w:p w14:paraId="0D4AD845">
      <w:pPr>
        <w:pStyle w:val="83"/>
        <w:rPr>
          <w:rFonts w:hint="eastAsia"/>
          <w:color w:val="auto"/>
          <w:highlight w:val="none"/>
        </w:rPr>
      </w:pPr>
    </w:p>
    <w:p w14:paraId="0ED0378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4095A4D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C5E2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14:paraId="00FCB4FC">
      <w:pPr>
        <w:widowControl/>
        <w:spacing w:line="360" w:lineRule="auto"/>
        <w:ind w:left="150"/>
        <w:jc w:val="center"/>
        <w:rPr>
          <w:rFonts w:ascii="宋体" w:hAnsi="宋体" w:cs="宋体"/>
          <w:b/>
          <w:color w:val="auto"/>
          <w:kern w:val="0"/>
          <w:sz w:val="32"/>
          <w:szCs w:val="32"/>
          <w:highlight w:val="none"/>
        </w:rPr>
      </w:pPr>
    </w:p>
    <w:p w14:paraId="2835CF9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C22A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3A19149B">
      <w:pPr>
        <w:widowControl/>
        <w:spacing w:line="360" w:lineRule="auto"/>
        <w:ind w:left="150"/>
        <w:jc w:val="center"/>
        <w:rPr>
          <w:rFonts w:hint="eastAsia" w:ascii="宋体" w:hAnsi="宋体" w:cs="宋体"/>
          <w:b/>
          <w:color w:val="auto"/>
          <w:kern w:val="0"/>
          <w:sz w:val="32"/>
          <w:szCs w:val="32"/>
          <w:highlight w:val="none"/>
          <w:lang w:val="en-US" w:eastAsia="zh-CN"/>
        </w:rPr>
      </w:pPr>
    </w:p>
    <w:p w14:paraId="0BB1307F">
      <w:pPr>
        <w:widowControl/>
        <w:spacing w:line="360" w:lineRule="auto"/>
        <w:ind w:left="150"/>
        <w:jc w:val="center"/>
        <w:rPr>
          <w:rFonts w:hint="eastAsia" w:ascii="宋体" w:hAnsi="宋体" w:cs="宋体"/>
          <w:b/>
          <w:color w:val="auto"/>
          <w:kern w:val="0"/>
          <w:sz w:val="32"/>
          <w:szCs w:val="32"/>
          <w:highlight w:val="none"/>
          <w:lang w:val="en-US" w:eastAsia="zh-CN"/>
        </w:rPr>
      </w:pPr>
    </w:p>
    <w:p w14:paraId="5AD6B3C1">
      <w:pPr>
        <w:widowControl/>
        <w:spacing w:line="360" w:lineRule="auto"/>
        <w:ind w:left="150"/>
        <w:jc w:val="center"/>
        <w:rPr>
          <w:rFonts w:hint="eastAsia" w:ascii="宋体" w:hAnsi="宋体" w:cs="宋体"/>
          <w:b/>
          <w:color w:val="auto"/>
          <w:kern w:val="0"/>
          <w:sz w:val="32"/>
          <w:szCs w:val="32"/>
          <w:highlight w:val="none"/>
          <w:lang w:val="en-US" w:eastAsia="zh-CN"/>
        </w:rPr>
      </w:pPr>
    </w:p>
    <w:p w14:paraId="57DA9E99">
      <w:pPr>
        <w:widowControl/>
        <w:spacing w:line="360" w:lineRule="auto"/>
        <w:ind w:left="150"/>
        <w:jc w:val="center"/>
        <w:rPr>
          <w:rFonts w:hint="eastAsia" w:ascii="宋体" w:hAnsi="宋体" w:cs="宋体"/>
          <w:b/>
          <w:color w:val="auto"/>
          <w:kern w:val="0"/>
          <w:sz w:val="32"/>
          <w:szCs w:val="32"/>
          <w:highlight w:val="none"/>
          <w:lang w:val="en-US" w:eastAsia="zh-CN"/>
        </w:rPr>
      </w:pPr>
    </w:p>
    <w:p w14:paraId="54FFBDE3">
      <w:pPr>
        <w:widowControl/>
        <w:spacing w:line="360" w:lineRule="auto"/>
        <w:ind w:left="150"/>
        <w:jc w:val="center"/>
        <w:rPr>
          <w:rFonts w:hint="eastAsia" w:ascii="宋体" w:hAnsi="宋体" w:cs="宋体"/>
          <w:b/>
          <w:color w:val="auto"/>
          <w:kern w:val="0"/>
          <w:sz w:val="32"/>
          <w:szCs w:val="32"/>
          <w:highlight w:val="none"/>
          <w:lang w:val="en-US" w:eastAsia="zh-CN"/>
        </w:rPr>
      </w:pPr>
    </w:p>
    <w:p w14:paraId="630FD22F">
      <w:pPr>
        <w:widowControl/>
        <w:spacing w:line="360" w:lineRule="auto"/>
        <w:ind w:left="150"/>
        <w:jc w:val="center"/>
        <w:rPr>
          <w:rFonts w:hint="eastAsia" w:ascii="宋体" w:hAnsi="宋体" w:cs="宋体"/>
          <w:b/>
          <w:color w:val="auto"/>
          <w:kern w:val="0"/>
          <w:sz w:val="32"/>
          <w:szCs w:val="32"/>
          <w:highlight w:val="none"/>
          <w:lang w:val="en-US" w:eastAsia="zh-CN"/>
        </w:rPr>
      </w:pPr>
    </w:p>
    <w:p w14:paraId="74030675">
      <w:pPr>
        <w:rPr>
          <w:color w:val="auto"/>
          <w:highlight w:val="yellow"/>
        </w:rPr>
        <w:sectPr>
          <w:pgSz w:w="11906" w:h="16838"/>
          <w:pgMar w:top="1440" w:right="1080" w:bottom="1440" w:left="1080" w:header="851" w:footer="992" w:gutter="0"/>
          <w:pgNumType w:fmt="decimal"/>
          <w:cols w:space="720" w:num="1"/>
          <w:titlePg/>
          <w:docGrid w:linePitch="312" w:charSpace="0"/>
        </w:sectPr>
      </w:pPr>
    </w:p>
    <w:p w14:paraId="3098D0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C6375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9C881C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0D6838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AD536D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445C1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6BFFA21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9B8A0F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69B34C89">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691FB6E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5C2A353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杭州市钱塘区临江新城实验学校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144C8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QTCG-CS-2025-034</w:t>
      </w:r>
      <w:r>
        <w:rPr>
          <w:rFonts w:hint="eastAsia" w:ascii="宋体" w:hAnsi="宋体" w:cs="宋体"/>
          <w:color w:val="auto"/>
          <w:sz w:val="24"/>
          <w:highlight w:val="none"/>
        </w:rPr>
        <w:t>】采购的有关活动，并对此项目提交响应文件及报价。为此：</w:t>
      </w:r>
    </w:p>
    <w:p w14:paraId="2C4F3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E242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52E88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F1B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3946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361B9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69A1C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3532F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EC8E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00EFA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A66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5F909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397F1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CFB2B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7256EC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0078E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7E7F3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A83F4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67B670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60B6BF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5F327F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3、3.我方承诺除商务技术偏离表列出的偏离外，我方响应招标文件的全部要求。对投标文件中材料的真实性、合法性负责，积极配合采购人、采购代理机构复核投标文件中的资料。</w:t>
      </w:r>
    </w:p>
    <w:p w14:paraId="526640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C1299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6E35A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BFE4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A2A8C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2E027CB">
      <w:pPr>
        <w:numPr>
          <w:ilvl w:val="0"/>
          <w:numId w:val="0"/>
        </w:numPr>
        <w:snapToGrid w:val="0"/>
        <w:spacing w:line="360" w:lineRule="auto"/>
        <w:ind w:leftChars="3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4294FD">
      <w:pPr>
        <w:numPr>
          <w:ilvl w:val="0"/>
          <w:numId w:val="0"/>
        </w:numPr>
        <w:snapToGrid w:val="0"/>
        <w:spacing w:line="360" w:lineRule="auto"/>
        <w:ind w:leftChars="3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232F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CD69A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5D9EE7">
      <w:pPr>
        <w:snapToGrid w:val="0"/>
        <w:spacing w:line="360" w:lineRule="auto"/>
        <w:ind w:left="420" w:leftChars="200" w:firstLine="4200" w:firstLineChars="1750"/>
        <w:rPr>
          <w:rFonts w:ascii="宋体" w:hAnsi="宋体" w:cs="宋体"/>
          <w:color w:val="auto"/>
          <w:kern w:val="0"/>
          <w:sz w:val="24"/>
          <w:highlight w:val="none"/>
          <w:u w:val="single"/>
        </w:rPr>
      </w:pPr>
    </w:p>
    <w:p w14:paraId="614371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4DD560">
      <w:pPr>
        <w:snapToGrid w:val="0"/>
        <w:spacing w:line="360" w:lineRule="auto"/>
        <w:jc w:val="center"/>
        <w:rPr>
          <w:rFonts w:ascii="宋体" w:hAnsi="宋体" w:cs="宋体"/>
          <w:b/>
          <w:color w:val="auto"/>
          <w:kern w:val="0"/>
          <w:sz w:val="32"/>
          <w:szCs w:val="32"/>
          <w:highlight w:val="none"/>
        </w:rPr>
      </w:pPr>
    </w:p>
    <w:p w14:paraId="145F1FFB">
      <w:pPr>
        <w:snapToGrid w:val="0"/>
        <w:spacing w:line="360" w:lineRule="auto"/>
        <w:rPr>
          <w:rFonts w:ascii="宋体" w:hAnsi="宋体" w:cs="宋体"/>
          <w:color w:val="auto"/>
          <w:sz w:val="24"/>
          <w:highlight w:val="none"/>
        </w:rPr>
      </w:pPr>
    </w:p>
    <w:p w14:paraId="74E70215">
      <w:pPr>
        <w:jc w:val="center"/>
        <w:rPr>
          <w:rFonts w:ascii="宋体" w:hAnsi="宋体" w:cs="宋体"/>
          <w:b/>
          <w:color w:val="auto"/>
          <w:kern w:val="0"/>
          <w:sz w:val="32"/>
          <w:szCs w:val="32"/>
          <w:highlight w:val="none"/>
        </w:rPr>
      </w:pPr>
    </w:p>
    <w:p w14:paraId="5B16A465">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F24084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78F5DD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63BF4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04008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杭州市钱塘区临江新城实验学校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422BB5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798A73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0C8F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29A0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C5A9D0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D9435E">
      <w:pPr>
        <w:snapToGrid w:val="0"/>
        <w:spacing w:line="360" w:lineRule="auto"/>
        <w:rPr>
          <w:rFonts w:ascii="宋体" w:hAnsi="宋体" w:cs="宋体"/>
          <w:color w:val="auto"/>
          <w:sz w:val="24"/>
          <w:highlight w:val="none"/>
        </w:rPr>
      </w:pPr>
    </w:p>
    <w:p w14:paraId="0CE8D73F">
      <w:pPr>
        <w:snapToGrid w:val="0"/>
        <w:spacing w:line="360" w:lineRule="auto"/>
        <w:rPr>
          <w:rFonts w:ascii="宋体" w:hAnsi="宋体" w:cs="宋体"/>
          <w:color w:val="auto"/>
          <w:sz w:val="24"/>
          <w:highlight w:val="none"/>
        </w:rPr>
      </w:pPr>
    </w:p>
    <w:p w14:paraId="18ABA1E1">
      <w:pPr>
        <w:snapToGrid w:val="0"/>
        <w:spacing w:line="360" w:lineRule="auto"/>
        <w:rPr>
          <w:rFonts w:ascii="宋体" w:hAnsi="宋体" w:cs="宋体"/>
          <w:color w:val="auto"/>
          <w:sz w:val="24"/>
          <w:highlight w:val="none"/>
        </w:rPr>
      </w:pPr>
    </w:p>
    <w:p w14:paraId="291EF39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2FE7D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杭州市钱塘区临江新城实验学校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BC8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07289D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20AC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DE22E5">
      <w:pPr>
        <w:jc w:val="center"/>
        <w:rPr>
          <w:rFonts w:ascii="宋体" w:hAnsi="宋体" w:cs="宋体"/>
          <w:b/>
          <w:color w:val="auto"/>
          <w:kern w:val="0"/>
          <w:sz w:val="32"/>
          <w:szCs w:val="32"/>
          <w:highlight w:val="none"/>
        </w:rPr>
      </w:pPr>
    </w:p>
    <w:p w14:paraId="339EA02A">
      <w:pPr>
        <w:jc w:val="center"/>
        <w:rPr>
          <w:rFonts w:ascii="宋体" w:hAnsi="宋体" w:cs="宋体"/>
          <w:b/>
          <w:color w:val="auto"/>
          <w:kern w:val="0"/>
          <w:sz w:val="32"/>
          <w:szCs w:val="32"/>
          <w:highlight w:val="none"/>
        </w:rPr>
      </w:pPr>
    </w:p>
    <w:p w14:paraId="53BB541D">
      <w:pPr>
        <w:jc w:val="center"/>
        <w:rPr>
          <w:rFonts w:ascii="宋体" w:hAnsi="宋体" w:cs="宋体"/>
          <w:b/>
          <w:color w:val="auto"/>
          <w:kern w:val="0"/>
          <w:sz w:val="32"/>
          <w:szCs w:val="32"/>
          <w:highlight w:val="none"/>
        </w:rPr>
      </w:pPr>
    </w:p>
    <w:p w14:paraId="58E96099">
      <w:pPr>
        <w:rPr>
          <w:rFonts w:ascii="宋体" w:hAnsi="宋体" w:cs="宋体"/>
          <w:color w:val="auto"/>
          <w:highlight w:val="none"/>
        </w:rPr>
      </w:pPr>
    </w:p>
    <w:p w14:paraId="40E447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F396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F561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5E451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D04983">
      <w:pPr>
        <w:snapToGrid w:val="0"/>
        <w:jc w:val="center"/>
        <w:rPr>
          <w:rFonts w:hint="eastAsia" w:ascii="宋体" w:hAnsi="宋体" w:cs="宋体"/>
          <w:b/>
          <w:bCs/>
          <w:color w:val="auto"/>
          <w:sz w:val="32"/>
          <w:szCs w:val="32"/>
          <w:highlight w:val="none"/>
          <w:lang w:val="zh-CN"/>
        </w:rPr>
      </w:pPr>
    </w:p>
    <w:p w14:paraId="4FCF31F8">
      <w:pPr>
        <w:snapToGrid w:val="0"/>
        <w:jc w:val="center"/>
        <w:rPr>
          <w:rFonts w:hint="eastAsia" w:ascii="宋体" w:hAnsi="宋体" w:cs="宋体"/>
          <w:b/>
          <w:bCs/>
          <w:color w:val="auto"/>
          <w:sz w:val="32"/>
          <w:szCs w:val="32"/>
          <w:highlight w:val="none"/>
          <w:lang w:val="zh-CN"/>
        </w:rPr>
      </w:pPr>
    </w:p>
    <w:p w14:paraId="0BB1C02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rPr>
        <w:t>）</w:t>
      </w:r>
    </w:p>
    <w:p w14:paraId="3EE045A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C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E08C12B">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6A5622">
            <w:pPr>
              <w:pStyle w:val="151"/>
              <w:adjustRightInd w:val="0"/>
              <w:spacing w:line="360" w:lineRule="auto"/>
              <w:rPr>
                <w:rFonts w:hAnsi="宋体" w:cs="宋体"/>
                <w:bCs/>
                <w:color w:val="auto"/>
                <w:sz w:val="24"/>
                <w:highlight w:val="none"/>
              </w:rPr>
            </w:pPr>
          </w:p>
        </w:tc>
      </w:tr>
    </w:tbl>
    <w:p w14:paraId="363488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99A8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11446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942DE4">
      <w:pPr>
        <w:jc w:val="center"/>
        <w:rPr>
          <w:rFonts w:ascii="宋体" w:hAnsi="宋体" w:cs="宋体"/>
          <w:b/>
          <w:color w:val="auto"/>
          <w:kern w:val="0"/>
          <w:sz w:val="32"/>
          <w:szCs w:val="32"/>
          <w:highlight w:val="none"/>
        </w:rPr>
      </w:pPr>
    </w:p>
    <w:p w14:paraId="4B106C4F">
      <w:pPr>
        <w:jc w:val="center"/>
        <w:rPr>
          <w:rFonts w:ascii="宋体" w:hAnsi="宋体" w:cs="宋体"/>
          <w:b/>
          <w:color w:val="auto"/>
          <w:kern w:val="0"/>
          <w:sz w:val="32"/>
          <w:szCs w:val="32"/>
          <w:highlight w:val="none"/>
        </w:rPr>
      </w:pPr>
    </w:p>
    <w:p w14:paraId="39DD2E67">
      <w:pPr>
        <w:jc w:val="center"/>
        <w:rPr>
          <w:rFonts w:ascii="宋体" w:hAnsi="宋体" w:cs="宋体"/>
          <w:b/>
          <w:color w:val="auto"/>
          <w:kern w:val="0"/>
          <w:sz w:val="32"/>
          <w:szCs w:val="32"/>
          <w:highlight w:val="none"/>
        </w:rPr>
      </w:pPr>
    </w:p>
    <w:p w14:paraId="75DC6400">
      <w:pPr>
        <w:jc w:val="center"/>
        <w:rPr>
          <w:rFonts w:ascii="宋体" w:hAnsi="宋体" w:cs="宋体"/>
          <w:b/>
          <w:color w:val="auto"/>
          <w:kern w:val="0"/>
          <w:sz w:val="32"/>
          <w:szCs w:val="32"/>
          <w:highlight w:val="none"/>
        </w:rPr>
      </w:pPr>
    </w:p>
    <w:p w14:paraId="10CEA927">
      <w:pPr>
        <w:jc w:val="center"/>
        <w:rPr>
          <w:rFonts w:ascii="宋体" w:hAnsi="宋体" w:cs="宋体"/>
          <w:b/>
          <w:color w:val="auto"/>
          <w:kern w:val="0"/>
          <w:sz w:val="32"/>
          <w:szCs w:val="32"/>
          <w:highlight w:val="none"/>
        </w:rPr>
      </w:pPr>
    </w:p>
    <w:p w14:paraId="2EC8B30A">
      <w:pPr>
        <w:jc w:val="center"/>
        <w:rPr>
          <w:rFonts w:ascii="宋体" w:hAnsi="宋体" w:cs="宋体"/>
          <w:b/>
          <w:color w:val="auto"/>
          <w:kern w:val="0"/>
          <w:sz w:val="32"/>
          <w:szCs w:val="32"/>
          <w:highlight w:val="none"/>
        </w:rPr>
      </w:pPr>
    </w:p>
    <w:p w14:paraId="7C16F8F8">
      <w:pPr>
        <w:jc w:val="center"/>
        <w:rPr>
          <w:rFonts w:ascii="宋体" w:hAnsi="宋体" w:cs="宋体"/>
          <w:b/>
          <w:color w:val="auto"/>
          <w:kern w:val="0"/>
          <w:sz w:val="32"/>
          <w:szCs w:val="32"/>
          <w:highlight w:val="none"/>
        </w:rPr>
      </w:pPr>
    </w:p>
    <w:p w14:paraId="7B13B697">
      <w:pPr>
        <w:jc w:val="center"/>
        <w:rPr>
          <w:rFonts w:ascii="宋体" w:hAnsi="宋体" w:cs="宋体"/>
          <w:b/>
          <w:color w:val="auto"/>
          <w:kern w:val="0"/>
          <w:sz w:val="32"/>
          <w:szCs w:val="32"/>
          <w:highlight w:val="none"/>
        </w:rPr>
      </w:pPr>
    </w:p>
    <w:p w14:paraId="2CE5F072">
      <w:pPr>
        <w:jc w:val="center"/>
        <w:rPr>
          <w:rFonts w:ascii="宋体" w:hAnsi="宋体" w:cs="宋体"/>
          <w:b/>
          <w:color w:val="auto"/>
          <w:kern w:val="0"/>
          <w:sz w:val="32"/>
          <w:szCs w:val="32"/>
          <w:highlight w:val="none"/>
        </w:rPr>
      </w:pPr>
    </w:p>
    <w:p w14:paraId="56C701E2">
      <w:pPr>
        <w:jc w:val="center"/>
        <w:rPr>
          <w:rFonts w:ascii="宋体" w:hAnsi="宋体" w:cs="宋体"/>
          <w:b/>
          <w:color w:val="auto"/>
          <w:kern w:val="0"/>
          <w:sz w:val="32"/>
          <w:szCs w:val="32"/>
          <w:highlight w:val="none"/>
        </w:rPr>
      </w:pPr>
    </w:p>
    <w:p w14:paraId="13D44125">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FDFF5C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806B92C">
      <w:pPr>
        <w:widowControl/>
        <w:spacing w:line="360" w:lineRule="auto"/>
        <w:ind w:firstLine="120" w:firstLineChars="50"/>
        <w:jc w:val="left"/>
        <w:rPr>
          <w:rFonts w:ascii="宋体" w:hAnsi="宋体" w:cs="宋体"/>
          <w:color w:val="auto"/>
          <w:sz w:val="24"/>
          <w:highlight w:val="none"/>
        </w:rPr>
      </w:pPr>
      <w:bookmarkStart w:id="1190"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190"/>
    <w:p w14:paraId="760F84E3">
      <w:pPr>
        <w:snapToGrid w:val="0"/>
        <w:spacing w:line="360" w:lineRule="auto"/>
        <w:rPr>
          <w:rFonts w:ascii="宋体" w:hAnsi="宋体" w:cs="宋体"/>
          <w:color w:val="auto"/>
          <w:kern w:val="0"/>
          <w:sz w:val="24"/>
          <w:highlight w:val="none"/>
        </w:rPr>
      </w:pPr>
    </w:p>
    <w:p w14:paraId="7F12DD0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highlight w:val="none"/>
              </w:rPr>
            </w:pPr>
            <w:r>
              <w:rPr>
                <w:rFonts w:hint="eastAsia" w:ascii="宋体" w:hAnsi="宋体" w:cs="宋体"/>
                <w:b w:val="0"/>
                <w:bCs w:val="0"/>
                <w:sz w:val="24"/>
                <w:highlight w:val="none"/>
                <w:lang w:val="en-US" w:eastAsia="zh-CN"/>
              </w:rPr>
              <w:t>4</w:t>
            </w:r>
          </w:p>
        </w:tc>
        <w:tc>
          <w:tcPr>
            <w:tcW w:w="4991" w:type="dxa"/>
            <w:vAlign w:val="top"/>
          </w:tcPr>
          <w:p w14:paraId="3F10BC8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highlight w:val="none"/>
              </w:rPr>
            </w:pPr>
            <w:r>
              <w:rPr>
                <w:rFonts w:hint="eastAsia" w:ascii="宋体" w:hAnsi="宋体" w:cs="宋体"/>
                <w:b w:val="0"/>
                <w:bCs w:val="0"/>
                <w:sz w:val="24"/>
                <w:highlight w:val="none"/>
                <w:lang w:val="en-US" w:eastAsia="zh-CN"/>
              </w:rPr>
              <w:t>5</w:t>
            </w:r>
          </w:p>
        </w:tc>
        <w:tc>
          <w:tcPr>
            <w:tcW w:w="4991" w:type="dxa"/>
            <w:vAlign w:val="top"/>
          </w:tcPr>
          <w:p w14:paraId="6E4C030D">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highlight w:val="none"/>
              </w:rPr>
            </w:pPr>
            <w:r>
              <w:rPr>
                <w:rFonts w:hint="eastAsia" w:ascii="宋体" w:hAnsi="宋体" w:cs="宋体"/>
                <w:kern w:val="0"/>
                <w:sz w:val="24"/>
                <w:highlight w:val="none"/>
              </w:rPr>
              <w:t>……</w:t>
            </w:r>
          </w:p>
        </w:tc>
        <w:tc>
          <w:tcPr>
            <w:tcW w:w="4991" w:type="dxa"/>
            <w:vAlign w:val="top"/>
          </w:tcPr>
          <w:p w14:paraId="47AADD3C">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62E4FBA4">
      <w:pPr>
        <w:jc w:val="center"/>
        <w:rPr>
          <w:rFonts w:ascii="宋体" w:hAnsi="宋体" w:cs="宋体"/>
          <w:b/>
          <w:color w:val="auto"/>
          <w:kern w:val="0"/>
          <w:sz w:val="32"/>
          <w:szCs w:val="32"/>
          <w:highlight w:val="none"/>
        </w:rPr>
      </w:pPr>
    </w:p>
    <w:p w14:paraId="28BE3E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C0C689">
      <w:pPr>
        <w:jc w:val="center"/>
        <w:rPr>
          <w:rFonts w:ascii="宋体" w:hAnsi="宋体" w:cs="宋体"/>
          <w:b/>
          <w:color w:val="auto"/>
          <w:kern w:val="0"/>
          <w:sz w:val="32"/>
          <w:szCs w:val="32"/>
          <w:highlight w:val="none"/>
        </w:rPr>
      </w:pPr>
    </w:p>
    <w:p w14:paraId="0B34F72A">
      <w:pPr>
        <w:jc w:val="center"/>
        <w:rPr>
          <w:rFonts w:ascii="宋体" w:hAnsi="宋体" w:cs="宋体"/>
          <w:b/>
          <w:color w:val="auto"/>
          <w:kern w:val="0"/>
          <w:sz w:val="32"/>
          <w:szCs w:val="32"/>
          <w:highlight w:val="none"/>
        </w:rPr>
      </w:pPr>
    </w:p>
    <w:p w14:paraId="63802AF1">
      <w:pPr>
        <w:jc w:val="center"/>
        <w:rPr>
          <w:rFonts w:ascii="宋体" w:hAnsi="宋体" w:cs="宋体"/>
          <w:b/>
          <w:color w:val="auto"/>
          <w:kern w:val="0"/>
          <w:sz w:val="32"/>
          <w:szCs w:val="32"/>
          <w:highlight w:val="none"/>
        </w:rPr>
      </w:pPr>
    </w:p>
    <w:p w14:paraId="42787EAA">
      <w:pPr>
        <w:jc w:val="center"/>
        <w:rPr>
          <w:rFonts w:ascii="宋体" w:hAnsi="宋体" w:cs="宋体"/>
          <w:b/>
          <w:color w:val="auto"/>
          <w:kern w:val="0"/>
          <w:sz w:val="32"/>
          <w:szCs w:val="32"/>
          <w:highlight w:val="none"/>
        </w:rPr>
      </w:pPr>
    </w:p>
    <w:p w14:paraId="674DB46C">
      <w:pPr>
        <w:jc w:val="center"/>
        <w:rPr>
          <w:rFonts w:ascii="宋体" w:hAnsi="宋体" w:cs="宋体"/>
          <w:b/>
          <w:color w:val="auto"/>
          <w:kern w:val="0"/>
          <w:sz w:val="32"/>
          <w:szCs w:val="32"/>
          <w:highlight w:val="none"/>
        </w:rPr>
      </w:pPr>
    </w:p>
    <w:p w14:paraId="04BADA75">
      <w:pPr>
        <w:jc w:val="center"/>
        <w:rPr>
          <w:rFonts w:ascii="宋体" w:hAnsi="宋体" w:cs="宋体"/>
          <w:b/>
          <w:color w:val="auto"/>
          <w:kern w:val="0"/>
          <w:sz w:val="32"/>
          <w:szCs w:val="32"/>
          <w:highlight w:val="none"/>
        </w:rPr>
      </w:pPr>
    </w:p>
    <w:p w14:paraId="1E45F6A1">
      <w:pPr>
        <w:numPr>
          <w:ilvl w:val="0"/>
          <w:numId w:val="8"/>
        </w:num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评审标准相应的商务技术资料</w:t>
      </w:r>
    </w:p>
    <w:p w14:paraId="6A062B3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pPr w:leftFromText="180" w:rightFromText="180" w:vertAnchor="text" w:horzAnchor="page" w:tblpXSpec="center" w:tblpY="126"/>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34"/>
        <w:gridCol w:w="67"/>
        <w:gridCol w:w="4460"/>
        <w:gridCol w:w="1072"/>
        <w:gridCol w:w="1292"/>
        <w:gridCol w:w="1373"/>
      </w:tblGrid>
      <w:tr w14:paraId="51F0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1" w:type="dxa"/>
            <w:vAlign w:val="center"/>
          </w:tcPr>
          <w:p w14:paraId="3A5AD5B3">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序号</w:t>
            </w:r>
          </w:p>
        </w:tc>
        <w:tc>
          <w:tcPr>
            <w:tcW w:w="5961" w:type="dxa"/>
            <w:gridSpan w:val="3"/>
            <w:vAlign w:val="center"/>
          </w:tcPr>
          <w:p w14:paraId="351E4233">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评标标准</w:t>
            </w:r>
          </w:p>
        </w:tc>
        <w:tc>
          <w:tcPr>
            <w:tcW w:w="1072" w:type="dxa"/>
            <w:vAlign w:val="center"/>
          </w:tcPr>
          <w:p w14:paraId="32BC0C4D">
            <w:pPr>
              <w:spacing w:line="360" w:lineRule="auto"/>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权重</w:t>
            </w:r>
          </w:p>
        </w:tc>
        <w:tc>
          <w:tcPr>
            <w:tcW w:w="1292" w:type="dxa"/>
            <w:vAlign w:val="center"/>
          </w:tcPr>
          <w:p w14:paraId="13F25E3C">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目录</w:t>
            </w:r>
          </w:p>
        </w:tc>
        <w:tc>
          <w:tcPr>
            <w:tcW w:w="1373" w:type="dxa"/>
            <w:vAlign w:val="center"/>
          </w:tcPr>
          <w:p w14:paraId="7D8391CE">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文件中的页码位置</w:t>
            </w:r>
          </w:p>
        </w:tc>
      </w:tr>
      <w:tr w14:paraId="0506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1" w:type="dxa"/>
            <w:vAlign w:val="center"/>
          </w:tcPr>
          <w:p w14:paraId="79080657">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5961" w:type="dxa"/>
            <w:gridSpan w:val="3"/>
            <w:vAlign w:val="center"/>
          </w:tcPr>
          <w:p w14:paraId="358B2D74">
            <w:pPr>
              <w:spacing w:line="360" w:lineRule="auto"/>
              <w:jc w:val="left"/>
              <w:outlineLvl w:val="0"/>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投标人具有质量管理认证体系,具有环境管理认证体系，具有职业健康资格认证体系，有一项得1分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满分3分，没有则不得分。（投标文件中提供认证证书</w:t>
            </w:r>
            <w:r>
              <w:rPr>
                <w:rFonts w:hint="eastAsia" w:ascii="宋体" w:hAnsi="宋体" w:cs="宋体"/>
                <w:color w:val="auto"/>
                <w:kern w:val="0"/>
                <w:sz w:val="24"/>
                <w:szCs w:val="24"/>
                <w:highlight w:val="none"/>
                <w:lang w:eastAsia="zh-CN" w:bidi="ar"/>
              </w:rPr>
              <w:t>扫描</w:t>
            </w:r>
            <w:r>
              <w:rPr>
                <w:rFonts w:hint="eastAsia" w:ascii="宋体" w:hAnsi="宋体" w:eastAsia="宋体" w:cs="宋体"/>
                <w:color w:val="auto"/>
                <w:kern w:val="0"/>
                <w:sz w:val="24"/>
                <w:szCs w:val="24"/>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未提供或未查询为有效状态的不得分</w:t>
            </w:r>
            <w:r>
              <w:rPr>
                <w:rFonts w:hint="eastAsia" w:ascii="宋体" w:hAnsi="宋体" w:eastAsia="宋体" w:cs="宋体"/>
                <w:color w:val="auto"/>
                <w:kern w:val="0"/>
                <w:sz w:val="24"/>
                <w:szCs w:val="24"/>
                <w:highlight w:val="none"/>
                <w:lang w:bidi="ar"/>
              </w:rPr>
              <w:t>。</w:t>
            </w:r>
          </w:p>
        </w:tc>
        <w:tc>
          <w:tcPr>
            <w:tcW w:w="1072" w:type="dxa"/>
            <w:vAlign w:val="center"/>
          </w:tcPr>
          <w:p w14:paraId="67FD9F17">
            <w:pPr>
              <w:spacing w:line="360" w:lineRule="auto"/>
              <w:jc w:val="center"/>
              <w:outlineLvl w:val="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0189729D">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292" w:type="dxa"/>
            <w:vAlign w:val="center"/>
          </w:tcPr>
          <w:p w14:paraId="79253912">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认证体系</w:t>
            </w:r>
          </w:p>
        </w:tc>
        <w:tc>
          <w:tcPr>
            <w:tcW w:w="1373" w:type="dxa"/>
            <w:vAlign w:val="center"/>
          </w:tcPr>
          <w:p w14:paraId="5FE68A74">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3CCF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61" w:type="dxa"/>
            <w:vAlign w:val="center"/>
          </w:tcPr>
          <w:p w14:paraId="12962C32">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5961" w:type="dxa"/>
            <w:gridSpan w:val="3"/>
            <w:vAlign w:val="center"/>
          </w:tcPr>
          <w:p w14:paraId="1EF68F54">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投标人自20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年0</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月以来（以</w:t>
            </w:r>
            <w:r>
              <w:rPr>
                <w:rFonts w:hint="eastAsia" w:ascii="宋体" w:hAnsi="宋体" w:cs="宋体"/>
                <w:color w:val="auto"/>
                <w:kern w:val="0"/>
                <w:sz w:val="24"/>
                <w:szCs w:val="24"/>
                <w:highlight w:val="none"/>
                <w:lang w:val="en-US" w:eastAsia="zh-CN" w:bidi="ar"/>
              </w:rPr>
              <w:t>竣工验收</w:t>
            </w:r>
            <w:r>
              <w:rPr>
                <w:rFonts w:hint="eastAsia" w:ascii="宋体" w:hAnsi="宋体" w:cs="宋体"/>
                <w:color w:val="auto"/>
                <w:kern w:val="0"/>
                <w:sz w:val="24"/>
                <w:szCs w:val="24"/>
                <w:highlight w:val="none"/>
                <w:lang w:bidi="ar"/>
              </w:rPr>
              <w:t>日期为准）承建过类似业绩，每提供一项业绩证明材料得</w:t>
            </w:r>
            <w:r>
              <w:rPr>
                <w:rFonts w:hint="eastAsia" w:ascii="宋体" w:hAnsi="宋体" w:cs="宋体"/>
                <w:color w:val="auto"/>
                <w:kern w:val="0"/>
                <w:sz w:val="24"/>
                <w:szCs w:val="24"/>
                <w:highlight w:val="none"/>
                <w:lang w:val="en-US" w:eastAsia="zh-CN" w:bidi="ar"/>
              </w:rPr>
              <w:t>0.3</w:t>
            </w:r>
            <w:r>
              <w:rPr>
                <w:rFonts w:hint="eastAsia" w:ascii="宋体" w:hAnsi="宋体" w:cs="宋体"/>
                <w:color w:val="auto"/>
                <w:kern w:val="0"/>
                <w:sz w:val="24"/>
                <w:szCs w:val="24"/>
                <w:highlight w:val="none"/>
                <w:lang w:bidi="ar"/>
              </w:rPr>
              <w:t>分，本项最高得</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分。</w:t>
            </w:r>
          </w:p>
          <w:p w14:paraId="144FAAC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合同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竣工验收证书或报告</w:t>
            </w:r>
            <w:r>
              <w:rPr>
                <w:rFonts w:hint="eastAsia" w:ascii="宋体" w:hAnsi="宋体" w:cs="宋体"/>
                <w:color w:val="auto"/>
                <w:kern w:val="0"/>
                <w:sz w:val="24"/>
                <w:szCs w:val="24"/>
                <w:highlight w:val="none"/>
                <w:lang w:bidi="ar"/>
              </w:rPr>
              <w:t>的扫描件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签字、盖章及日期内容须完整</w:t>
            </w:r>
            <w:r>
              <w:rPr>
                <w:rFonts w:hint="eastAsia" w:ascii="宋体" w:hAnsi="宋体" w:cs="宋体"/>
                <w:color w:val="auto"/>
                <w:kern w:val="0"/>
                <w:sz w:val="24"/>
                <w:szCs w:val="24"/>
                <w:highlight w:val="none"/>
                <w:lang w:val="en-US" w:eastAsia="zh-CN" w:bidi="ar"/>
              </w:rPr>
              <w:t>。未</w:t>
            </w:r>
            <w:r>
              <w:rPr>
                <w:rFonts w:hint="eastAsia" w:ascii="宋体" w:hAnsi="宋体" w:cs="宋体"/>
                <w:color w:val="auto"/>
                <w:kern w:val="0"/>
                <w:sz w:val="24"/>
                <w:szCs w:val="24"/>
                <w:highlight w:val="none"/>
                <w:lang w:bidi="ar"/>
              </w:rPr>
              <w:t>按要求提供完整证明材料的，不予得分】</w:t>
            </w:r>
          </w:p>
        </w:tc>
        <w:tc>
          <w:tcPr>
            <w:tcW w:w="1072" w:type="dxa"/>
            <w:vAlign w:val="center"/>
          </w:tcPr>
          <w:p w14:paraId="45343386">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1.5    （客观）</w:t>
            </w:r>
          </w:p>
        </w:tc>
        <w:tc>
          <w:tcPr>
            <w:tcW w:w="1292" w:type="dxa"/>
            <w:vAlign w:val="center"/>
          </w:tcPr>
          <w:p w14:paraId="302E5CAE">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企业</w:t>
            </w:r>
            <w:r>
              <w:rPr>
                <w:rFonts w:hint="eastAsia" w:ascii="宋体" w:hAnsi="宋体" w:cs="宋体"/>
                <w:color w:val="auto"/>
                <w:kern w:val="0"/>
                <w:sz w:val="24"/>
                <w:szCs w:val="24"/>
                <w:highlight w:val="none"/>
                <w:lang w:bidi="ar"/>
              </w:rPr>
              <w:t>业绩</w:t>
            </w:r>
          </w:p>
        </w:tc>
        <w:tc>
          <w:tcPr>
            <w:tcW w:w="1373" w:type="dxa"/>
            <w:vAlign w:val="center"/>
          </w:tcPr>
          <w:p w14:paraId="26315E68">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51E7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61" w:type="dxa"/>
            <w:vAlign w:val="center"/>
          </w:tcPr>
          <w:p w14:paraId="393605BF">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5961" w:type="dxa"/>
            <w:gridSpan w:val="3"/>
            <w:vAlign w:val="center"/>
          </w:tcPr>
          <w:p w14:paraId="43718327">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拟派项目负责人具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的得5分。</w:t>
            </w:r>
          </w:p>
          <w:p w14:paraId="32CA4C2F">
            <w:pPr>
              <w:pStyle w:val="46"/>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072" w:type="dxa"/>
            <w:vAlign w:val="center"/>
          </w:tcPr>
          <w:p w14:paraId="47C34090">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6764B647">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292" w:type="dxa"/>
            <w:vMerge w:val="restart"/>
            <w:vAlign w:val="center"/>
          </w:tcPr>
          <w:p w14:paraId="5991EA2A">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项目组人员配置</w:t>
            </w:r>
          </w:p>
        </w:tc>
        <w:tc>
          <w:tcPr>
            <w:tcW w:w="1373" w:type="dxa"/>
            <w:vAlign w:val="center"/>
          </w:tcPr>
          <w:p w14:paraId="54471386">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0867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61" w:type="dxa"/>
            <w:vAlign w:val="center"/>
          </w:tcPr>
          <w:p w14:paraId="2A1AAFCD">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4</w:t>
            </w:r>
          </w:p>
        </w:tc>
        <w:tc>
          <w:tcPr>
            <w:tcW w:w="5961" w:type="dxa"/>
            <w:gridSpan w:val="3"/>
            <w:vAlign w:val="center"/>
          </w:tcPr>
          <w:p w14:paraId="185399FA">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w:t>
            </w:r>
            <w:r>
              <w:rPr>
                <w:rFonts w:hint="eastAsia" w:ascii="宋体" w:hAnsi="宋体" w:cs="宋体"/>
                <w:color w:val="auto"/>
                <w:kern w:val="0"/>
                <w:sz w:val="24"/>
                <w:szCs w:val="24"/>
                <w:highlight w:val="none"/>
                <w:lang w:val="en-US" w:eastAsia="zh-CN" w:bidi="ar"/>
              </w:rPr>
              <w:t>技术</w:t>
            </w:r>
            <w:r>
              <w:rPr>
                <w:rFonts w:hint="eastAsia" w:ascii="宋体" w:hAnsi="宋体" w:cs="宋体"/>
                <w:color w:val="auto"/>
                <w:kern w:val="0"/>
                <w:sz w:val="24"/>
                <w:szCs w:val="24"/>
                <w:highlight w:val="none"/>
                <w:lang w:bidi="ar"/>
              </w:rPr>
              <w:t>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的得5分。</w:t>
            </w:r>
          </w:p>
          <w:p w14:paraId="4523C92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072" w:type="dxa"/>
            <w:vAlign w:val="center"/>
          </w:tcPr>
          <w:p w14:paraId="6FD1D177">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180F3FE3">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292" w:type="dxa"/>
            <w:vMerge w:val="continue"/>
            <w:vAlign w:val="center"/>
          </w:tcPr>
          <w:p w14:paraId="3EB1F538">
            <w:pPr>
              <w:snapToGrid w:val="0"/>
              <w:spacing w:line="360" w:lineRule="auto"/>
              <w:jc w:val="center"/>
              <w:rPr>
                <w:rFonts w:ascii="宋体" w:hAnsi="宋体" w:cs="宋体"/>
                <w:color w:val="auto"/>
                <w:kern w:val="0"/>
                <w:sz w:val="24"/>
                <w:szCs w:val="24"/>
                <w:highlight w:val="none"/>
                <w:lang w:bidi="ar"/>
              </w:rPr>
            </w:pPr>
          </w:p>
        </w:tc>
        <w:tc>
          <w:tcPr>
            <w:tcW w:w="1373" w:type="dxa"/>
            <w:vAlign w:val="center"/>
          </w:tcPr>
          <w:p w14:paraId="0DEDCCB8">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6C2E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1" w:type="dxa"/>
            <w:vAlign w:val="center"/>
          </w:tcPr>
          <w:p w14:paraId="0B4B8F7F">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5961" w:type="dxa"/>
            <w:gridSpan w:val="3"/>
            <w:vAlign w:val="center"/>
          </w:tcPr>
          <w:p w14:paraId="42EB9B44">
            <w:pPr>
              <w:widowControl/>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拟投入本项目的专职安全员具有施工企业全生产管理人员安全生产考核合格证书（三类人员C证）得</w:t>
            </w: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bidi="ar"/>
              </w:rPr>
              <w:t>分；</w:t>
            </w:r>
          </w:p>
          <w:p w14:paraId="10DEB16A">
            <w:pPr>
              <w:widowControl/>
              <w:spacing w:line="360" w:lineRule="auto"/>
              <w:jc w:val="left"/>
              <w:rPr>
                <w:rFonts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【提供有效</w:t>
            </w:r>
            <w:r>
              <w:rPr>
                <w:rFonts w:hint="eastAsia" w:ascii="宋体" w:hAnsi="宋体" w:cs="宋体"/>
                <w:color w:val="auto"/>
                <w:kern w:val="0"/>
                <w:sz w:val="24"/>
                <w:szCs w:val="24"/>
                <w:highlight w:val="none"/>
                <w:lang w:bidi="ar"/>
              </w:rPr>
              <w:t>安全生产考核合格证书（三类人员C证）</w:t>
            </w:r>
            <w:r>
              <w:rPr>
                <w:rFonts w:hint="eastAsia" w:ascii="宋体" w:hAnsi="宋体" w:eastAsia="宋体" w:cs="宋体"/>
                <w:color w:val="auto"/>
                <w:kern w:val="0"/>
                <w:sz w:val="24"/>
                <w:szCs w:val="24"/>
                <w:highlight w:val="none"/>
                <w:lang w:val="en-US" w:eastAsia="zh-CN" w:bidi="ar"/>
              </w:rPr>
              <w:t>扫描件</w:t>
            </w:r>
            <w:r>
              <w:rPr>
                <w:rFonts w:hint="eastAsia" w:ascii="宋体" w:hAnsi="宋体" w:eastAsia="宋体" w:cs="宋体"/>
                <w:color w:val="auto"/>
                <w:kern w:val="0"/>
                <w:sz w:val="24"/>
                <w:szCs w:val="24"/>
                <w:highlight w:val="none"/>
                <w:lang w:bidi="ar"/>
              </w:rPr>
              <w:t>及人员截止投标时间最近3个月任意时间的社保缴纳证明，未提供的不得分】</w:t>
            </w:r>
          </w:p>
        </w:tc>
        <w:tc>
          <w:tcPr>
            <w:tcW w:w="1072" w:type="dxa"/>
            <w:vAlign w:val="center"/>
          </w:tcPr>
          <w:p w14:paraId="47009D18">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w:t>
            </w:r>
          </w:p>
          <w:p w14:paraId="1AF5915D">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292" w:type="dxa"/>
            <w:vMerge w:val="continue"/>
            <w:vAlign w:val="center"/>
          </w:tcPr>
          <w:p w14:paraId="57495A01">
            <w:pPr>
              <w:snapToGrid w:val="0"/>
              <w:spacing w:line="360" w:lineRule="auto"/>
              <w:jc w:val="center"/>
              <w:rPr>
                <w:rFonts w:ascii="宋体" w:hAnsi="宋体" w:cs="宋体"/>
                <w:color w:val="auto"/>
                <w:kern w:val="0"/>
                <w:sz w:val="24"/>
                <w:szCs w:val="24"/>
                <w:highlight w:val="none"/>
                <w:lang w:bidi="ar"/>
              </w:rPr>
            </w:pPr>
          </w:p>
        </w:tc>
        <w:tc>
          <w:tcPr>
            <w:tcW w:w="1373" w:type="dxa"/>
            <w:vAlign w:val="center"/>
          </w:tcPr>
          <w:p w14:paraId="4A83F972">
            <w:pPr>
              <w:snapToGrid w:val="0"/>
              <w:spacing w:line="360" w:lineRule="auto"/>
              <w:jc w:val="center"/>
              <w:rPr>
                <w:rFonts w:hint="eastAsia" w:ascii="宋体" w:hAnsi="宋体" w:cs="宋体"/>
                <w:color w:val="auto"/>
                <w:kern w:val="0"/>
                <w:sz w:val="24"/>
                <w:szCs w:val="24"/>
                <w:highlight w:val="none"/>
                <w:lang w:bidi="ar"/>
              </w:rPr>
            </w:pPr>
          </w:p>
          <w:p w14:paraId="603E5953">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68AF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1" w:type="dxa"/>
            <w:vMerge w:val="restart"/>
            <w:vAlign w:val="center"/>
          </w:tcPr>
          <w:p w14:paraId="4E450B79">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1501" w:type="dxa"/>
            <w:gridSpan w:val="2"/>
            <w:vMerge w:val="restart"/>
            <w:vAlign w:val="center"/>
          </w:tcPr>
          <w:p w14:paraId="65595E57">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施工方案总体情况评价</w:t>
            </w:r>
          </w:p>
        </w:tc>
        <w:tc>
          <w:tcPr>
            <w:tcW w:w="4460" w:type="dxa"/>
            <w:vAlign w:val="center"/>
          </w:tcPr>
          <w:p w14:paraId="1180131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方案内容全面、合理、条理清晰，涵盖本次工程实施有关的内容，且具有针对性得5分，方案内容</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全面合理得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分，方案内容基本合理，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满足采购需求得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分，方案内容有提及得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1072" w:type="dxa"/>
            <w:vAlign w:val="center"/>
          </w:tcPr>
          <w:p w14:paraId="3F266DC1">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0A7CC2FC">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34A2A806">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w:t>
            </w:r>
          </w:p>
        </w:tc>
        <w:tc>
          <w:tcPr>
            <w:tcW w:w="1373" w:type="dxa"/>
            <w:vAlign w:val="center"/>
          </w:tcPr>
          <w:p w14:paraId="37BD60BF">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4887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1" w:type="dxa"/>
            <w:vMerge w:val="continue"/>
            <w:vAlign w:val="center"/>
          </w:tcPr>
          <w:p w14:paraId="740CC844">
            <w:pPr>
              <w:spacing w:line="360" w:lineRule="auto"/>
              <w:jc w:val="center"/>
              <w:rPr>
                <w:rFonts w:ascii="宋体" w:hAnsi="宋体" w:cs="宋体"/>
                <w:color w:val="auto"/>
                <w:kern w:val="0"/>
                <w:sz w:val="24"/>
                <w:szCs w:val="24"/>
                <w:highlight w:val="none"/>
                <w:lang w:bidi="ar"/>
              </w:rPr>
            </w:pPr>
          </w:p>
        </w:tc>
        <w:tc>
          <w:tcPr>
            <w:tcW w:w="1501" w:type="dxa"/>
            <w:gridSpan w:val="2"/>
            <w:vMerge w:val="continue"/>
            <w:vAlign w:val="center"/>
          </w:tcPr>
          <w:p w14:paraId="75FD09A9">
            <w:pPr>
              <w:spacing w:line="360" w:lineRule="auto"/>
              <w:jc w:val="left"/>
              <w:rPr>
                <w:rFonts w:ascii="宋体" w:hAnsi="宋体" w:cs="宋体"/>
                <w:color w:val="auto"/>
                <w:kern w:val="0"/>
                <w:sz w:val="24"/>
                <w:szCs w:val="24"/>
                <w:highlight w:val="none"/>
                <w:lang w:bidi="ar"/>
              </w:rPr>
            </w:pPr>
          </w:p>
        </w:tc>
        <w:tc>
          <w:tcPr>
            <w:tcW w:w="4460" w:type="dxa"/>
            <w:vAlign w:val="center"/>
          </w:tcPr>
          <w:p w14:paraId="05719E3B">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针对本项目施工环境需要采取的专门的施工技术内容科学合理，针对性强的得5分；措施内容基本合理，针对性较强得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。内容缺失严重不得分。</w:t>
            </w:r>
          </w:p>
        </w:tc>
        <w:tc>
          <w:tcPr>
            <w:tcW w:w="1072" w:type="dxa"/>
            <w:vAlign w:val="center"/>
          </w:tcPr>
          <w:p w14:paraId="3BD71968">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357AD6D3">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3A22B3D3">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施工技术</w:t>
            </w:r>
          </w:p>
        </w:tc>
        <w:tc>
          <w:tcPr>
            <w:tcW w:w="1373" w:type="dxa"/>
            <w:vAlign w:val="center"/>
          </w:tcPr>
          <w:p w14:paraId="43960A97">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5BC6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1" w:type="dxa"/>
            <w:vMerge w:val="continue"/>
            <w:vAlign w:val="center"/>
          </w:tcPr>
          <w:p w14:paraId="44D5B722">
            <w:pPr>
              <w:spacing w:line="360" w:lineRule="auto"/>
              <w:jc w:val="center"/>
              <w:rPr>
                <w:rFonts w:ascii="宋体" w:hAnsi="宋体" w:cs="宋体"/>
                <w:color w:val="auto"/>
                <w:kern w:val="0"/>
                <w:sz w:val="24"/>
                <w:szCs w:val="24"/>
                <w:highlight w:val="none"/>
                <w:lang w:bidi="ar"/>
              </w:rPr>
            </w:pPr>
          </w:p>
        </w:tc>
        <w:tc>
          <w:tcPr>
            <w:tcW w:w="1501" w:type="dxa"/>
            <w:gridSpan w:val="2"/>
            <w:vMerge w:val="continue"/>
            <w:vAlign w:val="center"/>
          </w:tcPr>
          <w:p w14:paraId="4012B611">
            <w:pPr>
              <w:spacing w:line="360" w:lineRule="auto"/>
              <w:jc w:val="left"/>
              <w:rPr>
                <w:rFonts w:ascii="宋体" w:hAnsi="宋体" w:cs="宋体"/>
                <w:color w:val="auto"/>
                <w:kern w:val="0"/>
                <w:sz w:val="24"/>
                <w:szCs w:val="24"/>
                <w:highlight w:val="none"/>
                <w:lang w:bidi="ar"/>
              </w:rPr>
            </w:pPr>
          </w:p>
        </w:tc>
        <w:tc>
          <w:tcPr>
            <w:tcW w:w="4460" w:type="dxa"/>
            <w:vAlign w:val="center"/>
          </w:tcPr>
          <w:p w14:paraId="4941F8A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分。内容缺失严重不得分。</w:t>
            </w:r>
          </w:p>
        </w:tc>
        <w:tc>
          <w:tcPr>
            <w:tcW w:w="1072" w:type="dxa"/>
            <w:vAlign w:val="center"/>
          </w:tcPr>
          <w:p w14:paraId="323BFBD8">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318AA4D7">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43C0E4FD">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w:t>
            </w:r>
          </w:p>
        </w:tc>
        <w:tc>
          <w:tcPr>
            <w:tcW w:w="1373" w:type="dxa"/>
            <w:vAlign w:val="center"/>
          </w:tcPr>
          <w:p w14:paraId="761B5F17">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1DB8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5A2AFE9F">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7</w:t>
            </w:r>
          </w:p>
        </w:tc>
        <w:tc>
          <w:tcPr>
            <w:tcW w:w="5961" w:type="dxa"/>
            <w:gridSpan w:val="3"/>
            <w:vAlign w:val="center"/>
          </w:tcPr>
          <w:p w14:paraId="0FCD173B">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投标人针对本项目施工重点难点分析到位，针对性强的得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分，施工重点难度内容分析</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分，施工重点难度内容分析基本合理得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w:t>
            </w:r>
            <w:r>
              <w:rPr>
                <w:rFonts w:hint="eastAsia" w:ascii="宋体" w:hAnsi="宋体" w:cs="宋体"/>
                <w:color w:val="auto"/>
                <w:kern w:val="0"/>
                <w:sz w:val="24"/>
                <w:szCs w:val="24"/>
                <w:highlight w:val="none"/>
                <w:lang w:bidi="ar"/>
              </w:rPr>
              <w:t>内容一般有提及得1分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内容缺失严重不得分。</w:t>
            </w:r>
          </w:p>
        </w:tc>
        <w:tc>
          <w:tcPr>
            <w:tcW w:w="1072" w:type="dxa"/>
            <w:vAlign w:val="center"/>
          </w:tcPr>
          <w:p w14:paraId="4D2CD984">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7305CB0B">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15C50422">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施工重点难点分析</w:t>
            </w:r>
          </w:p>
        </w:tc>
        <w:tc>
          <w:tcPr>
            <w:tcW w:w="1373" w:type="dxa"/>
            <w:vAlign w:val="center"/>
          </w:tcPr>
          <w:p w14:paraId="2E8437D0">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4DAA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1E01F94C">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8</w:t>
            </w:r>
          </w:p>
        </w:tc>
        <w:tc>
          <w:tcPr>
            <w:tcW w:w="5961" w:type="dxa"/>
            <w:gridSpan w:val="3"/>
            <w:vAlign w:val="center"/>
          </w:tcPr>
          <w:p w14:paraId="28AD20E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072" w:type="dxa"/>
            <w:vAlign w:val="center"/>
          </w:tcPr>
          <w:p w14:paraId="7CC434BE">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597313BA">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5090177E">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w:t>
            </w:r>
          </w:p>
        </w:tc>
        <w:tc>
          <w:tcPr>
            <w:tcW w:w="1373" w:type="dxa"/>
            <w:vAlign w:val="center"/>
          </w:tcPr>
          <w:p w14:paraId="0539B8BC">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202E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1" w:type="dxa"/>
            <w:vMerge w:val="restart"/>
            <w:vAlign w:val="center"/>
          </w:tcPr>
          <w:p w14:paraId="4F0790A4">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9</w:t>
            </w:r>
          </w:p>
        </w:tc>
        <w:tc>
          <w:tcPr>
            <w:tcW w:w="1434" w:type="dxa"/>
            <w:vMerge w:val="restart"/>
            <w:vAlign w:val="center"/>
          </w:tcPr>
          <w:p w14:paraId="0D7AA4E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4527" w:type="dxa"/>
            <w:gridSpan w:val="2"/>
            <w:vAlign w:val="center"/>
          </w:tcPr>
          <w:p w14:paraId="21663AD5">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施工方案内容科学合理，主要分部施工方法符合项目实际针对性强得4分，方案内容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合理得3分，方案内容基本合理，</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满足采购需求得2分，方案内容有提及得1分。严重缺失不得分。</w:t>
            </w:r>
          </w:p>
        </w:tc>
        <w:tc>
          <w:tcPr>
            <w:tcW w:w="1072" w:type="dxa"/>
            <w:vAlign w:val="center"/>
          </w:tcPr>
          <w:p w14:paraId="7A15C0BB">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08FE8AB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6A2AE783">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1373" w:type="dxa"/>
            <w:vAlign w:val="center"/>
          </w:tcPr>
          <w:p w14:paraId="0003FD1C">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3CDA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1" w:type="dxa"/>
            <w:vMerge w:val="continue"/>
            <w:vAlign w:val="center"/>
          </w:tcPr>
          <w:p w14:paraId="2B27367B">
            <w:pPr>
              <w:spacing w:line="360" w:lineRule="auto"/>
              <w:jc w:val="center"/>
              <w:rPr>
                <w:rFonts w:ascii="宋体" w:hAnsi="宋体" w:cs="宋体"/>
                <w:color w:val="auto"/>
                <w:kern w:val="0"/>
                <w:sz w:val="24"/>
                <w:szCs w:val="24"/>
                <w:highlight w:val="none"/>
                <w:lang w:bidi="ar"/>
              </w:rPr>
            </w:pPr>
          </w:p>
        </w:tc>
        <w:tc>
          <w:tcPr>
            <w:tcW w:w="1434" w:type="dxa"/>
            <w:vMerge w:val="continue"/>
            <w:vAlign w:val="center"/>
          </w:tcPr>
          <w:p w14:paraId="62BBB8E5">
            <w:pPr>
              <w:spacing w:line="360" w:lineRule="auto"/>
              <w:jc w:val="left"/>
              <w:rPr>
                <w:rFonts w:ascii="宋体" w:hAnsi="宋体" w:cs="宋体"/>
                <w:color w:val="auto"/>
                <w:kern w:val="0"/>
                <w:sz w:val="24"/>
                <w:szCs w:val="24"/>
                <w:highlight w:val="none"/>
                <w:lang w:bidi="ar"/>
              </w:rPr>
            </w:pPr>
          </w:p>
        </w:tc>
        <w:tc>
          <w:tcPr>
            <w:tcW w:w="4527" w:type="dxa"/>
            <w:gridSpan w:val="2"/>
            <w:vAlign w:val="center"/>
          </w:tcPr>
          <w:p w14:paraId="5B4EB2A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072" w:type="dxa"/>
            <w:vAlign w:val="center"/>
          </w:tcPr>
          <w:p w14:paraId="18F9A6CC">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715E729A">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0CF47C7C">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w:t>
            </w:r>
          </w:p>
        </w:tc>
        <w:tc>
          <w:tcPr>
            <w:tcW w:w="1373" w:type="dxa"/>
            <w:vAlign w:val="center"/>
          </w:tcPr>
          <w:p w14:paraId="3AED5006">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071F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052F4CD8">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5961" w:type="dxa"/>
            <w:gridSpan w:val="3"/>
            <w:vAlign w:val="center"/>
          </w:tcPr>
          <w:p w14:paraId="59E7C76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施工质量目标明确，质量控制措施科学、合理，且有技术支撑的得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分，质量措施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分，质量措施基本合理得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质量措施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072" w:type="dxa"/>
            <w:vAlign w:val="center"/>
          </w:tcPr>
          <w:p w14:paraId="2E11B1FE">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1828D519">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7620232D">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质量控制措施</w:t>
            </w:r>
          </w:p>
        </w:tc>
        <w:tc>
          <w:tcPr>
            <w:tcW w:w="1373" w:type="dxa"/>
            <w:vAlign w:val="center"/>
          </w:tcPr>
          <w:p w14:paraId="6C563D3C">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4B04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26599909">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5961" w:type="dxa"/>
            <w:gridSpan w:val="3"/>
            <w:vAlign w:val="center"/>
          </w:tcPr>
          <w:p w14:paraId="031D405B">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安全、环保、消防等的保证措施科学、合理、到位的得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072" w:type="dxa"/>
            <w:vAlign w:val="center"/>
          </w:tcPr>
          <w:p w14:paraId="166678F5">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60DD6FB9">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71C3EF86">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w:t>
            </w:r>
          </w:p>
        </w:tc>
        <w:tc>
          <w:tcPr>
            <w:tcW w:w="1373" w:type="dxa"/>
            <w:vAlign w:val="center"/>
          </w:tcPr>
          <w:p w14:paraId="7801A16C">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3A37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243B0F76">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5961" w:type="dxa"/>
            <w:gridSpan w:val="3"/>
            <w:vAlign w:val="center"/>
          </w:tcPr>
          <w:p w14:paraId="4C4A3C8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施工机具和检验仪器的投入</w:t>
            </w:r>
            <w:r>
              <w:rPr>
                <w:rFonts w:hint="eastAsia" w:ascii="宋体" w:hAnsi="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bidi="ar"/>
              </w:rPr>
              <w:t>工程</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实施的需要，且与项目相适应针对性强得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分，施工机具和检验仪器的投入满足工程实施需求且针对性</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分，施工机具和检验仪器的投入基本满足工程实施需求得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072" w:type="dxa"/>
            <w:vAlign w:val="center"/>
          </w:tcPr>
          <w:p w14:paraId="66C660D3">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4DC6C97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2" w:type="dxa"/>
            <w:vAlign w:val="center"/>
          </w:tcPr>
          <w:p w14:paraId="38FFBA46">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w:t>
            </w:r>
          </w:p>
        </w:tc>
        <w:tc>
          <w:tcPr>
            <w:tcW w:w="1373" w:type="dxa"/>
            <w:vAlign w:val="center"/>
          </w:tcPr>
          <w:p w14:paraId="68A26015">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05E3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56EE8BA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5961" w:type="dxa"/>
            <w:gridSpan w:val="3"/>
            <w:vAlign w:val="center"/>
          </w:tcPr>
          <w:p w14:paraId="5FD03640">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具有详细的</w:t>
            </w: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计划且计划周密，质量控制</w:t>
            </w:r>
            <w:r>
              <w:rPr>
                <w:rFonts w:hint="eastAsia" w:ascii="宋体" w:hAnsi="宋体" w:cs="宋体"/>
                <w:color w:val="auto"/>
                <w:kern w:val="0"/>
                <w:sz w:val="24"/>
                <w:szCs w:val="24"/>
                <w:highlight w:val="none"/>
                <w:lang w:eastAsia="zh-CN" w:bidi="ar"/>
              </w:rPr>
              <w:t>合理</w:t>
            </w:r>
            <w:r>
              <w:rPr>
                <w:rFonts w:hint="eastAsia" w:ascii="宋体" w:hAnsi="宋体" w:cs="宋体"/>
                <w:color w:val="auto"/>
                <w:kern w:val="0"/>
                <w:sz w:val="24"/>
                <w:szCs w:val="24"/>
                <w:highlight w:val="none"/>
                <w:lang w:bidi="ar"/>
              </w:rPr>
              <w:t>，时间安排合理，满足施工需要，合理得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较合理得</w:t>
            </w:r>
            <w:r>
              <w:rPr>
                <w:rFonts w:hint="eastAsia" w:ascii="宋体" w:hAnsi="宋体" w:cs="宋体"/>
                <w:color w:val="auto"/>
                <w:kern w:val="0"/>
                <w:sz w:val="24"/>
                <w:szCs w:val="24"/>
                <w:highlight w:val="none"/>
                <w:lang w:val="en-US" w:eastAsia="zh-CN" w:bidi="ar"/>
              </w:rPr>
              <w:t>4分，</w:t>
            </w:r>
            <w:r>
              <w:rPr>
                <w:rFonts w:hint="eastAsia" w:ascii="宋体" w:hAnsi="宋体" w:cs="宋体"/>
                <w:color w:val="auto"/>
                <w:kern w:val="0"/>
                <w:sz w:val="24"/>
                <w:szCs w:val="24"/>
                <w:highlight w:val="none"/>
                <w:lang w:eastAsia="zh-CN" w:bidi="ar"/>
              </w:rPr>
              <w:t>基本满足要求得</w:t>
            </w:r>
            <w:r>
              <w:rPr>
                <w:rFonts w:hint="eastAsia" w:ascii="宋体" w:hAnsi="宋体" w:cs="宋体"/>
                <w:color w:val="auto"/>
                <w:kern w:val="0"/>
                <w:sz w:val="24"/>
                <w:szCs w:val="24"/>
                <w:highlight w:val="none"/>
                <w:lang w:val="en-US" w:eastAsia="zh-CN" w:bidi="ar"/>
              </w:rPr>
              <w:t>3分，</w:t>
            </w:r>
            <w:r>
              <w:rPr>
                <w:rFonts w:hint="eastAsia" w:ascii="宋体" w:hAnsi="宋体" w:cs="宋体"/>
                <w:color w:val="auto"/>
                <w:kern w:val="0"/>
                <w:sz w:val="24"/>
                <w:szCs w:val="24"/>
                <w:highlight w:val="none"/>
                <w:lang w:bidi="ar"/>
              </w:rPr>
              <w:t>较差的得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分，未提供材料设备进场计划及施工计划的不得分。</w:t>
            </w:r>
          </w:p>
        </w:tc>
        <w:tc>
          <w:tcPr>
            <w:tcW w:w="1072" w:type="dxa"/>
            <w:vAlign w:val="center"/>
          </w:tcPr>
          <w:p w14:paraId="7F2DBCBE">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    （主观）</w:t>
            </w:r>
          </w:p>
        </w:tc>
        <w:tc>
          <w:tcPr>
            <w:tcW w:w="1292" w:type="dxa"/>
            <w:vAlign w:val="center"/>
          </w:tcPr>
          <w:p w14:paraId="7BDC0687">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w:t>
            </w:r>
          </w:p>
        </w:tc>
        <w:tc>
          <w:tcPr>
            <w:tcW w:w="1373" w:type="dxa"/>
            <w:vAlign w:val="center"/>
          </w:tcPr>
          <w:p w14:paraId="51E83D96">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r w14:paraId="11CE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6B09BD89">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5961" w:type="dxa"/>
            <w:gridSpan w:val="3"/>
            <w:vAlign w:val="center"/>
          </w:tcPr>
          <w:p w14:paraId="7756291E">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拟选用的塑胶面层材料符合GB36246-2018《中小学合成材料面层运动场地》标准，提供国家认可的第三方检测单位出具的合格检测报告，检测项目必须包含耐人工气候老化性能、气味等级、有害物质限量、有害物质释放量，检测结果全部为合格得5分。</w:t>
            </w:r>
          </w:p>
        </w:tc>
        <w:tc>
          <w:tcPr>
            <w:tcW w:w="1072" w:type="dxa"/>
            <w:vAlign w:val="center"/>
          </w:tcPr>
          <w:p w14:paraId="6F50A8F7">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7C9C357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（客观）</w:t>
            </w:r>
          </w:p>
        </w:tc>
        <w:tc>
          <w:tcPr>
            <w:tcW w:w="1292" w:type="dxa"/>
            <w:vAlign w:val="center"/>
          </w:tcPr>
          <w:p w14:paraId="3279C107">
            <w:pPr>
              <w:snapToGrid w:val="0"/>
              <w:spacing w:line="360" w:lineRule="auto"/>
              <w:jc w:val="center"/>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塑胶面层材料检测报告</w:t>
            </w:r>
          </w:p>
        </w:tc>
        <w:tc>
          <w:tcPr>
            <w:tcW w:w="1373" w:type="dxa"/>
            <w:vAlign w:val="center"/>
          </w:tcPr>
          <w:p w14:paraId="1B391A0A">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见</w:t>
            </w:r>
            <w:r>
              <w:rPr>
                <w:rFonts w:hint="eastAsia" w:ascii="宋体" w:hAnsi="宋体" w:cs="宋体"/>
                <w:color w:val="auto"/>
                <w:kern w:val="0"/>
                <w:sz w:val="24"/>
                <w:szCs w:val="24"/>
                <w:highlight w:val="none"/>
                <w:lang w:eastAsia="zh-CN" w:bidi="ar"/>
              </w:rPr>
              <w:t>响应</w:t>
            </w:r>
            <w:r>
              <w:rPr>
                <w:rFonts w:hint="eastAsia" w:ascii="宋体" w:hAnsi="宋体" w:cs="宋体"/>
                <w:color w:val="auto"/>
                <w:kern w:val="0"/>
                <w:sz w:val="24"/>
                <w:szCs w:val="24"/>
                <w:highlight w:val="none"/>
                <w:lang w:bidi="ar"/>
              </w:rPr>
              <w:t>文件第</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页</w:t>
            </w:r>
          </w:p>
        </w:tc>
      </w:tr>
    </w:tbl>
    <w:p w14:paraId="0BFF82A4">
      <w:pPr>
        <w:pStyle w:val="2"/>
        <w:rPr>
          <w:rFonts w:hint="eastAsia" w:ascii="宋体" w:hAnsi="宋体" w:cs="宋体"/>
          <w:b/>
          <w:color w:val="auto"/>
          <w:sz w:val="24"/>
          <w:highlight w:val="none"/>
        </w:rPr>
      </w:pPr>
    </w:p>
    <w:p w14:paraId="3FE09526">
      <w:pPr>
        <w:jc w:val="center"/>
        <w:rPr>
          <w:rFonts w:ascii="宋体" w:hAnsi="宋体" w:cs="宋体"/>
          <w:b/>
          <w:color w:val="auto"/>
          <w:kern w:val="0"/>
          <w:sz w:val="32"/>
          <w:szCs w:val="32"/>
          <w:highlight w:val="none"/>
        </w:rPr>
      </w:pPr>
    </w:p>
    <w:p w14:paraId="5DBBCC20">
      <w:pPr>
        <w:jc w:val="center"/>
        <w:rPr>
          <w:rFonts w:ascii="宋体" w:hAnsi="宋体" w:cs="宋体"/>
          <w:b/>
          <w:color w:val="auto"/>
          <w:kern w:val="0"/>
          <w:sz w:val="32"/>
          <w:szCs w:val="32"/>
          <w:highlight w:val="none"/>
        </w:rPr>
      </w:pPr>
    </w:p>
    <w:p w14:paraId="6FCD288C">
      <w:pPr>
        <w:jc w:val="center"/>
        <w:rPr>
          <w:rFonts w:ascii="宋体" w:hAnsi="宋体" w:cs="宋体"/>
          <w:b/>
          <w:color w:val="auto"/>
          <w:kern w:val="0"/>
          <w:sz w:val="32"/>
          <w:szCs w:val="32"/>
          <w:highlight w:val="none"/>
        </w:rPr>
      </w:pPr>
    </w:p>
    <w:p w14:paraId="620AA935">
      <w:pPr>
        <w:jc w:val="center"/>
        <w:rPr>
          <w:rFonts w:ascii="宋体" w:hAnsi="宋体" w:cs="宋体"/>
          <w:b/>
          <w:color w:val="auto"/>
          <w:kern w:val="0"/>
          <w:sz w:val="32"/>
          <w:szCs w:val="32"/>
          <w:highlight w:val="none"/>
        </w:rPr>
      </w:pPr>
    </w:p>
    <w:p w14:paraId="0C2125F6">
      <w:pPr>
        <w:numPr>
          <w:ilvl w:val="0"/>
          <w:numId w:val="8"/>
        </w:numPr>
        <w:snapToGrid w:val="0"/>
        <w:ind w:left="0" w:leftChars="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商务技术偏离表</w:t>
      </w:r>
    </w:p>
    <w:p w14:paraId="3AC6B1F6">
      <w:pPr>
        <w:pStyle w:val="80"/>
        <w:numPr>
          <w:ilvl w:val="0"/>
          <w:numId w:val="0"/>
        </w:numPr>
        <w:ind w:leftChars="0"/>
        <w:rPr>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C2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B373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9EC292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468442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482FBD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6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CCC7D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306AA68">
            <w:pPr>
              <w:jc w:val="center"/>
              <w:rPr>
                <w:rFonts w:ascii="宋体" w:hAnsi="宋体" w:cs="宋体"/>
                <w:b/>
                <w:color w:val="auto"/>
                <w:kern w:val="0"/>
                <w:sz w:val="32"/>
                <w:szCs w:val="32"/>
                <w:highlight w:val="none"/>
              </w:rPr>
            </w:pPr>
          </w:p>
        </w:tc>
        <w:tc>
          <w:tcPr>
            <w:tcW w:w="3546" w:type="dxa"/>
          </w:tcPr>
          <w:p w14:paraId="43AC4FC3">
            <w:pPr>
              <w:jc w:val="center"/>
              <w:rPr>
                <w:rFonts w:ascii="宋体" w:hAnsi="宋体" w:cs="宋体"/>
                <w:b/>
                <w:color w:val="auto"/>
                <w:kern w:val="0"/>
                <w:sz w:val="32"/>
                <w:szCs w:val="32"/>
                <w:highlight w:val="none"/>
              </w:rPr>
            </w:pPr>
          </w:p>
        </w:tc>
        <w:tc>
          <w:tcPr>
            <w:tcW w:w="1276" w:type="dxa"/>
          </w:tcPr>
          <w:p w14:paraId="38308799">
            <w:pPr>
              <w:jc w:val="center"/>
              <w:rPr>
                <w:rFonts w:ascii="宋体" w:hAnsi="宋体" w:cs="宋体"/>
                <w:b/>
                <w:color w:val="auto"/>
                <w:kern w:val="0"/>
                <w:sz w:val="32"/>
                <w:szCs w:val="32"/>
                <w:highlight w:val="none"/>
              </w:rPr>
            </w:pPr>
          </w:p>
        </w:tc>
      </w:tr>
      <w:tr w14:paraId="25A1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7415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37B939D">
            <w:pPr>
              <w:jc w:val="center"/>
              <w:rPr>
                <w:rFonts w:ascii="宋体" w:hAnsi="宋体" w:cs="宋体"/>
                <w:b/>
                <w:color w:val="auto"/>
                <w:kern w:val="0"/>
                <w:sz w:val="32"/>
                <w:szCs w:val="32"/>
                <w:highlight w:val="none"/>
              </w:rPr>
            </w:pPr>
          </w:p>
        </w:tc>
        <w:tc>
          <w:tcPr>
            <w:tcW w:w="3546" w:type="dxa"/>
          </w:tcPr>
          <w:p w14:paraId="3F3995CC">
            <w:pPr>
              <w:jc w:val="center"/>
              <w:rPr>
                <w:rFonts w:ascii="宋体" w:hAnsi="宋体" w:cs="宋体"/>
                <w:b/>
                <w:color w:val="auto"/>
                <w:kern w:val="0"/>
                <w:sz w:val="32"/>
                <w:szCs w:val="32"/>
                <w:highlight w:val="none"/>
              </w:rPr>
            </w:pPr>
          </w:p>
        </w:tc>
        <w:tc>
          <w:tcPr>
            <w:tcW w:w="1276" w:type="dxa"/>
          </w:tcPr>
          <w:p w14:paraId="0F0292FB">
            <w:pPr>
              <w:jc w:val="center"/>
              <w:rPr>
                <w:rFonts w:ascii="宋体" w:hAnsi="宋体" w:cs="宋体"/>
                <w:b/>
                <w:color w:val="auto"/>
                <w:kern w:val="0"/>
                <w:sz w:val="32"/>
                <w:szCs w:val="32"/>
                <w:highlight w:val="none"/>
              </w:rPr>
            </w:pPr>
          </w:p>
        </w:tc>
      </w:tr>
      <w:tr w14:paraId="27D8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73D80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51AB4F">
            <w:pPr>
              <w:jc w:val="center"/>
              <w:rPr>
                <w:rFonts w:ascii="宋体" w:hAnsi="宋体" w:cs="宋体"/>
                <w:b/>
                <w:color w:val="auto"/>
                <w:kern w:val="0"/>
                <w:sz w:val="32"/>
                <w:szCs w:val="32"/>
                <w:highlight w:val="none"/>
              </w:rPr>
            </w:pPr>
          </w:p>
        </w:tc>
        <w:tc>
          <w:tcPr>
            <w:tcW w:w="3546" w:type="dxa"/>
          </w:tcPr>
          <w:p w14:paraId="41C0729C">
            <w:pPr>
              <w:jc w:val="center"/>
              <w:rPr>
                <w:rFonts w:ascii="宋体" w:hAnsi="宋体" w:cs="宋体"/>
                <w:b/>
                <w:color w:val="auto"/>
                <w:kern w:val="0"/>
                <w:sz w:val="32"/>
                <w:szCs w:val="32"/>
                <w:highlight w:val="none"/>
              </w:rPr>
            </w:pPr>
          </w:p>
        </w:tc>
        <w:tc>
          <w:tcPr>
            <w:tcW w:w="1276" w:type="dxa"/>
          </w:tcPr>
          <w:p w14:paraId="107118B3">
            <w:pPr>
              <w:jc w:val="center"/>
              <w:rPr>
                <w:rFonts w:ascii="宋体" w:hAnsi="宋体" w:cs="宋体"/>
                <w:b/>
                <w:color w:val="auto"/>
                <w:kern w:val="0"/>
                <w:sz w:val="32"/>
                <w:szCs w:val="32"/>
                <w:highlight w:val="none"/>
              </w:rPr>
            </w:pPr>
          </w:p>
        </w:tc>
      </w:tr>
    </w:tbl>
    <w:p w14:paraId="7D29A8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75ED939">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7A71B317">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18A433CC">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7FF996">
      <w:pPr>
        <w:snapToGrid w:val="0"/>
        <w:spacing w:line="360" w:lineRule="auto"/>
        <w:rPr>
          <w:rFonts w:ascii="宋体" w:hAnsi="宋体" w:cs="宋体"/>
          <w:color w:val="auto"/>
          <w:sz w:val="24"/>
          <w:highlight w:val="none"/>
        </w:rPr>
      </w:pPr>
    </w:p>
    <w:p w14:paraId="6E0327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杭州市钱塘区临江新城实验学校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0A2A87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FAE6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9480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05FC82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79E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ADF75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3C9C7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0230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253093">
      <w:pPr>
        <w:autoSpaceDE w:val="0"/>
        <w:autoSpaceDN w:val="0"/>
        <w:spacing w:line="360" w:lineRule="auto"/>
        <w:ind w:left="2"/>
        <w:jc w:val="left"/>
        <w:rPr>
          <w:rFonts w:ascii="宋体" w:hAnsi="宋体" w:cs="宋体"/>
          <w:color w:val="auto"/>
          <w:kern w:val="0"/>
          <w:sz w:val="24"/>
          <w:highlight w:val="none"/>
          <w:lang w:val="zh-CN"/>
        </w:rPr>
      </w:pPr>
    </w:p>
    <w:p w14:paraId="5D5880DB">
      <w:pPr>
        <w:autoSpaceDE w:val="0"/>
        <w:autoSpaceDN w:val="0"/>
        <w:spacing w:line="360" w:lineRule="auto"/>
        <w:ind w:left="2"/>
        <w:jc w:val="left"/>
        <w:rPr>
          <w:rFonts w:ascii="宋体" w:hAnsi="宋体" w:cs="宋体"/>
          <w:color w:val="auto"/>
          <w:kern w:val="0"/>
          <w:sz w:val="24"/>
          <w:highlight w:val="none"/>
          <w:lang w:val="zh-CN"/>
        </w:rPr>
      </w:pPr>
    </w:p>
    <w:p w14:paraId="08EAA53D">
      <w:pPr>
        <w:autoSpaceDE w:val="0"/>
        <w:autoSpaceDN w:val="0"/>
        <w:spacing w:line="360" w:lineRule="auto"/>
        <w:ind w:left="2"/>
        <w:jc w:val="left"/>
        <w:rPr>
          <w:rFonts w:ascii="宋体" w:hAnsi="宋体" w:cs="宋体"/>
          <w:color w:val="auto"/>
          <w:kern w:val="0"/>
          <w:sz w:val="24"/>
          <w:highlight w:val="none"/>
          <w:lang w:val="zh-CN"/>
        </w:rPr>
      </w:pPr>
    </w:p>
    <w:p w14:paraId="55B258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F3B92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54B82DA">
      <w:pPr>
        <w:spacing w:line="360" w:lineRule="auto"/>
        <w:jc w:val="center"/>
        <w:rPr>
          <w:rFonts w:ascii="宋体" w:hAnsi="宋体" w:cs="宋体"/>
          <w:b/>
          <w:bCs/>
          <w:color w:val="auto"/>
          <w:sz w:val="24"/>
          <w:highlight w:val="none"/>
        </w:rPr>
      </w:pPr>
    </w:p>
    <w:p w14:paraId="05881E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C9D390">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23CD29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72C0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01800A">
      <w:pPr>
        <w:spacing w:line="360" w:lineRule="auto"/>
        <w:jc w:val="center"/>
        <w:outlineLvl w:val="0"/>
        <w:rPr>
          <w:rFonts w:ascii="宋体" w:hAnsi="宋体" w:cs="宋体"/>
          <w:b/>
          <w:color w:val="auto"/>
          <w:kern w:val="0"/>
          <w:sz w:val="36"/>
          <w:szCs w:val="36"/>
          <w:highlight w:val="none"/>
        </w:rPr>
      </w:pPr>
    </w:p>
    <w:p w14:paraId="23991C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7F6F2E0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4C0F5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0DEAB8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78292EED">
      <w:pPr>
        <w:snapToGrid w:val="0"/>
        <w:spacing w:line="360" w:lineRule="auto"/>
        <w:ind w:right="480"/>
        <w:jc w:val="center"/>
        <w:rPr>
          <w:rFonts w:ascii="宋体" w:hAnsi="宋体" w:cs="宋体"/>
          <w:b/>
          <w:color w:val="auto"/>
          <w:kern w:val="0"/>
          <w:sz w:val="32"/>
          <w:szCs w:val="32"/>
          <w:highlight w:val="none"/>
        </w:rPr>
      </w:pPr>
    </w:p>
    <w:p w14:paraId="5B877113">
      <w:pPr>
        <w:snapToGrid w:val="0"/>
        <w:spacing w:line="360" w:lineRule="auto"/>
        <w:ind w:right="480"/>
        <w:jc w:val="center"/>
        <w:rPr>
          <w:rFonts w:ascii="宋体" w:hAnsi="宋体" w:cs="宋体"/>
          <w:b/>
          <w:color w:val="auto"/>
          <w:kern w:val="0"/>
          <w:sz w:val="32"/>
          <w:szCs w:val="32"/>
          <w:highlight w:val="none"/>
        </w:rPr>
      </w:pPr>
    </w:p>
    <w:p w14:paraId="3FF0107B">
      <w:pPr>
        <w:snapToGrid w:val="0"/>
        <w:spacing w:line="360" w:lineRule="auto"/>
        <w:ind w:right="480"/>
        <w:jc w:val="center"/>
        <w:rPr>
          <w:rFonts w:ascii="宋体" w:hAnsi="宋体" w:cs="宋体"/>
          <w:b/>
          <w:color w:val="auto"/>
          <w:kern w:val="0"/>
          <w:sz w:val="32"/>
          <w:szCs w:val="32"/>
          <w:highlight w:val="none"/>
        </w:rPr>
      </w:pPr>
    </w:p>
    <w:p w14:paraId="09A8027F">
      <w:pPr>
        <w:snapToGrid w:val="0"/>
        <w:spacing w:line="360" w:lineRule="auto"/>
        <w:ind w:right="480"/>
        <w:jc w:val="center"/>
        <w:rPr>
          <w:rFonts w:ascii="宋体" w:hAnsi="宋体" w:cs="宋体"/>
          <w:b/>
          <w:color w:val="auto"/>
          <w:kern w:val="0"/>
          <w:sz w:val="32"/>
          <w:szCs w:val="32"/>
          <w:highlight w:val="none"/>
        </w:rPr>
      </w:pPr>
    </w:p>
    <w:p w14:paraId="30F028B5">
      <w:pPr>
        <w:snapToGrid w:val="0"/>
        <w:spacing w:line="360" w:lineRule="auto"/>
        <w:ind w:right="480"/>
        <w:jc w:val="center"/>
        <w:rPr>
          <w:rFonts w:ascii="宋体" w:hAnsi="宋体" w:cs="宋体"/>
          <w:b/>
          <w:color w:val="auto"/>
          <w:kern w:val="0"/>
          <w:sz w:val="32"/>
          <w:szCs w:val="32"/>
          <w:highlight w:val="none"/>
        </w:rPr>
      </w:pPr>
    </w:p>
    <w:p w14:paraId="3D361638">
      <w:pPr>
        <w:snapToGrid w:val="0"/>
        <w:spacing w:line="360" w:lineRule="auto"/>
        <w:ind w:right="480"/>
        <w:jc w:val="center"/>
        <w:rPr>
          <w:rFonts w:ascii="宋体" w:hAnsi="宋体" w:cs="宋体"/>
          <w:b/>
          <w:color w:val="auto"/>
          <w:kern w:val="0"/>
          <w:sz w:val="32"/>
          <w:szCs w:val="32"/>
          <w:highlight w:val="none"/>
        </w:rPr>
      </w:pPr>
    </w:p>
    <w:p w14:paraId="4F0CB4AA">
      <w:pPr>
        <w:snapToGrid w:val="0"/>
        <w:spacing w:line="360" w:lineRule="auto"/>
        <w:ind w:right="480"/>
        <w:jc w:val="center"/>
        <w:rPr>
          <w:rFonts w:ascii="宋体" w:hAnsi="宋体" w:cs="宋体"/>
          <w:b/>
          <w:color w:val="auto"/>
          <w:kern w:val="0"/>
          <w:sz w:val="32"/>
          <w:szCs w:val="32"/>
          <w:highlight w:val="none"/>
        </w:rPr>
      </w:pPr>
    </w:p>
    <w:p w14:paraId="18A9EDBD">
      <w:pPr>
        <w:snapToGrid w:val="0"/>
        <w:spacing w:line="360" w:lineRule="auto"/>
        <w:ind w:right="480"/>
        <w:jc w:val="center"/>
        <w:rPr>
          <w:rFonts w:ascii="宋体" w:hAnsi="宋体" w:cs="宋体"/>
          <w:b/>
          <w:color w:val="auto"/>
          <w:kern w:val="0"/>
          <w:sz w:val="32"/>
          <w:szCs w:val="32"/>
          <w:highlight w:val="none"/>
        </w:rPr>
      </w:pPr>
    </w:p>
    <w:p w14:paraId="73466EB9">
      <w:pPr>
        <w:snapToGrid w:val="0"/>
        <w:spacing w:line="360" w:lineRule="auto"/>
        <w:ind w:right="480"/>
        <w:jc w:val="center"/>
        <w:rPr>
          <w:rFonts w:ascii="宋体" w:hAnsi="宋体" w:cs="宋体"/>
          <w:b/>
          <w:color w:val="auto"/>
          <w:kern w:val="0"/>
          <w:sz w:val="32"/>
          <w:szCs w:val="32"/>
          <w:highlight w:val="none"/>
        </w:rPr>
      </w:pPr>
    </w:p>
    <w:p w14:paraId="5AE96C1C">
      <w:pPr>
        <w:snapToGrid w:val="0"/>
        <w:spacing w:line="360" w:lineRule="auto"/>
        <w:ind w:right="480"/>
        <w:jc w:val="center"/>
        <w:rPr>
          <w:rFonts w:ascii="宋体" w:hAnsi="宋体" w:cs="宋体"/>
          <w:b/>
          <w:color w:val="auto"/>
          <w:kern w:val="0"/>
          <w:sz w:val="32"/>
          <w:szCs w:val="32"/>
          <w:highlight w:val="none"/>
        </w:rPr>
      </w:pPr>
    </w:p>
    <w:p w14:paraId="79928E31">
      <w:pPr>
        <w:snapToGrid w:val="0"/>
        <w:spacing w:line="360" w:lineRule="auto"/>
        <w:ind w:right="480"/>
        <w:jc w:val="center"/>
        <w:rPr>
          <w:rFonts w:ascii="宋体" w:hAnsi="宋体" w:cs="宋体"/>
          <w:b/>
          <w:color w:val="auto"/>
          <w:kern w:val="0"/>
          <w:sz w:val="32"/>
          <w:szCs w:val="32"/>
          <w:highlight w:val="none"/>
        </w:rPr>
      </w:pPr>
    </w:p>
    <w:p w14:paraId="3F6792BE">
      <w:pPr>
        <w:snapToGrid w:val="0"/>
        <w:spacing w:line="360" w:lineRule="auto"/>
        <w:ind w:right="480"/>
        <w:jc w:val="center"/>
        <w:rPr>
          <w:rFonts w:ascii="宋体" w:hAnsi="宋体" w:cs="宋体"/>
          <w:b/>
          <w:color w:val="auto"/>
          <w:kern w:val="0"/>
          <w:sz w:val="32"/>
          <w:szCs w:val="32"/>
          <w:highlight w:val="none"/>
        </w:rPr>
      </w:pPr>
    </w:p>
    <w:p w14:paraId="7D196F6B">
      <w:pPr>
        <w:snapToGrid w:val="0"/>
        <w:spacing w:line="360" w:lineRule="auto"/>
        <w:ind w:right="480"/>
        <w:jc w:val="center"/>
        <w:rPr>
          <w:rFonts w:ascii="宋体" w:hAnsi="宋体" w:cs="宋体"/>
          <w:b/>
          <w:color w:val="auto"/>
          <w:kern w:val="0"/>
          <w:sz w:val="32"/>
          <w:szCs w:val="32"/>
          <w:highlight w:val="none"/>
        </w:rPr>
      </w:pPr>
    </w:p>
    <w:p w14:paraId="1024288F">
      <w:pPr>
        <w:snapToGrid w:val="0"/>
        <w:spacing w:line="360" w:lineRule="auto"/>
        <w:ind w:right="480"/>
        <w:jc w:val="center"/>
        <w:rPr>
          <w:rFonts w:ascii="宋体" w:hAnsi="宋体" w:cs="宋体"/>
          <w:b/>
          <w:color w:val="auto"/>
          <w:kern w:val="0"/>
          <w:sz w:val="32"/>
          <w:szCs w:val="32"/>
          <w:highlight w:val="none"/>
        </w:rPr>
      </w:pPr>
    </w:p>
    <w:p w14:paraId="223E2E92">
      <w:pPr>
        <w:snapToGrid w:val="0"/>
        <w:spacing w:line="360" w:lineRule="auto"/>
        <w:ind w:right="480"/>
        <w:jc w:val="center"/>
        <w:rPr>
          <w:rFonts w:ascii="宋体" w:hAnsi="宋体" w:cs="宋体"/>
          <w:b/>
          <w:color w:val="auto"/>
          <w:kern w:val="0"/>
          <w:sz w:val="32"/>
          <w:szCs w:val="32"/>
          <w:highlight w:val="none"/>
        </w:rPr>
      </w:pPr>
    </w:p>
    <w:p w14:paraId="1CB322C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2A05567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3F2C227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杭州市钱塘区临江新城实验学校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3308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QTCG-CS-2025-034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D65F29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C5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A1782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24A10C4">
            <w:pPr>
              <w:spacing w:line="360" w:lineRule="auto"/>
              <w:jc w:val="center"/>
              <w:rPr>
                <w:rFonts w:ascii="宋体" w:hAnsi="宋体" w:cs="宋体"/>
                <w:b/>
                <w:color w:val="auto"/>
                <w:sz w:val="24"/>
                <w:highlight w:val="none"/>
              </w:rPr>
            </w:pPr>
          </w:p>
          <w:p w14:paraId="20954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5CFA32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E61BC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21C6A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46E7D658">
            <w:pPr>
              <w:spacing w:line="360" w:lineRule="auto"/>
              <w:jc w:val="center"/>
              <w:rPr>
                <w:rFonts w:ascii="宋体" w:hAnsi="宋体" w:cs="宋体"/>
                <w:b/>
                <w:color w:val="auto"/>
                <w:sz w:val="24"/>
                <w:highlight w:val="none"/>
              </w:rPr>
            </w:pPr>
          </w:p>
          <w:p w14:paraId="672A6C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E2C733">
            <w:pPr>
              <w:spacing w:line="360" w:lineRule="auto"/>
              <w:jc w:val="center"/>
              <w:rPr>
                <w:rFonts w:ascii="宋体" w:hAnsi="宋体" w:cs="宋体"/>
                <w:b/>
                <w:color w:val="auto"/>
                <w:sz w:val="24"/>
                <w:highlight w:val="none"/>
              </w:rPr>
            </w:pPr>
          </w:p>
        </w:tc>
      </w:tr>
      <w:tr w14:paraId="0279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0AB00611">
            <w:pPr>
              <w:snapToGrid w:val="0"/>
              <w:spacing w:line="360" w:lineRule="auto"/>
              <w:jc w:val="center"/>
              <w:rPr>
                <w:rFonts w:ascii="宋体" w:hAnsi="宋体" w:cs="宋体"/>
                <w:color w:val="auto"/>
                <w:sz w:val="24"/>
                <w:highlight w:val="none"/>
              </w:rPr>
            </w:pPr>
          </w:p>
        </w:tc>
        <w:tc>
          <w:tcPr>
            <w:tcW w:w="1843" w:type="dxa"/>
            <w:vAlign w:val="center"/>
          </w:tcPr>
          <w:p w14:paraId="282541CF">
            <w:pPr>
              <w:snapToGrid w:val="0"/>
              <w:spacing w:line="360" w:lineRule="auto"/>
              <w:jc w:val="center"/>
              <w:rPr>
                <w:rFonts w:ascii="宋体" w:hAnsi="宋体" w:cs="宋体"/>
                <w:color w:val="auto"/>
                <w:sz w:val="24"/>
                <w:highlight w:val="none"/>
              </w:rPr>
            </w:pPr>
          </w:p>
        </w:tc>
        <w:tc>
          <w:tcPr>
            <w:tcW w:w="3118" w:type="dxa"/>
            <w:vAlign w:val="center"/>
          </w:tcPr>
          <w:p w14:paraId="5758E338">
            <w:pPr>
              <w:snapToGrid w:val="0"/>
              <w:spacing w:line="360" w:lineRule="auto"/>
              <w:jc w:val="center"/>
              <w:rPr>
                <w:rFonts w:ascii="宋体" w:hAnsi="宋体" w:cs="宋体"/>
                <w:color w:val="auto"/>
                <w:sz w:val="24"/>
                <w:highlight w:val="none"/>
              </w:rPr>
            </w:pPr>
          </w:p>
        </w:tc>
        <w:tc>
          <w:tcPr>
            <w:tcW w:w="2552" w:type="dxa"/>
            <w:vAlign w:val="center"/>
          </w:tcPr>
          <w:p w14:paraId="649964F8">
            <w:pPr>
              <w:spacing w:line="360" w:lineRule="auto"/>
              <w:jc w:val="center"/>
              <w:rPr>
                <w:rFonts w:ascii="宋体" w:hAnsi="宋体" w:cs="宋体"/>
                <w:color w:val="auto"/>
                <w:sz w:val="24"/>
                <w:highlight w:val="none"/>
              </w:rPr>
            </w:pPr>
          </w:p>
        </w:tc>
        <w:tc>
          <w:tcPr>
            <w:tcW w:w="1984" w:type="dxa"/>
            <w:vAlign w:val="center"/>
          </w:tcPr>
          <w:p w14:paraId="2B7D761C">
            <w:pPr>
              <w:spacing w:line="360" w:lineRule="auto"/>
              <w:jc w:val="center"/>
              <w:rPr>
                <w:rFonts w:ascii="宋体" w:hAnsi="宋体" w:cs="宋体"/>
                <w:color w:val="auto"/>
                <w:sz w:val="24"/>
                <w:highlight w:val="none"/>
              </w:rPr>
            </w:pPr>
          </w:p>
        </w:tc>
        <w:tc>
          <w:tcPr>
            <w:tcW w:w="3119" w:type="dxa"/>
            <w:vAlign w:val="center"/>
          </w:tcPr>
          <w:p w14:paraId="414F9F60">
            <w:pPr>
              <w:spacing w:line="360" w:lineRule="auto"/>
              <w:jc w:val="center"/>
              <w:rPr>
                <w:rFonts w:ascii="宋体" w:hAnsi="宋体" w:cs="宋体"/>
                <w:color w:val="auto"/>
                <w:sz w:val="24"/>
                <w:highlight w:val="none"/>
              </w:rPr>
            </w:pPr>
          </w:p>
        </w:tc>
      </w:tr>
      <w:tr w14:paraId="4D1E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B594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94092DE">
            <w:pPr>
              <w:spacing w:line="360" w:lineRule="auto"/>
              <w:jc w:val="center"/>
              <w:rPr>
                <w:rFonts w:ascii="宋体" w:hAnsi="宋体" w:cs="宋体"/>
                <w:color w:val="auto"/>
                <w:sz w:val="24"/>
                <w:highlight w:val="none"/>
              </w:rPr>
            </w:pPr>
          </w:p>
        </w:tc>
      </w:tr>
      <w:tr w14:paraId="00BF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76809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141D599A">
            <w:pPr>
              <w:spacing w:line="360" w:lineRule="auto"/>
              <w:jc w:val="center"/>
              <w:rPr>
                <w:rFonts w:ascii="宋体" w:hAnsi="宋体" w:cs="宋体"/>
                <w:color w:val="auto"/>
                <w:sz w:val="24"/>
                <w:highlight w:val="none"/>
              </w:rPr>
            </w:pPr>
          </w:p>
        </w:tc>
      </w:tr>
    </w:tbl>
    <w:p w14:paraId="376FC17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90DF7D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3B22E3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0067116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14:paraId="1E1CC95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A134D6">
      <w:pPr>
        <w:spacing w:line="360" w:lineRule="auto"/>
        <w:ind w:firstLine="482" w:firstLineChars="200"/>
        <w:rPr>
          <w:rFonts w:ascii="宋体" w:hAnsi="宋体" w:cs="宋体"/>
          <w:b/>
          <w:color w:val="auto"/>
          <w:kern w:val="0"/>
          <w:sz w:val="24"/>
          <w:highlight w:val="none"/>
        </w:rPr>
      </w:pPr>
    </w:p>
    <w:p w14:paraId="3DA6CEC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F3EAE6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83E6C04">
      <w:pPr>
        <w:pStyle w:val="694"/>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6A41BDD">
      <w:pPr>
        <w:keepNext w:val="0"/>
        <w:pageBreakBefore w:val="0"/>
        <w:snapToGrid w:val="0"/>
        <w:spacing w:before="120" w:after="120"/>
        <w:outlineLvl w:val="9"/>
        <w:rPr>
          <w:rFonts w:hint="eastAsia"/>
          <w:color w:val="auto"/>
          <w:highlight w:val="none"/>
          <w:lang w:val="en-US" w:eastAsia="zh-CN"/>
        </w:rPr>
      </w:pPr>
    </w:p>
    <w:p w14:paraId="10DE882C">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1955609">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51C67BB">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、已标价工程量清单</w:t>
      </w:r>
    </w:p>
    <w:p w14:paraId="275BEB65">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BF00DFA">
      <w:pPr>
        <w:pStyle w:val="28"/>
        <w:ind w:firstLine="480"/>
        <w:rPr>
          <w:rFonts w:cs="宋体"/>
          <w:color w:val="auto"/>
          <w:sz w:val="24"/>
          <w:highlight w:val="none"/>
        </w:rPr>
      </w:pPr>
    </w:p>
    <w:p w14:paraId="59550980">
      <w:pPr>
        <w:pStyle w:val="28"/>
        <w:ind w:firstLine="42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0D1D4559">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0C0B314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177B134">
      <w:pPr>
        <w:pStyle w:val="694"/>
        <w:keepNext w:val="0"/>
        <w:pageBreakBefore w:val="0"/>
        <w:tabs>
          <w:tab w:val="clear" w:pos="720"/>
        </w:tabs>
        <w:snapToGrid w:val="0"/>
        <w:spacing w:before="120" w:after="120"/>
        <w:jc w:val="both"/>
        <w:outlineLvl w:val="9"/>
        <w:rPr>
          <w:rFonts w:ascii="宋体" w:hAnsi="宋体" w:eastAsia="宋体" w:cs="宋体"/>
          <w:b w:val="0"/>
          <w:color w:val="auto"/>
          <w:sz w:val="32"/>
          <w:szCs w:val="32"/>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杭州市钱塘区临江新城实验学校运动场地改造工程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346E26A">
      <w:pPr>
        <w:spacing w:line="360" w:lineRule="auto"/>
        <w:ind w:right="420" w:firstLine="3614" w:firstLineChars="1000"/>
        <w:rPr>
          <w:rFonts w:ascii="宋体" w:hAnsi="宋体" w:cs="宋体"/>
          <w:b/>
          <w:color w:val="auto"/>
          <w:kern w:val="0"/>
          <w:sz w:val="36"/>
          <w:szCs w:val="36"/>
          <w:highlight w:val="none"/>
        </w:rPr>
      </w:pPr>
    </w:p>
    <w:p w14:paraId="5DA01AF6">
      <w:pPr>
        <w:spacing w:line="360" w:lineRule="auto"/>
        <w:ind w:right="420" w:firstLine="3614" w:firstLineChars="1000"/>
        <w:rPr>
          <w:rFonts w:ascii="宋体" w:hAnsi="宋体" w:cs="宋体"/>
          <w:b/>
          <w:color w:val="auto"/>
          <w:kern w:val="0"/>
          <w:sz w:val="36"/>
          <w:szCs w:val="36"/>
          <w:highlight w:val="none"/>
        </w:rPr>
      </w:pPr>
    </w:p>
    <w:p w14:paraId="78C8050F">
      <w:pPr>
        <w:spacing w:line="360" w:lineRule="auto"/>
        <w:ind w:right="420" w:firstLine="3614" w:firstLineChars="1000"/>
        <w:rPr>
          <w:rFonts w:ascii="宋体" w:hAnsi="宋体" w:cs="宋体"/>
          <w:b/>
          <w:color w:val="auto"/>
          <w:kern w:val="0"/>
          <w:sz w:val="36"/>
          <w:szCs w:val="36"/>
          <w:highlight w:val="none"/>
        </w:rPr>
      </w:pPr>
    </w:p>
    <w:p w14:paraId="6B948444">
      <w:pPr>
        <w:spacing w:line="360" w:lineRule="auto"/>
        <w:ind w:right="420" w:firstLine="3614" w:firstLineChars="1000"/>
        <w:rPr>
          <w:rFonts w:ascii="宋体" w:hAnsi="宋体" w:cs="宋体"/>
          <w:b/>
          <w:color w:val="auto"/>
          <w:kern w:val="0"/>
          <w:sz w:val="36"/>
          <w:szCs w:val="36"/>
          <w:highlight w:val="none"/>
        </w:rPr>
      </w:pPr>
    </w:p>
    <w:p w14:paraId="4D0C2E6B">
      <w:pPr>
        <w:spacing w:line="360" w:lineRule="auto"/>
        <w:ind w:right="420" w:firstLine="3614" w:firstLineChars="1000"/>
        <w:rPr>
          <w:rFonts w:ascii="宋体" w:hAnsi="宋体" w:cs="宋体"/>
          <w:b/>
          <w:color w:val="auto"/>
          <w:kern w:val="0"/>
          <w:sz w:val="36"/>
          <w:szCs w:val="36"/>
          <w:highlight w:val="none"/>
        </w:rPr>
      </w:pPr>
    </w:p>
    <w:p w14:paraId="1A1A8AB0">
      <w:pPr>
        <w:spacing w:line="360" w:lineRule="auto"/>
        <w:ind w:right="420" w:firstLine="3614" w:firstLineChars="1000"/>
        <w:rPr>
          <w:rFonts w:ascii="宋体" w:hAnsi="宋体" w:cs="宋体"/>
          <w:b/>
          <w:color w:val="auto"/>
          <w:kern w:val="0"/>
          <w:sz w:val="36"/>
          <w:szCs w:val="36"/>
          <w:highlight w:val="none"/>
        </w:rPr>
      </w:pPr>
    </w:p>
    <w:p w14:paraId="4FF3422D">
      <w:pPr>
        <w:spacing w:line="360" w:lineRule="auto"/>
        <w:ind w:right="420" w:firstLine="3614" w:firstLineChars="1000"/>
        <w:rPr>
          <w:rFonts w:ascii="宋体" w:hAnsi="宋体" w:cs="宋体"/>
          <w:b/>
          <w:color w:val="auto"/>
          <w:kern w:val="0"/>
          <w:sz w:val="36"/>
          <w:szCs w:val="36"/>
          <w:highlight w:val="none"/>
        </w:rPr>
      </w:pPr>
    </w:p>
    <w:p w14:paraId="0CCE4E2E">
      <w:pPr>
        <w:spacing w:line="360" w:lineRule="auto"/>
        <w:ind w:right="420" w:firstLine="3614" w:firstLineChars="1000"/>
        <w:rPr>
          <w:rFonts w:ascii="宋体" w:hAnsi="宋体" w:cs="宋体"/>
          <w:b/>
          <w:color w:val="auto"/>
          <w:kern w:val="0"/>
          <w:sz w:val="36"/>
          <w:szCs w:val="36"/>
          <w:highlight w:val="none"/>
        </w:rPr>
      </w:pPr>
    </w:p>
    <w:p w14:paraId="5CB8680D">
      <w:pPr>
        <w:spacing w:line="360" w:lineRule="auto"/>
        <w:ind w:right="420" w:firstLine="3614" w:firstLineChars="1000"/>
        <w:rPr>
          <w:rFonts w:ascii="宋体" w:hAnsi="宋体" w:cs="宋体"/>
          <w:b/>
          <w:color w:val="auto"/>
          <w:kern w:val="0"/>
          <w:sz w:val="36"/>
          <w:szCs w:val="36"/>
          <w:highlight w:val="none"/>
        </w:rPr>
      </w:pPr>
    </w:p>
    <w:p w14:paraId="4A171F58">
      <w:pPr>
        <w:spacing w:line="360" w:lineRule="auto"/>
        <w:ind w:right="420" w:firstLine="3614" w:firstLineChars="1000"/>
        <w:rPr>
          <w:rFonts w:ascii="宋体" w:hAnsi="宋体" w:cs="宋体"/>
          <w:b/>
          <w:color w:val="auto"/>
          <w:kern w:val="0"/>
          <w:sz w:val="36"/>
          <w:szCs w:val="36"/>
          <w:highlight w:val="none"/>
        </w:rPr>
      </w:pPr>
    </w:p>
    <w:p w14:paraId="47BB9216">
      <w:pPr>
        <w:spacing w:line="360" w:lineRule="auto"/>
        <w:ind w:right="420" w:firstLine="3614" w:firstLineChars="1000"/>
        <w:rPr>
          <w:rFonts w:ascii="宋体" w:hAnsi="宋体" w:cs="宋体"/>
          <w:b/>
          <w:color w:val="auto"/>
          <w:kern w:val="0"/>
          <w:sz w:val="36"/>
          <w:szCs w:val="36"/>
          <w:highlight w:val="none"/>
        </w:rPr>
      </w:pPr>
    </w:p>
    <w:p w14:paraId="6C025C0C">
      <w:pPr>
        <w:spacing w:line="360" w:lineRule="auto"/>
        <w:ind w:right="420" w:firstLine="3614" w:firstLineChars="1000"/>
        <w:rPr>
          <w:rFonts w:ascii="宋体" w:hAnsi="宋体" w:cs="宋体"/>
          <w:b/>
          <w:color w:val="auto"/>
          <w:kern w:val="0"/>
          <w:sz w:val="36"/>
          <w:szCs w:val="36"/>
          <w:highlight w:val="none"/>
        </w:rPr>
      </w:pPr>
    </w:p>
    <w:p w14:paraId="6404C51D">
      <w:pPr>
        <w:spacing w:line="360" w:lineRule="auto"/>
        <w:ind w:right="420" w:firstLine="3614" w:firstLineChars="1000"/>
        <w:rPr>
          <w:rFonts w:ascii="宋体" w:hAnsi="宋体" w:cs="宋体"/>
          <w:b/>
          <w:color w:val="auto"/>
          <w:kern w:val="0"/>
          <w:sz w:val="36"/>
          <w:szCs w:val="36"/>
          <w:highlight w:val="none"/>
        </w:rPr>
      </w:pPr>
    </w:p>
    <w:p w14:paraId="36DD2F1A">
      <w:pPr>
        <w:spacing w:line="360" w:lineRule="auto"/>
        <w:ind w:right="420" w:firstLine="3614" w:firstLineChars="1000"/>
        <w:rPr>
          <w:rFonts w:ascii="宋体" w:hAnsi="宋体" w:cs="宋体"/>
          <w:b/>
          <w:color w:val="auto"/>
          <w:kern w:val="0"/>
          <w:sz w:val="36"/>
          <w:szCs w:val="36"/>
          <w:highlight w:val="none"/>
        </w:rPr>
      </w:pPr>
    </w:p>
    <w:p w14:paraId="4563E6D0">
      <w:pPr>
        <w:spacing w:line="360" w:lineRule="auto"/>
        <w:ind w:right="420" w:firstLine="3614" w:firstLineChars="1000"/>
        <w:rPr>
          <w:rFonts w:ascii="宋体" w:hAnsi="宋体" w:cs="宋体"/>
          <w:b/>
          <w:color w:val="auto"/>
          <w:kern w:val="0"/>
          <w:sz w:val="36"/>
          <w:szCs w:val="36"/>
          <w:highlight w:val="none"/>
        </w:rPr>
      </w:pPr>
    </w:p>
    <w:p w14:paraId="51FA627B">
      <w:pPr>
        <w:spacing w:line="24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E8BC559">
      <w:pPr>
        <w:spacing w:line="360" w:lineRule="auto"/>
        <w:jc w:val="center"/>
        <w:rPr>
          <w:rFonts w:hint="eastAsia" w:ascii="宋体" w:hAnsi="宋体" w:eastAsia="宋体" w:cs="宋体"/>
          <w:b/>
          <w:color w:val="auto"/>
          <w:szCs w:val="21"/>
          <w:highlight w:val="none"/>
        </w:rPr>
      </w:pPr>
      <w:bookmarkStart w:id="1191" w:name="_Toc465665161"/>
      <w:r>
        <w:rPr>
          <w:rFonts w:hint="eastAsia" w:ascii="宋体" w:hAnsi="宋体" w:eastAsia="宋体" w:cs="宋体"/>
          <w:b/>
          <w:color w:val="auto"/>
          <w:szCs w:val="21"/>
          <w:highlight w:val="none"/>
        </w:rPr>
        <w:t>关于钱塘区政府采购支持中小企业信用融资相关事项通知</w:t>
      </w:r>
    </w:p>
    <w:p w14:paraId="6ED0A9E9">
      <w:pPr>
        <w:spacing w:line="360" w:lineRule="auto"/>
        <w:jc w:val="center"/>
        <w:rPr>
          <w:rFonts w:hint="eastAsia" w:ascii="宋体" w:hAnsi="宋体" w:eastAsia="宋体" w:cs="宋体"/>
          <w:b/>
          <w:color w:val="auto"/>
          <w:szCs w:val="21"/>
          <w:highlight w:val="none"/>
        </w:rPr>
      </w:pPr>
    </w:p>
    <w:p w14:paraId="45516C0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716CE89">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5C74BE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5ABF7565">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12F7CD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7FD08CFB">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2ECB2CD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612885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7E52E7F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7162F03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79EE11C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6069532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39705F64">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3"/>
        <w:tblW w:w="9960" w:type="dxa"/>
        <w:tblInd w:w="0" w:type="dxa"/>
        <w:tblLayout w:type="fixed"/>
        <w:tblCellMar>
          <w:top w:w="0" w:type="dxa"/>
          <w:left w:w="108" w:type="dxa"/>
          <w:bottom w:w="0" w:type="dxa"/>
          <w:right w:w="108" w:type="dxa"/>
        </w:tblCellMar>
      </w:tblPr>
      <w:tblGrid>
        <w:gridCol w:w="1229"/>
        <w:gridCol w:w="3442"/>
        <w:gridCol w:w="1618"/>
        <w:gridCol w:w="3671"/>
      </w:tblGrid>
      <w:tr w14:paraId="144D68A7">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14:paraId="0A8D701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442" w:type="dxa"/>
            <w:tcBorders>
              <w:top w:val="single" w:color="auto" w:sz="4" w:space="0"/>
              <w:left w:val="nil"/>
              <w:bottom w:val="single" w:color="auto" w:sz="4" w:space="0"/>
              <w:right w:val="single" w:color="auto" w:sz="4" w:space="0"/>
            </w:tcBorders>
            <w:vAlign w:val="center"/>
          </w:tcPr>
          <w:p w14:paraId="0D22C36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618" w:type="dxa"/>
            <w:tcBorders>
              <w:top w:val="single" w:color="auto" w:sz="4" w:space="0"/>
              <w:left w:val="nil"/>
              <w:bottom w:val="single" w:color="auto" w:sz="4" w:space="0"/>
              <w:right w:val="single" w:color="auto" w:sz="4" w:space="0"/>
            </w:tcBorders>
            <w:vAlign w:val="center"/>
          </w:tcPr>
          <w:p w14:paraId="1CD98C8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671" w:type="dxa"/>
            <w:tcBorders>
              <w:top w:val="single" w:color="auto" w:sz="4" w:space="0"/>
              <w:left w:val="nil"/>
              <w:bottom w:val="single" w:color="auto" w:sz="4" w:space="0"/>
              <w:right w:val="single" w:color="auto" w:sz="4" w:space="0"/>
            </w:tcBorders>
            <w:vAlign w:val="center"/>
          </w:tcPr>
          <w:p w14:paraId="7470BED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3207D57F">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4C6530C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442" w:type="dxa"/>
            <w:tcBorders>
              <w:top w:val="nil"/>
              <w:left w:val="nil"/>
              <w:bottom w:val="single" w:color="auto" w:sz="4" w:space="0"/>
              <w:right w:val="single" w:color="auto" w:sz="4" w:space="0"/>
            </w:tcBorders>
            <w:vAlign w:val="center"/>
          </w:tcPr>
          <w:p w14:paraId="2412F55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618" w:type="dxa"/>
            <w:tcBorders>
              <w:top w:val="nil"/>
              <w:left w:val="nil"/>
              <w:bottom w:val="single" w:color="auto" w:sz="4" w:space="0"/>
              <w:right w:val="single" w:color="auto" w:sz="4" w:space="0"/>
            </w:tcBorders>
            <w:vAlign w:val="center"/>
          </w:tcPr>
          <w:p w14:paraId="541D49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671" w:type="dxa"/>
            <w:tcBorders>
              <w:top w:val="nil"/>
              <w:left w:val="nil"/>
              <w:bottom w:val="single" w:color="auto" w:sz="4" w:space="0"/>
              <w:right w:val="single" w:color="auto" w:sz="4" w:space="0"/>
            </w:tcBorders>
            <w:vAlign w:val="center"/>
          </w:tcPr>
          <w:p w14:paraId="6D33698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74846AA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509DBD3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442" w:type="dxa"/>
            <w:tcBorders>
              <w:top w:val="nil"/>
              <w:left w:val="nil"/>
              <w:bottom w:val="single" w:color="auto" w:sz="4" w:space="0"/>
              <w:right w:val="single" w:color="auto" w:sz="4" w:space="0"/>
            </w:tcBorders>
            <w:vAlign w:val="center"/>
          </w:tcPr>
          <w:p w14:paraId="67BA7D8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618" w:type="dxa"/>
            <w:tcBorders>
              <w:top w:val="nil"/>
              <w:left w:val="nil"/>
              <w:bottom w:val="single" w:color="auto" w:sz="4" w:space="0"/>
              <w:right w:val="single" w:color="auto" w:sz="4" w:space="0"/>
            </w:tcBorders>
            <w:vAlign w:val="center"/>
          </w:tcPr>
          <w:p w14:paraId="071C2D6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671" w:type="dxa"/>
            <w:tcBorders>
              <w:top w:val="nil"/>
              <w:left w:val="nil"/>
              <w:bottom w:val="single" w:color="auto" w:sz="4" w:space="0"/>
              <w:right w:val="single" w:color="auto" w:sz="4" w:space="0"/>
            </w:tcBorders>
            <w:vAlign w:val="center"/>
          </w:tcPr>
          <w:p w14:paraId="39B50ED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7DD63666">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2A2D9146">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442" w:type="dxa"/>
            <w:tcBorders>
              <w:top w:val="nil"/>
              <w:left w:val="nil"/>
              <w:bottom w:val="single" w:color="auto" w:sz="4" w:space="0"/>
              <w:right w:val="single" w:color="auto" w:sz="4" w:space="0"/>
            </w:tcBorders>
            <w:vAlign w:val="center"/>
          </w:tcPr>
          <w:p w14:paraId="1C2D2B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618" w:type="dxa"/>
            <w:tcBorders>
              <w:top w:val="nil"/>
              <w:left w:val="nil"/>
              <w:bottom w:val="single" w:color="auto" w:sz="4" w:space="0"/>
              <w:right w:val="single" w:color="auto" w:sz="4" w:space="0"/>
            </w:tcBorders>
            <w:vAlign w:val="center"/>
          </w:tcPr>
          <w:p w14:paraId="09BF332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671" w:type="dxa"/>
            <w:tcBorders>
              <w:top w:val="nil"/>
              <w:left w:val="nil"/>
              <w:bottom w:val="single" w:color="auto" w:sz="4" w:space="0"/>
              <w:right w:val="single" w:color="auto" w:sz="4" w:space="0"/>
            </w:tcBorders>
            <w:vAlign w:val="center"/>
          </w:tcPr>
          <w:p w14:paraId="1EB116E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3F89D98D">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D1B182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442" w:type="dxa"/>
            <w:tcBorders>
              <w:top w:val="nil"/>
              <w:left w:val="nil"/>
              <w:bottom w:val="single" w:color="auto" w:sz="4" w:space="0"/>
              <w:right w:val="single" w:color="auto" w:sz="4" w:space="0"/>
            </w:tcBorders>
            <w:vAlign w:val="center"/>
          </w:tcPr>
          <w:p w14:paraId="42AE280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618" w:type="dxa"/>
            <w:tcBorders>
              <w:top w:val="nil"/>
              <w:left w:val="nil"/>
              <w:bottom w:val="single" w:color="auto" w:sz="4" w:space="0"/>
              <w:right w:val="single" w:color="auto" w:sz="4" w:space="0"/>
            </w:tcBorders>
            <w:vAlign w:val="center"/>
          </w:tcPr>
          <w:p w14:paraId="6A2B10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7E7A8F6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671" w:type="dxa"/>
            <w:tcBorders>
              <w:top w:val="nil"/>
              <w:left w:val="nil"/>
              <w:bottom w:val="single" w:color="auto" w:sz="4" w:space="0"/>
              <w:right w:val="single" w:color="auto" w:sz="4" w:space="0"/>
            </w:tcBorders>
            <w:vAlign w:val="center"/>
          </w:tcPr>
          <w:p w14:paraId="25CA30C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7D93B91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7794B7C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0A3FA0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442" w:type="dxa"/>
            <w:tcBorders>
              <w:top w:val="nil"/>
              <w:left w:val="nil"/>
              <w:bottom w:val="single" w:color="auto" w:sz="4" w:space="0"/>
              <w:right w:val="single" w:color="auto" w:sz="4" w:space="0"/>
            </w:tcBorders>
            <w:vAlign w:val="center"/>
          </w:tcPr>
          <w:p w14:paraId="65CE8AA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618" w:type="dxa"/>
            <w:tcBorders>
              <w:top w:val="nil"/>
              <w:left w:val="nil"/>
              <w:bottom w:val="single" w:color="auto" w:sz="4" w:space="0"/>
              <w:right w:val="single" w:color="auto" w:sz="4" w:space="0"/>
            </w:tcBorders>
            <w:vAlign w:val="center"/>
          </w:tcPr>
          <w:p w14:paraId="53E3B9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671" w:type="dxa"/>
            <w:tcBorders>
              <w:top w:val="nil"/>
              <w:left w:val="nil"/>
              <w:bottom w:val="single" w:color="auto" w:sz="4" w:space="0"/>
              <w:right w:val="single" w:color="auto" w:sz="4" w:space="0"/>
            </w:tcBorders>
            <w:vAlign w:val="center"/>
          </w:tcPr>
          <w:p w14:paraId="0F99B99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74FF0674">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3D988E2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442" w:type="dxa"/>
            <w:tcBorders>
              <w:top w:val="nil"/>
              <w:left w:val="nil"/>
              <w:bottom w:val="single" w:color="auto" w:sz="4" w:space="0"/>
              <w:right w:val="single" w:color="auto" w:sz="4" w:space="0"/>
            </w:tcBorders>
            <w:vAlign w:val="center"/>
          </w:tcPr>
          <w:p w14:paraId="007208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618" w:type="dxa"/>
            <w:tcBorders>
              <w:top w:val="nil"/>
              <w:left w:val="nil"/>
              <w:bottom w:val="single" w:color="auto" w:sz="4" w:space="0"/>
              <w:right w:val="single" w:color="auto" w:sz="4" w:space="0"/>
            </w:tcBorders>
            <w:vAlign w:val="center"/>
          </w:tcPr>
          <w:p w14:paraId="1953460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671" w:type="dxa"/>
            <w:tcBorders>
              <w:top w:val="nil"/>
              <w:left w:val="nil"/>
              <w:bottom w:val="single" w:color="auto" w:sz="4" w:space="0"/>
              <w:right w:val="single" w:color="auto" w:sz="4" w:space="0"/>
            </w:tcBorders>
            <w:vAlign w:val="center"/>
          </w:tcPr>
          <w:p w14:paraId="665D273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7C6C74A0">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6765BAB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442" w:type="dxa"/>
            <w:tcBorders>
              <w:top w:val="nil"/>
              <w:left w:val="nil"/>
              <w:bottom w:val="single" w:color="auto" w:sz="4" w:space="0"/>
              <w:right w:val="single" w:color="auto" w:sz="4" w:space="0"/>
            </w:tcBorders>
            <w:vAlign w:val="center"/>
          </w:tcPr>
          <w:p w14:paraId="2C137C1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618" w:type="dxa"/>
            <w:tcBorders>
              <w:top w:val="nil"/>
              <w:left w:val="nil"/>
              <w:bottom w:val="single" w:color="auto" w:sz="4" w:space="0"/>
              <w:right w:val="single" w:color="auto" w:sz="4" w:space="0"/>
            </w:tcBorders>
            <w:vAlign w:val="center"/>
          </w:tcPr>
          <w:p w14:paraId="3ACBE10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671" w:type="dxa"/>
            <w:tcBorders>
              <w:top w:val="nil"/>
              <w:left w:val="nil"/>
              <w:bottom w:val="single" w:color="auto" w:sz="4" w:space="0"/>
              <w:right w:val="single" w:color="auto" w:sz="4" w:space="0"/>
            </w:tcBorders>
            <w:vAlign w:val="center"/>
          </w:tcPr>
          <w:p w14:paraId="38EC32B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0B646F66">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14:paraId="49113C4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442" w:type="dxa"/>
            <w:tcBorders>
              <w:top w:val="nil"/>
              <w:left w:val="nil"/>
              <w:bottom w:val="single" w:color="auto" w:sz="4" w:space="0"/>
              <w:right w:val="single" w:color="auto" w:sz="4" w:space="0"/>
            </w:tcBorders>
            <w:vAlign w:val="center"/>
          </w:tcPr>
          <w:p w14:paraId="107BF30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618" w:type="dxa"/>
            <w:tcBorders>
              <w:top w:val="nil"/>
              <w:left w:val="nil"/>
              <w:bottom w:val="single" w:color="auto" w:sz="4" w:space="0"/>
              <w:right w:val="single" w:color="auto" w:sz="4" w:space="0"/>
            </w:tcBorders>
            <w:vAlign w:val="center"/>
          </w:tcPr>
          <w:p w14:paraId="41B233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671" w:type="dxa"/>
            <w:tcBorders>
              <w:top w:val="nil"/>
              <w:left w:val="nil"/>
              <w:bottom w:val="single" w:color="auto" w:sz="4" w:space="0"/>
              <w:right w:val="single" w:color="auto" w:sz="4" w:space="0"/>
            </w:tcBorders>
            <w:vAlign w:val="center"/>
          </w:tcPr>
          <w:p w14:paraId="0AF1BDC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7D2469EA">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14:paraId="25E29799">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442" w:type="dxa"/>
            <w:tcBorders>
              <w:top w:val="nil"/>
              <w:left w:val="nil"/>
              <w:bottom w:val="single" w:color="auto" w:sz="4" w:space="0"/>
              <w:right w:val="single" w:color="auto" w:sz="4" w:space="0"/>
            </w:tcBorders>
            <w:vAlign w:val="center"/>
          </w:tcPr>
          <w:p w14:paraId="63810A9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618" w:type="dxa"/>
            <w:tcBorders>
              <w:top w:val="nil"/>
              <w:left w:val="nil"/>
              <w:bottom w:val="single" w:color="auto" w:sz="4" w:space="0"/>
              <w:right w:val="single" w:color="auto" w:sz="4" w:space="0"/>
            </w:tcBorders>
            <w:vAlign w:val="center"/>
          </w:tcPr>
          <w:p w14:paraId="505981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671" w:type="dxa"/>
            <w:tcBorders>
              <w:top w:val="nil"/>
              <w:left w:val="nil"/>
              <w:bottom w:val="single" w:color="auto" w:sz="4" w:space="0"/>
              <w:right w:val="single" w:color="auto" w:sz="4" w:space="0"/>
            </w:tcBorders>
            <w:vAlign w:val="center"/>
          </w:tcPr>
          <w:p w14:paraId="164BB1D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738A6488">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14:paraId="6B52FF4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442" w:type="dxa"/>
            <w:tcBorders>
              <w:top w:val="nil"/>
              <w:left w:val="nil"/>
              <w:bottom w:val="single" w:color="auto" w:sz="4" w:space="0"/>
              <w:right w:val="single" w:color="auto" w:sz="4" w:space="0"/>
            </w:tcBorders>
            <w:vAlign w:val="center"/>
          </w:tcPr>
          <w:p w14:paraId="65AC8EF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618" w:type="dxa"/>
            <w:tcBorders>
              <w:top w:val="nil"/>
              <w:left w:val="nil"/>
              <w:bottom w:val="single" w:color="auto" w:sz="4" w:space="0"/>
              <w:right w:val="single" w:color="auto" w:sz="4" w:space="0"/>
            </w:tcBorders>
            <w:vAlign w:val="center"/>
          </w:tcPr>
          <w:p w14:paraId="10DF3F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279D46B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671" w:type="dxa"/>
            <w:tcBorders>
              <w:top w:val="nil"/>
              <w:left w:val="nil"/>
              <w:bottom w:val="single" w:color="auto" w:sz="4" w:space="0"/>
              <w:right w:val="single" w:color="auto" w:sz="4" w:space="0"/>
            </w:tcBorders>
            <w:vAlign w:val="center"/>
          </w:tcPr>
          <w:p w14:paraId="1F1F0C5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5096C4E6">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14:paraId="5FC8C3A4">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4D351DF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442" w:type="dxa"/>
            <w:tcBorders>
              <w:top w:val="single" w:color="auto" w:sz="4" w:space="0"/>
              <w:left w:val="nil"/>
              <w:bottom w:val="single" w:color="auto" w:sz="4" w:space="0"/>
              <w:right w:val="single" w:color="auto" w:sz="4" w:space="0"/>
            </w:tcBorders>
            <w:vAlign w:val="center"/>
          </w:tcPr>
          <w:p w14:paraId="0B2EC6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618" w:type="dxa"/>
            <w:tcBorders>
              <w:top w:val="single" w:color="auto" w:sz="4" w:space="0"/>
              <w:left w:val="nil"/>
              <w:bottom w:val="single" w:color="auto" w:sz="4" w:space="0"/>
              <w:right w:val="single" w:color="auto" w:sz="4" w:space="0"/>
            </w:tcBorders>
            <w:vAlign w:val="center"/>
          </w:tcPr>
          <w:p w14:paraId="5115D48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671" w:type="dxa"/>
            <w:tcBorders>
              <w:top w:val="single" w:color="auto" w:sz="4" w:space="0"/>
              <w:left w:val="nil"/>
              <w:bottom w:val="single" w:color="auto" w:sz="4" w:space="0"/>
              <w:right w:val="single" w:color="auto" w:sz="4" w:space="0"/>
            </w:tcBorders>
            <w:vAlign w:val="center"/>
          </w:tcPr>
          <w:p w14:paraId="6D205D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4B367C81">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0E45F1C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442" w:type="dxa"/>
            <w:tcBorders>
              <w:top w:val="single" w:color="auto" w:sz="4" w:space="0"/>
              <w:left w:val="nil"/>
              <w:bottom w:val="single" w:color="auto" w:sz="4" w:space="0"/>
              <w:right w:val="single" w:color="auto" w:sz="4" w:space="0"/>
            </w:tcBorders>
            <w:vAlign w:val="center"/>
          </w:tcPr>
          <w:p w14:paraId="3D3929B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618" w:type="dxa"/>
            <w:tcBorders>
              <w:top w:val="single" w:color="auto" w:sz="4" w:space="0"/>
              <w:left w:val="nil"/>
              <w:bottom w:val="single" w:color="auto" w:sz="4" w:space="0"/>
              <w:right w:val="single" w:color="auto" w:sz="4" w:space="0"/>
            </w:tcBorders>
            <w:vAlign w:val="center"/>
          </w:tcPr>
          <w:p w14:paraId="34336F6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671" w:type="dxa"/>
            <w:tcBorders>
              <w:top w:val="single" w:color="auto" w:sz="4" w:space="0"/>
              <w:left w:val="nil"/>
              <w:bottom w:val="single" w:color="auto" w:sz="4" w:space="0"/>
              <w:right w:val="single" w:color="auto" w:sz="4" w:space="0"/>
            </w:tcBorders>
            <w:vAlign w:val="center"/>
          </w:tcPr>
          <w:p w14:paraId="27BD133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376359F9">
      <w:pPr>
        <w:spacing w:line="360" w:lineRule="auto"/>
        <w:ind w:left="5060" w:hanging="5060" w:hangingChars="2100"/>
        <w:rPr>
          <w:rFonts w:hint="eastAsia" w:ascii="宋体" w:hAnsi="宋体" w:eastAsia="宋体" w:cs="宋体"/>
          <w:b/>
          <w:bCs/>
          <w:color w:val="auto"/>
          <w:kern w:val="0"/>
          <w:sz w:val="24"/>
          <w:highlight w:val="none"/>
        </w:rPr>
      </w:pPr>
    </w:p>
    <w:p w14:paraId="5E66476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1191"/>
    </w:p>
    <w:p w14:paraId="083B6E7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19681F">
      <w:pPr>
        <w:spacing w:line="360" w:lineRule="auto"/>
        <w:jc w:val="center"/>
        <w:rPr>
          <w:rFonts w:ascii="宋体" w:hAnsi="宋体" w:cs="宋体"/>
          <w:b/>
          <w:color w:val="auto"/>
          <w:spacing w:val="6"/>
          <w:sz w:val="32"/>
          <w:szCs w:val="32"/>
          <w:highlight w:val="none"/>
        </w:rPr>
      </w:pPr>
      <w:bookmarkStart w:id="1192" w:name="OLE_LINK13"/>
      <w:bookmarkStart w:id="1193" w:name="OLE_LINK14"/>
      <w:r>
        <w:rPr>
          <w:rFonts w:hint="eastAsia" w:ascii="宋体" w:hAnsi="宋体" w:cs="宋体"/>
          <w:b/>
          <w:color w:val="auto"/>
          <w:spacing w:val="6"/>
          <w:sz w:val="32"/>
          <w:szCs w:val="32"/>
          <w:highlight w:val="none"/>
        </w:rPr>
        <w:t>残疾人福利性单位声明函</w:t>
      </w:r>
    </w:p>
    <w:bookmarkEnd w:id="1192"/>
    <w:bookmarkEnd w:id="1193"/>
    <w:p w14:paraId="1015208E">
      <w:pPr>
        <w:spacing w:line="360" w:lineRule="auto"/>
        <w:rPr>
          <w:rFonts w:ascii="宋体" w:hAnsi="宋体" w:cs="宋体"/>
          <w:b/>
          <w:color w:val="auto"/>
          <w:spacing w:val="6"/>
          <w:sz w:val="30"/>
          <w:szCs w:val="30"/>
          <w:highlight w:val="none"/>
        </w:rPr>
      </w:pPr>
    </w:p>
    <w:p w14:paraId="1E31C9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156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41E510">
      <w:pPr>
        <w:spacing w:line="360" w:lineRule="auto"/>
        <w:ind w:firstLine="480" w:firstLineChars="200"/>
        <w:rPr>
          <w:rFonts w:ascii="宋体" w:hAnsi="宋体" w:cs="宋体"/>
          <w:color w:val="auto"/>
          <w:sz w:val="24"/>
          <w:highlight w:val="none"/>
        </w:rPr>
      </w:pPr>
    </w:p>
    <w:p w14:paraId="21B22411">
      <w:pPr>
        <w:spacing w:line="360" w:lineRule="auto"/>
        <w:ind w:firstLine="480" w:firstLineChars="200"/>
        <w:rPr>
          <w:rFonts w:ascii="宋体" w:hAnsi="宋体" w:cs="宋体"/>
          <w:color w:val="auto"/>
          <w:sz w:val="24"/>
          <w:highlight w:val="none"/>
        </w:rPr>
      </w:pPr>
    </w:p>
    <w:p w14:paraId="2F8B4A1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79953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1D25E40">
      <w:pPr>
        <w:spacing w:line="360" w:lineRule="auto"/>
        <w:ind w:firstLine="480" w:firstLineChars="200"/>
        <w:rPr>
          <w:rFonts w:ascii="宋体" w:hAnsi="宋体" w:cs="宋体"/>
          <w:color w:val="auto"/>
          <w:sz w:val="24"/>
          <w:highlight w:val="none"/>
        </w:rPr>
      </w:pPr>
    </w:p>
    <w:p w14:paraId="135C26B9">
      <w:pPr>
        <w:spacing w:line="360" w:lineRule="auto"/>
        <w:ind w:firstLine="420" w:firstLineChars="200"/>
        <w:rPr>
          <w:rFonts w:ascii="宋体" w:hAnsi="宋体" w:cs="宋体"/>
          <w:color w:val="auto"/>
          <w:highlight w:val="none"/>
        </w:rPr>
      </w:pPr>
    </w:p>
    <w:p w14:paraId="3D347D4C">
      <w:pPr>
        <w:spacing w:line="360" w:lineRule="auto"/>
        <w:ind w:firstLine="420" w:firstLineChars="200"/>
        <w:rPr>
          <w:rFonts w:ascii="宋体" w:hAnsi="宋体" w:cs="宋体"/>
          <w:color w:val="auto"/>
          <w:highlight w:val="none"/>
        </w:rPr>
      </w:pPr>
    </w:p>
    <w:p w14:paraId="46315841">
      <w:pPr>
        <w:spacing w:line="360" w:lineRule="auto"/>
        <w:ind w:firstLine="420" w:firstLineChars="200"/>
        <w:rPr>
          <w:rFonts w:ascii="宋体" w:hAnsi="宋体" w:cs="宋体"/>
          <w:color w:val="auto"/>
          <w:highlight w:val="none"/>
        </w:rPr>
      </w:pPr>
    </w:p>
    <w:p w14:paraId="5F7BCB26">
      <w:pPr>
        <w:spacing w:line="360" w:lineRule="auto"/>
        <w:ind w:firstLine="420" w:firstLineChars="200"/>
        <w:rPr>
          <w:rFonts w:ascii="宋体" w:hAnsi="宋体" w:cs="宋体"/>
          <w:color w:val="auto"/>
          <w:highlight w:val="none"/>
        </w:rPr>
      </w:pPr>
    </w:p>
    <w:p w14:paraId="0F974875">
      <w:pPr>
        <w:spacing w:line="360" w:lineRule="auto"/>
        <w:rPr>
          <w:rFonts w:ascii="宋体" w:hAnsi="宋体" w:cs="宋体"/>
          <w:b/>
          <w:color w:val="auto"/>
          <w:sz w:val="24"/>
          <w:highlight w:val="none"/>
        </w:rPr>
      </w:pPr>
    </w:p>
    <w:p w14:paraId="024BF59D">
      <w:pPr>
        <w:spacing w:line="360" w:lineRule="auto"/>
        <w:rPr>
          <w:rFonts w:ascii="宋体" w:hAnsi="宋体" w:cs="宋体"/>
          <w:b/>
          <w:color w:val="auto"/>
          <w:sz w:val="24"/>
          <w:highlight w:val="none"/>
        </w:rPr>
      </w:pPr>
    </w:p>
    <w:p w14:paraId="1ED573FC">
      <w:pPr>
        <w:spacing w:line="360" w:lineRule="auto"/>
        <w:rPr>
          <w:rFonts w:ascii="宋体" w:hAnsi="宋体" w:cs="宋体"/>
          <w:b/>
          <w:color w:val="auto"/>
          <w:sz w:val="24"/>
          <w:highlight w:val="none"/>
        </w:rPr>
      </w:pPr>
    </w:p>
    <w:p w14:paraId="05900CFD">
      <w:pPr>
        <w:spacing w:line="360" w:lineRule="auto"/>
        <w:rPr>
          <w:rFonts w:ascii="宋体" w:hAnsi="宋体" w:cs="宋体"/>
          <w:b/>
          <w:color w:val="auto"/>
          <w:sz w:val="24"/>
          <w:highlight w:val="none"/>
        </w:rPr>
      </w:pPr>
    </w:p>
    <w:p w14:paraId="315CA83C">
      <w:pPr>
        <w:spacing w:line="360" w:lineRule="auto"/>
        <w:rPr>
          <w:rFonts w:ascii="宋体" w:hAnsi="宋体" w:cs="宋体"/>
          <w:b/>
          <w:color w:val="auto"/>
          <w:sz w:val="24"/>
          <w:highlight w:val="none"/>
        </w:rPr>
      </w:pPr>
    </w:p>
    <w:p w14:paraId="36E254B1">
      <w:pPr>
        <w:spacing w:line="360" w:lineRule="auto"/>
        <w:rPr>
          <w:rFonts w:ascii="宋体" w:hAnsi="宋体" w:cs="宋体"/>
          <w:b/>
          <w:color w:val="auto"/>
          <w:sz w:val="24"/>
          <w:highlight w:val="none"/>
        </w:rPr>
      </w:pPr>
    </w:p>
    <w:p w14:paraId="2A03784D">
      <w:pPr>
        <w:spacing w:line="360" w:lineRule="auto"/>
        <w:rPr>
          <w:rFonts w:ascii="宋体" w:hAnsi="宋体" w:cs="宋体"/>
          <w:b/>
          <w:color w:val="auto"/>
          <w:sz w:val="24"/>
          <w:highlight w:val="none"/>
        </w:rPr>
      </w:pPr>
    </w:p>
    <w:p w14:paraId="3274B110">
      <w:pPr>
        <w:spacing w:line="360" w:lineRule="auto"/>
        <w:rPr>
          <w:rFonts w:ascii="宋体" w:hAnsi="宋体" w:cs="宋体"/>
          <w:b/>
          <w:color w:val="auto"/>
          <w:sz w:val="24"/>
          <w:highlight w:val="none"/>
        </w:rPr>
      </w:pPr>
    </w:p>
    <w:p w14:paraId="1CFD3FE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D34667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0AA06D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F004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8417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4A9A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E787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6EF31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01A5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B51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3E82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214F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2960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3696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D0566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437A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A031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B44FA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D7E4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86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5252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1946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5EA9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CEE4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417A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32E5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34325C">
      <w:pPr>
        <w:spacing w:line="360" w:lineRule="auto"/>
        <w:jc w:val="center"/>
        <w:rPr>
          <w:rFonts w:ascii="宋体" w:hAnsi="宋体" w:cs="宋体"/>
          <w:b/>
          <w:bCs/>
          <w:color w:val="auto"/>
          <w:sz w:val="24"/>
          <w:highlight w:val="none"/>
        </w:rPr>
      </w:pPr>
    </w:p>
    <w:p w14:paraId="3B726C32">
      <w:pPr>
        <w:spacing w:line="360" w:lineRule="auto"/>
        <w:rPr>
          <w:rFonts w:ascii="宋体" w:hAnsi="宋体" w:cs="宋体"/>
          <w:b/>
          <w:color w:val="auto"/>
          <w:sz w:val="24"/>
          <w:highlight w:val="none"/>
        </w:rPr>
      </w:pPr>
    </w:p>
    <w:p w14:paraId="029BD5B7">
      <w:pPr>
        <w:spacing w:line="360" w:lineRule="auto"/>
        <w:rPr>
          <w:rFonts w:ascii="宋体" w:hAnsi="宋体" w:cs="宋体"/>
          <w:b/>
          <w:color w:val="auto"/>
          <w:sz w:val="24"/>
          <w:highlight w:val="none"/>
        </w:rPr>
      </w:pPr>
    </w:p>
    <w:p w14:paraId="5C48C5C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3BB95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3B69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E199D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609C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9BE6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806C4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EAE2B3">
      <w:pPr>
        <w:widowControl/>
        <w:spacing w:line="360" w:lineRule="auto"/>
        <w:ind w:firstLine="600" w:firstLineChars="200"/>
        <w:jc w:val="left"/>
        <w:rPr>
          <w:rFonts w:ascii="宋体" w:hAnsi="宋体" w:cs="宋体"/>
          <w:color w:val="auto"/>
          <w:sz w:val="30"/>
          <w:szCs w:val="30"/>
          <w:highlight w:val="none"/>
        </w:rPr>
      </w:pPr>
    </w:p>
    <w:p w14:paraId="21D0DA70">
      <w:pPr>
        <w:spacing w:line="360" w:lineRule="auto"/>
        <w:jc w:val="center"/>
        <w:rPr>
          <w:rFonts w:ascii="宋体" w:hAnsi="宋体" w:cs="宋体"/>
          <w:b/>
          <w:color w:val="auto"/>
          <w:spacing w:val="6"/>
          <w:sz w:val="32"/>
          <w:szCs w:val="32"/>
          <w:highlight w:val="none"/>
        </w:rPr>
      </w:pPr>
    </w:p>
    <w:p w14:paraId="176EAA01">
      <w:pPr>
        <w:spacing w:line="360" w:lineRule="auto"/>
        <w:jc w:val="center"/>
        <w:rPr>
          <w:rFonts w:ascii="宋体" w:hAnsi="宋体" w:cs="宋体"/>
          <w:b/>
          <w:color w:val="auto"/>
          <w:spacing w:val="6"/>
          <w:sz w:val="32"/>
          <w:szCs w:val="32"/>
          <w:highlight w:val="none"/>
        </w:rPr>
      </w:pPr>
    </w:p>
    <w:p w14:paraId="6B1E8F1E">
      <w:pPr>
        <w:spacing w:line="360" w:lineRule="auto"/>
        <w:jc w:val="center"/>
        <w:rPr>
          <w:rFonts w:ascii="宋体" w:hAnsi="宋体" w:cs="宋体"/>
          <w:b/>
          <w:color w:val="auto"/>
          <w:spacing w:val="6"/>
          <w:sz w:val="32"/>
          <w:szCs w:val="32"/>
          <w:highlight w:val="none"/>
        </w:rPr>
      </w:pPr>
    </w:p>
    <w:p w14:paraId="1941617E">
      <w:pPr>
        <w:spacing w:line="360" w:lineRule="auto"/>
        <w:jc w:val="center"/>
        <w:rPr>
          <w:rFonts w:ascii="宋体" w:hAnsi="宋体" w:cs="宋体"/>
          <w:b/>
          <w:color w:val="auto"/>
          <w:spacing w:val="6"/>
          <w:sz w:val="32"/>
          <w:szCs w:val="32"/>
          <w:highlight w:val="none"/>
        </w:rPr>
      </w:pPr>
    </w:p>
    <w:p w14:paraId="7F0AC4A8">
      <w:pPr>
        <w:spacing w:line="360" w:lineRule="auto"/>
        <w:jc w:val="center"/>
        <w:rPr>
          <w:rFonts w:ascii="宋体" w:hAnsi="宋体" w:cs="宋体"/>
          <w:b/>
          <w:color w:val="auto"/>
          <w:spacing w:val="6"/>
          <w:sz w:val="32"/>
          <w:szCs w:val="32"/>
          <w:highlight w:val="none"/>
        </w:rPr>
      </w:pPr>
    </w:p>
    <w:p w14:paraId="0D66A228">
      <w:pPr>
        <w:spacing w:line="360" w:lineRule="auto"/>
        <w:jc w:val="center"/>
        <w:rPr>
          <w:rFonts w:ascii="宋体" w:hAnsi="宋体" w:cs="宋体"/>
          <w:b/>
          <w:color w:val="auto"/>
          <w:spacing w:val="6"/>
          <w:sz w:val="32"/>
          <w:szCs w:val="32"/>
          <w:highlight w:val="none"/>
        </w:rPr>
      </w:pPr>
    </w:p>
    <w:p w14:paraId="2E75604A">
      <w:pPr>
        <w:spacing w:line="360" w:lineRule="auto"/>
        <w:jc w:val="center"/>
        <w:rPr>
          <w:rFonts w:ascii="宋体" w:hAnsi="宋体" w:cs="宋体"/>
          <w:b/>
          <w:color w:val="auto"/>
          <w:spacing w:val="6"/>
          <w:sz w:val="32"/>
          <w:szCs w:val="32"/>
          <w:highlight w:val="none"/>
        </w:rPr>
      </w:pPr>
    </w:p>
    <w:p w14:paraId="3C477298">
      <w:pPr>
        <w:spacing w:line="360" w:lineRule="auto"/>
        <w:jc w:val="center"/>
        <w:rPr>
          <w:rFonts w:ascii="宋体" w:hAnsi="宋体" w:cs="宋体"/>
          <w:b/>
          <w:color w:val="auto"/>
          <w:spacing w:val="6"/>
          <w:sz w:val="32"/>
          <w:szCs w:val="32"/>
          <w:highlight w:val="none"/>
        </w:rPr>
      </w:pPr>
    </w:p>
    <w:p w14:paraId="2EC072DA">
      <w:pPr>
        <w:spacing w:line="360" w:lineRule="auto"/>
        <w:jc w:val="center"/>
        <w:rPr>
          <w:rFonts w:ascii="宋体" w:hAnsi="宋体" w:cs="宋体"/>
          <w:b/>
          <w:color w:val="auto"/>
          <w:spacing w:val="6"/>
          <w:sz w:val="32"/>
          <w:szCs w:val="32"/>
          <w:highlight w:val="none"/>
        </w:rPr>
      </w:pPr>
    </w:p>
    <w:p w14:paraId="4BAE312C">
      <w:pPr>
        <w:spacing w:line="360" w:lineRule="auto"/>
        <w:jc w:val="center"/>
        <w:rPr>
          <w:rFonts w:ascii="宋体" w:hAnsi="宋体" w:cs="宋体"/>
          <w:b/>
          <w:color w:val="auto"/>
          <w:spacing w:val="6"/>
          <w:sz w:val="32"/>
          <w:szCs w:val="32"/>
          <w:highlight w:val="none"/>
        </w:rPr>
      </w:pPr>
    </w:p>
    <w:p w14:paraId="314E1A7C">
      <w:pPr>
        <w:spacing w:line="360" w:lineRule="auto"/>
        <w:jc w:val="center"/>
        <w:rPr>
          <w:rFonts w:ascii="宋体" w:hAnsi="宋体" w:cs="宋体"/>
          <w:b/>
          <w:color w:val="auto"/>
          <w:spacing w:val="6"/>
          <w:sz w:val="32"/>
          <w:szCs w:val="32"/>
          <w:highlight w:val="none"/>
        </w:rPr>
      </w:pPr>
    </w:p>
    <w:p w14:paraId="4907C1F0">
      <w:pPr>
        <w:spacing w:line="360" w:lineRule="auto"/>
        <w:jc w:val="center"/>
        <w:rPr>
          <w:rFonts w:ascii="宋体" w:hAnsi="宋体" w:cs="宋体"/>
          <w:b/>
          <w:color w:val="auto"/>
          <w:spacing w:val="6"/>
          <w:sz w:val="32"/>
          <w:szCs w:val="32"/>
          <w:highlight w:val="none"/>
        </w:rPr>
      </w:pPr>
    </w:p>
    <w:p w14:paraId="5113811D">
      <w:pPr>
        <w:spacing w:line="360" w:lineRule="auto"/>
        <w:jc w:val="left"/>
        <w:rPr>
          <w:rFonts w:ascii="宋体" w:hAnsi="宋体" w:cs="宋体"/>
          <w:b/>
          <w:color w:val="auto"/>
          <w:spacing w:val="6"/>
          <w:sz w:val="32"/>
          <w:szCs w:val="32"/>
          <w:highlight w:val="none"/>
        </w:rPr>
      </w:pPr>
    </w:p>
    <w:p w14:paraId="6C88E979">
      <w:pPr>
        <w:spacing w:line="360" w:lineRule="auto"/>
        <w:jc w:val="left"/>
        <w:rPr>
          <w:rFonts w:ascii="宋体" w:hAnsi="宋体" w:cs="宋体"/>
          <w:b/>
          <w:color w:val="auto"/>
          <w:spacing w:val="6"/>
          <w:sz w:val="32"/>
          <w:szCs w:val="32"/>
          <w:highlight w:val="none"/>
        </w:rPr>
      </w:pPr>
    </w:p>
    <w:p w14:paraId="0807A55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28F98DC">
      <w:pPr>
        <w:spacing w:line="360" w:lineRule="auto"/>
        <w:jc w:val="center"/>
        <w:rPr>
          <w:rFonts w:ascii="宋体" w:hAnsi="宋体" w:cs="宋体"/>
          <w:b/>
          <w:color w:val="auto"/>
          <w:sz w:val="24"/>
          <w:highlight w:val="none"/>
        </w:rPr>
      </w:pPr>
    </w:p>
    <w:p w14:paraId="5017CF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85187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A3EC0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F7EDA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0BBE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E61F1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F788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FE76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678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BEE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8F7B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A5083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CAE2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D10A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B8EF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72C4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55AD3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36E0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D4AA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A7828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FC9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566C1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A10B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EF451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9CC527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3EE12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9D3EB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0537B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829A3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C8C8C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902A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69A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7611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61203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4093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8A7E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EABE0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74E8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5CE0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C874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0787BE">
      <w:pPr>
        <w:spacing w:line="360" w:lineRule="auto"/>
        <w:rPr>
          <w:rFonts w:ascii="宋体" w:hAnsi="宋体" w:cs="宋体"/>
          <w:b/>
          <w:color w:val="auto"/>
          <w:sz w:val="24"/>
          <w:highlight w:val="none"/>
        </w:rPr>
      </w:pPr>
    </w:p>
    <w:p w14:paraId="0E5F9AE1">
      <w:pPr>
        <w:spacing w:line="360" w:lineRule="auto"/>
        <w:rPr>
          <w:rFonts w:ascii="宋体" w:hAnsi="宋体" w:cs="宋体"/>
          <w:b/>
          <w:color w:val="auto"/>
          <w:sz w:val="24"/>
          <w:highlight w:val="none"/>
        </w:rPr>
      </w:pPr>
    </w:p>
    <w:p w14:paraId="01AF086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A3580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51075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A5BB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828E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0AD6C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7369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145C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A7283B">
      <w:pPr>
        <w:spacing w:line="360" w:lineRule="auto"/>
        <w:rPr>
          <w:rFonts w:ascii="宋体" w:hAnsi="宋体" w:cs="宋体"/>
          <w:b/>
          <w:color w:val="auto"/>
          <w:sz w:val="24"/>
          <w:highlight w:val="none"/>
        </w:rPr>
      </w:pPr>
    </w:p>
    <w:p w14:paraId="02CAD30F">
      <w:pPr>
        <w:autoSpaceDE w:val="0"/>
        <w:autoSpaceDN w:val="0"/>
        <w:jc w:val="center"/>
        <w:rPr>
          <w:rFonts w:ascii="宋体" w:hAnsi="宋体" w:cs="宋体"/>
          <w:b/>
          <w:color w:val="auto"/>
          <w:spacing w:val="6"/>
          <w:sz w:val="32"/>
          <w:szCs w:val="32"/>
          <w:highlight w:val="none"/>
        </w:rPr>
      </w:pPr>
    </w:p>
    <w:p w14:paraId="24420134">
      <w:pPr>
        <w:pStyle w:val="82"/>
        <w:rPr>
          <w:color w:val="auto"/>
          <w:highlight w:val="none"/>
        </w:rPr>
      </w:pPr>
    </w:p>
    <w:p w14:paraId="056FFB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8D694BA">
      <w:pPr>
        <w:spacing w:line="360" w:lineRule="auto"/>
        <w:rPr>
          <w:rFonts w:ascii="宋体" w:hAnsi="宋体" w:cs="宋体"/>
          <w:color w:val="auto"/>
          <w:sz w:val="24"/>
          <w:highlight w:val="none"/>
          <w:u w:val="single"/>
        </w:rPr>
      </w:pPr>
    </w:p>
    <w:p w14:paraId="7A91638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杭州市钱塘区临江新城实验学校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浙江省房地产管理咨询有限公司</w:t>
      </w:r>
    </w:p>
    <w:p w14:paraId="4087EB5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QTCG-CS-2025-034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74D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C91431F">
      <w:pPr>
        <w:spacing w:line="360" w:lineRule="auto"/>
        <w:ind w:firstLine="494"/>
        <w:rPr>
          <w:rFonts w:ascii="宋体" w:hAnsi="宋体" w:cs="宋体"/>
          <w:color w:val="auto"/>
          <w:sz w:val="24"/>
          <w:highlight w:val="none"/>
        </w:rPr>
      </w:pPr>
    </w:p>
    <w:p w14:paraId="29282221">
      <w:pPr>
        <w:spacing w:line="360" w:lineRule="auto"/>
        <w:ind w:firstLine="494"/>
        <w:rPr>
          <w:rFonts w:ascii="宋体" w:hAnsi="宋体" w:cs="宋体"/>
          <w:color w:val="auto"/>
          <w:sz w:val="24"/>
          <w:highlight w:val="none"/>
        </w:rPr>
      </w:pPr>
    </w:p>
    <w:p w14:paraId="59995F20">
      <w:pPr>
        <w:spacing w:line="360" w:lineRule="auto"/>
        <w:ind w:firstLine="494"/>
        <w:rPr>
          <w:rFonts w:ascii="宋体" w:hAnsi="宋体" w:cs="宋体"/>
          <w:color w:val="auto"/>
          <w:sz w:val="24"/>
          <w:highlight w:val="none"/>
        </w:rPr>
      </w:pPr>
    </w:p>
    <w:p w14:paraId="61B63F71">
      <w:pPr>
        <w:spacing w:line="360" w:lineRule="auto"/>
        <w:ind w:firstLine="494"/>
        <w:rPr>
          <w:rFonts w:ascii="宋体" w:hAnsi="宋体" w:cs="宋体"/>
          <w:color w:val="auto"/>
          <w:sz w:val="24"/>
          <w:highlight w:val="none"/>
        </w:rPr>
      </w:pPr>
    </w:p>
    <w:p w14:paraId="387AEF4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（法定名称章）：</w:t>
      </w:r>
    </w:p>
    <w:p w14:paraId="173BA9D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BFB6C">
      <w:pPr>
        <w:rPr>
          <w:rFonts w:ascii="宋体" w:hAnsi="宋体" w:cs="宋体"/>
          <w:color w:val="auto"/>
          <w:sz w:val="24"/>
          <w:highlight w:val="none"/>
        </w:rPr>
      </w:pPr>
      <w:r>
        <w:rPr>
          <w:rFonts w:hint="eastAsia" w:ascii="宋体" w:hAnsi="宋体" w:cs="宋体"/>
          <w:b/>
          <w:bCs/>
          <w:color w:val="auto"/>
          <w:sz w:val="24"/>
          <w:highlight w:val="none"/>
        </w:rPr>
        <w:t>附：</w:t>
      </w:r>
    </w:p>
    <w:p w14:paraId="55F0330A">
      <w:pPr>
        <w:spacing w:line="360" w:lineRule="auto"/>
        <w:rPr>
          <w:rFonts w:ascii="宋体" w:hAnsi="宋体" w:cs="宋体"/>
          <w:bCs/>
          <w:color w:val="auto"/>
          <w:sz w:val="24"/>
          <w:highlight w:val="none"/>
        </w:rPr>
      </w:pPr>
      <w:r>
        <w:rPr>
          <w:rFonts w:hint="default" w:ascii="宋体" w:hAnsi="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240DA47">
      <w:pPr>
        <w:autoSpaceDE w:val="0"/>
        <w:autoSpaceDN w:val="0"/>
        <w:jc w:val="center"/>
        <w:rPr>
          <w:rFonts w:ascii="宋体" w:hAnsi="宋体" w:cs="宋体"/>
          <w:b/>
          <w:color w:val="auto"/>
          <w:spacing w:val="6"/>
          <w:sz w:val="32"/>
          <w:szCs w:val="32"/>
          <w:highlight w:val="none"/>
        </w:rPr>
      </w:pPr>
    </w:p>
    <w:p w14:paraId="4113D412">
      <w:pPr>
        <w:autoSpaceDE w:val="0"/>
        <w:autoSpaceDN w:val="0"/>
        <w:jc w:val="center"/>
        <w:rPr>
          <w:rFonts w:ascii="宋体" w:hAnsi="宋体" w:cs="宋体"/>
          <w:b/>
          <w:color w:val="auto"/>
          <w:spacing w:val="6"/>
          <w:sz w:val="32"/>
          <w:szCs w:val="32"/>
          <w:highlight w:val="none"/>
        </w:rPr>
      </w:pPr>
    </w:p>
    <w:p w14:paraId="585B195B">
      <w:pPr>
        <w:autoSpaceDE w:val="0"/>
        <w:autoSpaceDN w:val="0"/>
        <w:jc w:val="center"/>
        <w:rPr>
          <w:rFonts w:ascii="宋体" w:hAnsi="宋体" w:cs="宋体"/>
          <w:b/>
          <w:color w:val="auto"/>
          <w:spacing w:val="6"/>
          <w:sz w:val="32"/>
          <w:szCs w:val="32"/>
          <w:highlight w:val="none"/>
        </w:rPr>
      </w:pPr>
    </w:p>
    <w:p w14:paraId="79F810A9">
      <w:pPr>
        <w:autoSpaceDE w:val="0"/>
        <w:autoSpaceDN w:val="0"/>
        <w:jc w:val="center"/>
        <w:rPr>
          <w:rFonts w:ascii="宋体" w:hAnsi="宋体" w:cs="宋体"/>
          <w:b/>
          <w:color w:val="auto"/>
          <w:spacing w:val="6"/>
          <w:sz w:val="32"/>
          <w:szCs w:val="32"/>
          <w:highlight w:val="none"/>
        </w:rPr>
      </w:pPr>
    </w:p>
    <w:p w14:paraId="677303C5">
      <w:pPr>
        <w:autoSpaceDE w:val="0"/>
        <w:autoSpaceDN w:val="0"/>
        <w:jc w:val="center"/>
        <w:rPr>
          <w:rFonts w:ascii="宋体" w:hAnsi="宋体" w:cs="宋体"/>
          <w:b/>
          <w:color w:val="auto"/>
          <w:spacing w:val="6"/>
          <w:sz w:val="32"/>
          <w:szCs w:val="32"/>
          <w:highlight w:val="none"/>
        </w:rPr>
      </w:pPr>
    </w:p>
    <w:p w14:paraId="578412EE">
      <w:pPr>
        <w:autoSpaceDE w:val="0"/>
        <w:autoSpaceDN w:val="0"/>
        <w:jc w:val="center"/>
        <w:rPr>
          <w:rFonts w:ascii="宋体" w:hAnsi="宋体" w:cs="宋体"/>
          <w:b/>
          <w:color w:val="auto"/>
          <w:spacing w:val="6"/>
          <w:sz w:val="32"/>
          <w:szCs w:val="32"/>
          <w:highlight w:val="none"/>
        </w:rPr>
      </w:pPr>
    </w:p>
    <w:p w14:paraId="34321D0F">
      <w:pPr>
        <w:autoSpaceDE w:val="0"/>
        <w:autoSpaceDN w:val="0"/>
        <w:jc w:val="center"/>
        <w:rPr>
          <w:rFonts w:ascii="宋体" w:hAnsi="宋体" w:cs="宋体"/>
          <w:b/>
          <w:color w:val="auto"/>
          <w:spacing w:val="6"/>
          <w:sz w:val="32"/>
          <w:szCs w:val="32"/>
          <w:highlight w:val="none"/>
        </w:rPr>
      </w:pPr>
    </w:p>
    <w:p w14:paraId="3E388646">
      <w:pPr>
        <w:autoSpaceDE w:val="0"/>
        <w:autoSpaceDN w:val="0"/>
        <w:jc w:val="center"/>
        <w:rPr>
          <w:rFonts w:ascii="宋体" w:hAnsi="宋体" w:cs="宋体"/>
          <w:b/>
          <w:color w:val="auto"/>
          <w:spacing w:val="6"/>
          <w:sz w:val="32"/>
          <w:szCs w:val="32"/>
          <w:highlight w:val="none"/>
        </w:rPr>
      </w:pPr>
    </w:p>
    <w:p w14:paraId="64D683A0">
      <w:pPr>
        <w:autoSpaceDE w:val="0"/>
        <w:autoSpaceDN w:val="0"/>
        <w:jc w:val="center"/>
        <w:rPr>
          <w:rFonts w:ascii="宋体" w:hAnsi="宋体" w:cs="宋体"/>
          <w:b/>
          <w:color w:val="auto"/>
          <w:spacing w:val="6"/>
          <w:sz w:val="32"/>
          <w:szCs w:val="32"/>
          <w:highlight w:val="none"/>
        </w:rPr>
      </w:pPr>
    </w:p>
    <w:p w14:paraId="3F3D3B89">
      <w:pPr>
        <w:autoSpaceDE w:val="0"/>
        <w:autoSpaceDN w:val="0"/>
        <w:jc w:val="center"/>
        <w:rPr>
          <w:rFonts w:ascii="宋体" w:hAnsi="宋体" w:cs="宋体"/>
          <w:b/>
          <w:color w:val="auto"/>
          <w:spacing w:val="6"/>
          <w:sz w:val="32"/>
          <w:szCs w:val="32"/>
          <w:highlight w:val="none"/>
        </w:rPr>
      </w:pPr>
    </w:p>
    <w:p w14:paraId="1DF79A25">
      <w:pPr>
        <w:autoSpaceDE w:val="0"/>
        <w:autoSpaceDN w:val="0"/>
        <w:jc w:val="center"/>
        <w:rPr>
          <w:rFonts w:ascii="宋体" w:hAnsi="宋体" w:cs="宋体"/>
          <w:b/>
          <w:color w:val="auto"/>
          <w:spacing w:val="6"/>
          <w:sz w:val="32"/>
          <w:szCs w:val="32"/>
          <w:highlight w:val="none"/>
        </w:rPr>
      </w:pPr>
    </w:p>
    <w:p w14:paraId="39FC4E60">
      <w:pPr>
        <w:autoSpaceDE w:val="0"/>
        <w:autoSpaceDN w:val="0"/>
        <w:jc w:val="center"/>
        <w:rPr>
          <w:rFonts w:ascii="宋体" w:hAnsi="宋体" w:cs="宋体"/>
          <w:b/>
          <w:color w:val="auto"/>
          <w:spacing w:val="6"/>
          <w:sz w:val="32"/>
          <w:szCs w:val="32"/>
          <w:highlight w:val="none"/>
        </w:rPr>
      </w:pPr>
    </w:p>
    <w:p w14:paraId="0B0C9043">
      <w:pPr>
        <w:autoSpaceDE w:val="0"/>
        <w:autoSpaceDN w:val="0"/>
        <w:jc w:val="center"/>
        <w:rPr>
          <w:rFonts w:ascii="宋体" w:hAnsi="宋体" w:cs="宋体"/>
          <w:b/>
          <w:color w:val="auto"/>
          <w:spacing w:val="6"/>
          <w:sz w:val="32"/>
          <w:szCs w:val="32"/>
          <w:highlight w:val="none"/>
        </w:rPr>
      </w:pPr>
    </w:p>
    <w:p w14:paraId="6AFB2ACD">
      <w:pPr>
        <w:autoSpaceDE w:val="0"/>
        <w:autoSpaceDN w:val="0"/>
        <w:jc w:val="center"/>
        <w:rPr>
          <w:rFonts w:ascii="宋体" w:hAnsi="宋体" w:cs="宋体"/>
          <w:b/>
          <w:color w:val="auto"/>
          <w:spacing w:val="6"/>
          <w:sz w:val="32"/>
          <w:szCs w:val="32"/>
          <w:highlight w:val="none"/>
        </w:rPr>
      </w:pPr>
    </w:p>
    <w:p w14:paraId="5C987B3F">
      <w:pPr>
        <w:autoSpaceDE w:val="0"/>
        <w:autoSpaceDN w:val="0"/>
        <w:jc w:val="center"/>
        <w:rPr>
          <w:rFonts w:ascii="宋体" w:hAnsi="宋体" w:cs="宋体"/>
          <w:b/>
          <w:color w:val="auto"/>
          <w:spacing w:val="6"/>
          <w:sz w:val="32"/>
          <w:szCs w:val="32"/>
          <w:highlight w:val="none"/>
        </w:rPr>
      </w:pPr>
    </w:p>
    <w:p w14:paraId="1A76DBDE">
      <w:pPr>
        <w:autoSpaceDE w:val="0"/>
        <w:autoSpaceDN w:val="0"/>
        <w:jc w:val="center"/>
        <w:rPr>
          <w:rFonts w:ascii="宋体" w:hAnsi="宋体" w:cs="宋体"/>
          <w:b/>
          <w:color w:val="auto"/>
          <w:spacing w:val="6"/>
          <w:sz w:val="32"/>
          <w:szCs w:val="32"/>
          <w:highlight w:val="none"/>
        </w:rPr>
      </w:pPr>
    </w:p>
    <w:p w14:paraId="09998C71">
      <w:pPr>
        <w:autoSpaceDE w:val="0"/>
        <w:autoSpaceDN w:val="0"/>
        <w:jc w:val="center"/>
        <w:rPr>
          <w:rFonts w:ascii="宋体" w:hAnsi="宋体" w:cs="宋体"/>
          <w:b/>
          <w:color w:val="auto"/>
          <w:spacing w:val="6"/>
          <w:sz w:val="32"/>
          <w:szCs w:val="32"/>
          <w:highlight w:val="none"/>
        </w:rPr>
      </w:pPr>
    </w:p>
    <w:p w14:paraId="7BF8304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78E40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D4AD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QTCG-CS-2025-034</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 xml:space="preserve">。 </w:t>
      </w:r>
    </w:p>
    <w:p w14:paraId="3EBF3E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C361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lang w:val="en-US" w:eastAsia="zh-CN"/>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14:paraId="6739B8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04709A4C">
      <w:pPr>
        <w:snapToGrid w:val="0"/>
        <w:spacing w:line="360" w:lineRule="auto"/>
        <w:ind w:firstLine="576"/>
        <w:rPr>
          <w:rFonts w:ascii="宋体" w:hAnsi="宋体" w:cs="宋体"/>
          <w:color w:val="auto"/>
          <w:kern w:val="0"/>
          <w:sz w:val="24"/>
          <w:highlight w:val="none"/>
          <w:lang w:val="zh-CN"/>
        </w:rPr>
      </w:pPr>
      <w:bookmarkStart w:id="119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665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2E0C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194"/>
    <w:p w14:paraId="6AC71D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5572E2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E085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382DC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D0DC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34FC09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7EED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AADC4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5098B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B8CE7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5D3E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CC40E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1BC94C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F4011AE">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7FE5FA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杭州市钱塘区临江新城实验学校运动场地改造工程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622F43">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FF29EE2">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A14E12C">
      <w:pPr>
        <w:pStyle w:val="4"/>
        <w:pageBreakBefore w:val="0"/>
        <w:kinsoku/>
        <w:wordWrap/>
        <w:overflowPunct/>
        <w:topLinePunct w:val="0"/>
        <w:autoSpaceDE/>
        <w:autoSpaceDN/>
        <w:bidi w:val="0"/>
        <w:spacing w:line="312"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CC76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3B4976">
      <w:pPr>
        <w:pageBreakBefore w:val="0"/>
        <w:kinsoku/>
        <w:wordWrap/>
        <w:overflowPunct/>
        <w:topLinePunct w:val="0"/>
        <w:autoSpaceDE/>
        <w:autoSpaceDN/>
        <w:bidi w:val="0"/>
        <w:snapToGrid w:val="0"/>
        <w:spacing w:line="312"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0A51A7">
      <w:pPr>
        <w:pageBreakBefore w:val="0"/>
        <w:kinsoku/>
        <w:wordWrap/>
        <w:overflowPunct/>
        <w:topLinePunct w:val="0"/>
        <w:autoSpaceDE/>
        <w:autoSpaceDN/>
        <w:bidi w:val="0"/>
        <w:spacing w:line="312"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19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195"/>
    </w:p>
    <w:p w14:paraId="4392C8F4">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673A7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2C95986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DEBF750">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3FD4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D920E85">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367A6">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B733D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7F306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A50D7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7B6F4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BFE1BD8">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39575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A773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6213A">
      <w:pPr>
        <w:autoSpaceDE w:val="0"/>
        <w:autoSpaceDN w:val="0"/>
        <w:jc w:val="center"/>
        <w:rPr>
          <w:rFonts w:ascii="宋体" w:hAnsi="宋体" w:cs="宋体"/>
          <w:b/>
          <w:color w:val="auto"/>
          <w:spacing w:val="6"/>
          <w:sz w:val="32"/>
          <w:szCs w:val="32"/>
          <w:highlight w:val="none"/>
        </w:rPr>
      </w:pPr>
    </w:p>
    <w:p w14:paraId="3DA6B453">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761125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1756AB">
      <w:pPr>
        <w:spacing w:line="360" w:lineRule="auto"/>
        <w:jc w:val="center"/>
        <w:rPr>
          <w:rFonts w:ascii="宋体" w:hAnsi="宋体" w:cs="宋体"/>
          <w:color w:val="auto"/>
          <w:sz w:val="24"/>
          <w:highlight w:val="none"/>
          <w:u w:val="single"/>
        </w:rPr>
      </w:pPr>
    </w:p>
    <w:p w14:paraId="2E1E8F0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D18E2A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杭州市钱塘区临江新城实验学校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杭州市钱塘区临江新城实验学校运动场地改造工程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F85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杭州市钱塘区临江新城实验学校运动场地改造工程</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07CD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A347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4364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829A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AF8DC8">
      <w:pPr>
        <w:spacing w:line="360" w:lineRule="auto"/>
        <w:ind w:firstLine="480" w:firstLineChars="200"/>
        <w:rPr>
          <w:rFonts w:ascii="宋体" w:hAnsi="宋体" w:cs="宋体"/>
          <w:color w:val="auto"/>
          <w:sz w:val="24"/>
          <w:highlight w:val="none"/>
        </w:rPr>
      </w:pPr>
    </w:p>
    <w:p w14:paraId="08480A7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89EB2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0C536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0B8E0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3AD23D4">
      <w:pPr>
        <w:spacing w:line="360" w:lineRule="auto"/>
        <w:jc w:val="center"/>
        <w:rPr>
          <w:rFonts w:ascii="宋体" w:hAnsi="宋体" w:cs="宋体"/>
          <w:b/>
          <w:color w:val="auto"/>
          <w:sz w:val="32"/>
          <w:szCs w:val="32"/>
          <w:highlight w:val="none"/>
        </w:rPr>
      </w:pPr>
    </w:p>
    <w:p w14:paraId="27C56C8B">
      <w:pPr>
        <w:spacing w:line="360" w:lineRule="auto"/>
        <w:jc w:val="center"/>
        <w:rPr>
          <w:rFonts w:ascii="宋体" w:hAnsi="宋体" w:cs="宋体"/>
          <w:b/>
          <w:color w:val="auto"/>
          <w:sz w:val="32"/>
          <w:szCs w:val="32"/>
          <w:highlight w:val="none"/>
        </w:rPr>
      </w:pPr>
    </w:p>
    <w:p w14:paraId="6B4B46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66AFC11">
      <w:pPr>
        <w:spacing w:line="360" w:lineRule="auto"/>
        <w:rPr>
          <w:rFonts w:ascii="宋体" w:hAnsi="宋体" w:cs="宋体"/>
          <w:b/>
          <w:color w:val="auto"/>
          <w:spacing w:val="6"/>
          <w:sz w:val="32"/>
          <w:szCs w:val="32"/>
          <w:highlight w:val="none"/>
        </w:rPr>
      </w:pPr>
    </w:p>
    <w:p w14:paraId="5DDD856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569C857">
      <w:pPr>
        <w:pStyle w:val="27"/>
        <w:rPr>
          <w:color w:val="auto"/>
          <w:highlight w:val="none"/>
        </w:rPr>
        <w:sectPr>
          <w:pgSz w:w="11906" w:h="16838"/>
          <w:pgMar w:top="1440" w:right="1080" w:bottom="1440" w:left="1080" w:header="851" w:footer="992" w:gutter="0"/>
          <w:cols w:space="720" w:num="1"/>
          <w:titlePg/>
          <w:docGrid w:linePitch="312" w:charSpace="0"/>
        </w:sectPr>
      </w:pPr>
    </w:p>
    <w:p w14:paraId="7E51085E">
      <w:pPr>
        <w:rPr>
          <w:color w:val="auto"/>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2020603050405020304"/>
    <w:charset w:val="86"/>
    <w:family w:val="swiss"/>
    <w:pitch w:val="default"/>
    <w:sig w:usb0="00000000" w:usb1="00000000" w:usb2="00000000" w:usb3="00000000" w:csb0="00000000" w:csb1="00000000"/>
  </w:font>
  <w:font w:name="MS Gothic">
    <w:panose1 w:val="020B0609070205080204"/>
    <w:charset w:val="80"/>
    <w:family w:val="swiss"/>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EB6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ED45">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407">
    <w:pPr>
      <w:pStyle w:val="43"/>
      <w:framePr w:wrap="around" w:vAnchor="text" w:hAnchor="margin" w:xAlign="right" w:y="1"/>
      <w:rPr>
        <w:rStyle w:val="73"/>
      </w:rPr>
    </w:pPr>
    <w:r>
      <w:fldChar w:fldCharType="begin"/>
    </w:r>
    <w:r>
      <w:rPr>
        <w:rStyle w:val="73"/>
      </w:rPr>
      <w:instrText xml:space="preserve">PAGE  </w:instrText>
    </w:r>
    <w:r>
      <w:fldChar w:fldCharType="end"/>
    </w:r>
  </w:p>
  <w:p w14:paraId="2A670040">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3F7A">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196" w:name="_Toc131845147"/>
    <w:bookmarkStart w:id="1197" w:name="_Toc36110187"/>
    <w:bookmarkStart w:id="1198" w:name="_Toc164085800"/>
    <w:bookmarkStart w:id="1199" w:name="_Toc91899912"/>
    <w:r>
      <w:rPr>
        <w:rFonts w:hint="eastAsia" w:ascii="仿宋_GB2312" w:eastAsia="仿宋_GB2312"/>
        <w:kern w:val="0"/>
        <w:szCs w:val="21"/>
      </w:rPr>
      <w:t xml:space="preserve"> 页</w:t>
    </w:r>
    <w:bookmarkEnd w:id="1196"/>
    <w:bookmarkEnd w:id="1197"/>
    <w:bookmarkEnd w:id="1198"/>
    <w:bookmarkEnd w:id="11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8DB8">
    <w:pPr>
      <w:pStyle w:val="43"/>
      <w:framePr w:wrap="around" w:vAnchor="text" w:hAnchor="margin" w:xAlign="right" w:y="1"/>
      <w:rPr>
        <w:rStyle w:val="73"/>
      </w:rPr>
    </w:pPr>
    <w:r>
      <w:fldChar w:fldCharType="begin"/>
    </w:r>
    <w:r>
      <w:rPr>
        <w:rStyle w:val="73"/>
      </w:rPr>
      <w:instrText xml:space="preserve">PAGE  </w:instrText>
    </w:r>
    <w:r>
      <w:fldChar w:fldCharType="end"/>
    </w:r>
  </w:p>
  <w:p w14:paraId="0F16F02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4A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558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71BBC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A83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7B59C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445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35C7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CE5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FBCFE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4C4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48096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B6C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7E93F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0D6B">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D1FF">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C7FB">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29DB">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F784">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4101">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ind w:left="420"/>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53208E"/>
    <w:multiLevelType w:val="singleLevel"/>
    <w:tmpl w:val="0053208E"/>
    <w:lvl w:ilvl="0" w:tentative="0">
      <w:start w:val="1"/>
      <w:numFmt w:val="decimal"/>
      <w:suff w:val="nothing"/>
      <w:lvlText w:val="（%1）"/>
      <w:lvlJc w:val="left"/>
      <w:pPr>
        <w:tabs>
          <w:tab w:val="left" w:pos="0"/>
        </w:tabs>
        <w:ind w:left="420"/>
      </w:pPr>
      <w:rPr>
        <w:rFonts w:hint="default"/>
      </w:rPr>
    </w:lvl>
  </w:abstractNum>
  <w:abstractNum w:abstractNumId="6">
    <w:nsid w:val="14D79456"/>
    <w:multiLevelType w:val="singleLevel"/>
    <w:tmpl w:val="14D79456"/>
    <w:lvl w:ilvl="0" w:tentative="0">
      <w:start w:val="5"/>
      <w:numFmt w:val="chineseCounting"/>
      <w:suff w:val="nothing"/>
      <w:lvlText w:val="%1、"/>
      <w:lvlJc w:val="left"/>
      <w:rPr>
        <w:rFonts w:hint="eastAsia"/>
      </w:rPr>
    </w:lvl>
  </w:abstractNum>
  <w:abstractNum w:abstractNumId="7">
    <w:nsid w:val="7FD61FA2"/>
    <w:multiLevelType w:val="singleLevel"/>
    <w:tmpl w:val="7FD61FA2"/>
    <w:lvl w:ilvl="0" w:tentative="0">
      <w:start w:val="14"/>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ZjBiYjZjMGM5ZTRmMzU0MjIzNDFkNzNiNzUzMzY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D55165"/>
    <w:rsid w:val="01DF6BF8"/>
    <w:rsid w:val="01EC2C57"/>
    <w:rsid w:val="01F61EF2"/>
    <w:rsid w:val="0210580B"/>
    <w:rsid w:val="024975C9"/>
    <w:rsid w:val="02503846"/>
    <w:rsid w:val="025F0711"/>
    <w:rsid w:val="026B2E25"/>
    <w:rsid w:val="02824D4D"/>
    <w:rsid w:val="02A76D3E"/>
    <w:rsid w:val="02DC4B10"/>
    <w:rsid w:val="02DD76CE"/>
    <w:rsid w:val="02F36323"/>
    <w:rsid w:val="02F5619C"/>
    <w:rsid w:val="030806B1"/>
    <w:rsid w:val="0326446A"/>
    <w:rsid w:val="032D5555"/>
    <w:rsid w:val="034443F1"/>
    <w:rsid w:val="034D095E"/>
    <w:rsid w:val="036634D2"/>
    <w:rsid w:val="03807CD1"/>
    <w:rsid w:val="03A04148"/>
    <w:rsid w:val="03BE185C"/>
    <w:rsid w:val="03DD35E4"/>
    <w:rsid w:val="03E67D83"/>
    <w:rsid w:val="04076900"/>
    <w:rsid w:val="041A5A3B"/>
    <w:rsid w:val="042311BA"/>
    <w:rsid w:val="042B157A"/>
    <w:rsid w:val="04333FF8"/>
    <w:rsid w:val="048F763B"/>
    <w:rsid w:val="04904D42"/>
    <w:rsid w:val="049F330E"/>
    <w:rsid w:val="04AA775C"/>
    <w:rsid w:val="04AF1889"/>
    <w:rsid w:val="04C64E6C"/>
    <w:rsid w:val="04CB3BFD"/>
    <w:rsid w:val="04F66F48"/>
    <w:rsid w:val="05251E14"/>
    <w:rsid w:val="0526590B"/>
    <w:rsid w:val="058645FB"/>
    <w:rsid w:val="059565ED"/>
    <w:rsid w:val="059A29F4"/>
    <w:rsid w:val="05A16594"/>
    <w:rsid w:val="05A7762D"/>
    <w:rsid w:val="05CF5717"/>
    <w:rsid w:val="05F51BB7"/>
    <w:rsid w:val="060E5941"/>
    <w:rsid w:val="06110FAF"/>
    <w:rsid w:val="061E21DC"/>
    <w:rsid w:val="06267284"/>
    <w:rsid w:val="06314567"/>
    <w:rsid w:val="06493522"/>
    <w:rsid w:val="06493CA7"/>
    <w:rsid w:val="065A6178"/>
    <w:rsid w:val="066F1CF3"/>
    <w:rsid w:val="066F6E3E"/>
    <w:rsid w:val="0671740D"/>
    <w:rsid w:val="06760E07"/>
    <w:rsid w:val="06930BB8"/>
    <w:rsid w:val="06F31702"/>
    <w:rsid w:val="06F3181D"/>
    <w:rsid w:val="07245D42"/>
    <w:rsid w:val="07264C62"/>
    <w:rsid w:val="07666493"/>
    <w:rsid w:val="07676900"/>
    <w:rsid w:val="076E6C10"/>
    <w:rsid w:val="0779354C"/>
    <w:rsid w:val="07811D40"/>
    <w:rsid w:val="0797664C"/>
    <w:rsid w:val="07CC279A"/>
    <w:rsid w:val="07D17DB0"/>
    <w:rsid w:val="07D97EA1"/>
    <w:rsid w:val="07F83335"/>
    <w:rsid w:val="08061376"/>
    <w:rsid w:val="081E0B1B"/>
    <w:rsid w:val="0825634E"/>
    <w:rsid w:val="082C3238"/>
    <w:rsid w:val="08452D77"/>
    <w:rsid w:val="084762C4"/>
    <w:rsid w:val="085966AD"/>
    <w:rsid w:val="086401F8"/>
    <w:rsid w:val="08751CAA"/>
    <w:rsid w:val="08760957"/>
    <w:rsid w:val="087E4C40"/>
    <w:rsid w:val="08A871D0"/>
    <w:rsid w:val="08D66AD6"/>
    <w:rsid w:val="08DA33A3"/>
    <w:rsid w:val="08E80F13"/>
    <w:rsid w:val="09043664"/>
    <w:rsid w:val="09163F38"/>
    <w:rsid w:val="092148A7"/>
    <w:rsid w:val="092403B3"/>
    <w:rsid w:val="09335624"/>
    <w:rsid w:val="093D0A5E"/>
    <w:rsid w:val="0944690F"/>
    <w:rsid w:val="09535675"/>
    <w:rsid w:val="095F057D"/>
    <w:rsid w:val="09642282"/>
    <w:rsid w:val="09733572"/>
    <w:rsid w:val="09767D1F"/>
    <w:rsid w:val="09772C16"/>
    <w:rsid w:val="098353B5"/>
    <w:rsid w:val="09A92330"/>
    <w:rsid w:val="09B06B87"/>
    <w:rsid w:val="09C13146"/>
    <w:rsid w:val="09E04166"/>
    <w:rsid w:val="09FB497B"/>
    <w:rsid w:val="0A075AEF"/>
    <w:rsid w:val="0A1C0718"/>
    <w:rsid w:val="0A3E7710"/>
    <w:rsid w:val="0A454A85"/>
    <w:rsid w:val="0A550002"/>
    <w:rsid w:val="0A5B7E63"/>
    <w:rsid w:val="0A617F01"/>
    <w:rsid w:val="0A6C6ACB"/>
    <w:rsid w:val="0A6D4AE7"/>
    <w:rsid w:val="0A703465"/>
    <w:rsid w:val="0A742C74"/>
    <w:rsid w:val="0A927580"/>
    <w:rsid w:val="0AA374A5"/>
    <w:rsid w:val="0AAB7649"/>
    <w:rsid w:val="0ABC5606"/>
    <w:rsid w:val="0AD100C7"/>
    <w:rsid w:val="0AD7498C"/>
    <w:rsid w:val="0ADE1079"/>
    <w:rsid w:val="0B30404E"/>
    <w:rsid w:val="0B4C6C14"/>
    <w:rsid w:val="0B547599"/>
    <w:rsid w:val="0B631A88"/>
    <w:rsid w:val="0B646F99"/>
    <w:rsid w:val="0B683D45"/>
    <w:rsid w:val="0B7A075E"/>
    <w:rsid w:val="0B7F3F11"/>
    <w:rsid w:val="0B884417"/>
    <w:rsid w:val="0B8F5464"/>
    <w:rsid w:val="0BAA5E29"/>
    <w:rsid w:val="0BC07081"/>
    <w:rsid w:val="0BD51E39"/>
    <w:rsid w:val="0BD53BE7"/>
    <w:rsid w:val="0BF6188C"/>
    <w:rsid w:val="0BF73C91"/>
    <w:rsid w:val="0C170175"/>
    <w:rsid w:val="0C5505BD"/>
    <w:rsid w:val="0C571A41"/>
    <w:rsid w:val="0C5C1171"/>
    <w:rsid w:val="0C5E1CBC"/>
    <w:rsid w:val="0C615B50"/>
    <w:rsid w:val="0C8445DA"/>
    <w:rsid w:val="0C87121B"/>
    <w:rsid w:val="0C966D79"/>
    <w:rsid w:val="0CC007F7"/>
    <w:rsid w:val="0CC617AC"/>
    <w:rsid w:val="0CE618DF"/>
    <w:rsid w:val="0CF63E15"/>
    <w:rsid w:val="0CFE707A"/>
    <w:rsid w:val="0D063BDA"/>
    <w:rsid w:val="0D08375F"/>
    <w:rsid w:val="0D184CFB"/>
    <w:rsid w:val="0D2B473A"/>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58DC"/>
    <w:rsid w:val="0F4C27CC"/>
    <w:rsid w:val="0F515DF7"/>
    <w:rsid w:val="0F596BA8"/>
    <w:rsid w:val="0F6248D2"/>
    <w:rsid w:val="0F693536"/>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A3C80"/>
    <w:rsid w:val="10C26171"/>
    <w:rsid w:val="10CD30DE"/>
    <w:rsid w:val="10D34984"/>
    <w:rsid w:val="10D6121D"/>
    <w:rsid w:val="10E82390"/>
    <w:rsid w:val="10E943BC"/>
    <w:rsid w:val="10F33360"/>
    <w:rsid w:val="10FC16EA"/>
    <w:rsid w:val="110F1D40"/>
    <w:rsid w:val="111D38D7"/>
    <w:rsid w:val="11266F33"/>
    <w:rsid w:val="11292A0B"/>
    <w:rsid w:val="11430EC2"/>
    <w:rsid w:val="11553800"/>
    <w:rsid w:val="118963A1"/>
    <w:rsid w:val="11AE585A"/>
    <w:rsid w:val="11BE0EFC"/>
    <w:rsid w:val="11C6522A"/>
    <w:rsid w:val="11E025AB"/>
    <w:rsid w:val="11E104CC"/>
    <w:rsid w:val="11E20309"/>
    <w:rsid w:val="12203238"/>
    <w:rsid w:val="12255233"/>
    <w:rsid w:val="12271454"/>
    <w:rsid w:val="124B083D"/>
    <w:rsid w:val="12530213"/>
    <w:rsid w:val="127723A9"/>
    <w:rsid w:val="12862074"/>
    <w:rsid w:val="12883966"/>
    <w:rsid w:val="128D49C3"/>
    <w:rsid w:val="129E45B4"/>
    <w:rsid w:val="12A95BB3"/>
    <w:rsid w:val="12D81596"/>
    <w:rsid w:val="13072A44"/>
    <w:rsid w:val="13542B43"/>
    <w:rsid w:val="135F4BE2"/>
    <w:rsid w:val="13806C8C"/>
    <w:rsid w:val="139B1A0A"/>
    <w:rsid w:val="139D25C7"/>
    <w:rsid w:val="13B54A2A"/>
    <w:rsid w:val="13BF3CE4"/>
    <w:rsid w:val="13F37300"/>
    <w:rsid w:val="13F445A5"/>
    <w:rsid w:val="14072DAB"/>
    <w:rsid w:val="141008D8"/>
    <w:rsid w:val="14125FE6"/>
    <w:rsid w:val="146D271E"/>
    <w:rsid w:val="14982588"/>
    <w:rsid w:val="149A5AD9"/>
    <w:rsid w:val="149E54BE"/>
    <w:rsid w:val="14A7619D"/>
    <w:rsid w:val="14B4083D"/>
    <w:rsid w:val="14EC10AF"/>
    <w:rsid w:val="150536C3"/>
    <w:rsid w:val="150C1963"/>
    <w:rsid w:val="151447A0"/>
    <w:rsid w:val="152B4878"/>
    <w:rsid w:val="15342D09"/>
    <w:rsid w:val="1546224D"/>
    <w:rsid w:val="154A6454"/>
    <w:rsid w:val="155471F6"/>
    <w:rsid w:val="15762120"/>
    <w:rsid w:val="158C1DA8"/>
    <w:rsid w:val="15A947E5"/>
    <w:rsid w:val="15DB3250"/>
    <w:rsid w:val="16353C00"/>
    <w:rsid w:val="168D3A3C"/>
    <w:rsid w:val="16A8729C"/>
    <w:rsid w:val="16AA30D4"/>
    <w:rsid w:val="16B33777"/>
    <w:rsid w:val="16BC70A7"/>
    <w:rsid w:val="16C6339E"/>
    <w:rsid w:val="16CB5E37"/>
    <w:rsid w:val="16D301F3"/>
    <w:rsid w:val="16EB25B6"/>
    <w:rsid w:val="17011D34"/>
    <w:rsid w:val="171A2386"/>
    <w:rsid w:val="172F2D79"/>
    <w:rsid w:val="17380012"/>
    <w:rsid w:val="17557BEF"/>
    <w:rsid w:val="17591B70"/>
    <w:rsid w:val="17604F1B"/>
    <w:rsid w:val="177D585E"/>
    <w:rsid w:val="1782031A"/>
    <w:rsid w:val="17D349C1"/>
    <w:rsid w:val="180A2E6A"/>
    <w:rsid w:val="1830729E"/>
    <w:rsid w:val="18330414"/>
    <w:rsid w:val="185A70B9"/>
    <w:rsid w:val="1870062C"/>
    <w:rsid w:val="187A7D80"/>
    <w:rsid w:val="18817102"/>
    <w:rsid w:val="18830A15"/>
    <w:rsid w:val="18852B28"/>
    <w:rsid w:val="188B5321"/>
    <w:rsid w:val="18CA565E"/>
    <w:rsid w:val="18CE3E98"/>
    <w:rsid w:val="18E65685"/>
    <w:rsid w:val="18F55FDC"/>
    <w:rsid w:val="1986007D"/>
    <w:rsid w:val="19932372"/>
    <w:rsid w:val="199930AE"/>
    <w:rsid w:val="19A20DD5"/>
    <w:rsid w:val="19AE03F1"/>
    <w:rsid w:val="19D76D7C"/>
    <w:rsid w:val="1A071A03"/>
    <w:rsid w:val="1A1F16AE"/>
    <w:rsid w:val="1A3B5C77"/>
    <w:rsid w:val="1A6F5CF5"/>
    <w:rsid w:val="1A712403"/>
    <w:rsid w:val="1A984BAD"/>
    <w:rsid w:val="1AB8220E"/>
    <w:rsid w:val="1AC35E60"/>
    <w:rsid w:val="1AE4166C"/>
    <w:rsid w:val="1AF06CFB"/>
    <w:rsid w:val="1AF11B8D"/>
    <w:rsid w:val="1B11359C"/>
    <w:rsid w:val="1B1D4C62"/>
    <w:rsid w:val="1B272E92"/>
    <w:rsid w:val="1B2A271F"/>
    <w:rsid w:val="1B3C6D99"/>
    <w:rsid w:val="1B3F1E98"/>
    <w:rsid w:val="1B4C0363"/>
    <w:rsid w:val="1B4F4E1D"/>
    <w:rsid w:val="1B530544"/>
    <w:rsid w:val="1B6E16CC"/>
    <w:rsid w:val="1B713184"/>
    <w:rsid w:val="1BA209CF"/>
    <w:rsid w:val="1BB4777D"/>
    <w:rsid w:val="1BD75AB8"/>
    <w:rsid w:val="1BDC2BFF"/>
    <w:rsid w:val="1BFB1448"/>
    <w:rsid w:val="1C0459C2"/>
    <w:rsid w:val="1C1B3B4A"/>
    <w:rsid w:val="1C5C42B0"/>
    <w:rsid w:val="1C7725CD"/>
    <w:rsid w:val="1C88086E"/>
    <w:rsid w:val="1C985EC0"/>
    <w:rsid w:val="1C9B1AA4"/>
    <w:rsid w:val="1D266CE1"/>
    <w:rsid w:val="1D275FCD"/>
    <w:rsid w:val="1D342403"/>
    <w:rsid w:val="1D3963AF"/>
    <w:rsid w:val="1D3D0FE5"/>
    <w:rsid w:val="1D5105C1"/>
    <w:rsid w:val="1D54148D"/>
    <w:rsid w:val="1D570A82"/>
    <w:rsid w:val="1D6A673C"/>
    <w:rsid w:val="1D7B69ED"/>
    <w:rsid w:val="1D905BC0"/>
    <w:rsid w:val="1D9247AE"/>
    <w:rsid w:val="1DB567EC"/>
    <w:rsid w:val="1DC146E5"/>
    <w:rsid w:val="1DF4775D"/>
    <w:rsid w:val="1DF51A98"/>
    <w:rsid w:val="1E0839A8"/>
    <w:rsid w:val="1E322B1A"/>
    <w:rsid w:val="1E3D060F"/>
    <w:rsid w:val="1E3F7D2E"/>
    <w:rsid w:val="1E4134E4"/>
    <w:rsid w:val="1E4F64CB"/>
    <w:rsid w:val="1E5062B3"/>
    <w:rsid w:val="1E523514"/>
    <w:rsid w:val="1E714A66"/>
    <w:rsid w:val="1E722324"/>
    <w:rsid w:val="1E802593"/>
    <w:rsid w:val="1E8A6AB3"/>
    <w:rsid w:val="1E8B6156"/>
    <w:rsid w:val="1E965458"/>
    <w:rsid w:val="1E995070"/>
    <w:rsid w:val="1EA27958"/>
    <w:rsid w:val="1EA703CC"/>
    <w:rsid w:val="1EB7330C"/>
    <w:rsid w:val="1F071EB1"/>
    <w:rsid w:val="1F0A0FF3"/>
    <w:rsid w:val="1F3B41CE"/>
    <w:rsid w:val="1F3D3B25"/>
    <w:rsid w:val="1F470500"/>
    <w:rsid w:val="1F5771FF"/>
    <w:rsid w:val="1F69785E"/>
    <w:rsid w:val="1F904124"/>
    <w:rsid w:val="1FD41CBC"/>
    <w:rsid w:val="1FE868A9"/>
    <w:rsid w:val="20034907"/>
    <w:rsid w:val="20106F09"/>
    <w:rsid w:val="20121CB2"/>
    <w:rsid w:val="20173E4B"/>
    <w:rsid w:val="202076CF"/>
    <w:rsid w:val="204A7214"/>
    <w:rsid w:val="204C276E"/>
    <w:rsid w:val="204E48BC"/>
    <w:rsid w:val="208921B3"/>
    <w:rsid w:val="20973DEB"/>
    <w:rsid w:val="20B26522"/>
    <w:rsid w:val="20B44310"/>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1284B"/>
    <w:rsid w:val="22BE6801"/>
    <w:rsid w:val="22D327D6"/>
    <w:rsid w:val="22F32E79"/>
    <w:rsid w:val="22F8735A"/>
    <w:rsid w:val="233500BF"/>
    <w:rsid w:val="233712A1"/>
    <w:rsid w:val="23377FF7"/>
    <w:rsid w:val="23452FA8"/>
    <w:rsid w:val="234848A5"/>
    <w:rsid w:val="236B425F"/>
    <w:rsid w:val="23836192"/>
    <w:rsid w:val="23901F29"/>
    <w:rsid w:val="23924211"/>
    <w:rsid w:val="239C0061"/>
    <w:rsid w:val="23B908A4"/>
    <w:rsid w:val="23DE179B"/>
    <w:rsid w:val="23E95BEF"/>
    <w:rsid w:val="23FD0064"/>
    <w:rsid w:val="24532A74"/>
    <w:rsid w:val="245375B0"/>
    <w:rsid w:val="24642C0A"/>
    <w:rsid w:val="24760426"/>
    <w:rsid w:val="24A51F50"/>
    <w:rsid w:val="24B22173"/>
    <w:rsid w:val="24B95AD9"/>
    <w:rsid w:val="24BE24DA"/>
    <w:rsid w:val="24C94AE6"/>
    <w:rsid w:val="24CF5825"/>
    <w:rsid w:val="24D663E6"/>
    <w:rsid w:val="24D77F2B"/>
    <w:rsid w:val="24D804D4"/>
    <w:rsid w:val="25042435"/>
    <w:rsid w:val="258B00E2"/>
    <w:rsid w:val="258C4EA7"/>
    <w:rsid w:val="25A917A6"/>
    <w:rsid w:val="25AB0E64"/>
    <w:rsid w:val="25AD693C"/>
    <w:rsid w:val="25BE27CC"/>
    <w:rsid w:val="25C87603"/>
    <w:rsid w:val="25F74A5C"/>
    <w:rsid w:val="260D36F0"/>
    <w:rsid w:val="26233A75"/>
    <w:rsid w:val="2628662C"/>
    <w:rsid w:val="262D45DE"/>
    <w:rsid w:val="26524268"/>
    <w:rsid w:val="267776DE"/>
    <w:rsid w:val="26871DC8"/>
    <w:rsid w:val="26A53EF9"/>
    <w:rsid w:val="26A94201"/>
    <w:rsid w:val="26AC274F"/>
    <w:rsid w:val="26D14BAB"/>
    <w:rsid w:val="26DB7EA6"/>
    <w:rsid w:val="26E42C82"/>
    <w:rsid w:val="27044A29"/>
    <w:rsid w:val="27054F28"/>
    <w:rsid w:val="271D34C8"/>
    <w:rsid w:val="273D46C2"/>
    <w:rsid w:val="276142BF"/>
    <w:rsid w:val="276736FF"/>
    <w:rsid w:val="27675BE3"/>
    <w:rsid w:val="276E51C4"/>
    <w:rsid w:val="27783712"/>
    <w:rsid w:val="27907362"/>
    <w:rsid w:val="27B81E42"/>
    <w:rsid w:val="27BA5D13"/>
    <w:rsid w:val="27E5753E"/>
    <w:rsid w:val="281A3657"/>
    <w:rsid w:val="28333E1D"/>
    <w:rsid w:val="28454BD6"/>
    <w:rsid w:val="28455253"/>
    <w:rsid w:val="28551971"/>
    <w:rsid w:val="285B1C53"/>
    <w:rsid w:val="286F78A7"/>
    <w:rsid w:val="289F7086"/>
    <w:rsid w:val="28AF7842"/>
    <w:rsid w:val="28C32028"/>
    <w:rsid w:val="28CA2242"/>
    <w:rsid w:val="28CC490F"/>
    <w:rsid w:val="28DE40AA"/>
    <w:rsid w:val="28EC7A64"/>
    <w:rsid w:val="28EF668C"/>
    <w:rsid w:val="29345E77"/>
    <w:rsid w:val="294C65AD"/>
    <w:rsid w:val="295201CD"/>
    <w:rsid w:val="29620769"/>
    <w:rsid w:val="296E2B85"/>
    <w:rsid w:val="29791BFE"/>
    <w:rsid w:val="29806583"/>
    <w:rsid w:val="298B3C4C"/>
    <w:rsid w:val="29B24C09"/>
    <w:rsid w:val="29C54E43"/>
    <w:rsid w:val="29F26D24"/>
    <w:rsid w:val="29F97C59"/>
    <w:rsid w:val="2A15033F"/>
    <w:rsid w:val="2A1662C1"/>
    <w:rsid w:val="2A1C7367"/>
    <w:rsid w:val="2A2815FA"/>
    <w:rsid w:val="2A28268F"/>
    <w:rsid w:val="2A310451"/>
    <w:rsid w:val="2A35353C"/>
    <w:rsid w:val="2A4144C9"/>
    <w:rsid w:val="2A6D6092"/>
    <w:rsid w:val="2A7D76B4"/>
    <w:rsid w:val="2A7E571E"/>
    <w:rsid w:val="2A9A4101"/>
    <w:rsid w:val="2AE50C92"/>
    <w:rsid w:val="2AE52B6B"/>
    <w:rsid w:val="2AFC349E"/>
    <w:rsid w:val="2B2A7653"/>
    <w:rsid w:val="2B437463"/>
    <w:rsid w:val="2B7807EE"/>
    <w:rsid w:val="2B910285"/>
    <w:rsid w:val="2B9D103D"/>
    <w:rsid w:val="2BA50BF7"/>
    <w:rsid w:val="2BBF00EC"/>
    <w:rsid w:val="2BC37CFD"/>
    <w:rsid w:val="2BCD6736"/>
    <w:rsid w:val="2BD5237F"/>
    <w:rsid w:val="2BDD24F6"/>
    <w:rsid w:val="2BE46963"/>
    <w:rsid w:val="2BE536CE"/>
    <w:rsid w:val="2BE758D9"/>
    <w:rsid w:val="2BE77953"/>
    <w:rsid w:val="2C09049E"/>
    <w:rsid w:val="2C0A653C"/>
    <w:rsid w:val="2C191F85"/>
    <w:rsid w:val="2C5129BE"/>
    <w:rsid w:val="2C57136D"/>
    <w:rsid w:val="2C7B2FE8"/>
    <w:rsid w:val="2C8358CD"/>
    <w:rsid w:val="2CE82D6F"/>
    <w:rsid w:val="2D034FA6"/>
    <w:rsid w:val="2D0B7C88"/>
    <w:rsid w:val="2D1556A6"/>
    <w:rsid w:val="2D173C07"/>
    <w:rsid w:val="2D1E0AF2"/>
    <w:rsid w:val="2D343236"/>
    <w:rsid w:val="2D683A0A"/>
    <w:rsid w:val="2D850B71"/>
    <w:rsid w:val="2D9054C8"/>
    <w:rsid w:val="2DC5658B"/>
    <w:rsid w:val="2DCF4553"/>
    <w:rsid w:val="2DD15014"/>
    <w:rsid w:val="2DEB6954"/>
    <w:rsid w:val="2DED0E87"/>
    <w:rsid w:val="2DF72DE4"/>
    <w:rsid w:val="2E0220AF"/>
    <w:rsid w:val="2E220883"/>
    <w:rsid w:val="2E2C5491"/>
    <w:rsid w:val="2E382745"/>
    <w:rsid w:val="2E45579B"/>
    <w:rsid w:val="2E496F7F"/>
    <w:rsid w:val="2E4B082A"/>
    <w:rsid w:val="2E5D4E86"/>
    <w:rsid w:val="2E5D790B"/>
    <w:rsid w:val="2E926CEC"/>
    <w:rsid w:val="2E9A3C18"/>
    <w:rsid w:val="2E9C43C4"/>
    <w:rsid w:val="2EB77450"/>
    <w:rsid w:val="2EBB0FEE"/>
    <w:rsid w:val="2EC63002"/>
    <w:rsid w:val="2F0A6B38"/>
    <w:rsid w:val="2F843483"/>
    <w:rsid w:val="2F8F5CD7"/>
    <w:rsid w:val="2F946CCB"/>
    <w:rsid w:val="2FCF11CB"/>
    <w:rsid w:val="2FD25781"/>
    <w:rsid w:val="2FDA5341"/>
    <w:rsid w:val="2FDC745C"/>
    <w:rsid w:val="2FE22DAD"/>
    <w:rsid w:val="2FFD7934"/>
    <w:rsid w:val="30323F26"/>
    <w:rsid w:val="30474D99"/>
    <w:rsid w:val="306453B6"/>
    <w:rsid w:val="30733ACD"/>
    <w:rsid w:val="30843362"/>
    <w:rsid w:val="308C3862"/>
    <w:rsid w:val="309379D8"/>
    <w:rsid w:val="309C0037"/>
    <w:rsid w:val="30A270F7"/>
    <w:rsid w:val="30AD3B19"/>
    <w:rsid w:val="30DF1478"/>
    <w:rsid w:val="30E266E3"/>
    <w:rsid w:val="30EC586F"/>
    <w:rsid w:val="31043373"/>
    <w:rsid w:val="3117675C"/>
    <w:rsid w:val="314D5E4A"/>
    <w:rsid w:val="315F792B"/>
    <w:rsid w:val="319C6071"/>
    <w:rsid w:val="31AC537E"/>
    <w:rsid w:val="31E3679B"/>
    <w:rsid w:val="31E732FD"/>
    <w:rsid w:val="32462F60"/>
    <w:rsid w:val="32517576"/>
    <w:rsid w:val="328B4E7C"/>
    <w:rsid w:val="32A2229A"/>
    <w:rsid w:val="32BE5C2C"/>
    <w:rsid w:val="32D63C1D"/>
    <w:rsid w:val="32FB6478"/>
    <w:rsid w:val="33092F71"/>
    <w:rsid w:val="332410BB"/>
    <w:rsid w:val="33254336"/>
    <w:rsid w:val="33263B3F"/>
    <w:rsid w:val="33286205"/>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943763"/>
    <w:rsid w:val="34950E68"/>
    <w:rsid w:val="34986E94"/>
    <w:rsid w:val="34AF62C9"/>
    <w:rsid w:val="34B73B25"/>
    <w:rsid w:val="34CB4388"/>
    <w:rsid w:val="34EC3BCC"/>
    <w:rsid w:val="34FA6E12"/>
    <w:rsid w:val="350466DA"/>
    <w:rsid w:val="351053DE"/>
    <w:rsid w:val="352670DE"/>
    <w:rsid w:val="3533663A"/>
    <w:rsid w:val="354D7158"/>
    <w:rsid w:val="35531BEF"/>
    <w:rsid w:val="355E3D62"/>
    <w:rsid w:val="356B5840"/>
    <w:rsid w:val="358D5588"/>
    <w:rsid w:val="35911E96"/>
    <w:rsid w:val="35A0047C"/>
    <w:rsid w:val="35EE5A12"/>
    <w:rsid w:val="363A3B40"/>
    <w:rsid w:val="365302AE"/>
    <w:rsid w:val="36607A0A"/>
    <w:rsid w:val="366E227C"/>
    <w:rsid w:val="366F2E0D"/>
    <w:rsid w:val="367B6A5C"/>
    <w:rsid w:val="36941E25"/>
    <w:rsid w:val="36A74ADA"/>
    <w:rsid w:val="36AD60D5"/>
    <w:rsid w:val="36B224F9"/>
    <w:rsid w:val="36D05F99"/>
    <w:rsid w:val="36EC0CC9"/>
    <w:rsid w:val="36FA2CD3"/>
    <w:rsid w:val="37046FAB"/>
    <w:rsid w:val="373D2A5F"/>
    <w:rsid w:val="373F410B"/>
    <w:rsid w:val="376A42C6"/>
    <w:rsid w:val="3799224D"/>
    <w:rsid w:val="37C91FA2"/>
    <w:rsid w:val="37DA5F5D"/>
    <w:rsid w:val="37EE7094"/>
    <w:rsid w:val="38296C89"/>
    <w:rsid w:val="383002EB"/>
    <w:rsid w:val="38586797"/>
    <w:rsid w:val="38965DC0"/>
    <w:rsid w:val="38BC0149"/>
    <w:rsid w:val="38BE13DB"/>
    <w:rsid w:val="38D87D1C"/>
    <w:rsid w:val="3914549F"/>
    <w:rsid w:val="39525B10"/>
    <w:rsid w:val="39636459"/>
    <w:rsid w:val="396B7F6C"/>
    <w:rsid w:val="39736E9C"/>
    <w:rsid w:val="397F0B6A"/>
    <w:rsid w:val="398203AB"/>
    <w:rsid w:val="399A77E0"/>
    <w:rsid w:val="39B417A9"/>
    <w:rsid w:val="39C46EC5"/>
    <w:rsid w:val="39CC2AF9"/>
    <w:rsid w:val="39EE7A9E"/>
    <w:rsid w:val="39FC5695"/>
    <w:rsid w:val="3A006D8E"/>
    <w:rsid w:val="3A0C49AF"/>
    <w:rsid w:val="3A204F94"/>
    <w:rsid w:val="3A292B5E"/>
    <w:rsid w:val="3A3651E5"/>
    <w:rsid w:val="3A744481"/>
    <w:rsid w:val="3A8C7BEF"/>
    <w:rsid w:val="3A906246"/>
    <w:rsid w:val="3A946897"/>
    <w:rsid w:val="3AA30888"/>
    <w:rsid w:val="3ABE0DDE"/>
    <w:rsid w:val="3AD33C5B"/>
    <w:rsid w:val="3B225C51"/>
    <w:rsid w:val="3B2349B7"/>
    <w:rsid w:val="3B263F55"/>
    <w:rsid w:val="3B616CFF"/>
    <w:rsid w:val="3B6259F6"/>
    <w:rsid w:val="3B6C15C2"/>
    <w:rsid w:val="3B976654"/>
    <w:rsid w:val="3BC01EFC"/>
    <w:rsid w:val="3BC0486E"/>
    <w:rsid w:val="3BCA786A"/>
    <w:rsid w:val="3BD31E2F"/>
    <w:rsid w:val="3BD621EB"/>
    <w:rsid w:val="3BF15831"/>
    <w:rsid w:val="3C105946"/>
    <w:rsid w:val="3C1934F8"/>
    <w:rsid w:val="3C1C4D96"/>
    <w:rsid w:val="3C3417FB"/>
    <w:rsid w:val="3C471448"/>
    <w:rsid w:val="3C5F759A"/>
    <w:rsid w:val="3C6C525A"/>
    <w:rsid w:val="3C824F12"/>
    <w:rsid w:val="3C942B7F"/>
    <w:rsid w:val="3CB90837"/>
    <w:rsid w:val="3CC01BC6"/>
    <w:rsid w:val="3CCE23CB"/>
    <w:rsid w:val="3CCF4271"/>
    <w:rsid w:val="3CD17D17"/>
    <w:rsid w:val="3D003C82"/>
    <w:rsid w:val="3D08531B"/>
    <w:rsid w:val="3D130038"/>
    <w:rsid w:val="3D3C7F39"/>
    <w:rsid w:val="3D436353"/>
    <w:rsid w:val="3D440F09"/>
    <w:rsid w:val="3D4504A0"/>
    <w:rsid w:val="3D4E0799"/>
    <w:rsid w:val="3D8734BB"/>
    <w:rsid w:val="3D9A11D4"/>
    <w:rsid w:val="3D9B6799"/>
    <w:rsid w:val="3DA16D89"/>
    <w:rsid w:val="3DA364BE"/>
    <w:rsid w:val="3DB75A1D"/>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F060E16"/>
    <w:rsid w:val="3F1D1096"/>
    <w:rsid w:val="3F2F0234"/>
    <w:rsid w:val="3F5B40F4"/>
    <w:rsid w:val="3F6363FE"/>
    <w:rsid w:val="3F756B8F"/>
    <w:rsid w:val="3F7D0E0C"/>
    <w:rsid w:val="3F7D11F8"/>
    <w:rsid w:val="3F95482B"/>
    <w:rsid w:val="3FFA644F"/>
    <w:rsid w:val="4006322D"/>
    <w:rsid w:val="4019356B"/>
    <w:rsid w:val="40592157"/>
    <w:rsid w:val="406423BE"/>
    <w:rsid w:val="4065070C"/>
    <w:rsid w:val="406E1CAE"/>
    <w:rsid w:val="408E004E"/>
    <w:rsid w:val="409C131D"/>
    <w:rsid w:val="40A0133A"/>
    <w:rsid w:val="40A47108"/>
    <w:rsid w:val="40C31A53"/>
    <w:rsid w:val="40DA7863"/>
    <w:rsid w:val="40EF21F3"/>
    <w:rsid w:val="40FE44B6"/>
    <w:rsid w:val="40FF545D"/>
    <w:rsid w:val="410067C8"/>
    <w:rsid w:val="4116094A"/>
    <w:rsid w:val="416176D3"/>
    <w:rsid w:val="418036D2"/>
    <w:rsid w:val="418F0D2A"/>
    <w:rsid w:val="419439FA"/>
    <w:rsid w:val="41B36150"/>
    <w:rsid w:val="41D01505"/>
    <w:rsid w:val="41E81277"/>
    <w:rsid w:val="41F733F4"/>
    <w:rsid w:val="42034730"/>
    <w:rsid w:val="42357F60"/>
    <w:rsid w:val="42474939"/>
    <w:rsid w:val="424C3C57"/>
    <w:rsid w:val="42613FF3"/>
    <w:rsid w:val="42660D96"/>
    <w:rsid w:val="428667D2"/>
    <w:rsid w:val="42921365"/>
    <w:rsid w:val="42923776"/>
    <w:rsid w:val="42CD1CE0"/>
    <w:rsid w:val="42CD5957"/>
    <w:rsid w:val="42D27F5D"/>
    <w:rsid w:val="42E1381E"/>
    <w:rsid w:val="42ED6459"/>
    <w:rsid w:val="42FE58DD"/>
    <w:rsid w:val="43174B3D"/>
    <w:rsid w:val="434B790E"/>
    <w:rsid w:val="43525542"/>
    <w:rsid w:val="4360274F"/>
    <w:rsid w:val="43760F19"/>
    <w:rsid w:val="43864FE1"/>
    <w:rsid w:val="439148A0"/>
    <w:rsid w:val="43977AB6"/>
    <w:rsid w:val="439C7B4F"/>
    <w:rsid w:val="43A3342B"/>
    <w:rsid w:val="43BE6733"/>
    <w:rsid w:val="43C77C27"/>
    <w:rsid w:val="43DE09EE"/>
    <w:rsid w:val="43F004D8"/>
    <w:rsid w:val="44002FAD"/>
    <w:rsid w:val="441C37AA"/>
    <w:rsid w:val="443D1D4E"/>
    <w:rsid w:val="449101DD"/>
    <w:rsid w:val="4499769B"/>
    <w:rsid w:val="44AC3A83"/>
    <w:rsid w:val="44DC1567"/>
    <w:rsid w:val="44DE1391"/>
    <w:rsid w:val="44DE22C0"/>
    <w:rsid w:val="44E4429C"/>
    <w:rsid w:val="451B225C"/>
    <w:rsid w:val="452410C9"/>
    <w:rsid w:val="45317DFB"/>
    <w:rsid w:val="453749EF"/>
    <w:rsid w:val="45533A0C"/>
    <w:rsid w:val="45606E50"/>
    <w:rsid w:val="4562592A"/>
    <w:rsid w:val="456D3CE4"/>
    <w:rsid w:val="4579042C"/>
    <w:rsid w:val="457F0571"/>
    <w:rsid w:val="45851176"/>
    <w:rsid w:val="45912351"/>
    <w:rsid w:val="45C55BC2"/>
    <w:rsid w:val="45C63B94"/>
    <w:rsid w:val="460E7DA5"/>
    <w:rsid w:val="46422483"/>
    <w:rsid w:val="4659254A"/>
    <w:rsid w:val="465B0637"/>
    <w:rsid w:val="465E3F0D"/>
    <w:rsid w:val="466A16E6"/>
    <w:rsid w:val="466E09AE"/>
    <w:rsid w:val="46731A57"/>
    <w:rsid w:val="46893F2B"/>
    <w:rsid w:val="46C444E6"/>
    <w:rsid w:val="46C4686E"/>
    <w:rsid w:val="46DA3F91"/>
    <w:rsid w:val="471D6915"/>
    <w:rsid w:val="475B6938"/>
    <w:rsid w:val="477B778F"/>
    <w:rsid w:val="478203EC"/>
    <w:rsid w:val="47B025FA"/>
    <w:rsid w:val="47CA1B4A"/>
    <w:rsid w:val="4809698F"/>
    <w:rsid w:val="4811697D"/>
    <w:rsid w:val="483A1CF6"/>
    <w:rsid w:val="48516FB5"/>
    <w:rsid w:val="487A3E25"/>
    <w:rsid w:val="488B5503"/>
    <w:rsid w:val="48937E21"/>
    <w:rsid w:val="489A0361"/>
    <w:rsid w:val="48B94FF3"/>
    <w:rsid w:val="48E37AAB"/>
    <w:rsid w:val="48EE3617"/>
    <w:rsid w:val="48FB1816"/>
    <w:rsid w:val="48FC21D7"/>
    <w:rsid w:val="48FD4B4C"/>
    <w:rsid w:val="4901555D"/>
    <w:rsid w:val="490A68E0"/>
    <w:rsid w:val="491055FE"/>
    <w:rsid w:val="491237A9"/>
    <w:rsid w:val="495F5B3E"/>
    <w:rsid w:val="496F77D7"/>
    <w:rsid w:val="49724248"/>
    <w:rsid w:val="497654FD"/>
    <w:rsid w:val="497D0896"/>
    <w:rsid w:val="49B616A7"/>
    <w:rsid w:val="49B64211"/>
    <w:rsid w:val="49D41AAC"/>
    <w:rsid w:val="49F6167F"/>
    <w:rsid w:val="4A064FA0"/>
    <w:rsid w:val="4A16615C"/>
    <w:rsid w:val="4A3E412A"/>
    <w:rsid w:val="4A4424D7"/>
    <w:rsid w:val="4A4534F8"/>
    <w:rsid w:val="4A626435"/>
    <w:rsid w:val="4A942560"/>
    <w:rsid w:val="4AB82D0F"/>
    <w:rsid w:val="4AEB7664"/>
    <w:rsid w:val="4AF47CE8"/>
    <w:rsid w:val="4AFD7C19"/>
    <w:rsid w:val="4B01452B"/>
    <w:rsid w:val="4B0567D1"/>
    <w:rsid w:val="4B236AAE"/>
    <w:rsid w:val="4B2F799D"/>
    <w:rsid w:val="4B4B72D8"/>
    <w:rsid w:val="4B5001E7"/>
    <w:rsid w:val="4B5A6554"/>
    <w:rsid w:val="4B707271"/>
    <w:rsid w:val="4B721FAC"/>
    <w:rsid w:val="4B7763FA"/>
    <w:rsid w:val="4B9739F7"/>
    <w:rsid w:val="4BEE2503"/>
    <w:rsid w:val="4BF727EA"/>
    <w:rsid w:val="4BFE1DC3"/>
    <w:rsid w:val="4C1B4BA7"/>
    <w:rsid w:val="4C2125A3"/>
    <w:rsid w:val="4C245A30"/>
    <w:rsid w:val="4C2B503E"/>
    <w:rsid w:val="4C387642"/>
    <w:rsid w:val="4C985EAF"/>
    <w:rsid w:val="4CA9658D"/>
    <w:rsid w:val="4CB6685F"/>
    <w:rsid w:val="4CC367FE"/>
    <w:rsid w:val="4CD805F1"/>
    <w:rsid w:val="4D077F3C"/>
    <w:rsid w:val="4D123355"/>
    <w:rsid w:val="4D2A3B31"/>
    <w:rsid w:val="4D2C26AC"/>
    <w:rsid w:val="4D312C52"/>
    <w:rsid w:val="4D4E28D6"/>
    <w:rsid w:val="4D5812E8"/>
    <w:rsid w:val="4D8214B5"/>
    <w:rsid w:val="4D862070"/>
    <w:rsid w:val="4D881E5D"/>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F005E52"/>
    <w:rsid w:val="4F104EC3"/>
    <w:rsid w:val="4F1662AD"/>
    <w:rsid w:val="4F47354A"/>
    <w:rsid w:val="4F911C54"/>
    <w:rsid w:val="4F933B78"/>
    <w:rsid w:val="4FE625E0"/>
    <w:rsid w:val="5021480F"/>
    <w:rsid w:val="505C301C"/>
    <w:rsid w:val="50646C06"/>
    <w:rsid w:val="5073375E"/>
    <w:rsid w:val="50883755"/>
    <w:rsid w:val="50962ECB"/>
    <w:rsid w:val="50A42E38"/>
    <w:rsid w:val="50A4577F"/>
    <w:rsid w:val="50AC11E4"/>
    <w:rsid w:val="50B73D1F"/>
    <w:rsid w:val="50BD5BC9"/>
    <w:rsid w:val="50C11EEE"/>
    <w:rsid w:val="50CD5521"/>
    <w:rsid w:val="50E97CFC"/>
    <w:rsid w:val="50FA4028"/>
    <w:rsid w:val="510D65B7"/>
    <w:rsid w:val="511157AB"/>
    <w:rsid w:val="51165E00"/>
    <w:rsid w:val="51295EAD"/>
    <w:rsid w:val="51297903"/>
    <w:rsid w:val="512C5624"/>
    <w:rsid w:val="5142540C"/>
    <w:rsid w:val="514E605D"/>
    <w:rsid w:val="516369D5"/>
    <w:rsid w:val="51677464"/>
    <w:rsid w:val="517D5C03"/>
    <w:rsid w:val="517D6662"/>
    <w:rsid w:val="5185160D"/>
    <w:rsid w:val="51863957"/>
    <w:rsid w:val="518832C8"/>
    <w:rsid w:val="51915487"/>
    <w:rsid w:val="519D3C50"/>
    <w:rsid w:val="51A0432A"/>
    <w:rsid w:val="51A40D74"/>
    <w:rsid w:val="51A833F7"/>
    <w:rsid w:val="51A86090"/>
    <w:rsid w:val="51B7396D"/>
    <w:rsid w:val="51B82A14"/>
    <w:rsid w:val="51BD627C"/>
    <w:rsid w:val="51FE3848"/>
    <w:rsid w:val="52096E9E"/>
    <w:rsid w:val="5212481A"/>
    <w:rsid w:val="522E4CC3"/>
    <w:rsid w:val="5244713B"/>
    <w:rsid w:val="525C20F3"/>
    <w:rsid w:val="52615633"/>
    <w:rsid w:val="5267535B"/>
    <w:rsid w:val="526F4DE4"/>
    <w:rsid w:val="52790F03"/>
    <w:rsid w:val="52977FD4"/>
    <w:rsid w:val="52A25790"/>
    <w:rsid w:val="52A96B6F"/>
    <w:rsid w:val="52B45975"/>
    <w:rsid w:val="52B4767F"/>
    <w:rsid w:val="52B7716F"/>
    <w:rsid w:val="52D94AA4"/>
    <w:rsid w:val="52EA3A62"/>
    <w:rsid w:val="52F50BB8"/>
    <w:rsid w:val="52F73A09"/>
    <w:rsid w:val="52FE7ED2"/>
    <w:rsid w:val="53097272"/>
    <w:rsid w:val="531E6161"/>
    <w:rsid w:val="533E2B0B"/>
    <w:rsid w:val="534C1537"/>
    <w:rsid w:val="53544462"/>
    <w:rsid w:val="5385101B"/>
    <w:rsid w:val="53933A15"/>
    <w:rsid w:val="5397158E"/>
    <w:rsid w:val="53AB5AC3"/>
    <w:rsid w:val="53B12890"/>
    <w:rsid w:val="54013861"/>
    <w:rsid w:val="540A4CC2"/>
    <w:rsid w:val="54161C73"/>
    <w:rsid w:val="543C5B7E"/>
    <w:rsid w:val="54487265"/>
    <w:rsid w:val="544D6070"/>
    <w:rsid w:val="54605E1E"/>
    <w:rsid w:val="54B3506A"/>
    <w:rsid w:val="54BD4105"/>
    <w:rsid w:val="54CA0D16"/>
    <w:rsid w:val="54DA0EF3"/>
    <w:rsid w:val="54DD4057"/>
    <w:rsid w:val="54E7490F"/>
    <w:rsid w:val="55065838"/>
    <w:rsid w:val="550764A4"/>
    <w:rsid w:val="550B2BF6"/>
    <w:rsid w:val="550C37A2"/>
    <w:rsid w:val="551F76C9"/>
    <w:rsid w:val="55214EB5"/>
    <w:rsid w:val="552A4A91"/>
    <w:rsid w:val="55364EFD"/>
    <w:rsid w:val="55544A33"/>
    <w:rsid w:val="55582E57"/>
    <w:rsid w:val="555D4828"/>
    <w:rsid w:val="556B350B"/>
    <w:rsid w:val="557A4C8B"/>
    <w:rsid w:val="55886615"/>
    <w:rsid w:val="558931E1"/>
    <w:rsid w:val="55923347"/>
    <w:rsid w:val="55925180"/>
    <w:rsid w:val="55983B1B"/>
    <w:rsid w:val="55A734CB"/>
    <w:rsid w:val="55A8376B"/>
    <w:rsid w:val="55C0052D"/>
    <w:rsid w:val="55CD4B49"/>
    <w:rsid w:val="55DC29B6"/>
    <w:rsid w:val="55DD4241"/>
    <w:rsid w:val="5608544B"/>
    <w:rsid w:val="564451BE"/>
    <w:rsid w:val="56556BF5"/>
    <w:rsid w:val="566B6D1E"/>
    <w:rsid w:val="56900687"/>
    <w:rsid w:val="56C105BC"/>
    <w:rsid w:val="56D81F6E"/>
    <w:rsid w:val="57032A2C"/>
    <w:rsid w:val="570F5219"/>
    <w:rsid w:val="572E78E5"/>
    <w:rsid w:val="572F51E9"/>
    <w:rsid w:val="57565535"/>
    <w:rsid w:val="575A6B72"/>
    <w:rsid w:val="575D12B5"/>
    <w:rsid w:val="57610A87"/>
    <w:rsid w:val="577214FD"/>
    <w:rsid w:val="57742CBE"/>
    <w:rsid w:val="577B1140"/>
    <w:rsid w:val="577B7F21"/>
    <w:rsid w:val="577F181B"/>
    <w:rsid w:val="57921984"/>
    <w:rsid w:val="579737F0"/>
    <w:rsid w:val="579E26AC"/>
    <w:rsid w:val="57AB7B30"/>
    <w:rsid w:val="57AF5251"/>
    <w:rsid w:val="57B26373"/>
    <w:rsid w:val="57B63F04"/>
    <w:rsid w:val="57CD20C2"/>
    <w:rsid w:val="57CF6D09"/>
    <w:rsid w:val="57D675AB"/>
    <w:rsid w:val="57D95FDD"/>
    <w:rsid w:val="57DB56AE"/>
    <w:rsid w:val="57F8095F"/>
    <w:rsid w:val="582D55DD"/>
    <w:rsid w:val="5835390E"/>
    <w:rsid w:val="585C1DFE"/>
    <w:rsid w:val="58917D2F"/>
    <w:rsid w:val="5894085C"/>
    <w:rsid w:val="58AE4F0C"/>
    <w:rsid w:val="58B2640F"/>
    <w:rsid w:val="58B85899"/>
    <w:rsid w:val="58E363A9"/>
    <w:rsid w:val="58E6255C"/>
    <w:rsid w:val="59010851"/>
    <w:rsid w:val="595E1678"/>
    <w:rsid w:val="596D5BD4"/>
    <w:rsid w:val="597D4C6F"/>
    <w:rsid w:val="597E3DD8"/>
    <w:rsid w:val="599C23EA"/>
    <w:rsid w:val="599F0A2F"/>
    <w:rsid w:val="59AA5338"/>
    <w:rsid w:val="59B84D79"/>
    <w:rsid w:val="59E545C2"/>
    <w:rsid w:val="59F80043"/>
    <w:rsid w:val="5A09252F"/>
    <w:rsid w:val="5A0B2778"/>
    <w:rsid w:val="5A2A7C7B"/>
    <w:rsid w:val="5A3E2560"/>
    <w:rsid w:val="5A5D3B6E"/>
    <w:rsid w:val="5A637A76"/>
    <w:rsid w:val="5A6D33BA"/>
    <w:rsid w:val="5A767D30"/>
    <w:rsid w:val="5A792B1F"/>
    <w:rsid w:val="5A874767"/>
    <w:rsid w:val="5AA53ED3"/>
    <w:rsid w:val="5AA85BE2"/>
    <w:rsid w:val="5AAD6F28"/>
    <w:rsid w:val="5AB20948"/>
    <w:rsid w:val="5ABD7AE8"/>
    <w:rsid w:val="5ABE2749"/>
    <w:rsid w:val="5AD63A24"/>
    <w:rsid w:val="5AE51A4D"/>
    <w:rsid w:val="5AEE022E"/>
    <w:rsid w:val="5B0637C0"/>
    <w:rsid w:val="5B2E1A1D"/>
    <w:rsid w:val="5B463948"/>
    <w:rsid w:val="5B50627E"/>
    <w:rsid w:val="5B5A4B3C"/>
    <w:rsid w:val="5B843A1C"/>
    <w:rsid w:val="5B873E3F"/>
    <w:rsid w:val="5BB14242"/>
    <w:rsid w:val="5BB65DFC"/>
    <w:rsid w:val="5BED59B0"/>
    <w:rsid w:val="5C02690E"/>
    <w:rsid w:val="5C196DA7"/>
    <w:rsid w:val="5C2A048C"/>
    <w:rsid w:val="5C4D2220"/>
    <w:rsid w:val="5C5D3D2F"/>
    <w:rsid w:val="5C80234E"/>
    <w:rsid w:val="5C8A680C"/>
    <w:rsid w:val="5C9E132E"/>
    <w:rsid w:val="5CC46711"/>
    <w:rsid w:val="5D0A3484"/>
    <w:rsid w:val="5D0C4701"/>
    <w:rsid w:val="5D0F0395"/>
    <w:rsid w:val="5D221076"/>
    <w:rsid w:val="5D397964"/>
    <w:rsid w:val="5D5A391C"/>
    <w:rsid w:val="5D5E5A9E"/>
    <w:rsid w:val="5D5F10C0"/>
    <w:rsid w:val="5D790E2F"/>
    <w:rsid w:val="5D891B7B"/>
    <w:rsid w:val="5DAD38EE"/>
    <w:rsid w:val="5DFE7762"/>
    <w:rsid w:val="5E006862"/>
    <w:rsid w:val="5E0207B9"/>
    <w:rsid w:val="5E1834A1"/>
    <w:rsid w:val="5E1A28CC"/>
    <w:rsid w:val="5E261785"/>
    <w:rsid w:val="5E3E2A04"/>
    <w:rsid w:val="5E4A7017"/>
    <w:rsid w:val="5E552BBA"/>
    <w:rsid w:val="5E5D506F"/>
    <w:rsid w:val="5E611C10"/>
    <w:rsid w:val="5E7A0F3F"/>
    <w:rsid w:val="5EAA7669"/>
    <w:rsid w:val="5EB97DCB"/>
    <w:rsid w:val="5EFC7377"/>
    <w:rsid w:val="5EFD680E"/>
    <w:rsid w:val="5F010FD3"/>
    <w:rsid w:val="5F06174D"/>
    <w:rsid w:val="5F223BC2"/>
    <w:rsid w:val="5F3A3602"/>
    <w:rsid w:val="5F453A54"/>
    <w:rsid w:val="5F45733B"/>
    <w:rsid w:val="5F4B4EC7"/>
    <w:rsid w:val="5F6277C6"/>
    <w:rsid w:val="5F635BF1"/>
    <w:rsid w:val="5F697D26"/>
    <w:rsid w:val="5F6D0B1D"/>
    <w:rsid w:val="5F8D0B82"/>
    <w:rsid w:val="5FA47678"/>
    <w:rsid w:val="5FCC5339"/>
    <w:rsid w:val="5FDB506F"/>
    <w:rsid w:val="5FE34A5B"/>
    <w:rsid w:val="5FFE1E36"/>
    <w:rsid w:val="60232584"/>
    <w:rsid w:val="605F7CA3"/>
    <w:rsid w:val="60633324"/>
    <w:rsid w:val="6065645C"/>
    <w:rsid w:val="6068521B"/>
    <w:rsid w:val="607330CE"/>
    <w:rsid w:val="60825176"/>
    <w:rsid w:val="609D1752"/>
    <w:rsid w:val="609F2AC4"/>
    <w:rsid w:val="60D20A0C"/>
    <w:rsid w:val="60E509C5"/>
    <w:rsid w:val="60FA2EE8"/>
    <w:rsid w:val="61054A27"/>
    <w:rsid w:val="610A52BC"/>
    <w:rsid w:val="610D059B"/>
    <w:rsid w:val="611D2366"/>
    <w:rsid w:val="61223D68"/>
    <w:rsid w:val="6125059E"/>
    <w:rsid w:val="61421856"/>
    <w:rsid w:val="615227C4"/>
    <w:rsid w:val="61654E3F"/>
    <w:rsid w:val="6182292A"/>
    <w:rsid w:val="619D5782"/>
    <w:rsid w:val="619F7F92"/>
    <w:rsid w:val="61BD067B"/>
    <w:rsid w:val="61CB5846"/>
    <w:rsid w:val="61D218D0"/>
    <w:rsid w:val="61D246F2"/>
    <w:rsid w:val="61D37271"/>
    <w:rsid w:val="61E466C4"/>
    <w:rsid w:val="61ED3E04"/>
    <w:rsid w:val="61F94C26"/>
    <w:rsid w:val="61FE6C86"/>
    <w:rsid w:val="62000E56"/>
    <w:rsid w:val="62002009"/>
    <w:rsid w:val="621243C2"/>
    <w:rsid w:val="62210161"/>
    <w:rsid w:val="622C3B9E"/>
    <w:rsid w:val="624F1172"/>
    <w:rsid w:val="624F3E49"/>
    <w:rsid w:val="62632286"/>
    <w:rsid w:val="626D1570"/>
    <w:rsid w:val="62885958"/>
    <w:rsid w:val="62B15989"/>
    <w:rsid w:val="62B31701"/>
    <w:rsid w:val="62B85820"/>
    <w:rsid w:val="62E06D1C"/>
    <w:rsid w:val="62F40B65"/>
    <w:rsid w:val="62FC2CFE"/>
    <w:rsid w:val="62FD1D28"/>
    <w:rsid w:val="63024505"/>
    <w:rsid w:val="630C0804"/>
    <w:rsid w:val="6318774C"/>
    <w:rsid w:val="635600A5"/>
    <w:rsid w:val="635B1DB5"/>
    <w:rsid w:val="63711FED"/>
    <w:rsid w:val="63880DDC"/>
    <w:rsid w:val="638D750D"/>
    <w:rsid w:val="63AC6CC0"/>
    <w:rsid w:val="63AD2842"/>
    <w:rsid w:val="63FC06B4"/>
    <w:rsid w:val="64055776"/>
    <w:rsid w:val="6410335F"/>
    <w:rsid w:val="641F5B67"/>
    <w:rsid w:val="64240056"/>
    <w:rsid w:val="643E143A"/>
    <w:rsid w:val="64491666"/>
    <w:rsid w:val="64852BFC"/>
    <w:rsid w:val="648B6EEF"/>
    <w:rsid w:val="64AE68E3"/>
    <w:rsid w:val="64C158BF"/>
    <w:rsid w:val="64CE2EAA"/>
    <w:rsid w:val="64E81443"/>
    <w:rsid w:val="653C3090"/>
    <w:rsid w:val="654146F0"/>
    <w:rsid w:val="65854376"/>
    <w:rsid w:val="658767BE"/>
    <w:rsid w:val="65892531"/>
    <w:rsid w:val="65D525D1"/>
    <w:rsid w:val="65E10333"/>
    <w:rsid w:val="66187ACD"/>
    <w:rsid w:val="66195831"/>
    <w:rsid w:val="662E75B1"/>
    <w:rsid w:val="66342C2E"/>
    <w:rsid w:val="663E784C"/>
    <w:rsid w:val="664A2A65"/>
    <w:rsid w:val="66636F9A"/>
    <w:rsid w:val="668203E2"/>
    <w:rsid w:val="668B6A45"/>
    <w:rsid w:val="66AA4EE5"/>
    <w:rsid w:val="66AB21C3"/>
    <w:rsid w:val="66C57C55"/>
    <w:rsid w:val="66DB1226"/>
    <w:rsid w:val="66E14363"/>
    <w:rsid w:val="66F978FF"/>
    <w:rsid w:val="67112C4A"/>
    <w:rsid w:val="672F3F24"/>
    <w:rsid w:val="673E055F"/>
    <w:rsid w:val="674443CC"/>
    <w:rsid w:val="67551CE3"/>
    <w:rsid w:val="67843DCC"/>
    <w:rsid w:val="67A22552"/>
    <w:rsid w:val="67B22DCC"/>
    <w:rsid w:val="67BE71AA"/>
    <w:rsid w:val="67CF7323"/>
    <w:rsid w:val="67D90273"/>
    <w:rsid w:val="67DE5875"/>
    <w:rsid w:val="67E55852"/>
    <w:rsid w:val="67EB1AB4"/>
    <w:rsid w:val="67F00D02"/>
    <w:rsid w:val="67F9782B"/>
    <w:rsid w:val="67FA1285"/>
    <w:rsid w:val="683D34AF"/>
    <w:rsid w:val="68476448"/>
    <w:rsid w:val="68551F4F"/>
    <w:rsid w:val="685C4125"/>
    <w:rsid w:val="687C10C9"/>
    <w:rsid w:val="68840C16"/>
    <w:rsid w:val="68876EFB"/>
    <w:rsid w:val="68884654"/>
    <w:rsid w:val="688D598D"/>
    <w:rsid w:val="689F444F"/>
    <w:rsid w:val="68A624A0"/>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CC2BFF"/>
    <w:rsid w:val="69FD55B8"/>
    <w:rsid w:val="6A0B1C62"/>
    <w:rsid w:val="6A1C386D"/>
    <w:rsid w:val="6A2406C8"/>
    <w:rsid w:val="6A4946F9"/>
    <w:rsid w:val="6A7D43A3"/>
    <w:rsid w:val="6A7E25F5"/>
    <w:rsid w:val="6A857679"/>
    <w:rsid w:val="6A86139C"/>
    <w:rsid w:val="6A9516EC"/>
    <w:rsid w:val="6A9A1ADF"/>
    <w:rsid w:val="6ABC7372"/>
    <w:rsid w:val="6ADE0BD1"/>
    <w:rsid w:val="6AE81378"/>
    <w:rsid w:val="6AE96859"/>
    <w:rsid w:val="6AF8536B"/>
    <w:rsid w:val="6B147746"/>
    <w:rsid w:val="6B24787C"/>
    <w:rsid w:val="6B546B21"/>
    <w:rsid w:val="6B573233"/>
    <w:rsid w:val="6B5B6274"/>
    <w:rsid w:val="6B935D53"/>
    <w:rsid w:val="6BAD2EF3"/>
    <w:rsid w:val="6BB0686D"/>
    <w:rsid w:val="6BB9765C"/>
    <w:rsid w:val="6BBD0EFB"/>
    <w:rsid w:val="6BEF4116"/>
    <w:rsid w:val="6C196F71"/>
    <w:rsid w:val="6C226FCB"/>
    <w:rsid w:val="6C31226F"/>
    <w:rsid w:val="6C517EC7"/>
    <w:rsid w:val="6C552F0B"/>
    <w:rsid w:val="6C783074"/>
    <w:rsid w:val="6C8C67B7"/>
    <w:rsid w:val="6C9D744C"/>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7E3E"/>
    <w:rsid w:val="6E331948"/>
    <w:rsid w:val="6E3631E6"/>
    <w:rsid w:val="6E645FA5"/>
    <w:rsid w:val="6E8335BD"/>
    <w:rsid w:val="6E895767"/>
    <w:rsid w:val="6E8E12EF"/>
    <w:rsid w:val="6E972936"/>
    <w:rsid w:val="6E9A79E9"/>
    <w:rsid w:val="6EBA5112"/>
    <w:rsid w:val="6EC277E4"/>
    <w:rsid w:val="6ED446C5"/>
    <w:rsid w:val="6EDC5B3C"/>
    <w:rsid w:val="6F265009"/>
    <w:rsid w:val="6F2A7D94"/>
    <w:rsid w:val="6F4162E7"/>
    <w:rsid w:val="6F493A81"/>
    <w:rsid w:val="6F615F3F"/>
    <w:rsid w:val="6F8331F1"/>
    <w:rsid w:val="6FA86604"/>
    <w:rsid w:val="6FAE1A09"/>
    <w:rsid w:val="6FD75BF8"/>
    <w:rsid w:val="7014337E"/>
    <w:rsid w:val="701E76F2"/>
    <w:rsid w:val="70230F84"/>
    <w:rsid w:val="703717DF"/>
    <w:rsid w:val="70425E72"/>
    <w:rsid w:val="706510B7"/>
    <w:rsid w:val="707723D0"/>
    <w:rsid w:val="70B334A8"/>
    <w:rsid w:val="70BC118D"/>
    <w:rsid w:val="70F5661B"/>
    <w:rsid w:val="70F97B3E"/>
    <w:rsid w:val="71020631"/>
    <w:rsid w:val="710226DE"/>
    <w:rsid w:val="712463B0"/>
    <w:rsid w:val="71360107"/>
    <w:rsid w:val="713B688E"/>
    <w:rsid w:val="7148279F"/>
    <w:rsid w:val="71A375BB"/>
    <w:rsid w:val="71CE0425"/>
    <w:rsid w:val="71D43752"/>
    <w:rsid w:val="71E7506F"/>
    <w:rsid w:val="71F1796A"/>
    <w:rsid w:val="71FB63D5"/>
    <w:rsid w:val="72133F6A"/>
    <w:rsid w:val="72150831"/>
    <w:rsid w:val="72154626"/>
    <w:rsid w:val="721C7F6D"/>
    <w:rsid w:val="72262B5D"/>
    <w:rsid w:val="72283FF7"/>
    <w:rsid w:val="722E7212"/>
    <w:rsid w:val="723A0474"/>
    <w:rsid w:val="724A6E80"/>
    <w:rsid w:val="725923E4"/>
    <w:rsid w:val="72821B04"/>
    <w:rsid w:val="72864BF7"/>
    <w:rsid w:val="729023FC"/>
    <w:rsid w:val="72A03324"/>
    <w:rsid w:val="72A56499"/>
    <w:rsid w:val="72DC4B43"/>
    <w:rsid w:val="7315161C"/>
    <w:rsid w:val="73411922"/>
    <w:rsid w:val="739369E5"/>
    <w:rsid w:val="73A429A0"/>
    <w:rsid w:val="73A77042"/>
    <w:rsid w:val="73B250BD"/>
    <w:rsid w:val="73C0646E"/>
    <w:rsid w:val="73C453B0"/>
    <w:rsid w:val="740F69B1"/>
    <w:rsid w:val="742222F5"/>
    <w:rsid w:val="74420908"/>
    <w:rsid w:val="74476126"/>
    <w:rsid w:val="745E12B7"/>
    <w:rsid w:val="74706664"/>
    <w:rsid w:val="747F3682"/>
    <w:rsid w:val="749C4185"/>
    <w:rsid w:val="74AB7601"/>
    <w:rsid w:val="74CE0A2B"/>
    <w:rsid w:val="75067759"/>
    <w:rsid w:val="752E6DCD"/>
    <w:rsid w:val="7551380D"/>
    <w:rsid w:val="75600BE5"/>
    <w:rsid w:val="7564475C"/>
    <w:rsid w:val="75805DAD"/>
    <w:rsid w:val="7583797F"/>
    <w:rsid w:val="759E3B4B"/>
    <w:rsid w:val="75B17224"/>
    <w:rsid w:val="75D20F1D"/>
    <w:rsid w:val="75DA2C18"/>
    <w:rsid w:val="75F54412"/>
    <w:rsid w:val="75FA1A63"/>
    <w:rsid w:val="76127132"/>
    <w:rsid w:val="761D08E0"/>
    <w:rsid w:val="765D347C"/>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617D97"/>
    <w:rsid w:val="777141A8"/>
    <w:rsid w:val="777F31F2"/>
    <w:rsid w:val="7785446F"/>
    <w:rsid w:val="779F3BAA"/>
    <w:rsid w:val="77D1700D"/>
    <w:rsid w:val="77EC04CC"/>
    <w:rsid w:val="77F71C38"/>
    <w:rsid w:val="77FB436F"/>
    <w:rsid w:val="78232A2D"/>
    <w:rsid w:val="78704689"/>
    <w:rsid w:val="78775729"/>
    <w:rsid w:val="7883019C"/>
    <w:rsid w:val="78A42DB0"/>
    <w:rsid w:val="78A551F0"/>
    <w:rsid w:val="78A656AB"/>
    <w:rsid w:val="78B2245C"/>
    <w:rsid w:val="78E172CC"/>
    <w:rsid w:val="78EA1D1F"/>
    <w:rsid w:val="78EB566B"/>
    <w:rsid w:val="78F80721"/>
    <w:rsid w:val="78FA1BAC"/>
    <w:rsid w:val="79036DC3"/>
    <w:rsid w:val="7904172F"/>
    <w:rsid w:val="790F7E27"/>
    <w:rsid w:val="791B3704"/>
    <w:rsid w:val="792A231A"/>
    <w:rsid w:val="79314269"/>
    <w:rsid w:val="79316829"/>
    <w:rsid w:val="79627B97"/>
    <w:rsid w:val="797E66A9"/>
    <w:rsid w:val="798518A4"/>
    <w:rsid w:val="799D3347"/>
    <w:rsid w:val="79A97383"/>
    <w:rsid w:val="79BD1032"/>
    <w:rsid w:val="79E27E8B"/>
    <w:rsid w:val="79F37786"/>
    <w:rsid w:val="79F850CE"/>
    <w:rsid w:val="79FD443C"/>
    <w:rsid w:val="7A1D1975"/>
    <w:rsid w:val="7A3E5150"/>
    <w:rsid w:val="7A4670D6"/>
    <w:rsid w:val="7A534B63"/>
    <w:rsid w:val="7A560E98"/>
    <w:rsid w:val="7A615382"/>
    <w:rsid w:val="7A67303B"/>
    <w:rsid w:val="7AAB1D04"/>
    <w:rsid w:val="7ABA4368"/>
    <w:rsid w:val="7AD05746"/>
    <w:rsid w:val="7AE65922"/>
    <w:rsid w:val="7B0E1E12"/>
    <w:rsid w:val="7B257FFD"/>
    <w:rsid w:val="7B343476"/>
    <w:rsid w:val="7B4E6013"/>
    <w:rsid w:val="7B5A2978"/>
    <w:rsid w:val="7B5A7E4C"/>
    <w:rsid w:val="7B667AF9"/>
    <w:rsid w:val="7B7468F8"/>
    <w:rsid w:val="7BEE0103"/>
    <w:rsid w:val="7C0171AF"/>
    <w:rsid w:val="7C046174"/>
    <w:rsid w:val="7C0A0FE4"/>
    <w:rsid w:val="7C254906"/>
    <w:rsid w:val="7C281CA5"/>
    <w:rsid w:val="7C2823C0"/>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7E5222"/>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6"/>
    <w:autoRedefine/>
    <w:qFormat/>
    <w:uiPriority w:val="0"/>
    <w:pPr>
      <w:spacing w:line="480" w:lineRule="exact"/>
      <w:ind w:firstLine="480" w:firstLineChars="200"/>
    </w:pPr>
    <w:rPr>
      <w:rFonts w:ascii="宋体" w:hAnsi="宋体"/>
      <w:sz w:val="24"/>
    </w:rPr>
  </w:style>
  <w:style w:type="paragraph" w:styleId="28">
    <w:name w:val="Body Text First Indent 2"/>
    <w:basedOn w:val="27"/>
    <w:link w:val="123"/>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7"/>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3"/>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Balloon Text"/>
    <w:basedOn w:val="1"/>
    <w:link w:val="190"/>
    <w:autoRedefine/>
    <w:qFormat/>
    <w:uiPriority w:val="0"/>
    <w:rPr>
      <w:sz w:val="18"/>
      <w:szCs w:val="18"/>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8"/>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9"/>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2"/>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9"/>
    <w:autoRedefine/>
    <w:qFormat/>
    <w:uiPriority w:val="0"/>
    <w:rPr>
      <w:rFonts w:ascii="黑体" w:hAnsi="Courier New" w:eastAsia="黑体"/>
    </w:rPr>
  </w:style>
  <w:style w:type="character" w:customStyle="1" w:styleId="303">
    <w:name w:val="正文文本 2 字符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1"/>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4"/>
    <w:autoRedefine/>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irst-child"/>
    <w:basedOn w:val="70"/>
    <w:autoRedefine/>
    <w:qFormat/>
    <w:uiPriority w:val="0"/>
  </w:style>
  <w:style w:type="character" w:customStyle="1" w:styleId="969">
    <w:name w:val="hover7"/>
    <w:basedOn w:val="70"/>
    <w:autoRedefine/>
    <w:qFormat/>
    <w:uiPriority w:val="0"/>
    <w:rPr>
      <w:shd w:val="clear" w:fill="F3F3F3"/>
    </w:rPr>
  </w:style>
  <w:style w:type="character" w:customStyle="1" w:styleId="970">
    <w:name w:val="hover8"/>
    <w:basedOn w:val="70"/>
    <w:autoRedefine/>
    <w:qFormat/>
    <w:uiPriority w:val="0"/>
    <w:rPr>
      <w:sz w:val="11"/>
      <w:szCs w:val="11"/>
    </w:rPr>
  </w:style>
  <w:style w:type="character" w:customStyle="1" w:styleId="971">
    <w:name w:val="layui-layer-tabnow"/>
    <w:basedOn w:val="70"/>
    <w:autoRedefine/>
    <w:qFormat/>
    <w:uiPriority w:val="0"/>
    <w:rPr>
      <w:bdr w:val="single" w:color="CCCCCC" w:sz="4" w:space="0"/>
      <w:shd w:val="clear" w:fill="FFFFFF"/>
    </w:rPr>
  </w:style>
  <w:style w:type="paragraph" w:customStyle="1" w:styleId="972">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38266</Words>
  <Characters>40449</Characters>
  <Lines>407</Lines>
  <Paragraphs>114</Paragraphs>
  <TotalTime>17</TotalTime>
  <ScaleCrop>false</ScaleCrop>
  <LinksUpToDate>false</LinksUpToDate>
  <CharactersWithSpaces>42103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Hhhmm77</cp:lastModifiedBy>
  <cp:lastPrinted>2024-06-27T06:17:00Z</cp:lastPrinted>
  <dcterms:modified xsi:type="dcterms:W3CDTF">2025-06-25T08:25:21Z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743515C4F583491CACBFE3992FCE6E2F_13</vt:lpwstr>
  </property>
  <property fmtid="{D5CDD505-2E9C-101B-9397-08002B2CF9AE}" pid="5" name="commondata">
    <vt:lpwstr>eyJoZGlkIjoiNGNlMmFkMDQ1NDY0ZmRiM2Q0NjY4NTFjN2IwMTllYjMifQ==</vt:lpwstr>
  </property>
  <property fmtid="{D5CDD505-2E9C-101B-9397-08002B2CF9AE}" pid="6" name="KSOTemplateDocerSaveRecord">
    <vt:lpwstr>eyJoZGlkIjoiOTM4ZGZjZWEwN2YzMzVlZmM5MzllYzJkYzAyN2IyNzQiLCJ1c2VySWQiOiIxMTUxODI5MjE3In0=</vt:lpwstr>
  </property>
</Properties>
</file>